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55161" w14:textId="370DFBB9" w:rsidR="00C86248" w:rsidRPr="00926083" w:rsidRDefault="006D412A" w:rsidP="00926083">
      <w:pPr>
        <w:pStyle w:val="Title"/>
      </w:pPr>
      <w:r w:rsidRPr="006D412A">
        <w:t xml:space="preserve">Addendum to </w:t>
      </w:r>
      <w:r w:rsidRPr="00192638">
        <w:rPr>
          <w:i/>
          <w:iCs/>
        </w:rPr>
        <w:t>Impact of Puberty Blockers in Gender-Dysphoric Adolescents: An evidence brief</w:t>
      </w:r>
      <w:r w:rsidRPr="006D412A">
        <w:t xml:space="preserve">  </w:t>
      </w:r>
    </w:p>
    <w:p w14:paraId="2A961E80" w14:textId="2EBB0CDF" w:rsidR="00531E12" w:rsidRPr="00531E12" w:rsidRDefault="006D412A" w:rsidP="00531E12">
      <w:pPr>
        <w:pStyle w:val="Year"/>
      </w:pPr>
      <w:r>
        <w:t>2024</w:t>
      </w:r>
    </w:p>
    <w:p w14:paraId="5C1CCC9F" w14:textId="77777777" w:rsidR="00C05132" w:rsidRDefault="00C05132" w:rsidP="00A06BE4"/>
    <w:p w14:paraId="57E2CB79" w14:textId="77777777" w:rsidR="00142954" w:rsidRPr="00142954" w:rsidRDefault="00142954" w:rsidP="00142954">
      <w:pPr>
        <w:sectPr w:rsidR="00142954" w:rsidRPr="00142954" w:rsidSect="005A79E5">
          <w:headerReference w:type="default" r:id="rId11"/>
          <w:footerReference w:type="default" r:id="rId12"/>
          <w:pgSz w:w="11907" w:h="16834" w:code="9"/>
          <w:pgMar w:top="5670" w:right="1134" w:bottom="1134" w:left="1134" w:header="567" w:footer="851" w:gutter="0"/>
          <w:pgNumType w:start="1"/>
          <w:cols w:space="720"/>
        </w:sectPr>
      </w:pPr>
    </w:p>
    <w:p w14:paraId="358CE3BA" w14:textId="1893C255" w:rsidR="00A80363" w:rsidRPr="00C05132" w:rsidRDefault="00A80363" w:rsidP="00A63DFF">
      <w:pPr>
        <w:pStyle w:val="Imprint"/>
        <w:spacing w:before="1200"/>
        <w:rPr>
          <w:rFonts w:cs="Segoe UI"/>
        </w:rPr>
      </w:pPr>
      <w:r w:rsidRPr="00C05132">
        <w:rPr>
          <w:rFonts w:cs="Segoe UI"/>
        </w:rPr>
        <w:lastRenderedPageBreak/>
        <w:t xml:space="preserve">Citation: </w:t>
      </w:r>
      <w:r w:rsidR="00442C1C" w:rsidRPr="00C05132">
        <w:rPr>
          <w:rFonts w:cs="Segoe UI"/>
        </w:rPr>
        <w:t xml:space="preserve">Ministry of Health. </w:t>
      </w:r>
      <w:r w:rsidR="006D412A">
        <w:rPr>
          <w:rFonts w:cs="Segoe UI"/>
        </w:rPr>
        <w:t>2024</w:t>
      </w:r>
      <w:r w:rsidR="00442C1C" w:rsidRPr="00C05132">
        <w:rPr>
          <w:rFonts w:cs="Segoe UI"/>
        </w:rPr>
        <w:t xml:space="preserve">. </w:t>
      </w:r>
      <w:r w:rsidR="006D412A" w:rsidRPr="006D412A">
        <w:rPr>
          <w:rFonts w:cs="Segoe UI"/>
          <w:i/>
        </w:rPr>
        <w:t>Addendum to Impact of Puberty Blockers in Gender-Dysphoric Adolescents: An evidence brie</w:t>
      </w:r>
      <w:r w:rsidR="00192638">
        <w:rPr>
          <w:rFonts w:cs="Segoe UI"/>
          <w:i/>
        </w:rPr>
        <w:t>f</w:t>
      </w:r>
      <w:r w:rsidR="00442C1C" w:rsidRPr="00C05132">
        <w:rPr>
          <w:rFonts w:cs="Segoe UI"/>
        </w:rPr>
        <w:t>. Wellington: Ministry of Health.</w:t>
      </w:r>
    </w:p>
    <w:p w14:paraId="7909192E" w14:textId="6C66FBC4" w:rsidR="00C86248" w:rsidRDefault="00C86248">
      <w:pPr>
        <w:pStyle w:val="Imprint"/>
      </w:pPr>
      <w:r>
        <w:t xml:space="preserve">Published in </w:t>
      </w:r>
      <w:r w:rsidR="00066962">
        <w:t>November</w:t>
      </w:r>
      <w:r w:rsidR="00A63DFF">
        <w:t xml:space="preserve"> </w:t>
      </w:r>
      <w:r w:rsidR="009A4CE8">
        <w:t xml:space="preserve">2024 </w:t>
      </w:r>
      <w:r>
        <w:t>by the</w:t>
      </w:r>
      <w:r w:rsidR="00442C1C">
        <w:t xml:space="preserve"> </w:t>
      </w:r>
      <w:r>
        <w:t>Ministry of Health</w:t>
      </w:r>
      <w:r>
        <w:br/>
        <w:t>PO Box 5013, Wellington</w:t>
      </w:r>
      <w:r w:rsidR="00A80363">
        <w:t xml:space="preserve"> 614</w:t>
      </w:r>
      <w:r w:rsidR="006041F0">
        <w:t>0</w:t>
      </w:r>
      <w:r>
        <w:t xml:space="preserve">, </w:t>
      </w:r>
      <w:r w:rsidR="00571223">
        <w:t>New Zealand</w:t>
      </w:r>
    </w:p>
    <w:p w14:paraId="6D17E5E8" w14:textId="6E74B7A1" w:rsidR="00082CD6" w:rsidRPr="009C0F2D" w:rsidRDefault="00273F41" w:rsidP="00082CD6">
      <w:pPr>
        <w:pStyle w:val="Imprint"/>
      </w:pPr>
      <w:r>
        <w:t>HP 9080</w:t>
      </w:r>
    </w:p>
    <w:p w14:paraId="48DBDA36" w14:textId="77777777" w:rsidR="00C86248" w:rsidRDefault="008C64C4" w:rsidP="00A63DFF">
      <w:r>
        <w:rPr>
          <w:noProof/>
          <w:lang w:eastAsia="en-NZ"/>
        </w:rPr>
        <w:drawing>
          <wp:inline distT="0" distB="0" distL="0" distR="0" wp14:anchorId="6EF4539D" wp14:editId="0E1569DC">
            <wp:extent cx="1216825" cy="493307"/>
            <wp:effectExtent l="0" t="0" r="2540" b="2540"/>
            <wp:docPr id="2" name="Picture 2" descr="Ministry of Health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Health logo">
                      <a:extLst>
                        <a:ext uri="{C183D7F6-B498-43B3-948B-1728B52AA6E4}">
                          <adec:decorative xmlns:adec="http://schemas.microsoft.com/office/drawing/2017/decorative" val="0"/>
                        </a:ext>
                      </a:extLst>
                    </pic:cNvPr>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216825" cy="493307"/>
                    </a:xfrm>
                    <a:prstGeom prst="rect">
                      <a:avLst/>
                    </a:prstGeom>
                    <a:noFill/>
                    <a:ln>
                      <a:noFill/>
                    </a:ln>
                  </pic:spPr>
                </pic:pic>
              </a:graphicData>
            </a:graphic>
          </wp:inline>
        </w:drawing>
      </w:r>
    </w:p>
    <w:p w14:paraId="354F16DF" w14:textId="77777777" w:rsidR="00A63DFF" w:rsidRDefault="00A63DFF" w:rsidP="00A63DFF">
      <w:pPr>
        <w:pStyle w:val="Imprint"/>
        <w:spacing w:before="240" w:after="480"/>
      </w:pPr>
      <w:r>
        <w:t>This document is available at health.govt.nz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6061"/>
      </w:tblGrid>
      <w:tr w:rsidR="00A63DFF" w:rsidRPr="00A63DFF" w14:paraId="3FC6B2D2" w14:textId="77777777" w:rsidTr="00A63DFF">
        <w:trPr>
          <w:cantSplit/>
        </w:trPr>
        <w:tc>
          <w:tcPr>
            <w:tcW w:w="1526" w:type="dxa"/>
          </w:tcPr>
          <w:p w14:paraId="362D26E7" w14:textId="77777777" w:rsidR="00A63DFF" w:rsidRPr="00A63DFF" w:rsidRDefault="00A63DFF" w:rsidP="00A63DFF">
            <w:pPr>
              <w:rPr>
                <w:rFonts w:cs="Segoe UI"/>
                <w:sz w:val="15"/>
                <w:szCs w:val="15"/>
              </w:rPr>
            </w:pPr>
            <w:r w:rsidRPr="00A63DFF">
              <w:rPr>
                <w:rFonts w:cs="Segoe UI"/>
                <w:b/>
                <w:noProof/>
                <w:sz w:val="15"/>
                <w:szCs w:val="15"/>
                <w:lang w:eastAsia="en-NZ"/>
              </w:rPr>
              <w:drawing>
                <wp:inline distT="0" distB="0" distL="0" distR="0" wp14:anchorId="4BFD7476" wp14:editId="5569ABBB">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7D3A471A" w14:textId="77777777"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w:t>
            </w:r>
            <w:proofErr w:type="spellStart"/>
            <w:r w:rsidRPr="00A63DFF">
              <w:rPr>
                <w:rFonts w:cs="Segoe UI"/>
                <w:sz w:val="15"/>
                <w:szCs w:val="15"/>
              </w:rPr>
              <w:t>ie</w:t>
            </w:r>
            <w:proofErr w:type="spellEnd"/>
            <w:r w:rsidRPr="00A63DFF">
              <w:rPr>
                <w:rFonts w:cs="Segoe UI"/>
                <w:sz w:val="15"/>
                <w:szCs w:val="15"/>
              </w:rPr>
              <w:t xml:space="preserve">, copy and redistribute the material in any medium or format; adapt </w:t>
            </w:r>
            <w:proofErr w:type="spellStart"/>
            <w:r w:rsidRPr="00A63DFF">
              <w:rPr>
                <w:rFonts w:cs="Segoe UI"/>
                <w:sz w:val="15"/>
                <w:szCs w:val="15"/>
              </w:rPr>
              <w:t>ie</w:t>
            </w:r>
            <w:proofErr w:type="spellEnd"/>
            <w:r w:rsidRPr="00A63DFF">
              <w:rPr>
                <w:rFonts w:cs="Segoe UI"/>
                <w:sz w:val="15"/>
                <w:szCs w:val="15"/>
              </w:rPr>
              <w:t xml:space="preserve">, remix, transform and build upon the material. </w:t>
            </w:r>
            <w:r w:rsidRPr="00A63DFF">
              <w:rPr>
                <w:rFonts w:cs="Segoe UI"/>
                <w:bCs/>
                <w:sz w:val="15"/>
                <w:szCs w:val="15"/>
              </w:rPr>
              <w:t>You must give appropriate credit, provide a link to the licence and indicate if changes were made.</w:t>
            </w:r>
          </w:p>
        </w:tc>
      </w:tr>
    </w:tbl>
    <w:p w14:paraId="44C6FE3A" w14:textId="77777777" w:rsidR="007E74F1" w:rsidRPr="001F45A7" w:rsidRDefault="007E74F1" w:rsidP="00A63DFF"/>
    <w:p w14:paraId="2113CC0B" w14:textId="77777777" w:rsidR="00C86248" w:rsidRDefault="00C86248">
      <w:pPr>
        <w:jc w:val="center"/>
        <w:sectPr w:rsidR="00C86248" w:rsidSect="00C05132">
          <w:footerReference w:type="even" r:id="rId15"/>
          <w:footerReference w:type="default" r:id="rId16"/>
          <w:pgSz w:w="11907" w:h="16834" w:code="9"/>
          <w:pgMar w:top="1701" w:right="2268" w:bottom="1134" w:left="2268" w:header="0" w:footer="0" w:gutter="0"/>
          <w:cols w:space="720"/>
          <w:vAlign w:val="bottom"/>
        </w:sectPr>
      </w:pPr>
    </w:p>
    <w:p w14:paraId="648D4F84" w14:textId="77777777" w:rsidR="00C86248" w:rsidRDefault="00C86248" w:rsidP="00025A6F">
      <w:pPr>
        <w:pStyle w:val="IntroHead"/>
      </w:pPr>
      <w:bookmarkStart w:id="1" w:name="_Toc405792991"/>
      <w:bookmarkStart w:id="2" w:name="_Toc405793224"/>
      <w:r>
        <w:lastRenderedPageBreak/>
        <w:t>Contents</w:t>
      </w:r>
      <w:bookmarkEnd w:id="1"/>
      <w:bookmarkEnd w:id="2"/>
    </w:p>
    <w:p w14:paraId="747935E7" w14:textId="24464AFE" w:rsidR="00273F41" w:rsidRDefault="00273F41">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\o "1-2" \h \z </w:instrText>
      </w:r>
      <w:r>
        <w:rPr>
          <w:b/>
        </w:rPr>
        <w:fldChar w:fldCharType="separate"/>
      </w:r>
      <w:hyperlink w:anchor="_Toc171085282" w:history="1">
        <w:r w:rsidRPr="00FF039F">
          <w:rPr>
            <w:rStyle w:val="Hyperlink"/>
            <w:noProof/>
          </w:rPr>
          <w:t>Introduction</w:t>
        </w:r>
        <w:r>
          <w:rPr>
            <w:noProof/>
            <w:webHidden/>
          </w:rPr>
          <w:tab/>
        </w:r>
        <w:r>
          <w:rPr>
            <w:noProof/>
            <w:webHidden/>
          </w:rPr>
          <w:fldChar w:fldCharType="begin"/>
        </w:r>
        <w:r>
          <w:rPr>
            <w:noProof/>
            <w:webHidden/>
          </w:rPr>
          <w:instrText xml:space="preserve"> PAGEREF _Toc171085282 \h </w:instrText>
        </w:r>
        <w:r>
          <w:rPr>
            <w:noProof/>
            <w:webHidden/>
          </w:rPr>
        </w:r>
        <w:r>
          <w:rPr>
            <w:noProof/>
            <w:webHidden/>
          </w:rPr>
          <w:fldChar w:fldCharType="separate"/>
        </w:r>
        <w:r w:rsidR="00CD5DF5">
          <w:rPr>
            <w:noProof/>
            <w:webHidden/>
          </w:rPr>
          <w:t>1</w:t>
        </w:r>
        <w:r>
          <w:rPr>
            <w:noProof/>
            <w:webHidden/>
          </w:rPr>
          <w:fldChar w:fldCharType="end"/>
        </w:r>
      </w:hyperlink>
    </w:p>
    <w:p w14:paraId="6915D753" w14:textId="6C400E44" w:rsidR="00273F41" w:rsidRDefault="00CD5DF5">
      <w:pPr>
        <w:pStyle w:val="TOC1"/>
        <w:rPr>
          <w:rFonts w:asciiTheme="minorHAnsi" w:eastAsiaTheme="minorEastAsia" w:hAnsiTheme="minorHAnsi" w:cstheme="minorBidi"/>
          <w:noProof/>
          <w:sz w:val="22"/>
          <w:szCs w:val="22"/>
          <w:lang w:eastAsia="en-NZ"/>
        </w:rPr>
      </w:pPr>
      <w:hyperlink w:anchor="_Toc171085283" w:history="1">
        <w:r w:rsidR="00273F41" w:rsidRPr="00FF039F">
          <w:rPr>
            <w:rStyle w:val="Hyperlink"/>
            <w:noProof/>
          </w:rPr>
          <w:t>The medical management of gender dysphoria</w:t>
        </w:r>
        <w:r w:rsidR="00273F41">
          <w:rPr>
            <w:noProof/>
            <w:webHidden/>
          </w:rPr>
          <w:tab/>
        </w:r>
        <w:r w:rsidR="00273F41">
          <w:rPr>
            <w:noProof/>
            <w:webHidden/>
          </w:rPr>
          <w:fldChar w:fldCharType="begin"/>
        </w:r>
        <w:r w:rsidR="00273F41">
          <w:rPr>
            <w:noProof/>
            <w:webHidden/>
          </w:rPr>
          <w:instrText xml:space="preserve"> PAGEREF _Toc171085283 \h </w:instrText>
        </w:r>
        <w:r w:rsidR="00273F41">
          <w:rPr>
            <w:noProof/>
            <w:webHidden/>
          </w:rPr>
        </w:r>
        <w:r w:rsidR="00273F41">
          <w:rPr>
            <w:noProof/>
            <w:webHidden/>
          </w:rPr>
          <w:fldChar w:fldCharType="separate"/>
        </w:r>
        <w:r>
          <w:rPr>
            <w:noProof/>
            <w:webHidden/>
          </w:rPr>
          <w:t>2</w:t>
        </w:r>
        <w:r w:rsidR="00273F41">
          <w:rPr>
            <w:noProof/>
            <w:webHidden/>
          </w:rPr>
          <w:fldChar w:fldCharType="end"/>
        </w:r>
      </w:hyperlink>
    </w:p>
    <w:p w14:paraId="05F28776" w14:textId="1B4C4769" w:rsidR="00273F41" w:rsidRDefault="00CD5DF5">
      <w:pPr>
        <w:pStyle w:val="TOC2"/>
        <w:rPr>
          <w:rFonts w:asciiTheme="minorHAnsi" w:eastAsiaTheme="minorEastAsia" w:hAnsiTheme="minorHAnsi" w:cstheme="minorBidi"/>
          <w:noProof/>
          <w:szCs w:val="22"/>
          <w:lang w:eastAsia="en-NZ"/>
        </w:rPr>
      </w:pPr>
      <w:hyperlink w:anchor="_Toc171085284" w:history="1">
        <w:r w:rsidR="00273F41" w:rsidRPr="00FF039F">
          <w:rPr>
            <w:rStyle w:val="Hyperlink"/>
            <w:noProof/>
          </w:rPr>
          <w:t>Epidemiology</w:t>
        </w:r>
        <w:r w:rsidR="00273F41">
          <w:rPr>
            <w:noProof/>
            <w:webHidden/>
          </w:rPr>
          <w:tab/>
        </w:r>
        <w:r w:rsidR="00273F41">
          <w:rPr>
            <w:noProof/>
            <w:webHidden/>
          </w:rPr>
          <w:fldChar w:fldCharType="begin"/>
        </w:r>
        <w:r w:rsidR="00273F41">
          <w:rPr>
            <w:noProof/>
            <w:webHidden/>
          </w:rPr>
          <w:instrText xml:space="preserve"> PAGEREF _Toc171085284 \h </w:instrText>
        </w:r>
        <w:r w:rsidR="00273F41">
          <w:rPr>
            <w:noProof/>
            <w:webHidden/>
          </w:rPr>
        </w:r>
        <w:r w:rsidR="00273F41">
          <w:rPr>
            <w:noProof/>
            <w:webHidden/>
          </w:rPr>
          <w:fldChar w:fldCharType="separate"/>
        </w:r>
        <w:r>
          <w:rPr>
            <w:noProof/>
            <w:webHidden/>
          </w:rPr>
          <w:t>2</w:t>
        </w:r>
        <w:r w:rsidR="00273F41">
          <w:rPr>
            <w:noProof/>
            <w:webHidden/>
          </w:rPr>
          <w:fldChar w:fldCharType="end"/>
        </w:r>
      </w:hyperlink>
    </w:p>
    <w:p w14:paraId="44437A75" w14:textId="692A0A6D" w:rsidR="00273F41" w:rsidRDefault="00CD5DF5">
      <w:pPr>
        <w:pStyle w:val="TOC2"/>
        <w:rPr>
          <w:rFonts w:asciiTheme="minorHAnsi" w:eastAsiaTheme="minorEastAsia" w:hAnsiTheme="minorHAnsi" w:cstheme="minorBidi"/>
          <w:noProof/>
          <w:szCs w:val="22"/>
          <w:lang w:eastAsia="en-NZ"/>
        </w:rPr>
      </w:pPr>
      <w:hyperlink w:anchor="_Toc171085285" w:history="1">
        <w:r w:rsidR="00273F41" w:rsidRPr="00FF039F">
          <w:rPr>
            <w:rStyle w:val="Hyperlink"/>
            <w:noProof/>
          </w:rPr>
          <w:t>Physical health</w:t>
        </w:r>
        <w:r w:rsidR="00273F41">
          <w:rPr>
            <w:noProof/>
            <w:webHidden/>
          </w:rPr>
          <w:tab/>
        </w:r>
        <w:r w:rsidR="00273F41">
          <w:rPr>
            <w:noProof/>
            <w:webHidden/>
          </w:rPr>
          <w:fldChar w:fldCharType="begin"/>
        </w:r>
        <w:r w:rsidR="00273F41">
          <w:rPr>
            <w:noProof/>
            <w:webHidden/>
          </w:rPr>
          <w:instrText xml:space="preserve"> PAGEREF _Toc171085285 \h </w:instrText>
        </w:r>
        <w:r w:rsidR="00273F41">
          <w:rPr>
            <w:noProof/>
            <w:webHidden/>
          </w:rPr>
        </w:r>
        <w:r w:rsidR="00273F41">
          <w:rPr>
            <w:noProof/>
            <w:webHidden/>
          </w:rPr>
          <w:fldChar w:fldCharType="separate"/>
        </w:r>
        <w:r>
          <w:rPr>
            <w:noProof/>
            <w:webHidden/>
          </w:rPr>
          <w:t>3</w:t>
        </w:r>
        <w:r w:rsidR="00273F41">
          <w:rPr>
            <w:noProof/>
            <w:webHidden/>
          </w:rPr>
          <w:fldChar w:fldCharType="end"/>
        </w:r>
      </w:hyperlink>
    </w:p>
    <w:p w14:paraId="6BBDA402" w14:textId="5E909F44" w:rsidR="00273F41" w:rsidRDefault="00CD5DF5">
      <w:pPr>
        <w:pStyle w:val="TOC2"/>
        <w:rPr>
          <w:rFonts w:asciiTheme="minorHAnsi" w:eastAsiaTheme="minorEastAsia" w:hAnsiTheme="minorHAnsi" w:cstheme="minorBidi"/>
          <w:noProof/>
          <w:szCs w:val="22"/>
          <w:lang w:eastAsia="en-NZ"/>
        </w:rPr>
      </w:pPr>
      <w:hyperlink w:anchor="_Toc171085286" w:history="1">
        <w:r w:rsidR="00273F41" w:rsidRPr="00FF039F">
          <w:rPr>
            <w:rStyle w:val="Hyperlink"/>
            <w:noProof/>
          </w:rPr>
          <w:t>Fertility</w:t>
        </w:r>
        <w:r w:rsidR="00273F41">
          <w:rPr>
            <w:noProof/>
            <w:webHidden/>
          </w:rPr>
          <w:tab/>
        </w:r>
        <w:r w:rsidR="00273F41">
          <w:rPr>
            <w:noProof/>
            <w:webHidden/>
          </w:rPr>
          <w:fldChar w:fldCharType="begin"/>
        </w:r>
        <w:r w:rsidR="00273F41">
          <w:rPr>
            <w:noProof/>
            <w:webHidden/>
          </w:rPr>
          <w:instrText xml:space="preserve"> PAGEREF _Toc171085286 \h </w:instrText>
        </w:r>
        <w:r w:rsidR="00273F41">
          <w:rPr>
            <w:noProof/>
            <w:webHidden/>
          </w:rPr>
        </w:r>
        <w:r w:rsidR="00273F41">
          <w:rPr>
            <w:noProof/>
            <w:webHidden/>
          </w:rPr>
          <w:fldChar w:fldCharType="separate"/>
        </w:r>
        <w:r>
          <w:rPr>
            <w:noProof/>
            <w:webHidden/>
          </w:rPr>
          <w:t>4</w:t>
        </w:r>
        <w:r w:rsidR="00273F41">
          <w:rPr>
            <w:noProof/>
            <w:webHidden/>
          </w:rPr>
          <w:fldChar w:fldCharType="end"/>
        </w:r>
      </w:hyperlink>
    </w:p>
    <w:p w14:paraId="6549C1D5" w14:textId="07DFF1A6" w:rsidR="00273F41" w:rsidRDefault="00CD5DF5">
      <w:pPr>
        <w:pStyle w:val="TOC1"/>
        <w:rPr>
          <w:rFonts w:asciiTheme="minorHAnsi" w:eastAsiaTheme="minorEastAsia" w:hAnsiTheme="minorHAnsi" w:cstheme="minorBidi"/>
          <w:noProof/>
          <w:sz w:val="22"/>
          <w:szCs w:val="22"/>
          <w:lang w:eastAsia="en-NZ"/>
        </w:rPr>
      </w:pPr>
      <w:hyperlink w:anchor="_Toc171085287" w:history="1">
        <w:r w:rsidR="00273F41" w:rsidRPr="00FF039F">
          <w:rPr>
            <w:rStyle w:val="Hyperlink"/>
            <w:noProof/>
          </w:rPr>
          <w:t>Impact of puberty blockers on mental health and wellbeing outcomes for gender-dysphoric adolescents</w:t>
        </w:r>
        <w:r w:rsidR="00273F41">
          <w:rPr>
            <w:noProof/>
            <w:webHidden/>
          </w:rPr>
          <w:tab/>
        </w:r>
        <w:r w:rsidR="00273F41">
          <w:rPr>
            <w:noProof/>
            <w:webHidden/>
          </w:rPr>
          <w:fldChar w:fldCharType="begin"/>
        </w:r>
        <w:r w:rsidR="00273F41">
          <w:rPr>
            <w:noProof/>
            <w:webHidden/>
          </w:rPr>
          <w:instrText xml:space="preserve"> PAGEREF _Toc171085287 \h </w:instrText>
        </w:r>
        <w:r w:rsidR="00273F41">
          <w:rPr>
            <w:noProof/>
            <w:webHidden/>
          </w:rPr>
        </w:r>
        <w:r w:rsidR="00273F41">
          <w:rPr>
            <w:noProof/>
            <w:webHidden/>
          </w:rPr>
          <w:fldChar w:fldCharType="separate"/>
        </w:r>
        <w:r>
          <w:rPr>
            <w:noProof/>
            <w:webHidden/>
          </w:rPr>
          <w:t>5</w:t>
        </w:r>
        <w:r w:rsidR="00273F41">
          <w:rPr>
            <w:noProof/>
            <w:webHidden/>
          </w:rPr>
          <w:fldChar w:fldCharType="end"/>
        </w:r>
      </w:hyperlink>
    </w:p>
    <w:p w14:paraId="599DF1CD" w14:textId="5F6CDE6E" w:rsidR="00273F41" w:rsidRDefault="00CD5DF5">
      <w:pPr>
        <w:pStyle w:val="TOC2"/>
        <w:rPr>
          <w:rFonts w:asciiTheme="minorHAnsi" w:eastAsiaTheme="minorEastAsia" w:hAnsiTheme="minorHAnsi" w:cstheme="minorBidi"/>
          <w:noProof/>
          <w:szCs w:val="22"/>
          <w:lang w:eastAsia="en-NZ"/>
        </w:rPr>
      </w:pPr>
      <w:hyperlink w:anchor="_Toc171085288" w:history="1">
        <w:r w:rsidR="00273F41" w:rsidRPr="00FF039F">
          <w:rPr>
            <w:rStyle w:val="Hyperlink"/>
            <w:noProof/>
          </w:rPr>
          <w:t>Systematic reviews</w:t>
        </w:r>
        <w:r w:rsidR="00273F41">
          <w:rPr>
            <w:noProof/>
            <w:webHidden/>
          </w:rPr>
          <w:tab/>
        </w:r>
        <w:r w:rsidR="00273F41">
          <w:rPr>
            <w:noProof/>
            <w:webHidden/>
          </w:rPr>
          <w:fldChar w:fldCharType="begin"/>
        </w:r>
        <w:r w:rsidR="00273F41">
          <w:rPr>
            <w:noProof/>
            <w:webHidden/>
          </w:rPr>
          <w:instrText xml:space="preserve"> PAGEREF _Toc171085288 \h </w:instrText>
        </w:r>
        <w:r w:rsidR="00273F41">
          <w:rPr>
            <w:noProof/>
            <w:webHidden/>
          </w:rPr>
        </w:r>
        <w:r w:rsidR="00273F41">
          <w:rPr>
            <w:noProof/>
            <w:webHidden/>
          </w:rPr>
          <w:fldChar w:fldCharType="separate"/>
        </w:r>
        <w:r>
          <w:rPr>
            <w:noProof/>
            <w:webHidden/>
          </w:rPr>
          <w:t>5</w:t>
        </w:r>
        <w:r w:rsidR="00273F41">
          <w:rPr>
            <w:noProof/>
            <w:webHidden/>
          </w:rPr>
          <w:fldChar w:fldCharType="end"/>
        </w:r>
      </w:hyperlink>
    </w:p>
    <w:p w14:paraId="1B52351E" w14:textId="3E6CF229" w:rsidR="00273F41" w:rsidRDefault="00CD5DF5">
      <w:pPr>
        <w:pStyle w:val="TOC2"/>
        <w:rPr>
          <w:rFonts w:asciiTheme="minorHAnsi" w:eastAsiaTheme="minorEastAsia" w:hAnsiTheme="minorHAnsi" w:cstheme="minorBidi"/>
          <w:noProof/>
          <w:szCs w:val="22"/>
          <w:lang w:eastAsia="en-NZ"/>
        </w:rPr>
      </w:pPr>
      <w:hyperlink w:anchor="_Toc171085289" w:history="1">
        <w:r w:rsidR="00273F41" w:rsidRPr="00FF039F">
          <w:rPr>
            <w:rStyle w:val="Hyperlink"/>
            <w:noProof/>
          </w:rPr>
          <w:t>Targeted mental health and wellbeing interventions for adolescents who are more likely to experience gender dysphoria</w:t>
        </w:r>
        <w:r w:rsidR="00273F41">
          <w:rPr>
            <w:noProof/>
            <w:webHidden/>
          </w:rPr>
          <w:tab/>
        </w:r>
        <w:r w:rsidR="00273F41">
          <w:rPr>
            <w:noProof/>
            <w:webHidden/>
          </w:rPr>
          <w:fldChar w:fldCharType="begin"/>
        </w:r>
        <w:r w:rsidR="00273F41">
          <w:rPr>
            <w:noProof/>
            <w:webHidden/>
          </w:rPr>
          <w:instrText xml:space="preserve"> PAGEREF _Toc171085289 \h </w:instrText>
        </w:r>
        <w:r w:rsidR="00273F41">
          <w:rPr>
            <w:noProof/>
            <w:webHidden/>
          </w:rPr>
        </w:r>
        <w:r w:rsidR="00273F41">
          <w:rPr>
            <w:noProof/>
            <w:webHidden/>
          </w:rPr>
          <w:fldChar w:fldCharType="separate"/>
        </w:r>
        <w:r>
          <w:rPr>
            <w:noProof/>
            <w:webHidden/>
          </w:rPr>
          <w:t>6</w:t>
        </w:r>
        <w:r w:rsidR="00273F41">
          <w:rPr>
            <w:noProof/>
            <w:webHidden/>
          </w:rPr>
          <w:fldChar w:fldCharType="end"/>
        </w:r>
      </w:hyperlink>
    </w:p>
    <w:p w14:paraId="3BCC8C1A" w14:textId="440B398E" w:rsidR="00273F41" w:rsidRDefault="00CD5DF5">
      <w:pPr>
        <w:pStyle w:val="TOC1"/>
        <w:rPr>
          <w:rFonts w:asciiTheme="minorHAnsi" w:eastAsiaTheme="minorEastAsia" w:hAnsiTheme="minorHAnsi" w:cstheme="minorBidi"/>
          <w:noProof/>
          <w:sz w:val="22"/>
          <w:szCs w:val="22"/>
          <w:lang w:eastAsia="en-NZ"/>
        </w:rPr>
      </w:pPr>
      <w:hyperlink w:anchor="_Toc171085290" w:history="1">
        <w:r w:rsidR="00273F41" w:rsidRPr="00FF039F">
          <w:rPr>
            <w:rStyle w:val="Hyperlink"/>
            <w:noProof/>
          </w:rPr>
          <w:t>Final Cass Review</w:t>
        </w:r>
        <w:r w:rsidR="00273F41">
          <w:rPr>
            <w:noProof/>
            <w:webHidden/>
          </w:rPr>
          <w:tab/>
        </w:r>
        <w:r w:rsidR="00273F41">
          <w:rPr>
            <w:noProof/>
            <w:webHidden/>
          </w:rPr>
          <w:fldChar w:fldCharType="begin"/>
        </w:r>
        <w:r w:rsidR="00273F41">
          <w:rPr>
            <w:noProof/>
            <w:webHidden/>
          </w:rPr>
          <w:instrText xml:space="preserve"> PAGEREF _Toc171085290 \h </w:instrText>
        </w:r>
        <w:r w:rsidR="00273F41">
          <w:rPr>
            <w:noProof/>
            <w:webHidden/>
          </w:rPr>
        </w:r>
        <w:r w:rsidR="00273F41">
          <w:rPr>
            <w:noProof/>
            <w:webHidden/>
          </w:rPr>
          <w:fldChar w:fldCharType="separate"/>
        </w:r>
        <w:r>
          <w:rPr>
            <w:noProof/>
            <w:webHidden/>
          </w:rPr>
          <w:t>7</w:t>
        </w:r>
        <w:r w:rsidR="00273F41">
          <w:rPr>
            <w:noProof/>
            <w:webHidden/>
          </w:rPr>
          <w:fldChar w:fldCharType="end"/>
        </w:r>
      </w:hyperlink>
    </w:p>
    <w:p w14:paraId="312790DF" w14:textId="42767A7B" w:rsidR="00273F41" w:rsidRDefault="00CD5DF5">
      <w:pPr>
        <w:pStyle w:val="TOC1"/>
        <w:rPr>
          <w:rFonts w:asciiTheme="minorHAnsi" w:eastAsiaTheme="minorEastAsia" w:hAnsiTheme="minorHAnsi" w:cstheme="minorBidi"/>
          <w:noProof/>
          <w:sz w:val="22"/>
          <w:szCs w:val="22"/>
          <w:lang w:eastAsia="en-NZ"/>
        </w:rPr>
      </w:pPr>
      <w:hyperlink w:anchor="_Toc171085291" w:history="1">
        <w:r w:rsidR="00273F41" w:rsidRPr="00FF039F">
          <w:rPr>
            <w:rStyle w:val="Hyperlink"/>
            <w:noProof/>
          </w:rPr>
          <w:t>Overview of international regulations, governance structures, and guidelines related to GnRHa</w:t>
        </w:r>
        <w:r w:rsidR="00273F41">
          <w:rPr>
            <w:noProof/>
            <w:webHidden/>
          </w:rPr>
          <w:tab/>
        </w:r>
        <w:r w:rsidR="00273F41">
          <w:rPr>
            <w:noProof/>
            <w:webHidden/>
          </w:rPr>
          <w:fldChar w:fldCharType="begin"/>
        </w:r>
        <w:r w:rsidR="00273F41">
          <w:rPr>
            <w:noProof/>
            <w:webHidden/>
          </w:rPr>
          <w:instrText xml:space="preserve"> PAGEREF _Toc171085291 \h </w:instrText>
        </w:r>
        <w:r w:rsidR="00273F41">
          <w:rPr>
            <w:noProof/>
            <w:webHidden/>
          </w:rPr>
        </w:r>
        <w:r w:rsidR="00273F41">
          <w:rPr>
            <w:noProof/>
            <w:webHidden/>
          </w:rPr>
          <w:fldChar w:fldCharType="separate"/>
        </w:r>
        <w:r>
          <w:rPr>
            <w:noProof/>
            <w:webHidden/>
          </w:rPr>
          <w:t>11</w:t>
        </w:r>
        <w:r w:rsidR="00273F41">
          <w:rPr>
            <w:noProof/>
            <w:webHidden/>
          </w:rPr>
          <w:fldChar w:fldCharType="end"/>
        </w:r>
      </w:hyperlink>
    </w:p>
    <w:p w14:paraId="55ED832B" w14:textId="4506F237" w:rsidR="00273F41" w:rsidRDefault="00CD5DF5">
      <w:pPr>
        <w:pStyle w:val="TOC1"/>
        <w:rPr>
          <w:rFonts w:asciiTheme="minorHAnsi" w:eastAsiaTheme="minorEastAsia" w:hAnsiTheme="minorHAnsi" w:cstheme="minorBidi"/>
          <w:noProof/>
          <w:sz w:val="22"/>
          <w:szCs w:val="22"/>
          <w:lang w:eastAsia="en-NZ"/>
        </w:rPr>
      </w:pPr>
      <w:hyperlink w:anchor="_Toc171085292" w:history="1">
        <w:r w:rsidR="00273F41" w:rsidRPr="00FF039F">
          <w:rPr>
            <w:rStyle w:val="Hyperlink"/>
            <w:noProof/>
          </w:rPr>
          <w:t>References</w:t>
        </w:r>
        <w:r w:rsidR="00273F41">
          <w:rPr>
            <w:noProof/>
            <w:webHidden/>
          </w:rPr>
          <w:tab/>
        </w:r>
        <w:r w:rsidR="00273F41">
          <w:rPr>
            <w:noProof/>
            <w:webHidden/>
          </w:rPr>
          <w:fldChar w:fldCharType="begin"/>
        </w:r>
        <w:r w:rsidR="00273F41">
          <w:rPr>
            <w:noProof/>
            <w:webHidden/>
          </w:rPr>
          <w:instrText xml:space="preserve"> PAGEREF _Toc171085292 \h </w:instrText>
        </w:r>
        <w:r w:rsidR="00273F41">
          <w:rPr>
            <w:noProof/>
            <w:webHidden/>
          </w:rPr>
        </w:r>
        <w:r w:rsidR="00273F41">
          <w:rPr>
            <w:noProof/>
            <w:webHidden/>
          </w:rPr>
          <w:fldChar w:fldCharType="separate"/>
        </w:r>
        <w:r>
          <w:rPr>
            <w:noProof/>
            <w:webHidden/>
          </w:rPr>
          <w:t>20</w:t>
        </w:r>
        <w:r w:rsidR="00273F41">
          <w:rPr>
            <w:noProof/>
            <w:webHidden/>
          </w:rPr>
          <w:fldChar w:fldCharType="end"/>
        </w:r>
      </w:hyperlink>
    </w:p>
    <w:p w14:paraId="133A9219" w14:textId="13CDDF64" w:rsidR="00C86248" w:rsidRDefault="00273F41">
      <w:r>
        <w:rPr>
          <w:rFonts w:ascii="Segoe UI Semibold" w:hAnsi="Segoe UI Semibold"/>
          <w:b/>
          <w:sz w:val="24"/>
        </w:rPr>
        <w:fldChar w:fldCharType="end"/>
      </w:r>
    </w:p>
    <w:p w14:paraId="4A6797B1" w14:textId="46755CF7" w:rsidR="002B76A7" w:rsidRDefault="002B76A7" w:rsidP="003A5FEA"/>
    <w:p w14:paraId="03333094" w14:textId="77777777" w:rsidR="001D3E4E" w:rsidRDefault="001D3E4E" w:rsidP="003A5FEA">
      <w:pPr>
        <w:sectPr w:rsidR="001D3E4E" w:rsidSect="0078658E">
          <w:headerReference w:type="even" r:id="rId17"/>
          <w:headerReference w:type="default" r:id="rId18"/>
          <w:footerReference w:type="even" r:id="rId19"/>
          <w:footerReference w:type="default" r:id="rId20"/>
          <w:pgSz w:w="11907" w:h="16840" w:code="9"/>
          <w:pgMar w:top="1418" w:right="1701" w:bottom="1134" w:left="1843" w:header="284" w:footer="425" w:gutter="284"/>
          <w:pgNumType w:fmt="lowerRoman"/>
          <w:cols w:space="720"/>
        </w:sectPr>
      </w:pPr>
    </w:p>
    <w:p w14:paraId="0A056DB8" w14:textId="3CE1B801" w:rsidR="009A42D5" w:rsidRDefault="006D412A" w:rsidP="001D3E4E">
      <w:pPr>
        <w:pStyle w:val="Heading1"/>
        <w:spacing w:before="0"/>
      </w:pPr>
      <w:bookmarkStart w:id="3" w:name="_Toc171085282"/>
      <w:r>
        <w:lastRenderedPageBreak/>
        <w:t>Introduction</w:t>
      </w:r>
      <w:bookmarkEnd w:id="3"/>
    </w:p>
    <w:p w14:paraId="2CCC1E90" w14:textId="77777777" w:rsidR="006D412A" w:rsidRPr="00FA2EBC" w:rsidRDefault="006D412A" w:rsidP="006D412A">
      <w:r w:rsidRPr="00FA2EBC">
        <w:t>This addendum provides an update on</w:t>
      </w:r>
      <w:r w:rsidRPr="00FA2EBC">
        <w:rPr>
          <w:i/>
          <w:iCs/>
        </w:rPr>
        <w:t xml:space="preserve"> Impact of Puberty Blockers in Gender-Dysphoric Adolescents: An evidence brief</w:t>
      </w:r>
      <w:r w:rsidRPr="00FA2EBC">
        <w:t xml:space="preserve"> (evidence brief)</w:t>
      </w:r>
      <w:r>
        <w:t xml:space="preserve">. The </w:t>
      </w:r>
      <w:r w:rsidRPr="00FA2EBC">
        <w:t>initial evidence brief, which the Ministry of Health – Manat</w:t>
      </w:r>
      <w:r w:rsidRPr="00FA2EBC">
        <w:rPr>
          <w:rFonts w:cs="Segoe UI"/>
        </w:rPr>
        <w:t>ū</w:t>
      </w:r>
      <w:r w:rsidRPr="00FA2EBC">
        <w:t xml:space="preserve"> Hauora (the Ministry)</w:t>
      </w:r>
      <w:r>
        <w:t xml:space="preserve"> undertook,</w:t>
      </w:r>
      <w:r w:rsidRPr="00FA2EBC">
        <w:t xml:space="preserve"> included publications up to 30 September 2023. From October 2023 to May 2024, an additional 160 articles and reports, including the final Cass Report, have been published. These publications have been screened, and those considered eligible have been included in this addendum. The addendum should be read in conjunction with the evidence brief. </w:t>
      </w:r>
    </w:p>
    <w:p w14:paraId="27CE47F6" w14:textId="77777777" w:rsidR="009A42D5" w:rsidRDefault="009A42D5" w:rsidP="00571223">
      <w:pPr>
        <w:rPr>
          <w:rFonts w:eastAsia="Arial Unicode MS"/>
        </w:rPr>
      </w:pPr>
    </w:p>
    <w:p w14:paraId="23BEC49F" w14:textId="77777777" w:rsidR="00C86248" w:rsidRPr="0043478F" w:rsidRDefault="00C86248">
      <w:pPr>
        <w:sectPr w:rsidR="00C86248" w:rsidRPr="0043478F" w:rsidSect="006D412A">
          <w:footerReference w:type="even" r:id="rId21"/>
          <w:footerReference w:type="default" r:id="rId22"/>
          <w:pgSz w:w="11907" w:h="16840" w:code="9"/>
          <w:pgMar w:top="1418" w:right="1701" w:bottom="1134" w:left="1843" w:header="284" w:footer="425" w:gutter="284"/>
          <w:pgNumType w:start="1"/>
          <w:cols w:space="720"/>
        </w:sectPr>
      </w:pPr>
      <w:bookmarkStart w:id="4" w:name="_bookmark4"/>
      <w:bookmarkEnd w:id="4"/>
    </w:p>
    <w:p w14:paraId="6889BC0F" w14:textId="77777777" w:rsidR="009A42D5" w:rsidRPr="0043478F" w:rsidRDefault="009A42D5" w:rsidP="0008437D">
      <w:pPr>
        <w:ind w:left="-2268" w:right="-1701"/>
      </w:pPr>
    </w:p>
    <w:p w14:paraId="1538FD74" w14:textId="355D8F6B" w:rsidR="006D412A" w:rsidRPr="00FA2EBC" w:rsidRDefault="006D412A" w:rsidP="006D412A">
      <w:pPr>
        <w:pStyle w:val="Heading1"/>
        <w:spacing w:before="0"/>
      </w:pPr>
      <w:bookmarkStart w:id="5" w:name="_Toc169517725"/>
      <w:bookmarkStart w:id="6" w:name="_Toc171085283"/>
      <w:r w:rsidRPr="00FA2EBC">
        <w:t>The medical management of gender dysphoria</w:t>
      </w:r>
      <w:bookmarkEnd w:id="5"/>
      <w:bookmarkEnd w:id="6"/>
    </w:p>
    <w:p w14:paraId="466016D1" w14:textId="77777777" w:rsidR="006D412A" w:rsidRPr="00FA2EBC" w:rsidRDefault="006D412A" w:rsidP="006D412A">
      <w:pPr>
        <w:pStyle w:val="Heading2"/>
      </w:pPr>
      <w:bookmarkStart w:id="7" w:name="_Toc169517726"/>
      <w:bookmarkStart w:id="8" w:name="_Toc171085284"/>
      <w:r w:rsidRPr="00FA2EBC">
        <w:t>Epidemiology</w:t>
      </w:r>
      <w:bookmarkEnd w:id="7"/>
      <w:bookmarkEnd w:id="8"/>
    </w:p>
    <w:p w14:paraId="6F583B4C" w14:textId="77777777" w:rsidR="006D412A" w:rsidRPr="00FA2EBC" w:rsidRDefault="006D412A" w:rsidP="006D412A">
      <w:r w:rsidRPr="00FA2EBC">
        <w:t xml:space="preserve">One new study on the epidemiology of adolescents with gender dysphoria was identified. It focused on age of onset of gender dysphoria and referral for assessment (Gutiérrez et al 2024). </w:t>
      </w:r>
    </w:p>
    <w:p w14:paraId="26E7B79D" w14:textId="502C85F7" w:rsidR="006D412A" w:rsidRPr="00FA2EBC" w:rsidRDefault="006D412A" w:rsidP="006D412A">
      <w:pPr>
        <w:pStyle w:val="Heading3"/>
      </w:pPr>
      <w:r w:rsidRPr="00FA2EBC">
        <w:t>Age of onset of gender dysphoria and referral for assessment</w:t>
      </w:r>
    </w:p>
    <w:p w14:paraId="227BD62F" w14:textId="571C4040" w:rsidR="006D412A" w:rsidRDefault="006D412A" w:rsidP="006D412A">
      <w:r w:rsidRPr="00FA2EBC">
        <w:t xml:space="preserve">The observational retrospective study from Colombia, published in 2024 </w:t>
      </w:r>
      <w:r w:rsidRPr="00FA2EBC">
        <w:fldChar w:fldCharType="begin"/>
      </w:r>
      <w:r w:rsidRPr="00FA2EBC">
        <w:instrText xml:space="preserve"> ADDIN EN.CITE &lt;EndNote&gt;&lt;Cite&gt;&lt;Author&gt;Gutiérrez&lt;/Author&gt;&lt;Year&gt;2024&lt;/Year&gt;&lt;RecNum&gt;1589&lt;/RecNum&gt;&lt;DisplayText&gt;(Gutiérrez et al., 2024)&lt;/DisplayText&gt;&lt;record&gt;&lt;rec-number&gt;1589&lt;/rec-number&gt;&lt;foreign-keys&gt;&lt;key app="EN" db-id="wx0prf90mevwxle2pt85ar9gfv2sevrs9tzv" timestamp="1716344750"&gt;1589&lt;/key&gt;&lt;/foreign-keys&gt;&lt;ref-type name="Journal Article"&gt;17&lt;/ref-type&gt;&lt;contributors&gt;&lt;authors&gt;&lt;author&gt;Gutiérrez, Kenny&lt;/author&gt;&lt;author&gt;Moreno, Mabel&lt;/author&gt;&lt;author&gt;Sierra, Jimena Alexandra&lt;/author&gt;&lt;author&gt;Lemus, Rodrigo&lt;/author&gt;&lt;author&gt;Apraez, Karen&lt;/author&gt;&lt;author&gt;Angulo, Mario, Jr.&lt;/author&gt;&lt;/authors&gt;&lt;/contributors&gt;&lt;titles&gt;&lt;title&gt;Characteristics of the pediatric population with gender incongruence attending specialized care in Cali, Colombia: an observational, descriptive and retrospective study&lt;/title&gt;&lt;secondary-title&gt;Child and Adolescent Psychiatry and Mental Health&lt;/secondary-title&gt;&lt;/titles&gt;&lt;periodical&gt;&lt;full-title&gt;Child and Adolescent Psychiatry and Mental Health&lt;/full-title&gt;&lt;/periodical&gt;&lt;pages&gt;1&lt;/pages&gt;&lt;volume&gt;18&lt;/volume&gt;&lt;number&gt;1&lt;/number&gt;&lt;dates&gt;&lt;year&gt;2024&lt;/year&gt;&lt;pub-dates&gt;&lt;date&gt;2024/01/03&lt;/date&gt;&lt;/pub-dates&gt;&lt;/dates&gt;&lt;isbn&gt;1753-2000&lt;/isbn&gt;&lt;urls&gt;&lt;related-urls&gt;&lt;url&gt;https://doi.org/10.1186/s13034-023-00689-6&lt;/url&gt;&lt;/related-urls&gt;&lt;/urls&gt;&lt;electronic-resource-num&gt;10.1186/s13034-023-00689-6&lt;/electronic-resource-num&gt;&lt;/record&gt;&lt;/Cite&gt;&lt;/EndNote&gt;</w:instrText>
      </w:r>
      <w:r w:rsidRPr="00FA2EBC">
        <w:fldChar w:fldCharType="separate"/>
      </w:r>
      <w:r w:rsidRPr="00FA2EBC">
        <w:t>(Gutiérrez et al., 2024)</w:t>
      </w:r>
      <w:r w:rsidRPr="00FA2EBC">
        <w:fldChar w:fldCharType="end"/>
      </w:r>
      <w:r w:rsidRPr="00FA2EBC">
        <w:t xml:space="preserve">, used ICD-10 codes for gender incongruence recorded in electronic medical records to identify patients under the age of 18 years who received gender-affirming care at a specialist clinic (Gutiérrez et al 2024). Between 2018 and 2022, 43 participants were identified (58% assigned female at birth (AFAB) and 42% assigned male at birth (AMAB)) as being gender incongruent. The median age of onset of gender incongruence was 10 years (interquartile range (IQR): 5–13 years) for the entire cohort, 11 years (IQR: 6–13 years) for individuals AFAB, and 5 years (IQR: 4–13) for individuals AMAB. At the first consultation, 88% of individuals AFAB had reached Tanner stage V, while 28% of individuals AMAB had reached Tanner stage V. The time between onset of gender incongruence and first assessment at the gender identity service (GIS) was 3 years (IQR: 1–10 years). This study was deemed to be of high quality. Table 1 in the </w:t>
      </w:r>
      <w:r w:rsidRPr="006606E7">
        <w:t>Supplementary Material</w:t>
      </w:r>
      <w:r w:rsidRPr="00FA2EBC">
        <w:t xml:space="preserve"> provides details about the included study.</w:t>
      </w:r>
    </w:p>
    <w:p w14:paraId="71D9CA30" w14:textId="77777777" w:rsidR="006D412A" w:rsidRPr="00FA2EBC" w:rsidRDefault="006D412A" w:rsidP="006D412A"/>
    <w:p w14:paraId="03D47BE1" w14:textId="77777777" w:rsidR="006D412A" w:rsidRPr="00FA2EBC" w:rsidRDefault="006D412A" w:rsidP="006D412A">
      <w:r w:rsidRPr="00FA2EBC">
        <w:t xml:space="preserve">This study does not change the conclusions in the evidence brief. </w:t>
      </w:r>
    </w:p>
    <w:p w14:paraId="09A12010" w14:textId="77777777" w:rsidR="006D412A" w:rsidRPr="00FA2EBC" w:rsidRDefault="006D412A" w:rsidP="006D412A">
      <w:pPr>
        <w:pStyle w:val="Heading3"/>
      </w:pPr>
      <w:r w:rsidRPr="00FA2EBC">
        <w:t>Population prevalence of gender dysphoria</w:t>
      </w:r>
    </w:p>
    <w:p w14:paraId="0557B792" w14:textId="77777777" w:rsidR="006D412A" w:rsidRPr="00FA2EBC" w:rsidRDefault="006D412A" w:rsidP="006D412A">
      <w:r w:rsidRPr="00FA2EBC">
        <w:t>No new studies were identified.</w:t>
      </w:r>
    </w:p>
    <w:p w14:paraId="112A0088" w14:textId="77777777" w:rsidR="006D412A" w:rsidRPr="00FA2EBC" w:rsidRDefault="006D412A" w:rsidP="006D412A">
      <w:pPr>
        <w:pStyle w:val="Heading3"/>
      </w:pPr>
      <w:r w:rsidRPr="00FA2EBC">
        <w:t xml:space="preserve">Proportion of people with gender dysphoria assigned male or female at birth </w:t>
      </w:r>
    </w:p>
    <w:p w14:paraId="1363267E" w14:textId="1BBD08BC" w:rsidR="006D412A" w:rsidRDefault="006D412A" w:rsidP="006D412A">
      <w:r w:rsidRPr="00FA2EBC">
        <w:t>No new studies were identified.</w:t>
      </w:r>
    </w:p>
    <w:p w14:paraId="1442603D" w14:textId="77777777" w:rsidR="006D412A" w:rsidRPr="00FA2EBC" w:rsidRDefault="006D412A" w:rsidP="006D412A">
      <w:pPr>
        <w:pStyle w:val="Heading2"/>
      </w:pPr>
      <w:bookmarkStart w:id="9" w:name="_Toc169517727"/>
      <w:bookmarkStart w:id="10" w:name="_Toc171085285"/>
      <w:r w:rsidRPr="00FA2EBC">
        <w:t>Physical health</w:t>
      </w:r>
      <w:bookmarkEnd w:id="9"/>
      <w:bookmarkEnd w:id="10"/>
    </w:p>
    <w:p w14:paraId="5172D049" w14:textId="75DAAEB5" w:rsidR="006D412A" w:rsidRDefault="006D412A" w:rsidP="006D412A">
      <w:r w:rsidRPr="00FA2EBC">
        <w:t>Six new studies examining physical health of gender-dysphoric adolescents receiving gonadotropin-releasing hormone analogue (</w:t>
      </w:r>
      <w:proofErr w:type="spellStart"/>
      <w:r w:rsidRPr="00FA2EBC">
        <w:t>GnRHa</w:t>
      </w:r>
      <w:proofErr w:type="spellEnd"/>
      <w:r w:rsidRPr="00FA2EBC">
        <w:t>) treatment were identified.</w:t>
      </w:r>
      <w:r w:rsidRPr="00FA2EBC">
        <w:rPr>
          <w:rStyle w:val="FootnoteReference"/>
        </w:rPr>
        <w:footnoteReference w:id="2"/>
      </w:r>
      <w:r w:rsidRPr="00FA2EBC">
        <w:t xml:space="preserve"> Of these, four reported on body composition</w:t>
      </w:r>
      <w:r w:rsidRPr="00FA2EBC">
        <w:rPr>
          <w:rStyle w:val="FootnoteReference"/>
        </w:rPr>
        <w:footnoteReference w:id="3"/>
      </w:r>
      <w:r w:rsidRPr="00FA2EBC">
        <w:t xml:space="preserve"> (Boogers et al 2023; Fisher et al 2023; Perl et al 2021; Roy et al 2024), two on bone density (Roy et al 2024; van der Loos et al 2023), two on blood pressure (Fisher et al 2023; Perl et al 2021), one on rate-corrected QT (QTc) interval (Waldner et al 2023) and one on laboratory parameters (Fisher et al 2023). These studies varied in quality: three were considered to be of good quality (Boogers et al 2023; Perl et al 2021; van der Loos et al 2023) and the other three (Fisher et al 2023; Roy et al 2024; Waldner et al 2023) of poor quality. Table 1 in the </w:t>
      </w:r>
      <w:hyperlink r:id="rId23">
        <w:r w:rsidRPr="00FA2EBC">
          <w:rPr>
            <w:rStyle w:val="Hyperlink"/>
          </w:rPr>
          <w:t>Supplementary Material</w:t>
        </w:r>
      </w:hyperlink>
      <w:r w:rsidRPr="00FA2EBC">
        <w:t xml:space="preserve"> provides details about the included studies. </w:t>
      </w:r>
    </w:p>
    <w:p w14:paraId="616D54AE" w14:textId="77777777" w:rsidR="006D412A" w:rsidRPr="00FA2EBC" w:rsidRDefault="006D412A" w:rsidP="006D412A"/>
    <w:p w14:paraId="3CAD6F57" w14:textId="77777777" w:rsidR="006D412A" w:rsidRPr="00FA2EBC" w:rsidRDefault="006D412A" w:rsidP="006D412A">
      <w:r w:rsidRPr="00FA2EBC">
        <w:t>None of these studies changes the conclusions in the evidence brief.</w:t>
      </w:r>
    </w:p>
    <w:p w14:paraId="649528E1" w14:textId="77777777" w:rsidR="006D412A" w:rsidRPr="00FA2EBC" w:rsidRDefault="006D412A" w:rsidP="006D412A">
      <w:pPr>
        <w:pStyle w:val="Heading3"/>
      </w:pPr>
      <w:r w:rsidRPr="00FA2EBC">
        <w:t>Body composition and growth</w:t>
      </w:r>
    </w:p>
    <w:p w14:paraId="494E3C7E" w14:textId="3A568C06" w:rsidR="006D412A" w:rsidRDefault="006D412A" w:rsidP="006D412A">
      <w:r w:rsidRPr="00FA2EBC">
        <w:t xml:space="preserve">For individuals AMAB, lean mass z-scores decreased during </w:t>
      </w:r>
      <w:proofErr w:type="spellStart"/>
      <w:r w:rsidRPr="00FA2EBC">
        <w:t>GnRHa</w:t>
      </w:r>
      <w:proofErr w:type="spellEnd"/>
      <w:r w:rsidRPr="00FA2EBC">
        <w:t xml:space="preserve"> treatment, while total fat z-scores increased, particularly in individuals who began </w:t>
      </w:r>
      <w:proofErr w:type="spellStart"/>
      <w:r w:rsidRPr="00FA2EBC">
        <w:t>GnRHa</w:t>
      </w:r>
      <w:proofErr w:type="spellEnd"/>
      <w:r w:rsidRPr="00FA2EBC">
        <w:t xml:space="preserve"> therapy at a later Tanner stage (IV or V) (Boogers et al 2023).</w:t>
      </w:r>
    </w:p>
    <w:p w14:paraId="2546A2D7" w14:textId="77777777" w:rsidR="006D412A" w:rsidRPr="00FA2EBC" w:rsidRDefault="006D412A" w:rsidP="006D412A"/>
    <w:p w14:paraId="5973982C" w14:textId="77777777" w:rsidR="006D412A" w:rsidRPr="00FA2EBC" w:rsidRDefault="006D412A" w:rsidP="006D412A">
      <w:r w:rsidRPr="00FA2EBC">
        <w:t xml:space="preserve">Height z-score was also found to decrease during </w:t>
      </w:r>
      <w:proofErr w:type="spellStart"/>
      <w:r w:rsidRPr="00FA2EBC">
        <w:t>GnRHa</w:t>
      </w:r>
      <w:proofErr w:type="spellEnd"/>
      <w:r w:rsidRPr="00FA2EBC">
        <w:t xml:space="preserve"> therapy for both AMAB and AFAB individuals. The changes in lean mass and total fat z-scores were similar for individuals AFAB (Roy et al 2024). </w:t>
      </w:r>
    </w:p>
    <w:p w14:paraId="42A1A720" w14:textId="77777777" w:rsidR="006D412A" w:rsidRPr="00FA2EBC" w:rsidRDefault="006D412A" w:rsidP="006D412A">
      <w:pPr>
        <w:pStyle w:val="Heading3"/>
      </w:pPr>
      <w:r w:rsidRPr="00FA2EBC">
        <w:t>Bone health</w:t>
      </w:r>
    </w:p>
    <w:p w14:paraId="4E9559FB" w14:textId="21E1D1B9" w:rsidR="006D412A" w:rsidRDefault="006D412A" w:rsidP="006D412A">
      <w:r w:rsidRPr="00FA2EBC">
        <w:t xml:space="preserve">The study by van der Loos et al (2023) included the cohort reported by Klink et al (2015) in the evidence brief but was larger (n=75) and had a longer follow-up time (three years). The results were similar to those reported by Klink et al (2015). For individuals identified as AMAB, bone mineral density (BMD) z-scores were significantly below the age- and sex-matched population controls before </w:t>
      </w:r>
      <w:proofErr w:type="spellStart"/>
      <w:r w:rsidRPr="00FA2EBC">
        <w:t>GnRHa</w:t>
      </w:r>
      <w:proofErr w:type="spellEnd"/>
      <w:r w:rsidRPr="00FA2EBC">
        <w:t xml:space="preserve"> treatment and decreased further during treatment. The BMD z-scores also decreased for individuals identified as AFAB. </w:t>
      </w:r>
    </w:p>
    <w:p w14:paraId="6F3761D9" w14:textId="77777777" w:rsidR="006D412A" w:rsidRPr="00FA2EBC" w:rsidRDefault="006D412A" w:rsidP="006D412A"/>
    <w:p w14:paraId="52A9C67A" w14:textId="77777777" w:rsidR="006D412A" w:rsidRPr="00FA2EBC" w:rsidRDefault="006D412A" w:rsidP="006D412A">
      <w:r w:rsidRPr="00FA2EBC">
        <w:t>The study by Roy et al (2024) had 10 months follow-up and reported similar results</w:t>
      </w:r>
      <w:r>
        <w:t>,</w:t>
      </w:r>
      <w:r w:rsidRPr="00FA2EBC">
        <w:t xml:space="preserve"> with total body BMD z-scores decreasing for both AMAB and AFAB individuals. However, the study included only 19 individuals and the results were not </w:t>
      </w:r>
      <w:r>
        <w:t xml:space="preserve">found to be </w:t>
      </w:r>
      <w:r w:rsidRPr="00FA2EBC">
        <w:t xml:space="preserve">statistically significant. </w:t>
      </w:r>
    </w:p>
    <w:p w14:paraId="56301D6C" w14:textId="77777777" w:rsidR="006D412A" w:rsidRPr="00FA2EBC" w:rsidRDefault="006D412A" w:rsidP="006D412A">
      <w:pPr>
        <w:pStyle w:val="Heading3"/>
      </w:pPr>
      <w:r w:rsidRPr="00FA2EBC">
        <w:t>Cardiometabolic outcomes</w:t>
      </w:r>
    </w:p>
    <w:p w14:paraId="0EE58FAE" w14:textId="77777777" w:rsidR="006D412A" w:rsidRPr="00FA2EBC" w:rsidRDefault="006D412A" w:rsidP="006D412A">
      <w:r w:rsidRPr="00FA2EBC">
        <w:t xml:space="preserve">The study by Perl et al (2021) reported a significant increase in diastolic blood pressure (DBP) in AMAB individuals during </w:t>
      </w:r>
      <w:proofErr w:type="spellStart"/>
      <w:r w:rsidRPr="00FA2EBC">
        <w:t>GnRHa</w:t>
      </w:r>
      <w:proofErr w:type="spellEnd"/>
      <w:r w:rsidRPr="00FA2EBC">
        <w:t xml:space="preserve"> treatment, whereas the study by Fisher et al (2023) reported no significant changes in blood pressure. </w:t>
      </w:r>
    </w:p>
    <w:p w14:paraId="17C5B8B7" w14:textId="3AB1B226" w:rsidR="006D412A" w:rsidRDefault="006D412A" w:rsidP="006D412A">
      <w:r w:rsidRPr="00FA2EBC">
        <w:t xml:space="preserve">The study by Waldner et al (2023) reported an analysis of the cardiac QTc interval in gender-dysphoric adolescents receiving </w:t>
      </w:r>
      <w:proofErr w:type="spellStart"/>
      <w:r w:rsidRPr="00FA2EBC">
        <w:t>GnRHa</w:t>
      </w:r>
      <w:proofErr w:type="spellEnd"/>
      <w:r w:rsidRPr="00FA2EBC">
        <w:t xml:space="preserve"> treatment. Of the 33 individuals included in the study, 15 received medications known to prolong the QTc interval, primarily psychotropic medications. However, none of the individuals was found to have a prolonged QTc interval as defined by a cut-off of 460 milliseconds.</w:t>
      </w:r>
    </w:p>
    <w:p w14:paraId="4E0C406F" w14:textId="77777777" w:rsidR="006D412A" w:rsidRPr="00FA2EBC" w:rsidRDefault="006D412A" w:rsidP="006D412A"/>
    <w:p w14:paraId="174C084B" w14:textId="77777777" w:rsidR="006D412A" w:rsidRPr="00FA2EBC" w:rsidRDefault="006D412A" w:rsidP="006D412A">
      <w:r w:rsidRPr="00FA2EBC">
        <w:t xml:space="preserve">The study by Fisher et al (2023) reported no significant changes in laboratory parameters (HbA1c, AST, ALT and lipid levels) during </w:t>
      </w:r>
      <w:proofErr w:type="spellStart"/>
      <w:r w:rsidRPr="00FA2EBC">
        <w:t>GnRHa</w:t>
      </w:r>
      <w:proofErr w:type="spellEnd"/>
      <w:r w:rsidRPr="00FA2EBC">
        <w:t xml:space="preserve"> therapy in gender-dysphoric adolescents. Slightly elevated HDL levels were observed in AMAB individuals.</w:t>
      </w:r>
    </w:p>
    <w:p w14:paraId="5AE6E77B" w14:textId="77777777" w:rsidR="006D412A" w:rsidRPr="00FA2EBC" w:rsidRDefault="006D412A" w:rsidP="006D412A">
      <w:pPr>
        <w:pStyle w:val="Heading2"/>
      </w:pPr>
      <w:bookmarkStart w:id="11" w:name="_Toc169517728"/>
      <w:bookmarkStart w:id="12" w:name="_Toc171085286"/>
      <w:r w:rsidRPr="00FA2EBC">
        <w:t>Fertility</w:t>
      </w:r>
      <w:bookmarkEnd w:id="11"/>
      <w:bookmarkEnd w:id="12"/>
    </w:p>
    <w:p w14:paraId="674B4966" w14:textId="77777777" w:rsidR="006D412A" w:rsidRPr="00FA2EBC" w:rsidRDefault="006D412A" w:rsidP="006D412A">
      <w:r w:rsidRPr="00FA2EBC">
        <w:t xml:space="preserve">No new studies were identified that were considered eligible for inclusion. </w:t>
      </w:r>
    </w:p>
    <w:p w14:paraId="4E4BC796" w14:textId="77777777" w:rsidR="006D412A" w:rsidRPr="00FA2EBC" w:rsidRDefault="006D412A" w:rsidP="006D412A">
      <w:pPr>
        <w:sectPr w:rsidR="006D412A" w:rsidRPr="00FA2EBC" w:rsidSect="002147A9">
          <w:pgSz w:w="11906" w:h="16838"/>
          <w:pgMar w:top="1418" w:right="1701" w:bottom="1134" w:left="1843" w:header="709" w:footer="425" w:gutter="0"/>
          <w:cols w:space="708"/>
          <w:docGrid w:linePitch="360"/>
        </w:sectPr>
      </w:pPr>
    </w:p>
    <w:p w14:paraId="4C34B728" w14:textId="77777777" w:rsidR="006D412A" w:rsidRPr="00FA2EBC" w:rsidRDefault="006D412A" w:rsidP="006D412A">
      <w:pPr>
        <w:pStyle w:val="Heading1"/>
        <w:spacing w:before="0"/>
      </w:pPr>
      <w:bookmarkStart w:id="13" w:name="_Toc169517729"/>
      <w:bookmarkStart w:id="14" w:name="_Toc171085287"/>
      <w:r w:rsidRPr="00FA2EBC">
        <w:t>Impact of puberty blockers on mental health and wellbeing outcomes for gender-dysphoric adolescents</w:t>
      </w:r>
      <w:bookmarkEnd w:id="13"/>
      <w:bookmarkEnd w:id="14"/>
    </w:p>
    <w:p w14:paraId="1D63686D" w14:textId="77777777" w:rsidR="006D412A" w:rsidRPr="00FA2EBC" w:rsidRDefault="006D412A" w:rsidP="006D412A">
      <w:r w:rsidRPr="00FA2EBC">
        <w:t xml:space="preserve">Three new studies (Fisher et al 2023; McGregor et al 2024; McPherson and Freedman, 2024) and one additional study (van der </w:t>
      </w:r>
      <w:proofErr w:type="spellStart"/>
      <w:r w:rsidRPr="00FA2EBC">
        <w:t>Miesen</w:t>
      </w:r>
      <w:proofErr w:type="spellEnd"/>
      <w:r w:rsidRPr="00FA2EBC">
        <w:t xml:space="preserve"> et al 2020) on the impact of </w:t>
      </w:r>
      <w:proofErr w:type="spellStart"/>
      <w:r w:rsidRPr="00FA2EBC">
        <w:t>GnRHa</w:t>
      </w:r>
      <w:proofErr w:type="spellEnd"/>
      <w:r w:rsidRPr="00FA2EBC">
        <w:t xml:space="preserve"> on mental health and wellbeing in gender-dysphoric adolescents were identified and considered eligible for inclusion. Table 2 in the </w:t>
      </w:r>
      <w:hyperlink r:id="rId24" w:history="1">
        <w:r w:rsidRPr="00FA2EBC">
          <w:rPr>
            <w:rStyle w:val="Hyperlink"/>
          </w:rPr>
          <w:t>Supplementary Material</w:t>
        </w:r>
      </w:hyperlink>
      <w:r w:rsidRPr="00FA2EBC">
        <w:t xml:space="preserve"> summarises these studies. All</w:t>
      </w:r>
      <w:r w:rsidRPr="00FA2EBC" w:rsidDel="007B7C00">
        <w:t xml:space="preserve"> </w:t>
      </w:r>
      <w:r w:rsidRPr="00FA2EBC">
        <w:t>four studies were of low or very low quality and had serious or critical risk of bias for the outcomes reported.</w:t>
      </w:r>
      <w:r w:rsidRPr="00FA2EBC">
        <w:rPr>
          <w:rStyle w:val="FootnoteReference"/>
        </w:rPr>
        <w:footnoteReference w:id="4"/>
      </w:r>
    </w:p>
    <w:p w14:paraId="09A9F0D9" w14:textId="77777777" w:rsidR="006D412A" w:rsidRPr="00FA2EBC" w:rsidRDefault="006D412A" w:rsidP="006D412A">
      <w:pPr>
        <w:pStyle w:val="Heading2"/>
      </w:pPr>
      <w:bookmarkStart w:id="15" w:name="_Toc169517730"/>
      <w:bookmarkStart w:id="16" w:name="_Toc171085288"/>
      <w:r w:rsidRPr="00FA2EBC">
        <w:t>Systematic reviews</w:t>
      </w:r>
      <w:bookmarkEnd w:id="15"/>
      <w:bookmarkEnd w:id="16"/>
    </w:p>
    <w:p w14:paraId="578960BD" w14:textId="4710B9FD" w:rsidR="006D412A" w:rsidRDefault="006D412A" w:rsidP="006D412A">
      <w:r w:rsidRPr="00FA2EBC">
        <w:t xml:space="preserve">Two further systematic reviews have been published between October 2023 and May 2024. Both were commissioned as part of the Cass Review (Cass 2024).  </w:t>
      </w:r>
    </w:p>
    <w:p w14:paraId="67BC0CAE" w14:textId="77777777" w:rsidR="006D412A" w:rsidRPr="00FA2EBC" w:rsidRDefault="006D412A" w:rsidP="006D412A"/>
    <w:p w14:paraId="4C511D6F" w14:textId="343F4D06" w:rsidR="006D412A" w:rsidRDefault="006D412A" w:rsidP="006D412A">
      <w:r w:rsidRPr="00FA2EBC">
        <w:t>For the first review, Heathcote et al (2024) carried out a quantitative systematic review of 10 studies published between 2015 and 2021. The inclusion criteria were children and adolescents up to the age of 18 years with gender incongruence, gender dysphoria/gender-related distress or referral to a paediatric or adolescent gender service and any psychological or psychosocial intervention as an outcome. Nine studies were rated as low quality and one as moderate quality. Of the five studies focused on psychosocial changes, all reported quantitative analysis and three also reported qualitative findings.</w:t>
      </w:r>
      <w:r w:rsidRPr="00FA2EBC">
        <w:rPr>
          <w:rStyle w:val="FootnoteReference"/>
        </w:rPr>
        <w:footnoteReference w:id="5"/>
      </w:r>
      <w:r w:rsidRPr="00FA2EBC">
        <w:t xml:space="preserve"> The review found there was either a benefit or no reported change from the interventions studied. It also concluded there were no indications of adverse or negative effects from any of the interventions, suggesting that evidence-based interventions tailored for children and/or adolescents with gender dysphoria/incongruence have the potential to result in positive outcomes. It remains unclear which approach works best, for which population and in what circumstances. There also remains a gap in research on mental health and wellbeing interventions for pre-pubertal children and adolescents with complex needs (Heathcote et al 2024).</w:t>
      </w:r>
    </w:p>
    <w:p w14:paraId="7B7AA289" w14:textId="77777777" w:rsidR="006D412A" w:rsidRPr="00FA2EBC" w:rsidRDefault="006D412A" w:rsidP="006D412A"/>
    <w:p w14:paraId="5EE2FEF1" w14:textId="2ABA6D4A" w:rsidR="006D412A" w:rsidRDefault="006D412A" w:rsidP="006D412A">
      <w:r w:rsidRPr="00FA2EBC">
        <w:t>The second systematic review reported on the risks and benefits of suppression of puberty in adolescents with gender dysphoria (Taylor et al 2024).</w:t>
      </w:r>
      <w:r w:rsidRPr="00FA2EBC" w:rsidDel="00166BB3">
        <w:t xml:space="preserve"> </w:t>
      </w:r>
      <w:r w:rsidRPr="00FA2EBC">
        <w:t xml:space="preserve">It included mental/psychological health and psychosocial functioning as outcomes. Fifty studies were included in this review. All the key studies cited in Taylor et al (2024), providing evidence on mental health and wellbeing outcomes, have been included in the evidence brief or within this addendum (Carmichael et al 2021; Costa et al 2015; de Vries et al 2011; van der </w:t>
      </w:r>
      <w:proofErr w:type="spellStart"/>
      <w:r w:rsidRPr="00FA2EBC">
        <w:t>Miesen</w:t>
      </w:r>
      <w:proofErr w:type="spellEnd"/>
      <w:r w:rsidRPr="00FA2EBC">
        <w:t xml:space="preserve"> et al 2020).</w:t>
      </w:r>
      <w:r w:rsidRPr="00FA2EBC">
        <w:rPr>
          <w:rStyle w:val="FootnoteReference"/>
        </w:rPr>
        <w:footnoteReference w:id="6"/>
      </w:r>
      <w:r w:rsidRPr="00FA2EBC">
        <w:t xml:space="preserve"> The review concluded</w:t>
      </w:r>
      <w:r w:rsidRPr="009D65C6">
        <w:t>:</w:t>
      </w:r>
    </w:p>
    <w:p w14:paraId="4CFF6BC0" w14:textId="77777777" w:rsidR="006D412A" w:rsidRPr="00FA2EBC" w:rsidRDefault="006D412A" w:rsidP="006D412A">
      <w:pPr>
        <w:rPr>
          <w:i/>
          <w:iCs/>
        </w:rPr>
      </w:pPr>
    </w:p>
    <w:p w14:paraId="455B58AA" w14:textId="3FA71E58" w:rsidR="006D412A" w:rsidRDefault="006D412A" w:rsidP="006D412A">
      <w:pPr>
        <w:ind w:left="567"/>
      </w:pPr>
      <w:r w:rsidRPr="006D412A">
        <w:t>these findings add to other systematic reviews in concluding there is insufficient and/or inconsistent evidence about the effects of puberty suppression on gender dysphoria, body satisfaction, psychological and psychosocial health, cognitive development, cardiometabolic risk and fertility. (p 12)</w:t>
      </w:r>
    </w:p>
    <w:p w14:paraId="0943E878" w14:textId="77777777" w:rsidR="006D412A" w:rsidRPr="006D412A" w:rsidRDefault="006D412A" w:rsidP="006D412A">
      <w:pPr>
        <w:ind w:left="567"/>
      </w:pPr>
    </w:p>
    <w:p w14:paraId="5C6547ED" w14:textId="77777777" w:rsidR="006D412A" w:rsidRPr="00FA2EBC" w:rsidRDefault="006D412A" w:rsidP="006D412A">
      <w:r w:rsidRPr="00FA2EBC">
        <w:t xml:space="preserve">In line with the observations in the evidence brief, Taylor et al (2024) note </w:t>
      </w:r>
      <w:r>
        <w:t xml:space="preserve">that the </w:t>
      </w:r>
      <w:r w:rsidRPr="00FA2EBC">
        <w:t>key limitations across all studies were the lack of representativeness among study participants and lack of comparability of selected control groups.</w:t>
      </w:r>
    </w:p>
    <w:p w14:paraId="34852498" w14:textId="77777777" w:rsidR="006D412A" w:rsidRPr="00FA2EBC" w:rsidRDefault="006D412A" w:rsidP="006D412A">
      <w:pPr>
        <w:pStyle w:val="Heading2"/>
      </w:pPr>
      <w:bookmarkStart w:id="17" w:name="_Toc169517731"/>
      <w:bookmarkStart w:id="18" w:name="_Toc171085289"/>
      <w:r w:rsidRPr="00FA2EBC">
        <w:t>Targeted mental health and wellbeing interventions for adolescents who are more likely to experience gender dysphoria</w:t>
      </w:r>
      <w:bookmarkEnd w:id="17"/>
      <w:bookmarkEnd w:id="18"/>
    </w:p>
    <w:p w14:paraId="49CF79C6" w14:textId="77777777" w:rsidR="006D412A" w:rsidRDefault="006D412A" w:rsidP="006D412A">
      <w:r w:rsidRPr="00FA2EBC">
        <w:t>The search identified two additional studies on targeted interventions that met the inclusion criteria. One involved a therapeutic parent support group (low quality) and the other examined the experience of attending school-based counselling (high quality). Both studies reported positive outcomes from evidence-based interventions tailored for children and/or adolescents with gender dysphoria/incongruence. However, given the</w:t>
      </w:r>
      <w:r>
        <w:t xml:space="preserve"> heterogeneity of</w:t>
      </w:r>
      <w:r w:rsidRPr="00FA2EBC">
        <w:t xml:space="preserve"> two studies and </w:t>
      </w:r>
      <w:r>
        <w:t xml:space="preserve">that </w:t>
      </w:r>
      <w:r w:rsidRPr="00FA2EBC">
        <w:t xml:space="preserve">neither took a holistic approach that included family, the adolescent and social factors together in the same intervention, the evidence remains limited (see Table 3 in the </w:t>
      </w:r>
      <w:hyperlink r:id="rId25">
        <w:r w:rsidRPr="00FA2EBC">
          <w:rPr>
            <w:rStyle w:val="Hyperlink"/>
          </w:rPr>
          <w:t>Supplementary Material</w:t>
        </w:r>
      </w:hyperlink>
      <w:r w:rsidRPr="00FA2EBC">
        <w:t xml:space="preserve">).  </w:t>
      </w:r>
    </w:p>
    <w:p w14:paraId="2EA17FBE" w14:textId="77777777" w:rsidR="006D412A" w:rsidRDefault="006D412A" w:rsidP="006D412A"/>
    <w:p w14:paraId="3215062B" w14:textId="77777777" w:rsidR="006D412A" w:rsidRDefault="006D412A" w:rsidP="006D412A">
      <w:pPr>
        <w:sectPr w:rsidR="006D412A" w:rsidSect="002147A9">
          <w:pgSz w:w="11906" w:h="16838"/>
          <w:pgMar w:top="1418" w:right="1701" w:bottom="1134" w:left="1843" w:header="709" w:footer="425" w:gutter="0"/>
          <w:cols w:space="708"/>
          <w:docGrid w:linePitch="360"/>
        </w:sectPr>
      </w:pPr>
    </w:p>
    <w:p w14:paraId="4B858F6C" w14:textId="77777777" w:rsidR="006D412A" w:rsidRPr="00B8726A" w:rsidRDefault="006D412A" w:rsidP="00B8726A">
      <w:pPr>
        <w:pStyle w:val="Heading1"/>
        <w:spacing w:before="0"/>
        <w:rPr>
          <w:sz w:val="52"/>
          <w:szCs w:val="52"/>
        </w:rPr>
      </w:pPr>
      <w:bookmarkStart w:id="19" w:name="_Toc169517732"/>
      <w:bookmarkStart w:id="20" w:name="_Toc171085290"/>
      <w:r w:rsidRPr="00B8726A">
        <w:rPr>
          <w:sz w:val="52"/>
          <w:szCs w:val="52"/>
        </w:rPr>
        <w:t>Final Cass Review</w:t>
      </w:r>
      <w:bookmarkEnd w:id="19"/>
      <w:bookmarkEnd w:id="20"/>
      <w:r w:rsidRPr="00B8726A">
        <w:rPr>
          <w:sz w:val="52"/>
          <w:szCs w:val="52"/>
        </w:rPr>
        <w:t xml:space="preserve"> </w:t>
      </w:r>
    </w:p>
    <w:p w14:paraId="5DDBF7A7" w14:textId="10271C84" w:rsidR="006D412A" w:rsidRDefault="006D412A" w:rsidP="008E7AAD">
      <w:r w:rsidRPr="00FA2EBC">
        <w:t>The Cass Review is an independent review of gender identity services for children and young people commissioned by NHS England in 2020. The final report was released in April 2024 (Cass 2024).</w:t>
      </w:r>
      <w:r w:rsidRPr="00FA2EBC">
        <w:rPr>
          <w:rStyle w:val="FootnoteReference"/>
        </w:rPr>
        <w:footnoteReference w:id="7"/>
      </w:r>
      <w:r w:rsidRPr="00FA2EBC">
        <w:t xml:space="preserve"> It has dedicated significant resource to understanding the needs and evidence base for gender identity services. To inform the review, Dr Cass consulted extensively with clinicians, adolescents and families. The review contains 32 recommendations that fall under 17 areas: assessment, diagnosis, clinical approach, social transition, long-term outcomes, clinical decision-making, service models, workforce, training and education, service improvement, clinical research, service pathways, transferring to adult services, </w:t>
      </w:r>
      <w:proofErr w:type="spellStart"/>
      <w:r w:rsidRPr="00FA2EBC">
        <w:t>detransitioning</w:t>
      </w:r>
      <w:proofErr w:type="spellEnd"/>
      <w:r w:rsidRPr="00FA2EBC">
        <w:t xml:space="preserve"> services, private services, implementation, and wider system learning. </w:t>
      </w:r>
    </w:p>
    <w:p w14:paraId="477DBB0F" w14:textId="77777777" w:rsidR="006D412A" w:rsidRPr="00FA2EBC" w:rsidRDefault="006D412A" w:rsidP="008E7AAD"/>
    <w:p w14:paraId="5AB89E34" w14:textId="4C5A20E1" w:rsidR="006D412A" w:rsidRDefault="006D412A" w:rsidP="008E7AAD">
      <w:r w:rsidRPr="00FA2EBC">
        <w:t xml:space="preserve">Table 4 gives an overview of the Cass Review and the Ministry’s planned work programme. </w:t>
      </w:r>
    </w:p>
    <w:p w14:paraId="675DBB78" w14:textId="096BF8D9" w:rsidR="006D412A" w:rsidRPr="00A152C2" w:rsidRDefault="006D412A" w:rsidP="00A152C2">
      <w:pPr>
        <w:pStyle w:val="Table"/>
        <w:spacing w:before="240"/>
        <w:rPr>
          <w:rFonts w:eastAsiaTheme="majorEastAsia"/>
        </w:rPr>
      </w:pPr>
      <w:r w:rsidRPr="00FA2EBC">
        <w:rPr>
          <w:rFonts w:eastAsiaTheme="majorEastAsia"/>
        </w:rPr>
        <w:t xml:space="preserve">Table 4: Cass Review and the Ministry </w:t>
      </w:r>
      <w:r>
        <w:rPr>
          <w:rFonts w:eastAsiaTheme="majorEastAsia"/>
        </w:rPr>
        <w:t xml:space="preserve">of Health – Manatū Hauora </w:t>
      </w:r>
      <w:r w:rsidRPr="00FA2EBC">
        <w:rPr>
          <w:rFonts w:eastAsiaTheme="majorEastAsia"/>
        </w:rPr>
        <w:t>work programme</w:t>
      </w:r>
    </w:p>
    <w:tbl>
      <w:tblPr>
        <w:tblStyle w:val="GridTable2-Accent1"/>
        <w:tblW w:w="13608" w:type="dxa"/>
        <w:tblLook w:val="04A0" w:firstRow="1" w:lastRow="0" w:firstColumn="1" w:lastColumn="0" w:noHBand="0" w:noVBand="1"/>
      </w:tblPr>
      <w:tblGrid>
        <w:gridCol w:w="6804"/>
        <w:gridCol w:w="6804"/>
      </w:tblGrid>
      <w:tr w:rsidR="002147A9" w:rsidRPr="00FA2EBC" w14:paraId="338CDC57" w14:textId="77777777" w:rsidTr="00A152C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804" w:type="dxa"/>
            <w:tcBorders>
              <w:bottom w:val="nil"/>
              <w:right w:val="single" w:sz="2" w:space="0" w:color="A6A6A6" w:themeColor="background1" w:themeShade="A6"/>
            </w:tcBorders>
            <w:shd w:val="clear" w:color="auto" w:fill="D9D9D9" w:themeFill="background1" w:themeFillShade="D9"/>
          </w:tcPr>
          <w:p w14:paraId="5BF4CEE9" w14:textId="77777777" w:rsidR="006D412A" w:rsidRPr="00FA2EBC" w:rsidRDefault="006D412A" w:rsidP="006D412A">
            <w:pPr>
              <w:pStyle w:val="TableText"/>
            </w:pPr>
            <w:r w:rsidRPr="00FA2EBC">
              <w:t>The Cass Review</w:t>
            </w:r>
          </w:p>
        </w:tc>
        <w:tc>
          <w:tcPr>
            <w:tcW w:w="6804" w:type="dxa"/>
            <w:tcBorders>
              <w:left w:val="single" w:sz="2" w:space="0" w:color="A6A6A6" w:themeColor="background1" w:themeShade="A6"/>
              <w:bottom w:val="nil"/>
            </w:tcBorders>
            <w:shd w:val="clear" w:color="auto" w:fill="D9D9D9" w:themeFill="background1" w:themeFillShade="D9"/>
          </w:tcPr>
          <w:p w14:paraId="59B29862" w14:textId="77777777" w:rsidR="006D412A" w:rsidRPr="00FA2EBC" w:rsidRDefault="006D412A" w:rsidP="006D412A">
            <w:pPr>
              <w:pStyle w:val="TableText"/>
              <w:cnfStyle w:val="100000000000" w:firstRow="1" w:lastRow="0" w:firstColumn="0" w:lastColumn="0" w:oddVBand="0" w:evenVBand="0" w:oddHBand="0" w:evenHBand="0" w:firstRowFirstColumn="0" w:firstRowLastColumn="0" w:lastRowFirstColumn="0" w:lastRowLastColumn="0"/>
            </w:pPr>
            <w:r w:rsidRPr="00FA2EBC">
              <w:t>Ministry of Health – Manatū Hauora work programme</w:t>
            </w:r>
          </w:p>
        </w:tc>
      </w:tr>
      <w:tr w:rsidR="006D412A" w:rsidRPr="00FA2EBC" w14:paraId="67365A58" w14:textId="77777777" w:rsidTr="00A152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08" w:type="dxa"/>
            <w:gridSpan w:val="2"/>
            <w:tcBorders>
              <w:top w:val="nil"/>
              <w:bottom w:val="single" w:sz="2" w:space="0" w:color="A6A6A6" w:themeColor="background1" w:themeShade="A6"/>
            </w:tcBorders>
          </w:tcPr>
          <w:p w14:paraId="3DEDCF4C" w14:textId="77777777" w:rsidR="006D412A" w:rsidRPr="00FA2EBC" w:rsidRDefault="006D412A" w:rsidP="006D412A">
            <w:pPr>
              <w:pStyle w:val="TableText"/>
            </w:pPr>
            <w:r w:rsidRPr="00FA2EBC">
              <w:t>Commissioning</w:t>
            </w:r>
          </w:p>
        </w:tc>
      </w:tr>
      <w:tr w:rsidR="006D412A" w:rsidRPr="00FA2EBC" w14:paraId="27EFDA08" w14:textId="77777777" w:rsidTr="00A152C2">
        <w:tc>
          <w:tcPr>
            <w:cnfStyle w:val="001000000000" w:firstRow="0" w:lastRow="0" w:firstColumn="1" w:lastColumn="0" w:oddVBand="0" w:evenVBand="0" w:oddHBand="0" w:evenHBand="0" w:firstRowFirstColumn="0" w:firstRowLastColumn="0" w:lastRowFirstColumn="0" w:lastRowLastColumn="0"/>
            <w:tcW w:w="6804" w:type="dxa"/>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2B34C39A" w14:textId="77777777" w:rsidR="006D412A" w:rsidRPr="00FA2EBC" w:rsidRDefault="006D412A" w:rsidP="008E7AAD">
            <w:pPr>
              <w:pStyle w:val="TableText"/>
              <w:rPr>
                <w:b w:val="0"/>
                <w:bCs w:val="0"/>
              </w:rPr>
            </w:pPr>
            <w:r w:rsidRPr="00FA2EBC">
              <w:rPr>
                <w:b w:val="0"/>
                <w:bCs w:val="0"/>
              </w:rPr>
              <w:t>NHS England commissioned an Independent Review of Gender Identity Services for Children and Young People to make recommendations on the questions relating to the provision of these services.</w:t>
            </w:r>
            <w:r w:rsidRPr="00FA2EBC">
              <w:rPr>
                <w:b w:val="0"/>
                <w:bCs w:val="0"/>
                <w:vertAlign w:val="superscript"/>
              </w:rPr>
              <w:footnoteReference w:id="8"/>
            </w:r>
            <w:r w:rsidRPr="00FA2EBC">
              <w:rPr>
                <w:b w:val="0"/>
                <w:bCs w:val="0"/>
              </w:rPr>
              <w:t xml:space="preserve"> </w:t>
            </w:r>
          </w:p>
        </w:tc>
        <w:tc>
          <w:tcPr>
            <w:tcW w:w="6804" w:type="dxa"/>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2240B86C" w14:textId="77777777" w:rsidR="006D412A" w:rsidRPr="00FA2EBC" w:rsidRDefault="006D412A" w:rsidP="008E7AAD">
            <w:pPr>
              <w:pStyle w:val="TableText"/>
              <w:cnfStyle w:val="000000000000" w:firstRow="0" w:lastRow="0" w:firstColumn="0" w:lastColumn="0" w:oddVBand="0" w:evenVBand="0" w:oddHBand="0" w:evenHBand="0" w:firstRowFirstColumn="0" w:firstRowLastColumn="0" w:lastRowFirstColumn="0" w:lastRowLastColumn="0"/>
            </w:pPr>
            <w:r w:rsidRPr="00FA2EBC">
              <w:t>The Director-General of Health</w:t>
            </w:r>
            <w:r>
              <w:t xml:space="preserve"> </w:t>
            </w:r>
            <w:r w:rsidRPr="00FA2EBC">
              <w:t xml:space="preserve">commissioned an evidence review of ‘Impact of puberty blockers on clinical and mental health outcomes in gender-dysphoric adolescents’. </w:t>
            </w:r>
          </w:p>
        </w:tc>
      </w:tr>
      <w:tr w:rsidR="002147A9" w:rsidRPr="00FA2EBC" w14:paraId="365705E9" w14:textId="77777777" w:rsidTr="00A152C2">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6804" w:type="dxa"/>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378C33BB" w14:textId="77777777" w:rsidR="006D412A" w:rsidRPr="00FA2EBC" w:rsidRDefault="006D412A" w:rsidP="006D412A">
            <w:pPr>
              <w:pStyle w:val="TableText"/>
            </w:pPr>
            <w:r w:rsidRPr="00FA2EBC">
              <w:t>Evidence</w:t>
            </w:r>
          </w:p>
        </w:tc>
        <w:tc>
          <w:tcPr>
            <w:tcW w:w="6804" w:type="dxa"/>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18A96A12" w14:textId="77777777" w:rsidR="006D412A" w:rsidRPr="00FA2EBC" w:rsidRDefault="006D412A" w:rsidP="006D412A">
            <w:pPr>
              <w:pStyle w:val="TableText"/>
              <w:cnfStyle w:val="000000100000" w:firstRow="0" w:lastRow="0" w:firstColumn="0" w:lastColumn="0" w:oddVBand="0" w:evenVBand="0" w:oddHBand="1" w:evenHBand="0" w:firstRowFirstColumn="0" w:firstRowLastColumn="0" w:lastRowFirstColumn="0" w:lastRowLastColumn="0"/>
            </w:pPr>
          </w:p>
        </w:tc>
      </w:tr>
      <w:tr w:rsidR="006D412A" w:rsidRPr="00FA2EBC" w14:paraId="6206FC60" w14:textId="77777777" w:rsidTr="00A152C2">
        <w:tc>
          <w:tcPr>
            <w:cnfStyle w:val="001000000000" w:firstRow="0" w:lastRow="0" w:firstColumn="1" w:lastColumn="0" w:oddVBand="0" w:evenVBand="0" w:oddHBand="0" w:evenHBand="0" w:firstRowFirstColumn="0" w:firstRowLastColumn="0" w:lastRowFirstColumn="0" w:lastRowLastColumn="0"/>
            <w:tcW w:w="6804" w:type="dxa"/>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438A9F86" w14:textId="77777777" w:rsidR="006D412A" w:rsidRPr="006D412A" w:rsidRDefault="006D412A" w:rsidP="008E7AAD">
            <w:pPr>
              <w:spacing w:before="60" w:after="60"/>
              <w:rPr>
                <w:sz w:val="18"/>
                <w:szCs w:val="18"/>
              </w:rPr>
            </w:pPr>
            <w:r w:rsidRPr="006D412A">
              <w:rPr>
                <w:sz w:val="18"/>
                <w:szCs w:val="18"/>
              </w:rPr>
              <w:t>Key questions</w:t>
            </w:r>
          </w:p>
          <w:p w14:paraId="3816B664" w14:textId="77777777" w:rsidR="006D412A" w:rsidRPr="006D412A" w:rsidRDefault="006D412A" w:rsidP="008E7AAD">
            <w:pPr>
              <w:numPr>
                <w:ilvl w:val="0"/>
                <w:numId w:val="33"/>
              </w:numPr>
              <w:spacing w:before="60" w:after="60" w:line="278" w:lineRule="auto"/>
              <w:ind w:left="357" w:hanging="357"/>
              <w:rPr>
                <w:b w:val="0"/>
                <w:bCs w:val="0"/>
                <w:sz w:val="18"/>
                <w:szCs w:val="18"/>
              </w:rPr>
            </w:pPr>
            <w:r w:rsidRPr="006D412A">
              <w:rPr>
                <w:b w:val="0"/>
                <w:bCs w:val="0"/>
                <w:sz w:val="18"/>
                <w:szCs w:val="18"/>
              </w:rPr>
              <w:t xml:space="preserve">How has the population of children presenting with gender dysphoria and/or gender-related distress changed over time? </w:t>
            </w:r>
          </w:p>
          <w:p w14:paraId="5A5FE495" w14:textId="77777777" w:rsidR="006D412A" w:rsidRPr="006D412A" w:rsidRDefault="006D412A" w:rsidP="008E7AAD">
            <w:pPr>
              <w:numPr>
                <w:ilvl w:val="0"/>
                <w:numId w:val="33"/>
              </w:numPr>
              <w:spacing w:before="60" w:after="60" w:line="278" w:lineRule="auto"/>
              <w:ind w:left="357" w:hanging="357"/>
              <w:rPr>
                <w:b w:val="0"/>
                <w:bCs w:val="0"/>
                <w:sz w:val="18"/>
                <w:szCs w:val="18"/>
              </w:rPr>
            </w:pPr>
            <w:r w:rsidRPr="006D412A">
              <w:rPr>
                <w:b w:val="0"/>
                <w:bCs w:val="0"/>
                <w:sz w:val="18"/>
                <w:szCs w:val="18"/>
              </w:rPr>
              <w:t xml:space="preserve">What are the appropriate referral, assessment and treatment pathways for children with gender dysphoria and/or gender-related distress?  </w:t>
            </w:r>
          </w:p>
          <w:p w14:paraId="2BD10232" w14:textId="654E7BB3" w:rsidR="006D412A" w:rsidRPr="00B8726A" w:rsidRDefault="006D412A" w:rsidP="008E7AAD">
            <w:pPr>
              <w:numPr>
                <w:ilvl w:val="0"/>
                <w:numId w:val="33"/>
              </w:numPr>
              <w:spacing w:before="60" w:after="60" w:line="278" w:lineRule="auto"/>
              <w:ind w:left="357" w:hanging="357"/>
              <w:rPr>
                <w:b w:val="0"/>
                <w:bCs w:val="0"/>
                <w:sz w:val="18"/>
                <w:szCs w:val="18"/>
              </w:rPr>
            </w:pPr>
            <w:r w:rsidRPr="006D412A">
              <w:rPr>
                <w:b w:val="0"/>
                <w:bCs w:val="0"/>
                <w:sz w:val="18"/>
                <w:szCs w:val="18"/>
              </w:rPr>
              <w:t>What are the short-, medium- and long-term outcomes for children with gender dysphoria and/or gender-related distress?</w:t>
            </w:r>
          </w:p>
          <w:p w14:paraId="0EEC7678" w14:textId="77777777" w:rsidR="00B8726A" w:rsidRPr="006D412A" w:rsidRDefault="00B8726A" w:rsidP="00B8726A">
            <w:pPr>
              <w:spacing w:before="60" w:after="60" w:line="278" w:lineRule="auto"/>
              <w:rPr>
                <w:b w:val="0"/>
                <w:bCs w:val="0"/>
                <w:sz w:val="18"/>
                <w:szCs w:val="18"/>
              </w:rPr>
            </w:pPr>
          </w:p>
          <w:p w14:paraId="0C4DF862" w14:textId="158E3748" w:rsidR="006D412A" w:rsidRPr="006D412A" w:rsidRDefault="006D412A" w:rsidP="00B8726A">
            <w:pPr>
              <w:keepNext/>
              <w:spacing w:before="60" w:after="60"/>
              <w:rPr>
                <w:sz w:val="18"/>
                <w:szCs w:val="18"/>
              </w:rPr>
            </w:pPr>
            <w:r w:rsidRPr="006D412A">
              <w:rPr>
                <w:sz w:val="18"/>
                <w:szCs w:val="18"/>
              </w:rPr>
              <w:t>The Cass Review contains:</w:t>
            </w:r>
          </w:p>
          <w:p w14:paraId="263E6E44" w14:textId="77777777" w:rsidR="006D412A" w:rsidRPr="006D412A" w:rsidRDefault="006D412A" w:rsidP="008E7AAD">
            <w:pPr>
              <w:numPr>
                <w:ilvl w:val="0"/>
                <w:numId w:val="35"/>
              </w:numPr>
              <w:spacing w:before="60" w:after="60" w:line="278" w:lineRule="auto"/>
              <w:ind w:left="357" w:hanging="357"/>
              <w:rPr>
                <w:b w:val="0"/>
                <w:bCs w:val="0"/>
                <w:sz w:val="18"/>
                <w:szCs w:val="18"/>
              </w:rPr>
            </w:pPr>
            <w:r w:rsidRPr="006D412A">
              <w:rPr>
                <w:b w:val="0"/>
                <w:bCs w:val="0"/>
                <w:sz w:val="18"/>
                <w:szCs w:val="18"/>
              </w:rPr>
              <w:t>six commissioned systematic reviews of research</w:t>
            </w:r>
          </w:p>
          <w:p w14:paraId="4418F60D" w14:textId="77777777" w:rsidR="006D412A" w:rsidRPr="006D412A" w:rsidRDefault="006D412A" w:rsidP="008E7AAD">
            <w:pPr>
              <w:numPr>
                <w:ilvl w:val="0"/>
                <w:numId w:val="35"/>
              </w:numPr>
              <w:spacing w:before="60" w:after="60" w:line="278" w:lineRule="auto"/>
              <w:ind w:left="357" w:hanging="357"/>
              <w:rPr>
                <w:b w:val="0"/>
                <w:bCs w:val="0"/>
                <w:sz w:val="18"/>
                <w:szCs w:val="18"/>
              </w:rPr>
            </w:pPr>
            <w:r w:rsidRPr="006D412A">
              <w:rPr>
                <w:b w:val="0"/>
                <w:bCs w:val="0"/>
                <w:sz w:val="18"/>
                <w:szCs w:val="18"/>
              </w:rPr>
              <w:t>two commissioned reviews of guidelines and recommendations</w:t>
            </w:r>
          </w:p>
          <w:p w14:paraId="0CA43847" w14:textId="77777777" w:rsidR="006D412A" w:rsidRPr="006D412A" w:rsidRDefault="006D412A" w:rsidP="008E7AAD">
            <w:pPr>
              <w:numPr>
                <w:ilvl w:val="0"/>
                <w:numId w:val="35"/>
              </w:numPr>
              <w:spacing w:before="60" w:after="60" w:line="278" w:lineRule="auto"/>
              <w:ind w:left="357" w:hanging="357"/>
              <w:rPr>
                <w:b w:val="0"/>
                <w:bCs w:val="0"/>
                <w:sz w:val="18"/>
                <w:szCs w:val="18"/>
              </w:rPr>
            </w:pPr>
            <w:r w:rsidRPr="006D412A">
              <w:rPr>
                <w:b w:val="0"/>
                <w:bCs w:val="0"/>
                <w:sz w:val="18"/>
                <w:szCs w:val="18"/>
              </w:rPr>
              <w:t>international survey of clinical services</w:t>
            </w:r>
          </w:p>
          <w:p w14:paraId="130FB052" w14:textId="77777777" w:rsidR="006D412A" w:rsidRPr="006D412A" w:rsidRDefault="006D412A" w:rsidP="008E7AAD">
            <w:pPr>
              <w:numPr>
                <w:ilvl w:val="0"/>
                <w:numId w:val="35"/>
              </w:numPr>
              <w:spacing w:before="60" w:after="60" w:line="278" w:lineRule="auto"/>
              <w:ind w:left="357" w:hanging="357"/>
              <w:rPr>
                <w:b w:val="0"/>
                <w:bCs w:val="0"/>
                <w:sz w:val="18"/>
                <w:szCs w:val="18"/>
              </w:rPr>
            </w:pPr>
            <w:r w:rsidRPr="006D412A">
              <w:rPr>
                <w:b w:val="0"/>
                <w:bCs w:val="0"/>
                <w:sz w:val="18"/>
                <w:szCs w:val="18"/>
              </w:rPr>
              <w:t>one original research qualitative study focusing on</w:t>
            </w:r>
            <w:r w:rsidRPr="006D412A">
              <w:rPr>
                <w:sz w:val="18"/>
                <w:szCs w:val="18"/>
              </w:rPr>
              <w:t xml:space="preserve"> narrative accounts of gender questioning</w:t>
            </w:r>
            <w:r w:rsidRPr="006D412A">
              <w:rPr>
                <w:b w:val="0"/>
                <w:bCs w:val="0"/>
                <w:sz w:val="18"/>
                <w:szCs w:val="18"/>
              </w:rPr>
              <w:t>.</w:t>
            </w:r>
          </w:p>
          <w:p w14:paraId="06DFE586" w14:textId="77777777" w:rsidR="006D412A" w:rsidRPr="006D412A" w:rsidRDefault="006D412A" w:rsidP="008E7AAD">
            <w:pPr>
              <w:spacing w:before="60" w:after="60"/>
              <w:rPr>
                <w:b w:val="0"/>
                <w:bCs w:val="0"/>
                <w:sz w:val="18"/>
                <w:szCs w:val="18"/>
              </w:rPr>
            </w:pPr>
            <w:r w:rsidRPr="006D412A">
              <w:rPr>
                <w:sz w:val="18"/>
                <w:szCs w:val="18"/>
              </w:rPr>
              <w:t>Future plans include</w:t>
            </w:r>
            <w:r w:rsidRPr="006D412A">
              <w:rPr>
                <w:b w:val="0"/>
                <w:bCs w:val="0"/>
                <w:sz w:val="18"/>
                <w:szCs w:val="18"/>
              </w:rPr>
              <w:t xml:space="preserve"> two original quantitative studies:</w:t>
            </w:r>
            <w:r w:rsidRPr="006D412A">
              <w:rPr>
                <w:b w:val="0"/>
                <w:bCs w:val="0"/>
                <w:sz w:val="18"/>
                <w:szCs w:val="18"/>
                <w:vertAlign w:val="superscript"/>
              </w:rPr>
              <w:footnoteReference w:id="9"/>
            </w:r>
          </w:p>
          <w:p w14:paraId="5674F2C9" w14:textId="77777777" w:rsidR="006D412A" w:rsidRPr="006D412A" w:rsidRDefault="006D412A" w:rsidP="008E7AAD">
            <w:pPr>
              <w:pStyle w:val="ListParagraph"/>
              <w:numPr>
                <w:ilvl w:val="1"/>
                <w:numId w:val="37"/>
              </w:numPr>
              <w:spacing w:before="60" w:after="60" w:line="278" w:lineRule="auto"/>
              <w:ind w:left="357" w:hanging="357"/>
              <w:contextualSpacing w:val="0"/>
              <w:rPr>
                <w:sz w:val="18"/>
                <w:szCs w:val="18"/>
              </w:rPr>
            </w:pPr>
            <w:r w:rsidRPr="006D412A">
              <w:rPr>
                <w:b w:val="0"/>
                <w:bCs w:val="0"/>
                <w:sz w:val="18"/>
                <w:szCs w:val="18"/>
              </w:rPr>
              <w:t>Assessment, Management and Outcomes for Children and Young People Referred to a National Gender Identity Development Service</w:t>
            </w:r>
          </w:p>
          <w:p w14:paraId="5F92F032" w14:textId="77777777" w:rsidR="006D412A" w:rsidRPr="006D412A" w:rsidRDefault="006D412A" w:rsidP="008E7AAD">
            <w:pPr>
              <w:pStyle w:val="ListParagraph"/>
              <w:numPr>
                <w:ilvl w:val="1"/>
                <w:numId w:val="37"/>
              </w:numPr>
              <w:spacing w:before="60" w:after="60" w:line="278" w:lineRule="auto"/>
              <w:ind w:left="357" w:hanging="357"/>
              <w:contextualSpacing w:val="0"/>
              <w:rPr>
                <w:b w:val="0"/>
                <w:bCs w:val="0"/>
                <w:i/>
                <w:iCs/>
                <w:sz w:val="18"/>
                <w:szCs w:val="18"/>
              </w:rPr>
            </w:pPr>
            <w:r w:rsidRPr="006D412A">
              <w:rPr>
                <w:b w:val="0"/>
                <w:bCs w:val="0"/>
                <w:sz w:val="18"/>
                <w:szCs w:val="18"/>
              </w:rPr>
              <w:t>Epidemiology and Outcomes for Children and Young People with Gender Dysphoria: Retrospective Cohort Study Using Electronic Primary Care Records.</w:t>
            </w:r>
          </w:p>
        </w:tc>
        <w:tc>
          <w:tcPr>
            <w:tcW w:w="6804" w:type="dxa"/>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23158C93" w14:textId="77777777" w:rsidR="006D412A" w:rsidRPr="006D412A" w:rsidRDefault="006D412A" w:rsidP="008E7AAD">
            <w:pPr>
              <w:spacing w:before="60" w:after="60"/>
              <w:cnfStyle w:val="000000000000" w:firstRow="0" w:lastRow="0" w:firstColumn="0" w:lastColumn="0" w:oddVBand="0" w:evenVBand="0" w:oddHBand="0" w:evenHBand="0" w:firstRowFirstColumn="0" w:firstRowLastColumn="0" w:lastRowFirstColumn="0" w:lastRowLastColumn="0"/>
              <w:rPr>
                <w:b/>
                <w:bCs/>
                <w:sz w:val="18"/>
                <w:szCs w:val="18"/>
              </w:rPr>
            </w:pPr>
            <w:r w:rsidRPr="006D412A">
              <w:rPr>
                <w:b/>
                <w:bCs/>
                <w:sz w:val="18"/>
                <w:szCs w:val="18"/>
              </w:rPr>
              <w:t>Key questions</w:t>
            </w:r>
          </w:p>
          <w:p w14:paraId="0CBEB826" w14:textId="77777777" w:rsidR="006D412A" w:rsidRPr="006D412A" w:rsidRDefault="006D412A" w:rsidP="008E7AAD">
            <w:pPr>
              <w:pStyle w:val="ListParagraph"/>
              <w:numPr>
                <w:ilvl w:val="0"/>
                <w:numId w:val="36"/>
              </w:numPr>
              <w:spacing w:before="60" w:after="60" w:line="278"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18"/>
                <w:szCs w:val="18"/>
              </w:rPr>
            </w:pPr>
            <w:r w:rsidRPr="006D412A">
              <w:rPr>
                <w:sz w:val="18"/>
                <w:szCs w:val="18"/>
              </w:rPr>
              <w:t xml:space="preserve">What are the clinical and mental health and wellbeing outcomes for gender-dysphoric adolescents prescribed </w:t>
            </w:r>
            <w:proofErr w:type="spellStart"/>
            <w:r w:rsidRPr="006D412A">
              <w:rPr>
                <w:sz w:val="18"/>
                <w:szCs w:val="18"/>
              </w:rPr>
              <w:t>GnRHa</w:t>
            </w:r>
            <w:proofErr w:type="spellEnd"/>
            <w:r w:rsidRPr="006D412A">
              <w:rPr>
                <w:sz w:val="18"/>
                <w:szCs w:val="18"/>
              </w:rPr>
              <w:t>?</w:t>
            </w:r>
          </w:p>
          <w:p w14:paraId="0BAB4DFE" w14:textId="77777777" w:rsidR="006D412A" w:rsidRPr="006D412A" w:rsidRDefault="006D412A" w:rsidP="008E7AAD">
            <w:pPr>
              <w:pStyle w:val="ListParagraph"/>
              <w:numPr>
                <w:ilvl w:val="0"/>
                <w:numId w:val="36"/>
              </w:numPr>
              <w:spacing w:before="60" w:after="60" w:line="278"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18"/>
                <w:szCs w:val="18"/>
              </w:rPr>
            </w:pPr>
            <w:r w:rsidRPr="006D412A">
              <w:rPr>
                <w:sz w:val="18"/>
                <w:szCs w:val="18"/>
              </w:rPr>
              <w:t xml:space="preserve">What are other jurisdictions’ legislative or governance arrangements relating to the prescription of </w:t>
            </w:r>
            <w:proofErr w:type="spellStart"/>
            <w:r w:rsidRPr="006D412A">
              <w:rPr>
                <w:sz w:val="18"/>
                <w:szCs w:val="18"/>
              </w:rPr>
              <w:t>GnRHa</w:t>
            </w:r>
            <w:proofErr w:type="spellEnd"/>
            <w:r w:rsidRPr="006D412A">
              <w:rPr>
                <w:sz w:val="18"/>
                <w:szCs w:val="18"/>
              </w:rPr>
              <w:t xml:space="preserve"> for gender-dysphoric adolescents?</w:t>
            </w:r>
          </w:p>
          <w:p w14:paraId="7B667966" w14:textId="77777777" w:rsidR="00B8726A" w:rsidRDefault="00B8726A" w:rsidP="008E7AAD">
            <w:pPr>
              <w:spacing w:before="60" w:after="60"/>
              <w:cnfStyle w:val="000000000000" w:firstRow="0" w:lastRow="0" w:firstColumn="0" w:lastColumn="0" w:oddVBand="0" w:evenVBand="0" w:oddHBand="0" w:evenHBand="0" w:firstRowFirstColumn="0" w:firstRowLastColumn="0" w:lastRowFirstColumn="0" w:lastRowLastColumn="0"/>
              <w:rPr>
                <w:b/>
                <w:bCs/>
                <w:sz w:val="18"/>
                <w:szCs w:val="18"/>
              </w:rPr>
            </w:pPr>
          </w:p>
          <w:p w14:paraId="7ABDA78C" w14:textId="77777777" w:rsidR="00B8726A" w:rsidRDefault="00B8726A" w:rsidP="008E7AAD">
            <w:pPr>
              <w:spacing w:before="60" w:after="60"/>
              <w:cnfStyle w:val="000000000000" w:firstRow="0" w:lastRow="0" w:firstColumn="0" w:lastColumn="0" w:oddVBand="0" w:evenVBand="0" w:oddHBand="0" w:evenHBand="0" w:firstRowFirstColumn="0" w:firstRowLastColumn="0" w:lastRowFirstColumn="0" w:lastRowLastColumn="0"/>
              <w:rPr>
                <w:b/>
                <w:bCs/>
                <w:sz w:val="18"/>
                <w:szCs w:val="18"/>
              </w:rPr>
            </w:pPr>
          </w:p>
          <w:p w14:paraId="45DBC7FD" w14:textId="254C49F3" w:rsidR="006D412A" w:rsidRPr="006D412A" w:rsidRDefault="006D412A" w:rsidP="008E7AAD">
            <w:pPr>
              <w:spacing w:before="60" w:after="60"/>
              <w:cnfStyle w:val="000000000000" w:firstRow="0" w:lastRow="0" w:firstColumn="0" w:lastColumn="0" w:oddVBand="0" w:evenVBand="0" w:oddHBand="0" w:evenHBand="0" w:firstRowFirstColumn="0" w:firstRowLastColumn="0" w:lastRowFirstColumn="0" w:lastRowLastColumn="0"/>
              <w:rPr>
                <w:sz w:val="18"/>
                <w:szCs w:val="18"/>
              </w:rPr>
            </w:pPr>
            <w:r w:rsidRPr="006D412A">
              <w:rPr>
                <w:b/>
                <w:bCs/>
                <w:sz w:val="18"/>
                <w:szCs w:val="18"/>
              </w:rPr>
              <w:t xml:space="preserve">The evidence brief contains </w:t>
            </w:r>
            <w:r w:rsidRPr="006D412A">
              <w:rPr>
                <w:sz w:val="18"/>
                <w:szCs w:val="18"/>
              </w:rPr>
              <w:t>four systematic literature reviews and one overview of international context,</w:t>
            </w:r>
            <w:r w:rsidRPr="006D412A">
              <w:rPr>
                <w:sz w:val="18"/>
                <w:szCs w:val="18"/>
                <w:vertAlign w:val="superscript"/>
              </w:rPr>
              <w:footnoteReference w:id="10"/>
            </w:r>
            <w:r w:rsidRPr="006D412A">
              <w:rPr>
                <w:sz w:val="18"/>
                <w:szCs w:val="18"/>
              </w:rPr>
              <w:t xml:space="preserve"> covering:</w:t>
            </w:r>
          </w:p>
          <w:p w14:paraId="1B941007" w14:textId="77777777" w:rsidR="006D412A" w:rsidRPr="006D412A" w:rsidRDefault="006D412A" w:rsidP="008E7AAD">
            <w:pPr>
              <w:numPr>
                <w:ilvl w:val="0"/>
                <w:numId w:val="34"/>
              </w:numPr>
              <w:spacing w:before="60" w:after="60" w:line="279" w:lineRule="auto"/>
              <w:ind w:left="433"/>
              <w:cnfStyle w:val="000000000000" w:firstRow="0" w:lastRow="0" w:firstColumn="0" w:lastColumn="0" w:oddVBand="0" w:evenVBand="0" w:oddHBand="0" w:evenHBand="0" w:firstRowFirstColumn="0" w:firstRowLastColumn="0" w:lastRowFirstColumn="0" w:lastRowLastColumn="0"/>
              <w:rPr>
                <w:sz w:val="18"/>
                <w:szCs w:val="18"/>
              </w:rPr>
            </w:pPr>
            <w:r w:rsidRPr="006D412A">
              <w:rPr>
                <w:sz w:val="18"/>
                <w:szCs w:val="18"/>
              </w:rPr>
              <w:t>the epidemiology and prevalence of gender dysphoria</w:t>
            </w:r>
          </w:p>
          <w:p w14:paraId="1A378B3A" w14:textId="77777777" w:rsidR="006D412A" w:rsidRPr="006D412A" w:rsidRDefault="006D412A" w:rsidP="008E7AAD">
            <w:pPr>
              <w:numPr>
                <w:ilvl w:val="0"/>
                <w:numId w:val="34"/>
              </w:numPr>
              <w:spacing w:before="60" w:after="60" w:line="279" w:lineRule="auto"/>
              <w:ind w:left="433"/>
              <w:cnfStyle w:val="000000000000" w:firstRow="0" w:lastRow="0" w:firstColumn="0" w:lastColumn="0" w:oddVBand="0" w:evenVBand="0" w:oddHBand="0" w:evenHBand="0" w:firstRowFirstColumn="0" w:firstRowLastColumn="0" w:lastRowFirstColumn="0" w:lastRowLastColumn="0"/>
              <w:rPr>
                <w:sz w:val="18"/>
                <w:szCs w:val="18"/>
              </w:rPr>
            </w:pPr>
            <w:r w:rsidRPr="006D412A">
              <w:rPr>
                <w:sz w:val="18"/>
                <w:szCs w:val="18"/>
              </w:rPr>
              <w:t xml:space="preserve">the impact of puberty blockers on clinical outcomes in gender-dysphoric adolescents </w:t>
            </w:r>
          </w:p>
          <w:p w14:paraId="5FE4E9C3" w14:textId="77777777" w:rsidR="006D412A" w:rsidRPr="006D412A" w:rsidRDefault="006D412A" w:rsidP="008E7AAD">
            <w:pPr>
              <w:numPr>
                <w:ilvl w:val="0"/>
                <w:numId w:val="34"/>
              </w:numPr>
              <w:spacing w:before="60" w:after="60" w:line="279" w:lineRule="auto"/>
              <w:ind w:left="433"/>
              <w:cnfStyle w:val="000000000000" w:firstRow="0" w:lastRow="0" w:firstColumn="0" w:lastColumn="0" w:oddVBand="0" w:evenVBand="0" w:oddHBand="0" w:evenHBand="0" w:firstRowFirstColumn="0" w:firstRowLastColumn="0" w:lastRowFirstColumn="0" w:lastRowLastColumn="0"/>
              <w:rPr>
                <w:sz w:val="18"/>
                <w:szCs w:val="18"/>
              </w:rPr>
            </w:pPr>
            <w:r w:rsidRPr="006D412A">
              <w:rPr>
                <w:sz w:val="18"/>
                <w:szCs w:val="18"/>
              </w:rPr>
              <w:t>the impact of puberty blockers on mental health and wellbeing outcomes for gender-dysphoric adolescents</w:t>
            </w:r>
          </w:p>
          <w:p w14:paraId="6BE8D8CB" w14:textId="77777777" w:rsidR="006D412A" w:rsidRPr="006D412A" w:rsidRDefault="006D412A" w:rsidP="008E7AAD">
            <w:pPr>
              <w:numPr>
                <w:ilvl w:val="0"/>
                <w:numId w:val="34"/>
              </w:numPr>
              <w:spacing w:before="60" w:after="60" w:line="279" w:lineRule="auto"/>
              <w:ind w:left="433"/>
              <w:cnfStyle w:val="000000000000" w:firstRow="0" w:lastRow="0" w:firstColumn="0" w:lastColumn="0" w:oddVBand="0" w:evenVBand="0" w:oddHBand="0" w:evenHBand="0" w:firstRowFirstColumn="0" w:firstRowLastColumn="0" w:lastRowFirstColumn="0" w:lastRowLastColumn="0"/>
              <w:rPr>
                <w:sz w:val="18"/>
                <w:szCs w:val="18"/>
              </w:rPr>
            </w:pPr>
            <w:r w:rsidRPr="006D412A">
              <w:rPr>
                <w:sz w:val="18"/>
                <w:szCs w:val="18"/>
              </w:rPr>
              <w:t>targeted mental health and wellbeing interventions for adolescents who are more likely to experience gender dysphoria</w:t>
            </w:r>
          </w:p>
          <w:p w14:paraId="5ED1E6B8" w14:textId="77777777" w:rsidR="006D412A" w:rsidRPr="006D412A" w:rsidRDefault="006D412A" w:rsidP="008E7AAD">
            <w:pPr>
              <w:numPr>
                <w:ilvl w:val="0"/>
                <w:numId w:val="34"/>
              </w:numPr>
              <w:spacing w:before="60" w:after="60" w:line="279" w:lineRule="auto"/>
              <w:ind w:left="433"/>
              <w:cnfStyle w:val="000000000000" w:firstRow="0" w:lastRow="0" w:firstColumn="0" w:lastColumn="0" w:oddVBand="0" w:evenVBand="0" w:oddHBand="0" w:evenHBand="0" w:firstRowFirstColumn="0" w:firstRowLastColumn="0" w:lastRowFirstColumn="0" w:lastRowLastColumn="0"/>
              <w:rPr>
                <w:sz w:val="18"/>
                <w:szCs w:val="18"/>
              </w:rPr>
            </w:pPr>
            <w:r w:rsidRPr="006D412A">
              <w:rPr>
                <w:sz w:val="18"/>
                <w:szCs w:val="18"/>
              </w:rPr>
              <w:t>an overview of international legislative and governance arrangements.</w:t>
            </w:r>
          </w:p>
          <w:p w14:paraId="7F653B9E" w14:textId="77777777" w:rsidR="006D412A" w:rsidRPr="006D412A" w:rsidRDefault="006D412A" w:rsidP="008E7AAD">
            <w:pPr>
              <w:spacing w:before="60" w:after="60"/>
              <w:cnfStyle w:val="000000000000" w:firstRow="0" w:lastRow="0" w:firstColumn="0" w:lastColumn="0" w:oddVBand="0" w:evenVBand="0" w:oddHBand="0" w:evenHBand="0" w:firstRowFirstColumn="0" w:firstRowLastColumn="0" w:lastRowFirstColumn="0" w:lastRowLastColumn="0"/>
              <w:rPr>
                <w:sz w:val="18"/>
                <w:szCs w:val="18"/>
              </w:rPr>
            </w:pPr>
            <w:r w:rsidRPr="006D412A">
              <w:rPr>
                <w:b/>
                <w:bCs/>
                <w:sz w:val="18"/>
                <w:szCs w:val="18"/>
              </w:rPr>
              <w:t>Future plans include</w:t>
            </w:r>
            <w:r w:rsidRPr="006D412A">
              <w:rPr>
                <w:sz w:val="18"/>
                <w:szCs w:val="18"/>
              </w:rPr>
              <w:t xml:space="preserve"> two original research projects to better understand the epidemiology and treatment pathways for children and young people experiencing gender related distress in Aotearoa New Zealand: </w:t>
            </w:r>
          </w:p>
          <w:p w14:paraId="69AD1ED9" w14:textId="77777777" w:rsidR="006D412A" w:rsidRPr="006D412A" w:rsidRDefault="006D412A" w:rsidP="008E7AAD">
            <w:pPr>
              <w:pStyle w:val="ListParagraph"/>
              <w:numPr>
                <w:ilvl w:val="0"/>
                <w:numId w:val="38"/>
              </w:numPr>
              <w:spacing w:before="60" w:after="60" w:line="278"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18"/>
                <w:szCs w:val="18"/>
              </w:rPr>
            </w:pPr>
            <w:r w:rsidRPr="006D412A">
              <w:rPr>
                <w:sz w:val="18"/>
                <w:szCs w:val="18"/>
              </w:rPr>
              <w:t xml:space="preserve">Project 1: A retrospective audit to assess the use and impact of </w:t>
            </w:r>
            <w:proofErr w:type="spellStart"/>
            <w:r w:rsidRPr="006D412A">
              <w:rPr>
                <w:sz w:val="18"/>
                <w:szCs w:val="18"/>
              </w:rPr>
              <w:t>GnRHa</w:t>
            </w:r>
            <w:proofErr w:type="spellEnd"/>
            <w:r w:rsidRPr="006D412A">
              <w:rPr>
                <w:sz w:val="18"/>
                <w:szCs w:val="18"/>
              </w:rPr>
              <w:t xml:space="preserve"> in gender-dysphoric/incongruent adolescents over the last five years in transgender youth services across Aotearoa New Zealand</w:t>
            </w:r>
          </w:p>
          <w:p w14:paraId="31854DD0" w14:textId="77777777" w:rsidR="006D412A" w:rsidRPr="006D412A" w:rsidRDefault="006D412A" w:rsidP="008E7AAD">
            <w:pPr>
              <w:pStyle w:val="ListParagraph"/>
              <w:numPr>
                <w:ilvl w:val="0"/>
                <w:numId w:val="38"/>
              </w:numPr>
              <w:spacing w:before="60" w:after="60" w:line="278" w:lineRule="auto"/>
              <w:ind w:left="357" w:hanging="357"/>
              <w:contextualSpacing w:val="0"/>
              <w:cnfStyle w:val="000000000000" w:firstRow="0" w:lastRow="0" w:firstColumn="0" w:lastColumn="0" w:oddVBand="0" w:evenVBand="0" w:oddHBand="0" w:evenHBand="0" w:firstRowFirstColumn="0" w:firstRowLastColumn="0" w:lastRowFirstColumn="0" w:lastRowLastColumn="0"/>
              <w:rPr>
                <w:sz w:val="18"/>
                <w:szCs w:val="18"/>
              </w:rPr>
            </w:pPr>
            <w:r w:rsidRPr="006D412A">
              <w:rPr>
                <w:sz w:val="18"/>
                <w:szCs w:val="18"/>
              </w:rPr>
              <w:t>Project 2: A prospective, longitudinal observational cohort study of individuals prescribed puberty blockers for gender dysphoria/incongruence.</w:t>
            </w:r>
          </w:p>
        </w:tc>
      </w:tr>
    </w:tbl>
    <w:p w14:paraId="7BEBC731" w14:textId="77777777" w:rsidR="00B8726A" w:rsidRDefault="00B8726A">
      <w:pPr>
        <w:sectPr w:rsidR="00B8726A" w:rsidSect="002147A9">
          <w:footerReference w:type="default" r:id="rId26"/>
          <w:pgSz w:w="16838" w:h="11906" w:orient="landscape"/>
          <w:pgMar w:top="1134" w:right="1701" w:bottom="1134" w:left="1701" w:header="709" w:footer="425" w:gutter="0"/>
          <w:cols w:space="708"/>
          <w:docGrid w:linePitch="360"/>
        </w:sectPr>
      </w:pPr>
    </w:p>
    <w:p w14:paraId="39BCCA4D" w14:textId="1AA9B75A" w:rsidR="00B8726A" w:rsidRDefault="00B8726A"/>
    <w:tbl>
      <w:tblPr>
        <w:tblStyle w:val="GridTable2-Accent1"/>
        <w:tblW w:w="13608" w:type="dxa"/>
        <w:tblLook w:val="04A0" w:firstRow="1" w:lastRow="0" w:firstColumn="1" w:lastColumn="0" w:noHBand="0" w:noVBand="1"/>
      </w:tblPr>
      <w:tblGrid>
        <w:gridCol w:w="6804"/>
        <w:gridCol w:w="6804"/>
      </w:tblGrid>
      <w:tr w:rsidR="00B8726A" w:rsidRPr="00B8726A" w14:paraId="56431F4B" w14:textId="77777777" w:rsidTr="00B8726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804" w:type="dxa"/>
            <w:tcBorders>
              <w:top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D9D9D9" w:themeFill="background1" w:themeFillShade="D9"/>
          </w:tcPr>
          <w:p w14:paraId="427EB445" w14:textId="10048CB4" w:rsidR="00B8726A" w:rsidRPr="00B8726A" w:rsidRDefault="00B8726A" w:rsidP="00B8726A">
            <w:pPr>
              <w:tabs>
                <w:tab w:val="left" w:pos="5175"/>
              </w:tabs>
              <w:spacing w:before="60" w:after="60"/>
              <w:rPr>
                <w:b w:val="0"/>
                <w:bCs w:val="0"/>
                <w:sz w:val="18"/>
                <w:szCs w:val="18"/>
              </w:rPr>
            </w:pPr>
            <w:r w:rsidRPr="00B8726A">
              <w:rPr>
                <w:sz w:val="18"/>
                <w:szCs w:val="18"/>
              </w:rPr>
              <w:t>The Cass Review</w:t>
            </w:r>
          </w:p>
        </w:tc>
        <w:tc>
          <w:tcPr>
            <w:tcW w:w="6804" w:type="dxa"/>
            <w:tcBorders>
              <w:top w:val="single" w:sz="2" w:space="0" w:color="A6A6A6" w:themeColor="background1" w:themeShade="A6"/>
              <w:left w:val="single" w:sz="2" w:space="0" w:color="A6A6A6" w:themeColor="background1" w:themeShade="A6"/>
              <w:bottom w:val="single" w:sz="2" w:space="0" w:color="A6A6A6" w:themeColor="background1" w:themeShade="A6"/>
            </w:tcBorders>
            <w:shd w:val="clear" w:color="auto" w:fill="D9D9D9" w:themeFill="background1" w:themeFillShade="D9"/>
          </w:tcPr>
          <w:p w14:paraId="4BF02187" w14:textId="19968C64" w:rsidR="00B8726A" w:rsidRPr="00B8726A" w:rsidRDefault="00B8726A" w:rsidP="00B8726A">
            <w:pPr>
              <w:tabs>
                <w:tab w:val="left" w:pos="5175"/>
              </w:tabs>
              <w:spacing w:before="60" w:after="60"/>
              <w:cnfStyle w:val="100000000000" w:firstRow="1" w:lastRow="0" w:firstColumn="0" w:lastColumn="0" w:oddVBand="0" w:evenVBand="0" w:oddHBand="0" w:evenHBand="0" w:firstRowFirstColumn="0" w:firstRowLastColumn="0" w:lastRowFirstColumn="0" w:lastRowLastColumn="0"/>
              <w:rPr>
                <w:sz w:val="18"/>
                <w:szCs w:val="18"/>
              </w:rPr>
            </w:pPr>
            <w:r w:rsidRPr="00B8726A">
              <w:rPr>
                <w:sz w:val="18"/>
                <w:szCs w:val="18"/>
              </w:rPr>
              <w:t>Ministry of Health – Manatū Hauora work programme</w:t>
            </w:r>
          </w:p>
        </w:tc>
      </w:tr>
      <w:tr w:rsidR="006D412A" w:rsidRPr="00FA2EBC" w14:paraId="27902BB3" w14:textId="77777777" w:rsidTr="00A152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08" w:type="dxa"/>
            <w:gridSpan w:val="2"/>
            <w:tcBorders>
              <w:top w:val="single" w:sz="2" w:space="0" w:color="A6A6A6" w:themeColor="background1" w:themeShade="A6"/>
              <w:bottom w:val="single" w:sz="2" w:space="0" w:color="A6A6A6" w:themeColor="background1" w:themeShade="A6"/>
            </w:tcBorders>
          </w:tcPr>
          <w:p w14:paraId="410CEA95" w14:textId="77777777" w:rsidR="006D412A" w:rsidRPr="00C93BF7" w:rsidRDefault="006D412A" w:rsidP="00C93BF7">
            <w:pPr>
              <w:tabs>
                <w:tab w:val="left" w:pos="5175"/>
              </w:tabs>
              <w:spacing w:before="60" w:after="60"/>
              <w:rPr>
                <w:sz w:val="18"/>
                <w:szCs w:val="18"/>
              </w:rPr>
            </w:pPr>
            <w:r w:rsidRPr="00C93BF7">
              <w:rPr>
                <w:sz w:val="18"/>
                <w:szCs w:val="18"/>
              </w:rPr>
              <w:t>Clinical approach and clinical management</w:t>
            </w:r>
          </w:p>
        </w:tc>
      </w:tr>
      <w:tr w:rsidR="00A152C2" w:rsidRPr="00A152C2" w14:paraId="00946931" w14:textId="77777777" w:rsidTr="00A152C2">
        <w:tc>
          <w:tcPr>
            <w:cnfStyle w:val="001000000000" w:firstRow="0" w:lastRow="0" w:firstColumn="1" w:lastColumn="0" w:oddVBand="0" w:evenVBand="0" w:oddHBand="0" w:evenHBand="0" w:firstRowFirstColumn="0" w:firstRowLastColumn="0" w:lastRowFirstColumn="0" w:lastRowLastColumn="0"/>
            <w:tcW w:w="6804" w:type="dxa"/>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2B124960" w14:textId="2C17B739" w:rsidR="00A152C2" w:rsidRDefault="00A152C2" w:rsidP="008E7AAD">
            <w:pPr>
              <w:tabs>
                <w:tab w:val="left" w:pos="5175"/>
              </w:tabs>
              <w:spacing w:before="60" w:after="60"/>
              <w:rPr>
                <w:b w:val="0"/>
                <w:bCs w:val="0"/>
                <w:sz w:val="18"/>
                <w:szCs w:val="18"/>
              </w:rPr>
            </w:pPr>
            <w:r w:rsidRPr="00A152C2">
              <w:rPr>
                <w:sz w:val="18"/>
                <w:szCs w:val="18"/>
              </w:rPr>
              <w:t>Clinical guidelines</w:t>
            </w:r>
          </w:p>
          <w:p w14:paraId="24DCD834" w14:textId="25EE7888" w:rsidR="00A152C2" w:rsidRDefault="00A152C2" w:rsidP="008E7AAD">
            <w:pPr>
              <w:tabs>
                <w:tab w:val="left" w:pos="5175"/>
              </w:tabs>
              <w:spacing w:before="60" w:after="60"/>
              <w:rPr>
                <w:sz w:val="18"/>
                <w:szCs w:val="18"/>
              </w:rPr>
            </w:pPr>
            <w:r w:rsidRPr="00A152C2">
              <w:rPr>
                <w:b w:val="0"/>
                <w:bCs w:val="0"/>
                <w:sz w:val="18"/>
                <w:szCs w:val="18"/>
              </w:rPr>
              <w:t>In the commissioned systematic reviews of clinical guidelines,</w:t>
            </w:r>
            <w:r w:rsidRPr="00A152C2">
              <w:rPr>
                <w:rStyle w:val="FootnoteReference"/>
                <w:b w:val="0"/>
                <w:bCs w:val="0"/>
                <w:sz w:val="18"/>
                <w:szCs w:val="18"/>
              </w:rPr>
              <w:footnoteReference w:id="11"/>
            </w:r>
            <w:r w:rsidRPr="00A152C2">
              <w:rPr>
                <w:b w:val="0"/>
                <w:bCs w:val="0"/>
                <w:sz w:val="18"/>
                <w:szCs w:val="18"/>
                <w:vertAlign w:val="superscript"/>
              </w:rPr>
              <w:t>,</w:t>
            </w:r>
            <w:r>
              <w:rPr>
                <w:rStyle w:val="FootnoteReference"/>
                <w:b w:val="0"/>
                <w:bCs w:val="0"/>
                <w:sz w:val="18"/>
                <w:szCs w:val="18"/>
              </w:rPr>
              <w:footnoteReference w:id="12"/>
            </w:r>
            <w:r>
              <w:rPr>
                <w:b w:val="0"/>
                <w:bCs w:val="0"/>
                <w:sz w:val="18"/>
                <w:szCs w:val="18"/>
              </w:rPr>
              <w:t xml:space="preserve"> </w:t>
            </w:r>
            <w:r w:rsidRPr="00A152C2">
              <w:rPr>
                <w:b w:val="0"/>
                <w:bCs w:val="0"/>
                <w:sz w:val="18"/>
                <w:szCs w:val="18"/>
              </w:rPr>
              <w:t>only two guidelines were considered to have appropriate levels of rigour.</w:t>
            </w:r>
            <w:r w:rsidR="00C41AFC">
              <w:rPr>
                <w:rStyle w:val="FootnoteReference"/>
                <w:b w:val="0"/>
                <w:bCs w:val="0"/>
                <w:sz w:val="18"/>
                <w:szCs w:val="18"/>
              </w:rPr>
              <w:footnoteReference w:id="13"/>
            </w:r>
            <w:r w:rsidRPr="00A152C2">
              <w:rPr>
                <w:b w:val="0"/>
                <w:bCs w:val="0"/>
                <w:sz w:val="18"/>
                <w:szCs w:val="18"/>
              </w:rPr>
              <w:t xml:space="preserve">  These were the Finnish</w:t>
            </w:r>
            <w:r w:rsidR="00C41AFC">
              <w:rPr>
                <w:rStyle w:val="FootnoteReference"/>
                <w:b w:val="0"/>
                <w:bCs w:val="0"/>
                <w:sz w:val="18"/>
                <w:szCs w:val="18"/>
              </w:rPr>
              <w:footnoteReference w:id="14"/>
            </w:r>
            <w:r w:rsidRPr="00A152C2">
              <w:rPr>
                <w:b w:val="0"/>
                <w:bCs w:val="0"/>
                <w:sz w:val="18"/>
                <w:szCs w:val="18"/>
              </w:rPr>
              <w:t xml:space="preserve"> and Swedish</w:t>
            </w:r>
            <w:r w:rsidR="00C41AFC">
              <w:rPr>
                <w:rStyle w:val="FootnoteReference"/>
                <w:b w:val="0"/>
                <w:bCs w:val="0"/>
                <w:sz w:val="18"/>
                <w:szCs w:val="18"/>
              </w:rPr>
              <w:footnoteReference w:id="15"/>
            </w:r>
            <w:r w:rsidRPr="00A152C2">
              <w:rPr>
                <w:b w:val="0"/>
                <w:bCs w:val="0"/>
                <w:sz w:val="18"/>
                <w:szCs w:val="18"/>
              </w:rPr>
              <w:t xml:space="preserve"> guidelines.</w:t>
            </w:r>
          </w:p>
          <w:p w14:paraId="24604BEC" w14:textId="34E4CF48" w:rsidR="00A152C2" w:rsidRDefault="00A152C2" w:rsidP="008E7AAD">
            <w:pPr>
              <w:tabs>
                <w:tab w:val="left" w:pos="5175"/>
              </w:tabs>
              <w:spacing w:before="60" w:after="60"/>
              <w:rPr>
                <w:sz w:val="18"/>
                <w:szCs w:val="18"/>
              </w:rPr>
            </w:pPr>
            <w:r w:rsidRPr="00A152C2">
              <w:rPr>
                <w:b w:val="0"/>
                <w:bCs w:val="0"/>
                <w:sz w:val="18"/>
                <w:szCs w:val="18"/>
              </w:rPr>
              <w:t xml:space="preserve">One of the other guidelines reviewed was </w:t>
            </w:r>
            <w:r w:rsidRPr="00C41AFC">
              <w:rPr>
                <w:i/>
                <w:iCs/>
                <w:sz w:val="18"/>
                <w:szCs w:val="18"/>
              </w:rPr>
              <w:t>Guidelines for Gender Affirming Healthcare for Gender Diverse and Transgender Children, Young People and Adults in New Zealand</w:t>
            </w:r>
            <w:r w:rsidRPr="00A152C2">
              <w:rPr>
                <w:b w:val="0"/>
                <w:bCs w:val="0"/>
                <w:sz w:val="18"/>
                <w:szCs w:val="18"/>
              </w:rPr>
              <w:t>, published by the University of Waikato.</w:t>
            </w:r>
            <w:r w:rsidR="007E70DA">
              <w:rPr>
                <w:rStyle w:val="FootnoteReference"/>
                <w:b w:val="0"/>
                <w:bCs w:val="0"/>
                <w:sz w:val="18"/>
                <w:szCs w:val="18"/>
              </w:rPr>
              <w:footnoteReference w:id="16"/>
            </w:r>
            <w:r w:rsidRPr="00A152C2">
              <w:rPr>
                <w:b w:val="0"/>
                <w:bCs w:val="0"/>
                <w:sz w:val="18"/>
                <w:szCs w:val="18"/>
              </w:rPr>
              <w:t xml:space="preserve">  </w:t>
            </w:r>
          </w:p>
          <w:p w14:paraId="24134CDA" w14:textId="77777777" w:rsidR="00C41AFC" w:rsidRPr="002147A9" w:rsidRDefault="00C41AFC" w:rsidP="008E7AAD">
            <w:pPr>
              <w:tabs>
                <w:tab w:val="left" w:pos="5175"/>
              </w:tabs>
              <w:spacing w:before="60" w:after="60"/>
              <w:rPr>
                <w:b w:val="0"/>
                <w:bCs w:val="0"/>
                <w:sz w:val="18"/>
                <w:szCs w:val="18"/>
              </w:rPr>
            </w:pPr>
            <w:r w:rsidRPr="002147A9">
              <w:rPr>
                <w:b w:val="0"/>
                <w:bCs w:val="0"/>
                <w:sz w:val="18"/>
                <w:szCs w:val="18"/>
              </w:rPr>
              <w:t>Many of the guidelines referred to other guidelines as their basis for making the same recommendations. Early versions of two international guidelines, the Endocrine Society 2009 [since updated in 2017]</w:t>
            </w:r>
            <w:r w:rsidRPr="002147A9">
              <w:rPr>
                <w:b w:val="0"/>
                <w:bCs w:val="0"/>
                <w:sz w:val="18"/>
                <w:szCs w:val="18"/>
                <w:vertAlign w:val="superscript"/>
              </w:rPr>
              <w:footnoteReference w:id="17"/>
            </w:r>
            <w:r w:rsidRPr="002147A9">
              <w:rPr>
                <w:b w:val="0"/>
                <w:bCs w:val="0"/>
                <w:sz w:val="18"/>
                <w:szCs w:val="18"/>
              </w:rPr>
              <w:t xml:space="preserve"> and World Professional Association for Transgender Healthcare (WPATH) 7 [since updated in 2022]</w:t>
            </w:r>
            <w:r w:rsidRPr="002147A9">
              <w:rPr>
                <w:b w:val="0"/>
                <w:bCs w:val="0"/>
                <w:sz w:val="18"/>
                <w:szCs w:val="18"/>
                <w:vertAlign w:val="superscript"/>
              </w:rPr>
              <w:footnoteReference w:id="18"/>
            </w:r>
            <w:r w:rsidRPr="002147A9">
              <w:rPr>
                <w:b w:val="0"/>
                <w:bCs w:val="0"/>
                <w:sz w:val="18"/>
                <w:szCs w:val="18"/>
              </w:rPr>
              <w:t xml:space="preserve"> influenced nearly all the other guidelines.</w:t>
            </w:r>
          </w:p>
          <w:p w14:paraId="29CC83CE" w14:textId="1A299B6A" w:rsidR="00A152C2" w:rsidRPr="00A152C2" w:rsidRDefault="00C41AFC" w:rsidP="008E7AAD">
            <w:pPr>
              <w:tabs>
                <w:tab w:val="left" w:pos="5175"/>
              </w:tabs>
              <w:spacing w:before="60" w:after="60"/>
              <w:rPr>
                <w:sz w:val="18"/>
                <w:szCs w:val="18"/>
              </w:rPr>
            </w:pPr>
            <w:r w:rsidRPr="002147A9">
              <w:rPr>
                <w:sz w:val="18"/>
                <w:szCs w:val="18"/>
              </w:rPr>
              <w:t>Recommendation 3</w:t>
            </w:r>
            <w:r w:rsidRPr="002147A9">
              <w:rPr>
                <w:b w:val="0"/>
                <w:bCs w:val="0"/>
                <w:sz w:val="18"/>
                <w:szCs w:val="18"/>
              </w:rPr>
              <w:t xml:space="preserve"> in the Cass Review addresses these clinical guideline issues.</w:t>
            </w:r>
          </w:p>
        </w:tc>
        <w:tc>
          <w:tcPr>
            <w:tcW w:w="6804" w:type="dxa"/>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62ECDBC1" w14:textId="77777777" w:rsidR="00A152C2" w:rsidRPr="002147A9" w:rsidRDefault="00A152C2" w:rsidP="008E7AAD">
            <w:pPr>
              <w:spacing w:before="60" w:after="60"/>
              <w:cnfStyle w:val="000000000000" w:firstRow="0" w:lastRow="0" w:firstColumn="0" w:lastColumn="0" w:oddVBand="0" w:evenVBand="0" w:oddHBand="0" w:evenHBand="0" w:firstRowFirstColumn="0" w:firstRowLastColumn="0" w:lastRowFirstColumn="0" w:lastRowLastColumn="0"/>
              <w:rPr>
                <w:b/>
                <w:bCs/>
                <w:sz w:val="18"/>
                <w:szCs w:val="18"/>
              </w:rPr>
            </w:pPr>
            <w:r w:rsidRPr="002147A9">
              <w:rPr>
                <w:b/>
                <w:bCs/>
                <w:sz w:val="18"/>
                <w:szCs w:val="18"/>
              </w:rPr>
              <w:t>Clinical guidelines</w:t>
            </w:r>
          </w:p>
          <w:p w14:paraId="33B777F2" w14:textId="77777777" w:rsidR="00A152C2" w:rsidRPr="002147A9" w:rsidRDefault="00A152C2" w:rsidP="008E7AAD">
            <w:pPr>
              <w:spacing w:before="60" w:after="60"/>
              <w:cnfStyle w:val="000000000000" w:firstRow="0" w:lastRow="0" w:firstColumn="0" w:lastColumn="0" w:oddVBand="0" w:evenVBand="0" w:oddHBand="0" w:evenHBand="0" w:firstRowFirstColumn="0" w:firstRowLastColumn="0" w:lastRowFirstColumn="0" w:lastRowLastColumn="0"/>
              <w:rPr>
                <w:sz w:val="18"/>
                <w:szCs w:val="18"/>
              </w:rPr>
            </w:pPr>
            <w:r w:rsidRPr="002147A9">
              <w:rPr>
                <w:sz w:val="18"/>
                <w:szCs w:val="18"/>
              </w:rPr>
              <w:t xml:space="preserve">This addendum includes an overview of international regulations and clinical guidelines.  </w:t>
            </w:r>
          </w:p>
          <w:p w14:paraId="25E941F7" w14:textId="208149EB" w:rsidR="00A152C2" w:rsidRPr="00A152C2" w:rsidRDefault="00A152C2" w:rsidP="008E7AAD">
            <w:pPr>
              <w:spacing w:before="60" w:after="60"/>
              <w:cnfStyle w:val="000000000000" w:firstRow="0" w:lastRow="0" w:firstColumn="0" w:lastColumn="0" w:oddVBand="0" w:evenVBand="0" w:oddHBand="0" w:evenHBand="0" w:firstRowFirstColumn="0" w:firstRowLastColumn="0" w:lastRowFirstColumn="0" w:lastRowLastColumn="0"/>
              <w:rPr>
                <w:b/>
                <w:bCs/>
                <w:sz w:val="18"/>
                <w:szCs w:val="18"/>
              </w:rPr>
            </w:pPr>
            <w:r w:rsidRPr="002147A9">
              <w:rPr>
                <w:sz w:val="18"/>
                <w:szCs w:val="18"/>
              </w:rPr>
              <w:t>The evidence brief and addendum will inform the clinical care pathways work that Health New Zealand has begun.</w:t>
            </w:r>
          </w:p>
        </w:tc>
      </w:tr>
      <w:tr w:rsidR="006D412A" w:rsidRPr="002147A9" w14:paraId="300BFC09" w14:textId="77777777" w:rsidTr="008E7A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08" w:type="dxa"/>
            <w:gridSpan w:val="2"/>
            <w:tcBorders>
              <w:top w:val="single" w:sz="2" w:space="0" w:color="A6A6A6" w:themeColor="background1" w:themeShade="A6"/>
              <w:bottom w:val="single" w:sz="2" w:space="0" w:color="A6A6A6" w:themeColor="background1" w:themeShade="A6"/>
            </w:tcBorders>
          </w:tcPr>
          <w:p w14:paraId="78354E5B" w14:textId="77777777" w:rsidR="006D412A" w:rsidRPr="002147A9" w:rsidRDefault="006D412A" w:rsidP="00B8726A">
            <w:pPr>
              <w:keepNext/>
              <w:spacing w:before="60" w:after="60"/>
              <w:rPr>
                <w:sz w:val="18"/>
                <w:szCs w:val="18"/>
              </w:rPr>
            </w:pPr>
            <w:r w:rsidRPr="002147A9">
              <w:rPr>
                <w:sz w:val="18"/>
                <w:szCs w:val="18"/>
              </w:rPr>
              <w:t>Research capacity</w:t>
            </w:r>
          </w:p>
        </w:tc>
      </w:tr>
      <w:tr w:rsidR="00A152C2" w:rsidRPr="002147A9" w14:paraId="329B4B0F" w14:textId="77777777" w:rsidTr="008E7AAD">
        <w:tc>
          <w:tcPr>
            <w:cnfStyle w:val="001000000000" w:firstRow="0" w:lastRow="0" w:firstColumn="1" w:lastColumn="0" w:oddVBand="0" w:evenVBand="0" w:oddHBand="0" w:evenHBand="0" w:firstRowFirstColumn="0" w:firstRowLastColumn="0" w:lastRowFirstColumn="0" w:lastRowLastColumn="0"/>
            <w:tcW w:w="6804" w:type="dxa"/>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56D0AC3A" w14:textId="77777777" w:rsidR="006D412A" w:rsidRPr="002147A9" w:rsidRDefault="006D412A" w:rsidP="002147A9">
            <w:pPr>
              <w:tabs>
                <w:tab w:val="left" w:pos="5175"/>
              </w:tabs>
              <w:spacing w:before="60" w:after="60"/>
              <w:rPr>
                <w:b w:val="0"/>
                <w:bCs w:val="0"/>
                <w:sz w:val="18"/>
                <w:szCs w:val="18"/>
              </w:rPr>
            </w:pPr>
            <w:r w:rsidRPr="002147A9">
              <w:rPr>
                <w:b w:val="0"/>
                <w:bCs w:val="0"/>
                <w:sz w:val="18"/>
                <w:szCs w:val="18"/>
              </w:rPr>
              <w:t>A living systematic review approach should be considered to incorporate relevant new evidence as it becomes available to inform the clinical approach of the new services, ensuring it remains up to date and dynamic.</w:t>
            </w:r>
          </w:p>
          <w:p w14:paraId="1E6C0770" w14:textId="77777777" w:rsidR="006D412A" w:rsidRPr="002147A9" w:rsidRDefault="006D412A" w:rsidP="002147A9">
            <w:pPr>
              <w:tabs>
                <w:tab w:val="left" w:pos="5175"/>
              </w:tabs>
              <w:spacing w:before="60" w:after="60"/>
              <w:rPr>
                <w:b w:val="0"/>
                <w:bCs w:val="0"/>
                <w:sz w:val="18"/>
                <w:szCs w:val="18"/>
              </w:rPr>
            </w:pPr>
            <w:r w:rsidRPr="002147A9">
              <w:rPr>
                <w:b w:val="0"/>
                <w:bCs w:val="0"/>
                <w:sz w:val="18"/>
                <w:szCs w:val="18"/>
              </w:rPr>
              <w:t>Priorities for research should include analysis of the characteristics of the population and formal research protocols underpinning both medical and non-medical interventions with follow-up into adulthood.</w:t>
            </w:r>
          </w:p>
          <w:p w14:paraId="3166096A" w14:textId="77777777" w:rsidR="006D412A" w:rsidRPr="002147A9" w:rsidRDefault="006D412A" w:rsidP="002147A9">
            <w:pPr>
              <w:tabs>
                <w:tab w:val="left" w:pos="5175"/>
              </w:tabs>
              <w:spacing w:before="60" w:after="60"/>
              <w:rPr>
                <w:b w:val="0"/>
                <w:bCs w:val="0"/>
                <w:sz w:val="18"/>
                <w:szCs w:val="18"/>
              </w:rPr>
            </w:pPr>
            <w:r w:rsidRPr="002147A9">
              <w:rPr>
                <w:b w:val="0"/>
                <w:bCs w:val="0"/>
                <w:sz w:val="18"/>
                <w:szCs w:val="18"/>
              </w:rPr>
              <w:t xml:space="preserve">It is necessary to establish a research strategy and build the required infrastructure to fill gaps in the evidence. </w:t>
            </w:r>
          </w:p>
          <w:p w14:paraId="3283E40D" w14:textId="77777777" w:rsidR="006D412A" w:rsidRPr="002147A9" w:rsidRDefault="006D412A" w:rsidP="002147A9">
            <w:pPr>
              <w:tabs>
                <w:tab w:val="left" w:pos="5175"/>
              </w:tabs>
              <w:spacing w:before="60" w:after="60"/>
              <w:rPr>
                <w:b w:val="0"/>
                <w:bCs w:val="0"/>
                <w:sz w:val="18"/>
                <w:szCs w:val="18"/>
              </w:rPr>
            </w:pPr>
            <w:r w:rsidRPr="002147A9">
              <w:rPr>
                <w:sz w:val="18"/>
                <w:szCs w:val="18"/>
              </w:rPr>
              <w:t>Recommendation 20</w:t>
            </w:r>
            <w:r w:rsidRPr="002147A9">
              <w:rPr>
                <w:b w:val="0"/>
                <w:bCs w:val="0"/>
                <w:sz w:val="18"/>
                <w:szCs w:val="18"/>
              </w:rPr>
              <w:t xml:space="preserve"> in the Cass Review addresses research capacity and strategy needs.</w:t>
            </w:r>
          </w:p>
        </w:tc>
        <w:tc>
          <w:tcPr>
            <w:tcW w:w="6804" w:type="dxa"/>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08D09793" w14:textId="77777777" w:rsidR="006D412A" w:rsidRPr="002147A9" w:rsidRDefault="006D412A" w:rsidP="002147A9">
            <w:pPr>
              <w:spacing w:before="60" w:after="60"/>
              <w:cnfStyle w:val="000000000000" w:firstRow="0" w:lastRow="0" w:firstColumn="0" w:lastColumn="0" w:oddVBand="0" w:evenVBand="0" w:oddHBand="0" w:evenHBand="0" w:firstRowFirstColumn="0" w:firstRowLastColumn="0" w:lastRowFirstColumn="0" w:lastRowLastColumn="0"/>
              <w:rPr>
                <w:sz w:val="18"/>
                <w:szCs w:val="18"/>
              </w:rPr>
            </w:pPr>
            <w:r w:rsidRPr="002147A9">
              <w:rPr>
                <w:sz w:val="18"/>
                <w:szCs w:val="18"/>
              </w:rPr>
              <w:t>The Ministry will continue to keep a watching brief on emerging evidence on the impact of puberty blockers in gender-dysphoric adolescents. Where substantive evidence emerges or considerable time has passed since the last update, the evidence brief will be updated to reflect the latest evidence.</w:t>
            </w:r>
          </w:p>
          <w:p w14:paraId="45539581" w14:textId="77777777" w:rsidR="006D412A" w:rsidRPr="002147A9" w:rsidRDefault="006D412A" w:rsidP="002147A9">
            <w:pPr>
              <w:spacing w:before="60" w:after="60"/>
              <w:cnfStyle w:val="000000000000" w:firstRow="0" w:lastRow="0" w:firstColumn="0" w:lastColumn="0" w:oddVBand="0" w:evenVBand="0" w:oddHBand="0" w:evenHBand="0" w:firstRowFirstColumn="0" w:firstRowLastColumn="0" w:lastRowFirstColumn="0" w:lastRowLastColumn="0"/>
              <w:rPr>
                <w:sz w:val="18"/>
                <w:szCs w:val="18"/>
              </w:rPr>
            </w:pPr>
            <w:r w:rsidRPr="002147A9">
              <w:rPr>
                <w:sz w:val="18"/>
                <w:szCs w:val="18"/>
              </w:rPr>
              <w:t xml:space="preserve">The research projects, when commissioned, will support the development of an Aotearoa New Zealand–specific evidence base on any impacts of puberty blockers in gender-dysphoric/incongruent adolescents. </w:t>
            </w:r>
          </w:p>
        </w:tc>
      </w:tr>
    </w:tbl>
    <w:p w14:paraId="72D9985C" w14:textId="2DB08151" w:rsidR="006D412A" w:rsidRPr="00FA2EBC" w:rsidRDefault="006D412A" w:rsidP="006D412A">
      <w:pPr>
        <w:sectPr w:rsidR="006D412A" w:rsidRPr="00FA2EBC" w:rsidSect="002147A9">
          <w:pgSz w:w="16838" w:h="11906" w:orient="landscape"/>
          <w:pgMar w:top="1134" w:right="1701" w:bottom="1134" w:left="1701" w:header="709" w:footer="425" w:gutter="0"/>
          <w:cols w:space="708"/>
          <w:docGrid w:linePitch="360"/>
        </w:sectPr>
      </w:pPr>
    </w:p>
    <w:p w14:paraId="7B878423" w14:textId="77777777" w:rsidR="00A152C2" w:rsidRPr="007E70DA" w:rsidRDefault="00A152C2" w:rsidP="00A152C2">
      <w:pPr>
        <w:pStyle w:val="Heading1"/>
        <w:spacing w:before="0"/>
        <w:rPr>
          <w:sz w:val="52"/>
          <w:szCs w:val="52"/>
        </w:rPr>
      </w:pPr>
      <w:bookmarkStart w:id="21" w:name="_Toc169517733"/>
      <w:bookmarkStart w:id="22" w:name="_Toc171085291"/>
      <w:r w:rsidRPr="007E70DA">
        <w:rPr>
          <w:sz w:val="52"/>
          <w:szCs w:val="52"/>
        </w:rPr>
        <w:t xml:space="preserve">Overview of international regulations, governance structures, and guidelines related to </w:t>
      </w:r>
      <w:proofErr w:type="spellStart"/>
      <w:r w:rsidRPr="007E70DA">
        <w:rPr>
          <w:sz w:val="52"/>
          <w:szCs w:val="52"/>
        </w:rPr>
        <w:t>GnRHa</w:t>
      </w:r>
      <w:bookmarkEnd w:id="21"/>
      <w:bookmarkEnd w:id="22"/>
      <w:proofErr w:type="spellEnd"/>
    </w:p>
    <w:p w14:paraId="18E52608" w14:textId="77777777" w:rsidR="00A152C2" w:rsidRPr="00FA2EBC" w:rsidRDefault="00A152C2" w:rsidP="008E7AAD">
      <w:pPr>
        <w:rPr>
          <w:lang w:eastAsia="en-US"/>
        </w:rPr>
      </w:pPr>
      <w:r w:rsidRPr="00FA2EBC">
        <w:rPr>
          <w:lang w:eastAsia="en-US"/>
        </w:rPr>
        <w:t xml:space="preserve">Table 5 provides information on the regulations and/or governance arrangements related to </w:t>
      </w:r>
      <w:proofErr w:type="spellStart"/>
      <w:r w:rsidRPr="00FA2EBC">
        <w:rPr>
          <w:lang w:eastAsia="en-US"/>
        </w:rPr>
        <w:t>GnRHa</w:t>
      </w:r>
      <w:proofErr w:type="spellEnd"/>
      <w:r w:rsidRPr="00FA2EBC">
        <w:rPr>
          <w:lang w:eastAsia="en-US"/>
        </w:rPr>
        <w:t xml:space="preserve"> both in Aotearoa New Zealand and overseas. It includes any recent changes in those regulations, information on access to puberty blockers for gender-dysphoric/incongruent adolescents, and details of any guidelines published by national or state health organisations. All information contained in Table 5 is open source and publicly available.</w:t>
      </w:r>
    </w:p>
    <w:p w14:paraId="29F0C95D" w14:textId="77777777" w:rsidR="00A152C2" w:rsidRPr="00FA2EBC" w:rsidRDefault="00A152C2" w:rsidP="008E7AAD">
      <w:pPr>
        <w:pStyle w:val="Table"/>
        <w:spacing w:before="240"/>
        <w:rPr>
          <w:rFonts w:eastAsiaTheme="majorEastAsia"/>
          <w:lang w:eastAsia="en-US"/>
        </w:rPr>
      </w:pPr>
      <w:r w:rsidRPr="00FA2EBC">
        <w:rPr>
          <w:rFonts w:eastAsiaTheme="majorEastAsia"/>
          <w:lang w:eastAsia="en-US"/>
        </w:rPr>
        <w:t xml:space="preserve">Table 5: Governance structures, regulations and guidelines related to </w:t>
      </w:r>
      <w:proofErr w:type="spellStart"/>
      <w:r w:rsidRPr="00FA2EBC">
        <w:rPr>
          <w:rFonts w:eastAsiaTheme="majorEastAsia"/>
          <w:lang w:eastAsia="en-US"/>
        </w:rPr>
        <w:t>GnRHa</w:t>
      </w:r>
      <w:proofErr w:type="spellEnd"/>
      <w:r w:rsidRPr="00FA2EBC">
        <w:rPr>
          <w:rFonts w:eastAsiaTheme="majorEastAsia"/>
          <w:lang w:eastAsia="en-US"/>
        </w:rPr>
        <w:t xml:space="preserve"> for managing gender dysphoria in adolescents</w:t>
      </w:r>
      <w:r>
        <w:rPr>
          <w:rFonts w:eastAsiaTheme="majorEastAsia"/>
          <w:lang w:eastAsia="en-US"/>
        </w:rPr>
        <w:t xml:space="preserve"> in</w:t>
      </w:r>
      <w:r w:rsidRPr="00FA2EBC">
        <w:rPr>
          <w:rFonts w:eastAsiaTheme="majorEastAsia"/>
          <w:lang w:eastAsia="en-US"/>
        </w:rPr>
        <w:t xml:space="preserve"> Aotearoa New Zealand and internationally</w:t>
      </w:r>
    </w:p>
    <w:tbl>
      <w:tblPr>
        <w:tblStyle w:val="TableGrid1"/>
        <w:tblW w:w="5000" w:type="pct"/>
        <w:tblLook w:val="0480" w:firstRow="0" w:lastRow="0" w:firstColumn="1" w:lastColumn="0" w:noHBand="0" w:noVBand="1"/>
      </w:tblPr>
      <w:tblGrid>
        <w:gridCol w:w="1634"/>
        <w:gridCol w:w="75"/>
        <w:gridCol w:w="3962"/>
        <w:gridCol w:w="2552"/>
        <w:gridCol w:w="2506"/>
        <w:gridCol w:w="2703"/>
      </w:tblGrid>
      <w:tr w:rsidR="007E70DA" w:rsidRPr="00FA2EBC" w14:paraId="22201989" w14:textId="77777777" w:rsidTr="007E70DA">
        <w:trPr>
          <w:trHeight w:val="283"/>
          <w:tblHeader/>
        </w:trPr>
        <w:tc>
          <w:tcPr>
            <w:tcW w:w="2111" w:type="pct"/>
            <w:gridSpan w:val="3"/>
            <w:tcBorders>
              <w:top w:val="nil"/>
              <w:left w:val="nil"/>
              <w:bottom w:val="nil"/>
              <w:right w:val="single" w:sz="4" w:space="0" w:color="A6A6A6" w:themeColor="background1" w:themeShade="A6"/>
            </w:tcBorders>
            <w:shd w:val="clear" w:color="auto" w:fill="D9D9D9" w:themeFill="background1" w:themeFillShade="D9"/>
          </w:tcPr>
          <w:p w14:paraId="1569C111" w14:textId="77777777" w:rsidR="00A152C2" w:rsidRPr="008E7AAD" w:rsidRDefault="00A152C2" w:rsidP="008E7AAD">
            <w:pPr>
              <w:spacing w:before="60" w:after="60"/>
              <w:rPr>
                <w:rFonts w:eastAsia="Segoe UI" w:cs="Segoe UI"/>
                <w:b/>
                <w:bCs/>
                <w:sz w:val="18"/>
                <w:szCs w:val="18"/>
                <w:lang w:eastAsia="en-US"/>
              </w:rPr>
            </w:pPr>
            <w:r w:rsidRPr="008E7AAD">
              <w:rPr>
                <w:rFonts w:eastAsia="Segoe UI" w:cs="Segoe UI"/>
                <w:b/>
                <w:bCs/>
                <w:sz w:val="18"/>
                <w:szCs w:val="18"/>
                <w:lang w:eastAsia="en-US"/>
              </w:rPr>
              <w:t>Current regulation</w:t>
            </w:r>
          </w:p>
        </w:tc>
        <w:tc>
          <w:tcPr>
            <w:tcW w:w="950" w:type="pct"/>
            <w:tcBorders>
              <w:top w:val="nil"/>
              <w:left w:val="single" w:sz="4" w:space="0" w:color="A6A6A6" w:themeColor="background1" w:themeShade="A6"/>
              <w:bottom w:val="nil"/>
              <w:right w:val="single" w:sz="4" w:space="0" w:color="A6A6A6" w:themeColor="background1" w:themeShade="A6"/>
            </w:tcBorders>
            <w:shd w:val="clear" w:color="auto" w:fill="D9D9D9" w:themeFill="background1" w:themeFillShade="D9"/>
          </w:tcPr>
          <w:p w14:paraId="15205935" w14:textId="77777777" w:rsidR="00A152C2" w:rsidRPr="008E7AAD" w:rsidRDefault="00A152C2" w:rsidP="008E7AAD">
            <w:pPr>
              <w:spacing w:before="60" w:after="60"/>
              <w:rPr>
                <w:rFonts w:eastAsia="Segoe UI" w:cs="Segoe UI"/>
                <w:b/>
                <w:bCs/>
                <w:sz w:val="18"/>
                <w:szCs w:val="18"/>
                <w:lang w:eastAsia="en-US"/>
              </w:rPr>
            </w:pPr>
            <w:r w:rsidRPr="008E7AAD">
              <w:rPr>
                <w:rFonts w:eastAsia="Segoe UI" w:cs="Segoe UI"/>
                <w:b/>
                <w:bCs/>
                <w:sz w:val="18"/>
                <w:szCs w:val="18"/>
                <w:lang w:eastAsia="en-US"/>
              </w:rPr>
              <w:t>Recent changes</w:t>
            </w:r>
          </w:p>
        </w:tc>
        <w:tc>
          <w:tcPr>
            <w:tcW w:w="933" w:type="pct"/>
            <w:tcBorders>
              <w:top w:val="nil"/>
              <w:left w:val="single" w:sz="4" w:space="0" w:color="A6A6A6" w:themeColor="background1" w:themeShade="A6"/>
              <w:bottom w:val="nil"/>
              <w:right w:val="single" w:sz="4" w:space="0" w:color="A6A6A6" w:themeColor="background1" w:themeShade="A6"/>
            </w:tcBorders>
            <w:shd w:val="clear" w:color="auto" w:fill="D9D9D9" w:themeFill="background1" w:themeFillShade="D9"/>
          </w:tcPr>
          <w:p w14:paraId="150B0A4B" w14:textId="77777777" w:rsidR="00A152C2" w:rsidRPr="008E7AAD" w:rsidRDefault="00A152C2" w:rsidP="008E7AAD">
            <w:pPr>
              <w:spacing w:before="60" w:after="60"/>
              <w:rPr>
                <w:rFonts w:eastAsia="Segoe UI" w:cs="Segoe UI"/>
                <w:b/>
                <w:bCs/>
                <w:sz w:val="18"/>
                <w:szCs w:val="18"/>
                <w:lang w:eastAsia="en-US"/>
              </w:rPr>
            </w:pPr>
            <w:r w:rsidRPr="008E7AAD">
              <w:rPr>
                <w:rFonts w:eastAsia="Segoe UI" w:cs="Segoe UI"/>
                <w:b/>
                <w:bCs/>
                <w:sz w:val="18"/>
                <w:szCs w:val="18"/>
                <w:lang w:eastAsia="en-US"/>
              </w:rPr>
              <w:t>Service providers</w:t>
            </w:r>
          </w:p>
        </w:tc>
        <w:tc>
          <w:tcPr>
            <w:tcW w:w="1006" w:type="pct"/>
            <w:tcBorders>
              <w:top w:val="nil"/>
              <w:left w:val="single" w:sz="4" w:space="0" w:color="A6A6A6" w:themeColor="background1" w:themeShade="A6"/>
              <w:bottom w:val="nil"/>
              <w:right w:val="nil"/>
            </w:tcBorders>
            <w:shd w:val="clear" w:color="auto" w:fill="D9D9D9" w:themeFill="background1" w:themeFillShade="D9"/>
          </w:tcPr>
          <w:p w14:paraId="63969006" w14:textId="77777777" w:rsidR="00A152C2" w:rsidRPr="008E7AAD" w:rsidRDefault="00A152C2" w:rsidP="008E7AAD">
            <w:pPr>
              <w:spacing w:before="60" w:after="60"/>
              <w:rPr>
                <w:rFonts w:eastAsia="Segoe UI" w:cs="Segoe UI"/>
                <w:b/>
                <w:bCs/>
                <w:sz w:val="18"/>
                <w:szCs w:val="18"/>
                <w:lang w:eastAsia="en-US"/>
              </w:rPr>
            </w:pPr>
            <w:r w:rsidRPr="008E7AAD">
              <w:rPr>
                <w:rFonts w:eastAsia="Segoe UI" w:cs="Segoe UI"/>
                <w:b/>
                <w:bCs/>
                <w:sz w:val="18"/>
                <w:szCs w:val="18"/>
                <w:lang w:eastAsia="en-US"/>
              </w:rPr>
              <w:t>Guidelines</w:t>
            </w:r>
          </w:p>
        </w:tc>
      </w:tr>
      <w:tr w:rsidR="00A152C2" w:rsidRPr="00FA2EBC" w14:paraId="0E7E59EB" w14:textId="77777777" w:rsidTr="008E7AAD">
        <w:trPr>
          <w:trHeight w:val="283"/>
        </w:trPr>
        <w:tc>
          <w:tcPr>
            <w:tcW w:w="5000" w:type="pct"/>
            <w:gridSpan w:val="6"/>
            <w:tcBorders>
              <w:top w:val="nil"/>
              <w:left w:val="nil"/>
              <w:bottom w:val="single" w:sz="4" w:space="0" w:color="A6A6A6" w:themeColor="background1" w:themeShade="A6"/>
              <w:right w:val="nil"/>
            </w:tcBorders>
            <w:shd w:val="clear" w:color="auto" w:fill="DBE5F1" w:themeFill="accent1" w:themeFillTint="33"/>
            <w:vAlign w:val="center"/>
          </w:tcPr>
          <w:p w14:paraId="44807110" w14:textId="77777777" w:rsidR="00A152C2" w:rsidRPr="008E7AAD" w:rsidRDefault="00A152C2" w:rsidP="008E7AAD">
            <w:pPr>
              <w:spacing w:before="60" w:after="60"/>
              <w:rPr>
                <w:rFonts w:eastAsia="Segoe UI" w:cs="Segoe UI"/>
                <w:b/>
                <w:bCs/>
                <w:sz w:val="18"/>
                <w:szCs w:val="18"/>
                <w:lang w:eastAsia="en-US"/>
              </w:rPr>
            </w:pPr>
            <w:r w:rsidRPr="008E7AAD">
              <w:rPr>
                <w:rFonts w:eastAsia="Segoe UI" w:cs="Segoe UI"/>
                <w:b/>
                <w:bCs/>
                <w:sz w:val="18"/>
                <w:szCs w:val="18"/>
                <w:lang w:eastAsia="en-US"/>
              </w:rPr>
              <w:t>Australasia</w:t>
            </w:r>
          </w:p>
        </w:tc>
      </w:tr>
      <w:tr w:rsidR="00A152C2" w:rsidRPr="00FA2EBC" w14:paraId="27DE3DA5" w14:textId="77777777" w:rsidTr="008E7AAD">
        <w:trPr>
          <w:trHeight w:val="340"/>
        </w:trPr>
        <w:tc>
          <w:tcPr>
            <w:tcW w:w="5000" w:type="pct"/>
            <w:gridSpan w:val="6"/>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204C3D74" w14:textId="77777777" w:rsidR="00A152C2" w:rsidRPr="008E7AAD" w:rsidRDefault="00A152C2" w:rsidP="008E7AAD">
            <w:pPr>
              <w:spacing w:before="60" w:after="60"/>
              <w:rPr>
                <w:rFonts w:eastAsia="Segoe UI" w:cs="Segoe UI"/>
                <w:b/>
                <w:bCs/>
                <w:sz w:val="18"/>
                <w:szCs w:val="18"/>
                <w:lang w:eastAsia="en-US"/>
              </w:rPr>
            </w:pPr>
            <w:r w:rsidRPr="008E7AAD">
              <w:rPr>
                <w:rFonts w:eastAsia="Segoe UI" w:cs="Segoe UI"/>
                <w:b/>
                <w:bCs/>
                <w:sz w:val="18"/>
                <w:szCs w:val="18"/>
                <w:lang w:eastAsia="en-US"/>
              </w:rPr>
              <w:t>Aotearoa New Zealand</w:t>
            </w:r>
          </w:p>
        </w:tc>
      </w:tr>
      <w:tr w:rsidR="007E70DA" w:rsidRPr="00FA2EBC" w14:paraId="1FA14F4F" w14:textId="77777777" w:rsidTr="007E70DA">
        <w:trPr>
          <w:trHeight w:val="2319"/>
        </w:trPr>
        <w:tc>
          <w:tcPr>
            <w:tcW w:w="608" w:type="pct"/>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13EFA6C1" w14:textId="77777777" w:rsidR="00A152C2" w:rsidRPr="008E7AAD" w:rsidRDefault="00A152C2" w:rsidP="008E7AAD">
            <w:pPr>
              <w:spacing w:before="60" w:after="60"/>
              <w:rPr>
                <w:rFonts w:eastAsia="Segoe UI" w:cs="Segoe UI"/>
                <w:sz w:val="18"/>
                <w:szCs w:val="18"/>
                <w:lang w:eastAsia="en-US"/>
              </w:rPr>
            </w:pPr>
            <w:r w:rsidRPr="008E7AAD">
              <w:rPr>
                <w:rFonts w:eastAsia="Segoe UI" w:cs="Segoe UI"/>
                <w:sz w:val="18"/>
                <w:szCs w:val="18"/>
                <w:lang w:eastAsia="en-US"/>
              </w:rPr>
              <w:t>Ministry of Health</w:t>
            </w:r>
          </w:p>
          <w:p w14:paraId="6BDCFC59" w14:textId="77777777" w:rsidR="00A152C2" w:rsidRPr="008E7AAD" w:rsidRDefault="00A152C2" w:rsidP="008E7AAD">
            <w:pPr>
              <w:spacing w:before="60" w:after="60"/>
              <w:rPr>
                <w:rFonts w:eastAsia="Segoe UI" w:cs="Segoe UI"/>
                <w:sz w:val="18"/>
                <w:szCs w:val="18"/>
                <w:lang w:eastAsia="en-US"/>
              </w:rPr>
            </w:pPr>
            <w:r w:rsidRPr="008E7AAD">
              <w:rPr>
                <w:rFonts w:eastAsia="Segoe UI" w:cs="Segoe UI"/>
                <w:sz w:val="18"/>
                <w:szCs w:val="18"/>
                <w:lang w:eastAsia="en-US"/>
              </w:rPr>
              <w:t>Health New Zealand</w:t>
            </w:r>
          </w:p>
          <w:p w14:paraId="17C9D20E" w14:textId="77777777" w:rsidR="00A152C2" w:rsidRPr="008E7AAD" w:rsidRDefault="00A152C2" w:rsidP="008E7AAD">
            <w:pPr>
              <w:spacing w:before="60" w:after="60"/>
              <w:rPr>
                <w:rFonts w:eastAsia="Segoe UI" w:cs="Segoe UI"/>
                <w:sz w:val="18"/>
                <w:szCs w:val="18"/>
                <w:lang w:eastAsia="en-US"/>
              </w:rPr>
            </w:pPr>
            <w:proofErr w:type="spellStart"/>
            <w:r w:rsidRPr="008E7AAD">
              <w:rPr>
                <w:rFonts w:eastAsia="Segoe UI" w:cs="Segoe UI"/>
                <w:sz w:val="18"/>
                <w:szCs w:val="18"/>
                <w:lang w:eastAsia="en-US"/>
              </w:rPr>
              <w:t>Pharmac</w:t>
            </w:r>
            <w:proofErr w:type="spellEnd"/>
          </w:p>
        </w:tc>
        <w:tc>
          <w:tcPr>
            <w:tcW w:w="1503"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8C0FF8" w14:textId="77777777" w:rsidR="00A152C2" w:rsidRPr="008E7AAD" w:rsidRDefault="00A152C2" w:rsidP="008E7AAD">
            <w:pPr>
              <w:spacing w:before="60" w:after="60"/>
              <w:rPr>
                <w:rFonts w:eastAsia="Segoe UI" w:cs="Segoe UI"/>
                <w:sz w:val="18"/>
                <w:szCs w:val="18"/>
                <w:lang w:eastAsia="en-US"/>
              </w:rPr>
            </w:pPr>
            <w:r w:rsidRPr="008E7AAD">
              <w:rPr>
                <w:rFonts w:eastAsia="Segoe UI" w:cs="Segoe UI"/>
                <w:b/>
                <w:bCs/>
                <w:sz w:val="18"/>
                <w:szCs w:val="18"/>
                <w:lang w:eastAsia="en-US"/>
              </w:rPr>
              <w:t>Health New Zealand</w:t>
            </w:r>
            <w:r w:rsidRPr="008E7AAD">
              <w:rPr>
                <w:rFonts w:eastAsia="Segoe UI" w:cs="Segoe UI"/>
                <w:sz w:val="18"/>
                <w:szCs w:val="18"/>
                <w:lang w:eastAsia="en-US"/>
              </w:rPr>
              <w:t xml:space="preserve"> provides information on transgender and gender diversity services.</w:t>
            </w:r>
            <w:r w:rsidRPr="008E7AAD">
              <w:rPr>
                <w:rFonts w:eastAsia="Segoe UI" w:cs="Segoe UI"/>
                <w:sz w:val="18"/>
                <w:szCs w:val="18"/>
                <w:vertAlign w:val="superscript"/>
                <w:lang w:eastAsia="en-US"/>
              </w:rPr>
              <w:footnoteReference w:id="19"/>
            </w:r>
          </w:p>
          <w:p w14:paraId="7C4D6F5D" w14:textId="77777777" w:rsidR="00A152C2" w:rsidRPr="008E7AAD" w:rsidRDefault="00A152C2" w:rsidP="008E7AAD">
            <w:pPr>
              <w:spacing w:before="60" w:after="60"/>
              <w:rPr>
                <w:rFonts w:eastAsia="Segoe UI" w:cs="Segoe UI"/>
                <w:b/>
                <w:bCs/>
                <w:sz w:val="18"/>
                <w:szCs w:val="18"/>
                <w:lang w:eastAsia="en-US"/>
              </w:rPr>
            </w:pPr>
            <w:proofErr w:type="spellStart"/>
            <w:r w:rsidRPr="008E7AAD">
              <w:rPr>
                <w:rFonts w:eastAsia="Segoe UI" w:cs="Segoe UI"/>
                <w:b/>
                <w:bCs/>
                <w:sz w:val="18"/>
                <w:szCs w:val="18"/>
                <w:lang w:eastAsia="en-US"/>
              </w:rPr>
              <w:t>Pharmac</w:t>
            </w:r>
            <w:proofErr w:type="spellEnd"/>
            <w:r w:rsidRPr="008E7AAD">
              <w:rPr>
                <w:rFonts w:eastAsia="Segoe UI" w:cs="Segoe UI"/>
                <w:sz w:val="18"/>
                <w:szCs w:val="18"/>
                <w:lang w:eastAsia="en-US"/>
              </w:rPr>
              <w:t xml:space="preserve"> advises that clinicians can prescribe </w:t>
            </w:r>
            <w:proofErr w:type="spellStart"/>
            <w:r w:rsidRPr="008E7AAD">
              <w:rPr>
                <w:rFonts w:eastAsia="Segoe UI" w:cs="Segoe UI"/>
                <w:sz w:val="18"/>
                <w:szCs w:val="18"/>
                <w:lang w:eastAsia="en-US"/>
              </w:rPr>
              <w:t>GnRHa</w:t>
            </w:r>
            <w:proofErr w:type="spellEnd"/>
            <w:r w:rsidRPr="008E7AAD">
              <w:rPr>
                <w:rFonts w:eastAsia="Segoe UI" w:cs="Segoe UI"/>
                <w:sz w:val="18"/>
                <w:szCs w:val="18"/>
                <w:lang w:eastAsia="en-US"/>
              </w:rPr>
              <w:t xml:space="preserve"> ‘off-label’</w:t>
            </w:r>
            <w:r w:rsidRPr="008E7AAD">
              <w:rPr>
                <w:rFonts w:eastAsia="Segoe UI" w:cs="Segoe UI"/>
                <w:sz w:val="18"/>
                <w:szCs w:val="18"/>
                <w:vertAlign w:val="superscript"/>
                <w:lang w:eastAsia="en-US"/>
              </w:rPr>
              <w:footnoteReference w:id="20"/>
            </w:r>
            <w:r w:rsidRPr="008E7AAD">
              <w:rPr>
                <w:rFonts w:eastAsia="Segoe UI" w:cs="Segoe UI"/>
                <w:sz w:val="18"/>
                <w:szCs w:val="18"/>
                <w:lang w:eastAsia="en-US"/>
              </w:rPr>
              <w:t xml:space="preserve"> for gender dysphoria when an individual and their doctor agree it’s a suitable treatment option. It is the responsibility of the prescriber to discuss the benefits and risks of each treatment with their patients and ensure the treatment is appropriate.</w:t>
            </w:r>
            <w:r w:rsidRPr="008E7AAD">
              <w:rPr>
                <w:rFonts w:eastAsia="Segoe UI" w:cs="Segoe UI"/>
                <w:sz w:val="18"/>
                <w:szCs w:val="18"/>
                <w:vertAlign w:val="superscript"/>
                <w:lang w:eastAsia="en-US"/>
              </w:rPr>
              <w:footnoteReference w:id="21"/>
            </w:r>
          </w:p>
        </w:tc>
        <w:tc>
          <w:tcPr>
            <w:tcW w:w="9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B62D8F" w14:textId="77777777" w:rsidR="00A152C2" w:rsidRPr="008E7AAD" w:rsidRDefault="00A152C2" w:rsidP="008E7AAD">
            <w:pPr>
              <w:spacing w:before="60" w:after="60"/>
              <w:rPr>
                <w:rFonts w:eastAsia="Segoe UI" w:cs="Segoe UI"/>
                <w:sz w:val="18"/>
                <w:szCs w:val="18"/>
                <w:lang w:eastAsia="en-US"/>
              </w:rPr>
            </w:pPr>
            <w:r w:rsidRPr="008E7AAD">
              <w:rPr>
                <w:rFonts w:eastAsia="Segoe UI" w:cs="Segoe UI"/>
                <w:sz w:val="18"/>
                <w:szCs w:val="18"/>
                <w:lang w:eastAsia="en-US"/>
              </w:rPr>
              <w:t>The Ministry’s position on the use of puberty blockers states that clinicians who initiate puberty blockers should be experienced in providing gender-affirming care and be part of an interprofessional team offering a full range of support to young people presenting with gender-related issues.</w:t>
            </w:r>
          </w:p>
          <w:p w14:paraId="04FE9AA6" w14:textId="77777777" w:rsidR="00A152C2" w:rsidRPr="008E7AAD" w:rsidRDefault="00A152C2" w:rsidP="008E7AAD">
            <w:pPr>
              <w:spacing w:before="60" w:after="60"/>
              <w:rPr>
                <w:rFonts w:eastAsia="Segoe UI" w:cs="Segoe UI"/>
                <w:sz w:val="18"/>
                <w:szCs w:val="18"/>
                <w:lang w:eastAsia="en-US"/>
              </w:rPr>
            </w:pPr>
            <w:r w:rsidRPr="008E7AAD">
              <w:rPr>
                <w:rFonts w:eastAsia="Segoe UI" w:cs="Segoe UI"/>
                <w:sz w:val="18"/>
                <w:szCs w:val="18"/>
                <w:lang w:eastAsia="en-US"/>
              </w:rPr>
              <w:t>See Ministry of Health (2024) Position Statement on</w:t>
            </w:r>
            <w:r w:rsidRPr="008E7AAD">
              <w:rPr>
                <w:sz w:val="18"/>
                <w:szCs w:val="18"/>
              </w:rPr>
              <w:t xml:space="preserve"> </w:t>
            </w:r>
            <w:r w:rsidRPr="008E7AAD">
              <w:rPr>
                <w:rFonts w:eastAsia="Segoe UI" w:cs="Segoe UI"/>
                <w:sz w:val="18"/>
                <w:szCs w:val="18"/>
                <w:lang w:eastAsia="en-US"/>
              </w:rPr>
              <w:t>the Use of Puberty Blockers in Gender-Affirming Care June 2024.</w:t>
            </w:r>
          </w:p>
          <w:p w14:paraId="367F81A9" w14:textId="77777777" w:rsidR="00A152C2" w:rsidRPr="008E7AAD" w:rsidRDefault="00A152C2" w:rsidP="008E7AAD">
            <w:pPr>
              <w:spacing w:before="60" w:after="60"/>
              <w:rPr>
                <w:rFonts w:eastAsia="Segoe UI" w:cs="Segoe UI"/>
                <w:sz w:val="18"/>
                <w:szCs w:val="18"/>
                <w:lang w:eastAsia="en-US"/>
              </w:rPr>
            </w:pPr>
          </w:p>
        </w:tc>
        <w:tc>
          <w:tcPr>
            <w:tcW w:w="93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9E0271" w14:textId="77777777" w:rsidR="00A152C2" w:rsidRPr="008E7AAD" w:rsidRDefault="00A152C2" w:rsidP="008E7AAD">
            <w:pPr>
              <w:spacing w:before="60" w:after="60"/>
              <w:rPr>
                <w:rFonts w:eastAsia="Segoe UI" w:cs="Segoe UI"/>
                <w:sz w:val="18"/>
                <w:szCs w:val="18"/>
                <w:lang w:eastAsia="en-US"/>
              </w:rPr>
            </w:pPr>
            <w:r w:rsidRPr="008E7AAD">
              <w:rPr>
                <w:rFonts w:eastAsia="Segoe UI" w:cs="Segoe UI"/>
                <w:sz w:val="18"/>
                <w:szCs w:val="18"/>
                <w:lang w:eastAsia="en-US"/>
              </w:rPr>
              <w:t>Any registered medical practitioner.</w:t>
            </w:r>
          </w:p>
        </w:tc>
        <w:tc>
          <w:tcPr>
            <w:tcW w:w="1006" w:type="pct"/>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tcPr>
          <w:p w14:paraId="4CD07EEB" w14:textId="77777777" w:rsidR="00A152C2" w:rsidRPr="008E7AAD" w:rsidRDefault="00A152C2" w:rsidP="008E7AAD">
            <w:pPr>
              <w:spacing w:before="60" w:after="60"/>
              <w:rPr>
                <w:rFonts w:eastAsia="Segoe UI" w:cs="Segoe UI"/>
                <w:sz w:val="18"/>
                <w:szCs w:val="18"/>
                <w:lang w:eastAsia="en-US"/>
              </w:rPr>
            </w:pPr>
            <w:r w:rsidRPr="008E7AAD">
              <w:rPr>
                <w:rFonts w:eastAsia="Segoe UI" w:cs="Segoe UI"/>
                <w:sz w:val="18"/>
                <w:szCs w:val="18"/>
                <w:lang w:eastAsia="en-US"/>
              </w:rPr>
              <w:t>The Professional Association for Transgender Health Aotearoa (PATHA)</w:t>
            </w:r>
            <w:r w:rsidRPr="008E7AAD">
              <w:rPr>
                <w:rFonts w:eastAsia="Segoe UI" w:cs="Segoe UI"/>
                <w:sz w:val="18"/>
                <w:szCs w:val="18"/>
                <w:vertAlign w:val="superscript"/>
                <w:lang w:eastAsia="en-US"/>
              </w:rPr>
              <w:footnoteReference w:id="22"/>
            </w:r>
            <w:r w:rsidRPr="008E7AAD">
              <w:rPr>
                <w:rFonts w:eastAsia="Segoe UI" w:cs="Segoe UI"/>
                <w:sz w:val="18"/>
                <w:szCs w:val="18"/>
                <w:lang w:eastAsia="en-US"/>
              </w:rPr>
              <w:t xml:space="preserve"> recommends the use of the World Professional Association for Transgender Health (WPATH) Standards of Care for the Health of Transgender and Gender Diverse People, Version 8.</w:t>
            </w:r>
            <w:r w:rsidRPr="008E7AAD">
              <w:rPr>
                <w:rFonts w:eastAsia="Segoe UI" w:cs="Segoe UI"/>
                <w:sz w:val="18"/>
                <w:szCs w:val="18"/>
                <w:vertAlign w:val="superscript"/>
                <w:lang w:eastAsia="en-US"/>
              </w:rPr>
              <w:footnoteReference w:id="23"/>
            </w:r>
          </w:p>
          <w:p w14:paraId="75A1DD5A" w14:textId="77777777" w:rsidR="00A152C2" w:rsidRPr="008E7AAD" w:rsidRDefault="00A152C2" w:rsidP="008E7AAD">
            <w:pPr>
              <w:spacing w:before="60" w:after="60"/>
              <w:rPr>
                <w:rFonts w:eastAsia="Segoe UI" w:cs="Segoe UI"/>
                <w:sz w:val="18"/>
                <w:szCs w:val="18"/>
                <w:lang w:eastAsia="en-US"/>
              </w:rPr>
            </w:pPr>
            <w:r w:rsidRPr="008E7AAD">
              <w:rPr>
                <w:rFonts w:eastAsia="Segoe UI" w:cs="Segoe UI"/>
                <w:sz w:val="18"/>
                <w:szCs w:val="18"/>
                <w:lang w:eastAsia="en-US"/>
              </w:rPr>
              <w:t>Health NZ is developing a clinical care pathway for gender-affirming health care.</w:t>
            </w:r>
          </w:p>
          <w:p w14:paraId="5DB5B9AF" w14:textId="77777777" w:rsidR="00A152C2" w:rsidRPr="008E7AAD" w:rsidRDefault="00A152C2" w:rsidP="008E7AAD">
            <w:pPr>
              <w:spacing w:before="60" w:after="60"/>
              <w:rPr>
                <w:rFonts w:eastAsia="Segoe UI" w:cs="Segoe UI"/>
                <w:sz w:val="18"/>
                <w:szCs w:val="18"/>
                <w:lang w:eastAsia="en-US"/>
              </w:rPr>
            </w:pPr>
            <w:r w:rsidRPr="008E7AAD">
              <w:rPr>
                <w:rFonts w:eastAsia="Segoe UI" w:cs="Segoe UI"/>
                <w:sz w:val="18"/>
                <w:szCs w:val="18"/>
                <w:lang w:eastAsia="en-US"/>
              </w:rPr>
              <w:t>The Transgender Research Lab, University of Waikato has published guidelines for gender-affirming health care.</w:t>
            </w:r>
            <w:r w:rsidRPr="008E7AAD">
              <w:rPr>
                <w:rFonts w:eastAsia="Segoe UI" w:cs="Segoe UI"/>
                <w:sz w:val="18"/>
                <w:szCs w:val="18"/>
                <w:vertAlign w:val="superscript"/>
                <w:lang w:eastAsia="en-US"/>
              </w:rPr>
              <w:footnoteReference w:id="24"/>
            </w:r>
          </w:p>
        </w:tc>
      </w:tr>
      <w:tr w:rsidR="00A152C2" w:rsidRPr="00FA2EBC" w14:paraId="7850B80A" w14:textId="77777777" w:rsidTr="008E7AAD">
        <w:trPr>
          <w:cantSplit/>
          <w:trHeight w:val="283"/>
        </w:trPr>
        <w:tc>
          <w:tcPr>
            <w:tcW w:w="5000" w:type="pct"/>
            <w:gridSpan w:val="6"/>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tcPr>
          <w:p w14:paraId="0A6C5049" w14:textId="77777777" w:rsidR="00A152C2" w:rsidRPr="008E7AAD" w:rsidRDefault="00A152C2" w:rsidP="008E7AAD">
            <w:pPr>
              <w:spacing w:before="60" w:after="60"/>
              <w:rPr>
                <w:rFonts w:eastAsia="Segoe UI" w:cs="Segoe UI"/>
                <w:b/>
                <w:bCs/>
                <w:sz w:val="18"/>
                <w:szCs w:val="18"/>
                <w:lang w:eastAsia="en-US"/>
              </w:rPr>
            </w:pPr>
            <w:r w:rsidRPr="008E7AAD">
              <w:rPr>
                <w:rFonts w:eastAsia="Segoe UI" w:cs="Segoe UI"/>
                <w:b/>
                <w:bCs/>
                <w:sz w:val="18"/>
                <w:szCs w:val="18"/>
                <w:lang w:eastAsia="en-US"/>
              </w:rPr>
              <w:t>Australia</w:t>
            </w:r>
          </w:p>
        </w:tc>
      </w:tr>
      <w:tr w:rsidR="007E70DA" w:rsidRPr="00FA2EBC" w14:paraId="775173A6" w14:textId="77777777" w:rsidTr="00B8726A">
        <w:trPr>
          <w:trHeight w:val="1752"/>
        </w:trPr>
        <w:tc>
          <w:tcPr>
            <w:tcW w:w="608" w:type="pct"/>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4BB14853" w14:textId="77777777" w:rsidR="00A152C2" w:rsidRPr="008E7AAD" w:rsidRDefault="00A152C2" w:rsidP="008E7AAD">
            <w:pPr>
              <w:spacing w:before="60" w:after="60"/>
              <w:rPr>
                <w:rFonts w:eastAsia="Segoe UI" w:cs="Segoe UI"/>
                <w:sz w:val="18"/>
                <w:szCs w:val="18"/>
                <w:lang w:eastAsia="en-US"/>
              </w:rPr>
            </w:pPr>
            <w:r w:rsidRPr="008E7AAD">
              <w:rPr>
                <w:rFonts w:eastAsia="Segoe UI" w:cs="Segoe UI"/>
                <w:sz w:val="18"/>
                <w:szCs w:val="18"/>
                <w:lang w:eastAsia="en-US"/>
              </w:rPr>
              <w:t>Department of Health and Aged Care</w:t>
            </w:r>
          </w:p>
          <w:p w14:paraId="6B30792F" w14:textId="77777777" w:rsidR="00A152C2" w:rsidRPr="008E7AAD" w:rsidRDefault="00A152C2" w:rsidP="008E7AAD">
            <w:pPr>
              <w:spacing w:before="60" w:after="60"/>
              <w:rPr>
                <w:rFonts w:eastAsia="Segoe UI" w:cs="Segoe UI"/>
                <w:sz w:val="18"/>
                <w:szCs w:val="18"/>
                <w:lang w:eastAsia="en-US"/>
              </w:rPr>
            </w:pPr>
          </w:p>
          <w:p w14:paraId="3DA5E288" w14:textId="77777777" w:rsidR="00A152C2" w:rsidRPr="008E7AAD" w:rsidRDefault="00A152C2" w:rsidP="008E7AAD">
            <w:pPr>
              <w:spacing w:before="60" w:after="60"/>
              <w:rPr>
                <w:rFonts w:eastAsia="Segoe UI" w:cs="Segoe UI"/>
                <w:sz w:val="18"/>
                <w:szCs w:val="18"/>
                <w:lang w:eastAsia="en-US"/>
              </w:rPr>
            </w:pPr>
            <w:r w:rsidRPr="008E7AAD">
              <w:rPr>
                <w:rFonts w:eastAsia="Segoe UI" w:cs="Segoe UI"/>
                <w:sz w:val="18"/>
                <w:szCs w:val="18"/>
                <w:lang w:eastAsia="en-US"/>
              </w:rPr>
              <w:t>Therapeutic Goods Administration</w:t>
            </w:r>
          </w:p>
          <w:p w14:paraId="1FF048F6" w14:textId="77777777" w:rsidR="00A152C2" w:rsidRPr="008E7AAD" w:rsidRDefault="00A152C2" w:rsidP="008E7AAD">
            <w:pPr>
              <w:spacing w:before="60" w:after="60"/>
              <w:rPr>
                <w:rFonts w:eastAsia="Segoe UI" w:cs="Segoe UI"/>
                <w:sz w:val="18"/>
                <w:szCs w:val="18"/>
                <w:lang w:eastAsia="en-US"/>
              </w:rPr>
            </w:pPr>
          </w:p>
          <w:p w14:paraId="602BB8C4" w14:textId="77777777" w:rsidR="00A152C2" w:rsidRPr="008E7AAD" w:rsidRDefault="00A152C2" w:rsidP="008E7AAD">
            <w:pPr>
              <w:spacing w:before="60" w:after="60"/>
              <w:rPr>
                <w:rFonts w:eastAsia="Segoe UI" w:cs="Segoe UI"/>
                <w:sz w:val="18"/>
                <w:szCs w:val="18"/>
                <w:lang w:eastAsia="en-US"/>
              </w:rPr>
            </w:pPr>
            <w:r w:rsidRPr="008E7AAD">
              <w:rPr>
                <w:rFonts w:eastAsia="Segoe UI" w:cs="Segoe UI"/>
                <w:sz w:val="18"/>
                <w:szCs w:val="18"/>
                <w:lang w:eastAsia="en-US"/>
              </w:rPr>
              <w:t>Pharmaceutical Benefits Scheme</w:t>
            </w:r>
          </w:p>
          <w:p w14:paraId="085C2846" w14:textId="77777777" w:rsidR="00A152C2" w:rsidRPr="008E7AAD" w:rsidRDefault="00A152C2" w:rsidP="008E7AAD">
            <w:pPr>
              <w:spacing w:before="60" w:after="60"/>
              <w:rPr>
                <w:rFonts w:eastAsia="Segoe UI" w:cs="Segoe UI"/>
                <w:sz w:val="18"/>
                <w:szCs w:val="18"/>
                <w:lang w:eastAsia="en-US"/>
              </w:rPr>
            </w:pPr>
          </w:p>
        </w:tc>
        <w:tc>
          <w:tcPr>
            <w:tcW w:w="1503"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1BC93" w14:textId="77777777" w:rsidR="00A152C2" w:rsidRPr="008E7AAD" w:rsidRDefault="00A152C2" w:rsidP="008E7AAD">
            <w:pPr>
              <w:spacing w:before="60" w:after="60"/>
              <w:rPr>
                <w:rFonts w:eastAsia="Segoe UI" w:cs="Segoe UI"/>
                <w:sz w:val="18"/>
                <w:szCs w:val="18"/>
                <w:lang w:eastAsia="en-US"/>
              </w:rPr>
            </w:pPr>
            <w:r w:rsidRPr="008E7AAD">
              <w:rPr>
                <w:rFonts w:eastAsia="Segoe UI" w:cs="Segoe UI"/>
                <w:sz w:val="18"/>
                <w:szCs w:val="18"/>
                <w:lang w:eastAsia="en-US"/>
              </w:rPr>
              <w:t>In Australia, the Therapeutic Goods Administration, under the direction of the Federal Government, is responsible for identifying, assessing and evaluating the risks of therapeutic products.</w:t>
            </w:r>
          </w:p>
          <w:p w14:paraId="562C479D" w14:textId="77777777" w:rsidR="00A152C2" w:rsidRPr="008E7AAD" w:rsidRDefault="00A152C2" w:rsidP="008E7AAD">
            <w:pPr>
              <w:spacing w:before="60" w:after="60"/>
              <w:rPr>
                <w:rFonts w:eastAsia="Segoe UI" w:cs="Segoe UI"/>
                <w:sz w:val="18"/>
                <w:szCs w:val="18"/>
                <w:lang w:eastAsia="en-US"/>
              </w:rPr>
            </w:pPr>
            <w:r w:rsidRPr="008E7AAD">
              <w:rPr>
                <w:rFonts w:eastAsia="Segoe UI" w:cs="Segoe UI"/>
                <w:sz w:val="18"/>
                <w:szCs w:val="18"/>
                <w:lang w:eastAsia="en-US"/>
              </w:rPr>
              <w:t>States and territories lead the provision of gender services.</w:t>
            </w:r>
          </w:p>
          <w:p w14:paraId="7BC447AB" w14:textId="77777777" w:rsidR="00A152C2" w:rsidRPr="008E7AAD" w:rsidRDefault="00A152C2" w:rsidP="008E7AAD">
            <w:pPr>
              <w:spacing w:before="60" w:after="60"/>
              <w:rPr>
                <w:rFonts w:eastAsia="Segoe UI" w:cs="Segoe UI"/>
                <w:sz w:val="18"/>
                <w:szCs w:val="18"/>
                <w:lang w:eastAsia="en-US"/>
              </w:rPr>
            </w:pPr>
            <w:r w:rsidRPr="008E7AAD">
              <w:rPr>
                <w:rFonts w:eastAsia="Segoe UI" w:cs="Segoe UI"/>
                <w:sz w:val="18"/>
                <w:szCs w:val="18"/>
                <w:lang w:eastAsia="en-US"/>
              </w:rPr>
              <w:t xml:space="preserve">Use of </w:t>
            </w:r>
            <w:proofErr w:type="spellStart"/>
            <w:r w:rsidRPr="008E7AAD">
              <w:rPr>
                <w:rFonts w:eastAsia="Segoe UI" w:cs="Segoe UI"/>
                <w:sz w:val="18"/>
                <w:szCs w:val="18"/>
                <w:lang w:eastAsia="en-US"/>
              </w:rPr>
              <w:t>GnRHa</w:t>
            </w:r>
            <w:proofErr w:type="spellEnd"/>
            <w:r w:rsidRPr="008E7AAD">
              <w:rPr>
                <w:rFonts w:eastAsia="Segoe UI" w:cs="Segoe UI"/>
                <w:sz w:val="18"/>
                <w:szCs w:val="18"/>
                <w:lang w:eastAsia="en-US"/>
              </w:rPr>
              <w:t xml:space="preserve"> for managing gender dysphoria is available on the Pharmaceutical Benefits Scheme for the treatment of certain cancers and precocious puberty. When used for gender-affirming hormone therapy, these medicines are supplied on private prescriptions only.</w:t>
            </w:r>
            <w:r w:rsidRPr="008E7AAD">
              <w:rPr>
                <w:rFonts w:eastAsia="Segoe UI" w:cs="Segoe UI"/>
                <w:sz w:val="18"/>
                <w:szCs w:val="18"/>
                <w:vertAlign w:val="superscript"/>
                <w:lang w:eastAsia="en-US"/>
              </w:rPr>
              <w:t>23</w:t>
            </w:r>
          </w:p>
          <w:p w14:paraId="33FE7211" w14:textId="77777777" w:rsidR="00A152C2" w:rsidRPr="008E7AAD" w:rsidRDefault="00A152C2" w:rsidP="008E7AAD">
            <w:pPr>
              <w:spacing w:before="60" w:after="60"/>
              <w:rPr>
                <w:rFonts w:eastAsia="Segoe UI" w:cs="Segoe UI"/>
                <w:sz w:val="18"/>
                <w:szCs w:val="18"/>
                <w:lang w:eastAsia="en-US"/>
              </w:rPr>
            </w:pPr>
            <w:r w:rsidRPr="008E7AAD">
              <w:rPr>
                <w:rFonts w:eastAsia="Segoe UI" w:cs="Segoe UI"/>
                <w:sz w:val="18"/>
                <w:szCs w:val="18"/>
                <w:lang w:eastAsia="en-US"/>
              </w:rPr>
              <w:t>If there is a disagreement between any of the clinical team, the young person and the family about the diagnosis, treatment or capacity of the minor to provide informed consent, the family court has ruled this requires an application to the court to resolve the dispute consistent with the child’s best interests.</w:t>
            </w:r>
            <w:r w:rsidRPr="008E7AAD">
              <w:rPr>
                <w:rFonts w:asciiTheme="minorHAnsi" w:hAnsiTheme="minorHAnsi"/>
                <w:sz w:val="18"/>
                <w:szCs w:val="18"/>
                <w:lang w:eastAsia="en-US"/>
              </w:rPr>
              <w:cr/>
            </w:r>
            <w:r w:rsidRPr="008E7AAD">
              <w:rPr>
                <w:rFonts w:eastAsia="Segoe UI" w:cs="Segoe UI"/>
                <w:sz w:val="18"/>
                <w:szCs w:val="18"/>
                <w:vertAlign w:val="superscript"/>
                <w:lang w:eastAsia="en-US"/>
              </w:rPr>
              <w:footnoteReference w:id="25"/>
            </w:r>
            <w:r w:rsidRPr="008E7AAD">
              <w:rPr>
                <w:rFonts w:eastAsia="Segoe UI" w:cs="Segoe UI"/>
                <w:sz w:val="18"/>
                <w:szCs w:val="18"/>
                <w:vertAlign w:val="superscript"/>
                <w:lang w:eastAsia="en-US"/>
              </w:rPr>
              <w:t>,</w:t>
            </w:r>
            <w:r w:rsidRPr="008E7AAD">
              <w:rPr>
                <w:rFonts w:eastAsia="Segoe UI" w:cs="Segoe UI"/>
                <w:sz w:val="18"/>
                <w:szCs w:val="18"/>
                <w:vertAlign w:val="superscript"/>
                <w:lang w:eastAsia="en-US"/>
              </w:rPr>
              <w:footnoteReference w:id="26"/>
            </w:r>
          </w:p>
        </w:tc>
        <w:tc>
          <w:tcPr>
            <w:tcW w:w="9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6AD543" w14:textId="77777777" w:rsidR="00A152C2" w:rsidRPr="008E7AAD" w:rsidRDefault="00A152C2" w:rsidP="008E7AAD">
            <w:pPr>
              <w:spacing w:before="60" w:after="60"/>
              <w:rPr>
                <w:rFonts w:eastAsia="Segoe UI" w:cs="Segoe UI"/>
                <w:sz w:val="18"/>
                <w:szCs w:val="18"/>
                <w:lang w:eastAsia="en-US"/>
              </w:rPr>
            </w:pPr>
            <w:r w:rsidRPr="008E7AAD">
              <w:rPr>
                <w:rFonts w:eastAsia="Segoe UI" w:cs="Segoe UI"/>
                <w:sz w:val="18"/>
                <w:szCs w:val="18"/>
                <w:lang w:eastAsia="en-US"/>
              </w:rPr>
              <w:t>Nil.</w:t>
            </w:r>
          </w:p>
          <w:p w14:paraId="74843212" w14:textId="77777777" w:rsidR="00A152C2" w:rsidRPr="008E7AAD" w:rsidRDefault="00A152C2" w:rsidP="008E7AAD">
            <w:pPr>
              <w:spacing w:before="60" w:after="60"/>
              <w:rPr>
                <w:rFonts w:eastAsia="Segoe UI" w:cs="Segoe UI"/>
                <w:sz w:val="18"/>
                <w:szCs w:val="18"/>
                <w:lang w:eastAsia="en-US"/>
              </w:rPr>
            </w:pPr>
            <w:r w:rsidRPr="008E7AAD">
              <w:rPr>
                <w:rFonts w:eastAsia="Segoe UI" w:cs="Segoe UI"/>
                <w:sz w:val="18"/>
                <w:szCs w:val="18"/>
                <w:lang w:eastAsia="en-US"/>
              </w:rPr>
              <w:t xml:space="preserve">Gender-affirming services other than </w:t>
            </w:r>
            <w:proofErr w:type="spellStart"/>
            <w:r w:rsidRPr="008E7AAD">
              <w:rPr>
                <w:rFonts w:eastAsia="Segoe UI" w:cs="Segoe UI"/>
                <w:sz w:val="18"/>
                <w:szCs w:val="18"/>
                <w:lang w:eastAsia="en-US"/>
              </w:rPr>
              <w:t>GnRHa</w:t>
            </w:r>
            <w:proofErr w:type="spellEnd"/>
            <w:r w:rsidRPr="008E7AAD">
              <w:rPr>
                <w:rFonts w:eastAsia="Segoe UI" w:cs="Segoe UI"/>
                <w:sz w:val="18"/>
                <w:szCs w:val="18"/>
                <w:lang w:eastAsia="en-US"/>
              </w:rPr>
              <w:t xml:space="preserve"> are in general funded. Some specialist services have a funded research arm.</w:t>
            </w:r>
          </w:p>
        </w:tc>
        <w:tc>
          <w:tcPr>
            <w:tcW w:w="93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81C85D" w14:textId="77777777" w:rsidR="00A152C2" w:rsidRPr="008E7AAD" w:rsidRDefault="00A152C2" w:rsidP="008E7AAD">
            <w:pPr>
              <w:spacing w:before="60" w:after="60"/>
              <w:rPr>
                <w:rFonts w:eastAsia="Segoe UI" w:cs="Segoe UI"/>
                <w:sz w:val="18"/>
                <w:szCs w:val="18"/>
                <w:lang w:eastAsia="en-US"/>
              </w:rPr>
            </w:pPr>
            <w:proofErr w:type="spellStart"/>
            <w:r w:rsidRPr="008E7AAD">
              <w:rPr>
                <w:rFonts w:eastAsia="Segoe UI" w:cs="Segoe UI"/>
                <w:sz w:val="18"/>
                <w:szCs w:val="18"/>
                <w:lang w:eastAsia="en-US"/>
              </w:rPr>
              <w:t>GnRHA</w:t>
            </w:r>
            <w:proofErr w:type="spellEnd"/>
            <w:r w:rsidRPr="008E7AAD">
              <w:rPr>
                <w:rFonts w:eastAsia="Segoe UI" w:cs="Segoe UI"/>
                <w:sz w:val="18"/>
                <w:szCs w:val="18"/>
                <w:lang w:eastAsia="en-US"/>
              </w:rPr>
              <w:t xml:space="preserve"> are prescribed by a paediatrician or paediatric endocrinologist</w:t>
            </w:r>
            <w:r w:rsidRPr="008E7AAD">
              <w:rPr>
                <w:rStyle w:val="FootnoteReference"/>
                <w:rFonts w:eastAsia="Segoe UI" w:cs="Segoe UI"/>
                <w:sz w:val="18"/>
                <w:szCs w:val="18"/>
                <w:lang w:eastAsia="en-US"/>
              </w:rPr>
              <w:footnoteReference w:id="27"/>
            </w:r>
            <w:r w:rsidRPr="008E7AAD">
              <w:rPr>
                <w:rFonts w:eastAsia="Segoe UI" w:cs="Segoe UI"/>
                <w:sz w:val="18"/>
                <w:szCs w:val="18"/>
                <w:vertAlign w:val="superscript"/>
                <w:lang w:eastAsia="en-US"/>
              </w:rPr>
              <w:t>,</w:t>
            </w:r>
            <w:r w:rsidRPr="008E7AAD">
              <w:rPr>
                <w:rStyle w:val="FootnoteReference"/>
                <w:rFonts w:eastAsia="Segoe UI" w:cs="Segoe UI"/>
                <w:sz w:val="18"/>
                <w:szCs w:val="18"/>
                <w:lang w:eastAsia="en-US"/>
              </w:rPr>
              <w:footnoteReference w:id="28"/>
            </w:r>
            <w:r w:rsidRPr="008E7AAD">
              <w:rPr>
                <w:rFonts w:eastAsia="Segoe UI" w:cs="Segoe UI"/>
                <w:sz w:val="18"/>
                <w:szCs w:val="18"/>
                <w:vertAlign w:val="superscript"/>
                <w:lang w:eastAsia="en-US"/>
              </w:rPr>
              <w:t xml:space="preserve"> </w:t>
            </w:r>
            <w:r w:rsidRPr="008E7AAD">
              <w:rPr>
                <w:rFonts w:eastAsia="Segoe UI" w:cs="Segoe UI"/>
                <w:sz w:val="18"/>
                <w:szCs w:val="18"/>
                <w:lang w:eastAsia="en-US"/>
              </w:rPr>
              <w:t>and must be funded privately.</w:t>
            </w:r>
            <w:r w:rsidRPr="008E7AAD">
              <w:rPr>
                <w:rStyle w:val="FootnoteReference"/>
                <w:rFonts w:eastAsia="Segoe UI" w:cs="Segoe UI"/>
                <w:sz w:val="18"/>
                <w:szCs w:val="18"/>
                <w:lang w:eastAsia="en-US"/>
              </w:rPr>
              <w:footnoteReference w:id="29"/>
            </w:r>
            <w:r w:rsidRPr="008E7AAD">
              <w:rPr>
                <w:rStyle w:val="CommentReference"/>
                <w:sz w:val="18"/>
                <w:szCs w:val="18"/>
              </w:rPr>
              <w:t xml:space="preserve"> </w:t>
            </w:r>
          </w:p>
          <w:p w14:paraId="23F059F3" w14:textId="77777777" w:rsidR="00A152C2" w:rsidRPr="008E7AAD" w:rsidRDefault="00A152C2" w:rsidP="008E7AAD">
            <w:pPr>
              <w:spacing w:before="60" w:after="60"/>
              <w:rPr>
                <w:rFonts w:eastAsia="Segoe UI" w:cs="Segoe UI"/>
                <w:sz w:val="18"/>
                <w:szCs w:val="18"/>
                <w:lang w:eastAsia="en-US"/>
              </w:rPr>
            </w:pPr>
            <w:r w:rsidRPr="008E7AAD">
              <w:rPr>
                <w:rFonts w:eastAsia="Segoe UI" w:cs="Segoe UI"/>
                <w:sz w:val="18"/>
                <w:szCs w:val="18"/>
                <w:lang w:eastAsia="en-US"/>
              </w:rPr>
              <w:t>Specialist gender services across a number of jurisdictions provide care to young people based on a multidisciplinary approach tailored to individual circumstances and needs.</w:t>
            </w:r>
          </w:p>
        </w:tc>
        <w:tc>
          <w:tcPr>
            <w:tcW w:w="1006" w:type="pct"/>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tcPr>
          <w:p w14:paraId="56B781AA" w14:textId="77777777" w:rsidR="00A152C2" w:rsidRPr="008E7AAD" w:rsidRDefault="00A152C2" w:rsidP="008E7AAD">
            <w:pPr>
              <w:spacing w:before="60" w:after="60"/>
              <w:rPr>
                <w:rFonts w:eastAsia="Segoe UI" w:cs="Segoe UI"/>
                <w:sz w:val="18"/>
                <w:szCs w:val="18"/>
                <w:lang w:eastAsia="en-US"/>
              </w:rPr>
            </w:pPr>
            <w:r w:rsidRPr="008E7AAD">
              <w:rPr>
                <w:rFonts w:eastAsia="Segoe UI" w:cs="Segoe UI"/>
                <w:i/>
                <w:iCs/>
                <w:sz w:val="18"/>
                <w:szCs w:val="18"/>
                <w:lang w:eastAsia="en-US"/>
              </w:rPr>
              <w:t>Australian Standards of Care and Treatment Guidelines: For trans and gender diverse children and adolescents</w:t>
            </w:r>
            <w:r w:rsidRPr="008E7AAD">
              <w:rPr>
                <w:rFonts w:eastAsia="Segoe UI" w:cs="Segoe UI"/>
                <w:sz w:val="18"/>
                <w:szCs w:val="18"/>
                <w:lang w:eastAsia="en-US"/>
              </w:rPr>
              <w:t>.</w:t>
            </w:r>
            <w:r w:rsidRPr="008E7AAD">
              <w:rPr>
                <w:rFonts w:eastAsia="Segoe UI" w:cs="Segoe UI"/>
                <w:sz w:val="18"/>
                <w:szCs w:val="18"/>
                <w:vertAlign w:val="superscript"/>
                <w:lang w:eastAsia="en-US"/>
              </w:rPr>
              <w:footnoteReference w:id="30"/>
            </w:r>
          </w:p>
          <w:p w14:paraId="58F62E0C" w14:textId="77777777" w:rsidR="00A152C2" w:rsidRPr="008E7AAD" w:rsidRDefault="00A152C2" w:rsidP="008E7AAD">
            <w:pPr>
              <w:spacing w:before="60" w:after="60"/>
              <w:rPr>
                <w:rFonts w:eastAsia="Segoe UI" w:cs="Segoe UI"/>
                <w:sz w:val="18"/>
                <w:szCs w:val="18"/>
                <w:lang w:eastAsia="en-US"/>
              </w:rPr>
            </w:pPr>
            <w:r w:rsidRPr="008E7AAD">
              <w:rPr>
                <w:rFonts w:eastAsia="Segoe UI" w:cs="Segoe UI"/>
                <w:sz w:val="18"/>
                <w:szCs w:val="18"/>
                <w:lang w:eastAsia="en-US"/>
              </w:rPr>
              <w:t>WPATH, Australian Professional Association for Trans Health, the Royal Australasian College of Physicians, the Royal Australasian College of General Practitioners and the Australian Endocrine Society all endorse access to puberty suppression for trans young people and adolescents.</w:t>
            </w:r>
            <w:r w:rsidRPr="008E7AAD">
              <w:rPr>
                <w:rFonts w:eastAsia="Segoe UI" w:cs="Segoe UI"/>
                <w:sz w:val="18"/>
                <w:szCs w:val="18"/>
                <w:vertAlign w:val="superscript"/>
                <w:lang w:eastAsia="en-US"/>
              </w:rPr>
              <w:footnoteReference w:id="31"/>
            </w:r>
          </w:p>
        </w:tc>
      </w:tr>
      <w:tr w:rsidR="00A152C2" w:rsidRPr="00FA2EBC" w14:paraId="32EC0FC5" w14:textId="77777777" w:rsidTr="007E70DA">
        <w:trPr>
          <w:trHeight w:val="283"/>
        </w:trPr>
        <w:tc>
          <w:tcPr>
            <w:tcW w:w="5000" w:type="pct"/>
            <w:gridSpan w:val="6"/>
            <w:tcBorders>
              <w:top w:val="single" w:sz="4" w:space="0" w:color="A6A6A6" w:themeColor="background1" w:themeShade="A6"/>
              <w:left w:val="nil"/>
              <w:bottom w:val="single" w:sz="4" w:space="0" w:color="A6A6A6" w:themeColor="background1" w:themeShade="A6"/>
              <w:right w:val="nil"/>
            </w:tcBorders>
            <w:shd w:val="clear" w:color="auto" w:fill="DBE5F1" w:themeFill="accent1" w:themeFillTint="33"/>
          </w:tcPr>
          <w:p w14:paraId="0ACE99B9" w14:textId="77777777" w:rsidR="00A152C2" w:rsidRPr="008E7AAD" w:rsidRDefault="00A152C2" w:rsidP="008E7AAD">
            <w:pPr>
              <w:spacing w:before="60" w:after="60"/>
              <w:rPr>
                <w:rFonts w:eastAsia="Segoe UI" w:cs="Segoe UI"/>
                <w:sz w:val="18"/>
                <w:szCs w:val="18"/>
                <w:lang w:eastAsia="en-US"/>
              </w:rPr>
            </w:pPr>
            <w:r w:rsidRPr="008E7AAD">
              <w:rPr>
                <w:rFonts w:eastAsia="Segoe UI" w:cs="Segoe UI"/>
                <w:b/>
                <w:bCs/>
                <w:sz w:val="18"/>
                <w:szCs w:val="18"/>
                <w:lang w:eastAsia="en-US"/>
              </w:rPr>
              <w:t>United Kingdom</w:t>
            </w:r>
          </w:p>
        </w:tc>
      </w:tr>
      <w:tr w:rsidR="00A152C2" w:rsidRPr="00FA2EBC" w14:paraId="36A6D5B9" w14:textId="77777777" w:rsidTr="008E7AAD">
        <w:trPr>
          <w:trHeight w:val="283"/>
        </w:trPr>
        <w:tc>
          <w:tcPr>
            <w:tcW w:w="5000" w:type="pct"/>
            <w:gridSpan w:val="6"/>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tcPr>
          <w:p w14:paraId="2525CFEF" w14:textId="77777777" w:rsidR="00A152C2" w:rsidRPr="008E7AAD" w:rsidRDefault="00A152C2" w:rsidP="008E7AAD">
            <w:pPr>
              <w:spacing w:before="60" w:after="60"/>
              <w:rPr>
                <w:rFonts w:eastAsia="Segoe UI" w:cs="Segoe UI"/>
                <w:b/>
                <w:bCs/>
                <w:sz w:val="18"/>
                <w:szCs w:val="18"/>
                <w:lang w:eastAsia="en-US"/>
              </w:rPr>
            </w:pPr>
            <w:r w:rsidRPr="008E7AAD">
              <w:rPr>
                <w:rFonts w:eastAsia="Segoe UI" w:cs="Segoe UI"/>
                <w:b/>
                <w:bCs/>
                <w:sz w:val="18"/>
                <w:szCs w:val="18"/>
                <w:lang w:eastAsia="en-US"/>
              </w:rPr>
              <w:t>England</w:t>
            </w:r>
            <w:r w:rsidRPr="008E7AAD">
              <w:rPr>
                <w:rFonts w:eastAsia="Segoe UI" w:cs="Segoe UI"/>
                <w:b/>
                <w:bCs/>
                <w:sz w:val="18"/>
                <w:szCs w:val="18"/>
                <w:vertAlign w:val="superscript"/>
                <w:lang w:eastAsia="en-US"/>
              </w:rPr>
              <w:footnoteReference w:id="32"/>
            </w:r>
          </w:p>
        </w:tc>
      </w:tr>
      <w:tr w:rsidR="007E70DA" w:rsidRPr="00FA2EBC" w14:paraId="7D3B61BD" w14:textId="77777777" w:rsidTr="007E70DA">
        <w:trPr>
          <w:trHeight w:val="2967"/>
        </w:trPr>
        <w:tc>
          <w:tcPr>
            <w:tcW w:w="608" w:type="pct"/>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3961E224" w14:textId="77777777" w:rsidR="00A152C2" w:rsidRPr="008E7AAD" w:rsidRDefault="00A152C2" w:rsidP="008E7AAD">
            <w:pPr>
              <w:spacing w:before="60" w:after="60"/>
              <w:rPr>
                <w:rFonts w:eastAsia="Segoe UI" w:cs="Segoe UI"/>
                <w:sz w:val="18"/>
                <w:szCs w:val="18"/>
                <w:lang w:eastAsia="en-US"/>
              </w:rPr>
            </w:pPr>
            <w:r w:rsidRPr="008E7AAD">
              <w:rPr>
                <w:rFonts w:eastAsia="Segoe UI" w:cs="Segoe UI"/>
                <w:sz w:val="18"/>
                <w:szCs w:val="18"/>
                <w:lang w:eastAsia="en-US"/>
              </w:rPr>
              <w:t xml:space="preserve">The National Health Service (UK) </w:t>
            </w:r>
          </w:p>
          <w:p w14:paraId="7B2D40F0" w14:textId="77777777" w:rsidR="00A152C2" w:rsidRPr="008E7AAD" w:rsidRDefault="00A152C2" w:rsidP="008E7AAD">
            <w:pPr>
              <w:spacing w:before="60" w:after="60"/>
              <w:rPr>
                <w:rFonts w:eastAsia="Segoe UI" w:cs="Segoe UI"/>
                <w:sz w:val="18"/>
                <w:szCs w:val="18"/>
                <w:lang w:eastAsia="en-US"/>
              </w:rPr>
            </w:pPr>
            <w:r w:rsidRPr="008E7AAD">
              <w:rPr>
                <w:rFonts w:eastAsia="Segoe UI" w:cs="Segoe UI"/>
                <w:sz w:val="18"/>
                <w:szCs w:val="18"/>
                <w:lang w:eastAsia="en-US"/>
              </w:rPr>
              <w:t>The Medicines and Healthcare products Regulatory Agency (MHRA)</w:t>
            </w:r>
          </w:p>
        </w:tc>
        <w:tc>
          <w:tcPr>
            <w:tcW w:w="1503"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212A6E" w14:textId="77777777" w:rsidR="00A152C2" w:rsidRPr="008E7AAD" w:rsidRDefault="00A152C2" w:rsidP="008E7AAD">
            <w:pPr>
              <w:spacing w:before="60" w:after="60"/>
              <w:rPr>
                <w:rFonts w:eastAsia="Segoe UI" w:cs="Segoe UI"/>
                <w:sz w:val="18"/>
                <w:szCs w:val="18"/>
                <w:lang w:eastAsia="en-US"/>
              </w:rPr>
            </w:pPr>
            <w:r w:rsidRPr="008E7AAD">
              <w:rPr>
                <w:rFonts w:eastAsia="Segoe UI" w:cs="Segoe UI"/>
                <w:sz w:val="18"/>
                <w:szCs w:val="18"/>
                <w:lang w:eastAsia="en-US"/>
              </w:rPr>
              <w:t xml:space="preserve">The MHRA has not licensed </w:t>
            </w:r>
            <w:proofErr w:type="spellStart"/>
            <w:r w:rsidRPr="008E7AAD">
              <w:rPr>
                <w:rFonts w:eastAsia="Segoe UI" w:cs="Segoe UI"/>
                <w:sz w:val="18"/>
                <w:szCs w:val="18"/>
                <w:lang w:eastAsia="en-US"/>
              </w:rPr>
              <w:t>GnRHa</w:t>
            </w:r>
            <w:proofErr w:type="spellEnd"/>
            <w:r w:rsidRPr="008E7AAD">
              <w:rPr>
                <w:rFonts w:eastAsia="Segoe UI" w:cs="Segoe UI"/>
                <w:sz w:val="18"/>
                <w:szCs w:val="18"/>
                <w:lang w:eastAsia="en-US"/>
              </w:rPr>
              <w:t xml:space="preserve"> for use in managing gender dysphoria.</w:t>
            </w:r>
          </w:p>
          <w:p w14:paraId="1D657F87" w14:textId="77777777" w:rsidR="00A152C2" w:rsidRPr="008E7AAD" w:rsidRDefault="00A152C2" w:rsidP="008E7AAD">
            <w:pPr>
              <w:spacing w:before="60" w:after="60"/>
              <w:rPr>
                <w:rFonts w:eastAsia="Segoe UI" w:cs="Segoe UI"/>
                <w:sz w:val="18"/>
                <w:szCs w:val="18"/>
                <w:lang w:eastAsia="en-US"/>
              </w:rPr>
            </w:pPr>
            <w:r w:rsidRPr="008E7AAD">
              <w:rPr>
                <w:rFonts w:eastAsia="Segoe UI" w:cs="Segoe UI"/>
                <w:sz w:val="18"/>
                <w:szCs w:val="18"/>
                <w:lang w:eastAsia="en-US"/>
              </w:rPr>
              <w:t>In March 2024 NHS England published a clinical policy that changed practice. It stated that prescription of puberty blockers to individuals under the age of 18 years is limited to those enrolled in a clinical trial.</w:t>
            </w:r>
          </w:p>
          <w:p w14:paraId="59DA0F0B" w14:textId="77777777" w:rsidR="00A152C2" w:rsidRPr="008E7AAD" w:rsidRDefault="00A152C2" w:rsidP="008E7AAD">
            <w:pPr>
              <w:spacing w:before="60" w:after="60"/>
              <w:rPr>
                <w:rFonts w:eastAsia="Segoe UI" w:cs="Segoe UI"/>
                <w:sz w:val="18"/>
                <w:szCs w:val="18"/>
                <w:lang w:eastAsia="en-US"/>
              </w:rPr>
            </w:pPr>
            <w:r w:rsidRPr="008E7AAD">
              <w:rPr>
                <w:rFonts w:eastAsia="Segoe UI" w:cs="Segoe UI"/>
                <w:sz w:val="18"/>
                <w:szCs w:val="18"/>
                <w:lang w:eastAsia="en-US"/>
              </w:rPr>
              <w:t>In June 2024 NHS England announced that there will be a temporary ban (until September 2024) on prescription of puberty blockers to individuals under 18 years of age newly diagnosed with gender-dysphoria. The temporary ban will apply to private providers as well.</w:t>
            </w:r>
            <w:r w:rsidRPr="008E7AAD">
              <w:rPr>
                <w:rStyle w:val="FootnoteReference"/>
                <w:rFonts w:eastAsia="Segoe UI" w:cs="Segoe UI"/>
                <w:sz w:val="18"/>
                <w:szCs w:val="18"/>
                <w:lang w:eastAsia="en-US"/>
              </w:rPr>
              <w:footnoteReference w:id="33"/>
            </w:r>
            <w:r w:rsidRPr="008E7AAD">
              <w:rPr>
                <w:rFonts w:eastAsia="Segoe UI" w:cs="Segoe UI"/>
                <w:sz w:val="18"/>
                <w:szCs w:val="18"/>
                <w:lang w:eastAsia="en-US"/>
              </w:rPr>
              <w:t xml:space="preserve"> </w:t>
            </w:r>
          </w:p>
          <w:p w14:paraId="1D801142" w14:textId="77777777" w:rsidR="00A152C2" w:rsidRPr="008E7AAD" w:rsidRDefault="00A152C2" w:rsidP="008E7AAD">
            <w:pPr>
              <w:spacing w:before="60" w:after="60"/>
              <w:rPr>
                <w:rFonts w:eastAsia="Segoe UI" w:cs="Segoe UI"/>
                <w:sz w:val="18"/>
                <w:szCs w:val="18"/>
                <w:lang w:eastAsia="en-US"/>
              </w:rPr>
            </w:pPr>
            <w:r w:rsidRPr="008E7AAD">
              <w:rPr>
                <w:rFonts w:eastAsia="Segoe UI" w:cs="Segoe UI"/>
                <w:sz w:val="18"/>
                <w:szCs w:val="18"/>
                <w:lang w:eastAsia="en-US"/>
              </w:rPr>
              <w:t>A new national Children and Young People’s Gender Dysphoria Research Oversight Board is being established to provide evidence-based care for children and young people experiencing gender incongruence.</w:t>
            </w:r>
            <w:r w:rsidRPr="008E7AAD">
              <w:rPr>
                <w:rFonts w:eastAsia="Segoe UI" w:cs="Segoe UI"/>
                <w:sz w:val="18"/>
                <w:szCs w:val="18"/>
                <w:vertAlign w:val="superscript"/>
                <w:lang w:eastAsia="en-US"/>
              </w:rPr>
              <w:footnoteReference w:id="34"/>
            </w:r>
          </w:p>
          <w:p w14:paraId="5522D8E8" w14:textId="77777777" w:rsidR="00A152C2" w:rsidRPr="008E7AAD" w:rsidRDefault="00A152C2" w:rsidP="008E7AAD">
            <w:pPr>
              <w:spacing w:before="60" w:after="60"/>
              <w:rPr>
                <w:rFonts w:eastAsia="Segoe UI" w:cs="Segoe UI"/>
                <w:sz w:val="18"/>
                <w:szCs w:val="18"/>
                <w:lang w:eastAsia="en-US"/>
              </w:rPr>
            </w:pPr>
            <w:r w:rsidRPr="008E7AAD">
              <w:rPr>
                <w:rFonts w:eastAsia="Segoe UI" w:cs="Segoe UI"/>
                <w:sz w:val="18"/>
                <w:szCs w:val="18"/>
                <w:lang w:eastAsia="en-US"/>
              </w:rPr>
              <w:t>Children, young people and their families are strongly discouraged from getting puberty blockers or gender-affirming hormones from unregulated sources or online providers that are not regulated by UK regulatory bodies.</w:t>
            </w:r>
            <w:r w:rsidRPr="008E7AAD">
              <w:rPr>
                <w:rFonts w:eastAsia="Segoe UI" w:cs="Segoe UI"/>
                <w:sz w:val="18"/>
                <w:szCs w:val="18"/>
                <w:vertAlign w:val="superscript"/>
              </w:rPr>
              <w:t>33</w:t>
            </w:r>
          </w:p>
        </w:tc>
        <w:tc>
          <w:tcPr>
            <w:tcW w:w="9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E82482" w14:textId="77777777" w:rsidR="00A152C2" w:rsidRPr="008E7AAD" w:rsidRDefault="00A152C2" w:rsidP="008E7AAD">
            <w:pPr>
              <w:spacing w:before="60" w:after="60"/>
              <w:rPr>
                <w:rFonts w:eastAsia="Segoe UI" w:cs="Segoe UI"/>
                <w:sz w:val="18"/>
                <w:szCs w:val="18"/>
                <w:lang w:eastAsia="en-US"/>
              </w:rPr>
            </w:pPr>
            <w:r w:rsidRPr="008E7AAD">
              <w:rPr>
                <w:rFonts w:eastAsia="Segoe UI" w:cs="Segoe UI"/>
                <w:sz w:val="18"/>
                <w:szCs w:val="18"/>
                <w:lang w:eastAsia="en-US"/>
              </w:rPr>
              <w:t>Up to eight regional centres to assess and manage adolescents with gender dysphoria are planned, which will be based within specialist children’s hospitals.</w:t>
            </w:r>
          </w:p>
        </w:tc>
        <w:tc>
          <w:tcPr>
            <w:tcW w:w="93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CD5C1A" w14:textId="77777777" w:rsidR="00A152C2" w:rsidRPr="008E7AAD" w:rsidRDefault="00A152C2" w:rsidP="008E7AAD">
            <w:pPr>
              <w:spacing w:before="60" w:after="60"/>
              <w:rPr>
                <w:rFonts w:eastAsia="Segoe UI" w:cs="Segoe UI"/>
                <w:sz w:val="18"/>
                <w:szCs w:val="18"/>
                <w:lang w:eastAsia="en-US"/>
              </w:rPr>
            </w:pPr>
            <w:proofErr w:type="spellStart"/>
            <w:r w:rsidRPr="008E7AAD">
              <w:rPr>
                <w:rFonts w:eastAsia="Segoe UI" w:cs="Segoe UI"/>
                <w:sz w:val="18"/>
                <w:szCs w:val="18"/>
                <w:lang w:eastAsia="en-US"/>
              </w:rPr>
              <w:t>GnRHa</w:t>
            </w:r>
            <w:proofErr w:type="spellEnd"/>
            <w:r w:rsidRPr="008E7AAD">
              <w:rPr>
                <w:rFonts w:eastAsia="Segoe UI" w:cs="Segoe UI"/>
                <w:sz w:val="18"/>
                <w:szCs w:val="18"/>
                <w:lang w:eastAsia="en-US"/>
              </w:rPr>
              <w:t xml:space="preserve"> for managing gender dysphoria is only available to those under the age of 18 years.</w:t>
            </w:r>
          </w:p>
          <w:p w14:paraId="0953393A" w14:textId="77777777" w:rsidR="00A152C2" w:rsidRPr="008E7AAD" w:rsidRDefault="00A152C2" w:rsidP="008E7AAD">
            <w:pPr>
              <w:spacing w:before="60" w:after="60"/>
              <w:rPr>
                <w:rFonts w:eastAsia="Segoe UI" w:cs="Segoe UI"/>
                <w:sz w:val="18"/>
                <w:szCs w:val="18"/>
                <w:lang w:eastAsia="en-US"/>
              </w:rPr>
            </w:pPr>
            <w:r w:rsidRPr="008E7AAD">
              <w:rPr>
                <w:rFonts w:eastAsia="Segoe UI" w:cs="Segoe UI"/>
                <w:sz w:val="18"/>
                <w:szCs w:val="18"/>
                <w:lang w:eastAsia="en-US"/>
              </w:rPr>
              <w:t>Two centres have been established (Manchester and London) to manage individuals with gender dysphoria.</w:t>
            </w:r>
            <w:r w:rsidRPr="008E7AAD">
              <w:rPr>
                <w:rFonts w:eastAsia="Segoe UI" w:cs="Segoe UI"/>
                <w:sz w:val="18"/>
                <w:szCs w:val="18"/>
                <w:vertAlign w:val="superscript"/>
                <w:lang w:eastAsia="en-US"/>
              </w:rPr>
              <w:footnoteReference w:id="35"/>
            </w:r>
          </w:p>
        </w:tc>
        <w:tc>
          <w:tcPr>
            <w:tcW w:w="1006" w:type="pct"/>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tcPr>
          <w:p w14:paraId="58C70923" w14:textId="77777777" w:rsidR="00A152C2" w:rsidRPr="008E7AAD" w:rsidRDefault="00A152C2" w:rsidP="008E7AAD">
            <w:pPr>
              <w:spacing w:before="60" w:after="60"/>
              <w:rPr>
                <w:rFonts w:eastAsia="Segoe UI" w:cs="Segoe UI"/>
                <w:sz w:val="18"/>
                <w:szCs w:val="18"/>
                <w:lang w:eastAsia="en-US"/>
              </w:rPr>
            </w:pPr>
            <w:r w:rsidRPr="008E7AAD">
              <w:rPr>
                <w:rFonts w:eastAsia="Segoe UI" w:cs="Segoe UI"/>
                <w:sz w:val="18"/>
                <w:szCs w:val="18"/>
                <w:lang w:eastAsia="en-US"/>
              </w:rPr>
              <w:t>The guidelines for managing children and young people with gender dysphoria are available on the NHS website and were last updated in May 2020.</w:t>
            </w:r>
            <w:r w:rsidRPr="008E7AAD">
              <w:rPr>
                <w:rFonts w:eastAsia="Segoe UI" w:cs="Segoe UI"/>
                <w:sz w:val="18"/>
                <w:szCs w:val="18"/>
                <w:vertAlign w:val="superscript"/>
                <w:lang w:eastAsia="en-US"/>
              </w:rPr>
              <w:footnoteReference w:id="36"/>
            </w:r>
          </w:p>
          <w:p w14:paraId="66B65DDA" w14:textId="77777777" w:rsidR="00A152C2" w:rsidRPr="008E7AAD" w:rsidRDefault="00A152C2" w:rsidP="008E7AAD">
            <w:pPr>
              <w:spacing w:before="60" w:after="60"/>
              <w:rPr>
                <w:rFonts w:eastAsia="Segoe UI" w:cs="Segoe UI"/>
                <w:sz w:val="18"/>
                <w:szCs w:val="18"/>
                <w:lang w:eastAsia="en-US"/>
              </w:rPr>
            </w:pPr>
            <w:r w:rsidRPr="008E7AAD">
              <w:rPr>
                <w:rFonts w:eastAsia="Segoe UI" w:cs="Segoe UI"/>
                <w:sz w:val="18"/>
                <w:szCs w:val="18"/>
                <w:lang w:eastAsia="en-US"/>
              </w:rPr>
              <w:t>The Royal College of Psychiatrists has published guidance for management for gender identity disorders in children and adolescents.</w:t>
            </w:r>
            <w:r w:rsidRPr="008E7AAD">
              <w:rPr>
                <w:rFonts w:eastAsia="Segoe UI" w:cs="Segoe UI"/>
                <w:sz w:val="18"/>
                <w:szCs w:val="18"/>
                <w:vertAlign w:val="superscript"/>
                <w:lang w:eastAsia="en-US"/>
              </w:rPr>
              <w:footnoteReference w:id="37"/>
            </w:r>
          </w:p>
        </w:tc>
      </w:tr>
      <w:tr w:rsidR="00A152C2" w:rsidRPr="00FA2EBC" w14:paraId="220F4043" w14:textId="77777777" w:rsidTr="008E7AAD">
        <w:trPr>
          <w:trHeight w:val="283"/>
        </w:trPr>
        <w:tc>
          <w:tcPr>
            <w:tcW w:w="5000" w:type="pct"/>
            <w:gridSpan w:val="6"/>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tcPr>
          <w:p w14:paraId="6A217EED" w14:textId="77777777" w:rsidR="00A152C2" w:rsidRPr="008E7AAD" w:rsidRDefault="00A152C2" w:rsidP="008E7AAD">
            <w:pPr>
              <w:spacing w:before="60" w:after="60"/>
              <w:rPr>
                <w:rFonts w:eastAsia="Segoe UI" w:cs="Segoe UI"/>
                <w:b/>
                <w:bCs/>
                <w:sz w:val="18"/>
                <w:szCs w:val="18"/>
                <w:lang w:eastAsia="en-US"/>
              </w:rPr>
            </w:pPr>
            <w:r w:rsidRPr="008E7AAD">
              <w:rPr>
                <w:rFonts w:eastAsia="Segoe UI" w:cs="Segoe UI"/>
                <w:b/>
                <w:bCs/>
                <w:sz w:val="18"/>
                <w:szCs w:val="18"/>
                <w:lang w:eastAsia="en-US"/>
              </w:rPr>
              <w:t>Wales</w:t>
            </w:r>
          </w:p>
        </w:tc>
      </w:tr>
      <w:tr w:rsidR="00A152C2" w:rsidRPr="00FA2EBC" w14:paraId="15484EFC" w14:textId="77777777" w:rsidTr="008E7AAD">
        <w:tc>
          <w:tcPr>
            <w:tcW w:w="5000" w:type="pct"/>
            <w:gridSpan w:val="6"/>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3E210EF9" w14:textId="77777777" w:rsidR="00A152C2" w:rsidRPr="008E7AAD" w:rsidRDefault="00A152C2" w:rsidP="008E7AAD">
            <w:pPr>
              <w:spacing w:before="60" w:after="60"/>
              <w:rPr>
                <w:rFonts w:eastAsia="Segoe UI" w:cs="Segoe UI"/>
                <w:b/>
                <w:bCs/>
                <w:sz w:val="18"/>
                <w:szCs w:val="18"/>
                <w:lang w:eastAsia="en-US"/>
              </w:rPr>
            </w:pPr>
            <w:r w:rsidRPr="008E7AAD">
              <w:rPr>
                <w:rFonts w:eastAsia="Segoe UI" w:cs="Segoe UI"/>
                <w:sz w:val="18"/>
                <w:szCs w:val="18"/>
                <w:lang w:eastAsia="en-US"/>
              </w:rPr>
              <w:t xml:space="preserve">The regulation of </w:t>
            </w:r>
            <w:proofErr w:type="spellStart"/>
            <w:r w:rsidRPr="008E7AAD">
              <w:rPr>
                <w:rFonts w:eastAsia="Segoe UI" w:cs="Segoe UI"/>
                <w:sz w:val="18"/>
                <w:szCs w:val="18"/>
                <w:lang w:eastAsia="en-US"/>
              </w:rPr>
              <w:t>GnRHa</w:t>
            </w:r>
            <w:proofErr w:type="spellEnd"/>
            <w:r w:rsidRPr="008E7AAD">
              <w:rPr>
                <w:rFonts w:eastAsia="Segoe UI" w:cs="Segoe UI"/>
                <w:sz w:val="18"/>
                <w:szCs w:val="18"/>
                <w:lang w:eastAsia="en-US"/>
              </w:rPr>
              <w:t xml:space="preserve"> in Wales is coordinated with the services provided by NHS England.</w:t>
            </w:r>
          </w:p>
        </w:tc>
      </w:tr>
      <w:tr w:rsidR="00A152C2" w:rsidRPr="00FA2EBC" w14:paraId="45A4371E" w14:textId="77777777" w:rsidTr="008E7AAD">
        <w:trPr>
          <w:trHeight w:val="283"/>
        </w:trPr>
        <w:tc>
          <w:tcPr>
            <w:tcW w:w="5000" w:type="pct"/>
            <w:gridSpan w:val="6"/>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tcPr>
          <w:p w14:paraId="120ADBF0" w14:textId="77777777" w:rsidR="00A152C2" w:rsidRPr="008E7AAD" w:rsidRDefault="00A152C2" w:rsidP="008E7AAD">
            <w:pPr>
              <w:spacing w:before="60" w:after="60"/>
              <w:rPr>
                <w:rFonts w:eastAsia="Segoe UI" w:cs="Segoe UI"/>
                <w:b/>
                <w:bCs/>
                <w:sz w:val="18"/>
                <w:szCs w:val="18"/>
                <w:lang w:eastAsia="en-US"/>
              </w:rPr>
            </w:pPr>
            <w:r w:rsidRPr="008E7AAD">
              <w:rPr>
                <w:rFonts w:eastAsia="Segoe UI" w:cs="Segoe UI"/>
                <w:b/>
                <w:bCs/>
                <w:sz w:val="18"/>
                <w:szCs w:val="18"/>
                <w:lang w:eastAsia="en-US"/>
              </w:rPr>
              <w:t>Scotland</w:t>
            </w:r>
          </w:p>
        </w:tc>
      </w:tr>
      <w:tr w:rsidR="007E70DA" w:rsidRPr="00FA2EBC" w14:paraId="3DFFA1F3" w14:textId="77777777" w:rsidTr="007E70DA">
        <w:tc>
          <w:tcPr>
            <w:tcW w:w="636" w:type="pct"/>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47E344D4" w14:textId="77777777" w:rsidR="00A152C2" w:rsidRPr="008E7AAD" w:rsidRDefault="00A152C2" w:rsidP="008E7AAD">
            <w:pPr>
              <w:spacing w:before="60" w:after="60"/>
              <w:rPr>
                <w:rFonts w:eastAsia="Segoe UI" w:cs="Segoe UI"/>
                <w:b/>
                <w:bCs/>
                <w:sz w:val="18"/>
                <w:szCs w:val="18"/>
                <w:lang w:eastAsia="en-US"/>
              </w:rPr>
            </w:pPr>
            <w:r w:rsidRPr="008E7AAD">
              <w:rPr>
                <w:rFonts w:eastAsia="Segoe UI" w:cs="Segoe UI"/>
                <w:sz w:val="18"/>
                <w:szCs w:val="18"/>
                <w:lang w:eastAsia="en-US"/>
              </w:rPr>
              <w:t>NHS Scotland</w:t>
            </w:r>
          </w:p>
        </w:tc>
        <w:tc>
          <w:tcPr>
            <w:tcW w:w="147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D44511" w14:textId="77777777" w:rsidR="00A152C2" w:rsidRPr="008E7AAD" w:rsidRDefault="00A152C2" w:rsidP="008E7AAD">
            <w:pPr>
              <w:spacing w:before="60" w:after="60"/>
              <w:rPr>
                <w:rFonts w:eastAsia="Segoe UI" w:cs="Segoe UI"/>
                <w:sz w:val="18"/>
                <w:szCs w:val="18"/>
                <w:lang w:eastAsia="en-US"/>
              </w:rPr>
            </w:pPr>
            <w:r w:rsidRPr="008E7AAD">
              <w:rPr>
                <w:rFonts w:eastAsia="Segoe UI" w:cs="Segoe UI"/>
                <w:sz w:val="18"/>
                <w:szCs w:val="18"/>
                <w:lang w:eastAsia="en-US"/>
              </w:rPr>
              <w:t>In April 2024 NHS Greater Glasgow and Clyde and NHS Lothian issued a joint statement confirming a pause on new prescriptions for puberty hormone suppressants and cross-sex hormone medication for young people with gender dysphoria.</w:t>
            </w:r>
            <w:r w:rsidRPr="008E7AAD">
              <w:rPr>
                <w:rFonts w:eastAsia="Segoe UI" w:cs="Segoe UI"/>
                <w:sz w:val="18"/>
                <w:szCs w:val="18"/>
                <w:vertAlign w:val="superscript"/>
                <w:lang w:eastAsia="en-US"/>
              </w:rPr>
              <w:footnoteReference w:id="38"/>
            </w:r>
          </w:p>
          <w:p w14:paraId="0E6A8508" w14:textId="77777777" w:rsidR="00A152C2" w:rsidRPr="008E7AAD" w:rsidRDefault="00A152C2" w:rsidP="008E7AAD">
            <w:pPr>
              <w:spacing w:before="60" w:after="60"/>
              <w:rPr>
                <w:rFonts w:eastAsia="Segoe UI" w:cs="Segoe UI"/>
                <w:b/>
                <w:bCs/>
                <w:sz w:val="18"/>
                <w:szCs w:val="18"/>
                <w:lang w:eastAsia="en-US"/>
              </w:rPr>
            </w:pPr>
            <w:r w:rsidRPr="008E7AAD">
              <w:rPr>
                <w:rFonts w:eastAsia="Segoe UI" w:cs="Segoe UI"/>
                <w:sz w:val="18"/>
                <w:szCs w:val="18"/>
                <w:lang w:eastAsia="en-US"/>
              </w:rPr>
              <w:t>The Cass Review was limited to an assessment of the care of adolescents in England and did not assess care in Scotland.</w:t>
            </w:r>
          </w:p>
        </w:tc>
        <w:tc>
          <w:tcPr>
            <w:tcW w:w="9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7E2E18" w14:textId="77777777" w:rsidR="00A152C2" w:rsidRPr="008E7AAD" w:rsidRDefault="00A152C2" w:rsidP="008E7AAD">
            <w:pPr>
              <w:spacing w:before="60" w:after="60"/>
              <w:rPr>
                <w:rFonts w:eastAsia="Segoe UI" w:cs="Segoe UI"/>
                <w:b/>
                <w:bCs/>
                <w:sz w:val="18"/>
                <w:szCs w:val="18"/>
                <w:lang w:eastAsia="en-US"/>
              </w:rPr>
            </w:pPr>
            <w:r w:rsidRPr="008E7AAD">
              <w:rPr>
                <w:rFonts w:eastAsia="Segoe UI" w:cs="Segoe UI"/>
                <w:sz w:val="18"/>
                <w:szCs w:val="18"/>
                <w:lang w:eastAsia="en-US"/>
              </w:rPr>
              <w:t>Referrals to paediatric endocrinology for the prescription of puberty-suppressing hormones have been paused, but anyone referred will be given ‘the psychological support they require’ while care pathways are reviewed in line with the Cass Review findings.</w:t>
            </w:r>
          </w:p>
        </w:tc>
        <w:tc>
          <w:tcPr>
            <w:tcW w:w="93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BB0C50" w14:textId="77777777" w:rsidR="00A152C2" w:rsidRPr="008E7AAD" w:rsidRDefault="00A152C2" w:rsidP="008E7AAD">
            <w:pPr>
              <w:spacing w:before="60" w:after="60"/>
              <w:rPr>
                <w:rFonts w:eastAsia="Segoe UI" w:cs="Segoe UI"/>
                <w:sz w:val="18"/>
                <w:szCs w:val="18"/>
                <w:lang w:eastAsia="en-US"/>
              </w:rPr>
            </w:pPr>
            <w:r w:rsidRPr="008E7AAD">
              <w:rPr>
                <w:rFonts w:eastAsia="Segoe UI" w:cs="Segoe UI"/>
                <w:sz w:val="18"/>
                <w:szCs w:val="18"/>
                <w:lang w:eastAsia="en-US"/>
              </w:rPr>
              <w:t>Scotland has temporarily banned prescription of puberty blockers to individuals under the age of 18 years.</w:t>
            </w:r>
          </w:p>
          <w:p w14:paraId="58D41860" w14:textId="77777777" w:rsidR="00A152C2" w:rsidRPr="008E7AAD" w:rsidRDefault="00A152C2" w:rsidP="008E7AAD">
            <w:pPr>
              <w:spacing w:before="60" w:after="60"/>
              <w:rPr>
                <w:rFonts w:eastAsia="Segoe UI" w:cs="Segoe UI"/>
                <w:b/>
                <w:bCs/>
                <w:sz w:val="18"/>
                <w:szCs w:val="18"/>
                <w:lang w:eastAsia="en-US"/>
              </w:rPr>
            </w:pPr>
            <w:r w:rsidRPr="008E7AAD">
              <w:rPr>
                <w:rFonts w:eastAsia="Segoe UI" w:cs="Segoe UI"/>
                <w:sz w:val="18"/>
                <w:szCs w:val="18"/>
                <w:lang w:eastAsia="en-US"/>
              </w:rPr>
              <w:t>This ban will not affect young people currently receiving these medicines.</w:t>
            </w:r>
            <w:r w:rsidRPr="008E7AAD">
              <w:rPr>
                <w:rFonts w:eastAsia="Segoe UI" w:cs="Segoe UI"/>
                <w:sz w:val="18"/>
                <w:szCs w:val="18"/>
                <w:vertAlign w:val="superscript"/>
                <w:lang w:eastAsia="en-US"/>
              </w:rPr>
              <w:footnoteReference w:id="39"/>
            </w:r>
          </w:p>
        </w:tc>
        <w:tc>
          <w:tcPr>
            <w:tcW w:w="1006" w:type="pct"/>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tcPr>
          <w:p w14:paraId="5BB8075F" w14:textId="77777777" w:rsidR="00A152C2" w:rsidRPr="008E7AAD" w:rsidRDefault="00A152C2" w:rsidP="008E7AAD">
            <w:pPr>
              <w:spacing w:before="60" w:after="60"/>
              <w:rPr>
                <w:rFonts w:eastAsia="Segoe UI" w:cs="Segoe UI"/>
                <w:b/>
                <w:bCs/>
                <w:sz w:val="18"/>
                <w:szCs w:val="18"/>
                <w:lang w:eastAsia="en-US"/>
              </w:rPr>
            </w:pPr>
            <w:r w:rsidRPr="008E7AAD">
              <w:rPr>
                <w:rFonts w:eastAsia="Segoe UI" w:cs="Segoe UI"/>
                <w:sz w:val="18"/>
                <w:szCs w:val="18"/>
                <w:lang w:eastAsia="en-US"/>
              </w:rPr>
              <w:t>Guidelines are yet to be released.</w:t>
            </w:r>
          </w:p>
        </w:tc>
      </w:tr>
      <w:tr w:rsidR="00A152C2" w:rsidRPr="00FA2EBC" w14:paraId="5402FDAA" w14:textId="77777777" w:rsidTr="007E70DA">
        <w:trPr>
          <w:trHeight w:val="283"/>
        </w:trPr>
        <w:tc>
          <w:tcPr>
            <w:tcW w:w="5000" w:type="pct"/>
            <w:gridSpan w:val="6"/>
            <w:tcBorders>
              <w:top w:val="single" w:sz="4" w:space="0" w:color="A6A6A6" w:themeColor="background1" w:themeShade="A6"/>
              <w:left w:val="nil"/>
              <w:bottom w:val="single" w:sz="4" w:space="0" w:color="A6A6A6" w:themeColor="background1" w:themeShade="A6"/>
              <w:right w:val="nil"/>
            </w:tcBorders>
            <w:shd w:val="clear" w:color="auto" w:fill="DBE5F1" w:themeFill="accent1" w:themeFillTint="33"/>
          </w:tcPr>
          <w:p w14:paraId="12F4CA56" w14:textId="77777777" w:rsidR="00A152C2" w:rsidRPr="008E7AAD" w:rsidRDefault="00A152C2" w:rsidP="00B8726A">
            <w:pPr>
              <w:keepNext/>
              <w:spacing w:before="60" w:after="60"/>
              <w:rPr>
                <w:rFonts w:eastAsia="Segoe UI" w:cs="Segoe UI"/>
                <w:b/>
                <w:bCs/>
                <w:sz w:val="18"/>
                <w:szCs w:val="18"/>
                <w:lang w:eastAsia="en-US"/>
              </w:rPr>
            </w:pPr>
            <w:r w:rsidRPr="008E7AAD">
              <w:rPr>
                <w:rFonts w:eastAsia="Segoe UI" w:cs="Segoe UI"/>
                <w:b/>
                <w:bCs/>
                <w:sz w:val="18"/>
                <w:szCs w:val="18"/>
                <w:lang w:eastAsia="en-US"/>
              </w:rPr>
              <w:t>North America</w:t>
            </w:r>
          </w:p>
        </w:tc>
      </w:tr>
      <w:tr w:rsidR="00A152C2" w:rsidRPr="00FA2EBC" w14:paraId="1538FA21" w14:textId="77777777" w:rsidTr="008E7AAD">
        <w:trPr>
          <w:trHeight w:val="283"/>
        </w:trPr>
        <w:tc>
          <w:tcPr>
            <w:tcW w:w="5000" w:type="pct"/>
            <w:gridSpan w:val="6"/>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tcPr>
          <w:p w14:paraId="11CA33FC" w14:textId="77777777" w:rsidR="00A152C2" w:rsidRPr="008E7AAD" w:rsidRDefault="00A152C2" w:rsidP="008E7AAD">
            <w:pPr>
              <w:spacing w:before="60" w:after="60"/>
              <w:rPr>
                <w:rFonts w:eastAsia="Segoe UI" w:cs="Segoe UI"/>
                <w:b/>
                <w:bCs/>
                <w:sz w:val="18"/>
                <w:szCs w:val="18"/>
                <w:lang w:eastAsia="en-US"/>
              </w:rPr>
            </w:pPr>
            <w:r w:rsidRPr="008E7AAD">
              <w:rPr>
                <w:rFonts w:eastAsia="Segoe UI" w:cs="Segoe UI"/>
                <w:b/>
                <w:bCs/>
                <w:sz w:val="18"/>
                <w:szCs w:val="18"/>
                <w:lang w:eastAsia="en-US"/>
              </w:rPr>
              <w:t>Canada</w:t>
            </w:r>
            <w:r w:rsidRPr="008E7AAD">
              <w:rPr>
                <w:rFonts w:eastAsia="Segoe UI" w:cs="Segoe UI"/>
                <w:b/>
                <w:bCs/>
                <w:sz w:val="18"/>
                <w:szCs w:val="18"/>
                <w:vertAlign w:val="superscript"/>
                <w:lang w:eastAsia="en-US"/>
              </w:rPr>
              <w:footnoteReference w:id="40"/>
            </w:r>
          </w:p>
        </w:tc>
      </w:tr>
      <w:tr w:rsidR="007E70DA" w:rsidRPr="00FA2EBC" w14:paraId="6428FEA6" w14:textId="77777777" w:rsidTr="007E70DA">
        <w:tc>
          <w:tcPr>
            <w:tcW w:w="608" w:type="pct"/>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45E08494" w14:textId="77777777" w:rsidR="00A152C2" w:rsidRPr="008E7AAD" w:rsidRDefault="00A152C2" w:rsidP="008E7AAD">
            <w:pPr>
              <w:spacing w:before="60" w:after="60"/>
              <w:rPr>
                <w:rFonts w:eastAsia="Segoe UI" w:cs="Segoe UI"/>
                <w:sz w:val="18"/>
                <w:szCs w:val="18"/>
                <w:lang w:eastAsia="en-US"/>
              </w:rPr>
            </w:pPr>
            <w:r w:rsidRPr="008E7AAD">
              <w:rPr>
                <w:rFonts w:eastAsia="Segoe UI" w:cs="Segoe UI"/>
                <w:sz w:val="18"/>
                <w:szCs w:val="18"/>
                <w:lang w:eastAsia="en-US"/>
              </w:rPr>
              <w:t xml:space="preserve">Health Canada </w:t>
            </w:r>
          </w:p>
          <w:p w14:paraId="514AEB45" w14:textId="77777777" w:rsidR="00A152C2" w:rsidRPr="008E7AAD" w:rsidRDefault="00A152C2" w:rsidP="008E7AAD">
            <w:pPr>
              <w:spacing w:before="60" w:after="60"/>
              <w:rPr>
                <w:rFonts w:eastAsia="Segoe UI" w:cs="Segoe UI"/>
                <w:sz w:val="18"/>
                <w:szCs w:val="18"/>
                <w:lang w:eastAsia="en-US"/>
              </w:rPr>
            </w:pPr>
            <w:r w:rsidRPr="008E7AAD">
              <w:rPr>
                <w:rFonts w:eastAsia="Segoe UI" w:cs="Segoe UI"/>
                <w:sz w:val="18"/>
                <w:szCs w:val="18"/>
                <w:lang w:eastAsia="en-US"/>
              </w:rPr>
              <w:t xml:space="preserve">Pharmaceutical Drugs Directorate </w:t>
            </w:r>
          </w:p>
          <w:p w14:paraId="4230972C" w14:textId="77777777" w:rsidR="00A152C2" w:rsidRPr="008E7AAD" w:rsidRDefault="00A152C2" w:rsidP="008E7AAD">
            <w:pPr>
              <w:spacing w:before="60" w:after="60"/>
              <w:rPr>
                <w:rFonts w:eastAsia="Segoe UI" w:cs="Segoe UI"/>
                <w:sz w:val="18"/>
                <w:szCs w:val="18"/>
                <w:lang w:eastAsia="en-US"/>
              </w:rPr>
            </w:pPr>
            <w:r w:rsidRPr="008E7AAD">
              <w:rPr>
                <w:rFonts w:eastAsia="Segoe UI" w:cs="Segoe UI"/>
                <w:sz w:val="18"/>
                <w:szCs w:val="18"/>
                <w:lang w:eastAsia="en-US"/>
              </w:rPr>
              <w:t>States have primary control over health care services.</w:t>
            </w:r>
          </w:p>
        </w:tc>
        <w:tc>
          <w:tcPr>
            <w:tcW w:w="1503"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245C68" w14:textId="77777777" w:rsidR="00A152C2" w:rsidRPr="008E7AAD" w:rsidRDefault="00A152C2" w:rsidP="008E7AAD">
            <w:pPr>
              <w:spacing w:before="60" w:after="60"/>
              <w:rPr>
                <w:rFonts w:eastAsia="Segoe UI" w:cs="Segoe UI"/>
                <w:sz w:val="18"/>
                <w:szCs w:val="18"/>
                <w:lang w:eastAsia="en-US"/>
              </w:rPr>
            </w:pPr>
            <w:r w:rsidRPr="008E7AAD">
              <w:rPr>
                <w:rFonts w:eastAsia="Segoe UI" w:cs="Segoe UI"/>
                <w:sz w:val="18"/>
                <w:szCs w:val="18"/>
                <w:lang w:eastAsia="en-US"/>
              </w:rPr>
              <w:t>The Pharmaceutical Drugs Directorate applies the food and drug regulations under the authority of the Food and Drugs Act.</w:t>
            </w:r>
          </w:p>
          <w:p w14:paraId="56F9F16C" w14:textId="77777777" w:rsidR="00A152C2" w:rsidRPr="008E7AAD" w:rsidRDefault="00A152C2" w:rsidP="008E7AAD">
            <w:pPr>
              <w:spacing w:before="60" w:after="60"/>
              <w:rPr>
                <w:rFonts w:eastAsia="Segoe UI" w:cs="Segoe UI"/>
                <w:sz w:val="18"/>
                <w:szCs w:val="18"/>
                <w:lang w:eastAsia="en-US"/>
              </w:rPr>
            </w:pPr>
            <w:r w:rsidRPr="008E7AAD">
              <w:rPr>
                <w:rFonts w:eastAsia="Segoe UI" w:cs="Segoe UI"/>
                <w:sz w:val="18"/>
                <w:szCs w:val="18"/>
                <w:lang w:eastAsia="en-US"/>
              </w:rPr>
              <w:t xml:space="preserve">States regulate the provision of and public access to transgender care, including </w:t>
            </w:r>
            <w:proofErr w:type="spellStart"/>
            <w:r w:rsidRPr="008E7AAD">
              <w:rPr>
                <w:rFonts w:eastAsia="Segoe UI" w:cs="Segoe UI"/>
                <w:sz w:val="18"/>
                <w:szCs w:val="18"/>
                <w:lang w:eastAsia="en-US"/>
              </w:rPr>
              <w:t>GnRHa</w:t>
            </w:r>
            <w:proofErr w:type="spellEnd"/>
            <w:r w:rsidRPr="008E7AAD">
              <w:rPr>
                <w:rFonts w:eastAsia="Segoe UI" w:cs="Segoe UI"/>
                <w:sz w:val="18"/>
                <w:szCs w:val="18"/>
                <w:lang w:eastAsia="en-US"/>
              </w:rPr>
              <w:t xml:space="preserve"> therapy. </w:t>
            </w:r>
          </w:p>
          <w:p w14:paraId="4DAFAECD" w14:textId="77777777" w:rsidR="00A152C2" w:rsidRPr="008E7AAD" w:rsidRDefault="00A152C2" w:rsidP="008E7AAD">
            <w:pPr>
              <w:spacing w:before="60" w:after="60"/>
              <w:rPr>
                <w:rFonts w:eastAsia="Segoe UI" w:cs="Segoe UI"/>
                <w:sz w:val="18"/>
                <w:szCs w:val="18"/>
                <w:lang w:eastAsia="en-US"/>
              </w:rPr>
            </w:pPr>
          </w:p>
        </w:tc>
        <w:tc>
          <w:tcPr>
            <w:tcW w:w="9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D1BDE5" w14:textId="77777777" w:rsidR="00A152C2" w:rsidRPr="008E7AAD" w:rsidRDefault="00A152C2" w:rsidP="008E7AAD">
            <w:pPr>
              <w:spacing w:before="60" w:after="60"/>
              <w:rPr>
                <w:rFonts w:eastAsia="Segoe UI" w:cs="Segoe UI"/>
                <w:sz w:val="18"/>
                <w:szCs w:val="18"/>
                <w:lang w:eastAsia="en-US"/>
              </w:rPr>
            </w:pPr>
            <w:r w:rsidRPr="008E7AAD">
              <w:rPr>
                <w:rFonts w:eastAsia="Segoe UI" w:cs="Segoe UI"/>
                <w:sz w:val="18"/>
                <w:szCs w:val="18"/>
                <w:lang w:eastAsia="en-US"/>
              </w:rPr>
              <w:t xml:space="preserve">Alberta is considering, but has not yet enacted, a ban on the use of puberty blockers for young people aged under 16 years unless they are already receiving treatment. </w:t>
            </w:r>
          </w:p>
          <w:p w14:paraId="746EE8B5" w14:textId="77777777" w:rsidR="00A152C2" w:rsidRPr="008E7AAD" w:rsidRDefault="00A152C2" w:rsidP="008E7AAD">
            <w:pPr>
              <w:spacing w:before="60" w:after="60"/>
              <w:rPr>
                <w:rFonts w:eastAsia="Segoe UI" w:cs="Segoe UI"/>
                <w:sz w:val="18"/>
                <w:szCs w:val="18"/>
                <w:lang w:eastAsia="en-US"/>
              </w:rPr>
            </w:pPr>
            <w:r w:rsidRPr="008E7AAD">
              <w:rPr>
                <w:rFonts w:eastAsia="Segoe UI" w:cs="Segoe UI"/>
                <w:sz w:val="18"/>
                <w:szCs w:val="18"/>
                <w:lang w:eastAsia="en-US"/>
              </w:rPr>
              <w:t>This ban would largely eliminate the use of puberty blockers as most adolescents will have completed puberty by the age of 16 years.</w:t>
            </w:r>
          </w:p>
          <w:p w14:paraId="5DE264E2" w14:textId="77777777" w:rsidR="00A152C2" w:rsidRPr="008E7AAD" w:rsidRDefault="00A152C2" w:rsidP="008E7AAD">
            <w:pPr>
              <w:spacing w:before="60" w:after="60"/>
              <w:rPr>
                <w:rFonts w:eastAsia="Segoe UI" w:cs="Segoe UI"/>
                <w:sz w:val="18"/>
                <w:szCs w:val="18"/>
                <w:lang w:eastAsia="en-US"/>
              </w:rPr>
            </w:pPr>
          </w:p>
        </w:tc>
        <w:tc>
          <w:tcPr>
            <w:tcW w:w="93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451921" w14:textId="77777777" w:rsidR="00A152C2" w:rsidRPr="008E7AAD" w:rsidRDefault="00A152C2" w:rsidP="008E7AAD">
            <w:pPr>
              <w:spacing w:before="60" w:after="60"/>
              <w:rPr>
                <w:rFonts w:eastAsia="Segoe UI" w:cs="Segoe UI"/>
                <w:sz w:val="18"/>
                <w:szCs w:val="18"/>
                <w:lang w:eastAsia="en-US"/>
              </w:rPr>
            </w:pPr>
            <w:r w:rsidRPr="008E7AAD">
              <w:rPr>
                <w:rFonts w:eastAsia="Segoe UI" w:cs="Segoe UI"/>
                <w:sz w:val="18"/>
                <w:szCs w:val="18"/>
                <w:lang w:eastAsia="en-US"/>
              </w:rPr>
              <w:t xml:space="preserve">Primary care doctors are able to prescribe </w:t>
            </w:r>
            <w:proofErr w:type="spellStart"/>
            <w:r w:rsidRPr="008E7AAD">
              <w:rPr>
                <w:rFonts w:eastAsia="Segoe UI" w:cs="Segoe UI"/>
                <w:sz w:val="18"/>
                <w:szCs w:val="18"/>
                <w:lang w:eastAsia="en-US"/>
              </w:rPr>
              <w:t>GnRHa</w:t>
            </w:r>
            <w:proofErr w:type="spellEnd"/>
            <w:r w:rsidRPr="008E7AAD">
              <w:rPr>
                <w:rFonts w:eastAsia="Segoe UI" w:cs="Segoe UI"/>
                <w:sz w:val="18"/>
                <w:szCs w:val="18"/>
                <w:lang w:eastAsia="en-US"/>
              </w:rPr>
              <w:t xml:space="preserve"> for gender dysphoria. </w:t>
            </w:r>
          </w:p>
          <w:p w14:paraId="62E1D776" w14:textId="77777777" w:rsidR="00A152C2" w:rsidRPr="008E7AAD" w:rsidRDefault="00A152C2" w:rsidP="008E7AAD">
            <w:pPr>
              <w:spacing w:before="60" w:after="60"/>
              <w:rPr>
                <w:rFonts w:eastAsia="Segoe UI" w:cs="Segoe UI"/>
                <w:sz w:val="18"/>
                <w:szCs w:val="18"/>
                <w:lang w:eastAsia="en-US"/>
              </w:rPr>
            </w:pPr>
            <w:r w:rsidRPr="008E7AAD">
              <w:rPr>
                <w:rFonts w:eastAsia="Segoe UI" w:cs="Segoe UI"/>
                <w:sz w:val="18"/>
                <w:szCs w:val="18"/>
                <w:lang w:eastAsia="en-US"/>
              </w:rPr>
              <w:t xml:space="preserve">Funding for medicines and surgery varies from state to state, including for access to </w:t>
            </w:r>
            <w:proofErr w:type="spellStart"/>
            <w:r w:rsidRPr="008E7AAD">
              <w:rPr>
                <w:rFonts w:eastAsia="Segoe UI" w:cs="Segoe UI"/>
                <w:sz w:val="18"/>
                <w:szCs w:val="18"/>
                <w:lang w:eastAsia="en-US"/>
              </w:rPr>
              <w:t>GnRHa</w:t>
            </w:r>
            <w:proofErr w:type="spellEnd"/>
            <w:r w:rsidRPr="008E7AAD">
              <w:rPr>
                <w:rFonts w:eastAsia="Segoe UI" w:cs="Segoe UI"/>
                <w:sz w:val="18"/>
                <w:szCs w:val="18"/>
                <w:lang w:eastAsia="en-US"/>
              </w:rPr>
              <w:t xml:space="preserve"> for puberty suppression.</w:t>
            </w:r>
          </w:p>
          <w:p w14:paraId="0D13A6DB" w14:textId="77777777" w:rsidR="00A152C2" w:rsidRPr="008E7AAD" w:rsidRDefault="00A152C2" w:rsidP="008E7AAD">
            <w:pPr>
              <w:spacing w:before="60" w:after="60"/>
              <w:rPr>
                <w:rFonts w:eastAsia="Segoe UI" w:cs="Segoe UI"/>
                <w:sz w:val="18"/>
                <w:szCs w:val="18"/>
                <w:lang w:eastAsia="en-US"/>
              </w:rPr>
            </w:pPr>
            <w:r w:rsidRPr="008E7AAD">
              <w:rPr>
                <w:rFonts w:eastAsia="Segoe UI" w:cs="Segoe UI"/>
                <w:sz w:val="18"/>
                <w:szCs w:val="18"/>
                <w:lang w:eastAsia="en-US"/>
              </w:rPr>
              <w:t>Access through clinical processes involving individuals and their families, as part of comprehensive gender-affirming care.</w:t>
            </w:r>
          </w:p>
        </w:tc>
        <w:tc>
          <w:tcPr>
            <w:tcW w:w="1006" w:type="pct"/>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tcPr>
          <w:p w14:paraId="45F4E2FE" w14:textId="77777777" w:rsidR="00A152C2" w:rsidRPr="008E7AAD" w:rsidRDefault="00A152C2" w:rsidP="008E7AAD">
            <w:pPr>
              <w:spacing w:before="60" w:after="60"/>
              <w:rPr>
                <w:rFonts w:eastAsia="Segoe UI" w:cs="Segoe UI"/>
                <w:sz w:val="18"/>
                <w:szCs w:val="18"/>
                <w:lang w:eastAsia="en-US"/>
              </w:rPr>
            </w:pPr>
            <w:r w:rsidRPr="008E7AAD">
              <w:rPr>
                <w:rFonts w:eastAsia="Segoe UI" w:cs="Segoe UI"/>
                <w:sz w:val="18"/>
                <w:szCs w:val="18"/>
                <w:lang w:eastAsia="en-US"/>
              </w:rPr>
              <w:t>No official Canadian guidelines exist.</w:t>
            </w:r>
          </w:p>
          <w:p w14:paraId="5EB51665" w14:textId="77777777" w:rsidR="00A152C2" w:rsidRPr="008E7AAD" w:rsidRDefault="00A152C2" w:rsidP="008E7AAD">
            <w:pPr>
              <w:spacing w:before="60" w:after="60"/>
              <w:rPr>
                <w:rFonts w:eastAsia="Segoe UI" w:cs="Segoe UI"/>
                <w:sz w:val="18"/>
                <w:szCs w:val="18"/>
                <w:lang w:eastAsia="en-US"/>
              </w:rPr>
            </w:pPr>
            <w:r w:rsidRPr="008E7AAD">
              <w:rPr>
                <w:rFonts w:eastAsia="Segoe UI" w:cs="Segoe UI"/>
                <w:sz w:val="18"/>
                <w:szCs w:val="18"/>
                <w:lang w:eastAsia="en-US"/>
              </w:rPr>
              <w:t>The Canadian Paediatric Society supports the use of gender-affirming treatment in adolescents, including puberty blockade.</w:t>
            </w:r>
            <w:r w:rsidRPr="008E7AAD">
              <w:rPr>
                <w:rFonts w:eastAsia="Segoe UI" w:cs="Segoe UI"/>
                <w:sz w:val="18"/>
                <w:szCs w:val="18"/>
                <w:vertAlign w:val="superscript"/>
                <w:lang w:eastAsia="en-US"/>
              </w:rPr>
              <w:footnoteReference w:id="41"/>
            </w:r>
          </w:p>
        </w:tc>
      </w:tr>
      <w:tr w:rsidR="00A152C2" w:rsidRPr="00FA2EBC" w14:paraId="7F9069A3" w14:textId="77777777" w:rsidTr="008E7AAD">
        <w:tc>
          <w:tcPr>
            <w:tcW w:w="5000" w:type="pct"/>
            <w:gridSpan w:val="6"/>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tcPr>
          <w:p w14:paraId="13BE1DF8" w14:textId="77777777" w:rsidR="00A152C2" w:rsidRPr="008E7AAD" w:rsidRDefault="00A152C2" w:rsidP="008E7AAD">
            <w:pPr>
              <w:spacing w:before="60" w:after="60"/>
              <w:rPr>
                <w:rFonts w:eastAsia="Segoe UI" w:cs="Segoe UI"/>
                <w:b/>
                <w:bCs/>
                <w:sz w:val="18"/>
                <w:szCs w:val="18"/>
                <w:lang w:eastAsia="en-US"/>
              </w:rPr>
            </w:pPr>
            <w:r w:rsidRPr="008E7AAD">
              <w:rPr>
                <w:rFonts w:eastAsia="Segoe UI" w:cs="Segoe UI"/>
                <w:b/>
                <w:bCs/>
                <w:sz w:val="18"/>
                <w:szCs w:val="18"/>
                <w:lang w:eastAsia="en-US"/>
              </w:rPr>
              <w:t>United States of America</w:t>
            </w:r>
          </w:p>
        </w:tc>
      </w:tr>
      <w:tr w:rsidR="007E70DA" w:rsidRPr="00FA2EBC" w14:paraId="15908662" w14:textId="77777777" w:rsidTr="007E70DA">
        <w:tc>
          <w:tcPr>
            <w:tcW w:w="608" w:type="pct"/>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62319B68" w14:textId="77777777" w:rsidR="00A152C2" w:rsidRPr="008E7AAD" w:rsidRDefault="00A152C2" w:rsidP="008E7AAD">
            <w:pPr>
              <w:spacing w:before="60" w:after="60"/>
              <w:rPr>
                <w:rFonts w:eastAsia="Segoe UI" w:cs="Segoe UI"/>
                <w:sz w:val="18"/>
                <w:szCs w:val="18"/>
                <w:lang w:eastAsia="en-US"/>
              </w:rPr>
            </w:pPr>
            <w:r w:rsidRPr="008E7AAD">
              <w:rPr>
                <w:rFonts w:eastAsia="Segoe UI" w:cs="Segoe UI"/>
                <w:sz w:val="18"/>
                <w:szCs w:val="18"/>
                <w:lang w:eastAsia="en-US"/>
              </w:rPr>
              <w:t>US Food and Drug Administration</w:t>
            </w:r>
          </w:p>
        </w:tc>
        <w:tc>
          <w:tcPr>
            <w:tcW w:w="1503"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23D51A" w14:textId="77777777" w:rsidR="00A152C2" w:rsidRPr="008E7AAD" w:rsidRDefault="00A152C2" w:rsidP="008E7AAD">
            <w:pPr>
              <w:spacing w:before="60" w:after="60"/>
              <w:rPr>
                <w:rFonts w:eastAsia="Segoe UI" w:cs="Segoe UI"/>
                <w:sz w:val="18"/>
                <w:szCs w:val="18"/>
                <w:lang w:eastAsia="en-US"/>
              </w:rPr>
            </w:pPr>
            <w:r w:rsidRPr="008E7AAD">
              <w:rPr>
                <w:rFonts w:eastAsia="Segoe UI" w:cs="Segoe UI"/>
                <w:sz w:val="18"/>
                <w:szCs w:val="18"/>
                <w:lang w:eastAsia="en-US"/>
              </w:rPr>
              <w:t xml:space="preserve">The US Food and Drug Administration (FDA) functions at the federal level to govern the prescription of puberty blockers for gender dysphoria. The FDA regulates pharmaceuticals but does not regulate the practice of medicine. </w:t>
            </w:r>
          </w:p>
          <w:p w14:paraId="0DB304A4" w14:textId="77777777" w:rsidR="00A152C2" w:rsidRPr="008E7AAD" w:rsidRDefault="00A152C2" w:rsidP="008E7AAD">
            <w:pPr>
              <w:spacing w:before="60" w:after="60"/>
              <w:rPr>
                <w:rFonts w:eastAsia="Segoe UI" w:cs="Segoe UI"/>
                <w:sz w:val="18"/>
                <w:szCs w:val="18"/>
                <w:lang w:eastAsia="en-US"/>
              </w:rPr>
            </w:pPr>
            <w:r w:rsidRPr="008E7AAD">
              <w:rPr>
                <w:rFonts w:eastAsia="Segoe UI" w:cs="Segoe UI"/>
                <w:sz w:val="18"/>
                <w:szCs w:val="18"/>
                <w:lang w:eastAsia="en-US"/>
              </w:rPr>
              <w:t>State health departments are responsible for licensing practitioners and providing health services.</w:t>
            </w:r>
          </w:p>
          <w:p w14:paraId="27C5B1EA" w14:textId="77777777" w:rsidR="00A152C2" w:rsidRPr="008E7AAD" w:rsidRDefault="00A152C2" w:rsidP="008E7AAD">
            <w:pPr>
              <w:spacing w:before="60" w:after="60"/>
              <w:rPr>
                <w:rFonts w:eastAsia="Segoe UI" w:cs="Segoe UI"/>
                <w:sz w:val="18"/>
                <w:szCs w:val="18"/>
                <w:lang w:eastAsia="en-US"/>
              </w:rPr>
            </w:pPr>
            <w:r w:rsidRPr="008E7AAD">
              <w:rPr>
                <w:rFonts w:eastAsia="Segoe UI" w:cs="Segoe UI"/>
                <w:sz w:val="18"/>
                <w:szCs w:val="18"/>
                <w:lang w:eastAsia="en-US"/>
              </w:rPr>
              <w:t>Private insurance and health care facilities manage the provision of health services for the majority of the population, including gender care.</w:t>
            </w:r>
          </w:p>
        </w:tc>
        <w:tc>
          <w:tcPr>
            <w:tcW w:w="9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472989" w14:textId="77777777" w:rsidR="00A152C2" w:rsidRPr="008E7AAD" w:rsidRDefault="00A152C2" w:rsidP="008E7AAD">
            <w:pPr>
              <w:spacing w:before="60" w:after="60"/>
              <w:rPr>
                <w:rFonts w:eastAsia="Segoe UI" w:cs="Segoe UI"/>
                <w:sz w:val="18"/>
                <w:szCs w:val="18"/>
                <w:lang w:eastAsia="en-US"/>
              </w:rPr>
            </w:pPr>
            <w:r w:rsidRPr="008E7AAD">
              <w:rPr>
                <w:rFonts w:eastAsia="Segoe UI" w:cs="Segoe UI"/>
                <w:sz w:val="18"/>
                <w:szCs w:val="18"/>
                <w:lang w:eastAsia="en-US"/>
              </w:rPr>
              <w:t xml:space="preserve">Many states are currently enacting new legislation addressing access to puberty blockers. </w:t>
            </w:r>
          </w:p>
        </w:tc>
        <w:tc>
          <w:tcPr>
            <w:tcW w:w="93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114A34" w14:textId="77777777" w:rsidR="00A152C2" w:rsidRPr="008E7AAD" w:rsidRDefault="00A152C2" w:rsidP="008E7AAD">
            <w:pPr>
              <w:spacing w:before="60" w:after="60"/>
              <w:rPr>
                <w:rFonts w:eastAsia="Segoe UI" w:cs="Segoe UI"/>
                <w:sz w:val="18"/>
                <w:szCs w:val="18"/>
                <w:lang w:eastAsia="en-US"/>
              </w:rPr>
            </w:pPr>
            <w:r w:rsidRPr="008E7AAD">
              <w:rPr>
                <w:rFonts w:eastAsia="Segoe UI" w:cs="Segoe UI"/>
                <w:sz w:val="18"/>
                <w:szCs w:val="18"/>
                <w:lang w:eastAsia="en-US"/>
              </w:rPr>
              <w:t>The FDA has not approved use of puberty blockers for puberty blockade in transgender adolescents but they may be used off-label.</w:t>
            </w:r>
          </w:p>
          <w:p w14:paraId="59589A23" w14:textId="77777777" w:rsidR="00A152C2" w:rsidRPr="008E7AAD" w:rsidRDefault="00A152C2" w:rsidP="008E7AAD">
            <w:pPr>
              <w:spacing w:before="60" w:after="60"/>
              <w:rPr>
                <w:rFonts w:eastAsia="Segoe UI" w:cs="Segoe UI"/>
                <w:sz w:val="18"/>
                <w:szCs w:val="18"/>
                <w:lang w:eastAsia="en-US"/>
              </w:rPr>
            </w:pPr>
            <w:r w:rsidRPr="008E7AAD">
              <w:rPr>
                <w:rFonts w:eastAsia="Segoe UI" w:cs="Segoe UI"/>
                <w:sz w:val="18"/>
                <w:szCs w:val="18"/>
                <w:lang w:eastAsia="en-US"/>
              </w:rPr>
              <w:t xml:space="preserve">The ability to access </w:t>
            </w:r>
            <w:proofErr w:type="spellStart"/>
            <w:r w:rsidRPr="008E7AAD">
              <w:rPr>
                <w:rFonts w:eastAsia="Segoe UI" w:cs="Segoe UI"/>
                <w:sz w:val="18"/>
                <w:szCs w:val="18"/>
                <w:lang w:eastAsia="en-US"/>
              </w:rPr>
              <w:t>GnRHa</w:t>
            </w:r>
            <w:proofErr w:type="spellEnd"/>
            <w:r w:rsidRPr="008E7AAD">
              <w:rPr>
                <w:rFonts w:eastAsia="Segoe UI" w:cs="Segoe UI"/>
                <w:sz w:val="18"/>
                <w:szCs w:val="18"/>
                <w:lang w:eastAsia="en-US"/>
              </w:rPr>
              <w:t xml:space="preserve"> varies considerably between states.</w:t>
            </w:r>
          </w:p>
        </w:tc>
        <w:tc>
          <w:tcPr>
            <w:tcW w:w="1006" w:type="pct"/>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tcPr>
          <w:p w14:paraId="371E041C" w14:textId="77777777" w:rsidR="00A152C2" w:rsidRPr="008E7AAD" w:rsidRDefault="00A152C2" w:rsidP="008E7AAD">
            <w:pPr>
              <w:spacing w:before="60" w:after="60"/>
              <w:rPr>
                <w:rFonts w:eastAsia="Segoe UI" w:cs="Segoe UI"/>
                <w:sz w:val="18"/>
                <w:szCs w:val="18"/>
                <w:vertAlign w:val="superscript"/>
                <w:lang w:eastAsia="en-US"/>
              </w:rPr>
            </w:pPr>
            <w:r w:rsidRPr="008E7AAD">
              <w:rPr>
                <w:rFonts w:eastAsia="Segoe UI" w:cs="Segoe UI"/>
                <w:sz w:val="18"/>
                <w:szCs w:val="18"/>
                <w:lang w:eastAsia="en-US"/>
              </w:rPr>
              <w:t>Guidelines have been published by many different US professional organisations.</w:t>
            </w:r>
            <w:r w:rsidRPr="008E7AAD">
              <w:rPr>
                <w:rFonts w:eastAsia="Segoe UI" w:cs="Segoe UI"/>
                <w:sz w:val="18"/>
                <w:szCs w:val="18"/>
                <w:vertAlign w:val="superscript"/>
                <w:lang w:eastAsia="en-US"/>
              </w:rPr>
              <w:footnoteReference w:id="42"/>
            </w:r>
            <w:r w:rsidRPr="008E7AAD">
              <w:rPr>
                <w:rFonts w:eastAsia="Segoe UI" w:cs="Segoe UI"/>
                <w:sz w:val="18"/>
                <w:szCs w:val="18"/>
                <w:vertAlign w:val="superscript"/>
                <w:lang w:eastAsia="en-US"/>
              </w:rPr>
              <w:t>,</w:t>
            </w:r>
            <w:r w:rsidRPr="008E7AAD">
              <w:rPr>
                <w:rFonts w:eastAsia="Segoe UI" w:cs="Segoe UI"/>
                <w:sz w:val="18"/>
                <w:szCs w:val="18"/>
                <w:vertAlign w:val="superscript"/>
                <w:lang w:eastAsia="en-US"/>
              </w:rPr>
              <w:footnoteReference w:id="43"/>
            </w:r>
            <w:r w:rsidRPr="008E7AAD">
              <w:rPr>
                <w:rFonts w:eastAsia="Segoe UI" w:cs="Segoe UI"/>
                <w:sz w:val="18"/>
                <w:szCs w:val="18"/>
                <w:vertAlign w:val="superscript"/>
                <w:lang w:eastAsia="en-US"/>
              </w:rPr>
              <w:t>,</w:t>
            </w:r>
            <w:r w:rsidRPr="008E7AAD">
              <w:rPr>
                <w:rFonts w:eastAsia="Segoe UI" w:cs="Segoe UI"/>
                <w:sz w:val="18"/>
                <w:szCs w:val="18"/>
                <w:vertAlign w:val="superscript"/>
                <w:lang w:eastAsia="en-US"/>
              </w:rPr>
              <w:footnoteReference w:id="44"/>
            </w:r>
            <w:r w:rsidRPr="008E7AAD">
              <w:rPr>
                <w:rFonts w:eastAsia="Segoe UI" w:cs="Segoe UI"/>
                <w:sz w:val="18"/>
                <w:szCs w:val="18"/>
                <w:vertAlign w:val="superscript"/>
                <w:lang w:eastAsia="en-US"/>
              </w:rPr>
              <w:t>,</w:t>
            </w:r>
            <w:r w:rsidRPr="008E7AAD">
              <w:rPr>
                <w:rFonts w:eastAsia="Segoe UI" w:cs="Segoe UI"/>
                <w:sz w:val="18"/>
                <w:szCs w:val="18"/>
                <w:vertAlign w:val="superscript"/>
                <w:lang w:eastAsia="en-US"/>
              </w:rPr>
              <w:footnoteReference w:id="45"/>
            </w:r>
          </w:p>
        </w:tc>
      </w:tr>
      <w:tr w:rsidR="00A152C2" w:rsidRPr="00FA2EBC" w14:paraId="21696EF0" w14:textId="77777777" w:rsidTr="007E70DA">
        <w:trPr>
          <w:trHeight w:val="283"/>
        </w:trPr>
        <w:tc>
          <w:tcPr>
            <w:tcW w:w="5000" w:type="pct"/>
            <w:gridSpan w:val="6"/>
            <w:tcBorders>
              <w:top w:val="single" w:sz="4" w:space="0" w:color="A6A6A6" w:themeColor="background1" w:themeShade="A6"/>
              <w:left w:val="nil"/>
              <w:bottom w:val="single" w:sz="4" w:space="0" w:color="A6A6A6" w:themeColor="background1" w:themeShade="A6"/>
              <w:right w:val="nil"/>
            </w:tcBorders>
            <w:shd w:val="clear" w:color="auto" w:fill="DBE5F1" w:themeFill="accent1" w:themeFillTint="33"/>
          </w:tcPr>
          <w:p w14:paraId="648019C4" w14:textId="77777777" w:rsidR="00A152C2" w:rsidRPr="008E7AAD" w:rsidRDefault="00A152C2" w:rsidP="008E7AAD">
            <w:pPr>
              <w:spacing w:before="60" w:after="60"/>
              <w:rPr>
                <w:rFonts w:eastAsia="Segoe UI" w:cs="Segoe UI"/>
                <w:b/>
                <w:bCs/>
                <w:sz w:val="18"/>
                <w:szCs w:val="18"/>
                <w:lang w:eastAsia="en-US"/>
              </w:rPr>
            </w:pPr>
            <w:r w:rsidRPr="008E7AAD">
              <w:rPr>
                <w:rFonts w:eastAsia="Segoe UI" w:cs="Segoe UI"/>
                <w:b/>
                <w:bCs/>
                <w:sz w:val="18"/>
                <w:szCs w:val="18"/>
                <w:lang w:eastAsia="en-US"/>
              </w:rPr>
              <w:t>Europe (European Union)</w:t>
            </w:r>
          </w:p>
        </w:tc>
      </w:tr>
      <w:tr w:rsidR="007E70DA" w:rsidRPr="00FA2EBC" w14:paraId="7264C5AA" w14:textId="77777777" w:rsidTr="007E70DA">
        <w:tc>
          <w:tcPr>
            <w:tcW w:w="3994" w:type="pct"/>
            <w:gridSpan w:val="5"/>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tcPr>
          <w:p w14:paraId="64D1B4E4" w14:textId="77777777" w:rsidR="00A152C2" w:rsidRPr="008E7AAD" w:rsidRDefault="00A152C2" w:rsidP="008E7AAD">
            <w:pPr>
              <w:spacing w:before="60" w:after="60"/>
              <w:rPr>
                <w:rFonts w:eastAsia="Segoe UI" w:cs="Segoe UI"/>
                <w:sz w:val="18"/>
                <w:szCs w:val="18"/>
                <w:lang w:eastAsia="en-US"/>
              </w:rPr>
            </w:pPr>
            <w:r w:rsidRPr="008E7AAD">
              <w:rPr>
                <w:rFonts w:eastAsia="Segoe UI" w:cs="Segoe UI"/>
                <w:sz w:val="18"/>
                <w:szCs w:val="18"/>
                <w:lang w:eastAsia="en-US"/>
              </w:rPr>
              <w:t xml:space="preserve">The European Medicines Agency (EMA) provides an overarching regulatory body for national health authorities, enabling a coordinated approach to pharmaceutical regulation in Europe. </w:t>
            </w:r>
          </w:p>
          <w:p w14:paraId="5C158883" w14:textId="77777777" w:rsidR="00A152C2" w:rsidRPr="008E7AAD" w:rsidRDefault="00A152C2" w:rsidP="008E7AAD">
            <w:pPr>
              <w:spacing w:before="60" w:after="60"/>
              <w:rPr>
                <w:rFonts w:eastAsia="Segoe UI" w:cs="Segoe UI"/>
                <w:sz w:val="18"/>
                <w:szCs w:val="18"/>
                <w:lang w:eastAsia="en-US"/>
              </w:rPr>
            </w:pPr>
            <w:r w:rsidRPr="008E7AAD">
              <w:rPr>
                <w:rFonts w:eastAsia="Segoe UI" w:cs="Segoe UI"/>
                <w:sz w:val="18"/>
                <w:szCs w:val="18"/>
                <w:lang w:eastAsia="en-US"/>
              </w:rPr>
              <w:t xml:space="preserve">The EMA has not licensed </w:t>
            </w:r>
            <w:proofErr w:type="spellStart"/>
            <w:r w:rsidRPr="008E7AAD">
              <w:rPr>
                <w:rFonts w:eastAsia="Segoe UI" w:cs="Segoe UI"/>
                <w:sz w:val="18"/>
                <w:szCs w:val="18"/>
                <w:lang w:eastAsia="en-US"/>
              </w:rPr>
              <w:t>GnRHa</w:t>
            </w:r>
            <w:proofErr w:type="spellEnd"/>
            <w:r w:rsidRPr="008E7AAD">
              <w:rPr>
                <w:rFonts w:eastAsia="Segoe UI" w:cs="Segoe UI"/>
                <w:sz w:val="18"/>
                <w:szCs w:val="18"/>
                <w:lang w:eastAsia="en-US"/>
              </w:rPr>
              <w:t xml:space="preserve"> for use in managing gender dysphoria and is used ‘off-label’.</w:t>
            </w:r>
          </w:p>
        </w:tc>
        <w:tc>
          <w:tcPr>
            <w:tcW w:w="1006" w:type="pct"/>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tcPr>
          <w:p w14:paraId="4122E2D4" w14:textId="77777777" w:rsidR="00A152C2" w:rsidRPr="008E7AAD" w:rsidRDefault="00A152C2" w:rsidP="008E7AAD">
            <w:pPr>
              <w:spacing w:before="60" w:after="60"/>
              <w:rPr>
                <w:rFonts w:eastAsia="Segoe UI" w:cs="Segoe UI"/>
                <w:sz w:val="18"/>
                <w:szCs w:val="18"/>
                <w:lang w:eastAsia="en-US"/>
              </w:rPr>
            </w:pPr>
            <w:r w:rsidRPr="008E7AAD">
              <w:rPr>
                <w:rFonts w:eastAsia="Segoe UI" w:cs="Segoe UI"/>
                <w:sz w:val="18"/>
                <w:szCs w:val="18"/>
                <w:lang w:eastAsia="en-US"/>
              </w:rPr>
              <w:t>European Society for Sexual Medicine Position Statement: Assessment and Hormonal Management in Adolescent and Adult Trans People, with Attention for Sexual Function and Satisfaction.</w:t>
            </w:r>
            <w:r w:rsidRPr="008E7AAD">
              <w:rPr>
                <w:rFonts w:eastAsia="Segoe UI" w:cs="Segoe UI"/>
                <w:sz w:val="18"/>
                <w:szCs w:val="18"/>
                <w:vertAlign w:val="superscript"/>
                <w:lang w:eastAsia="en-US"/>
              </w:rPr>
              <w:footnoteReference w:id="46"/>
            </w:r>
          </w:p>
        </w:tc>
      </w:tr>
      <w:tr w:rsidR="00A152C2" w:rsidRPr="00FA2EBC" w14:paraId="5ED11B33" w14:textId="77777777" w:rsidTr="008E7AAD">
        <w:trPr>
          <w:trHeight w:val="283"/>
        </w:trPr>
        <w:tc>
          <w:tcPr>
            <w:tcW w:w="5000" w:type="pct"/>
            <w:gridSpan w:val="6"/>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tcPr>
          <w:p w14:paraId="1F00051E" w14:textId="77777777" w:rsidR="00A152C2" w:rsidRPr="008E7AAD" w:rsidRDefault="00A152C2" w:rsidP="008E7AAD">
            <w:pPr>
              <w:spacing w:before="60" w:after="60"/>
              <w:rPr>
                <w:rFonts w:eastAsia="Segoe UI" w:cs="Segoe UI"/>
                <w:b/>
                <w:bCs/>
                <w:sz w:val="18"/>
                <w:szCs w:val="18"/>
                <w:lang w:eastAsia="en-US"/>
              </w:rPr>
            </w:pPr>
            <w:r w:rsidRPr="008E7AAD">
              <w:rPr>
                <w:rFonts w:eastAsia="Segoe UI" w:cs="Segoe UI"/>
                <w:b/>
                <w:bCs/>
                <w:sz w:val="18"/>
                <w:szCs w:val="18"/>
                <w:lang w:eastAsia="en-US"/>
              </w:rPr>
              <w:t>The Netherlands</w:t>
            </w:r>
          </w:p>
        </w:tc>
      </w:tr>
      <w:tr w:rsidR="007E70DA" w:rsidRPr="00FA2EBC" w14:paraId="753741F9" w14:textId="77777777" w:rsidTr="007E70DA">
        <w:tc>
          <w:tcPr>
            <w:tcW w:w="608" w:type="pct"/>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170D626D" w14:textId="77777777" w:rsidR="00A152C2" w:rsidRPr="008E7AAD" w:rsidRDefault="00A152C2" w:rsidP="008E7AAD">
            <w:pPr>
              <w:spacing w:before="60" w:after="60"/>
              <w:rPr>
                <w:rFonts w:eastAsia="Segoe UI" w:cs="Segoe UI"/>
                <w:sz w:val="18"/>
                <w:szCs w:val="18"/>
                <w:lang w:eastAsia="en-US"/>
              </w:rPr>
            </w:pPr>
            <w:r w:rsidRPr="008E7AAD">
              <w:rPr>
                <w:rFonts w:eastAsia="Segoe UI" w:cs="Segoe UI"/>
                <w:sz w:val="18"/>
                <w:szCs w:val="18"/>
                <w:lang w:eastAsia="en-US"/>
              </w:rPr>
              <w:t>European Medicines Agency</w:t>
            </w:r>
          </w:p>
        </w:tc>
        <w:tc>
          <w:tcPr>
            <w:tcW w:w="1503"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859C7A" w14:textId="77777777" w:rsidR="00A152C2" w:rsidRPr="008E7AAD" w:rsidRDefault="00A152C2" w:rsidP="008E7AAD">
            <w:pPr>
              <w:spacing w:before="60" w:after="60"/>
              <w:rPr>
                <w:rFonts w:eastAsia="Segoe UI" w:cs="Segoe UI"/>
                <w:sz w:val="18"/>
                <w:szCs w:val="18"/>
                <w:lang w:eastAsia="en-US"/>
              </w:rPr>
            </w:pPr>
            <w:r w:rsidRPr="008E7AAD">
              <w:rPr>
                <w:rFonts w:eastAsia="Segoe UI" w:cs="Segoe UI"/>
                <w:sz w:val="18"/>
                <w:szCs w:val="18"/>
                <w:lang w:eastAsia="en-US"/>
              </w:rPr>
              <w:t>Access through clinical processes involving individuals and their families, as part of comprehensive gender-affirming care.</w:t>
            </w:r>
          </w:p>
          <w:p w14:paraId="5BD0ECF4" w14:textId="77777777" w:rsidR="00A152C2" w:rsidRPr="008E7AAD" w:rsidRDefault="00A152C2" w:rsidP="008E7AAD">
            <w:pPr>
              <w:spacing w:before="60" w:after="60"/>
              <w:rPr>
                <w:rFonts w:eastAsia="Segoe UI" w:cs="Segoe UI"/>
                <w:sz w:val="18"/>
                <w:szCs w:val="18"/>
                <w:lang w:eastAsia="en-US"/>
              </w:rPr>
            </w:pPr>
            <w:r w:rsidRPr="008E7AAD">
              <w:rPr>
                <w:rFonts w:eastAsia="Segoe UI" w:cs="Segoe UI"/>
                <w:sz w:val="18"/>
                <w:szCs w:val="18"/>
                <w:lang w:eastAsia="en-US"/>
              </w:rPr>
              <w:t xml:space="preserve">Adolescents are able to access </w:t>
            </w:r>
            <w:proofErr w:type="spellStart"/>
            <w:r w:rsidRPr="008E7AAD">
              <w:rPr>
                <w:rFonts w:eastAsia="Segoe UI" w:cs="Segoe UI"/>
                <w:sz w:val="18"/>
                <w:szCs w:val="18"/>
                <w:lang w:eastAsia="en-US"/>
              </w:rPr>
              <w:t>GnRHa</w:t>
            </w:r>
            <w:proofErr w:type="spellEnd"/>
            <w:r w:rsidRPr="008E7AAD">
              <w:rPr>
                <w:rFonts w:eastAsia="Segoe UI" w:cs="Segoe UI"/>
                <w:sz w:val="18"/>
                <w:szCs w:val="18"/>
                <w:lang w:eastAsia="en-US"/>
              </w:rPr>
              <w:t xml:space="preserve"> from the age of 12 years, and once they have reached Tanner stage II.</w:t>
            </w:r>
          </w:p>
        </w:tc>
        <w:tc>
          <w:tcPr>
            <w:tcW w:w="9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1F378F" w14:textId="77777777" w:rsidR="00A152C2" w:rsidRPr="008E7AAD" w:rsidRDefault="00A152C2" w:rsidP="008E7AAD">
            <w:pPr>
              <w:spacing w:before="60" w:after="60"/>
              <w:rPr>
                <w:rFonts w:eastAsia="Segoe UI" w:cs="Segoe UI"/>
                <w:sz w:val="18"/>
                <w:szCs w:val="18"/>
                <w:lang w:eastAsia="en-US"/>
              </w:rPr>
            </w:pPr>
            <w:r w:rsidRPr="008E7AAD">
              <w:rPr>
                <w:rFonts w:eastAsia="Segoe UI" w:cs="Segoe UI"/>
                <w:sz w:val="18"/>
                <w:szCs w:val="18"/>
                <w:lang w:eastAsia="en-US"/>
              </w:rPr>
              <w:t>On 15 February 2024, the Dutch Parliament ordered that an investigation be conducted into the physical and mental health outcomes for children prescribed puberty blockers.</w:t>
            </w:r>
            <w:r w:rsidRPr="008E7AAD">
              <w:rPr>
                <w:rFonts w:eastAsia="Segoe UI" w:cs="Segoe UI"/>
                <w:sz w:val="18"/>
                <w:szCs w:val="18"/>
                <w:vertAlign w:val="superscript"/>
                <w:lang w:eastAsia="en-US"/>
              </w:rPr>
              <w:footnoteReference w:id="47"/>
            </w:r>
          </w:p>
        </w:tc>
        <w:tc>
          <w:tcPr>
            <w:tcW w:w="93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A370DF" w14:textId="77777777" w:rsidR="00A152C2" w:rsidRPr="008E7AAD" w:rsidRDefault="00A152C2" w:rsidP="008E7AAD">
            <w:pPr>
              <w:spacing w:before="60" w:after="60"/>
              <w:rPr>
                <w:rFonts w:eastAsia="Segoe UI" w:cs="Segoe UI"/>
                <w:sz w:val="18"/>
                <w:szCs w:val="18"/>
                <w:lang w:eastAsia="en-US"/>
              </w:rPr>
            </w:pPr>
            <w:proofErr w:type="spellStart"/>
            <w:r w:rsidRPr="008E7AAD">
              <w:rPr>
                <w:rFonts w:eastAsia="Segoe UI" w:cs="Segoe UI"/>
                <w:sz w:val="18"/>
                <w:szCs w:val="18"/>
                <w:lang w:eastAsia="en-US"/>
              </w:rPr>
              <w:t>GnRHa</w:t>
            </w:r>
            <w:proofErr w:type="spellEnd"/>
            <w:r w:rsidRPr="008E7AAD">
              <w:rPr>
                <w:rFonts w:eastAsia="Segoe UI" w:cs="Segoe UI"/>
                <w:sz w:val="18"/>
                <w:szCs w:val="18"/>
                <w:lang w:eastAsia="en-US"/>
              </w:rPr>
              <w:t xml:space="preserve"> are prescribed through specialist gender clinics.</w:t>
            </w:r>
          </w:p>
        </w:tc>
        <w:tc>
          <w:tcPr>
            <w:tcW w:w="1006" w:type="pct"/>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tcPr>
          <w:p w14:paraId="422DE1AB" w14:textId="77777777" w:rsidR="00A152C2" w:rsidRPr="008E7AAD" w:rsidRDefault="00A152C2" w:rsidP="008E7AAD">
            <w:pPr>
              <w:spacing w:before="60" w:after="60"/>
              <w:rPr>
                <w:rFonts w:eastAsia="Segoe UI" w:cs="Segoe UI"/>
                <w:sz w:val="18"/>
                <w:szCs w:val="18"/>
                <w:lang w:eastAsia="en-US"/>
              </w:rPr>
            </w:pPr>
            <w:r w:rsidRPr="008E7AAD">
              <w:rPr>
                <w:rFonts w:eastAsia="Segoe UI" w:cs="Segoe UI"/>
                <w:sz w:val="18"/>
                <w:szCs w:val="18"/>
                <w:lang w:eastAsia="en-US"/>
              </w:rPr>
              <w:t>The Dutch protocol has formed the basis for a range of guidelines for managing gender-affirming care including the use of puberty blockers for adolescents before they start gender-affirming hormone treatment.</w:t>
            </w:r>
            <w:r w:rsidRPr="008E7AAD">
              <w:rPr>
                <w:rFonts w:eastAsia="Segoe UI" w:cs="Segoe UI"/>
                <w:sz w:val="18"/>
                <w:szCs w:val="18"/>
                <w:vertAlign w:val="superscript"/>
                <w:lang w:eastAsia="en-US"/>
              </w:rPr>
              <w:footnoteReference w:id="48"/>
            </w:r>
          </w:p>
        </w:tc>
      </w:tr>
      <w:tr w:rsidR="00A152C2" w:rsidRPr="00FA2EBC" w14:paraId="43BB2006" w14:textId="77777777" w:rsidTr="008E7AAD">
        <w:tc>
          <w:tcPr>
            <w:tcW w:w="5000" w:type="pct"/>
            <w:gridSpan w:val="6"/>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tcPr>
          <w:p w14:paraId="63EADA07" w14:textId="77777777" w:rsidR="00A152C2" w:rsidRPr="008E7AAD" w:rsidRDefault="00A152C2" w:rsidP="00B8726A">
            <w:pPr>
              <w:keepNext/>
              <w:spacing w:before="60" w:after="60"/>
              <w:rPr>
                <w:rFonts w:eastAsia="Segoe UI" w:cs="Segoe UI"/>
                <w:b/>
                <w:bCs/>
                <w:sz w:val="18"/>
                <w:szCs w:val="18"/>
                <w:lang w:eastAsia="en-US"/>
              </w:rPr>
            </w:pPr>
            <w:r w:rsidRPr="008E7AAD">
              <w:rPr>
                <w:rFonts w:eastAsia="Segoe UI" w:cs="Segoe UI"/>
                <w:b/>
                <w:bCs/>
                <w:sz w:val="18"/>
                <w:szCs w:val="18"/>
                <w:lang w:eastAsia="en-US"/>
              </w:rPr>
              <w:t>Finland</w:t>
            </w:r>
          </w:p>
        </w:tc>
      </w:tr>
      <w:tr w:rsidR="007E70DA" w:rsidRPr="00FA2EBC" w14:paraId="1D62E9C7" w14:textId="77777777" w:rsidTr="007E70DA">
        <w:tc>
          <w:tcPr>
            <w:tcW w:w="608" w:type="pct"/>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7CC86C14" w14:textId="77777777" w:rsidR="00A152C2" w:rsidRPr="008E7AAD" w:rsidRDefault="00A152C2" w:rsidP="008E7AAD">
            <w:pPr>
              <w:spacing w:before="60" w:after="60"/>
              <w:rPr>
                <w:rFonts w:eastAsia="Segoe UI" w:cs="Segoe UI"/>
                <w:sz w:val="18"/>
                <w:szCs w:val="18"/>
                <w:lang w:eastAsia="en-US"/>
              </w:rPr>
            </w:pPr>
            <w:r w:rsidRPr="008E7AAD">
              <w:rPr>
                <w:rFonts w:eastAsia="Segoe UI" w:cs="Segoe UI"/>
                <w:sz w:val="18"/>
                <w:szCs w:val="18"/>
                <w:lang w:eastAsia="en-US"/>
              </w:rPr>
              <w:t>European Medicines Agency</w:t>
            </w:r>
          </w:p>
        </w:tc>
        <w:tc>
          <w:tcPr>
            <w:tcW w:w="1503"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E73CAB" w14:textId="77777777" w:rsidR="00A152C2" w:rsidRPr="008E7AAD" w:rsidRDefault="00A152C2" w:rsidP="008E7AAD">
            <w:pPr>
              <w:spacing w:before="60" w:after="60"/>
              <w:rPr>
                <w:rFonts w:eastAsia="Segoe UI" w:cs="Segoe UI"/>
                <w:sz w:val="18"/>
                <w:szCs w:val="18"/>
                <w:lang w:eastAsia="en-US"/>
              </w:rPr>
            </w:pPr>
            <w:r w:rsidRPr="008E7AAD">
              <w:rPr>
                <w:rFonts w:eastAsia="Segoe UI" w:cs="Segoe UI"/>
                <w:sz w:val="18"/>
                <w:szCs w:val="18"/>
                <w:lang w:eastAsia="en-US"/>
              </w:rPr>
              <w:t>Prescription of puberty blockers is limited to those enrolled in a clinical trial.</w:t>
            </w:r>
          </w:p>
        </w:tc>
        <w:tc>
          <w:tcPr>
            <w:tcW w:w="9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0F3A45" w14:textId="77777777" w:rsidR="00A152C2" w:rsidRPr="008E7AAD" w:rsidRDefault="00A152C2" w:rsidP="008E7AAD">
            <w:pPr>
              <w:spacing w:before="60" w:after="60"/>
              <w:rPr>
                <w:rFonts w:eastAsia="Segoe UI" w:cs="Segoe UI"/>
                <w:sz w:val="18"/>
                <w:szCs w:val="18"/>
                <w:lang w:eastAsia="en-US"/>
              </w:rPr>
            </w:pPr>
            <w:r w:rsidRPr="008E7AAD">
              <w:rPr>
                <w:rFonts w:eastAsia="Segoe UI" w:cs="Segoe UI"/>
                <w:sz w:val="18"/>
                <w:szCs w:val="18"/>
                <w:lang w:eastAsia="en-US"/>
              </w:rPr>
              <w:t xml:space="preserve">Finland’s Council for Choices in Health Care </w:t>
            </w:r>
            <w:r w:rsidRPr="008E7AAD">
              <w:rPr>
                <w:sz w:val="18"/>
                <w:szCs w:val="18"/>
              </w:rPr>
              <w:t>revised its guidelines</w:t>
            </w:r>
            <w:r w:rsidRPr="008E7AAD">
              <w:rPr>
                <w:rStyle w:val="FootnoteReference"/>
                <w:sz w:val="18"/>
                <w:szCs w:val="18"/>
              </w:rPr>
              <w:footnoteReference w:id="49"/>
            </w:r>
            <w:r w:rsidRPr="008E7AAD">
              <w:rPr>
                <w:rFonts w:eastAsia="Segoe UI" w:cs="Segoe UI"/>
                <w:sz w:val="18"/>
                <w:szCs w:val="18"/>
                <w:lang w:eastAsia="en-US"/>
              </w:rPr>
              <w:t xml:space="preserve"> in 2020 to prioritise psychosocial support over medical intervention. However, it also confirmed that initiation of hormonal interventions may be considered in a person before the age of 18 years ‘if it can be ascertained that their identity as the other sex is of a permanent nature and causes severe dysphoria’.</w:t>
            </w:r>
          </w:p>
        </w:tc>
        <w:tc>
          <w:tcPr>
            <w:tcW w:w="93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3B5437" w14:textId="77777777" w:rsidR="00A152C2" w:rsidRPr="008E7AAD" w:rsidRDefault="00A152C2" w:rsidP="008E7AAD">
            <w:pPr>
              <w:spacing w:before="60" w:after="60"/>
              <w:rPr>
                <w:rFonts w:eastAsia="Segoe UI" w:cs="Segoe UI"/>
                <w:sz w:val="18"/>
                <w:szCs w:val="18"/>
                <w:lang w:eastAsia="en-US"/>
              </w:rPr>
            </w:pPr>
          </w:p>
        </w:tc>
        <w:tc>
          <w:tcPr>
            <w:tcW w:w="1006" w:type="pct"/>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tcPr>
          <w:p w14:paraId="331A9214" w14:textId="77777777" w:rsidR="00A152C2" w:rsidRPr="008E7AAD" w:rsidRDefault="00A152C2" w:rsidP="008E7AAD">
            <w:pPr>
              <w:spacing w:before="60" w:after="60"/>
              <w:rPr>
                <w:rFonts w:eastAsia="Segoe UI" w:cs="Segoe UI"/>
                <w:sz w:val="18"/>
                <w:szCs w:val="18"/>
                <w:lang w:eastAsia="en-US"/>
              </w:rPr>
            </w:pPr>
            <w:r w:rsidRPr="008E7AAD">
              <w:rPr>
                <w:rFonts w:eastAsia="Segoe UI" w:cs="Segoe UI"/>
                <w:sz w:val="18"/>
                <w:szCs w:val="18"/>
                <w:lang w:eastAsia="en-US"/>
              </w:rPr>
              <w:t>The Council for Choices in Healthcare in Finland has published guidelines for the medical treatment methods for dysphoria associated with variations in gender identity in minors.</w:t>
            </w:r>
            <w:r w:rsidRPr="008E7AAD">
              <w:rPr>
                <w:rFonts w:eastAsia="Segoe UI" w:cs="Segoe UI"/>
                <w:sz w:val="18"/>
                <w:szCs w:val="18"/>
                <w:vertAlign w:val="superscript"/>
                <w:lang w:eastAsia="en-US"/>
              </w:rPr>
              <w:footnoteReference w:id="50"/>
            </w:r>
          </w:p>
        </w:tc>
      </w:tr>
      <w:tr w:rsidR="00A152C2" w:rsidRPr="00FA2EBC" w14:paraId="38C39C58" w14:textId="77777777" w:rsidTr="008E7AAD">
        <w:tc>
          <w:tcPr>
            <w:tcW w:w="5000" w:type="pct"/>
            <w:gridSpan w:val="6"/>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tcPr>
          <w:p w14:paraId="76AF28F8" w14:textId="77777777" w:rsidR="00A152C2" w:rsidRPr="008E7AAD" w:rsidRDefault="00A152C2" w:rsidP="008E7AAD">
            <w:pPr>
              <w:spacing w:before="60" w:after="60"/>
              <w:rPr>
                <w:rFonts w:eastAsia="Segoe UI" w:cs="Segoe UI"/>
                <w:b/>
                <w:bCs/>
                <w:sz w:val="18"/>
                <w:szCs w:val="18"/>
                <w:lang w:eastAsia="en-US"/>
              </w:rPr>
            </w:pPr>
            <w:r w:rsidRPr="008E7AAD">
              <w:rPr>
                <w:rFonts w:eastAsia="Segoe UI" w:cs="Segoe UI"/>
                <w:b/>
                <w:bCs/>
                <w:sz w:val="18"/>
                <w:szCs w:val="18"/>
                <w:lang w:eastAsia="en-US"/>
              </w:rPr>
              <w:t>Norway</w:t>
            </w:r>
          </w:p>
        </w:tc>
      </w:tr>
      <w:tr w:rsidR="007E70DA" w:rsidRPr="00FA2EBC" w14:paraId="453BD77B" w14:textId="77777777" w:rsidTr="007E70DA">
        <w:tc>
          <w:tcPr>
            <w:tcW w:w="608" w:type="pct"/>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4351A553" w14:textId="77777777" w:rsidR="00A152C2" w:rsidRPr="008E7AAD" w:rsidRDefault="00A152C2" w:rsidP="008E7AAD">
            <w:pPr>
              <w:spacing w:before="60" w:after="60"/>
              <w:rPr>
                <w:rFonts w:eastAsia="Segoe UI" w:cs="Segoe UI"/>
                <w:sz w:val="18"/>
                <w:szCs w:val="18"/>
                <w:lang w:eastAsia="en-US"/>
              </w:rPr>
            </w:pPr>
            <w:r w:rsidRPr="008E7AAD">
              <w:rPr>
                <w:rFonts w:eastAsia="Segoe UI" w:cs="Segoe UI"/>
                <w:sz w:val="18"/>
                <w:szCs w:val="18"/>
                <w:lang w:eastAsia="en-US"/>
              </w:rPr>
              <w:t>European Medicines Agency</w:t>
            </w:r>
          </w:p>
        </w:tc>
        <w:tc>
          <w:tcPr>
            <w:tcW w:w="1503"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403453" w14:textId="77777777" w:rsidR="00A152C2" w:rsidRPr="008E7AAD" w:rsidRDefault="00A152C2" w:rsidP="008E7AAD">
            <w:pPr>
              <w:spacing w:before="60" w:after="60"/>
              <w:rPr>
                <w:rFonts w:eastAsia="Segoe UI" w:cs="Segoe UI"/>
                <w:sz w:val="18"/>
                <w:szCs w:val="18"/>
                <w:lang w:eastAsia="en-US"/>
              </w:rPr>
            </w:pPr>
            <w:r w:rsidRPr="008E7AAD">
              <w:rPr>
                <w:rFonts w:eastAsia="Segoe UI" w:cs="Segoe UI"/>
                <w:sz w:val="18"/>
                <w:szCs w:val="18"/>
                <w:lang w:eastAsia="en-US"/>
              </w:rPr>
              <w:t>Prescription of puberty blockers is limited to those enrolled in a clinical trial.</w:t>
            </w:r>
          </w:p>
        </w:tc>
        <w:tc>
          <w:tcPr>
            <w:tcW w:w="9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241F74" w14:textId="77777777" w:rsidR="00A152C2" w:rsidRPr="008E7AAD" w:rsidRDefault="00A152C2" w:rsidP="008E7AAD">
            <w:pPr>
              <w:spacing w:before="60" w:after="60"/>
              <w:rPr>
                <w:rFonts w:eastAsia="Segoe UI" w:cs="Segoe UI"/>
                <w:sz w:val="18"/>
                <w:szCs w:val="18"/>
                <w:lang w:eastAsia="en-US"/>
              </w:rPr>
            </w:pPr>
            <w:r w:rsidRPr="008E7AAD">
              <w:rPr>
                <w:rFonts w:eastAsia="Segoe UI" w:cs="Segoe UI"/>
                <w:sz w:val="18"/>
                <w:szCs w:val="18"/>
                <w:lang w:eastAsia="en-US"/>
              </w:rPr>
              <w:t xml:space="preserve">In 2023 Norway’s Healthcare Investigation Board recommended to the Ministry of Health that puberty blockers for children and young people should be defined as experimental treatment. </w:t>
            </w:r>
          </w:p>
          <w:p w14:paraId="34D79409" w14:textId="77777777" w:rsidR="00A152C2" w:rsidRPr="008E7AAD" w:rsidRDefault="00A152C2" w:rsidP="008E7AAD">
            <w:pPr>
              <w:spacing w:before="60" w:after="60"/>
              <w:rPr>
                <w:rFonts w:eastAsia="Segoe UI" w:cs="Segoe UI"/>
                <w:sz w:val="18"/>
                <w:szCs w:val="18"/>
                <w:lang w:eastAsia="en-US"/>
              </w:rPr>
            </w:pPr>
            <w:r w:rsidRPr="008E7AAD">
              <w:rPr>
                <w:rFonts w:eastAsia="Segoe UI" w:cs="Segoe UI"/>
                <w:sz w:val="18"/>
                <w:szCs w:val="18"/>
                <w:lang w:eastAsia="en-US"/>
              </w:rPr>
              <w:t>Explicit new guidance from the country has not yet been issued.</w:t>
            </w:r>
          </w:p>
        </w:tc>
        <w:tc>
          <w:tcPr>
            <w:tcW w:w="93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56F084" w14:textId="77777777" w:rsidR="00A152C2" w:rsidRPr="008E7AAD" w:rsidRDefault="00A152C2" w:rsidP="008E7AAD">
            <w:pPr>
              <w:spacing w:before="60" w:after="60"/>
              <w:rPr>
                <w:rFonts w:eastAsia="Segoe UI" w:cs="Segoe UI"/>
                <w:sz w:val="18"/>
                <w:szCs w:val="18"/>
                <w:lang w:eastAsia="en-US"/>
              </w:rPr>
            </w:pPr>
            <w:r w:rsidRPr="008E7AAD">
              <w:rPr>
                <w:rFonts w:eastAsia="Segoe UI" w:cs="Segoe UI"/>
                <w:sz w:val="18"/>
                <w:szCs w:val="18"/>
                <w:lang w:eastAsia="en-US"/>
              </w:rPr>
              <w:t>Limited to clinical trials.</w:t>
            </w:r>
          </w:p>
        </w:tc>
        <w:tc>
          <w:tcPr>
            <w:tcW w:w="1006" w:type="pct"/>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tcPr>
          <w:p w14:paraId="1B55CA3A" w14:textId="77777777" w:rsidR="00A152C2" w:rsidRPr="008E7AAD" w:rsidRDefault="00A152C2" w:rsidP="008E7AAD">
            <w:pPr>
              <w:spacing w:before="60" w:after="60"/>
              <w:rPr>
                <w:rFonts w:eastAsia="Segoe UI" w:cs="Segoe UI"/>
                <w:sz w:val="18"/>
                <w:szCs w:val="18"/>
                <w:lang w:eastAsia="en-US"/>
              </w:rPr>
            </w:pPr>
            <w:r w:rsidRPr="008E7AAD">
              <w:rPr>
                <w:rFonts w:eastAsia="Segoe UI" w:cs="Segoe UI"/>
                <w:sz w:val="18"/>
                <w:szCs w:val="18"/>
                <w:lang w:eastAsia="en-US"/>
              </w:rPr>
              <w:t xml:space="preserve">Norwegian Directorate of Health has published </w:t>
            </w:r>
            <w:r w:rsidRPr="008E7AAD">
              <w:rPr>
                <w:rFonts w:eastAsia="Segoe UI" w:cs="Segoe UI"/>
                <w:i/>
                <w:iCs/>
                <w:sz w:val="18"/>
                <w:szCs w:val="18"/>
                <w:lang w:eastAsia="en-US"/>
              </w:rPr>
              <w:t xml:space="preserve">Gender Incongruence: National professional guideline </w:t>
            </w:r>
            <w:r w:rsidRPr="008E7AAD">
              <w:rPr>
                <w:rFonts w:eastAsia="Segoe UI" w:cs="Segoe UI"/>
                <w:sz w:val="18"/>
                <w:szCs w:val="18"/>
                <w:lang w:eastAsia="en-US"/>
              </w:rPr>
              <w:t>in 2020.</w:t>
            </w:r>
            <w:r w:rsidRPr="008E7AAD">
              <w:rPr>
                <w:rFonts w:eastAsia="Segoe UI" w:cs="Segoe UI"/>
                <w:sz w:val="18"/>
                <w:szCs w:val="18"/>
                <w:vertAlign w:val="superscript"/>
                <w:lang w:eastAsia="en-US"/>
              </w:rPr>
              <w:footnoteReference w:id="51"/>
            </w:r>
          </w:p>
        </w:tc>
      </w:tr>
      <w:tr w:rsidR="00A152C2" w:rsidRPr="00FA2EBC" w14:paraId="0BF64817" w14:textId="77777777" w:rsidTr="008E7AAD">
        <w:tc>
          <w:tcPr>
            <w:tcW w:w="5000" w:type="pct"/>
            <w:gridSpan w:val="6"/>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tcPr>
          <w:p w14:paraId="23C65D4E" w14:textId="77777777" w:rsidR="00A152C2" w:rsidRPr="008E7AAD" w:rsidRDefault="00A152C2" w:rsidP="007E70DA">
            <w:pPr>
              <w:keepNext/>
              <w:spacing w:before="60" w:after="60"/>
              <w:rPr>
                <w:rFonts w:eastAsia="Segoe UI" w:cs="Segoe UI"/>
                <w:b/>
                <w:bCs/>
                <w:sz w:val="18"/>
                <w:szCs w:val="18"/>
                <w:lang w:eastAsia="en-US"/>
              </w:rPr>
            </w:pPr>
            <w:r w:rsidRPr="008E7AAD">
              <w:rPr>
                <w:rFonts w:eastAsia="Segoe UI" w:cs="Segoe UI"/>
                <w:b/>
                <w:bCs/>
                <w:sz w:val="18"/>
                <w:szCs w:val="18"/>
                <w:lang w:eastAsia="en-US"/>
              </w:rPr>
              <w:t>Sweden</w:t>
            </w:r>
          </w:p>
        </w:tc>
      </w:tr>
      <w:tr w:rsidR="007E70DA" w:rsidRPr="00FA2EBC" w14:paraId="33C418BA" w14:textId="77777777" w:rsidTr="007E70DA">
        <w:tc>
          <w:tcPr>
            <w:tcW w:w="608" w:type="pct"/>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02384A2A" w14:textId="77777777" w:rsidR="00A152C2" w:rsidRPr="008E7AAD" w:rsidRDefault="00A152C2" w:rsidP="008E7AAD">
            <w:pPr>
              <w:spacing w:before="60" w:after="60"/>
              <w:rPr>
                <w:rFonts w:eastAsia="Segoe UI" w:cs="Segoe UI"/>
                <w:sz w:val="18"/>
                <w:szCs w:val="18"/>
                <w:lang w:eastAsia="en-US"/>
              </w:rPr>
            </w:pPr>
            <w:r w:rsidRPr="008E7AAD">
              <w:rPr>
                <w:rFonts w:eastAsia="Segoe UI" w:cs="Segoe UI"/>
                <w:sz w:val="18"/>
                <w:szCs w:val="18"/>
                <w:lang w:eastAsia="en-US"/>
              </w:rPr>
              <w:t>European Medicines Agency</w:t>
            </w:r>
          </w:p>
        </w:tc>
        <w:tc>
          <w:tcPr>
            <w:tcW w:w="1503"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81DC63" w14:textId="77777777" w:rsidR="00A152C2" w:rsidRPr="008E7AAD" w:rsidRDefault="00A152C2" w:rsidP="008E7AAD">
            <w:pPr>
              <w:spacing w:before="60" w:after="60"/>
              <w:rPr>
                <w:rFonts w:eastAsia="Segoe UI" w:cs="Segoe UI"/>
                <w:sz w:val="18"/>
                <w:szCs w:val="18"/>
                <w:lang w:eastAsia="en-US"/>
              </w:rPr>
            </w:pPr>
            <w:r w:rsidRPr="008E7AAD">
              <w:rPr>
                <w:rFonts w:eastAsia="Segoe UI" w:cs="Segoe UI"/>
                <w:sz w:val="18"/>
                <w:szCs w:val="18"/>
                <w:lang w:eastAsia="en-US"/>
              </w:rPr>
              <w:t>Prescription of puberty blockers is limited to those enrolled in a clinical trial.</w:t>
            </w:r>
          </w:p>
          <w:p w14:paraId="44F0A579" w14:textId="77777777" w:rsidR="00A152C2" w:rsidRPr="008E7AAD" w:rsidRDefault="00A152C2" w:rsidP="008E7AAD">
            <w:pPr>
              <w:spacing w:before="60" w:after="60"/>
              <w:rPr>
                <w:rFonts w:eastAsia="Segoe UI" w:cs="Segoe UI"/>
                <w:sz w:val="18"/>
                <w:szCs w:val="18"/>
                <w:lang w:eastAsia="en-US"/>
              </w:rPr>
            </w:pPr>
          </w:p>
        </w:tc>
        <w:tc>
          <w:tcPr>
            <w:tcW w:w="9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08E5D3" w14:textId="77777777" w:rsidR="00A152C2" w:rsidRPr="008E7AAD" w:rsidRDefault="00A152C2" w:rsidP="008E7AAD">
            <w:pPr>
              <w:spacing w:before="60" w:after="60"/>
              <w:rPr>
                <w:rFonts w:eastAsia="Segoe UI" w:cs="Segoe UI"/>
                <w:sz w:val="18"/>
                <w:szCs w:val="18"/>
                <w:lang w:eastAsia="en-US"/>
              </w:rPr>
            </w:pPr>
            <w:r w:rsidRPr="008E7AAD">
              <w:rPr>
                <w:rFonts w:eastAsia="Segoe UI" w:cs="Segoe UI"/>
                <w:sz w:val="18"/>
                <w:szCs w:val="18"/>
                <w:lang w:eastAsia="en-US"/>
              </w:rPr>
              <w:t xml:space="preserve">In 2022 Sweden’s National Board of Health and Welfare said that the risks of puberty blockers for people younger than 18 years currently outweigh the potential benefits for the group as a whole. </w:t>
            </w:r>
          </w:p>
        </w:tc>
        <w:tc>
          <w:tcPr>
            <w:tcW w:w="93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65CBCE" w14:textId="77777777" w:rsidR="00A152C2" w:rsidRPr="008E7AAD" w:rsidRDefault="00A152C2" w:rsidP="008E7AAD">
            <w:pPr>
              <w:spacing w:before="60" w:after="60"/>
              <w:rPr>
                <w:rFonts w:eastAsia="Segoe UI" w:cs="Segoe UI"/>
                <w:sz w:val="18"/>
                <w:szCs w:val="18"/>
                <w:lang w:eastAsia="en-US"/>
              </w:rPr>
            </w:pPr>
          </w:p>
        </w:tc>
        <w:tc>
          <w:tcPr>
            <w:tcW w:w="1006" w:type="pct"/>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tcPr>
          <w:p w14:paraId="23489D37" w14:textId="77777777" w:rsidR="00A152C2" w:rsidRPr="008E7AAD" w:rsidRDefault="00A152C2" w:rsidP="008E7AAD">
            <w:pPr>
              <w:spacing w:before="60" w:after="60"/>
              <w:rPr>
                <w:rFonts w:eastAsia="Segoe UI" w:cs="Segoe UI"/>
                <w:sz w:val="18"/>
                <w:szCs w:val="18"/>
                <w:lang w:eastAsia="en-US"/>
              </w:rPr>
            </w:pPr>
            <w:r w:rsidRPr="008E7AAD">
              <w:rPr>
                <w:rFonts w:eastAsia="Segoe UI" w:cs="Segoe UI"/>
                <w:sz w:val="18"/>
                <w:szCs w:val="18"/>
                <w:lang w:eastAsia="en-US"/>
              </w:rPr>
              <w:t xml:space="preserve">The Swedish National Board of Health and Welfare has published </w:t>
            </w:r>
            <w:r w:rsidRPr="008E7AAD">
              <w:rPr>
                <w:rFonts w:eastAsia="Segoe UI" w:cs="Segoe UI"/>
                <w:i/>
                <w:iCs/>
                <w:sz w:val="18"/>
                <w:szCs w:val="18"/>
                <w:lang w:eastAsia="en-US"/>
              </w:rPr>
              <w:t>Care of Children and Young People with Gender Dysphoria: National knowledge support with recommendations for the profession and decision makers</w:t>
            </w:r>
            <w:r w:rsidRPr="008E7AAD">
              <w:rPr>
                <w:rFonts w:eastAsia="Segoe UI" w:cs="Segoe UI"/>
                <w:sz w:val="18"/>
                <w:szCs w:val="18"/>
                <w:lang w:eastAsia="en-US"/>
              </w:rPr>
              <w:t xml:space="preserve"> in 2022.</w:t>
            </w:r>
            <w:r w:rsidRPr="008E7AAD">
              <w:rPr>
                <w:rFonts w:eastAsia="Segoe UI" w:cs="Segoe UI"/>
                <w:sz w:val="18"/>
                <w:szCs w:val="18"/>
                <w:vertAlign w:val="superscript"/>
                <w:lang w:eastAsia="en-US"/>
              </w:rPr>
              <w:footnoteReference w:id="52"/>
            </w:r>
          </w:p>
        </w:tc>
      </w:tr>
      <w:tr w:rsidR="00A152C2" w:rsidRPr="00FA2EBC" w14:paraId="5806AF90" w14:textId="77777777" w:rsidTr="008E7AAD">
        <w:tc>
          <w:tcPr>
            <w:tcW w:w="5000" w:type="pct"/>
            <w:gridSpan w:val="6"/>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tcPr>
          <w:p w14:paraId="04F577EF" w14:textId="77777777" w:rsidR="00A152C2" w:rsidRPr="008E7AAD" w:rsidRDefault="00A152C2" w:rsidP="008E7AAD">
            <w:pPr>
              <w:spacing w:before="60" w:after="60"/>
              <w:rPr>
                <w:rFonts w:eastAsia="Segoe UI" w:cs="Segoe UI"/>
                <w:b/>
                <w:bCs/>
                <w:sz w:val="18"/>
                <w:szCs w:val="18"/>
                <w:lang w:eastAsia="en-US"/>
              </w:rPr>
            </w:pPr>
            <w:r w:rsidRPr="008E7AAD">
              <w:rPr>
                <w:rFonts w:eastAsia="Segoe UI" w:cs="Segoe UI"/>
                <w:b/>
                <w:bCs/>
                <w:sz w:val="18"/>
                <w:szCs w:val="18"/>
                <w:lang w:eastAsia="en-US"/>
              </w:rPr>
              <w:t>France</w:t>
            </w:r>
          </w:p>
        </w:tc>
      </w:tr>
      <w:tr w:rsidR="007E70DA" w:rsidRPr="00FA2EBC" w14:paraId="07E5A655" w14:textId="77777777" w:rsidTr="00B8726A">
        <w:trPr>
          <w:trHeight w:val="1535"/>
        </w:trPr>
        <w:tc>
          <w:tcPr>
            <w:tcW w:w="608" w:type="pct"/>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138A19CE" w14:textId="77777777" w:rsidR="00A152C2" w:rsidRPr="008E7AAD" w:rsidRDefault="00A152C2" w:rsidP="008E7AAD">
            <w:pPr>
              <w:spacing w:before="60" w:after="60"/>
              <w:rPr>
                <w:rFonts w:eastAsia="Segoe UI" w:cs="Segoe UI"/>
                <w:sz w:val="18"/>
                <w:szCs w:val="18"/>
                <w:lang w:eastAsia="en-US"/>
              </w:rPr>
            </w:pPr>
            <w:r w:rsidRPr="008E7AAD">
              <w:rPr>
                <w:rFonts w:eastAsia="Segoe UI" w:cs="Segoe UI"/>
                <w:sz w:val="18"/>
                <w:szCs w:val="18"/>
                <w:lang w:eastAsia="en-US"/>
              </w:rPr>
              <w:t>European Medicines Agency</w:t>
            </w:r>
          </w:p>
        </w:tc>
        <w:tc>
          <w:tcPr>
            <w:tcW w:w="1503"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0CBC4B" w14:textId="77777777" w:rsidR="00A152C2" w:rsidRPr="008E7AAD" w:rsidRDefault="00A152C2" w:rsidP="008E7AAD">
            <w:pPr>
              <w:spacing w:before="60" w:after="60"/>
              <w:rPr>
                <w:rFonts w:eastAsia="Segoe UI" w:cs="Segoe UI"/>
                <w:sz w:val="18"/>
                <w:szCs w:val="18"/>
                <w:lang w:eastAsia="en-US"/>
              </w:rPr>
            </w:pPr>
            <w:r w:rsidRPr="008E7AAD">
              <w:rPr>
                <w:rFonts w:eastAsia="Segoe UI" w:cs="Segoe UI"/>
                <w:sz w:val="18"/>
                <w:szCs w:val="18"/>
                <w:lang w:eastAsia="en-US"/>
              </w:rPr>
              <w:t>Prescription continues to be possible with parental authorisation at any age.</w:t>
            </w:r>
          </w:p>
        </w:tc>
        <w:tc>
          <w:tcPr>
            <w:tcW w:w="9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A05585" w14:textId="77777777" w:rsidR="00A152C2" w:rsidRPr="008E7AAD" w:rsidRDefault="00A152C2" w:rsidP="008E7AAD">
            <w:pPr>
              <w:spacing w:before="60" w:after="60"/>
              <w:rPr>
                <w:rFonts w:eastAsia="Segoe UI" w:cs="Segoe UI"/>
                <w:sz w:val="18"/>
                <w:szCs w:val="18"/>
                <w:lang w:eastAsia="en-US"/>
              </w:rPr>
            </w:pPr>
            <w:r w:rsidRPr="008E7AAD">
              <w:rPr>
                <w:rFonts w:eastAsia="Segoe UI" w:cs="Segoe UI"/>
                <w:sz w:val="18"/>
                <w:szCs w:val="18"/>
                <w:lang w:eastAsia="en-US"/>
              </w:rPr>
              <w:t>France’s National Academy of Medicine recommended in 2022 that the ‘greatest reserve’ is required for the use of puberty blockers in children and adolescents.</w:t>
            </w:r>
            <w:r w:rsidRPr="008E7AAD">
              <w:rPr>
                <w:rFonts w:eastAsia="Segoe UI" w:cs="Segoe UI"/>
                <w:sz w:val="18"/>
                <w:szCs w:val="18"/>
                <w:vertAlign w:val="superscript"/>
                <w:lang w:eastAsia="en-US"/>
              </w:rPr>
              <w:footnoteReference w:id="53"/>
            </w:r>
          </w:p>
        </w:tc>
        <w:tc>
          <w:tcPr>
            <w:tcW w:w="93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FDCC13" w14:textId="77777777" w:rsidR="00A152C2" w:rsidRPr="008E7AAD" w:rsidRDefault="00A152C2" w:rsidP="008E7AAD">
            <w:pPr>
              <w:spacing w:before="60" w:after="60"/>
              <w:rPr>
                <w:rFonts w:eastAsia="Segoe UI" w:cs="Segoe UI"/>
                <w:sz w:val="18"/>
                <w:szCs w:val="18"/>
                <w:lang w:eastAsia="en-US"/>
              </w:rPr>
            </w:pPr>
          </w:p>
        </w:tc>
        <w:tc>
          <w:tcPr>
            <w:tcW w:w="1006" w:type="pct"/>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tcPr>
          <w:p w14:paraId="7F8AB8EF" w14:textId="77777777" w:rsidR="00A152C2" w:rsidRPr="008E7AAD" w:rsidRDefault="00A152C2" w:rsidP="008E7AAD">
            <w:pPr>
              <w:spacing w:before="60" w:after="60"/>
              <w:rPr>
                <w:rFonts w:eastAsia="Segoe UI" w:cs="Segoe UI"/>
                <w:sz w:val="18"/>
                <w:szCs w:val="18"/>
                <w:lang w:eastAsia="en-US"/>
              </w:rPr>
            </w:pPr>
          </w:p>
        </w:tc>
      </w:tr>
      <w:tr w:rsidR="00A152C2" w:rsidRPr="00FA2EBC" w14:paraId="54456A2D" w14:textId="77777777" w:rsidTr="008E7AAD">
        <w:tc>
          <w:tcPr>
            <w:tcW w:w="5000" w:type="pct"/>
            <w:gridSpan w:val="6"/>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tcPr>
          <w:p w14:paraId="102AC7F3" w14:textId="77777777" w:rsidR="00A152C2" w:rsidRPr="008E7AAD" w:rsidRDefault="00A152C2" w:rsidP="008E7AAD">
            <w:pPr>
              <w:spacing w:before="60" w:after="60"/>
              <w:rPr>
                <w:rFonts w:eastAsia="Segoe UI" w:cs="Segoe UI"/>
                <w:b/>
                <w:bCs/>
                <w:sz w:val="18"/>
                <w:szCs w:val="18"/>
                <w:lang w:eastAsia="en-US"/>
              </w:rPr>
            </w:pPr>
            <w:r w:rsidRPr="008E7AAD">
              <w:rPr>
                <w:rFonts w:eastAsia="Segoe UI" w:cs="Segoe UI"/>
                <w:b/>
                <w:bCs/>
                <w:sz w:val="18"/>
                <w:szCs w:val="18"/>
                <w:lang w:eastAsia="en-US"/>
              </w:rPr>
              <w:t>Spain</w:t>
            </w:r>
          </w:p>
        </w:tc>
      </w:tr>
      <w:tr w:rsidR="007E70DA" w:rsidRPr="00FA2EBC" w14:paraId="26865608" w14:textId="77777777" w:rsidTr="007E70DA">
        <w:trPr>
          <w:trHeight w:val="1088"/>
        </w:trPr>
        <w:tc>
          <w:tcPr>
            <w:tcW w:w="608" w:type="pct"/>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06072355" w14:textId="77777777" w:rsidR="00A152C2" w:rsidRPr="008E7AAD" w:rsidRDefault="00A152C2" w:rsidP="008E7AAD">
            <w:pPr>
              <w:spacing w:before="60" w:after="60"/>
              <w:rPr>
                <w:rFonts w:eastAsia="Segoe UI" w:cs="Segoe UI"/>
                <w:sz w:val="18"/>
                <w:szCs w:val="18"/>
                <w:lang w:eastAsia="en-US"/>
              </w:rPr>
            </w:pPr>
            <w:r w:rsidRPr="008E7AAD">
              <w:rPr>
                <w:rFonts w:eastAsia="Segoe UI" w:cs="Segoe UI"/>
                <w:sz w:val="18"/>
                <w:szCs w:val="18"/>
                <w:lang w:eastAsia="en-US"/>
              </w:rPr>
              <w:t>European Medicines Agency</w:t>
            </w:r>
          </w:p>
        </w:tc>
        <w:tc>
          <w:tcPr>
            <w:tcW w:w="1503"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E32555" w14:textId="77777777" w:rsidR="00A152C2" w:rsidRPr="008E7AAD" w:rsidRDefault="00A152C2" w:rsidP="008E7AAD">
            <w:pPr>
              <w:spacing w:before="60" w:after="60"/>
              <w:rPr>
                <w:rFonts w:eastAsia="Segoe UI" w:cs="Segoe UI"/>
                <w:sz w:val="18"/>
                <w:szCs w:val="18"/>
                <w:lang w:eastAsia="en-US"/>
              </w:rPr>
            </w:pPr>
            <w:r w:rsidRPr="008E7AAD">
              <w:rPr>
                <w:rFonts w:eastAsia="Segoe UI" w:cs="Segoe UI"/>
                <w:sz w:val="18"/>
                <w:szCs w:val="18"/>
                <w:lang w:eastAsia="en-US"/>
              </w:rPr>
              <w:t>Individuals with gender dysphoria receive care through specialist gender identity services.</w:t>
            </w:r>
            <w:r w:rsidRPr="008E7AAD">
              <w:rPr>
                <w:rFonts w:eastAsia="Segoe UI" w:cs="Segoe UI"/>
                <w:sz w:val="18"/>
                <w:szCs w:val="18"/>
                <w:vertAlign w:val="superscript"/>
                <w:lang w:eastAsia="en-US"/>
              </w:rPr>
              <w:footnoteReference w:id="54"/>
            </w:r>
            <w:r w:rsidRPr="008E7AAD">
              <w:rPr>
                <w:rFonts w:eastAsia="Segoe UI" w:cs="Segoe UI"/>
                <w:sz w:val="18"/>
                <w:szCs w:val="18"/>
                <w:vertAlign w:val="superscript"/>
                <w:lang w:eastAsia="en-US"/>
              </w:rPr>
              <w:t>,</w:t>
            </w:r>
            <w:r w:rsidRPr="008E7AAD">
              <w:rPr>
                <w:rFonts w:eastAsia="Segoe UI" w:cs="Segoe UI"/>
                <w:sz w:val="18"/>
                <w:szCs w:val="18"/>
                <w:vertAlign w:val="superscript"/>
                <w:lang w:eastAsia="en-US"/>
              </w:rPr>
              <w:footnoteReference w:id="55"/>
            </w:r>
          </w:p>
        </w:tc>
        <w:tc>
          <w:tcPr>
            <w:tcW w:w="9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1C0339" w14:textId="77777777" w:rsidR="00A152C2" w:rsidRPr="008E7AAD" w:rsidRDefault="00A152C2" w:rsidP="008E7AAD">
            <w:pPr>
              <w:spacing w:before="60" w:after="60"/>
              <w:rPr>
                <w:rFonts w:eastAsia="Segoe UI" w:cs="Segoe UI"/>
                <w:sz w:val="18"/>
                <w:szCs w:val="18"/>
                <w:lang w:eastAsia="en-US"/>
              </w:rPr>
            </w:pPr>
            <w:r w:rsidRPr="008E7AAD">
              <w:rPr>
                <w:rFonts w:eastAsia="Segoe UI" w:cs="Segoe UI"/>
                <w:sz w:val="18"/>
                <w:szCs w:val="18"/>
                <w:lang w:eastAsia="en-US"/>
              </w:rPr>
              <w:t>Nil</w:t>
            </w:r>
          </w:p>
        </w:tc>
        <w:tc>
          <w:tcPr>
            <w:tcW w:w="93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B47746" w14:textId="77777777" w:rsidR="00A152C2" w:rsidRPr="008E7AAD" w:rsidRDefault="00A152C2" w:rsidP="008E7AAD">
            <w:pPr>
              <w:spacing w:before="60" w:after="60"/>
              <w:rPr>
                <w:rFonts w:eastAsia="Segoe UI" w:cs="Segoe UI"/>
                <w:sz w:val="18"/>
                <w:szCs w:val="18"/>
                <w:lang w:eastAsia="en-US"/>
              </w:rPr>
            </w:pPr>
            <w:r w:rsidRPr="008E7AAD">
              <w:rPr>
                <w:rFonts w:eastAsia="Segoe UI" w:cs="Segoe UI"/>
                <w:sz w:val="18"/>
                <w:szCs w:val="18"/>
                <w:lang w:eastAsia="en-US"/>
              </w:rPr>
              <w:t>Specialist GIS</w:t>
            </w:r>
          </w:p>
        </w:tc>
        <w:tc>
          <w:tcPr>
            <w:tcW w:w="1006" w:type="pct"/>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tcPr>
          <w:p w14:paraId="6E50A2E6" w14:textId="77777777" w:rsidR="00A152C2" w:rsidRPr="008E7AAD" w:rsidRDefault="00A152C2" w:rsidP="008E7AAD">
            <w:pPr>
              <w:spacing w:before="60" w:after="60"/>
              <w:rPr>
                <w:rFonts w:eastAsia="Segoe UI" w:cs="Segoe UI"/>
                <w:sz w:val="18"/>
                <w:szCs w:val="18"/>
                <w:lang w:eastAsia="en-US"/>
              </w:rPr>
            </w:pPr>
            <w:r w:rsidRPr="008E7AAD">
              <w:rPr>
                <w:rFonts w:eastAsia="Segoe UI" w:cs="Segoe UI"/>
                <w:sz w:val="18"/>
                <w:szCs w:val="18"/>
                <w:lang w:eastAsia="en-US"/>
              </w:rPr>
              <w:t>WPATH guidelines</w:t>
            </w:r>
            <w:r w:rsidRPr="008E7AAD">
              <w:rPr>
                <w:rFonts w:eastAsia="Segoe UI" w:cs="Segoe UI"/>
                <w:sz w:val="18"/>
                <w:szCs w:val="18"/>
                <w:vertAlign w:val="superscript"/>
                <w:lang w:eastAsia="en-US"/>
              </w:rPr>
              <w:footnoteReference w:id="56"/>
            </w:r>
          </w:p>
        </w:tc>
      </w:tr>
      <w:tr w:rsidR="00A152C2" w:rsidRPr="00FA2EBC" w14:paraId="17128BF7" w14:textId="77777777" w:rsidTr="008E7AAD">
        <w:tc>
          <w:tcPr>
            <w:tcW w:w="5000" w:type="pct"/>
            <w:gridSpan w:val="6"/>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tcPr>
          <w:p w14:paraId="0A9F29C8" w14:textId="77777777" w:rsidR="00A152C2" w:rsidRPr="008E7AAD" w:rsidRDefault="00A152C2" w:rsidP="007E70DA">
            <w:pPr>
              <w:keepNext/>
              <w:spacing w:before="60" w:after="60"/>
              <w:rPr>
                <w:rFonts w:eastAsia="Segoe UI" w:cs="Segoe UI"/>
                <w:sz w:val="18"/>
                <w:szCs w:val="18"/>
                <w:lang w:eastAsia="en-US"/>
              </w:rPr>
            </w:pPr>
            <w:r w:rsidRPr="008E7AAD">
              <w:rPr>
                <w:rFonts w:eastAsia="Segoe UI" w:cs="Segoe UI"/>
                <w:b/>
                <w:bCs/>
                <w:sz w:val="18"/>
                <w:szCs w:val="18"/>
                <w:lang w:eastAsia="en-US"/>
              </w:rPr>
              <w:t>Denmark</w:t>
            </w:r>
          </w:p>
        </w:tc>
      </w:tr>
      <w:tr w:rsidR="007E70DA" w:rsidRPr="00FA2EBC" w14:paraId="76134579" w14:textId="77777777" w:rsidTr="007E70DA">
        <w:tc>
          <w:tcPr>
            <w:tcW w:w="608" w:type="pct"/>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3D903FF3" w14:textId="77777777" w:rsidR="00A152C2" w:rsidRPr="008E7AAD" w:rsidRDefault="00A152C2" w:rsidP="008E7AAD">
            <w:pPr>
              <w:tabs>
                <w:tab w:val="left" w:pos="1279"/>
              </w:tabs>
              <w:spacing w:before="60" w:after="60"/>
              <w:rPr>
                <w:rFonts w:eastAsia="Segoe UI" w:cs="Segoe UI"/>
                <w:sz w:val="18"/>
                <w:szCs w:val="18"/>
                <w:lang w:eastAsia="en-US"/>
              </w:rPr>
            </w:pPr>
            <w:r w:rsidRPr="008E7AAD">
              <w:rPr>
                <w:rFonts w:eastAsia="Segoe UI" w:cs="Segoe UI"/>
                <w:sz w:val="18"/>
                <w:szCs w:val="18"/>
                <w:lang w:eastAsia="en-US"/>
              </w:rPr>
              <w:t>European Medicines Agency</w:t>
            </w:r>
          </w:p>
          <w:p w14:paraId="61F2101D" w14:textId="77777777" w:rsidR="00A152C2" w:rsidRPr="008E7AAD" w:rsidRDefault="00A152C2" w:rsidP="008E7AAD">
            <w:pPr>
              <w:tabs>
                <w:tab w:val="left" w:pos="1279"/>
              </w:tabs>
              <w:spacing w:before="60" w:after="60"/>
              <w:rPr>
                <w:rFonts w:eastAsia="Segoe UI" w:cs="Segoe UI"/>
                <w:sz w:val="18"/>
                <w:szCs w:val="18"/>
                <w:lang w:eastAsia="en-US"/>
              </w:rPr>
            </w:pPr>
            <w:r w:rsidRPr="008E7AAD">
              <w:rPr>
                <w:rFonts w:eastAsia="Segoe UI" w:cs="Segoe UI"/>
                <w:sz w:val="18"/>
                <w:szCs w:val="18"/>
                <w:lang w:eastAsia="en-US"/>
              </w:rPr>
              <w:t>Danish Health Authority</w:t>
            </w:r>
          </w:p>
        </w:tc>
        <w:tc>
          <w:tcPr>
            <w:tcW w:w="1503"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610347" w14:textId="77777777" w:rsidR="00A152C2" w:rsidRPr="008E7AAD" w:rsidRDefault="00A152C2" w:rsidP="008E7AAD">
            <w:pPr>
              <w:spacing w:before="60" w:after="60"/>
              <w:rPr>
                <w:rFonts w:eastAsia="Segoe UI" w:cs="Segoe UI"/>
                <w:sz w:val="18"/>
                <w:szCs w:val="18"/>
                <w:lang w:eastAsia="en-US"/>
              </w:rPr>
            </w:pPr>
            <w:r w:rsidRPr="008E7AAD">
              <w:rPr>
                <w:rFonts w:eastAsia="Segoe UI" w:cs="Segoe UI"/>
                <w:sz w:val="18"/>
                <w:szCs w:val="18"/>
                <w:lang w:eastAsia="en-US"/>
              </w:rPr>
              <w:t xml:space="preserve">Individuals with gender dysphoria receive care through specialist gender identity services. </w:t>
            </w:r>
          </w:p>
          <w:p w14:paraId="0AC76D00" w14:textId="77777777" w:rsidR="00A152C2" w:rsidRPr="008E7AAD" w:rsidRDefault="00A152C2" w:rsidP="008E7AAD">
            <w:pPr>
              <w:spacing w:before="60" w:after="60"/>
              <w:rPr>
                <w:rFonts w:eastAsia="Segoe UI" w:cs="Segoe UI"/>
                <w:sz w:val="18"/>
                <w:szCs w:val="18"/>
                <w:lang w:eastAsia="en-US"/>
              </w:rPr>
            </w:pPr>
            <w:r w:rsidRPr="008E7AAD">
              <w:rPr>
                <w:rFonts w:eastAsia="Segoe UI" w:cs="Segoe UI"/>
                <w:sz w:val="18"/>
                <w:szCs w:val="18"/>
                <w:lang w:eastAsia="en-US"/>
              </w:rPr>
              <w:t>People under the age of 18 years who are seeking health care related to gender identity, as well as their parents, must be offered counselling and supportive talks before initiating any treatment.</w:t>
            </w:r>
          </w:p>
          <w:p w14:paraId="1FAD40F0" w14:textId="77777777" w:rsidR="00A152C2" w:rsidRPr="008E7AAD" w:rsidRDefault="00A152C2" w:rsidP="008E7AAD">
            <w:pPr>
              <w:spacing w:before="60" w:after="60"/>
              <w:rPr>
                <w:rFonts w:eastAsia="Segoe UI" w:cs="Segoe UI"/>
                <w:sz w:val="18"/>
                <w:szCs w:val="18"/>
                <w:lang w:eastAsia="en-US"/>
              </w:rPr>
            </w:pPr>
            <w:r w:rsidRPr="008E7AAD">
              <w:rPr>
                <w:rFonts w:eastAsia="Segoe UI" w:cs="Segoe UI"/>
                <w:sz w:val="18"/>
                <w:szCs w:val="18"/>
                <w:lang w:eastAsia="en-US"/>
              </w:rPr>
              <w:t>If there is disagreement between the parents and the young adult older than 15 years, and if the young adult according to the health care professional’s assessment understands the consequences of their own decision, the decision to give consent is ultimately that of the young adult.</w:t>
            </w:r>
          </w:p>
        </w:tc>
        <w:tc>
          <w:tcPr>
            <w:tcW w:w="9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A109E8" w14:textId="77777777" w:rsidR="00A152C2" w:rsidRPr="008E7AAD" w:rsidRDefault="00A152C2" w:rsidP="008E7AAD">
            <w:pPr>
              <w:spacing w:before="60" w:after="60"/>
              <w:rPr>
                <w:rFonts w:eastAsia="Segoe UI" w:cs="Segoe UI"/>
                <w:sz w:val="18"/>
                <w:szCs w:val="18"/>
                <w:lang w:eastAsia="en-US"/>
              </w:rPr>
            </w:pPr>
            <w:r w:rsidRPr="008E7AAD">
              <w:rPr>
                <w:rFonts w:eastAsia="Segoe UI" w:cs="Segoe UI"/>
                <w:sz w:val="18"/>
                <w:szCs w:val="18"/>
                <w:lang w:eastAsia="en-US"/>
              </w:rPr>
              <w:t>National guidelines updated in 2017</w:t>
            </w:r>
          </w:p>
        </w:tc>
        <w:tc>
          <w:tcPr>
            <w:tcW w:w="93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05F780" w14:textId="77777777" w:rsidR="00A152C2" w:rsidRPr="008E7AAD" w:rsidRDefault="00A152C2" w:rsidP="008E7AAD">
            <w:pPr>
              <w:spacing w:before="60" w:after="60"/>
              <w:rPr>
                <w:rFonts w:eastAsia="Segoe UI" w:cs="Segoe UI"/>
                <w:sz w:val="18"/>
                <w:szCs w:val="18"/>
                <w:lang w:eastAsia="en-US"/>
              </w:rPr>
            </w:pPr>
            <w:r w:rsidRPr="008E7AAD">
              <w:rPr>
                <w:rFonts w:eastAsia="Segoe UI" w:cs="Segoe UI"/>
                <w:sz w:val="18"/>
                <w:szCs w:val="18"/>
                <w:lang w:eastAsia="en-US"/>
              </w:rPr>
              <w:t>Specialist GIS</w:t>
            </w:r>
          </w:p>
        </w:tc>
        <w:tc>
          <w:tcPr>
            <w:tcW w:w="1006" w:type="pct"/>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tcPr>
          <w:p w14:paraId="1CF4CAC2" w14:textId="77777777" w:rsidR="00A152C2" w:rsidRPr="008E7AAD" w:rsidRDefault="00A152C2" w:rsidP="008E7AAD">
            <w:pPr>
              <w:spacing w:before="60" w:after="60"/>
              <w:rPr>
                <w:rFonts w:eastAsia="Segoe UI" w:cs="Segoe UI"/>
                <w:sz w:val="18"/>
                <w:szCs w:val="18"/>
                <w:lang w:eastAsia="en-US"/>
              </w:rPr>
            </w:pPr>
            <w:r w:rsidRPr="008E7AAD">
              <w:rPr>
                <w:rFonts w:eastAsia="Segoe UI" w:cs="Segoe UI"/>
                <w:i/>
                <w:iCs/>
                <w:sz w:val="18"/>
                <w:szCs w:val="18"/>
                <w:lang w:eastAsia="en-US"/>
              </w:rPr>
              <w:t>Guide on Healthcare related to Gender Identity</w:t>
            </w:r>
            <w:r w:rsidRPr="008E7AAD">
              <w:rPr>
                <w:rFonts w:eastAsia="Segoe UI" w:cs="Segoe UI"/>
                <w:sz w:val="18"/>
                <w:szCs w:val="18"/>
                <w:lang w:eastAsia="en-US"/>
              </w:rPr>
              <w:t>.</w:t>
            </w:r>
            <w:r w:rsidRPr="008E7AAD">
              <w:rPr>
                <w:rFonts w:eastAsia="Segoe UI" w:cs="Segoe UI"/>
                <w:sz w:val="18"/>
                <w:szCs w:val="18"/>
                <w:vertAlign w:val="superscript"/>
                <w:lang w:eastAsia="en-US"/>
              </w:rPr>
              <w:footnoteReference w:id="57"/>
            </w:r>
          </w:p>
        </w:tc>
      </w:tr>
    </w:tbl>
    <w:p w14:paraId="1F6CE62B" w14:textId="77777777" w:rsidR="00A152C2" w:rsidRDefault="00A152C2" w:rsidP="00A152C2">
      <w:pPr>
        <w:spacing w:line="259" w:lineRule="auto"/>
        <w:rPr>
          <w:rFonts w:asciiTheme="minorHAnsi" w:eastAsiaTheme="minorHAnsi" w:hAnsiTheme="minorHAnsi"/>
          <w:b/>
          <w:bCs/>
          <w:sz w:val="24"/>
          <w:lang w:eastAsia="en-US"/>
        </w:rPr>
      </w:pPr>
    </w:p>
    <w:p w14:paraId="75BD4D25" w14:textId="77777777" w:rsidR="00A152C2" w:rsidRPr="00A152C2" w:rsidRDefault="00A152C2" w:rsidP="00A152C2">
      <w:pPr>
        <w:rPr>
          <w:rFonts w:asciiTheme="minorHAnsi" w:eastAsiaTheme="minorHAnsi" w:hAnsiTheme="minorHAnsi"/>
          <w:sz w:val="24"/>
          <w:lang w:eastAsia="en-US"/>
        </w:rPr>
      </w:pPr>
    </w:p>
    <w:p w14:paraId="5906F3CA" w14:textId="77777777" w:rsidR="00A152C2" w:rsidRPr="00A152C2" w:rsidRDefault="00A152C2" w:rsidP="00A152C2">
      <w:pPr>
        <w:rPr>
          <w:rFonts w:asciiTheme="minorHAnsi" w:eastAsiaTheme="minorHAnsi" w:hAnsiTheme="minorHAnsi"/>
          <w:sz w:val="24"/>
          <w:lang w:eastAsia="en-US"/>
        </w:rPr>
      </w:pPr>
    </w:p>
    <w:p w14:paraId="36DED73D" w14:textId="77777777" w:rsidR="00A152C2" w:rsidRDefault="00A152C2" w:rsidP="00A152C2">
      <w:pPr>
        <w:rPr>
          <w:rFonts w:asciiTheme="minorHAnsi" w:eastAsiaTheme="minorHAnsi" w:hAnsiTheme="minorHAnsi"/>
          <w:b/>
          <w:bCs/>
          <w:sz w:val="24"/>
          <w:lang w:eastAsia="en-US"/>
        </w:rPr>
      </w:pPr>
    </w:p>
    <w:p w14:paraId="38F9E077" w14:textId="77777777" w:rsidR="00A152C2" w:rsidRPr="00A152C2" w:rsidRDefault="00A152C2" w:rsidP="00A152C2">
      <w:pPr>
        <w:rPr>
          <w:rFonts w:asciiTheme="minorHAnsi" w:eastAsiaTheme="minorHAnsi" w:hAnsiTheme="minorHAnsi"/>
          <w:sz w:val="24"/>
          <w:lang w:eastAsia="en-US"/>
        </w:rPr>
      </w:pPr>
    </w:p>
    <w:p w14:paraId="359DA6CA" w14:textId="77777777" w:rsidR="00A152C2" w:rsidRDefault="00A152C2" w:rsidP="008E3A07">
      <w:pPr>
        <w:pStyle w:val="Heading1"/>
        <w:rPr>
          <w:b w:val="0"/>
          <w:spacing w:val="0"/>
        </w:rPr>
        <w:sectPr w:rsidR="00A152C2" w:rsidSect="00A152C2">
          <w:headerReference w:type="default" r:id="rId27"/>
          <w:footerReference w:type="even" r:id="rId28"/>
          <w:footerReference w:type="default" r:id="rId29"/>
          <w:pgSz w:w="16834" w:h="11907" w:orient="landscape" w:code="9"/>
          <w:pgMar w:top="1134" w:right="1701" w:bottom="1134" w:left="1701" w:header="284" w:footer="425" w:gutter="0"/>
          <w:cols w:space="720"/>
          <w:docGrid w:linePitch="286"/>
        </w:sectPr>
      </w:pPr>
    </w:p>
    <w:p w14:paraId="7F16C8D4" w14:textId="77777777" w:rsidR="009A42D5" w:rsidRPr="00CF60ED" w:rsidRDefault="009A42D5" w:rsidP="00553165">
      <w:pPr>
        <w:pStyle w:val="Heading1"/>
        <w:pageBreakBefore/>
        <w:spacing w:before="0"/>
      </w:pPr>
      <w:bookmarkStart w:id="23" w:name="_bookmark70"/>
      <w:bookmarkStart w:id="24" w:name="_Toc171085292"/>
      <w:bookmarkEnd w:id="23"/>
      <w:r w:rsidRPr="00CF60ED">
        <w:t>References</w:t>
      </w:r>
      <w:bookmarkEnd w:id="24"/>
    </w:p>
    <w:p w14:paraId="30A77F62" w14:textId="77777777" w:rsidR="004D38E5" w:rsidRPr="00FA2EBC" w:rsidRDefault="004D38E5" w:rsidP="004D38E5">
      <w:pPr>
        <w:pStyle w:val="References"/>
      </w:pPr>
      <w:r w:rsidRPr="00FA2EBC">
        <w:t xml:space="preserve">Boogers LS, </w:t>
      </w:r>
      <w:proofErr w:type="spellStart"/>
      <w:r w:rsidRPr="00FA2EBC">
        <w:t>Reijtenbagh</w:t>
      </w:r>
      <w:proofErr w:type="spellEnd"/>
      <w:r w:rsidRPr="00FA2EBC">
        <w:t xml:space="preserve"> SJP, </w:t>
      </w:r>
      <w:proofErr w:type="spellStart"/>
      <w:r w:rsidRPr="00FA2EBC">
        <w:t>Wiepjes</w:t>
      </w:r>
      <w:proofErr w:type="spellEnd"/>
      <w:r w:rsidRPr="00FA2EBC">
        <w:t xml:space="preserve"> CM, et al. 2023. Time course of body composition changes in transgender adolescents during puberty suppression and sex hormone treatment. </w:t>
      </w:r>
      <w:r w:rsidRPr="00FA2EBC">
        <w:rPr>
          <w:i/>
        </w:rPr>
        <w:t>Journal of Clinical Endocrinology and Metabolism</w:t>
      </w:r>
      <w:r w:rsidRPr="00FA2EBC">
        <w:t>. DOI: 10.1210/</w:t>
      </w:r>
      <w:proofErr w:type="spellStart"/>
      <w:r w:rsidRPr="00FA2EBC">
        <w:t>clinem</w:t>
      </w:r>
      <w:proofErr w:type="spellEnd"/>
      <w:r w:rsidRPr="00FA2EBC">
        <w:t>/dgad750.</w:t>
      </w:r>
    </w:p>
    <w:p w14:paraId="24CE9CEF" w14:textId="77777777" w:rsidR="004D38E5" w:rsidRPr="00FA2EBC" w:rsidRDefault="004D38E5" w:rsidP="004D38E5">
      <w:pPr>
        <w:pStyle w:val="References"/>
      </w:pPr>
      <w:r w:rsidRPr="00FA2EBC">
        <w:t xml:space="preserve">Carmichael P, Butler G, </w:t>
      </w:r>
      <w:proofErr w:type="spellStart"/>
      <w:r w:rsidRPr="00FA2EBC">
        <w:t>Masic</w:t>
      </w:r>
      <w:proofErr w:type="spellEnd"/>
      <w:r w:rsidRPr="00FA2EBC">
        <w:t xml:space="preserve"> U, et al. 2021. Short-term outcomes of pubertal suppression in a selected cohort of 12 to 15 year old young people with persistent gender dysphoria in the UK. </w:t>
      </w:r>
      <w:proofErr w:type="spellStart"/>
      <w:r w:rsidRPr="00FA2EBC">
        <w:rPr>
          <w:i/>
        </w:rPr>
        <w:t>PLoS</w:t>
      </w:r>
      <w:proofErr w:type="spellEnd"/>
      <w:r w:rsidRPr="00FA2EBC">
        <w:rPr>
          <w:i/>
        </w:rPr>
        <w:t xml:space="preserve"> ONE </w:t>
      </w:r>
      <w:r w:rsidRPr="00DD23A2">
        <w:rPr>
          <w:iCs/>
        </w:rPr>
        <w:t>16</w:t>
      </w:r>
      <w:r w:rsidRPr="00FA2EBC">
        <w:t xml:space="preserve">(2): e0243894. DOI: 10.1371/journal.pone.0243894. </w:t>
      </w:r>
    </w:p>
    <w:p w14:paraId="2567377F" w14:textId="77777777" w:rsidR="004D38E5" w:rsidRPr="00DD23A2" w:rsidRDefault="004D38E5" w:rsidP="004D38E5">
      <w:pPr>
        <w:pStyle w:val="References"/>
      </w:pPr>
      <w:r w:rsidRPr="00DD23A2">
        <w:t>Cass H.</w:t>
      </w:r>
      <w:r w:rsidRPr="00FA2EBC">
        <w:t xml:space="preserve"> 2022.</w:t>
      </w:r>
      <w:r w:rsidRPr="00DD23A2">
        <w:t xml:space="preserve"> </w:t>
      </w:r>
      <w:r w:rsidRPr="00DD23A2">
        <w:rPr>
          <w:i/>
          <w:iCs/>
        </w:rPr>
        <w:t>Independent Review of Gender Identity Services for Children and Young People: Interim report</w:t>
      </w:r>
      <w:r w:rsidRPr="00DD23A2">
        <w:t>. National Health Service</w:t>
      </w:r>
      <w:r w:rsidRPr="00FA2EBC">
        <w:t>.</w:t>
      </w:r>
    </w:p>
    <w:p w14:paraId="03C8BF3C" w14:textId="77777777" w:rsidR="004D38E5" w:rsidRPr="00FA2EBC" w:rsidRDefault="004D38E5" w:rsidP="004D38E5">
      <w:pPr>
        <w:pStyle w:val="References"/>
      </w:pPr>
      <w:r w:rsidRPr="00FA2EBC">
        <w:t xml:space="preserve">Cass H. 2024. </w:t>
      </w:r>
      <w:r w:rsidRPr="00FA2EBC">
        <w:rPr>
          <w:i/>
        </w:rPr>
        <w:t>The Cass Review. Independent review of gender identity servi</w:t>
      </w:r>
      <w:r>
        <w:rPr>
          <w:i/>
        </w:rPr>
        <w:t>c</w:t>
      </w:r>
      <w:r w:rsidRPr="00FA2EBC">
        <w:rPr>
          <w:i/>
        </w:rPr>
        <w:t>es for children and young people</w:t>
      </w:r>
      <w:r w:rsidRPr="00FA2EBC">
        <w:t xml:space="preserve">. URL: </w:t>
      </w:r>
      <w:hyperlink r:id="rId30" w:history="1">
        <w:r w:rsidRPr="00FA2EBC">
          <w:rPr>
            <w:rStyle w:val="Hyperlink"/>
          </w:rPr>
          <w:t>cass.independent-review.uk/home/publications/final-report/</w:t>
        </w:r>
      </w:hyperlink>
      <w:r w:rsidRPr="00FA2EBC">
        <w:t xml:space="preserve"> (accessed 11 June 2024).</w:t>
      </w:r>
    </w:p>
    <w:p w14:paraId="475D07D6" w14:textId="77777777" w:rsidR="004D38E5" w:rsidRPr="00FA2EBC" w:rsidRDefault="004D38E5" w:rsidP="004D38E5">
      <w:pPr>
        <w:pStyle w:val="References"/>
      </w:pPr>
      <w:r w:rsidRPr="00FA2EBC">
        <w:t xml:space="preserve">Costa R, </w:t>
      </w:r>
      <w:proofErr w:type="spellStart"/>
      <w:r w:rsidRPr="00FA2EBC">
        <w:t>Dunsford</w:t>
      </w:r>
      <w:proofErr w:type="spellEnd"/>
      <w:r w:rsidRPr="00FA2EBC">
        <w:t xml:space="preserve"> M, </w:t>
      </w:r>
      <w:proofErr w:type="spellStart"/>
      <w:r w:rsidRPr="00FA2EBC">
        <w:t>Skagerberg</w:t>
      </w:r>
      <w:proofErr w:type="spellEnd"/>
      <w:r w:rsidRPr="00FA2EBC">
        <w:t xml:space="preserve"> E, et al. 2015. Psychological support, puberty suppression, and psychosocial functioning in adolescents with gender dysphoria. </w:t>
      </w:r>
      <w:r w:rsidRPr="00FA2EBC">
        <w:rPr>
          <w:i/>
        </w:rPr>
        <w:t xml:space="preserve">Journal of Sexual Medicine </w:t>
      </w:r>
      <w:r w:rsidRPr="00DD23A2">
        <w:t>12</w:t>
      </w:r>
      <w:r w:rsidRPr="00FA2EBC">
        <w:t xml:space="preserve">(11): 2206–14. DOI: 10.1111/jsm.13034 (Comment in: </w:t>
      </w:r>
      <w:r w:rsidRPr="00FA2EBC">
        <w:rPr>
          <w:i/>
        </w:rPr>
        <w:t>Journal of Sexual Medicine</w:t>
      </w:r>
      <w:r w:rsidRPr="00FA2EBC">
        <w:t xml:space="preserve"> 2019 16(12): 2043 PMID: 31785710 [ncbi.nlm.nih.gov/</w:t>
      </w:r>
      <w:proofErr w:type="spellStart"/>
      <w:r w:rsidRPr="00FA2EBC">
        <w:t>pubmed</w:t>
      </w:r>
      <w:proofErr w:type="spellEnd"/>
      <w:r w:rsidRPr="00FA2EBC">
        <w:t xml:space="preserve">/31785710]; Comment in: </w:t>
      </w:r>
      <w:r w:rsidRPr="00DD23A2">
        <w:rPr>
          <w:i/>
          <w:iCs/>
        </w:rPr>
        <w:t>J</w:t>
      </w:r>
      <w:r w:rsidRPr="00FA2EBC">
        <w:rPr>
          <w:i/>
          <w:iCs/>
        </w:rPr>
        <w:t>ournal of</w:t>
      </w:r>
      <w:r w:rsidRPr="00DD23A2">
        <w:rPr>
          <w:i/>
          <w:iCs/>
        </w:rPr>
        <w:t xml:space="preserve"> Sex</w:t>
      </w:r>
      <w:r w:rsidRPr="00FA2EBC">
        <w:rPr>
          <w:i/>
          <w:iCs/>
        </w:rPr>
        <w:t>ual</w:t>
      </w:r>
      <w:r w:rsidRPr="00DD23A2">
        <w:rPr>
          <w:i/>
          <w:iCs/>
        </w:rPr>
        <w:t xml:space="preserve"> Med</w:t>
      </w:r>
      <w:r w:rsidRPr="00FA2EBC">
        <w:rPr>
          <w:i/>
          <w:iCs/>
        </w:rPr>
        <w:t>icine</w:t>
      </w:r>
      <w:r w:rsidRPr="00FA2EBC">
        <w:t xml:space="preserve"> 202118(4): 838–9 PMID: 33642236 [ncbi.nlm.nih.gov/</w:t>
      </w:r>
      <w:proofErr w:type="spellStart"/>
      <w:r w:rsidRPr="00FA2EBC">
        <w:t>pubmed</w:t>
      </w:r>
      <w:proofErr w:type="spellEnd"/>
      <w:r w:rsidRPr="00FA2EBC">
        <w:t>/33642236]).</w:t>
      </w:r>
    </w:p>
    <w:p w14:paraId="57026892" w14:textId="77777777" w:rsidR="004D38E5" w:rsidRPr="00FA2EBC" w:rsidRDefault="004D38E5" w:rsidP="004D38E5">
      <w:pPr>
        <w:pStyle w:val="References"/>
      </w:pPr>
      <w:r w:rsidRPr="00FA2EBC">
        <w:t xml:space="preserve">de Vries AL, Steensma TD, </w:t>
      </w:r>
      <w:proofErr w:type="spellStart"/>
      <w:r w:rsidRPr="00FA2EBC">
        <w:t>Doreleijers</w:t>
      </w:r>
      <w:proofErr w:type="spellEnd"/>
      <w:r w:rsidRPr="00FA2EBC">
        <w:t xml:space="preserve"> TA, et al. 2011. Puberty suppression in adolescents with gender identity disorder: a prospective follow-up study. </w:t>
      </w:r>
      <w:r w:rsidRPr="00FA2EBC">
        <w:rPr>
          <w:i/>
        </w:rPr>
        <w:t xml:space="preserve">Journal of Sexual Medicine </w:t>
      </w:r>
      <w:r w:rsidRPr="00DD23A2">
        <w:rPr>
          <w:iCs/>
        </w:rPr>
        <w:t>8</w:t>
      </w:r>
      <w:r w:rsidRPr="00FA2EBC">
        <w:t>(8): 2276–83. DOI: 10.1111/j.1743-6109.2010.01943.x.</w:t>
      </w:r>
    </w:p>
    <w:p w14:paraId="12727BFD" w14:textId="77777777" w:rsidR="004D38E5" w:rsidRPr="00FA2EBC" w:rsidRDefault="004D38E5" w:rsidP="004D38E5">
      <w:pPr>
        <w:pStyle w:val="References"/>
      </w:pPr>
      <w:r w:rsidRPr="00FA2EBC">
        <w:t xml:space="preserve">Fisher AD, </w:t>
      </w:r>
      <w:proofErr w:type="spellStart"/>
      <w:r w:rsidRPr="00FA2EBC">
        <w:t>Ristori</w:t>
      </w:r>
      <w:proofErr w:type="spellEnd"/>
      <w:r w:rsidRPr="00FA2EBC">
        <w:t xml:space="preserve"> J, Romani A, et al. 2023. Back to the future: is </w:t>
      </w:r>
      <w:proofErr w:type="spellStart"/>
      <w:r w:rsidRPr="00FA2EBC">
        <w:t>GnRHa</w:t>
      </w:r>
      <w:proofErr w:type="spellEnd"/>
      <w:r w:rsidRPr="00FA2EBC">
        <w:t xml:space="preserve"> treatment in transgender and gender diverse adolescents only an extended evaluation phase? </w:t>
      </w:r>
      <w:r w:rsidRPr="00FA2EBC">
        <w:rPr>
          <w:i/>
        </w:rPr>
        <w:t xml:space="preserve">Journal of Clinical Endocrinology and Metabolism </w:t>
      </w:r>
      <w:r w:rsidRPr="00DD23A2">
        <w:rPr>
          <w:iCs/>
        </w:rPr>
        <w:t>109</w:t>
      </w:r>
      <w:r w:rsidRPr="00FA2EBC">
        <w:t>(6): 1565–79. DOI: 10.1210/</w:t>
      </w:r>
      <w:proofErr w:type="spellStart"/>
      <w:r w:rsidRPr="00FA2EBC">
        <w:t>clinem</w:t>
      </w:r>
      <w:proofErr w:type="spellEnd"/>
      <w:r w:rsidRPr="00FA2EBC">
        <w:t>/dgad729.</w:t>
      </w:r>
    </w:p>
    <w:p w14:paraId="4D0B4F4F" w14:textId="77777777" w:rsidR="004D38E5" w:rsidRPr="00FA2EBC" w:rsidRDefault="004D38E5" w:rsidP="004D38E5">
      <w:pPr>
        <w:pStyle w:val="References"/>
      </w:pPr>
      <w:r w:rsidRPr="00FA2EBC">
        <w:t xml:space="preserve">Gutiérrez K, Moreno M, Sierra JA, et al. 2024. Characteristics of the </w:t>
      </w:r>
      <w:proofErr w:type="spellStart"/>
      <w:r w:rsidRPr="00FA2EBC">
        <w:t>pediatric</w:t>
      </w:r>
      <w:proofErr w:type="spellEnd"/>
      <w:r w:rsidRPr="00FA2EBC">
        <w:t xml:space="preserve"> population with gender incongruence attending specialized care in Cali, Colombia: an observational, descriptive and retrospective study. </w:t>
      </w:r>
      <w:r w:rsidRPr="00FA2EBC">
        <w:rPr>
          <w:i/>
        </w:rPr>
        <w:t xml:space="preserve">Child and Adolescent Psychiatry and Mental Health </w:t>
      </w:r>
      <w:r w:rsidRPr="00DD23A2">
        <w:rPr>
          <w:iCs/>
        </w:rPr>
        <w:t>18</w:t>
      </w:r>
      <w:r w:rsidRPr="00FA2EBC">
        <w:t>(1): 1. DOI: 10.1186/s13034-023-00689-6.</w:t>
      </w:r>
    </w:p>
    <w:p w14:paraId="45EE5E98" w14:textId="77777777" w:rsidR="004D38E5" w:rsidRPr="00FA2EBC" w:rsidRDefault="004D38E5" w:rsidP="004D38E5">
      <w:pPr>
        <w:pStyle w:val="References"/>
      </w:pPr>
      <w:r w:rsidRPr="00FA2EBC">
        <w:t xml:space="preserve">Heathcote C, Taylor J, Hall R, et al. 2024. Psychosocial support interventions for children and adolescents experiencing gender dysphoria or incongruence: a systematic review. </w:t>
      </w:r>
      <w:r w:rsidRPr="00FA2EBC">
        <w:rPr>
          <w:i/>
        </w:rPr>
        <w:t>Archives of Disease in Childhood</w:t>
      </w:r>
      <w:r w:rsidRPr="00FA2EBC">
        <w:t>. DOI: 10.1136/archdischild-2023-326347.</w:t>
      </w:r>
    </w:p>
    <w:p w14:paraId="64AFBF57" w14:textId="77777777" w:rsidR="004D38E5" w:rsidRPr="00FA2EBC" w:rsidRDefault="004D38E5" w:rsidP="004D38E5">
      <w:pPr>
        <w:pStyle w:val="References"/>
      </w:pPr>
      <w:r w:rsidRPr="00FA2EBC">
        <w:t xml:space="preserve">Klink D, Caris M, </w:t>
      </w:r>
      <w:proofErr w:type="spellStart"/>
      <w:r w:rsidRPr="00FA2EBC">
        <w:t>Heijboer</w:t>
      </w:r>
      <w:proofErr w:type="spellEnd"/>
      <w:r w:rsidRPr="00FA2EBC">
        <w:t xml:space="preserve"> A, et al. 2015. Bone mass in young adulthood following gonadotropin-releasing hormone </w:t>
      </w:r>
      <w:proofErr w:type="spellStart"/>
      <w:r w:rsidRPr="00FA2EBC">
        <w:t>analog</w:t>
      </w:r>
      <w:proofErr w:type="spellEnd"/>
      <w:r w:rsidRPr="00FA2EBC">
        <w:t xml:space="preserve"> treatment and cross-sex hormone treatment in adolescents with gender dysphoria. </w:t>
      </w:r>
      <w:r w:rsidRPr="00FA2EBC">
        <w:rPr>
          <w:i/>
        </w:rPr>
        <w:t xml:space="preserve">Journal of Clinical Endocrinology and Metabolism </w:t>
      </w:r>
      <w:r w:rsidRPr="00DD23A2">
        <w:rPr>
          <w:iCs/>
        </w:rPr>
        <w:t>100</w:t>
      </w:r>
      <w:r w:rsidRPr="00FA2EBC">
        <w:t>(2): E270–5. DOI:</w:t>
      </w:r>
      <w:r w:rsidRPr="00FA2EBC" w:rsidDel="00D30164">
        <w:t xml:space="preserve"> </w:t>
      </w:r>
      <w:r w:rsidRPr="00FA2EBC">
        <w:t xml:space="preserve">10.1210/jc.2014-2439. </w:t>
      </w:r>
    </w:p>
    <w:p w14:paraId="454C4971" w14:textId="77777777" w:rsidR="004D38E5" w:rsidRPr="00FA2EBC" w:rsidRDefault="004D38E5" w:rsidP="004D38E5">
      <w:pPr>
        <w:pStyle w:val="References"/>
      </w:pPr>
      <w:r w:rsidRPr="00FA2EBC">
        <w:t xml:space="preserve">McGregor K, McKenna JL, Williams CR, et al. 2024. Association of pubertal blockade at Tanner 2/3 with psychosocial benefits in transgender and gender diverse youth at hormone readiness assessment. </w:t>
      </w:r>
      <w:r w:rsidRPr="00FA2EBC">
        <w:rPr>
          <w:i/>
        </w:rPr>
        <w:t xml:space="preserve">Journal of Adolescent Health </w:t>
      </w:r>
      <w:r w:rsidRPr="00DD23A2">
        <w:rPr>
          <w:iCs/>
        </w:rPr>
        <w:t>74</w:t>
      </w:r>
      <w:r w:rsidRPr="00FA2EBC">
        <w:t>(4): 801–7. DOI: 10.1016/j.jadohealth.2023.10.028.</w:t>
      </w:r>
    </w:p>
    <w:p w14:paraId="1AAA4FEA" w14:textId="77777777" w:rsidR="004D38E5" w:rsidRPr="00FA2EBC" w:rsidRDefault="004D38E5" w:rsidP="004D38E5">
      <w:pPr>
        <w:pStyle w:val="References"/>
      </w:pPr>
      <w:r w:rsidRPr="00FA2EBC">
        <w:t xml:space="preserve">McPherson S, Freedman DEP. 2024. Psychological outcomes of 12–15-year-olds with gender dysphoria receiving pubertal suppression in the UK: assessing reliable and clinically significant change. </w:t>
      </w:r>
      <w:r w:rsidRPr="00FA2EBC">
        <w:rPr>
          <w:i/>
        </w:rPr>
        <w:t xml:space="preserve">Journal of Sex and Marital Therapy </w:t>
      </w:r>
      <w:r w:rsidRPr="00DD23A2">
        <w:rPr>
          <w:iCs/>
        </w:rPr>
        <w:t>50</w:t>
      </w:r>
      <w:r w:rsidRPr="00FA2EBC">
        <w:t>(3): 315–25. DOI: 10.1080/0092623X.2023.2281986.</w:t>
      </w:r>
    </w:p>
    <w:p w14:paraId="12C89203" w14:textId="77777777" w:rsidR="004D38E5" w:rsidRPr="00FA2EBC" w:rsidRDefault="004D38E5" w:rsidP="004D38E5">
      <w:pPr>
        <w:pStyle w:val="References"/>
      </w:pPr>
      <w:r w:rsidRPr="00FA2EBC">
        <w:t xml:space="preserve">Perl L, </w:t>
      </w:r>
      <w:proofErr w:type="spellStart"/>
      <w:r w:rsidRPr="00FA2EBC">
        <w:t>Elkon</w:t>
      </w:r>
      <w:proofErr w:type="spellEnd"/>
      <w:r w:rsidRPr="00FA2EBC">
        <w:t xml:space="preserve">-Tamir E, </w:t>
      </w:r>
      <w:proofErr w:type="spellStart"/>
      <w:r w:rsidRPr="00FA2EBC">
        <w:t>Segev</w:t>
      </w:r>
      <w:proofErr w:type="spellEnd"/>
      <w:r w:rsidRPr="00FA2EBC">
        <w:t xml:space="preserve">-Becker A, et al. 2021. Blood pressure dynamics after pubertal suppression with gonadotropin-releasing hormone </w:t>
      </w:r>
      <w:proofErr w:type="spellStart"/>
      <w:r w:rsidRPr="00FA2EBC">
        <w:t>analogs</w:t>
      </w:r>
      <w:proofErr w:type="spellEnd"/>
      <w:r w:rsidRPr="00FA2EBC">
        <w:t xml:space="preserve"> followed by </w:t>
      </w:r>
      <w:proofErr w:type="spellStart"/>
      <w:r w:rsidRPr="00FA2EBC">
        <w:t>estradiol</w:t>
      </w:r>
      <w:proofErr w:type="spellEnd"/>
      <w:r w:rsidRPr="00FA2EBC">
        <w:t xml:space="preserve"> treatment in transgender female adolescents: a pilot study. </w:t>
      </w:r>
      <w:r w:rsidRPr="00FA2EBC">
        <w:rPr>
          <w:i/>
        </w:rPr>
        <w:t xml:space="preserve">Journal of </w:t>
      </w:r>
      <w:proofErr w:type="spellStart"/>
      <w:r w:rsidRPr="00FA2EBC">
        <w:rPr>
          <w:i/>
        </w:rPr>
        <w:t>Pediatric</w:t>
      </w:r>
      <w:proofErr w:type="spellEnd"/>
      <w:r w:rsidRPr="00FA2EBC">
        <w:rPr>
          <w:i/>
        </w:rPr>
        <w:t xml:space="preserve"> Endocrinology and Metabolism </w:t>
      </w:r>
      <w:r w:rsidRPr="00DD23A2">
        <w:rPr>
          <w:iCs/>
        </w:rPr>
        <w:t>34</w:t>
      </w:r>
      <w:r w:rsidRPr="00FA2EBC">
        <w:t>(6): 741–5. DOI: 10.1515/jpem-2021-0172.</w:t>
      </w:r>
    </w:p>
    <w:p w14:paraId="339633F0" w14:textId="77777777" w:rsidR="004D38E5" w:rsidRPr="00FA2EBC" w:rsidRDefault="004D38E5" w:rsidP="004D38E5">
      <w:pPr>
        <w:pStyle w:val="References"/>
      </w:pPr>
      <w:r w:rsidRPr="00FA2EBC">
        <w:t xml:space="preserve">Roy MK, Bothwell S, Kelsey MM, et al. 2024. Bone density in transgender youth on gender-affirming hormone therapy. </w:t>
      </w:r>
      <w:r w:rsidRPr="00FA2EBC">
        <w:rPr>
          <w:i/>
        </w:rPr>
        <w:t xml:space="preserve">Journal of the Endocrine Society </w:t>
      </w:r>
      <w:r w:rsidRPr="00DD23A2">
        <w:rPr>
          <w:iCs/>
        </w:rPr>
        <w:t>8</w:t>
      </w:r>
      <w:r w:rsidRPr="00FA2EBC">
        <w:t>(5). DOI: 10.1210/</w:t>
      </w:r>
      <w:proofErr w:type="spellStart"/>
      <w:r w:rsidRPr="00FA2EBC">
        <w:t>jendso</w:t>
      </w:r>
      <w:proofErr w:type="spellEnd"/>
      <w:r w:rsidRPr="00FA2EBC">
        <w:t>/bvae045.</w:t>
      </w:r>
    </w:p>
    <w:p w14:paraId="24535688" w14:textId="77777777" w:rsidR="004D38E5" w:rsidRPr="00FA2EBC" w:rsidRDefault="004D38E5" w:rsidP="004D38E5">
      <w:pPr>
        <w:pStyle w:val="References"/>
      </w:pPr>
      <w:r w:rsidRPr="00FA2EBC">
        <w:t xml:space="preserve">Taylor J, Mitchell A, Hall R, et al. 2024. Interventions to suppress puberty in adolescents experiencing gender dysphoria or incongruence: a systematic review. </w:t>
      </w:r>
      <w:r w:rsidRPr="00FA2EBC">
        <w:rPr>
          <w:i/>
        </w:rPr>
        <w:t>Archives of Disease in Childhood</w:t>
      </w:r>
      <w:r w:rsidRPr="00FA2EBC">
        <w:t>. DOI: 10.1136/archdischild-2023-326669.</w:t>
      </w:r>
    </w:p>
    <w:p w14:paraId="28235804" w14:textId="4806318B" w:rsidR="009A42D5" w:rsidRDefault="009A42D5" w:rsidP="004D38E5">
      <w:pPr>
        <w:pStyle w:val="References"/>
      </w:pPr>
    </w:p>
    <w:sectPr w:rsidR="009A42D5" w:rsidSect="004D38E5">
      <w:footerReference w:type="default" r:id="rId31"/>
      <w:pgSz w:w="11907" w:h="16834" w:code="9"/>
      <w:pgMar w:top="1418" w:right="1701" w:bottom="1134" w:left="1843" w:header="284" w:footer="425"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8E3FD" w14:textId="77777777" w:rsidR="0098639B" w:rsidRDefault="0098639B">
      <w:r>
        <w:separator/>
      </w:r>
    </w:p>
    <w:p w14:paraId="5A2F4FA7" w14:textId="77777777" w:rsidR="0098639B" w:rsidRDefault="0098639B"/>
  </w:endnote>
  <w:endnote w:type="continuationSeparator" w:id="0">
    <w:p w14:paraId="4746D51E" w14:textId="77777777" w:rsidR="0098639B" w:rsidRDefault="0098639B">
      <w:r>
        <w:continuationSeparator/>
      </w:r>
    </w:p>
    <w:p w14:paraId="036AC9ED" w14:textId="77777777" w:rsidR="0098639B" w:rsidRDefault="009863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Mäori">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Georgia">
    <w:panose1 w:val="02040502050405020303"/>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18357" w14:textId="7C5A8FEA" w:rsidR="005A79E5" w:rsidRPr="00581136" w:rsidRDefault="005A79E5" w:rsidP="005A79E5">
    <w:pPr>
      <w:pStyle w:val="Footer"/>
      <w:pBdr>
        <w:bottom w:val="single" w:sz="4" w:space="1" w:color="auto"/>
      </w:pBdr>
      <w:tabs>
        <w:tab w:val="right" w:pos="9639"/>
      </w:tabs>
      <w:rPr>
        <w:b/>
      </w:rPr>
    </w:pPr>
    <w:r w:rsidRPr="00581136">
      <w:rPr>
        <w:b/>
      </w:rPr>
      <w:t>Released 20</w:t>
    </w:r>
    <w:r w:rsidR="00651CC6">
      <w:rPr>
        <w:b/>
      </w:rPr>
      <w:t>2</w:t>
    </w:r>
    <w:r w:rsidR="006D412A">
      <w:rPr>
        <w:b/>
      </w:rPr>
      <w:t>4</w:t>
    </w:r>
    <w:r w:rsidRPr="00581136">
      <w:rPr>
        <w:b/>
      </w:rPr>
      <w:tab/>
      <w:t>health.govt.nz</w:t>
    </w:r>
  </w:p>
  <w:p w14:paraId="524869F6" w14:textId="77777777" w:rsidR="005A79E5" w:rsidRPr="005A79E5" w:rsidRDefault="005A79E5">
    <w:pPr>
      <w:pStyle w:val="Footer"/>
      <w:rPr>
        <w:sz w:val="2"/>
        <w:szCs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325"/>
      <w:gridCol w:w="709"/>
    </w:tblGrid>
    <w:tr w:rsidR="00D662F8" w14:paraId="47337729" w14:textId="77777777" w:rsidTr="004D38E5">
      <w:trPr>
        <w:cantSplit/>
      </w:trPr>
      <w:tc>
        <w:tcPr>
          <w:tcW w:w="13325" w:type="dxa"/>
          <w:vAlign w:val="center"/>
        </w:tcPr>
        <w:p w14:paraId="1A33CBD1" w14:textId="072042C3" w:rsidR="00D662F8" w:rsidRDefault="006D412A" w:rsidP="00931466">
          <w:pPr>
            <w:pStyle w:val="RectoFooter"/>
          </w:pPr>
          <w:r w:rsidRPr="006D412A">
            <w:t>Addendum to Impact of Puberty Blockers in Gender-Dysphoric Adolescents: An evidence brief</w:t>
          </w:r>
        </w:p>
      </w:tc>
      <w:tc>
        <w:tcPr>
          <w:tcW w:w="709" w:type="dxa"/>
          <w:vAlign w:val="center"/>
        </w:tcPr>
        <w:p w14:paraId="501EC334" w14:textId="77777777" w:rsidR="00D662F8" w:rsidRPr="00931466" w:rsidRDefault="00D662F8"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B26F0F">
            <w:rPr>
              <w:rStyle w:val="PageNumber"/>
              <w:noProof/>
            </w:rPr>
            <w:t>1</w:t>
          </w:r>
          <w:r w:rsidRPr="00931466">
            <w:rPr>
              <w:rStyle w:val="PageNumber"/>
            </w:rPr>
            <w:fldChar w:fldCharType="end"/>
          </w:r>
        </w:p>
      </w:tc>
    </w:tr>
  </w:tbl>
  <w:p w14:paraId="1C6F2E7F" w14:textId="77777777" w:rsidR="00926083" w:rsidRPr="00581EB8" w:rsidRDefault="00926083" w:rsidP="00581EB8">
    <w:pPr>
      <w:pStyle w:val="Footer"/>
      <w:rPr>
        <w:sz w:val="2"/>
        <w:szCs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4D38E5" w14:paraId="26BD5756" w14:textId="77777777" w:rsidTr="00D662F8">
      <w:trPr>
        <w:cantSplit/>
      </w:trPr>
      <w:tc>
        <w:tcPr>
          <w:tcW w:w="8080" w:type="dxa"/>
          <w:vAlign w:val="center"/>
        </w:tcPr>
        <w:p w14:paraId="280C4BAB" w14:textId="77777777" w:rsidR="004D38E5" w:rsidRDefault="004D38E5" w:rsidP="00931466">
          <w:pPr>
            <w:pStyle w:val="RectoFooter"/>
          </w:pPr>
          <w:r w:rsidRPr="006D412A">
            <w:t>Addendum to Impact of Puberty Blockers in Gender-Dysphoric Adolescents: An evidence brief</w:t>
          </w:r>
        </w:p>
      </w:tc>
      <w:tc>
        <w:tcPr>
          <w:tcW w:w="709" w:type="dxa"/>
          <w:vAlign w:val="center"/>
        </w:tcPr>
        <w:p w14:paraId="7ABFAF84" w14:textId="77777777" w:rsidR="004D38E5" w:rsidRPr="00931466" w:rsidRDefault="004D38E5"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w:t>
          </w:r>
          <w:r w:rsidRPr="00931466">
            <w:rPr>
              <w:rStyle w:val="PageNumber"/>
            </w:rPr>
            <w:fldChar w:fldCharType="end"/>
          </w:r>
        </w:p>
      </w:tc>
    </w:tr>
  </w:tbl>
  <w:p w14:paraId="48CC45CC" w14:textId="77777777" w:rsidR="004D38E5" w:rsidRPr="00581EB8" w:rsidRDefault="004D38E5" w:rsidP="00581EB8">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DDA70" w14:textId="77777777" w:rsidR="00926083" w:rsidRDefault="00926083"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B0E96" w14:textId="77777777" w:rsidR="00926083" w:rsidRDefault="0092608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D662F8" w14:paraId="4C3A3BF7" w14:textId="77777777" w:rsidTr="00D662F8">
      <w:trPr>
        <w:cantSplit/>
      </w:trPr>
      <w:tc>
        <w:tcPr>
          <w:tcW w:w="709" w:type="dxa"/>
          <w:vAlign w:val="center"/>
        </w:tcPr>
        <w:p w14:paraId="28F87ED7" w14:textId="77777777" w:rsidR="00D662F8" w:rsidRPr="00931466" w:rsidRDefault="00D662F8"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005BB5">
            <w:rPr>
              <w:rStyle w:val="PageNumber"/>
              <w:noProof/>
            </w:rPr>
            <w:t>vi</w:t>
          </w:r>
          <w:r w:rsidRPr="00931466">
            <w:rPr>
              <w:rStyle w:val="PageNumber"/>
            </w:rPr>
            <w:fldChar w:fldCharType="end"/>
          </w:r>
        </w:p>
      </w:tc>
      <w:tc>
        <w:tcPr>
          <w:tcW w:w="8080" w:type="dxa"/>
          <w:vAlign w:val="center"/>
        </w:tcPr>
        <w:p w14:paraId="6026D159" w14:textId="77777777" w:rsidR="00D662F8" w:rsidRDefault="00D662F8" w:rsidP="00926083">
          <w:pPr>
            <w:pStyle w:val="RectoFooter"/>
            <w:jc w:val="left"/>
          </w:pPr>
          <w:r>
            <w:t>[INSERT TITLE]</w:t>
          </w:r>
        </w:p>
      </w:tc>
    </w:tr>
  </w:tbl>
  <w:p w14:paraId="711B5D80" w14:textId="77777777" w:rsidR="00926083" w:rsidRPr="00571223" w:rsidRDefault="00926083"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D662F8" w14:paraId="58AAB149" w14:textId="77777777" w:rsidTr="00D662F8">
      <w:trPr>
        <w:cantSplit/>
      </w:trPr>
      <w:tc>
        <w:tcPr>
          <w:tcW w:w="8080" w:type="dxa"/>
          <w:vAlign w:val="center"/>
        </w:tcPr>
        <w:p w14:paraId="20E2F0CC" w14:textId="7A052710" w:rsidR="00D662F8" w:rsidRDefault="006D412A" w:rsidP="00926083">
          <w:pPr>
            <w:pStyle w:val="RectoFooter"/>
          </w:pPr>
          <w:r w:rsidRPr="006D412A">
            <w:t xml:space="preserve">Addendum to Impact of Puberty Blockers in Gender-Dysphoric Adolescents: An evidence brief </w:t>
          </w:r>
        </w:p>
      </w:tc>
      <w:tc>
        <w:tcPr>
          <w:tcW w:w="709" w:type="dxa"/>
          <w:vAlign w:val="center"/>
        </w:tcPr>
        <w:p w14:paraId="3D3C9847" w14:textId="77777777" w:rsidR="00D662F8" w:rsidRPr="00931466" w:rsidRDefault="00D662F8"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B26F0F">
            <w:rPr>
              <w:rStyle w:val="PageNumber"/>
              <w:noProof/>
            </w:rPr>
            <w:t>v</w:t>
          </w:r>
          <w:r w:rsidRPr="00931466">
            <w:rPr>
              <w:rStyle w:val="PageNumber"/>
            </w:rPr>
            <w:fldChar w:fldCharType="end"/>
          </w:r>
        </w:p>
      </w:tc>
    </w:tr>
  </w:tbl>
  <w:p w14:paraId="27602107" w14:textId="77777777" w:rsidR="00D05D74" w:rsidRPr="00581EB8" w:rsidRDefault="00D05D74" w:rsidP="00581EB8">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D662F8" w14:paraId="7DB74E0B" w14:textId="77777777" w:rsidTr="00D662F8">
      <w:trPr>
        <w:cantSplit/>
      </w:trPr>
      <w:tc>
        <w:tcPr>
          <w:tcW w:w="709" w:type="dxa"/>
          <w:vAlign w:val="center"/>
        </w:tcPr>
        <w:p w14:paraId="7FB9EB7B" w14:textId="77777777" w:rsidR="00D662F8" w:rsidRPr="00931466" w:rsidRDefault="00D662F8"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B26F0F">
            <w:rPr>
              <w:rStyle w:val="PageNumber"/>
              <w:noProof/>
            </w:rPr>
            <w:t>viii</w:t>
          </w:r>
          <w:r w:rsidRPr="00931466">
            <w:rPr>
              <w:rStyle w:val="PageNumber"/>
            </w:rPr>
            <w:fldChar w:fldCharType="end"/>
          </w:r>
        </w:p>
      </w:tc>
      <w:tc>
        <w:tcPr>
          <w:tcW w:w="8080" w:type="dxa"/>
          <w:vAlign w:val="center"/>
        </w:tcPr>
        <w:p w14:paraId="1A8BBBFB" w14:textId="7B26CF3D" w:rsidR="00D662F8" w:rsidRDefault="006D412A" w:rsidP="00926083">
          <w:pPr>
            <w:pStyle w:val="RectoFooter"/>
            <w:jc w:val="left"/>
          </w:pPr>
          <w:r w:rsidRPr="006D412A">
            <w:t>Addendum to Impact of Puberty Blockers in Gender-Dysphoric Adolescents: An evidence brief</w:t>
          </w:r>
        </w:p>
      </w:tc>
    </w:tr>
  </w:tbl>
  <w:p w14:paraId="7C39EF3C" w14:textId="77777777" w:rsidR="00926083" w:rsidRPr="00571223" w:rsidRDefault="00926083"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D662F8" w14:paraId="423138CB" w14:textId="77777777" w:rsidTr="00D662F8">
      <w:trPr>
        <w:cantSplit/>
      </w:trPr>
      <w:tc>
        <w:tcPr>
          <w:tcW w:w="8080" w:type="dxa"/>
          <w:vAlign w:val="center"/>
        </w:tcPr>
        <w:p w14:paraId="520A68A6" w14:textId="7CE4E035" w:rsidR="00D662F8" w:rsidRDefault="006D412A" w:rsidP="00926083">
          <w:pPr>
            <w:pStyle w:val="RectoFooter"/>
          </w:pPr>
          <w:r w:rsidRPr="006D412A">
            <w:t>Addendum to Impact of Puberty Blockers in Gender-Dysphoric Adolescents: An evidence brief</w:t>
          </w:r>
        </w:p>
      </w:tc>
      <w:tc>
        <w:tcPr>
          <w:tcW w:w="709" w:type="dxa"/>
          <w:vAlign w:val="center"/>
        </w:tcPr>
        <w:p w14:paraId="745D812B" w14:textId="77777777" w:rsidR="00D662F8" w:rsidRPr="00931466" w:rsidRDefault="00D662F8"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B26F0F">
            <w:rPr>
              <w:rStyle w:val="PageNumber"/>
              <w:noProof/>
            </w:rPr>
            <w:t>vii</w:t>
          </w:r>
          <w:r w:rsidRPr="00931466">
            <w:rPr>
              <w:rStyle w:val="PageNumber"/>
            </w:rPr>
            <w:fldChar w:fldCharType="end"/>
          </w:r>
        </w:p>
      </w:tc>
    </w:tr>
  </w:tbl>
  <w:p w14:paraId="755CAC6B" w14:textId="77777777" w:rsidR="00D05D74" w:rsidRPr="00581EB8" w:rsidRDefault="00D05D74" w:rsidP="00581EB8">
    <w:pPr>
      <w:pStyle w:val="Foote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467"/>
      <w:gridCol w:w="709"/>
    </w:tblGrid>
    <w:tr w:rsidR="004D38E5" w14:paraId="0026DDB4" w14:textId="77777777" w:rsidTr="004D38E5">
      <w:trPr>
        <w:cantSplit/>
      </w:trPr>
      <w:tc>
        <w:tcPr>
          <w:tcW w:w="13467" w:type="dxa"/>
          <w:vAlign w:val="center"/>
        </w:tcPr>
        <w:p w14:paraId="558314D7" w14:textId="77777777" w:rsidR="004D38E5" w:rsidRDefault="004D38E5" w:rsidP="00926083">
          <w:pPr>
            <w:pStyle w:val="RectoFooter"/>
          </w:pPr>
          <w:r w:rsidRPr="006D412A">
            <w:t>Addendum to Impact of Puberty Blockers in Gender-Dysphoric Adolescents: An evidence brief</w:t>
          </w:r>
        </w:p>
      </w:tc>
      <w:tc>
        <w:tcPr>
          <w:tcW w:w="709" w:type="dxa"/>
          <w:vAlign w:val="center"/>
        </w:tcPr>
        <w:p w14:paraId="20C351D3" w14:textId="77777777" w:rsidR="004D38E5" w:rsidRPr="00931466" w:rsidRDefault="004D38E5"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vii</w:t>
          </w:r>
          <w:r w:rsidRPr="00931466">
            <w:rPr>
              <w:rStyle w:val="PageNumber"/>
            </w:rPr>
            <w:fldChar w:fldCharType="end"/>
          </w:r>
        </w:p>
      </w:tc>
    </w:tr>
  </w:tbl>
  <w:p w14:paraId="6E13F1E5" w14:textId="77777777" w:rsidR="004D38E5" w:rsidRPr="00581EB8" w:rsidRDefault="004D38E5" w:rsidP="00581EB8">
    <w:pPr>
      <w:pStyle w:val="Footer"/>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4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9072"/>
    </w:tblGrid>
    <w:tr w:rsidR="00D662F8" w14:paraId="7E34FA6B" w14:textId="77777777" w:rsidTr="00D662F8">
      <w:trPr>
        <w:cantSplit/>
      </w:trPr>
      <w:tc>
        <w:tcPr>
          <w:tcW w:w="675" w:type="dxa"/>
          <w:vAlign w:val="center"/>
        </w:tcPr>
        <w:p w14:paraId="6281C317" w14:textId="77777777" w:rsidR="00D662F8" w:rsidRPr="00931466" w:rsidRDefault="00D662F8"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B26F0F">
            <w:rPr>
              <w:rStyle w:val="PageNumber"/>
              <w:noProof/>
            </w:rPr>
            <w:t>2</w:t>
          </w:r>
          <w:r w:rsidRPr="00931466">
            <w:rPr>
              <w:rStyle w:val="PageNumber"/>
            </w:rPr>
            <w:fldChar w:fldCharType="end"/>
          </w:r>
        </w:p>
      </w:tc>
      <w:tc>
        <w:tcPr>
          <w:tcW w:w="9072" w:type="dxa"/>
          <w:vAlign w:val="center"/>
        </w:tcPr>
        <w:p w14:paraId="27262A64" w14:textId="5086F103" w:rsidR="00D662F8" w:rsidRDefault="006D412A" w:rsidP="000D58DD">
          <w:pPr>
            <w:pStyle w:val="RectoFooter"/>
            <w:jc w:val="left"/>
          </w:pPr>
          <w:r w:rsidRPr="006D412A">
            <w:t>Addendum to Impact of Puberty Blockers in Gender-Dysphoric Adolescents: An evidence brief</w:t>
          </w:r>
        </w:p>
      </w:tc>
    </w:tr>
  </w:tbl>
  <w:p w14:paraId="5177CEA2" w14:textId="77777777" w:rsidR="00926083" w:rsidRPr="00571223" w:rsidRDefault="00926083" w:rsidP="00571223">
    <w:pPr>
      <w:pStyle w:val="Verso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C0BA6" w14:textId="77777777" w:rsidR="0098639B" w:rsidRPr="00A26E6B" w:rsidRDefault="0098639B" w:rsidP="00A26E6B"/>
  </w:footnote>
  <w:footnote w:type="continuationSeparator" w:id="0">
    <w:p w14:paraId="050712D3" w14:textId="77777777" w:rsidR="0098639B" w:rsidRDefault="0098639B">
      <w:r>
        <w:continuationSeparator/>
      </w:r>
    </w:p>
  </w:footnote>
  <w:footnote w:type="continuationNotice" w:id="1">
    <w:p w14:paraId="68D83DEB" w14:textId="77777777" w:rsidR="002147A9" w:rsidRPr="002147A9" w:rsidRDefault="002147A9" w:rsidP="002147A9">
      <w:pPr>
        <w:pStyle w:val="Footer"/>
      </w:pPr>
    </w:p>
  </w:footnote>
  <w:footnote w:id="2">
    <w:p w14:paraId="23485C9B" w14:textId="77777777" w:rsidR="006D412A" w:rsidRPr="00142B10" w:rsidRDefault="006D412A" w:rsidP="006D412A">
      <w:pPr>
        <w:pStyle w:val="FootnoteText"/>
        <w:rPr>
          <w:lang w:val="mi-NZ"/>
        </w:rPr>
      </w:pPr>
      <w:r>
        <w:rPr>
          <w:rStyle w:val="FootnoteReference"/>
        </w:rPr>
        <w:footnoteRef/>
      </w:r>
      <w:r>
        <w:t xml:space="preserve"> </w:t>
      </w:r>
      <w:r>
        <w:rPr>
          <w:szCs w:val="16"/>
        </w:rPr>
        <w:t>Ten</w:t>
      </w:r>
      <w:r w:rsidRPr="00142B10">
        <w:rPr>
          <w:szCs w:val="16"/>
        </w:rPr>
        <w:t xml:space="preserve"> were excluded</w:t>
      </w:r>
      <w:r>
        <w:rPr>
          <w:szCs w:val="16"/>
        </w:rPr>
        <w:t xml:space="preserve"> </w:t>
      </w:r>
      <w:r w:rsidRPr="00142B10">
        <w:rPr>
          <w:szCs w:val="16"/>
        </w:rPr>
        <w:t>for the following reasons; not peer reviewed (6) (Conference proceedings (5), Preprint (1)). Review articles with no original research (3), did not provide data on GnRHa (4) and a study protocol (1).</w:t>
      </w:r>
    </w:p>
  </w:footnote>
  <w:footnote w:id="3">
    <w:p w14:paraId="2A155F1B" w14:textId="77777777" w:rsidR="006D412A" w:rsidRPr="00142B10" w:rsidRDefault="006D412A" w:rsidP="006D412A">
      <w:pPr>
        <w:pStyle w:val="FootnoteText"/>
        <w:rPr>
          <w:lang w:val="mi-NZ"/>
        </w:rPr>
      </w:pPr>
      <w:r>
        <w:rPr>
          <w:rStyle w:val="FootnoteReference"/>
        </w:rPr>
        <w:footnoteRef/>
      </w:r>
      <w:r>
        <w:t xml:space="preserve"> </w:t>
      </w:r>
      <w:r w:rsidRPr="00142B10">
        <w:rPr>
          <w:szCs w:val="16"/>
        </w:rPr>
        <w:t>Height, weight, BMI, body fat and lean body mass</w:t>
      </w:r>
      <w:r>
        <w:rPr>
          <w:szCs w:val="16"/>
        </w:rPr>
        <w:t>.</w:t>
      </w:r>
    </w:p>
  </w:footnote>
  <w:footnote w:id="4">
    <w:p w14:paraId="10EE5C83" w14:textId="77777777" w:rsidR="006D412A" w:rsidRPr="001829CC" w:rsidRDefault="006D412A" w:rsidP="006D412A">
      <w:pPr>
        <w:pStyle w:val="FootnoteText"/>
      </w:pPr>
      <w:r>
        <w:rPr>
          <w:rStyle w:val="FootnoteReference"/>
        </w:rPr>
        <w:footnoteRef/>
      </w:r>
      <w:r>
        <w:t xml:space="preserve"> </w:t>
      </w:r>
      <w:r w:rsidRPr="00142B10">
        <w:rPr>
          <w:szCs w:val="16"/>
        </w:rPr>
        <w:t>The quality issues were due to the methodological designs, including small numbers of participants, methods of analysis, use of assessment tools and managing confounding variables</w:t>
      </w:r>
      <w:r w:rsidRPr="00842137">
        <w:t>.</w:t>
      </w:r>
    </w:p>
  </w:footnote>
  <w:footnote w:id="5">
    <w:p w14:paraId="235FCEEE" w14:textId="77777777" w:rsidR="006D412A" w:rsidRPr="009D721C" w:rsidRDefault="006D412A" w:rsidP="006D412A">
      <w:pPr>
        <w:pStyle w:val="FootnoteText"/>
        <w:rPr>
          <w:szCs w:val="16"/>
        </w:rPr>
      </w:pPr>
      <w:r>
        <w:rPr>
          <w:rStyle w:val="FootnoteReference"/>
        </w:rPr>
        <w:footnoteRef/>
      </w:r>
      <w:r>
        <w:t xml:space="preserve"> </w:t>
      </w:r>
      <w:r w:rsidRPr="00B8726A">
        <w:t>Three of these ten studies were included in our systematic reviews. The other seven were excluded mainly because they did not meet the criteria of being a targeted intervention designed for adolescents experiencing gender dysphoria.</w:t>
      </w:r>
      <w:r w:rsidRPr="009D721C">
        <w:rPr>
          <w:szCs w:val="16"/>
        </w:rPr>
        <w:t xml:space="preserve"> </w:t>
      </w:r>
    </w:p>
  </w:footnote>
  <w:footnote w:id="6">
    <w:p w14:paraId="2D9242EC" w14:textId="77777777" w:rsidR="006D412A" w:rsidRPr="00305AC8" w:rsidRDefault="006D412A" w:rsidP="006D412A">
      <w:pPr>
        <w:pStyle w:val="FootnoteText"/>
        <w:rPr>
          <w:szCs w:val="16"/>
        </w:rPr>
      </w:pPr>
      <w:r>
        <w:rPr>
          <w:rStyle w:val="FootnoteReference"/>
        </w:rPr>
        <w:footnoteRef/>
      </w:r>
      <w:r>
        <w:t xml:space="preserve"> </w:t>
      </w:r>
      <w:r w:rsidRPr="00305AC8">
        <w:rPr>
          <w:szCs w:val="16"/>
        </w:rPr>
        <w:t xml:space="preserve">The findings in Carmichael et al (2021) have recently been re-analysed in McPherson </w:t>
      </w:r>
      <w:r>
        <w:rPr>
          <w:szCs w:val="16"/>
        </w:rPr>
        <w:t>and</w:t>
      </w:r>
      <w:r w:rsidRPr="00305AC8">
        <w:rPr>
          <w:szCs w:val="16"/>
        </w:rPr>
        <w:t xml:space="preserve"> Freedman (2024)</w:t>
      </w:r>
      <w:r>
        <w:rPr>
          <w:szCs w:val="16"/>
        </w:rPr>
        <w:t>. For</w:t>
      </w:r>
      <w:r w:rsidRPr="00305AC8">
        <w:rPr>
          <w:szCs w:val="16"/>
        </w:rPr>
        <w:t xml:space="preserve"> </w:t>
      </w:r>
      <w:r>
        <w:rPr>
          <w:szCs w:val="16"/>
        </w:rPr>
        <w:t>these updated findings, see</w:t>
      </w:r>
      <w:r w:rsidRPr="00305AC8">
        <w:rPr>
          <w:szCs w:val="16"/>
        </w:rPr>
        <w:t xml:space="preserve"> the </w:t>
      </w:r>
      <w:r w:rsidRPr="003743BB">
        <w:rPr>
          <w:szCs w:val="16"/>
        </w:rPr>
        <w:t>systematic reviews section</w:t>
      </w:r>
      <w:r w:rsidRPr="00305AC8">
        <w:rPr>
          <w:szCs w:val="16"/>
        </w:rPr>
        <w:t xml:space="preserve"> of this addendum</w:t>
      </w:r>
      <w:r>
        <w:rPr>
          <w:szCs w:val="16"/>
        </w:rPr>
        <w:t>.</w:t>
      </w:r>
    </w:p>
  </w:footnote>
  <w:footnote w:id="7">
    <w:p w14:paraId="6D7A8401" w14:textId="77777777" w:rsidR="006D412A" w:rsidRPr="00021A32" w:rsidRDefault="006D412A" w:rsidP="006D412A">
      <w:pPr>
        <w:pStyle w:val="FootnoteText"/>
        <w:rPr>
          <w:szCs w:val="16"/>
          <w:lang w:val="mi-NZ"/>
        </w:rPr>
      </w:pPr>
      <w:r>
        <w:rPr>
          <w:rStyle w:val="FootnoteReference"/>
        </w:rPr>
        <w:footnoteRef/>
      </w:r>
      <w:r>
        <w:t xml:space="preserve"> </w:t>
      </w:r>
      <w:r w:rsidRPr="00021A32">
        <w:rPr>
          <w:szCs w:val="16"/>
          <w:lang w:val="mi-NZ"/>
        </w:rPr>
        <w:t xml:space="preserve">The </w:t>
      </w:r>
      <w:r>
        <w:rPr>
          <w:szCs w:val="16"/>
          <w:lang w:val="mi-NZ"/>
        </w:rPr>
        <w:t>e</w:t>
      </w:r>
      <w:r w:rsidRPr="00021A32">
        <w:rPr>
          <w:szCs w:val="16"/>
          <w:lang w:val="mi-NZ"/>
        </w:rPr>
        <w:t xml:space="preserve">vidence </w:t>
      </w:r>
      <w:r>
        <w:rPr>
          <w:szCs w:val="16"/>
          <w:lang w:val="mi-NZ"/>
        </w:rPr>
        <w:t>b</w:t>
      </w:r>
      <w:r w:rsidRPr="00021A32">
        <w:rPr>
          <w:szCs w:val="16"/>
          <w:lang w:val="mi-NZ"/>
        </w:rPr>
        <w:t>rief</w:t>
      </w:r>
      <w:r>
        <w:rPr>
          <w:szCs w:val="16"/>
          <w:lang w:val="mi-NZ"/>
        </w:rPr>
        <w:t xml:space="preserve"> covered the</w:t>
      </w:r>
      <w:r w:rsidRPr="00021A32">
        <w:rPr>
          <w:szCs w:val="16"/>
          <w:lang w:val="mi-NZ"/>
        </w:rPr>
        <w:t xml:space="preserve"> </w:t>
      </w:r>
      <w:r>
        <w:rPr>
          <w:szCs w:val="16"/>
          <w:lang w:val="mi-NZ"/>
        </w:rPr>
        <w:t>i</w:t>
      </w:r>
      <w:r w:rsidRPr="00021A32">
        <w:rPr>
          <w:szCs w:val="16"/>
          <w:lang w:val="mi-NZ"/>
        </w:rPr>
        <w:t xml:space="preserve">nterim </w:t>
      </w:r>
      <w:r>
        <w:rPr>
          <w:szCs w:val="16"/>
          <w:lang w:val="mi-NZ"/>
        </w:rPr>
        <w:t>r</w:t>
      </w:r>
      <w:r w:rsidRPr="00021A32">
        <w:rPr>
          <w:szCs w:val="16"/>
          <w:lang w:val="mi-NZ"/>
        </w:rPr>
        <w:t>eport (</w:t>
      </w:r>
      <w:r>
        <w:rPr>
          <w:szCs w:val="16"/>
          <w:lang w:val="mi-NZ"/>
        </w:rPr>
        <w:t xml:space="preserve">Cass </w:t>
      </w:r>
      <w:r w:rsidRPr="00021A32">
        <w:rPr>
          <w:szCs w:val="16"/>
          <w:lang w:val="mi-NZ"/>
        </w:rPr>
        <w:t>2022)</w:t>
      </w:r>
      <w:r>
        <w:rPr>
          <w:szCs w:val="16"/>
          <w:lang w:val="mi-NZ"/>
        </w:rPr>
        <w:t>.</w:t>
      </w:r>
    </w:p>
  </w:footnote>
  <w:footnote w:id="8">
    <w:p w14:paraId="0A9B4616" w14:textId="77777777" w:rsidR="006D412A" w:rsidRPr="00A0399D" w:rsidRDefault="006D412A" w:rsidP="006D412A">
      <w:pPr>
        <w:pStyle w:val="FootnoteText"/>
        <w:rPr>
          <w:szCs w:val="16"/>
          <w:lang w:val="mi-NZ"/>
        </w:rPr>
      </w:pPr>
      <w:r w:rsidRPr="00A0399D">
        <w:rPr>
          <w:rStyle w:val="FootnoteReference"/>
          <w:szCs w:val="16"/>
        </w:rPr>
        <w:footnoteRef/>
      </w:r>
      <w:r w:rsidRPr="00A0399D">
        <w:rPr>
          <w:szCs w:val="16"/>
        </w:rPr>
        <w:t xml:space="preserve"> </w:t>
      </w:r>
      <w:r>
        <w:rPr>
          <w:szCs w:val="16"/>
          <w:lang w:val="mi-NZ"/>
        </w:rPr>
        <w:t>For the full t</w:t>
      </w:r>
      <w:r w:rsidRPr="00A0399D">
        <w:rPr>
          <w:szCs w:val="16"/>
          <w:lang w:val="mi-NZ"/>
        </w:rPr>
        <w:t xml:space="preserve">erms of </w:t>
      </w:r>
      <w:r>
        <w:rPr>
          <w:szCs w:val="16"/>
          <w:lang w:val="mi-NZ"/>
        </w:rPr>
        <w:t>r</w:t>
      </w:r>
      <w:r w:rsidRPr="00A0399D">
        <w:rPr>
          <w:szCs w:val="16"/>
          <w:lang w:val="mi-NZ"/>
        </w:rPr>
        <w:t>eference</w:t>
      </w:r>
      <w:r>
        <w:rPr>
          <w:szCs w:val="16"/>
          <w:lang w:val="mi-NZ"/>
        </w:rPr>
        <w:t>, go to:</w:t>
      </w:r>
      <w:r w:rsidRPr="00A0399D">
        <w:rPr>
          <w:szCs w:val="16"/>
          <w:lang w:val="mi-NZ"/>
        </w:rPr>
        <w:t xml:space="preserve"> </w:t>
      </w:r>
      <w:hyperlink r:id="rId1" w:history="1">
        <w:r w:rsidRPr="00A0399D">
          <w:rPr>
            <w:rStyle w:val="Hyperlink"/>
            <w:szCs w:val="16"/>
            <w:lang w:val="mi-NZ"/>
          </w:rPr>
          <w:t>cass.independent-review.uk/about-the-review/terms-of-reference/</w:t>
        </w:r>
      </w:hyperlink>
      <w:r>
        <w:rPr>
          <w:szCs w:val="16"/>
          <w:lang w:val="mi-NZ"/>
        </w:rPr>
        <w:t>.</w:t>
      </w:r>
    </w:p>
  </w:footnote>
  <w:footnote w:id="9">
    <w:p w14:paraId="01DC5FFC" w14:textId="77777777" w:rsidR="006D412A" w:rsidRPr="00997469" w:rsidRDefault="006D412A" w:rsidP="006D412A">
      <w:pPr>
        <w:pStyle w:val="FootnoteText"/>
        <w:rPr>
          <w:szCs w:val="16"/>
          <w:lang w:val="mi-NZ"/>
        </w:rPr>
      </w:pPr>
      <w:r>
        <w:rPr>
          <w:rStyle w:val="FootnoteReference"/>
        </w:rPr>
        <w:footnoteRef/>
      </w:r>
      <w:r>
        <w:t xml:space="preserve"> </w:t>
      </w:r>
      <w:r w:rsidRPr="00997469">
        <w:rPr>
          <w:szCs w:val="16"/>
        </w:rPr>
        <w:t>The quantitative analyses</w:t>
      </w:r>
      <w:r>
        <w:rPr>
          <w:szCs w:val="16"/>
        </w:rPr>
        <w:t xml:space="preserve"> in the review</w:t>
      </w:r>
      <w:r w:rsidRPr="00997469">
        <w:rPr>
          <w:szCs w:val="16"/>
        </w:rPr>
        <w:t xml:space="preserve"> were not completed due to a variety of system-wide issues with data collection and data privacy. Recommendation</w:t>
      </w:r>
      <w:r>
        <w:rPr>
          <w:szCs w:val="16"/>
        </w:rPr>
        <w:t>s</w:t>
      </w:r>
      <w:r w:rsidRPr="00997469">
        <w:rPr>
          <w:szCs w:val="16"/>
        </w:rPr>
        <w:t xml:space="preserve"> 17 and 18 and the service improvement section address these data system issues</w:t>
      </w:r>
      <w:r>
        <w:rPr>
          <w:szCs w:val="16"/>
        </w:rPr>
        <w:t>.</w:t>
      </w:r>
    </w:p>
  </w:footnote>
  <w:footnote w:id="10">
    <w:p w14:paraId="7E5AFD8A" w14:textId="77777777" w:rsidR="006D412A" w:rsidRPr="00FE1543" w:rsidRDefault="006D412A" w:rsidP="006D412A">
      <w:pPr>
        <w:pStyle w:val="FootnoteText"/>
        <w:rPr>
          <w:lang w:val="mi-NZ"/>
        </w:rPr>
      </w:pPr>
      <w:r>
        <w:rPr>
          <w:rStyle w:val="FootnoteReference"/>
        </w:rPr>
        <w:footnoteRef/>
      </w:r>
      <w:r>
        <w:t xml:space="preserve"> </w:t>
      </w:r>
      <w:r w:rsidRPr="001157A0">
        <w:rPr>
          <w:szCs w:val="16"/>
        </w:rPr>
        <w:t>The systematic reviews include all the clinical outcomes referred to in the Cass Re</w:t>
      </w:r>
      <w:r w:rsidRPr="00FE1543">
        <w:rPr>
          <w:szCs w:val="16"/>
        </w:rPr>
        <w:t>view</w:t>
      </w:r>
      <w:r w:rsidRPr="001157A0">
        <w:rPr>
          <w:szCs w:val="16"/>
        </w:rPr>
        <w:t xml:space="preserve">. These have been updated to include </w:t>
      </w:r>
      <w:r w:rsidRPr="00FE1543">
        <w:rPr>
          <w:szCs w:val="16"/>
        </w:rPr>
        <w:t>e</w:t>
      </w:r>
      <w:r w:rsidRPr="001157A0">
        <w:rPr>
          <w:szCs w:val="16"/>
        </w:rPr>
        <w:t>vidence up to 22 May 2024</w:t>
      </w:r>
      <w:r w:rsidRPr="00FE1543">
        <w:rPr>
          <w:szCs w:val="16"/>
        </w:rPr>
        <w:t xml:space="preserve"> (in this addendum).</w:t>
      </w:r>
      <w:r>
        <w:rPr>
          <w:szCs w:val="16"/>
        </w:rPr>
        <w:t xml:space="preserve"> </w:t>
      </w:r>
      <w:r w:rsidRPr="00FE1543">
        <w:rPr>
          <w:szCs w:val="16"/>
        </w:rPr>
        <w:t xml:space="preserve">All </w:t>
      </w:r>
      <w:r>
        <w:rPr>
          <w:szCs w:val="16"/>
        </w:rPr>
        <w:t>studies</w:t>
      </w:r>
      <w:r w:rsidRPr="00EF2453">
        <w:rPr>
          <w:szCs w:val="16"/>
        </w:rPr>
        <w:t xml:space="preserve"> </w:t>
      </w:r>
      <w:r>
        <w:rPr>
          <w:szCs w:val="16"/>
        </w:rPr>
        <w:t>included</w:t>
      </w:r>
      <w:r w:rsidRPr="00FE1543">
        <w:rPr>
          <w:szCs w:val="16"/>
        </w:rPr>
        <w:t xml:space="preserve"> in </w:t>
      </w:r>
      <w:r>
        <w:rPr>
          <w:szCs w:val="16"/>
        </w:rPr>
        <w:t xml:space="preserve">the </w:t>
      </w:r>
      <w:r w:rsidRPr="00FE1543">
        <w:rPr>
          <w:szCs w:val="16"/>
        </w:rPr>
        <w:t>systematic reviews</w:t>
      </w:r>
      <w:r>
        <w:rPr>
          <w:szCs w:val="16"/>
        </w:rPr>
        <w:t xml:space="preserve"> that </w:t>
      </w:r>
      <w:r w:rsidRPr="00FE1543">
        <w:rPr>
          <w:szCs w:val="16"/>
        </w:rPr>
        <w:t>the Cass Review commissioned were reviewed and included in th</w:t>
      </w:r>
      <w:r>
        <w:rPr>
          <w:szCs w:val="16"/>
        </w:rPr>
        <w:t>is update</w:t>
      </w:r>
      <w:r w:rsidRPr="00FE1543">
        <w:rPr>
          <w:szCs w:val="16"/>
        </w:rPr>
        <w:t xml:space="preserve"> if </w:t>
      </w:r>
      <w:r>
        <w:rPr>
          <w:szCs w:val="16"/>
        </w:rPr>
        <w:t>appropriate</w:t>
      </w:r>
      <w:r w:rsidRPr="00FE1543">
        <w:rPr>
          <w:szCs w:val="16"/>
        </w:rPr>
        <w:t>.</w:t>
      </w:r>
    </w:p>
  </w:footnote>
  <w:footnote w:id="11">
    <w:p w14:paraId="2CA32C5D" w14:textId="0F1DB9FB" w:rsidR="00A152C2" w:rsidRPr="00A152C2" w:rsidRDefault="00A152C2">
      <w:pPr>
        <w:pStyle w:val="FootnoteText"/>
        <w:rPr>
          <w:lang w:val="en-US"/>
        </w:rPr>
      </w:pPr>
      <w:r>
        <w:rPr>
          <w:rStyle w:val="FootnoteReference"/>
        </w:rPr>
        <w:footnoteRef/>
      </w:r>
      <w:r>
        <w:t xml:space="preserve"> </w:t>
      </w:r>
      <w:r w:rsidRPr="00A152C2">
        <w:t xml:space="preserve">Taylor J, Hall R, Heathcote C, et al. 2024. Clinical guidelines for children and adolescents experiencing gender dysphoria or incongruence: a systematic review of guideline quality (part 1). </w:t>
      </w:r>
      <w:r w:rsidRPr="00C41AFC">
        <w:rPr>
          <w:i/>
          <w:iCs/>
        </w:rPr>
        <w:t>Archives of Disease in Childhood</w:t>
      </w:r>
      <w:r w:rsidRPr="00A152C2">
        <w:t>. DOI: 10.1136/archdischild-2023-326499.</w:t>
      </w:r>
    </w:p>
  </w:footnote>
  <w:footnote w:id="12">
    <w:p w14:paraId="0AB5DCC0" w14:textId="6F21CD70" w:rsidR="00A152C2" w:rsidRPr="00A152C2" w:rsidRDefault="00A152C2">
      <w:pPr>
        <w:pStyle w:val="FootnoteText"/>
        <w:rPr>
          <w:lang w:val="en-US"/>
        </w:rPr>
      </w:pPr>
      <w:r>
        <w:rPr>
          <w:rStyle w:val="FootnoteReference"/>
        </w:rPr>
        <w:footnoteRef/>
      </w:r>
      <w:r>
        <w:t xml:space="preserve"> </w:t>
      </w:r>
      <w:r w:rsidRPr="00A152C2">
        <w:t xml:space="preserve">Taylor J, Hall R, Heathcote C, et al. 2024. Clinical guidelines for children and adolescents experiencing gender dysphoria or incongruence: a systematic review of recommendations (part 2). </w:t>
      </w:r>
      <w:r w:rsidRPr="00C41AFC">
        <w:rPr>
          <w:i/>
          <w:iCs/>
        </w:rPr>
        <w:t>Archives of Disease in Childhood</w:t>
      </w:r>
      <w:r w:rsidRPr="00A152C2">
        <w:t>. DOI: 10.1136/archdischild-2023-326500.</w:t>
      </w:r>
    </w:p>
  </w:footnote>
  <w:footnote w:id="13">
    <w:p w14:paraId="2F3FED5C" w14:textId="1D536463" w:rsidR="00C41AFC" w:rsidRPr="00C41AFC" w:rsidRDefault="00C41AFC">
      <w:pPr>
        <w:pStyle w:val="FootnoteText"/>
        <w:rPr>
          <w:lang w:val="en-US"/>
        </w:rPr>
      </w:pPr>
      <w:r>
        <w:rPr>
          <w:rStyle w:val="FootnoteReference"/>
        </w:rPr>
        <w:footnoteRef/>
      </w:r>
      <w:r>
        <w:t xml:space="preserve"> </w:t>
      </w:r>
      <w:r w:rsidRPr="00C41AFC">
        <w:t xml:space="preserve">As appraised by the Appraisal of Guidelines for Research and Evaluation II (Agree II) Instrument: Agree Next Steps Consortium. 2017. </w:t>
      </w:r>
      <w:r w:rsidRPr="00C41AFC">
        <w:rPr>
          <w:i/>
          <w:iCs/>
        </w:rPr>
        <w:t>The Agree II Instrument</w:t>
      </w:r>
      <w:r w:rsidRPr="00C41AFC">
        <w:t xml:space="preserve">. URL: </w:t>
      </w:r>
      <w:hyperlink r:id="rId2" w:history="1">
        <w:r w:rsidRPr="00C41AFC">
          <w:rPr>
            <w:rStyle w:val="Hyperlink"/>
          </w:rPr>
          <w:t>agreetrust.org/wp-content/uploads/2017/12/AGREE-II-Users-Manual-and-23-item-Instrument-2009-Update-2017.pdf</w:t>
        </w:r>
      </w:hyperlink>
      <w:r w:rsidRPr="00C41AFC">
        <w:t xml:space="preserve"> (accessed 11 June 2024).</w:t>
      </w:r>
    </w:p>
  </w:footnote>
  <w:footnote w:id="14">
    <w:p w14:paraId="27922786" w14:textId="6E2F903B" w:rsidR="00C41AFC" w:rsidRPr="00C41AFC" w:rsidRDefault="00C41AFC">
      <w:pPr>
        <w:pStyle w:val="FootnoteText"/>
        <w:rPr>
          <w:lang w:val="en-US"/>
        </w:rPr>
      </w:pPr>
      <w:r>
        <w:rPr>
          <w:rStyle w:val="FootnoteReference"/>
        </w:rPr>
        <w:footnoteRef/>
      </w:r>
      <w:r>
        <w:t xml:space="preserve"> </w:t>
      </w:r>
      <w:r w:rsidRPr="00C41AFC">
        <w:t xml:space="preserve">Recommendation of the Council for Choices in Health Care in Finland (PALKO / COHERE Finland). 2020. </w:t>
      </w:r>
      <w:r w:rsidRPr="00C41AFC">
        <w:rPr>
          <w:i/>
          <w:iCs/>
        </w:rPr>
        <w:t>Medical Treatment Methods for Dysphoria Related to Gender Variance in Minors</w:t>
      </w:r>
      <w:r w:rsidRPr="00C41AFC">
        <w:t xml:space="preserve">. URL: </w:t>
      </w:r>
      <w:hyperlink r:id="rId3" w:history="1">
        <w:r w:rsidRPr="00C41AFC">
          <w:rPr>
            <w:rStyle w:val="Hyperlink"/>
          </w:rPr>
          <w:t>segm.org/sites/default/files/Finnish_Guidelines_2020_Minors_Unofficial%20Translation.pdf</w:t>
        </w:r>
      </w:hyperlink>
      <w:r w:rsidRPr="00C41AFC">
        <w:t xml:space="preserve"> (accessed 11 June 2024).</w:t>
      </w:r>
    </w:p>
  </w:footnote>
  <w:footnote w:id="15">
    <w:p w14:paraId="022978B1" w14:textId="49FA56FB" w:rsidR="00C41AFC" w:rsidRPr="00C41AFC" w:rsidRDefault="00C41AFC">
      <w:pPr>
        <w:pStyle w:val="FootnoteText"/>
        <w:rPr>
          <w:lang w:val="en-US"/>
        </w:rPr>
      </w:pPr>
      <w:r>
        <w:rPr>
          <w:rStyle w:val="FootnoteReference"/>
        </w:rPr>
        <w:footnoteRef/>
      </w:r>
      <w:r>
        <w:t xml:space="preserve"> </w:t>
      </w:r>
      <w:r w:rsidRPr="00C41AFC">
        <w:t xml:space="preserve">Socialstyrelsen: The National Board for Health and Welfare. 2022. Care of children and adolescents with gender dysphoria. URL: </w:t>
      </w:r>
      <w:hyperlink r:id="rId4" w:history="1">
        <w:r w:rsidRPr="00C41AFC">
          <w:rPr>
            <w:rStyle w:val="Hyperlink"/>
          </w:rPr>
          <w:t>socialstyrelsen.se/om-socialstyrelsen/pressrum/press/uppdaterade-rekommendationer-for-hormonbehandling-vid-konsdysfori-hos-unga/</w:t>
        </w:r>
      </w:hyperlink>
      <w:r w:rsidRPr="00C41AFC">
        <w:t xml:space="preserve"> (accessed 11 June 2024).</w:t>
      </w:r>
    </w:p>
  </w:footnote>
  <w:footnote w:id="16">
    <w:p w14:paraId="48F0CD67" w14:textId="5A6C6476" w:rsidR="007E70DA" w:rsidRPr="007E70DA" w:rsidRDefault="007E70DA">
      <w:pPr>
        <w:pStyle w:val="FootnoteText"/>
        <w:rPr>
          <w:lang w:val="en-US"/>
        </w:rPr>
      </w:pPr>
      <w:r>
        <w:rPr>
          <w:rStyle w:val="FootnoteReference"/>
        </w:rPr>
        <w:footnoteRef/>
      </w:r>
      <w:r>
        <w:t xml:space="preserve"> </w:t>
      </w:r>
      <w:r w:rsidRPr="007E70DA">
        <w:t xml:space="preserve">Oliphant J, Veale J, Macdonald J, et al. 2018. </w:t>
      </w:r>
      <w:r w:rsidRPr="007E70DA">
        <w:rPr>
          <w:i/>
          <w:iCs/>
        </w:rPr>
        <w:t>Guidelines for Gender Affirming Healthcare for Gender Diverse and Transgender Children, Young People and Adults in Aotearoa, New Zealand</w:t>
      </w:r>
      <w:r w:rsidRPr="007E70DA">
        <w:t xml:space="preserve">. URL: </w:t>
      </w:r>
      <w:hyperlink r:id="rId5" w:history="1">
        <w:r w:rsidRPr="007E70DA">
          <w:rPr>
            <w:rStyle w:val="Hyperlink"/>
          </w:rPr>
          <w:t>patha.nz/resources/Documents/Guidelines%20for%20Gender%20Affirming%20Health%20low%20res.pdf</w:t>
        </w:r>
      </w:hyperlink>
      <w:r w:rsidRPr="007E70DA">
        <w:t xml:space="preserve"> (accessed 11 June 2024).</w:t>
      </w:r>
    </w:p>
  </w:footnote>
  <w:footnote w:id="17">
    <w:p w14:paraId="020E2E27" w14:textId="77777777" w:rsidR="00C41AFC" w:rsidRPr="001469C4" w:rsidRDefault="00C41AFC" w:rsidP="00C41AFC">
      <w:pPr>
        <w:pStyle w:val="FootnoteText"/>
        <w:rPr>
          <w:szCs w:val="16"/>
          <w:lang w:val="mi-NZ"/>
        </w:rPr>
      </w:pPr>
      <w:r w:rsidRPr="001469C4">
        <w:rPr>
          <w:rStyle w:val="FootnoteReference"/>
          <w:szCs w:val="16"/>
        </w:rPr>
        <w:footnoteRef/>
      </w:r>
      <w:r w:rsidRPr="001469C4">
        <w:rPr>
          <w:szCs w:val="16"/>
        </w:rPr>
        <w:t xml:space="preserve"> </w:t>
      </w:r>
      <w:r w:rsidRPr="001469C4">
        <w:rPr>
          <w:szCs w:val="16"/>
          <w:lang w:val="mi-NZ"/>
        </w:rPr>
        <w:t>Endocrine Society</w:t>
      </w:r>
      <w:r>
        <w:rPr>
          <w:szCs w:val="16"/>
          <w:lang w:val="mi-NZ"/>
        </w:rPr>
        <w:t>.</w:t>
      </w:r>
      <w:r w:rsidRPr="001469C4">
        <w:rPr>
          <w:szCs w:val="16"/>
          <w:lang w:val="mi-NZ"/>
        </w:rPr>
        <w:t xml:space="preserve"> 2017. </w:t>
      </w:r>
      <w:r w:rsidRPr="00DD23A2">
        <w:rPr>
          <w:i/>
          <w:iCs/>
          <w:szCs w:val="16"/>
          <w:lang w:val="mi-NZ"/>
        </w:rPr>
        <w:t>Endocrine Treatment of Gender-Dysphoric/Gender-Incongruent Persons: An Endocrine Society Clinical Practice Guideline</w:t>
      </w:r>
      <w:r w:rsidRPr="001469C4">
        <w:rPr>
          <w:szCs w:val="16"/>
          <w:lang w:val="mi-NZ"/>
        </w:rPr>
        <w:t>.</w:t>
      </w:r>
      <w:r>
        <w:rPr>
          <w:szCs w:val="16"/>
          <w:lang w:val="mi-NZ"/>
        </w:rPr>
        <w:t xml:space="preserve"> URL:</w:t>
      </w:r>
      <w:r w:rsidRPr="001469C4">
        <w:rPr>
          <w:szCs w:val="16"/>
          <w:lang w:val="mi-NZ"/>
        </w:rPr>
        <w:t xml:space="preserve"> </w:t>
      </w:r>
      <w:hyperlink r:id="rId6" w:history="1">
        <w:r w:rsidRPr="001469C4">
          <w:rPr>
            <w:rStyle w:val="Hyperlink"/>
            <w:szCs w:val="16"/>
            <w:lang w:val="mi-NZ"/>
          </w:rPr>
          <w:t>endocrine.org/clinical-practice-guidelines/gender-dysphoria-gender-incongruence</w:t>
        </w:r>
      </w:hyperlink>
      <w:r w:rsidRPr="001469C4">
        <w:rPr>
          <w:szCs w:val="16"/>
          <w:lang w:val="mi-NZ"/>
        </w:rPr>
        <w:t xml:space="preserve"> </w:t>
      </w:r>
      <w:r>
        <w:rPr>
          <w:szCs w:val="16"/>
        </w:rPr>
        <w:t>(accessed 11 June 2024).</w:t>
      </w:r>
    </w:p>
  </w:footnote>
  <w:footnote w:id="18">
    <w:p w14:paraId="750D472F" w14:textId="77777777" w:rsidR="00C41AFC" w:rsidRPr="00C720BC" w:rsidRDefault="00C41AFC" w:rsidP="00C41AFC">
      <w:pPr>
        <w:pStyle w:val="FootnoteText"/>
        <w:rPr>
          <w:lang w:val="mi-NZ"/>
        </w:rPr>
      </w:pPr>
      <w:r w:rsidRPr="001469C4">
        <w:rPr>
          <w:rStyle w:val="FootnoteReference"/>
          <w:szCs w:val="16"/>
        </w:rPr>
        <w:footnoteRef/>
      </w:r>
      <w:r w:rsidRPr="001469C4">
        <w:rPr>
          <w:szCs w:val="16"/>
        </w:rPr>
        <w:t xml:space="preserve"> Coleman E, Radix AE, Bouman WP, </w:t>
      </w:r>
      <w:r>
        <w:rPr>
          <w:szCs w:val="16"/>
        </w:rPr>
        <w:t>et al</w:t>
      </w:r>
      <w:r w:rsidRPr="001469C4">
        <w:rPr>
          <w:szCs w:val="16"/>
        </w:rPr>
        <w:t xml:space="preserve">. 2022. Standards of Care for the Health of Transgender and Gender Diverse People, Version 8. </w:t>
      </w:r>
      <w:r w:rsidRPr="001469C4">
        <w:rPr>
          <w:i/>
          <w:iCs/>
          <w:szCs w:val="16"/>
        </w:rPr>
        <w:t xml:space="preserve">International Journal of Transgender Health </w:t>
      </w:r>
      <w:r w:rsidRPr="00DD23A2">
        <w:rPr>
          <w:szCs w:val="16"/>
        </w:rPr>
        <w:t>23</w:t>
      </w:r>
      <w:r w:rsidRPr="001469C4">
        <w:rPr>
          <w:szCs w:val="16"/>
        </w:rPr>
        <w:t>(sup1)</w:t>
      </w:r>
      <w:r>
        <w:rPr>
          <w:szCs w:val="16"/>
        </w:rPr>
        <w:t>:</w:t>
      </w:r>
      <w:r w:rsidRPr="001469C4">
        <w:rPr>
          <w:szCs w:val="16"/>
        </w:rPr>
        <w:t xml:space="preserve"> S1</w:t>
      </w:r>
      <w:r>
        <w:rPr>
          <w:szCs w:val="16"/>
        </w:rPr>
        <w:t>–</w:t>
      </w:r>
      <w:r w:rsidRPr="001469C4">
        <w:rPr>
          <w:szCs w:val="16"/>
        </w:rPr>
        <w:t xml:space="preserve">S259. </w:t>
      </w:r>
      <w:r>
        <w:rPr>
          <w:szCs w:val="16"/>
        </w:rPr>
        <w:t xml:space="preserve">DOI: </w:t>
      </w:r>
      <w:r w:rsidRPr="00DD23A2">
        <w:t>10.1080/26895269.2022.2100644</w:t>
      </w:r>
      <w:r>
        <w:rPr>
          <w:szCs w:val="16"/>
        </w:rPr>
        <w:t>.</w:t>
      </w:r>
      <w:r w:rsidRPr="001469C4">
        <w:rPr>
          <w:szCs w:val="16"/>
        </w:rPr>
        <w:t xml:space="preserve"> </w:t>
      </w:r>
    </w:p>
  </w:footnote>
  <w:footnote w:id="19">
    <w:p w14:paraId="7AC9085F" w14:textId="77777777" w:rsidR="00A152C2" w:rsidRPr="00DF172E" w:rsidRDefault="00A152C2" w:rsidP="00A152C2">
      <w:pPr>
        <w:pStyle w:val="FootnoteText"/>
        <w:rPr>
          <w:szCs w:val="16"/>
        </w:rPr>
      </w:pPr>
      <w:r w:rsidRPr="00DF172E">
        <w:rPr>
          <w:rStyle w:val="FootnoteReference"/>
          <w:szCs w:val="16"/>
        </w:rPr>
        <w:footnoteRef/>
      </w:r>
      <w:r w:rsidRPr="00DF172E">
        <w:rPr>
          <w:szCs w:val="16"/>
        </w:rPr>
        <w:t xml:space="preserve"> </w:t>
      </w:r>
      <w:r>
        <w:rPr>
          <w:szCs w:val="16"/>
        </w:rPr>
        <w:t xml:space="preserve">Transgender and gender diversity. URL: </w:t>
      </w:r>
      <w:hyperlink r:id="rId7" w:history="1">
        <w:r w:rsidRPr="00F747A6">
          <w:rPr>
            <w:rStyle w:val="Hyperlink"/>
            <w:szCs w:val="16"/>
          </w:rPr>
          <w:t>https://info.health.nz/keeping-healthy/transgender-gender-diversity/</w:t>
        </w:r>
      </w:hyperlink>
      <w:r>
        <w:rPr>
          <w:szCs w:val="16"/>
        </w:rPr>
        <w:t xml:space="preserve"> (accessed 11 June 2024).</w:t>
      </w:r>
    </w:p>
  </w:footnote>
  <w:footnote w:id="20">
    <w:p w14:paraId="0D531342" w14:textId="77777777" w:rsidR="00A152C2" w:rsidRPr="00DF172E" w:rsidRDefault="00A152C2" w:rsidP="00A152C2">
      <w:pPr>
        <w:pStyle w:val="FootnoteText"/>
        <w:rPr>
          <w:szCs w:val="16"/>
        </w:rPr>
      </w:pPr>
      <w:r w:rsidRPr="00DF172E">
        <w:rPr>
          <w:rStyle w:val="FootnoteReference"/>
          <w:szCs w:val="16"/>
        </w:rPr>
        <w:footnoteRef/>
      </w:r>
      <w:r>
        <w:rPr>
          <w:szCs w:val="16"/>
        </w:rPr>
        <w:t xml:space="preserve"> ‘</w:t>
      </w:r>
      <w:r w:rsidRPr="00DF172E">
        <w:rPr>
          <w:szCs w:val="16"/>
        </w:rPr>
        <w:t>Off-label</w:t>
      </w:r>
      <w:r>
        <w:rPr>
          <w:szCs w:val="16"/>
        </w:rPr>
        <w:t>’</w:t>
      </w:r>
      <w:r w:rsidRPr="00DF172E">
        <w:rPr>
          <w:szCs w:val="16"/>
        </w:rPr>
        <w:t xml:space="preserve"> use is defined as the use of an approved medicine under the direction or supervision of a health care professional for an unapproved indication, age group, dosage or route or form of administration. </w:t>
      </w:r>
    </w:p>
  </w:footnote>
  <w:footnote w:id="21">
    <w:p w14:paraId="4716906F" w14:textId="77777777" w:rsidR="00A152C2" w:rsidRPr="00DF172E" w:rsidRDefault="00A152C2" w:rsidP="00A152C2">
      <w:pPr>
        <w:pStyle w:val="FootnoteText"/>
        <w:rPr>
          <w:szCs w:val="16"/>
        </w:rPr>
      </w:pPr>
      <w:r w:rsidRPr="00DF172E">
        <w:rPr>
          <w:rStyle w:val="FootnoteReference"/>
          <w:szCs w:val="16"/>
        </w:rPr>
        <w:footnoteRef/>
      </w:r>
      <w:r>
        <w:rPr>
          <w:szCs w:val="16"/>
        </w:rPr>
        <w:t xml:space="preserve"> </w:t>
      </w:r>
      <w:r w:rsidRPr="00FE2230">
        <w:rPr>
          <w:lang w:eastAsia="en-NZ"/>
        </w:rPr>
        <w:t>Funding of GnRH analogues for indications not approved by Medsafe (children and adolescents).</w:t>
      </w:r>
      <w:r>
        <w:t xml:space="preserve"> URL:</w:t>
      </w:r>
      <w:r>
        <w:rPr>
          <w:szCs w:val="16"/>
        </w:rPr>
        <w:t xml:space="preserve"> </w:t>
      </w:r>
      <w:hyperlink r:id="rId8" w:history="1">
        <w:r w:rsidRPr="007B5DC2">
          <w:rPr>
            <w:rStyle w:val="Hyperlink"/>
            <w:szCs w:val="16"/>
          </w:rPr>
          <w:t>pharmac.govt.nz/news-and-resources/official-information-act/official-information-act-responses/funding-of-gnrh-analogues-for-indications-not-approved-by-medsafe-children-and-adolescents</w:t>
        </w:r>
      </w:hyperlink>
      <w:r>
        <w:rPr>
          <w:szCs w:val="16"/>
        </w:rPr>
        <w:t xml:space="preserve"> (accessed 11 June 2024).</w:t>
      </w:r>
    </w:p>
  </w:footnote>
  <w:footnote w:id="22">
    <w:p w14:paraId="47AFDAC6" w14:textId="77777777" w:rsidR="00A152C2" w:rsidRPr="00DF172E" w:rsidRDefault="00A152C2" w:rsidP="00A152C2">
      <w:pPr>
        <w:pStyle w:val="FootnoteText"/>
        <w:rPr>
          <w:szCs w:val="16"/>
        </w:rPr>
      </w:pPr>
      <w:r w:rsidRPr="00DF172E">
        <w:rPr>
          <w:rStyle w:val="FootnoteReference"/>
          <w:szCs w:val="16"/>
        </w:rPr>
        <w:footnoteRef/>
      </w:r>
      <w:r w:rsidRPr="00DF172E">
        <w:rPr>
          <w:szCs w:val="16"/>
        </w:rPr>
        <w:t xml:space="preserve"> </w:t>
      </w:r>
      <w:r>
        <w:rPr>
          <w:szCs w:val="16"/>
        </w:rPr>
        <w:t xml:space="preserve">URL: </w:t>
      </w:r>
      <w:hyperlink r:id="rId9" w:history="1">
        <w:r w:rsidRPr="00BB2432">
          <w:rPr>
            <w:rStyle w:val="Hyperlink"/>
            <w:szCs w:val="16"/>
          </w:rPr>
          <w:t>https://patha.nz/</w:t>
        </w:r>
      </w:hyperlink>
      <w:r>
        <w:rPr>
          <w:szCs w:val="16"/>
        </w:rPr>
        <w:t xml:space="preserve"> (accessed 11 June 2024).</w:t>
      </w:r>
    </w:p>
  </w:footnote>
  <w:footnote w:id="23">
    <w:p w14:paraId="4068BFB6" w14:textId="77777777" w:rsidR="00A152C2" w:rsidRPr="00DF172E" w:rsidRDefault="00A152C2" w:rsidP="00A152C2">
      <w:pPr>
        <w:pStyle w:val="FootnoteText"/>
        <w:rPr>
          <w:szCs w:val="16"/>
        </w:rPr>
      </w:pPr>
      <w:r w:rsidRPr="00DF172E">
        <w:rPr>
          <w:rStyle w:val="FootnoteReference"/>
          <w:szCs w:val="16"/>
        </w:rPr>
        <w:footnoteRef/>
      </w:r>
      <w:r w:rsidRPr="00DF172E">
        <w:rPr>
          <w:szCs w:val="16"/>
        </w:rPr>
        <w:t xml:space="preserve"> Coleman E, Radix AE, Bouman WP, </w:t>
      </w:r>
      <w:r>
        <w:rPr>
          <w:szCs w:val="16"/>
        </w:rPr>
        <w:t>et al</w:t>
      </w:r>
      <w:r w:rsidRPr="00DF172E">
        <w:rPr>
          <w:szCs w:val="16"/>
        </w:rPr>
        <w:t xml:space="preserve">. 2022. Standards of Care for the Health of Transgender and Gender Diverse People, Version 8. </w:t>
      </w:r>
      <w:r w:rsidRPr="00DF172E">
        <w:rPr>
          <w:i/>
          <w:iCs/>
          <w:szCs w:val="16"/>
        </w:rPr>
        <w:t xml:space="preserve">International Journal of Transgender Health </w:t>
      </w:r>
      <w:r w:rsidRPr="00233840">
        <w:rPr>
          <w:szCs w:val="16"/>
        </w:rPr>
        <w:t>23</w:t>
      </w:r>
      <w:r w:rsidRPr="00DF172E">
        <w:rPr>
          <w:szCs w:val="16"/>
        </w:rPr>
        <w:t>(sup1)</w:t>
      </w:r>
      <w:r>
        <w:rPr>
          <w:szCs w:val="16"/>
        </w:rPr>
        <w:t>:</w:t>
      </w:r>
      <w:r w:rsidRPr="00DF172E">
        <w:rPr>
          <w:szCs w:val="16"/>
        </w:rPr>
        <w:t xml:space="preserve"> S1</w:t>
      </w:r>
      <w:r>
        <w:rPr>
          <w:szCs w:val="16"/>
        </w:rPr>
        <w:t>–</w:t>
      </w:r>
      <w:r w:rsidRPr="00DF172E">
        <w:rPr>
          <w:szCs w:val="16"/>
        </w:rPr>
        <w:t xml:space="preserve">S259. </w:t>
      </w:r>
      <w:r>
        <w:rPr>
          <w:szCs w:val="16"/>
        </w:rPr>
        <w:t xml:space="preserve">DOI: </w:t>
      </w:r>
      <w:hyperlink r:id="rId10" w:history="1">
        <w:r w:rsidRPr="00DF172E">
          <w:rPr>
            <w:rStyle w:val="Hyperlink"/>
            <w:szCs w:val="16"/>
          </w:rPr>
          <w:t>10.1080/26895269.2022.2100644</w:t>
        </w:r>
      </w:hyperlink>
      <w:r>
        <w:t>.</w:t>
      </w:r>
      <w:r w:rsidRPr="00DF172E">
        <w:rPr>
          <w:szCs w:val="16"/>
        </w:rPr>
        <w:t xml:space="preserve"> </w:t>
      </w:r>
    </w:p>
  </w:footnote>
  <w:footnote w:id="24">
    <w:p w14:paraId="0D8F8488" w14:textId="77777777" w:rsidR="00A152C2" w:rsidRPr="009C04C8" w:rsidRDefault="00A152C2" w:rsidP="00A152C2">
      <w:pPr>
        <w:pStyle w:val="FootnoteText"/>
      </w:pPr>
      <w:r w:rsidRPr="00DF172E">
        <w:rPr>
          <w:rStyle w:val="FootnoteReference"/>
          <w:szCs w:val="16"/>
        </w:rPr>
        <w:footnoteRef/>
      </w:r>
      <w:r w:rsidRPr="00DF172E">
        <w:rPr>
          <w:szCs w:val="16"/>
        </w:rPr>
        <w:t xml:space="preserve"> </w:t>
      </w:r>
      <w:r w:rsidRPr="001469C4">
        <w:rPr>
          <w:szCs w:val="16"/>
        </w:rPr>
        <w:t>Oliphant J, V</w:t>
      </w:r>
      <w:r>
        <w:rPr>
          <w:szCs w:val="16"/>
        </w:rPr>
        <w:t>eale</w:t>
      </w:r>
      <w:r w:rsidRPr="001469C4">
        <w:rPr>
          <w:szCs w:val="16"/>
        </w:rPr>
        <w:t xml:space="preserve"> J, Macdonald J, </w:t>
      </w:r>
      <w:r>
        <w:rPr>
          <w:szCs w:val="16"/>
        </w:rPr>
        <w:t>et al</w:t>
      </w:r>
      <w:r w:rsidRPr="001469C4">
        <w:rPr>
          <w:szCs w:val="16"/>
        </w:rPr>
        <w:t xml:space="preserve">. 2018. </w:t>
      </w:r>
      <w:r w:rsidRPr="001469C4">
        <w:rPr>
          <w:i/>
          <w:iCs/>
          <w:szCs w:val="16"/>
        </w:rPr>
        <w:t>Guidelines for Gender Affirming Healthcare for Gender Diverse and Transgender Children, Young People and Adults in Aotearoa, New Zealand</w:t>
      </w:r>
      <w:r w:rsidRPr="001469C4">
        <w:rPr>
          <w:szCs w:val="16"/>
        </w:rPr>
        <w:t xml:space="preserve">. </w:t>
      </w:r>
      <w:r>
        <w:rPr>
          <w:szCs w:val="16"/>
        </w:rPr>
        <w:t>URL</w:t>
      </w:r>
      <w:r w:rsidRPr="001469C4">
        <w:rPr>
          <w:szCs w:val="16"/>
        </w:rPr>
        <w:t xml:space="preserve">: </w:t>
      </w:r>
      <w:hyperlink r:id="rId11" w:history="1">
        <w:r w:rsidRPr="001469C4">
          <w:rPr>
            <w:rStyle w:val="Hyperlink"/>
            <w:szCs w:val="16"/>
          </w:rPr>
          <w:t>patha.nz/resources/Documents/Guidelines%20for%20Gender%20Affirming%20Health%20low%20res.pdf</w:t>
        </w:r>
      </w:hyperlink>
      <w:r w:rsidRPr="001469C4">
        <w:rPr>
          <w:szCs w:val="16"/>
        </w:rPr>
        <w:t xml:space="preserve"> </w:t>
      </w:r>
      <w:r>
        <w:rPr>
          <w:szCs w:val="16"/>
        </w:rPr>
        <w:t>(accessed 11 June 2024).</w:t>
      </w:r>
    </w:p>
  </w:footnote>
  <w:footnote w:id="25">
    <w:p w14:paraId="55DC1FF5" w14:textId="77777777" w:rsidR="00A152C2" w:rsidRPr="00DF172E" w:rsidRDefault="00A152C2" w:rsidP="00A152C2">
      <w:pPr>
        <w:pStyle w:val="FootnoteText"/>
        <w:rPr>
          <w:szCs w:val="16"/>
        </w:rPr>
      </w:pPr>
      <w:r w:rsidRPr="00DF172E">
        <w:rPr>
          <w:rStyle w:val="FootnoteReference"/>
          <w:szCs w:val="16"/>
        </w:rPr>
        <w:footnoteRef/>
      </w:r>
      <w:r w:rsidRPr="00DF172E">
        <w:rPr>
          <w:szCs w:val="16"/>
        </w:rPr>
        <w:t xml:space="preserve"> </w:t>
      </w:r>
      <w:r>
        <w:rPr>
          <w:szCs w:val="16"/>
        </w:rPr>
        <w:t xml:space="preserve">Department of Health and Aged Care. Information brief. URL: </w:t>
      </w:r>
      <w:hyperlink r:id="rId12" w:history="1">
        <w:r w:rsidRPr="009B5E04">
          <w:rPr>
            <w:rStyle w:val="Hyperlink"/>
            <w:szCs w:val="16"/>
          </w:rPr>
          <w:t>health.gov.au/sites/default/files/2023-12/foi-4713-released-documents-briefing-on-gender-dysphoric-in-children.pdf</w:t>
        </w:r>
      </w:hyperlink>
      <w:r>
        <w:rPr>
          <w:szCs w:val="16"/>
        </w:rPr>
        <w:t xml:space="preserve"> (accessed 11 June 2024).</w:t>
      </w:r>
    </w:p>
  </w:footnote>
  <w:footnote w:id="26">
    <w:p w14:paraId="78C2EFF0" w14:textId="77777777" w:rsidR="00A152C2" w:rsidRPr="00DF172E" w:rsidRDefault="00A152C2" w:rsidP="00A152C2">
      <w:pPr>
        <w:pStyle w:val="FootnoteText"/>
        <w:rPr>
          <w:szCs w:val="16"/>
        </w:rPr>
      </w:pPr>
      <w:r w:rsidRPr="00DF172E">
        <w:rPr>
          <w:rStyle w:val="FootnoteReference"/>
          <w:szCs w:val="16"/>
        </w:rPr>
        <w:footnoteRef/>
      </w:r>
      <w:r w:rsidRPr="00DF172E">
        <w:rPr>
          <w:szCs w:val="16"/>
        </w:rPr>
        <w:t xml:space="preserve"> </w:t>
      </w:r>
      <w:r>
        <w:rPr>
          <w:szCs w:val="16"/>
        </w:rPr>
        <w:t xml:space="preserve">Parents of Gender Diverse Children. Legal. URL: </w:t>
      </w:r>
      <w:hyperlink r:id="rId13" w:history="1">
        <w:r w:rsidRPr="009B5E04">
          <w:rPr>
            <w:rStyle w:val="Hyperlink"/>
            <w:szCs w:val="16"/>
          </w:rPr>
          <w:t>pgdc.org.au/legal</w:t>
        </w:r>
      </w:hyperlink>
      <w:r>
        <w:rPr>
          <w:szCs w:val="16"/>
        </w:rPr>
        <w:t xml:space="preserve"> (accessed 11 June 2024).</w:t>
      </w:r>
    </w:p>
  </w:footnote>
  <w:footnote w:id="27">
    <w:p w14:paraId="697BC6A4" w14:textId="77777777" w:rsidR="00A152C2" w:rsidRPr="00450D6F" w:rsidRDefault="00A152C2" w:rsidP="00A152C2">
      <w:pPr>
        <w:pStyle w:val="FootnoteText"/>
        <w:rPr>
          <w:szCs w:val="16"/>
          <w:lang w:val="mi-NZ"/>
        </w:rPr>
      </w:pPr>
      <w:r w:rsidRPr="00AE7A80">
        <w:rPr>
          <w:rStyle w:val="FootnoteReference"/>
          <w:szCs w:val="16"/>
        </w:rPr>
        <w:footnoteRef/>
      </w:r>
      <w:r w:rsidRPr="00AE7A80">
        <w:rPr>
          <w:szCs w:val="16"/>
        </w:rPr>
        <w:t xml:space="preserve"> </w:t>
      </w:r>
      <w:r w:rsidRPr="00AE7A80">
        <w:rPr>
          <w:szCs w:val="16"/>
          <w:lang w:val="mi-NZ"/>
        </w:rPr>
        <w:t>The Royal Children’s Hospital Melbourne</w:t>
      </w:r>
      <w:r>
        <w:rPr>
          <w:szCs w:val="16"/>
          <w:lang w:val="mi-NZ"/>
        </w:rPr>
        <w:t>. Gender service. URL:</w:t>
      </w:r>
      <w:r w:rsidRPr="00AE7A80">
        <w:rPr>
          <w:szCs w:val="16"/>
        </w:rPr>
        <w:t xml:space="preserve"> </w:t>
      </w:r>
      <w:hyperlink r:id="rId14" w:history="1">
        <w:r w:rsidRPr="009B5E04">
          <w:rPr>
            <w:rStyle w:val="Hyperlink"/>
            <w:szCs w:val="16"/>
            <w:lang w:val="mi-NZ"/>
          </w:rPr>
          <w:t>rch.org.au/adolescent-medicine/gender-service/</w:t>
        </w:r>
      </w:hyperlink>
      <w:r>
        <w:rPr>
          <w:szCs w:val="16"/>
          <w:lang w:val="mi-NZ"/>
        </w:rPr>
        <w:t xml:space="preserve"> </w:t>
      </w:r>
      <w:r>
        <w:rPr>
          <w:szCs w:val="16"/>
        </w:rPr>
        <w:t>(accessed 11 June 2024).</w:t>
      </w:r>
      <w:r w:rsidRPr="00AE7A80">
        <w:rPr>
          <w:szCs w:val="16"/>
          <w:lang w:val="mi-NZ"/>
        </w:rPr>
        <w:t xml:space="preserve"> </w:t>
      </w:r>
    </w:p>
  </w:footnote>
  <w:footnote w:id="28">
    <w:p w14:paraId="4C80768A" w14:textId="77777777" w:rsidR="00A152C2" w:rsidRDefault="00A152C2" w:rsidP="00A152C2">
      <w:pPr>
        <w:pStyle w:val="FootnoteText"/>
      </w:pPr>
      <w:r>
        <w:rPr>
          <w:rStyle w:val="FootnoteReference"/>
        </w:rPr>
        <w:footnoteRef/>
      </w:r>
      <w:r>
        <w:t xml:space="preserve"> </w:t>
      </w:r>
      <w:r w:rsidRPr="00211C54">
        <w:t xml:space="preserve">Coleman E, Radix AE, Bouman WP, et al. 2022. Standards of Care for the Health of Transgender and Gender Diverse People, Version 8. </w:t>
      </w:r>
      <w:r w:rsidRPr="00211C54">
        <w:rPr>
          <w:i/>
          <w:iCs/>
        </w:rPr>
        <w:t xml:space="preserve">International Journal of Transgender Health </w:t>
      </w:r>
      <w:r w:rsidRPr="00211C54">
        <w:t xml:space="preserve">23(sup1): S1–S259. DOI: </w:t>
      </w:r>
      <w:hyperlink r:id="rId15" w:history="1">
        <w:r w:rsidRPr="00211C54">
          <w:rPr>
            <w:rStyle w:val="Hyperlink"/>
          </w:rPr>
          <w:t>10.1080/26895269.2022.2100644</w:t>
        </w:r>
      </w:hyperlink>
      <w:r w:rsidRPr="00211C54">
        <w:t>.</w:t>
      </w:r>
    </w:p>
  </w:footnote>
  <w:footnote w:id="29">
    <w:p w14:paraId="77507AB9" w14:textId="77777777" w:rsidR="00A152C2" w:rsidRPr="00450D6F" w:rsidRDefault="00A152C2" w:rsidP="00A152C2">
      <w:pPr>
        <w:pStyle w:val="FootnoteText"/>
        <w:rPr>
          <w:szCs w:val="16"/>
        </w:rPr>
      </w:pPr>
      <w:r w:rsidRPr="00450D6F">
        <w:rPr>
          <w:rStyle w:val="FootnoteReference"/>
          <w:szCs w:val="16"/>
        </w:rPr>
        <w:footnoteRef/>
      </w:r>
      <w:r w:rsidRPr="00450D6F">
        <w:rPr>
          <w:szCs w:val="16"/>
        </w:rPr>
        <w:t xml:space="preserve"> </w:t>
      </w:r>
      <w:r>
        <w:rPr>
          <w:szCs w:val="16"/>
        </w:rPr>
        <w:t>Trans Hub. P</w:t>
      </w:r>
      <w:r w:rsidRPr="0099241E">
        <w:rPr>
          <w:szCs w:val="16"/>
        </w:rPr>
        <w:t xml:space="preserve">uberty </w:t>
      </w:r>
      <w:r>
        <w:rPr>
          <w:szCs w:val="16"/>
        </w:rPr>
        <w:t>b</w:t>
      </w:r>
      <w:r w:rsidRPr="0099241E">
        <w:rPr>
          <w:szCs w:val="16"/>
        </w:rPr>
        <w:t>lockers</w:t>
      </w:r>
      <w:r w:rsidRPr="00450D6F">
        <w:rPr>
          <w:szCs w:val="16"/>
        </w:rPr>
        <w:t>.</w:t>
      </w:r>
      <w:r>
        <w:rPr>
          <w:szCs w:val="16"/>
        </w:rPr>
        <w:t xml:space="preserve"> URL:</w:t>
      </w:r>
      <w:r w:rsidRPr="00450D6F">
        <w:rPr>
          <w:szCs w:val="16"/>
        </w:rPr>
        <w:t xml:space="preserve"> </w:t>
      </w:r>
      <w:hyperlink r:id="rId16" w:anchor="how-to-access-puberty-blockers" w:history="1">
        <w:r w:rsidRPr="009B5E04">
          <w:rPr>
            <w:rStyle w:val="Hyperlink"/>
            <w:szCs w:val="16"/>
          </w:rPr>
          <w:t>transhub.org.au/puberty-blockers#how-to-access-puberty-blockers</w:t>
        </w:r>
      </w:hyperlink>
      <w:r>
        <w:rPr>
          <w:szCs w:val="16"/>
        </w:rPr>
        <w:t xml:space="preserve"> (accessed 11 June 2024).</w:t>
      </w:r>
    </w:p>
  </w:footnote>
  <w:footnote w:id="30">
    <w:p w14:paraId="65810F4E" w14:textId="77777777" w:rsidR="00A152C2" w:rsidRPr="00DF172E" w:rsidRDefault="00A152C2" w:rsidP="00A152C2">
      <w:pPr>
        <w:pStyle w:val="FootnoteText"/>
        <w:rPr>
          <w:szCs w:val="16"/>
          <w:lang w:val="mi-NZ"/>
        </w:rPr>
      </w:pPr>
      <w:r w:rsidRPr="00DF172E">
        <w:rPr>
          <w:rStyle w:val="FootnoteReference"/>
          <w:szCs w:val="16"/>
        </w:rPr>
        <w:footnoteRef/>
      </w:r>
      <w:r w:rsidRPr="00DF172E">
        <w:rPr>
          <w:szCs w:val="16"/>
        </w:rPr>
        <w:t xml:space="preserve"> Telfer M, Tollit MA, Pace CC. 2020</w:t>
      </w:r>
      <w:r>
        <w:rPr>
          <w:szCs w:val="16"/>
        </w:rPr>
        <w:t xml:space="preserve">. </w:t>
      </w:r>
      <w:r w:rsidRPr="00233840">
        <w:rPr>
          <w:i/>
          <w:iCs/>
          <w:szCs w:val="16"/>
        </w:rPr>
        <w:t xml:space="preserve">Australian </w:t>
      </w:r>
      <w:r w:rsidRPr="00D874FD">
        <w:rPr>
          <w:i/>
          <w:iCs/>
          <w:szCs w:val="16"/>
        </w:rPr>
        <w:t xml:space="preserve">Standards </w:t>
      </w:r>
      <w:r w:rsidRPr="00233840">
        <w:rPr>
          <w:i/>
          <w:iCs/>
          <w:szCs w:val="16"/>
        </w:rPr>
        <w:t xml:space="preserve">of </w:t>
      </w:r>
      <w:r w:rsidRPr="00D874FD">
        <w:rPr>
          <w:i/>
          <w:iCs/>
          <w:szCs w:val="16"/>
        </w:rPr>
        <w:t xml:space="preserve">Care </w:t>
      </w:r>
      <w:r w:rsidRPr="00233840">
        <w:rPr>
          <w:i/>
          <w:iCs/>
          <w:szCs w:val="16"/>
        </w:rPr>
        <w:t xml:space="preserve">and </w:t>
      </w:r>
      <w:r w:rsidRPr="00D874FD">
        <w:rPr>
          <w:i/>
          <w:iCs/>
          <w:szCs w:val="16"/>
        </w:rPr>
        <w:t>Treatment Guidelines</w:t>
      </w:r>
      <w:r w:rsidRPr="00233840">
        <w:rPr>
          <w:i/>
          <w:iCs/>
          <w:szCs w:val="16"/>
        </w:rPr>
        <w:t>: For trans and gender diverse children and adolescents</w:t>
      </w:r>
      <w:r w:rsidRPr="00DF172E">
        <w:rPr>
          <w:szCs w:val="16"/>
        </w:rPr>
        <w:t>. The Royal Children’s Hospital.</w:t>
      </w:r>
      <w:r>
        <w:rPr>
          <w:szCs w:val="16"/>
        </w:rPr>
        <w:t xml:space="preserve"> URL</w:t>
      </w:r>
      <w:r w:rsidRPr="00DF172E">
        <w:rPr>
          <w:szCs w:val="16"/>
        </w:rPr>
        <w:t xml:space="preserve">: </w:t>
      </w:r>
      <w:hyperlink r:id="rId17" w:history="1">
        <w:r w:rsidRPr="009B5E04">
          <w:rPr>
            <w:rStyle w:val="Hyperlink"/>
            <w:szCs w:val="16"/>
          </w:rPr>
          <w:t>rch.org.au/uploadedFiles/Main/Content/adolescentmedicine/australian-standards-of-care-and-treatment-guidelines-for-trans-andgender-diverse-children-and-adolescents.pdf</w:t>
        </w:r>
      </w:hyperlink>
      <w:r>
        <w:rPr>
          <w:szCs w:val="16"/>
        </w:rPr>
        <w:t xml:space="preserve"> (accessed 11 June 2024).</w:t>
      </w:r>
    </w:p>
  </w:footnote>
  <w:footnote w:id="31">
    <w:p w14:paraId="2335062B" w14:textId="77777777" w:rsidR="00A152C2" w:rsidRPr="00BB2432" w:rsidRDefault="00A152C2" w:rsidP="00A152C2">
      <w:pPr>
        <w:pStyle w:val="FootnoteText"/>
      </w:pPr>
      <w:r w:rsidRPr="00DF172E">
        <w:rPr>
          <w:rStyle w:val="FootnoteReference"/>
          <w:szCs w:val="16"/>
        </w:rPr>
        <w:footnoteRef/>
      </w:r>
      <w:r w:rsidRPr="00DF172E">
        <w:rPr>
          <w:szCs w:val="16"/>
        </w:rPr>
        <w:t xml:space="preserve"> </w:t>
      </w:r>
      <w:r>
        <w:rPr>
          <w:szCs w:val="16"/>
        </w:rPr>
        <w:t xml:space="preserve">Parents of Gender Diverse Children. Legal. URL: </w:t>
      </w:r>
      <w:hyperlink r:id="rId18" w:history="1">
        <w:r w:rsidRPr="009B5E04">
          <w:rPr>
            <w:rStyle w:val="Hyperlink"/>
            <w:szCs w:val="16"/>
          </w:rPr>
          <w:t>https://www.pgdc.org.au/legal</w:t>
        </w:r>
      </w:hyperlink>
      <w:r>
        <w:t xml:space="preserve"> </w:t>
      </w:r>
      <w:r>
        <w:rPr>
          <w:szCs w:val="16"/>
        </w:rPr>
        <w:t>(accessed 11 June 2024).</w:t>
      </w:r>
    </w:p>
  </w:footnote>
  <w:footnote w:id="32">
    <w:p w14:paraId="443A6980" w14:textId="77777777" w:rsidR="00A152C2" w:rsidRPr="00DF172E" w:rsidRDefault="00A152C2" w:rsidP="00A152C2">
      <w:pPr>
        <w:pStyle w:val="FootnoteText"/>
        <w:rPr>
          <w:szCs w:val="16"/>
        </w:rPr>
      </w:pPr>
      <w:r w:rsidRPr="00DF172E">
        <w:rPr>
          <w:rStyle w:val="FootnoteReference"/>
          <w:szCs w:val="16"/>
        </w:rPr>
        <w:footnoteRef/>
      </w:r>
      <w:r w:rsidRPr="00DF172E">
        <w:rPr>
          <w:szCs w:val="16"/>
        </w:rPr>
        <w:t xml:space="preserve"> </w:t>
      </w:r>
      <w:r w:rsidRPr="00686585">
        <w:rPr>
          <w:szCs w:val="16"/>
        </w:rPr>
        <w:t xml:space="preserve">Anderson M, Pitchforth E, Edwards N, </w:t>
      </w:r>
      <w:r>
        <w:rPr>
          <w:szCs w:val="16"/>
        </w:rPr>
        <w:t>et al.</w:t>
      </w:r>
      <w:r w:rsidRPr="00686585">
        <w:rPr>
          <w:szCs w:val="16"/>
        </w:rPr>
        <w:t xml:space="preserve"> 2022</w:t>
      </w:r>
      <w:r>
        <w:rPr>
          <w:szCs w:val="16"/>
        </w:rPr>
        <w:t>.</w:t>
      </w:r>
      <w:r w:rsidRPr="00686585">
        <w:rPr>
          <w:szCs w:val="16"/>
        </w:rPr>
        <w:t xml:space="preserve"> </w:t>
      </w:r>
      <w:r w:rsidRPr="00233840">
        <w:rPr>
          <w:i/>
          <w:iCs/>
          <w:szCs w:val="16"/>
        </w:rPr>
        <w:t>The United Kingdom: Health System Summary, 2022</w:t>
      </w:r>
      <w:r w:rsidRPr="00686585">
        <w:rPr>
          <w:szCs w:val="16"/>
        </w:rPr>
        <w:t>.</w:t>
      </w:r>
      <w:r>
        <w:rPr>
          <w:szCs w:val="16"/>
        </w:rPr>
        <w:t xml:space="preserve"> URL:</w:t>
      </w:r>
      <w:r w:rsidRPr="00686585">
        <w:rPr>
          <w:szCs w:val="16"/>
        </w:rPr>
        <w:t xml:space="preserve"> </w:t>
      </w:r>
      <w:hyperlink r:id="rId19" w:history="1">
        <w:r w:rsidRPr="009B5E04">
          <w:rPr>
            <w:rStyle w:val="Hyperlink"/>
            <w:szCs w:val="16"/>
          </w:rPr>
          <w:t>eurohealthobservatory.who.int/publications/i/united-kingdom-health-system-summary</w:t>
        </w:r>
      </w:hyperlink>
      <w:r>
        <w:rPr>
          <w:szCs w:val="16"/>
        </w:rPr>
        <w:t xml:space="preserve"> (accessed 11 June 2024).</w:t>
      </w:r>
    </w:p>
  </w:footnote>
  <w:footnote w:id="33">
    <w:p w14:paraId="0FEE3117" w14:textId="77777777" w:rsidR="00A152C2" w:rsidRDefault="00A152C2" w:rsidP="00A152C2">
      <w:pPr>
        <w:pStyle w:val="FootnoteText"/>
      </w:pPr>
      <w:r>
        <w:rPr>
          <w:rStyle w:val="FootnoteReference"/>
        </w:rPr>
        <w:footnoteRef/>
      </w:r>
      <w:r>
        <w:t xml:space="preserve"> NHS England. UR: </w:t>
      </w:r>
      <w:hyperlink r:id="rId20" w:history="1">
        <w:r>
          <w:rPr>
            <w:rStyle w:val="Hyperlink"/>
          </w:rPr>
          <w:t>New restrictions on the prescription and supply of puberty blockers (rpharms.com)</w:t>
        </w:r>
      </w:hyperlink>
    </w:p>
  </w:footnote>
  <w:footnote w:id="34">
    <w:p w14:paraId="3FDDEDD0" w14:textId="77777777" w:rsidR="00A152C2" w:rsidRPr="00DF172E" w:rsidRDefault="00A152C2" w:rsidP="00A152C2">
      <w:pPr>
        <w:pStyle w:val="FootnoteText"/>
        <w:rPr>
          <w:szCs w:val="16"/>
        </w:rPr>
      </w:pPr>
      <w:r w:rsidRPr="00DF172E">
        <w:rPr>
          <w:rStyle w:val="FootnoteReference"/>
          <w:szCs w:val="16"/>
        </w:rPr>
        <w:footnoteRef/>
      </w:r>
      <w:r w:rsidRPr="00DF172E">
        <w:rPr>
          <w:szCs w:val="16"/>
        </w:rPr>
        <w:t xml:space="preserve"> </w:t>
      </w:r>
      <w:r>
        <w:rPr>
          <w:szCs w:val="16"/>
        </w:rPr>
        <w:t xml:space="preserve">NHS England. Implementing advice from the Cass Review. URL: </w:t>
      </w:r>
      <w:hyperlink r:id="rId21" w:history="1">
        <w:r w:rsidRPr="001A06C1">
          <w:rPr>
            <w:rStyle w:val="Hyperlink"/>
            <w:szCs w:val="16"/>
          </w:rPr>
          <w:t>england.nhs.uk/commissioning/spec-services/npc-crg/gender-dysphoria-clinical-programme/implementing-advice-from-the-cass-review/</w:t>
        </w:r>
      </w:hyperlink>
      <w:r>
        <w:rPr>
          <w:szCs w:val="16"/>
        </w:rPr>
        <w:t xml:space="preserve"> (accessed 11 June 2024).</w:t>
      </w:r>
    </w:p>
  </w:footnote>
  <w:footnote w:id="35">
    <w:p w14:paraId="3FF90FB7" w14:textId="77777777" w:rsidR="00A152C2" w:rsidRPr="00DF172E" w:rsidRDefault="00A152C2" w:rsidP="00A152C2">
      <w:pPr>
        <w:pStyle w:val="FootnoteText"/>
        <w:rPr>
          <w:szCs w:val="16"/>
        </w:rPr>
      </w:pPr>
      <w:r w:rsidRPr="00DF172E">
        <w:rPr>
          <w:rStyle w:val="FootnoteReference"/>
          <w:szCs w:val="16"/>
        </w:rPr>
        <w:footnoteRef/>
      </w:r>
      <w:r w:rsidRPr="00DF172E">
        <w:rPr>
          <w:szCs w:val="16"/>
        </w:rPr>
        <w:t xml:space="preserve"> </w:t>
      </w:r>
      <w:r>
        <w:rPr>
          <w:szCs w:val="16"/>
        </w:rPr>
        <w:t>Arden &amp; Gem.</w:t>
      </w:r>
      <w:r w:rsidRPr="001A06C1">
        <w:t xml:space="preserve"> </w:t>
      </w:r>
      <w:r w:rsidRPr="00976F7A">
        <w:t>National referral support service for the NHS gender incongruence service for children and young people</w:t>
      </w:r>
      <w:r>
        <w:t>.</w:t>
      </w:r>
      <w:r>
        <w:rPr>
          <w:szCs w:val="16"/>
        </w:rPr>
        <w:t xml:space="preserve"> URL: </w:t>
      </w:r>
      <w:hyperlink r:id="rId22" w:history="1">
        <w:r w:rsidRPr="009B5E04">
          <w:rPr>
            <w:rStyle w:val="Hyperlink"/>
            <w:szCs w:val="16"/>
          </w:rPr>
          <w:t>ardengemcsu.nhs.uk/services/clinical-support/national-referral-support-service-for-the-nhs-gender-incongruence-service-for-children-and-young-people/</w:t>
        </w:r>
      </w:hyperlink>
      <w:r>
        <w:rPr>
          <w:szCs w:val="16"/>
        </w:rPr>
        <w:t xml:space="preserve"> (accessed 11 June 2024).</w:t>
      </w:r>
    </w:p>
  </w:footnote>
  <w:footnote w:id="36">
    <w:p w14:paraId="50DCC070" w14:textId="77777777" w:rsidR="00A152C2" w:rsidRPr="00DF172E" w:rsidRDefault="00A152C2" w:rsidP="00A152C2">
      <w:pPr>
        <w:pStyle w:val="FootnoteText"/>
        <w:rPr>
          <w:szCs w:val="16"/>
        </w:rPr>
      </w:pPr>
      <w:r w:rsidRPr="00DF172E">
        <w:rPr>
          <w:rStyle w:val="FootnoteReference"/>
          <w:szCs w:val="16"/>
        </w:rPr>
        <w:footnoteRef/>
      </w:r>
      <w:r w:rsidRPr="00DF172E">
        <w:rPr>
          <w:szCs w:val="16"/>
        </w:rPr>
        <w:t xml:space="preserve"> </w:t>
      </w:r>
      <w:r>
        <w:rPr>
          <w:szCs w:val="16"/>
        </w:rPr>
        <w:t xml:space="preserve">NHS. Treatment: gender dysphoria. URL: </w:t>
      </w:r>
      <w:hyperlink r:id="rId23" w:history="1">
        <w:r w:rsidRPr="009B5E04">
          <w:rPr>
            <w:rStyle w:val="Hyperlink"/>
            <w:szCs w:val="16"/>
          </w:rPr>
          <w:t>nhs.uk/conditions/gender-dysphoria/treatment/</w:t>
        </w:r>
      </w:hyperlink>
      <w:r>
        <w:rPr>
          <w:szCs w:val="16"/>
        </w:rPr>
        <w:t xml:space="preserve"> (accessed 11 June 2024).</w:t>
      </w:r>
    </w:p>
  </w:footnote>
  <w:footnote w:id="37">
    <w:p w14:paraId="3FCF642D" w14:textId="77777777" w:rsidR="00A152C2" w:rsidRPr="00DF172E" w:rsidRDefault="00A152C2" w:rsidP="00A152C2">
      <w:pPr>
        <w:pStyle w:val="FootnoteText"/>
        <w:rPr>
          <w:szCs w:val="16"/>
        </w:rPr>
      </w:pPr>
      <w:r w:rsidRPr="00DF172E">
        <w:rPr>
          <w:rStyle w:val="FootnoteReference"/>
          <w:szCs w:val="16"/>
        </w:rPr>
        <w:footnoteRef/>
      </w:r>
      <w:r>
        <w:rPr>
          <w:szCs w:val="16"/>
        </w:rPr>
        <w:t xml:space="preserve"> Royal College of Psychiatrists. 1998. </w:t>
      </w:r>
      <w:r w:rsidRPr="001A06C1">
        <w:rPr>
          <w:szCs w:val="16"/>
        </w:rPr>
        <w:t>Gender identity disorders in children</w:t>
      </w:r>
      <w:r>
        <w:rPr>
          <w:szCs w:val="16"/>
        </w:rPr>
        <w:t xml:space="preserve"> </w:t>
      </w:r>
      <w:r w:rsidRPr="001A06C1">
        <w:rPr>
          <w:szCs w:val="16"/>
        </w:rPr>
        <w:t>and adolescents</w:t>
      </w:r>
      <w:r>
        <w:rPr>
          <w:szCs w:val="16"/>
        </w:rPr>
        <w:t>. URL:</w:t>
      </w:r>
      <w:r w:rsidRPr="00DF172E">
        <w:rPr>
          <w:szCs w:val="16"/>
        </w:rPr>
        <w:t xml:space="preserve"> </w:t>
      </w:r>
      <w:hyperlink r:id="rId24" w:history="1">
        <w:r w:rsidRPr="009B5E04">
          <w:rPr>
            <w:rStyle w:val="Hyperlink"/>
            <w:szCs w:val="16"/>
          </w:rPr>
          <w:t>spitalmures.ro/_files/protocoale_terapeutice/psihiatrie/tulburari%20de%20identitate%20sexuala%20la%20copil%20si%20adolescent.pdf</w:t>
        </w:r>
      </w:hyperlink>
      <w:r>
        <w:rPr>
          <w:szCs w:val="16"/>
        </w:rPr>
        <w:t xml:space="preserve"> (accessed 11 June 2024).</w:t>
      </w:r>
    </w:p>
  </w:footnote>
  <w:footnote w:id="38">
    <w:p w14:paraId="1242E3DF" w14:textId="77777777" w:rsidR="00A152C2" w:rsidRPr="001A06C1" w:rsidRDefault="00A152C2" w:rsidP="00A152C2">
      <w:pPr>
        <w:pStyle w:val="FootnoteText"/>
      </w:pPr>
      <w:r w:rsidRPr="00DF172E">
        <w:rPr>
          <w:rStyle w:val="FootnoteReference"/>
          <w:szCs w:val="16"/>
        </w:rPr>
        <w:footnoteRef/>
      </w:r>
      <w:r w:rsidRPr="00DF172E">
        <w:rPr>
          <w:szCs w:val="16"/>
        </w:rPr>
        <w:t xml:space="preserve"> </w:t>
      </w:r>
      <w:r>
        <w:t xml:space="preserve">McCool M. 2024. </w:t>
      </w:r>
      <w:r w:rsidRPr="002F03AE">
        <w:t>Scotland’s under-18s gender clinic pauses puberty blockers</w:t>
      </w:r>
      <w:r>
        <w:t xml:space="preserve">. </w:t>
      </w:r>
      <w:r w:rsidRPr="00233840">
        <w:rPr>
          <w:i/>
          <w:iCs/>
        </w:rPr>
        <w:t>BBC Scotland News</w:t>
      </w:r>
      <w:r>
        <w:t>.</w:t>
      </w:r>
      <w:r>
        <w:rPr>
          <w:szCs w:val="16"/>
        </w:rPr>
        <w:t xml:space="preserve"> </w:t>
      </w:r>
      <w:hyperlink r:id="rId25" w:history="1">
        <w:r>
          <w:t xml:space="preserve">URL: </w:t>
        </w:r>
        <w:r w:rsidRPr="001A06C1">
          <w:rPr>
            <w:rStyle w:val="Hyperlink"/>
            <w:szCs w:val="16"/>
          </w:rPr>
          <w:t>bbc.com/news/uk-scotland-68844119</w:t>
        </w:r>
      </w:hyperlink>
      <w:r>
        <w:rPr>
          <w:szCs w:val="16"/>
        </w:rPr>
        <w:t xml:space="preserve"> </w:t>
      </w:r>
      <w:r>
        <w:t>(accessed 11 June 2024).</w:t>
      </w:r>
    </w:p>
  </w:footnote>
  <w:footnote w:id="39">
    <w:p w14:paraId="2B2CAD77" w14:textId="77777777" w:rsidR="00A152C2" w:rsidRPr="00DF172E" w:rsidRDefault="00A152C2" w:rsidP="00A152C2">
      <w:pPr>
        <w:pStyle w:val="FootnoteText"/>
        <w:rPr>
          <w:szCs w:val="16"/>
        </w:rPr>
      </w:pPr>
      <w:r w:rsidRPr="00DF172E">
        <w:rPr>
          <w:rStyle w:val="FootnoteReference"/>
          <w:szCs w:val="16"/>
        </w:rPr>
        <w:footnoteRef/>
      </w:r>
      <w:r w:rsidRPr="00DF172E">
        <w:rPr>
          <w:szCs w:val="16"/>
        </w:rPr>
        <w:t xml:space="preserve"> </w:t>
      </w:r>
      <w:r>
        <w:rPr>
          <w:szCs w:val="16"/>
        </w:rPr>
        <w:t xml:space="preserve">Cass Review and Gender Identify Healthcare: Statement by Minister for Public Health and Women’s Health. URL: </w:t>
      </w:r>
      <w:hyperlink r:id="rId26" w:history="1">
        <w:r w:rsidRPr="001A06C1">
          <w:rPr>
            <w:rStyle w:val="Hyperlink"/>
            <w:szCs w:val="16"/>
          </w:rPr>
          <w:t>gov.scot/publications/gender-identity-healthcare-young-people/</w:t>
        </w:r>
      </w:hyperlink>
      <w:r>
        <w:rPr>
          <w:szCs w:val="16"/>
        </w:rPr>
        <w:t xml:space="preserve"> (accessed 11 June 2024).</w:t>
      </w:r>
    </w:p>
  </w:footnote>
  <w:footnote w:id="40">
    <w:p w14:paraId="6C0784B2" w14:textId="77777777" w:rsidR="00A152C2" w:rsidRPr="00DF172E" w:rsidRDefault="00A152C2" w:rsidP="00A152C2">
      <w:pPr>
        <w:pStyle w:val="FootnoteText"/>
        <w:rPr>
          <w:szCs w:val="16"/>
        </w:rPr>
      </w:pPr>
      <w:r w:rsidRPr="00DF172E">
        <w:rPr>
          <w:rStyle w:val="FootnoteReference"/>
          <w:szCs w:val="16"/>
        </w:rPr>
        <w:footnoteRef/>
      </w:r>
      <w:r w:rsidRPr="00DF172E">
        <w:rPr>
          <w:szCs w:val="16"/>
        </w:rPr>
        <w:t xml:space="preserve"> </w:t>
      </w:r>
      <w:r>
        <w:rPr>
          <w:szCs w:val="16"/>
        </w:rPr>
        <w:t xml:space="preserve">Marchildon GP. 2008. Canada, Health system of. </w:t>
      </w:r>
      <w:r>
        <w:rPr>
          <w:i/>
          <w:iCs/>
          <w:szCs w:val="16"/>
        </w:rPr>
        <w:t xml:space="preserve">International Encyclopedia of Public Health. </w:t>
      </w:r>
      <w:r>
        <w:rPr>
          <w:szCs w:val="16"/>
        </w:rPr>
        <w:t xml:space="preserve">URL: </w:t>
      </w:r>
      <w:hyperlink r:id="rId27" w:history="1">
        <w:r w:rsidRPr="009B5E04">
          <w:rPr>
            <w:rStyle w:val="Hyperlink"/>
            <w:szCs w:val="16"/>
          </w:rPr>
          <w:t>sciencedirect.com/science/article/pii/B9780123739605003026?via%3Dihub</w:t>
        </w:r>
      </w:hyperlink>
      <w:r>
        <w:rPr>
          <w:szCs w:val="16"/>
        </w:rPr>
        <w:t xml:space="preserve"> </w:t>
      </w:r>
      <w:r>
        <w:t>(accessed 11 June 2024).</w:t>
      </w:r>
    </w:p>
  </w:footnote>
  <w:footnote w:id="41">
    <w:p w14:paraId="777A9207" w14:textId="77777777" w:rsidR="00A152C2" w:rsidRPr="00DF172E" w:rsidRDefault="00A152C2" w:rsidP="00A152C2">
      <w:pPr>
        <w:pStyle w:val="FootnoteText"/>
        <w:rPr>
          <w:szCs w:val="16"/>
        </w:rPr>
      </w:pPr>
      <w:r w:rsidRPr="00DF172E">
        <w:rPr>
          <w:rStyle w:val="FootnoteReference"/>
          <w:szCs w:val="16"/>
        </w:rPr>
        <w:footnoteRef/>
      </w:r>
      <w:r w:rsidRPr="00DF172E">
        <w:rPr>
          <w:szCs w:val="16"/>
        </w:rPr>
        <w:t xml:space="preserve"> </w:t>
      </w:r>
      <w:r>
        <w:rPr>
          <w:szCs w:val="16"/>
        </w:rPr>
        <w:t xml:space="preserve">Vandermorris A, Metzger D. 2023. Position statement: </w:t>
      </w:r>
      <w:r>
        <w:t xml:space="preserve">An affirming approach to caring for transgender and gender-diverse youth. </w:t>
      </w:r>
      <w:r>
        <w:rPr>
          <w:i/>
          <w:iCs/>
        </w:rPr>
        <w:t>Paediatrics and Child Health</w:t>
      </w:r>
      <w:r>
        <w:t xml:space="preserve"> 28: 437–48. URL:</w:t>
      </w:r>
      <w:r>
        <w:rPr>
          <w:szCs w:val="16"/>
        </w:rPr>
        <w:t xml:space="preserve"> </w:t>
      </w:r>
      <w:hyperlink r:id="rId28" w:history="1">
        <w:r w:rsidRPr="004D6A73">
          <w:rPr>
            <w:rStyle w:val="Hyperlink"/>
            <w:szCs w:val="16"/>
          </w:rPr>
          <w:t>cps.ca/en/documents/position/an-affirming-approach-to-caring-for-transgender-and-gender-diverse-youth</w:t>
        </w:r>
      </w:hyperlink>
      <w:r>
        <w:rPr>
          <w:szCs w:val="16"/>
        </w:rPr>
        <w:t xml:space="preserve"> </w:t>
      </w:r>
      <w:r>
        <w:t>(accessed 11 June 2024).</w:t>
      </w:r>
    </w:p>
  </w:footnote>
  <w:footnote w:id="42">
    <w:p w14:paraId="34411001" w14:textId="77777777" w:rsidR="00A152C2" w:rsidRPr="00DF172E" w:rsidRDefault="00A152C2" w:rsidP="00A152C2">
      <w:pPr>
        <w:pStyle w:val="FootnoteText"/>
        <w:rPr>
          <w:szCs w:val="16"/>
        </w:rPr>
      </w:pPr>
      <w:r w:rsidRPr="00DF172E">
        <w:rPr>
          <w:rStyle w:val="FootnoteReference"/>
          <w:szCs w:val="16"/>
        </w:rPr>
        <w:footnoteRef/>
      </w:r>
      <w:r w:rsidRPr="00DF172E">
        <w:rPr>
          <w:szCs w:val="16"/>
        </w:rPr>
        <w:t xml:space="preserve"> </w:t>
      </w:r>
      <w:r>
        <w:rPr>
          <w:szCs w:val="16"/>
        </w:rPr>
        <w:t xml:space="preserve">Adelson SL. 2012. </w:t>
      </w:r>
      <w:r w:rsidRPr="00D51844">
        <w:rPr>
          <w:lang w:eastAsia="en-NZ"/>
        </w:rPr>
        <w:t>Practice parameter on gay, lesbian, or bisexual sexual orientation, gender nonconformity, and gender discordance in children and adolescents</w:t>
      </w:r>
      <w:r>
        <w:rPr>
          <w:lang w:eastAsia="en-NZ"/>
        </w:rPr>
        <w:t xml:space="preserve">. </w:t>
      </w:r>
      <w:r>
        <w:rPr>
          <w:i/>
          <w:iCs/>
          <w:lang w:eastAsia="en-NZ"/>
        </w:rPr>
        <w:t xml:space="preserve">Journal of the American Academy of Child and Adolescent Psychiatry </w:t>
      </w:r>
      <w:r>
        <w:rPr>
          <w:lang w:eastAsia="en-NZ"/>
        </w:rPr>
        <w:t>51(9): 957–74.</w:t>
      </w:r>
      <w:r>
        <w:rPr>
          <w:szCs w:val="16"/>
        </w:rPr>
        <w:t xml:space="preserve"> URL: </w:t>
      </w:r>
      <w:hyperlink r:id="rId29" w:history="1">
        <w:r w:rsidRPr="00D41266">
          <w:rPr>
            <w:rStyle w:val="Hyperlink"/>
            <w:szCs w:val="16"/>
          </w:rPr>
          <w:t>sciencedirect.com/science/article/pii/S089085671200500X?via%3Dihub</w:t>
        </w:r>
      </w:hyperlink>
      <w:r>
        <w:rPr>
          <w:szCs w:val="16"/>
        </w:rPr>
        <w:t xml:space="preserve"> (accessed 11 June 2024).</w:t>
      </w:r>
    </w:p>
  </w:footnote>
  <w:footnote w:id="43">
    <w:p w14:paraId="3F0FBAC6" w14:textId="77777777" w:rsidR="00A152C2" w:rsidRPr="00DF172E" w:rsidRDefault="00A152C2" w:rsidP="00A152C2">
      <w:pPr>
        <w:pStyle w:val="FootnoteText"/>
        <w:rPr>
          <w:szCs w:val="16"/>
        </w:rPr>
      </w:pPr>
      <w:r w:rsidRPr="00DF172E">
        <w:rPr>
          <w:rStyle w:val="FootnoteReference"/>
          <w:szCs w:val="16"/>
        </w:rPr>
        <w:footnoteRef/>
      </w:r>
      <w:r w:rsidRPr="00DF172E">
        <w:rPr>
          <w:szCs w:val="16"/>
        </w:rPr>
        <w:t xml:space="preserve"> </w:t>
      </w:r>
      <w:r w:rsidRPr="00A2398E">
        <w:rPr>
          <w:lang w:eastAsia="en-NZ"/>
        </w:rPr>
        <w:t xml:space="preserve">Rafferty </w:t>
      </w:r>
      <w:r>
        <w:rPr>
          <w:lang w:eastAsia="en-NZ"/>
        </w:rPr>
        <w:t>J,</w:t>
      </w:r>
      <w:r w:rsidRPr="00A2398E">
        <w:rPr>
          <w:lang w:eastAsia="en-NZ"/>
        </w:rPr>
        <w:t xml:space="preserve"> Committee on Psychosocial Aspects of Child and Family Health</w:t>
      </w:r>
      <w:r>
        <w:rPr>
          <w:lang w:eastAsia="en-NZ"/>
        </w:rPr>
        <w:t>,</w:t>
      </w:r>
      <w:r w:rsidRPr="00A2398E">
        <w:rPr>
          <w:lang w:eastAsia="en-NZ"/>
        </w:rPr>
        <w:t xml:space="preserve"> Committee on Adolescence</w:t>
      </w:r>
      <w:r>
        <w:rPr>
          <w:lang w:eastAsia="en-NZ"/>
        </w:rPr>
        <w:t xml:space="preserve">, et al. 2018. </w:t>
      </w:r>
      <w:r w:rsidRPr="00A2398E">
        <w:rPr>
          <w:lang w:eastAsia="en-NZ"/>
        </w:rPr>
        <w:t>Ensuring comprehensive care and support for transgender and gender-diverse children and adolescents</w:t>
      </w:r>
      <w:r>
        <w:rPr>
          <w:lang w:eastAsia="en-NZ"/>
        </w:rPr>
        <w:t xml:space="preserve">. </w:t>
      </w:r>
      <w:r>
        <w:rPr>
          <w:i/>
          <w:iCs/>
          <w:lang w:eastAsia="en-NZ"/>
        </w:rPr>
        <w:t xml:space="preserve">Pediatrics </w:t>
      </w:r>
      <w:r>
        <w:t>142(4). URL:</w:t>
      </w:r>
      <w:r>
        <w:rPr>
          <w:szCs w:val="16"/>
        </w:rPr>
        <w:t xml:space="preserve"> </w:t>
      </w:r>
      <w:hyperlink r:id="rId30" w:history="1">
        <w:r w:rsidRPr="009B5E04">
          <w:rPr>
            <w:rStyle w:val="Hyperlink"/>
            <w:szCs w:val="16"/>
          </w:rPr>
          <w:t>publications.aap.org/pediatrics/article/142/4/e20182162/37381/Ensuring-Comprehensive-Care-and-Support-for?autologincheck=redirected</w:t>
        </w:r>
      </w:hyperlink>
      <w:r>
        <w:rPr>
          <w:szCs w:val="16"/>
        </w:rPr>
        <w:t xml:space="preserve"> (accessed 11 June 2024).</w:t>
      </w:r>
    </w:p>
  </w:footnote>
  <w:footnote w:id="44">
    <w:p w14:paraId="597D118C" w14:textId="77777777" w:rsidR="00A152C2" w:rsidRPr="00DF172E" w:rsidRDefault="00A152C2" w:rsidP="00A152C2">
      <w:pPr>
        <w:pStyle w:val="FootnoteText"/>
        <w:rPr>
          <w:szCs w:val="16"/>
        </w:rPr>
      </w:pPr>
      <w:r w:rsidRPr="00DF172E">
        <w:rPr>
          <w:rStyle w:val="FootnoteReference"/>
          <w:szCs w:val="16"/>
        </w:rPr>
        <w:footnoteRef/>
      </w:r>
      <w:r>
        <w:rPr>
          <w:szCs w:val="16"/>
        </w:rPr>
        <w:t xml:space="preserve"> </w:t>
      </w:r>
      <w:r>
        <w:t xml:space="preserve">American Psychological Association. 2015. Guidelines for psychological practice with transgender and gender nonconforming people. </w:t>
      </w:r>
      <w:r>
        <w:rPr>
          <w:rStyle w:val="Emphasis"/>
        </w:rPr>
        <w:t xml:space="preserve">American Psychologist </w:t>
      </w:r>
      <w:r w:rsidRPr="00D1337B">
        <w:rPr>
          <w:rStyle w:val="Emphasis"/>
          <w:i w:val="0"/>
          <w:iCs w:val="0"/>
        </w:rPr>
        <w:t>70</w:t>
      </w:r>
      <w:r>
        <w:t>(9): 832–64. DOI:</w:t>
      </w:r>
      <w:r w:rsidRPr="00DF172E">
        <w:rPr>
          <w:szCs w:val="16"/>
        </w:rPr>
        <w:t xml:space="preserve"> </w:t>
      </w:r>
      <w:r w:rsidRPr="00D1337B">
        <w:t>10.1037%2Fa0039906</w:t>
      </w:r>
      <w:r>
        <w:rPr>
          <w:szCs w:val="16"/>
        </w:rPr>
        <w:t>.</w:t>
      </w:r>
    </w:p>
  </w:footnote>
  <w:footnote w:id="45">
    <w:p w14:paraId="2E171CF9" w14:textId="77777777" w:rsidR="00A152C2" w:rsidRPr="00DF172E" w:rsidRDefault="00A152C2" w:rsidP="00A152C2">
      <w:pPr>
        <w:pStyle w:val="FootnoteText"/>
        <w:rPr>
          <w:szCs w:val="16"/>
        </w:rPr>
      </w:pPr>
      <w:r w:rsidRPr="00DF172E">
        <w:rPr>
          <w:rStyle w:val="FootnoteReference"/>
          <w:szCs w:val="16"/>
        </w:rPr>
        <w:footnoteRef/>
      </w:r>
      <w:r>
        <w:rPr>
          <w:szCs w:val="16"/>
        </w:rPr>
        <w:t xml:space="preserve"> Deutsch M. 2016. </w:t>
      </w:r>
      <w:r w:rsidRPr="00D1337B">
        <w:rPr>
          <w:i/>
          <w:iCs/>
          <w:lang w:eastAsia="en-NZ"/>
        </w:rPr>
        <w:t>Guidelines for the Primary and Gender-Affirming Care of Transgender and Gender Nonbinary People</w:t>
      </w:r>
      <w:r>
        <w:rPr>
          <w:lang w:eastAsia="en-NZ"/>
        </w:rPr>
        <w:t>. URL:</w:t>
      </w:r>
      <w:r w:rsidRPr="00DF172E">
        <w:rPr>
          <w:szCs w:val="16"/>
        </w:rPr>
        <w:t xml:space="preserve"> </w:t>
      </w:r>
      <w:hyperlink r:id="rId31" w:history="1">
        <w:r w:rsidRPr="009B5E04">
          <w:rPr>
            <w:rStyle w:val="Hyperlink"/>
            <w:szCs w:val="16"/>
          </w:rPr>
          <w:t>transcare.ucsf.edu/guidelines</w:t>
        </w:r>
      </w:hyperlink>
      <w:r>
        <w:rPr>
          <w:szCs w:val="16"/>
        </w:rPr>
        <w:t xml:space="preserve"> (accessed 11 June 2024).</w:t>
      </w:r>
    </w:p>
  </w:footnote>
  <w:footnote w:id="46">
    <w:p w14:paraId="47BF52A0" w14:textId="77777777" w:rsidR="00A152C2" w:rsidRPr="00C23AF6" w:rsidRDefault="00A152C2" w:rsidP="00A152C2">
      <w:pPr>
        <w:pStyle w:val="FootnoteText"/>
        <w:rPr>
          <w:szCs w:val="16"/>
        </w:rPr>
      </w:pPr>
      <w:r w:rsidRPr="00DF172E">
        <w:rPr>
          <w:rStyle w:val="FootnoteReference"/>
          <w:szCs w:val="16"/>
        </w:rPr>
        <w:footnoteRef/>
      </w:r>
      <w:r w:rsidRPr="00DF172E">
        <w:rPr>
          <w:szCs w:val="16"/>
        </w:rPr>
        <w:t xml:space="preserve"> </w:t>
      </w:r>
      <w:r w:rsidRPr="00E268C4">
        <w:t>T'Sjoen</w:t>
      </w:r>
      <w:r>
        <w:t xml:space="preserve"> G</w:t>
      </w:r>
      <w:r w:rsidRPr="00E268C4">
        <w:t>, Arcelus</w:t>
      </w:r>
      <w:r>
        <w:t xml:space="preserve"> J</w:t>
      </w:r>
      <w:r w:rsidRPr="00E268C4">
        <w:t>,</w:t>
      </w:r>
      <w:r>
        <w:t xml:space="preserve"> </w:t>
      </w:r>
      <w:r w:rsidRPr="00E268C4">
        <w:t>De Vries</w:t>
      </w:r>
      <w:r>
        <w:t xml:space="preserve"> ALC</w:t>
      </w:r>
      <w:r w:rsidRPr="00E268C4">
        <w:t xml:space="preserve">, </w:t>
      </w:r>
      <w:r>
        <w:t>et al. 2020.</w:t>
      </w:r>
      <w:r w:rsidRPr="00E268C4">
        <w:t xml:space="preserve"> European Society for Sexual Medicine Position Statement</w:t>
      </w:r>
      <w:r>
        <w:t>:</w:t>
      </w:r>
      <w:r w:rsidRPr="00E268C4">
        <w:t xml:space="preserve"> Assessment and Hormonal Management in Adolescent and Adult Trans People, with Attention for Sexual Function and Satisfaction</w:t>
      </w:r>
      <w:r>
        <w:t>.</w:t>
      </w:r>
      <w:r w:rsidRPr="00E268C4">
        <w:t xml:space="preserve"> </w:t>
      </w:r>
      <w:r w:rsidRPr="00E268C4">
        <w:rPr>
          <w:i/>
          <w:iCs/>
        </w:rPr>
        <w:t>Journal of Sexual Medicine</w:t>
      </w:r>
      <w:r>
        <w:t xml:space="preserve"> </w:t>
      </w:r>
      <w:r w:rsidRPr="00E268C4">
        <w:t>17</w:t>
      </w:r>
      <w:r>
        <w:t>(</w:t>
      </w:r>
      <w:r w:rsidRPr="00E268C4">
        <w:t>4</w:t>
      </w:r>
      <w:r>
        <w:t>):</w:t>
      </w:r>
      <w:r w:rsidRPr="00E268C4">
        <w:t xml:space="preserve"> 570–84</w:t>
      </w:r>
      <w:r>
        <w:t>. DOI:</w:t>
      </w:r>
      <w:r w:rsidRPr="00E268C4">
        <w:t xml:space="preserve"> 10.1016/j.jsxm.2020.01.012</w:t>
      </w:r>
      <w:r>
        <w:t>.</w:t>
      </w:r>
    </w:p>
  </w:footnote>
  <w:footnote w:id="47">
    <w:p w14:paraId="11D1999F" w14:textId="77777777" w:rsidR="00A152C2" w:rsidRPr="00C23AF6" w:rsidRDefault="00A152C2" w:rsidP="00A152C2">
      <w:pPr>
        <w:pStyle w:val="FootnoteText"/>
        <w:rPr>
          <w:szCs w:val="16"/>
        </w:rPr>
      </w:pPr>
      <w:r w:rsidRPr="00C23AF6">
        <w:rPr>
          <w:rStyle w:val="FootnoteReference"/>
          <w:szCs w:val="16"/>
        </w:rPr>
        <w:footnoteRef/>
      </w:r>
      <w:r w:rsidRPr="00C23AF6">
        <w:rPr>
          <w:szCs w:val="16"/>
        </w:rPr>
        <w:t xml:space="preserve"> </w:t>
      </w:r>
      <w:r>
        <w:rPr>
          <w:szCs w:val="16"/>
        </w:rPr>
        <w:t xml:space="preserve">Harris S. 2024. Europe and the puberty blocker debate. </w:t>
      </w:r>
      <w:r>
        <w:rPr>
          <w:i/>
          <w:iCs/>
          <w:szCs w:val="16"/>
        </w:rPr>
        <w:t xml:space="preserve">Medscape. </w:t>
      </w:r>
      <w:r>
        <w:rPr>
          <w:szCs w:val="16"/>
        </w:rPr>
        <w:t xml:space="preserve">URL: </w:t>
      </w:r>
      <w:hyperlink r:id="rId32" w:history="1">
        <w:r w:rsidRPr="009B5E04">
          <w:rPr>
            <w:rStyle w:val="Hyperlink"/>
            <w:szCs w:val="16"/>
          </w:rPr>
          <w:t>medscape.com/viewarticle/europe-and-puberty-blocker-debate-2024a1000831?form=fpf</w:t>
        </w:r>
      </w:hyperlink>
      <w:r>
        <w:rPr>
          <w:szCs w:val="16"/>
        </w:rPr>
        <w:t xml:space="preserve"> (accessed 12 June 2024).</w:t>
      </w:r>
    </w:p>
  </w:footnote>
  <w:footnote w:id="48">
    <w:p w14:paraId="30FF25E8" w14:textId="77777777" w:rsidR="00A152C2" w:rsidRPr="00C23AF6" w:rsidRDefault="00A152C2" w:rsidP="00A152C2">
      <w:pPr>
        <w:pStyle w:val="FootnoteText"/>
        <w:rPr>
          <w:szCs w:val="16"/>
        </w:rPr>
      </w:pPr>
      <w:r w:rsidRPr="00C23AF6">
        <w:rPr>
          <w:rStyle w:val="FootnoteReference"/>
          <w:szCs w:val="16"/>
        </w:rPr>
        <w:footnoteRef/>
      </w:r>
      <w:r w:rsidRPr="00C23AF6">
        <w:rPr>
          <w:szCs w:val="16"/>
        </w:rPr>
        <w:t xml:space="preserve"> </w:t>
      </w:r>
      <w:r>
        <w:rPr>
          <w:szCs w:val="16"/>
        </w:rPr>
        <w:t xml:space="preserve">van der Loos M, Klink D, Hannema S, et al. 2023. </w:t>
      </w:r>
      <w:r w:rsidRPr="00B73765">
        <w:rPr>
          <w:lang w:eastAsia="en-NZ"/>
        </w:rPr>
        <w:t>Children and adolescents in the Amsterdam Cohort of Gender Dysphoria: trends in diagnostic- and treatment trajectories during the first 20 years of the Dutch Protocol</w:t>
      </w:r>
      <w:r>
        <w:rPr>
          <w:lang w:eastAsia="en-NZ"/>
        </w:rPr>
        <w:t xml:space="preserve">. </w:t>
      </w:r>
      <w:r>
        <w:rPr>
          <w:i/>
          <w:iCs/>
          <w:lang w:eastAsia="en-NZ"/>
        </w:rPr>
        <w:t xml:space="preserve">Journal of Sexual Medicine </w:t>
      </w:r>
      <w:r>
        <w:rPr>
          <w:lang w:eastAsia="en-NZ"/>
        </w:rPr>
        <w:t>20(3).</w:t>
      </w:r>
      <w:r>
        <w:rPr>
          <w:szCs w:val="16"/>
        </w:rPr>
        <w:t xml:space="preserve"> URL: </w:t>
      </w:r>
      <w:hyperlink r:id="rId33" w:history="1">
        <w:r w:rsidRPr="009C1639">
          <w:rPr>
            <w:rStyle w:val="Hyperlink"/>
            <w:szCs w:val="16"/>
          </w:rPr>
          <w:t>academic.oup.com/jsm/article/20/3/398/7005631</w:t>
        </w:r>
      </w:hyperlink>
      <w:r>
        <w:rPr>
          <w:szCs w:val="16"/>
        </w:rPr>
        <w:t xml:space="preserve"> (accessed 12 June 2024).</w:t>
      </w:r>
    </w:p>
  </w:footnote>
  <w:footnote w:id="49">
    <w:p w14:paraId="475DF126" w14:textId="77777777" w:rsidR="00A152C2" w:rsidRPr="001E48D3" w:rsidRDefault="00A152C2" w:rsidP="00A152C2">
      <w:pPr>
        <w:pStyle w:val="FootnoteText"/>
        <w:rPr>
          <w:szCs w:val="16"/>
          <w:lang w:val="mi-NZ"/>
        </w:rPr>
      </w:pPr>
      <w:r w:rsidRPr="001E48D3">
        <w:rPr>
          <w:rStyle w:val="FootnoteReference"/>
          <w:szCs w:val="16"/>
        </w:rPr>
        <w:footnoteRef/>
      </w:r>
      <w:r>
        <w:rPr>
          <w:szCs w:val="16"/>
        </w:rPr>
        <w:t xml:space="preserve"> </w:t>
      </w:r>
      <w:r w:rsidRPr="6B936628">
        <w:rPr>
          <w:rFonts w:eastAsia="Segoe UI" w:cs="Segoe UI"/>
          <w:szCs w:val="16"/>
          <w:lang w:eastAsia="en-US"/>
        </w:rPr>
        <w:t>Council for Choices in Healthcare</w:t>
      </w:r>
      <w:r>
        <w:rPr>
          <w:rFonts w:eastAsia="Segoe UI" w:cs="Segoe UI"/>
          <w:szCs w:val="16"/>
          <w:lang w:eastAsia="en-US"/>
        </w:rPr>
        <w:t>. 2020.</w:t>
      </w:r>
      <w:r w:rsidRPr="00B73765">
        <w:rPr>
          <w:lang w:eastAsia="en-NZ"/>
        </w:rPr>
        <w:t xml:space="preserve"> Medical treatment methods for dysphoria associated with variations</w:t>
      </w:r>
      <w:r w:rsidRPr="00B73765">
        <w:t xml:space="preserve"> </w:t>
      </w:r>
      <w:r w:rsidRPr="00B73765">
        <w:rPr>
          <w:lang w:eastAsia="en-NZ"/>
        </w:rPr>
        <w:t>in gender identity in minors – recommendation</w:t>
      </w:r>
      <w:r>
        <w:rPr>
          <w:lang w:eastAsia="en-NZ"/>
        </w:rPr>
        <w:t>. URL:</w:t>
      </w:r>
      <w:r w:rsidRPr="001E48D3">
        <w:rPr>
          <w:szCs w:val="16"/>
        </w:rPr>
        <w:t xml:space="preserve"> </w:t>
      </w:r>
      <w:hyperlink r:id="rId34" w:history="1">
        <w:r w:rsidRPr="00BE5E53">
          <w:rPr>
            <w:rStyle w:val="Hyperlink"/>
            <w:szCs w:val="16"/>
          </w:rPr>
          <w:t>palveluvalikoima.fi/documents/1237350/22895008/Summary_minors_en.pdf/aaf9a6e7-b970-9de9-165c-abedfae46f2e/Summary_minors_en.pdf</w:t>
        </w:r>
      </w:hyperlink>
      <w:r>
        <w:rPr>
          <w:szCs w:val="16"/>
        </w:rPr>
        <w:t xml:space="preserve"> (accessed 12 June 2024).</w:t>
      </w:r>
    </w:p>
  </w:footnote>
  <w:footnote w:id="50">
    <w:p w14:paraId="79F91DA9" w14:textId="77777777" w:rsidR="00A152C2" w:rsidRPr="00C23AF6" w:rsidRDefault="00A152C2" w:rsidP="00A152C2">
      <w:pPr>
        <w:pStyle w:val="FootnoteText"/>
        <w:rPr>
          <w:szCs w:val="16"/>
        </w:rPr>
      </w:pPr>
      <w:r w:rsidRPr="00C23AF6">
        <w:rPr>
          <w:rStyle w:val="FootnoteReference"/>
          <w:szCs w:val="16"/>
        </w:rPr>
        <w:footnoteRef/>
      </w:r>
      <w:r w:rsidRPr="00C23AF6">
        <w:rPr>
          <w:szCs w:val="16"/>
        </w:rPr>
        <w:t xml:space="preserve"> </w:t>
      </w:r>
      <w:r w:rsidRPr="6B936628">
        <w:rPr>
          <w:rFonts w:eastAsia="Segoe UI" w:cs="Segoe UI"/>
          <w:szCs w:val="16"/>
          <w:lang w:eastAsia="en-US"/>
        </w:rPr>
        <w:t>Council for Choices in Healthcare</w:t>
      </w:r>
      <w:r>
        <w:rPr>
          <w:rFonts w:eastAsia="Segoe UI" w:cs="Segoe UI"/>
          <w:szCs w:val="16"/>
          <w:lang w:eastAsia="en-US"/>
        </w:rPr>
        <w:t>. 2020.</w:t>
      </w:r>
      <w:r w:rsidRPr="00B73765">
        <w:rPr>
          <w:lang w:eastAsia="en-NZ"/>
        </w:rPr>
        <w:t xml:space="preserve"> Medical treatment methods for dysphoria associated with variations</w:t>
      </w:r>
      <w:r w:rsidRPr="00B73765">
        <w:t xml:space="preserve"> </w:t>
      </w:r>
      <w:r w:rsidRPr="00B73765">
        <w:rPr>
          <w:lang w:eastAsia="en-NZ"/>
        </w:rPr>
        <w:t>in gender identity in minors – recommendation</w:t>
      </w:r>
      <w:r>
        <w:rPr>
          <w:lang w:eastAsia="en-NZ"/>
        </w:rPr>
        <w:t>. URL:</w:t>
      </w:r>
      <w:r w:rsidRPr="001E48D3">
        <w:rPr>
          <w:szCs w:val="16"/>
        </w:rPr>
        <w:t xml:space="preserve"> </w:t>
      </w:r>
      <w:hyperlink r:id="rId35" w:anchor="genderidentity" w:history="1">
        <w:r w:rsidRPr="00BE5E53">
          <w:rPr>
            <w:rStyle w:val="Hyperlink"/>
            <w:szCs w:val="16"/>
          </w:rPr>
          <w:t>https://palveluvalikoima.fi/en/recommendations#genderidentity</w:t>
        </w:r>
      </w:hyperlink>
      <w:r>
        <w:rPr>
          <w:szCs w:val="16"/>
        </w:rPr>
        <w:t xml:space="preserve"> (accessed 12 June 2024).</w:t>
      </w:r>
    </w:p>
  </w:footnote>
  <w:footnote w:id="51">
    <w:p w14:paraId="64F3DAF2" w14:textId="77777777" w:rsidR="00A152C2" w:rsidRDefault="00A152C2" w:rsidP="00A152C2">
      <w:pPr>
        <w:pStyle w:val="FootnoteText"/>
      </w:pPr>
      <w:r w:rsidRPr="00C23AF6">
        <w:rPr>
          <w:rStyle w:val="FootnoteReference"/>
          <w:szCs w:val="16"/>
        </w:rPr>
        <w:footnoteRef/>
      </w:r>
      <w:r w:rsidRPr="00C23AF6">
        <w:rPr>
          <w:szCs w:val="16"/>
        </w:rPr>
        <w:t xml:space="preserve"> </w:t>
      </w:r>
      <w:r>
        <w:rPr>
          <w:szCs w:val="16"/>
        </w:rPr>
        <w:t>URL:</w:t>
      </w:r>
      <w:r w:rsidRPr="00C23AF6">
        <w:rPr>
          <w:szCs w:val="16"/>
        </w:rPr>
        <w:t xml:space="preserve"> </w:t>
      </w:r>
      <w:hyperlink r:id="rId36" w:history="1">
        <w:r w:rsidRPr="00BE5E53">
          <w:rPr>
            <w:rStyle w:val="Hyperlink"/>
            <w:szCs w:val="16"/>
          </w:rPr>
          <w:t>helsedirektoratet.no/retningslinjer/kjonnsinkongruens</w:t>
        </w:r>
      </w:hyperlink>
      <w:r>
        <w:rPr>
          <w:szCs w:val="16"/>
        </w:rPr>
        <w:t xml:space="preserve"> (accessed 12 June 2024).</w:t>
      </w:r>
    </w:p>
  </w:footnote>
  <w:footnote w:id="52">
    <w:p w14:paraId="7A236E2C" w14:textId="77777777" w:rsidR="00A152C2" w:rsidRPr="00C23AF6" w:rsidRDefault="00A152C2" w:rsidP="00A152C2">
      <w:pPr>
        <w:pStyle w:val="FootnoteText"/>
        <w:rPr>
          <w:szCs w:val="16"/>
        </w:rPr>
      </w:pPr>
      <w:r w:rsidRPr="00BE28F3">
        <w:rPr>
          <w:szCs w:val="16"/>
          <w:vertAlign w:val="superscript"/>
        </w:rPr>
        <w:footnoteRef/>
      </w:r>
      <w:r w:rsidRPr="00BE28F3">
        <w:rPr>
          <w:szCs w:val="16"/>
        </w:rPr>
        <w:t xml:space="preserve"> </w:t>
      </w:r>
      <w:r>
        <w:rPr>
          <w:szCs w:val="16"/>
        </w:rPr>
        <w:t>URL:</w:t>
      </w:r>
      <w:r w:rsidRPr="00C23AF6">
        <w:rPr>
          <w:szCs w:val="16"/>
        </w:rPr>
        <w:t xml:space="preserve"> </w:t>
      </w:r>
      <w:hyperlink r:id="rId37" w:history="1">
        <w:r w:rsidRPr="00D1337B">
          <w:rPr>
            <w:rStyle w:val="Hyperlink"/>
          </w:rPr>
          <w:t>socialstyrelsen.se/globalassets/sharepoint-dokument/artikelkatalog/kunskapsstod/2022-12-8302.pdf</w:t>
        </w:r>
      </w:hyperlink>
      <w:r>
        <w:rPr>
          <w:szCs w:val="16"/>
        </w:rPr>
        <w:t xml:space="preserve"> (accessed 12 June 2024).</w:t>
      </w:r>
    </w:p>
  </w:footnote>
  <w:footnote w:id="53">
    <w:p w14:paraId="3C467C48" w14:textId="77777777" w:rsidR="00A152C2" w:rsidRPr="00C23AF6" w:rsidRDefault="00A152C2" w:rsidP="00A152C2">
      <w:pPr>
        <w:pStyle w:val="FootnoteText"/>
        <w:rPr>
          <w:szCs w:val="16"/>
        </w:rPr>
      </w:pPr>
      <w:r w:rsidRPr="00C23AF6">
        <w:rPr>
          <w:rStyle w:val="FootnoteReference"/>
          <w:szCs w:val="16"/>
        </w:rPr>
        <w:footnoteRef/>
      </w:r>
      <w:r w:rsidRPr="00C23AF6">
        <w:rPr>
          <w:szCs w:val="16"/>
        </w:rPr>
        <w:t xml:space="preserve"> </w:t>
      </w:r>
      <w:r w:rsidRPr="00591CBF">
        <w:rPr>
          <w:lang w:eastAsia="en-NZ"/>
        </w:rPr>
        <w:t>Medicine and gender transidentity in children and adolescents</w:t>
      </w:r>
      <w:r>
        <w:rPr>
          <w:lang w:eastAsia="en-NZ"/>
        </w:rPr>
        <w:t>. URL:</w:t>
      </w:r>
      <w:r>
        <w:rPr>
          <w:szCs w:val="16"/>
        </w:rPr>
        <w:t xml:space="preserve"> </w:t>
      </w:r>
      <w:hyperlink r:id="rId38" w:history="1">
        <w:r w:rsidRPr="00493D7F">
          <w:rPr>
            <w:rStyle w:val="Hyperlink"/>
            <w:szCs w:val="16"/>
          </w:rPr>
          <w:t>academie-medecine.fr/la-medecine-face-a-la-transidentite-de-genre-chez-les-enfants-et-les-adolescents/?lang=en</w:t>
        </w:r>
      </w:hyperlink>
      <w:r>
        <w:rPr>
          <w:szCs w:val="16"/>
        </w:rPr>
        <w:t xml:space="preserve"> (accessed 12 June 2024).</w:t>
      </w:r>
    </w:p>
  </w:footnote>
  <w:footnote w:id="54">
    <w:p w14:paraId="771A9804" w14:textId="77777777" w:rsidR="00A152C2" w:rsidRPr="00C23AF6" w:rsidRDefault="00A152C2" w:rsidP="00A152C2">
      <w:pPr>
        <w:pStyle w:val="FootnoteText"/>
        <w:rPr>
          <w:szCs w:val="16"/>
        </w:rPr>
      </w:pPr>
      <w:r w:rsidRPr="00C23AF6">
        <w:rPr>
          <w:rStyle w:val="FootnoteReference"/>
          <w:szCs w:val="16"/>
        </w:rPr>
        <w:footnoteRef/>
      </w:r>
      <w:r w:rsidRPr="00C23AF6">
        <w:rPr>
          <w:szCs w:val="16"/>
        </w:rPr>
        <w:t xml:space="preserve"> </w:t>
      </w:r>
      <w:r>
        <w:rPr>
          <w:szCs w:val="16"/>
        </w:rPr>
        <w:t>Moreno-P</w:t>
      </w:r>
      <w:r>
        <w:rPr>
          <w:rFonts w:cs="Segoe UI"/>
          <w:szCs w:val="16"/>
        </w:rPr>
        <w:t>é</w:t>
      </w:r>
      <w:r>
        <w:rPr>
          <w:szCs w:val="16"/>
        </w:rPr>
        <w:t xml:space="preserve">rez O, de Antonio I, GIDSEEN. 2012. </w:t>
      </w:r>
      <w:r w:rsidRPr="00C23AF6">
        <w:rPr>
          <w:szCs w:val="16"/>
        </w:rPr>
        <w:t xml:space="preserve">Clinical practice guidelines for assessment and treatment of transsexualism. SEEN identity and sexual differentiation group (GIDSEEN). </w:t>
      </w:r>
      <w:r w:rsidRPr="00D1337B">
        <w:rPr>
          <w:i/>
          <w:iCs/>
          <w:szCs w:val="16"/>
        </w:rPr>
        <w:t>Endocrinol</w:t>
      </w:r>
      <w:r w:rsidRPr="00D1337B">
        <w:rPr>
          <w:i/>
          <w:iCs/>
          <w:lang w:eastAsia="en-NZ"/>
        </w:rPr>
        <w:t>ogía</w:t>
      </w:r>
      <w:r w:rsidRPr="00D1337B">
        <w:rPr>
          <w:i/>
          <w:iCs/>
          <w:szCs w:val="16"/>
        </w:rPr>
        <w:t xml:space="preserve"> y Nutr</w:t>
      </w:r>
      <w:r w:rsidRPr="00D1337B">
        <w:rPr>
          <w:i/>
          <w:iCs/>
          <w:lang w:eastAsia="en-NZ"/>
        </w:rPr>
        <w:t>ición</w:t>
      </w:r>
      <w:r w:rsidRPr="00D1337B">
        <w:rPr>
          <w:i/>
          <w:iCs/>
          <w:szCs w:val="16"/>
        </w:rPr>
        <w:t xml:space="preserve"> (English edn)</w:t>
      </w:r>
      <w:r>
        <w:rPr>
          <w:szCs w:val="16"/>
        </w:rPr>
        <w:t xml:space="preserve"> </w:t>
      </w:r>
      <w:r w:rsidRPr="00C23AF6">
        <w:rPr>
          <w:szCs w:val="16"/>
        </w:rPr>
        <w:t>59</w:t>
      </w:r>
      <w:r>
        <w:rPr>
          <w:szCs w:val="16"/>
        </w:rPr>
        <w:t>(6)</w:t>
      </w:r>
      <w:r w:rsidRPr="00C23AF6">
        <w:rPr>
          <w:szCs w:val="16"/>
        </w:rPr>
        <w:t>:</w:t>
      </w:r>
      <w:r>
        <w:rPr>
          <w:szCs w:val="16"/>
        </w:rPr>
        <w:t xml:space="preserve"> </w:t>
      </w:r>
      <w:r w:rsidRPr="00C23AF6">
        <w:rPr>
          <w:szCs w:val="16"/>
        </w:rPr>
        <w:t>367–82</w:t>
      </w:r>
      <w:r>
        <w:rPr>
          <w:szCs w:val="16"/>
        </w:rPr>
        <w:t>.</w:t>
      </w:r>
    </w:p>
  </w:footnote>
  <w:footnote w:id="55">
    <w:p w14:paraId="5246C4B1" w14:textId="77777777" w:rsidR="00A152C2" w:rsidRPr="00C23AF6" w:rsidRDefault="00A152C2" w:rsidP="00A152C2">
      <w:pPr>
        <w:pStyle w:val="FootnoteText"/>
        <w:rPr>
          <w:szCs w:val="16"/>
        </w:rPr>
      </w:pPr>
      <w:r w:rsidRPr="00C23AF6">
        <w:rPr>
          <w:rStyle w:val="FootnoteReference"/>
          <w:szCs w:val="16"/>
        </w:rPr>
        <w:footnoteRef/>
      </w:r>
      <w:r w:rsidRPr="00C23AF6">
        <w:rPr>
          <w:szCs w:val="16"/>
        </w:rPr>
        <w:t xml:space="preserve"> </w:t>
      </w:r>
      <w:r>
        <w:rPr>
          <w:szCs w:val="16"/>
        </w:rPr>
        <w:t>de Antonio I, Araque NA, Murillo FH, et al.</w:t>
      </w:r>
      <w:r w:rsidRPr="00FB1800">
        <w:rPr>
          <w:szCs w:val="16"/>
        </w:rPr>
        <w:t xml:space="preserve"> </w:t>
      </w:r>
      <w:r w:rsidRPr="00C23AF6">
        <w:rPr>
          <w:szCs w:val="16"/>
        </w:rPr>
        <w:t>2015</w:t>
      </w:r>
      <w:r>
        <w:rPr>
          <w:szCs w:val="16"/>
        </w:rPr>
        <w:t xml:space="preserve">. </w:t>
      </w:r>
      <w:r w:rsidRPr="00C23AF6">
        <w:rPr>
          <w:szCs w:val="16"/>
        </w:rPr>
        <w:t xml:space="preserve">Position statement: gender dysphoria in childhood and adolescence. Working group on gender identity and sexual development of the Spanish society of endocrinology and nutrition (GIDSEEN). </w:t>
      </w:r>
      <w:r w:rsidRPr="00D811F6">
        <w:rPr>
          <w:i/>
          <w:iCs/>
          <w:szCs w:val="16"/>
        </w:rPr>
        <w:t>Endocrinol</w:t>
      </w:r>
      <w:r w:rsidRPr="00D811F6">
        <w:rPr>
          <w:i/>
          <w:iCs/>
          <w:lang w:eastAsia="en-NZ"/>
        </w:rPr>
        <w:t>ogía</w:t>
      </w:r>
      <w:r w:rsidRPr="00D811F6">
        <w:rPr>
          <w:i/>
          <w:iCs/>
          <w:szCs w:val="16"/>
        </w:rPr>
        <w:t xml:space="preserve"> y Nutr</w:t>
      </w:r>
      <w:r w:rsidRPr="00D811F6">
        <w:rPr>
          <w:i/>
          <w:iCs/>
          <w:lang w:eastAsia="en-NZ"/>
        </w:rPr>
        <w:t>ición</w:t>
      </w:r>
      <w:r w:rsidRPr="00D811F6">
        <w:rPr>
          <w:i/>
          <w:iCs/>
          <w:szCs w:val="16"/>
        </w:rPr>
        <w:t xml:space="preserve"> (English edn)</w:t>
      </w:r>
      <w:r>
        <w:rPr>
          <w:i/>
          <w:iCs/>
          <w:szCs w:val="16"/>
        </w:rPr>
        <w:t xml:space="preserve"> </w:t>
      </w:r>
      <w:r w:rsidRPr="00C23AF6">
        <w:rPr>
          <w:szCs w:val="16"/>
        </w:rPr>
        <w:t>62:</w:t>
      </w:r>
      <w:r>
        <w:rPr>
          <w:szCs w:val="16"/>
        </w:rPr>
        <w:t xml:space="preserve"> </w:t>
      </w:r>
      <w:r w:rsidRPr="00C23AF6">
        <w:rPr>
          <w:szCs w:val="16"/>
        </w:rPr>
        <w:t>380–3.</w:t>
      </w:r>
    </w:p>
  </w:footnote>
  <w:footnote w:id="56">
    <w:p w14:paraId="7FF4A239" w14:textId="77777777" w:rsidR="00A152C2" w:rsidRPr="00C23AF6" w:rsidRDefault="00A152C2" w:rsidP="00A152C2">
      <w:pPr>
        <w:pStyle w:val="FootnoteText"/>
        <w:rPr>
          <w:szCs w:val="16"/>
        </w:rPr>
      </w:pPr>
      <w:r w:rsidRPr="00C23AF6">
        <w:rPr>
          <w:rStyle w:val="FootnoteReference"/>
          <w:szCs w:val="16"/>
        </w:rPr>
        <w:footnoteRef/>
      </w:r>
      <w:r w:rsidRPr="00C23AF6">
        <w:rPr>
          <w:szCs w:val="16"/>
        </w:rPr>
        <w:t xml:space="preserve"> </w:t>
      </w:r>
      <w:r w:rsidRPr="00591CBF">
        <w:rPr>
          <w:lang w:eastAsia="en-NZ"/>
        </w:rPr>
        <w:t>Coleman</w:t>
      </w:r>
      <w:r>
        <w:rPr>
          <w:lang w:eastAsia="en-NZ"/>
        </w:rPr>
        <w:t xml:space="preserve"> E</w:t>
      </w:r>
      <w:r w:rsidRPr="00591CBF">
        <w:rPr>
          <w:lang w:eastAsia="en-NZ"/>
        </w:rPr>
        <w:t>, Radix</w:t>
      </w:r>
      <w:r>
        <w:rPr>
          <w:lang w:eastAsia="en-NZ"/>
        </w:rPr>
        <w:t xml:space="preserve"> AE</w:t>
      </w:r>
      <w:r w:rsidRPr="00591CBF">
        <w:rPr>
          <w:lang w:eastAsia="en-NZ"/>
        </w:rPr>
        <w:t>, Bouman</w:t>
      </w:r>
      <w:r>
        <w:rPr>
          <w:lang w:eastAsia="en-NZ"/>
        </w:rPr>
        <w:t xml:space="preserve"> WP</w:t>
      </w:r>
      <w:r w:rsidRPr="00591CBF">
        <w:rPr>
          <w:lang w:eastAsia="en-NZ"/>
        </w:rPr>
        <w:t xml:space="preserve">, </w:t>
      </w:r>
      <w:r>
        <w:rPr>
          <w:lang w:eastAsia="en-NZ"/>
        </w:rPr>
        <w:t xml:space="preserve">et al. </w:t>
      </w:r>
      <w:r w:rsidRPr="00591CBF">
        <w:rPr>
          <w:lang w:eastAsia="en-NZ"/>
        </w:rPr>
        <w:t>2022 Standards of Care for the Health of Transgender and Gender</w:t>
      </w:r>
      <w:r>
        <w:rPr>
          <w:lang w:eastAsia="en-NZ"/>
        </w:rPr>
        <w:t xml:space="preserve"> </w:t>
      </w:r>
      <w:r w:rsidRPr="00591CBF">
        <w:rPr>
          <w:lang w:eastAsia="en-NZ"/>
        </w:rPr>
        <w:t>Diverse People, Version 8</w:t>
      </w:r>
      <w:r>
        <w:rPr>
          <w:lang w:eastAsia="en-NZ"/>
        </w:rPr>
        <w:t>.</w:t>
      </w:r>
      <w:r w:rsidRPr="00591CBF">
        <w:rPr>
          <w:lang w:eastAsia="en-NZ"/>
        </w:rPr>
        <w:t xml:space="preserve"> </w:t>
      </w:r>
      <w:r w:rsidRPr="00591CBF">
        <w:rPr>
          <w:i/>
          <w:iCs/>
          <w:lang w:eastAsia="en-NZ"/>
        </w:rPr>
        <w:t>International Journal of Transgender Health</w:t>
      </w:r>
      <w:r w:rsidRPr="00591CBF">
        <w:rPr>
          <w:lang w:eastAsia="en-NZ"/>
        </w:rPr>
        <w:t xml:space="preserve"> 23</w:t>
      </w:r>
      <w:r>
        <w:rPr>
          <w:lang w:eastAsia="en-NZ"/>
        </w:rPr>
        <w:t>(</w:t>
      </w:r>
      <w:r w:rsidRPr="00591CBF">
        <w:rPr>
          <w:lang w:eastAsia="en-NZ"/>
        </w:rPr>
        <w:t>sup1</w:t>
      </w:r>
      <w:r>
        <w:rPr>
          <w:lang w:eastAsia="en-NZ"/>
        </w:rPr>
        <w:t>):</w:t>
      </w:r>
      <w:r w:rsidRPr="00591CBF">
        <w:rPr>
          <w:lang w:eastAsia="en-NZ"/>
        </w:rPr>
        <w:t xml:space="preserve"> S1-S259, DOI:</w:t>
      </w:r>
      <w:r>
        <w:rPr>
          <w:lang w:eastAsia="en-NZ"/>
        </w:rPr>
        <w:t xml:space="preserve"> </w:t>
      </w:r>
      <w:r w:rsidRPr="00591CBF">
        <w:rPr>
          <w:lang w:eastAsia="en-NZ"/>
        </w:rPr>
        <w:t>10.1080/26895269.2022.2100644</w:t>
      </w:r>
      <w:r>
        <w:rPr>
          <w:lang w:eastAsia="en-NZ"/>
        </w:rPr>
        <w:t>.</w:t>
      </w:r>
    </w:p>
  </w:footnote>
  <w:footnote w:id="57">
    <w:p w14:paraId="6700626F" w14:textId="77777777" w:rsidR="00A152C2" w:rsidRPr="00C23AF6" w:rsidRDefault="00A152C2" w:rsidP="00A152C2">
      <w:pPr>
        <w:pStyle w:val="FootnoteText"/>
        <w:rPr>
          <w:szCs w:val="16"/>
        </w:rPr>
      </w:pPr>
      <w:r w:rsidRPr="00C23AF6">
        <w:rPr>
          <w:rStyle w:val="FootnoteReference"/>
          <w:szCs w:val="16"/>
        </w:rPr>
        <w:footnoteRef/>
      </w:r>
      <w:r w:rsidRPr="00C23AF6">
        <w:rPr>
          <w:szCs w:val="16"/>
        </w:rPr>
        <w:t xml:space="preserve"> </w:t>
      </w:r>
      <w:r w:rsidRPr="6B936628">
        <w:rPr>
          <w:rFonts w:eastAsia="Segoe UI" w:cs="Segoe UI"/>
          <w:szCs w:val="16"/>
          <w:lang w:eastAsia="en-US"/>
        </w:rPr>
        <w:t>Danish Health Authority</w:t>
      </w:r>
      <w:r>
        <w:rPr>
          <w:rFonts w:eastAsia="Segoe UI" w:cs="Segoe UI"/>
          <w:szCs w:val="16"/>
          <w:lang w:eastAsia="en-US"/>
        </w:rPr>
        <w:t>. 2018.</w:t>
      </w:r>
      <w:r>
        <w:rPr>
          <w:szCs w:val="16"/>
        </w:rPr>
        <w:t xml:space="preserve"> </w:t>
      </w:r>
      <w:r w:rsidRPr="00D811F6">
        <w:rPr>
          <w:rFonts w:eastAsia="Segoe UI" w:cs="Segoe UI"/>
          <w:i/>
          <w:iCs/>
          <w:szCs w:val="16"/>
          <w:lang w:eastAsia="en-US"/>
        </w:rPr>
        <w:t xml:space="preserve">Guide on </w:t>
      </w:r>
      <w:r w:rsidRPr="00D5432A">
        <w:rPr>
          <w:rFonts w:eastAsia="Segoe UI" w:cs="Segoe UI"/>
          <w:i/>
          <w:iCs/>
          <w:szCs w:val="16"/>
          <w:lang w:eastAsia="en-US"/>
        </w:rPr>
        <w:t xml:space="preserve">Healthcare </w:t>
      </w:r>
      <w:r w:rsidRPr="00D811F6">
        <w:rPr>
          <w:rFonts w:eastAsia="Segoe UI" w:cs="Segoe UI"/>
          <w:i/>
          <w:iCs/>
          <w:szCs w:val="16"/>
          <w:lang w:eastAsia="en-US"/>
        </w:rPr>
        <w:t xml:space="preserve">related to </w:t>
      </w:r>
      <w:r w:rsidRPr="00D5432A">
        <w:rPr>
          <w:rFonts w:eastAsia="Segoe UI" w:cs="Segoe UI"/>
          <w:i/>
          <w:iCs/>
          <w:szCs w:val="16"/>
          <w:lang w:eastAsia="en-US"/>
        </w:rPr>
        <w:t>Gender Identity</w:t>
      </w:r>
      <w:r>
        <w:rPr>
          <w:rFonts w:eastAsia="Segoe UI" w:cs="Segoe UI"/>
          <w:i/>
          <w:iCs/>
          <w:szCs w:val="16"/>
          <w:lang w:eastAsia="en-US"/>
        </w:rPr>
        <w:t>.</w:t>
      </w:r>
      <w:r>
        <w:rPr>
          <w:szCs w:val="16"/>
        </w:rPr>
        <w:t xml:space="preserve"> URL: </w:t>
      </w:r>
      <w:hyperlink r:id="rId39" w:history="1">
        <w:r w:rsidRPr="00493D7F">
          <w:rPr>
            <w:rStyle w:val="Hyperlink"/>
            <w:szCs w:val="16"/>
          </w:rPr>
          <w:t>sst.dk/-/media/English/Publications/2018/Guide-on-healthcare-related-to-gender-identity.ashx</w:t>
        </w:r>
      </w:hyperlink>
      <w:r>
        <w:rPr>
          <w:szCs w:val="16"/>
        </w:rPr>
        <w:t xml:space="preserve"> (accessed 12 June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10"/>
      <w:gridCol w:w="4429"/>
    </w:tblGrid>
    <w:tr w:rsidR="005A79E5" w14:paraId="11530A0D" w14:textId="77777777" w:rsidTr="008F2B72">
      <w:trPr>
        <w:cantSplit/>
      </w:trPr>
      <w:tc>
        <w:tcPr>
          <w:tcW w:w="5210" w:type="dxa"/>
          <w:vAlign w:val="center"/>
        </w:tcPr>
        <w:p w14:paraId="2BDE3162" w14:textId="4E67EED4" w:rsidR="005A79E5" w:rsidRDefault="00B26F0F" w:rsidP="00B26F0F">
          <w:pPr>
            <w:pStyle w:val="Header"/>
          </w:pPr>
          <w:bookmarkStart w:id="0" w:name="_Hlk110933925"/>
          <w:r>
            <w:rPr>
              <w:noProof/>
              <w:lang w:eastAsia="en-NZ"/>
            </w:rPr>
            <w:drawing>
              <wp:inline distT="0" distB="0" distL="0" distR="0" wp14:anchorId="04421456" wp14:editId="75EF9929">
                <wp:extent cx="2294626" cy="54292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l="10400" t="16015" r="61171" b="13256"/>
                        <a:stretch/>
                      </pic:blipFill>
                      <pic:spPr bwMode="auto">
                        <a:xfrm>
                          <a:off x="0" y="0"/>
                          <a:ext cx="2294626" cy="542925"/>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06193D58" w14:textId="31929113" w:rsidR="005A79E5" w:rsidRDefault="008F2B72" w:rsidP="00301815">
          <w:pPr>
            <w:pStyle w:val="Header"/>
            <w:jc w:val="right"/>
          </w:pPr>
          <w:r>
            <w:rPr>
              <w:noProof/>
            </w:rPr>
            <w:drawing>
              <wp:anchor distT="0" distB="0" distL="114300" distR="114300" simplePos="0" relativeHeight="251658240" behindDoc="0" locked="0" layoutInCell="1" allowOverlap="1" wp14:anchorId="1D75C094" wp14:editId="479D978A">
                <wp:simplePos x="0" y="0"/>
                <wp:positionH relativeFrom="column">
                  <wp:posOffset>1365885</wp:posOffset>
                </wp:positionH>
                <wp:positionV relativeFrom="paragraph">
                  <wp:posOffset>-2540</wp:posOffset>
                </wp:positionV>
                <wp:extent cx="1518285" cy="718185"/>
                <wp:effectExtent l="0" t="0" r="0" b="0"/>
                <wp:wrapNone/>
                <wp:docPr id="4" name="Picture 4" descr="Ministry of Health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inistry of Health logo">
                          <a:extLst>
                            <a:ext uri="{C183D7F6-B498-43B3-948B-1728B52AA6E4}">
                              <adec:decorative xmlns:adec="http://schemas.microsoft.com/office/drawing/2017/decorative" val="0"/>
                            </a:ext>
                          </a:extLst>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18285" cy="71818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0"/>
  </w:tbl>
  <w:p w14:paraId="4AC8EC99" w14:textId="1B35D83E" w:rsidR="005665FD" w:rsidRDefault="005665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22E4F" w14:textId="77777777" w:rsidR="00E42F5D" w:rsidRDefault="00E42F5D" w:rsidP="00533B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17B0" w14:textId="77777777" w:rsidR="00660F74" w:rsidRDefault="00660F74" w:rsidP="009001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3EC00" w14:textId="77777777" w:rsidR="00926083" w:rsidRDefault="0092608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1" w15:restartNumberingAfterBreak="0">
    <w:nsid w:val="052041F9"/>
    <w:multiLevelType w:val="hybridMultilevel"/>
    <w:tmpl w:val="ABAC7CB8"/>
    <w:lvl w:ilvl="0" w:tplc="614058B0">
      <w:start w:val="1"/>
      <w:numFmt w:val="decimal"/>
      <w:lvlText w:val="%1."/>
      <w:lvlJc w:val="left"/>
      <w:pPr>
        <w:ind w:left="840" w:hanging="360"/>
      </w:pPr>
      <w:rPr>
        <w:rFonts w:hint="default"/>
      </w:rPr>
    </w:lvl>
    <w:lvl w:ilvl="1" w:tplc="14090019">
      <w:start w:val="1"/>
      <w:numFmt w:val="lowerLetter"/>
      <w:lvlText w:val="%2."/>
      <w:lvlJc w:val="left"/>
      <w:pPr>
        <w:ind w:left="1560" w:hanging="360"/>
      </w:pPr>
    </w:lvl>
    <w:lvl w:ilvl="2" w:tplc="1409001B">
      <w:start w:val="1"/>
      <w:numFmt w:val="lowerRoman"/>
      <w:lvlText w:val="%3."/>
      <w:lvlJc w:val="right"/>
      <w:pPr>
        <w:ind w:left="2280" w:hanging="180"/>
      </w:pPr>
    </w:lvl>
    <w:lvl w:ilvl="3" w:tplc="1409000F" w:tentative="1">
      <w:start w:val="1"/>
      <w:numFmt w:val="decimal"/>
      <w:lvlText w:val="%4."/>
      <w:lvlJc w:val="left"/>
      <w:pPr>
        <w:ind w:left="3000" w:hanging="360"/>
      </w:pPr>
    </w:lvl>
    <w:lvl w:ilvl="4" w:tplc="14090019" w:tentative="1">
      <w:start w:val="1"/>
      <w:numFmt w:val="lowerLetter"/>
      <w:lvlText w:val="%5."/>
      <w:lvlJc w:val="left"/>
      <w:pPr>
        <w:ind w:left="3720" w:hanging="360"/>
      </w:pPr>
    </w:lvl>
    <w:lvl w:ilvl="5" w:tplc="1409001B" w:tentative="1">
      <w:start w:val="1"/>
      <w:numFmt w:val="lowerRoman"/>
      <w:lvlText w:val="%6."/>
      <w:lvlJc w:val="right"/>
      <w:pPr>
        <w:ind w:left="4440" w:hanging="180"/>
      </w:pPr>
    </w:lvl>
    <w:lvl w:ilvl="6" w:tplc="1409000F" w:tentative="1">
      <w:start w:val="1"/>
      <w:numFmt w:val="decimal"/>
      <w:lvlText w:val="%7."/>
      <w:lvlJc w:val="left"/>
      <w:pPr>
        <w:ind w:left="5160" w:hanging="360"/>
      </w:pPr>
    </w:lvl>
    <w:lvl w:ilvl="7" w:tplc="14090019" w:tentative="1">
      <w:start w:val="1"/>
      <w:numFmt w:val="lowerLetter"/>
      <w:lvlText w:val="%8."/>
      <w:lvlJc w:val="left"/>
      <w:pPr>
        <w:ind w:left="5880" w:hanging="360"/>
      </w:pPr>
    </w:lvl>
    <w:lvl w:ilvl="8" w:tplc="1409001B" w:tentative="1">
      <w:start w:val="1"/>
      <w:numFmt w:val="lowerRoman"/>
      <w:lvlText w:val="%9."/>
      <w:lvlJc w:val="right"/>
      <w:pPr>
        <w:ind w:left="6600" w:hanging="180"/>
      </w:pPr>
    </w:lvl>
  </w:abstractNum>
  <w:abstractNum w:abstractNumId="2" w15:restartNumberingAfterBreak="0">
    <w:nsid w:val="07BA0EC1"/>
    <w:multiLevelType w:val="hybridMultilevel"/>
    <w:tmpl w:val="0FDE2E92"/>
    <w:lvl w:ilvl="0" w:tplc="9B36D550">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F487000"/>
    <w:multiLevelType w:val="hybridMultilevel"/>
    <w:tmpl w:val="D1508736"/>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4" w15:restartNumberingAfterBreak="0">
    <w:nsid w:val="11023BAD"/>
    <w:multiLevelType w:val="hybridMultilevel"/>
    <w:tmpl w:val="4830DBB8"/>
    <w:lvl w:ilvl="0" w:tplc="AEE29EB8">
      <w:start w:val="1"/>
      <w:numFmt w:val="bullet"/>
      <w:lvlText w:val="•"/>
      <w:lvlJc w:val="left"/>
      <w:pPr>
        <w:ind w:left="246" w:hanging="134"/>
      </w:pPr>
      <w:rPr>
        <w:rFonts w:ascii="Arial Unicode MS" w:eastAsia="Arial Unicode MS" w:hAnsi="Arial Unicode MS" w:hint="default"/>
        <w:w w:val="107"/>
        <w:sz w:val="21"/>
        <w:szCs w:val="21"/>
      </w:rPr>
    </w:lvl>
    <w:lvl w:ilvl="1" w:tplc="A89C032A">
      <w:start w:val="1"/>
      <w:numFmt w:val="bullet"/>
      <w:lvlText w:val="•"/>
      <w:lvlJc w:val="left"/>
      <w:pPr>
        <w:ind w:left="464" w:hanging="134"/>
      </w:pPr>
      <w:rPr>
        <w:rFonts w:hint="default"/>
      </w:rPr>
    </w:lvl>
    <w:lvl w:ilvl="2" w:tplc="AFB65F98">
      <w:start w:val="1"/>
      <w:numFmt w:val="bullet"/>
      <w:lvlText w:val="•"/>
      <w:lvlJc w:val="left"/>
      <w:pPr>
        <w:ind w:left="682" w:hanging="134"/>
      </w:pPr>
      <w:rPr>
        <w:rFonts w:hint="default"/>
      </w:rPr>
    </w:lvl>
    <w:lvl w:ilvl="3" w:tplc="A148FA04">
      <w:start w:val="1"/>
      <w:numFmt w:val="bullet"/>
      <w:lvlText w:val="•"/>
      <w:lvlJc w:val="left"/>
      <w:pPr>
        <w:ind w:left="900" w:hanging="134"/>
      </w:pPr>
      <w:rPr>
        <w:rFonts w:hint="default"/>
      </w:rPr>
    </w:lvl>
    <w:lvl w:ilvl="4" w:tplc="F490CA92">
      <w:start w:val="1"/>
      <w:numFmt w:val="bullet"/>
      <w:lvlText w:val="•"/>
      <w:lvlJc w:val="left"/>
      <w:pPr>
        <w:ind w:left="1118" w:hanging="134"/>
      </w:pPr>
      <w:rPr>
        <w:rFonts w:hint="default"/>
      </w:rPr>
    </w:lvl>
    <w:lvl w:ilvl="5" w:tplc="B9903E90">
      <w:start w:val="1"/>
      <w:numFmt w:val="bullet"/>
      <w:lvlText w:val="•"/>
      <w:lvlJc w:val="left"/>
      <w:pPr>
        <w:ind w:left="1336" w:hanging="134"/>
      </w:pPr>
      <w:rPr>
        <w:rFonts w:hint="default"/>
      </w:rPr>
    </w:lvl>
    <w:lvl w:ilvl="6" w:tplc="811ED8BC">
      <w:start w:val="1"/>
      <w:numFmt w:val="bullet"/>
      <w:lvlText w:val="•"/>
      <w:lvlJc w:val="left"/>
      <w:pPr>
        <w:ind w:left="1554" w:hanging="134"/>
      </w:pPr>
      <w:rPr>
        <w:rFonts w:hint="default"/>
      </w:rPr>
    </w:lvl>
    <w:lvl w:ilvl="7" w:tplc="20BC151E">
      <w:start w:val="1"/>
      <w:numFmt w:val="bullet"/>
      <w:lvlText w:val="•"/>
      <w:lvlJc w:val="left"/>
      <w:pPr>
        <w:ind w:left="1771" w:hanging="134"/>
      </w:pPr>
      <w:rPr>
        <w:rFonts w:hint="default"/>
      </w:rPr>
    </w:lvl>
    <w:lvl w:ilvl="8" w:tplc="80AA897C">
      <w:start w:val="1"/>
      <w:numFmt w:val="bullet"/>
      <w:lvlText w:val="•"/>
      <w:lvlJc w:val="left"/>
      <w:pPr>
        <w:ind w:left="1989" w:hanging="134"/>
      </w:pPr>
      <w:rPr>
        <w:rFonts w:hint="default"/>
      </w:rPr>
    </w:lvl>
  </w:abstractNum>
  <w:abstractNum w:abstractNumId="5" w15:restartNumberingAfterBreak="0">
    <w:nsid w:val="1915754A"/>
    <w:multiLevelType w:val="hybridMultilevel"/>
    <w:tmpl w:val="BE16CB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A6C6694"/>
    <w:multiLevelType w:val="hybridMultilevel"/>
    <w:tmpl w:val="27DA59F2"/>
    <w:lvl w:ilvl="0" w:tplc="F6EEA218">
      <w:start w:val="1"/>
      <w:numFmt w:val="bullet"/>
      <w:lvlText w:val="•"/>
      <w:lvlJc w:val="left"/>
      <w:pPr>
        <w:ind w:left="559" w:hanging="134"/>
      </w:pPr>
      <w:rPr>
        <w:rFonts w:ascii="Lucida Sans Unicode" w:eastAsia="Lucida Sans Unicode" w:hAnsi="Lucida Sans Unicode" w:hint="default"/>
        <w:w w:val="59"/>
        <w:sz w:val="21"/>
        <w:szCs w:val="21"/>
      </w:rPr>
    </w:lvl>
    <w:lvl w:ilvl="1" w:tplc="002E3EAE">
      <w:start w:val="1"/>
      <w:numFmt w:val="bullet"/>
      <w:lvlText w:val="•"/>
      <w:lvlJc w:val="left"/>
      <w:pPr>
        <w:ind w:left="808" w:hanging="134"/>
      </w:pPr>
      <w:rPr>
        <w:rFonts w:hint="default"/>
      </w:rPr>
    </w:lvl>
    <w:lvl w:ilvl="2" w:tplc="2D64B7B0">
      <w:start w:val="1"/>
      <w:numFmt w:val="bullet"/>
      <w:lvlText w:val="•"/>
      <w:lvlJc w:val="left"/>
      <w:pPr>
        <w:ind w:left="1057" w:hanging="134"/>
      </w:pPr>
      <w:rPr>
        <w:rFonts w:hint="default"/>
      </w:rPr>
    </w:lvl>
    <w:lvl w:ilvl="3" w:tplc="82F22056">
      <w:start w:val="1"/>
      <w:numFmt w:val="bullet"/>
      <w:lvlText w:val="•"/>
      <w:lvlJc w:val="left"/>
      <w:pPr>
        <w:ind w:left="1306" w:hanging="134"/>
      </w:pPr>
      <w:rPr>
        <w:rFonts w:hint="default"/>
      </w:rPr>
    </w:lvl>
    <w:lvl w:ilvl="4" w:tplc="D920647A">
      <w:start w:val="1"/>
      <w:numFmt w:val="bullet"/>
      <w:lvlText w:val="•"/>
      <w:lvlJc w:val="left"/>
      <w:pPr>
        <w:ind w:left="1556" w:hanging="134"/>
      </w:pPr>
      <w:rPr>
        <w:rFonts w:hint="default"/>
      </w:rPr>
    </w:lvl>
    <w:lvl w:ilvl="5" w:tplc="24E6088C">
      <w:start w:val="1"/>
      <w:numFmt w:val="bullet"/>
      <w:lvlText w:val="•"/>
      <w:lvlJc w:val="left"/>
      <w:pPr>
        <w:ind w:left="1805" w:hanging="134"/>
      </w:pPr>
      <w:rPr>
        <w:rFonts w:hint="default"/>
      </w:rPr>
    </w:lvl>
    <w:lvl w:ilvl="6" w:tplc="273217BC">
      <w:start w:val="1"/>
      <w:numFmt w:val="bullet"/>
      <w:lvlText w:val="•"/>
      <w:lvlJc w:val="left"/>
      <w:pPr>
        <w:ind w:left="2054" w:hanging="134"/>
      </w:pPr>
      <w:rPr>
        <w:rFonts w:hint="default"/>
      </w:rPr>
    </w:lvl>
    <w:lvl w:ilvl="7" w:tplc="FCFE4A4A">
      <w:start w:val="1"/>
      <w:numFmt w:val="bullet"/>
      <w:lvlText w:val="•"/>
      <w:lvlJc w:val="left"/>
      <w:pPr>
        <w:ind w:left="2303" w:hanging="134"/>
      </w:pPr>
      <w:rPr>
        <w:rFonts w:hint="default"/>
      </w:rPr>
    </w:lvl>
    <w:lvl w:ilvl="8" w:tplc="47085256">
      <w:start w:val="1"/>
      <w:numFmt w:val="bullet"/>
      <w:lvlText w:val="•"/>
      <w:lvlJc w:val="left"/>
      <w:pPr>
        <w:ind w:left="2552" w:hanging="134"/>
      </w:pPr>
      <w:rPr>
        <w:rFonts w:hint="default"/>
      </w:rPr>
    </w:lvl>
  </w:abstractNum>
  <w:abstractNum w:abstractNumId="7" w15:restartNumberingAfterBreak="0">
    <w:nsid w:val="1AD22446"/>
    <w:multiLevelType w:val="hybridMultilevel"/>
    <w:tmpl w:val="82B031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BF65D06"/>
    <w:multiLevelType w:val="hybridMultilevel"/>
    <w:tmpl w:val="0C0C9346"/>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1E2C3CC1"/>
    <w:multiLevelType w:val="hybridMultilevel"/>
    <w:tmpl w:val="EEF8345E"/>
    <w:lvl w:ilvl="0" w:tplc="5B960B98">
      <w:start w:val="1"/>
      <w:numFmt w:val="bullet"/>
      <w:lvlText w:val="•"/>
      <w:lvlJc w:val="left"/>
      <w:pPr>
        <w:ind w:left="1984" w:hanging="284"/>
      </w:pPr>
      <w:rPr>
        <w:rFonts w:ascii="Lucida Sans Unicode" w:eastAsia="Lucida Sans Unicode" w:hAnsi="Lucida Sans Unicode" w:hint="default"/>
        <w:w w:val="59"/>
        <w:sz w:val="21"/>
        <w:szCs w:val="21"/>
      </w:rPr>
    </w:lvl>
    <w:lvl w:ilvl="1" w:tplc="3A3EAE6C">
      <w:start w:val="1"/>
      <w:numFmt w:val="bullet"/>
      <w:lvlText w:val="•"/>
      <w:lvlJc w:val="left"/>
      <w:pPr>
        <w:ind w:left="2808" w:hanging="284"/>
      </w:pPr>
      <w:rPr>
        <w:rFonts w:hint="default"/>
      </w:rPr>
    </w:lvl>
    <w:lvl w:ilvl="2" w:tplc="0E4E143C">
      <w:start w:val="1"/>
      <w:numFmt w:val="bullet"/>
      <w:lvlText w:val="•"/>
      <w:lvlJc w:val="left"/>
      <w:pPr>
        <w:ind w:left="3632" w:hanging="284"/>
      </w:pPr>
      <w:rPr>
        <w:rFonts w:hint="default"/>
      </w:rPr>
    </w:lvl>
    <w:lvl w:ilvl="3" w:tplc="B79A0BDC">
      <w:start w:val="1"/>
      <w:numFmt w:val="bullet"/>
      <w:lvlText w:val="•"/>
      <w:lvlJc w:val="left"/>
      <w:pPr>
        <w:ind w:left="4456" w:hanging="284"/>
      </w:pPr>
      <w:rPr>
        <w:rFonts w:hint="default"/>
      </w:rPr>
    </w:lvl>
    <w:lvl w:ilvl="4" w:tplc="53B018D4">
      <w:start w:val="1"/>
      <w:numFmt w:val="bullet"/>
      <w:lvlText w:val="•"/>
      <w:lvlJc w:val="left"/>
      <w:pPr>
        <w:ind w:left="5280" w:hanging="284"/>
      </w:pPr>
      <w:rPr>
        <w:rFonts w:hint="default"/>
      </w:rPr>
    </w:lvl>
    <w:lvl w:ilvl="5" w:tplc="E0EC6604">
      <w:start w:val="1"/>
      <w:numFmt w:val="bullet"/>
      <w:lvlText w:val="•"/>
      <w:lvlJc w:val="left"/>
      <w:pPr>
        <w:ind w:left="6104" w:hanging="284"/>
      </w:pPr>
      <w:rPr>
        <w:rFonts w:hint="default"/>
      </w:rPr>
    </w:lvl>
    <w:lvl w:ilvl="6" w:tplc="400A10A6">
      <w:start w:val="1"/>
      <w:numFmt w:val="bullet"/>
      <w:lvlText w:val="•"/>
      <w:lvlJc w:val="left"/>
      <w:pPr>
        <w:ind w:left="6929" w:hanging="284"/>
      </w:pPr>
      <w:rPr>
        <w:rFonts w:hint="default"/>
      </w:rPr>
    </w:lvl>
    <w:lvl w:ilvl="7" w:tplc="153C0546">
      <w:start w:val="1"/>
      <w:numFmt w:val="bullet"/>
      <w:lvlText w:val="•"/>
      <w:lvlJc w:val="left"/>
      <w:pPr>
        <w:ind w:left="7753" w:hanging="284"/>
      </w:pPr>
      <w:rPr>
        <w:rFonts w:hint="default"/>
      </w:rPr>
    </w:lvl>
    <w:lvl w:ilvl="8" w:tplc="90B4C0C6">
      <w:start w:val="1"/>
      <w:numFmt w:val="bullet"/>
      <w:lvlText w:val="•"/>
      <w:lvlJc w:val="left"/>
      <w:pPr>
        <w:ind w:left="8577" w:hanging="284"/>
      </w:pPr>
      <w:rPr>
        <w:rFonts w:hint="default"/>
      </w:rPr>
    </w:lvl>
  </w:abstractNum>
  <w:abstractNum w:abstractNumId="10" w15:restartNumberingAfterBreak="0">
    <w:nsid w:val="22543120"/>
    <w:multiLevelType w:val="hybridMultilevel"/>
    <w:tmpl w:val="AC34D2D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3DC7796"/>
    <w:multiLevelType w:val="multilevel"/>
    <w:tmpl w:val="38243F0A"/>
    <w:lvl w:ilvl="0">
      <w:start w:val="1"/>
      <w:numFmt w:val="decimal"/>
      <w:pStyle w:val="Number"/>
      <w:lvlText w:val="%1."/>
      <w:lvlJc w:val="left"/>
      <w:pPr>
        <w:ind w:left="567" w:hanging="567"/>
      </w:pPr>
      <w:rPr>
        <w:rFonts w:hint="default"/>
      </w:rPr>
    </w:lvl>
    <w:lvl w:ilvl="1">
      <w:start w:val="1"/>
      <w:numFmt w:val="lowerLetter"/>
      <w:pStyle w:val="Letter"/>
      <w:lvlText w:val="%2)"/>
      <w:lvlJc w:val="left"/>
      <w:pPr>
        <w:ind w:left="1134" w:hanging="567"/>
      </w:pPr>
      <w:rPr>
        <w:rFonts w:hint="default"/>
      </w:rPr>
    </w:lvl>
    <w:lvl w:ilvl="2">
      <w:start w:val="1"/>
      <w:numFmt w:val="lowerRoman"/>
      <w:pStyle w:val="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6B82D6F"/>
    <w:multiLevelType w:val="hybridMultilevel"/>
    <w:tmpl w:val="6C186060"/>
    <w:lvl w:ilvl="0" w:tplc="C15451FC">
      <w:start w:val="1"/>
      <w:numFmt w:val="bullet"/>
      <w:lvlText w:val="•"/>
      <w:lvlJc w:val="left"/>
      <w:pPr>
        <w:ind w:left="2267" w:hanging="284"/>
      </w:pPr>
      <w:rPr>
        <w:rFonts w:ascii="Lucida Sans Unicode" w:eastAsia="Lucida Sans Unicode" w:hAnsi="Lucida Sans Unicode" w:hint="default"/>
        <w:w w:val="59"/>
        <w:sz w:val="21"/>
        <w:szCs w:val="21"/>
      </w:rPr>
    </w:lvl>
    <w:lvl w:ilvl="1" w:tplc="C2804FC4">
      <w:start w:val="1"/>
      <w:numFmt w:val="bullet"/>
      <w:lvlText w:val="•"/>
      <w:lvlJc w:val="left"/>
      <w:pPr>
        <w:ind w:left="3231" w:hanging="284"/>
      </w:pPr>
      <w:rPr>
        <w:rFonts w:hint="default"/>
      </w:rPr>
    </w:lvl>
    <w:lvl w:ilvl="2" w:tplc="7B56FBF2">
      <w:start w:val="1"/>
      <w:numFmt w:val="bullet"/>
      <w:lvlText w:val="•"/>
      <w:lvlJc w:val="left"/>
      <w:pPr>
        <w:ind w:left="4195" w:hanging="284"/>
      </w:pPr>
      <w:rPr>
        <w:rFonts w:hint="default"/>
      </w:rPr>
    </w:lvl>
    <w:lvl w:ilvl="3" w:tplc="FF5C1366">
      <w:start w:val="1"/>
      <w:numFmt w:val="bullet"/>
      <w:lvlText w:val="•"/>
      <w:lvlJc w:val="left"/>
      <w:pPr>
        <w:ind w:left="5159" w:hanging="284"/>
      </w:pPr>
      <w:rPr>
        <w:rFonts w:hint="default"/>
      </w:rPr>
    </w:lvl>
    <w:lvl w:ilvl="4" w:tplc="B2CA8238">
      <w:start w:val="1"/>
      <w:numFmt w:val="bullet"/>
      <w:lvlText w:val="•"/>
      <w:lvlJc w:val="left"/>
      <w:pPr>
        <w:ind w:left="6122" w:hanging="284"/>
      </w:pPr>
      <w:rPr>
        <w:rFonts w:hint="default"/>
      </w:rPr>
    </w:lvl>
    <w:lvl w:ilvl="5" w:tplc="3378E1CC">
      <w:start w:val="1"/>
      <w:numFmt w:val="bullet"/>
      <w:lvlText w:val="•"/>
      <w:lvlJc w:val="left"/>
      <w:pPr>
        <w:ind w:left="7086" w:hanging="284"/>
      </w:pPr>
      <w:rPr>
        <w:rFonts w:hint="default"/>
      </w:rPr>
    </w:lvl>
    <w:lvl w:ilvl="6" w:tplc="DDFA6B44">
      <w:start w:val="1"/>
      <w:numFmt w:val="bullet"/>
      <w:lvlText w:val="•"/>
      <w:lvlJc w:val="left"/>
      <w:pPr>
        <w:ind w:left="8050" w:hanging="284"/>
      </w:pPr>
      <w:rPr>
        <w:rFonts w:hint="default"/>
      </w:rPr>
    </w:lvl>
    <w:lvl w:ilvl="7" w:tplc="7CA08396">
      <w:start w:val="1"/>
      <w:numFmt w:val="bullet"/>
      <w:lvlText w:val="•"/>
      <w:lvlJc w:val="left"/>
      <w:pPr>
        <w:ind w:left="9014" w:hanging="284"/>
      </w:pPr>
      <w:rPr>
        <w:rFonts w:hint="default"/>
      </w:rPr>
    </w:lvl>
    <w:lvl w:ilvl="8" w:tplc="A386EF5E">
      <w:start w:val="1"/>
      <w:numFmt w:val="bullet"/>
      <w:lvlText w:val="•"/>
      <w:lvlJc w:val="left"/>
      <w:pPr>
        <w:ind w:left="9977" w:hanging="284"/>
      </w:pPr>
      <w:rPr>
        <w:rFonts w:hint="default"/>
      </w:rPr>
    </w:lvl>
  </w:abstractNum>
  <w:abstractNum w:abstractNumId="13" w15:restartNumberingAfterBreak="0">
    <w:nsid w:val="28F57520"/>
    <w:multiLevelType w:val="singleLevel"/>
    <w:tmpl w:val="F3FE0FEA"/>
    <w:lvl w:ilvl="0">
      <w:start w:val="1"/>
      <w:numFmt w:val="bullet"/>
      <w:lvlText w:val="–"/>
      <w:lvlJc w:val="left"/>
      <w:pPr>
        <w:tabs>
          <w:tab w:val="num" w:pos="644"/>
        </w:tabs>
        <w:ind w:left="567" w:hanging="283"/>
      </w:pPr>
      <w:rPr>
        <w:rFonts w:ascii="Times New Roman" w:hAnsi="Times New Roman" w:hint="default"/>
        <w:sz w:val="20"/>
      </w:rPr>
    </w:lvl>
  </w:abstractNum>
  <w:abstractNum w:abstractNumId="14" w15:restartNumberingAfterBreak="0">
    <w:nsid w:val="29567F31"/>
    <w:multiLevelType w:val="hybridMultilevel"/>
    <w:tmpl w:val="7CB24D4C"/>
    <w:lvl w:ilvl="0" w:tplc="14090001">
      <w:start w:val="1"/>
      <w:numFmt w:val="bullet"/>
      <w:lvlText w:val=""/>
      <w:lvlJc w:val="left"/>
      <w:pPr>
        <w:ind w:left="1077" w:hanging="360"/>
      </w:pPr>
      <w:rPr>
        <w:rFonts w:ascii="Symbol" w:hAnsi="Symbol"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15" w15:restartNumberingAfterBreak="0">
    <w:nsid w:val="2D94347D"/>
    <w:multiLevelType w:val="hybridMultilevel"/>
    <w:tmpl w:val="CDC0E688"/>
    <w:lvl w:ilvl="0" w:tplc="AAE49842">
      <w:start w:val="1"/>
      <w:numFmt w:val="bullet"/>
      <w:lvlText w:val="•"/>
      <w:lvlJc w:val="left"/>
      <w:pPr>
        <w:ind w:left="1984" w:hanging="284"/>
      </w:pPr>
      <w:rPr>
        <w:rFonts w:ascii="Lucida Sans Unicode" w:eastAsia="Lucida Sans Unicode" w:hAnsi="Lucida Sans Unicode" w:hint="default"/>
        <w:w w:val="59"/>
        <w:sz w:val="21"/>
        <w:szCs w:val="21"/>
      </w:rPr>
    </w:lvl>
    <w:lvl w:ilvl="1" w:tplc="A3103622">
      <w:start w:val="1"/>
      <w:numFmt w:val="bullet"/>
      <w:lvlText w:val="•"/>
      <w:lvlJc w:val="left"/>
      <w:pPr>
        <w:ind w:left="2808" w:hanging="284"/>
      </w:pPr>
      <w:rPr>
        <w:rFonts w:hint="default"/>
      </w:rPr>
    </w:lvl>
    <w:lvl w:ilvl="2" w:tplc="2CC6F326">
      <w:start w:val="1"/>
      <w:numFmt w:val="bullet"/>
      <w:lvlText w:val="•"/>
      <w:lvlJc w:val="left"/>
      <w:pPr>
        <w:ind w:left="3632" w:hanging="284"/>
      </w:pPr>
      <w:rPr>
        <w:rFonts w:hint="default"/>
      </w:rPr>
    </w:lvl>
    <w:lvl w:ilvl="3" w:tplc="C026F318">
      <w:start w:val="1"/>
      <w:numFmt w:val="bullet"/>
      <w:lvlText w:val="•"/>
      <w:lvlJc w:val="left"/>
      <w:pPr>
        <w:ind w:left="4456" w:hanging="284"/>
      </w:pPr>
      <w:rPr>
        <w:rFonts w:hint="default"/>
      </w:rPr>
    </w:lvl>
    <w:lvl w:ilvl="4" w:tplc="8E1C6BD0">
      <w:start w:val="1"/>
      <w:numFmt w:val="bullet"/>
      <w:lvlText w:val="•"/>
      <w:lvlJc w:val="left"/>
      <w:pPr>
        <w:ind w:left="5280" w:hanging="284"/>
      </w:pPr>
      <w:rPr>
        <w:rFonts w:hint="default"/>
      </w:rPr>
    </w:lvl>
    <w:lvl w:ilvl="5" w:tplc="96EA3796">
      <w:start w:val="1"/>
      <w:numFmt w:val="bullet"/>
      <w:lvlText w:val="•"/>
      <w:lvlJc w:val="left"/>
      <w:pPr>
        <w:ind w:left="6104" w:hanging="284"/>
      </w:pPr>
      <w:rPr>
        <w:rFonts w:hint="default"/>
      </w:rPr>
    </w:lvl>
    <w:lvl w:ilvl="6" w:tplc="DF52DE2A">
      <w:start w:val="1"/>
      <w:numFmt w:val="bullet"/>
      <w:lvlText w:val="•"/>
      <w:lvlJc w:val="left"/>
      <w:pPr>
        <w:ind w:left="6929" w:hanging="284"/>
      </w:pPr>
      <w:rPr>
        <w:rFonts w:hint="default"/>
      </w:rPr>
    </w:lvl>
    <w:lvl w:ilvl="7" w:tplc="7D3E5354">
      <w:start w:val="1"/>
      <w:numFmt w:val="bullet"/>
      <w:lvlText w:val="•"/>
      <w:lvlJc w:val="left"/>
      <w:pPr>
        <w:ind w:left="7753" w:hanging="284"/>
      </w:pPr>
      <w:rPr>
        <w:rFonts w:hint="default"/>
      </w:rPr>
    </w:lvl>
    <w:lvl w:ilvl="8" w:tplc="0FE8A7AA">
      <w:start w:val="1"/>
      <w:numFmt w:val="bullet"/>
      <w:lvlText w:val="•"/>
      <w:lvlJc w:val="left"/>
      <w:pPr>
        <w:ind w:left="8577" w:hanging="284"/>
      </w:pPr>
      <w:rPr>
        <w:rFonts w:hint="default"/>
      </w:rPr>
    </w:lvl>
  </w:abstractNum>
  <w:abstractNum w:abstractNumId="16" w15:restartNumberingAfterBreak="0">
    <w:nsid w:val="31430E4A"/>
    <w:multiLevelType w:val="hybridMultilevel"/>
    <w:tmpl w:val="C4BE4BD4"/>
    <w:lvl w:ilvl="0" w:tplc="54ACCB78">
      <w:start w:val="1"/>
      <w:numFmt w:val="bullet"/>
      <w:lvlText w:val="•"/>
      <w:lvlJc w:val="left"/>
      <w:pPr>
        <w:ind w:left="623" w:hanging="284"/>
      </w:pPr>
      <w:rPr>
        <w:rFonts w:ascii="Arial Unicode MS" w:eastAsia="Arial Unicode MS" w:hAnsi="Arial Unicode MS" w:hint="default"/>
        <w:color w:val="FFFFFF"/>
        <w:w w:val="107"/>
        <w:sz w:val="21"/>
        <w:szCs w:val="21"/>
      </w:rPr>
    </w:lvl>
    <w:lvl w:ilvl="1" w:tplc="6EE81F12">
      <w:start w:val="1"/>
      <w:numFmt w:val="bullet"/>
      <w:lvlText w:val="•"/>
      <w:lvlJc w:val="left"/>
      <w:pPr>
        <w:ind w:left="926" w:hanging="284"/>
      </w:pPr>
      <w:rPr>
        <w:rFonts w:hint="default"/>
      </w:rPr>
    </w:lvl>
    <w:lvl w:ilvl="2" w:tplc="3D880680">
      <w:start w:val="1"/>
      <w:numFmt w:val="bullet"/>
      <w:lvlText w:val="•"/>
      <w:lvlJc w:val="left"/>
      <w:pPr>
        <w:ind w:left="1230" w:hanging="284"/>
      </w:pPr>
      <w:rPr>
        <w:rFonts w:hint="default"/>
      </w:rPr>
    </w:lvl>
    <w:lvl w:ilvl="3" w:tplc="B010C610">
      <w:start w:val="1"/>
      <w:numFmt w:val="bullet"/>
      <w:lvlText w:val="•"/>
      <w:lvlJc w:val="left"/>
      <w:pPr>
        <w:ind w:left="1533" w:hanging="284"/>
      </w:pPr>
      <w:rPr>
        <w:rFonts w:hint="default"/>
      </w:rPr>
    </w:lvl>
    <w:lvl w:ilvl="4" w:tplc="E6120074">
      <w:start w:val="1"/>
      <w:numFmt w:val="bullet"/>
      <w:lvlText w:val="•"/>
      <w:lvlJc w:val="left"/>
      <w:pPr>
        <w:ind w:left="1836" w:hanging="284"/>
      </w:pPr>
      <w:rPr>
        <w:rFonts w:hint="default"/>
      </w:rPr>
    </w:lvl>
    <w:lvl w:ilvl="5" w:tplc="CBC8627C">
      <w:start w:val="1"/>
      <w:numFmt w:val="bullet"/>
      <w:lvlText w:val="•"/>
      <w:lvlJc w:val="left"/>
      <w:pPr>
        <w:ind w:left="2140" w:hanging="284"/>
      </w:pPr>
      <w:rPr>
        <w:rFonts w:hint="default"/>
      </w:rPr>
    </w:lvl>
    <w:lvl w:ilvl="6" w:tplc="B9380D56">
      <w:start w:val="1"/>
      <w:numFmt w:val="bullet"/>
      <w:lvlText w:val="•"/>
      <w:lvlJc w:val="left"/>
      <w:pPr>
        <w:ind w:left="2443" w:hanging="284"/>
      </w:pPr>
      <w:rPr>
        <w:rFonts w:hint="default"/>
      </w:rPr>
    </w:lvl>
    <w:lvl w:ilvl="7" w:tplc="21BEC842">
      <w:start w:val="1"/>
      <w:numFmt w:val="bullet"/>
      <w:lvlText w:val="•"/>
      <w:lvlJc w:val="left"/>
      <w:pPr>
        <w:ind w:left="2746" w:hanging="284"/>
      </w:pPr>
      <w:rPr>
        <w:rFonts w:hint="default"/>
      </w:rPr>
    </w:lvl>
    <w:lvl w:ilvl="8" w:tplc="43B03AC2">
      <w:start w:val="1"/>
      <w:numFmt w:val="bullet"/>
      <w:lvlText w:val="•"/>
      <w:lvlJc w:val="left"/>
      <w:pPr>
        <w:ind w:left="3050" w:hanging="284"/>
      </w:pPr>
      <w:rPr>
        <w:rFonts w:hint="default"/>
      </w:rPr>
    </w:lvl>
  </w:abstractNum>
  <w:abstractNum w:abstractNumId="17"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FB4939"/>
    <w:multiLevelType w:val="hybridMultilevel"/>
    <w:tmpl w:val="B560C9E0"/>
    <w:lvl w:ilvl="0" w:tplc="5358D1F4">
      <w:start w:val="1"/>
      <w:numFmt w:val="bullet"/>
      <w:lvlText w:val="–"/>
      <w:lvlJc w:val="left"/>
      <w:pPr>
        <w:ind w:left="701" w:hanging="284"/>
      </w:pPr>
      <w:rPr>
        <w:rFonts w:ascii="Arial Black" w:eastAsia="Arial Black" w:hAnsi="Arial Black" w:hint="default"/>
        <w:b/>
        <w:bCs/>
        <w:sz w:val="21"/>
        <w:szCs w:val="21"/>
      </w:rPr>
    </w:lvl>
    <w:lvl w:ilvl="1" w:tplc="2D0A247C">
      <w:start w:val="1"/>
      <w:numFmt w:val="bullet"/>
      <w:lvlText w:val="•"/>
      <w:lvlJc w:val="left"/>
      <w:pPr>
        <w:ind w:left="1149" w:hanging="284"/>
      </w:pPr>
      <w:rPr>
        <w:rFonts w:hint="default"/>
      </w:rPr>
    </w:lvl>
    <w:lvl w:ilvl="2" w:tplc="014E8A48">
      <w:start w:val="1"/>
      <w:numFmt w:val="bullet"/>
      <w:lvlText w:val="•"/>
      <w:lvlJc w:val="left"/>
      <w:pPr>
        <w:ind w:left="1596" w:hanging="284"/>
      </w:pPr>
      <w:rPr>
        <w:rFonts w:hint="default"/>
      </w:rPr>
    </w:lvl>
    <w:lvl w:ilvl="3" w:tplc="62E68792">
      <w:start w:val="1"/>
      <w:numFmt w:val="bullet"/>
      <w:lvlText w:val="•"/>
      <w:lvlJc w:val="left"/>
      <w:pPr>
        <w:ind w:left="2044" w:hanging="284"/>
      </w:pPr>
      <w:rPr>
        <w:rFonts w:hint="default"/>
      </w:rPr>
    </w:lvl>
    <w:lvl w:ilvl="4" w:tplc="6BC03800">
      <w:start w:val="1"/>
      <w:numFmt w:val="bullet"/>
      <w:lvlText w:val="•"/>
      <w:lvlJc w:val="left"/>
      <w:pPr>
        <w:ind w:left="2492" w:hanging="284"/>
      </w:pPr>
      <w:rPr>
        <w:rFonts w:hint="default"/>
      </w:rPr>
    </w:lvl>
    <w:lvl w:ilvl="5" w:tplc="D62CF1AE">
      <w:start w:val="1"/>
      <w:numFmt w:val="bullet"/>
      <w:lvlText w:val="•"/>
      <w:lvlJc w:val="left"/>
      <w:pPr>
        <w:ind w:left="2940" w:hanging="284"/>
      </w:pPr>
      <w:rPr>
        <w:rFonts w:hint="default"/>
      </w:rPr>
    </w:lvl>
    <w:lvl w:ilvl="6" w:tplc="4AF656FE">
      <w:start w:val="1"/>
      <w:numFmt w:val="bullet"/>
      <w:lvlText w:val="•"/>
      <w:lvlJc w:val="left"/>
      <w:pPr>
        <w:ind w:left="3388" w:hanging="284"/>
      </w:pPr>
      <w:rPr>
        <w:rFonts w:hint="default"/>
      </w:rPr>
    </w:lvl>
    <w:lvl w:ilvl="7" w:tplc="B11C28E0">
      <w:start w:val="1"/>
      <w:numFmt w:val="bullet"/>
      <w:lvlText w:val="•"/>
      <w:lvlJc w:val="left"/>
      <w:pPr>
        <w:ind w:left="3836" w:hanging="284"/>
      </w:pPr>
      <w:rPr>
        <w:rFonts w:hint="default"/>
      </w:rPr>
    </w:lvl>
    <w:lvl w:ilvl="8" w:tplc="A2F2C1E6">
      <w:start w:val="1"/>
      <w:numFmt w:val="bullet"/>
      <w:lvlText w:val="•"/>
      <w:lvlJc w:val="left"/>
      <w:pPr>
        <w:ind w:left="4284" w:hanging="284"/>
      </w:pPr>
      <w:rPr>
        <w:rFonts w:hint="default"/>
      </w:rPr>
    </w:lvl>
  </w:abstractNum>
  <w:abstractNum w:abstractNumId="20" w15:restartNumberingAfterBreak="0">
    <w:nsid w:val="4D6856C8"/>
    <w:multiLevelType w:val="hybridMultilevel"/>
    <w:tmpl w:val="0338F8C0"/>
    <w:lvl w:ilvl="0" w:tplc="73FE36DE">
      <w:start w:val="1"/>
      <w:numFmt w:val="bullet"/>
      <w:lvlText w:val="•"/>
      <w:lvlJc w:val="left"/>
      <w:pPr>
        <w:ind w:left="245" w:hanging="134"/>
      </w:pPr>
      <w:rPr>
        <w:rFonts w:ascii="Arial Unicode MS" w:eastAsia="Arial Unicode MS" w:hAnsi="Arial Unicode MS" w:hint="default"/>
        <w:w w:val="107"/>
        <w:sz w:val="21"/>
        <w:szCs w:val="21"/>
      </w:rPr>
    </w:lvl>
    <w:lvl w:ilvl="1" w:tplc="3F32CFCA">
      <w:start w:val="1"/>
      <w:numFmt w:val="bullet"/>
      <w:lvlText w:val="•"/>
      <w:lvlJc w:val="left"/>
      <w:pPr>
        <w:ind w:left="494" w:hanging="134"/>
      </w:pPr>
      <w:rPr>
        <w:rFonts w:hint="default"/>
      </w:rPr>
    </w:lvl>
    <w:lvl w:ilvl="2" w:tplc="025CEB60">
      <w:start w:val="1"/>
      <w:numFmt w:val="bullet"/>
      <w:lvlText w:val="•"/>
      <w:lvlJc w:val="left"/>
      <w:pPr>
        <w:ind w:left="743" w:hanging="134"/>
      </w:pPr>
      <w:rPr>
        <w:rFonts w:hint="default"/>
      </w:rPr>
    </w:lvl>
    <w:lvl w:ilvl="3" w:tplc="5E0EC12A">
      <w:start w:val="1"/>
      <w:numFmt w:val="bullet"/>
      <w:lvlText w:val="•"/>
      <w:lvlJc w:val="left"/>
      <w:pPr>
        <w:ind w:left="993" w:hanging="134"/>
      </w:pPr>
      <w:rPr>
        <w:rFonts w:hint="default"/>
      </w:rPr>
    </w:lvl>
    <w:lvl w:ilvl="4" w:tplc="E8B04864">
      <w:start w:val="1"/>
      <w:numFmt w:val="bullet"/>
      <w:lvlText w:val="•"/>
      <w:lvlJc w:val="left"/>
      <w:pPr>
        <w:ind w:left="1242" w:hanging="134"/>
      </w:pPr>
      <w:rPr>
        <w:rFonts w:hint="default"/>
      </w:rPr>
    </w:lvl>
    <w:lvl w:ilvl="5" w:tplc="7EF0585E">
      <w:start w:val="1"/>
      <w:numFmt w:val="bullet"/>
      <w:lvlText w:val="•"/>
      <w:lvlJc w:val="left"/>
      <w:pPr>
        <w:ind w:left="1491" w:hanging="134"/>
      </w:pPr>
      <w:rPr>
        <w:rFonts w:hint="default"/>
      </w:rPr>
    </w:lvl>
    <w:lvl w:ilvl="6" w:tplc="7EC6F446">
      <w:start w:val="1"/>
      <w:numFmt w:val="bullet"/>
      <w:lvlText w:val="•"/>
      <w:lvlJc w:val="left"/>
      <w:pPr>
        <w:ind w:left="1740" w:hanging="134"/>
      </w:pPr>
      <w:rPr>
        <w:rFonts w:hint="default"/>
      </w:rPr>
    </w:lvl>
    <w:lvl w:ilvl="7" w:tplc="B4E0707E">
      <w:start w:val="1"/>
      <w:numFmt w:val="bullet"/>
      <w:lvlText w:val="•"/>
      <w:lvlJc w:val="left"/>
      <w:pPr>
        <w:ind w:left="1989" w:hanging="134"/>
      </w:pPr>
      <w:rPr>
        <w:rFonts w:hint="default"/>
      </w:rPr>
    </w:lvl>
    <w:lvl w:ilvl="8" w:tplc="30DCDC0C">
      <w:start w:val="1"/>
      <w:numFmt w:val="bullet"/>
      <w:lvlText w:val="•"/>
      <w:lvlJc w:val="left"/>
      <w:pPr>
        <w:ind w:left="2239" w:hanging="134"/>
      </w:pPr>
      <w:rPr>
        <w:rFonts w:hint="default"/>
      </w:rPr>
    </w:lvl>
  </w:abstractNum>
  <w:abstractNum w:abstractNumId="21" w15:restartNumberingAfterBreak="0">
    <w:nsid w:val="5B09314A"/>
    <w:multiLevelType w:val="multilevel"/>
    <w:tmpl w:val="7720957A"/>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567" w:hanging="567"/>
      </w:pPr>
      <w:rPr>
        <w:rFonts w:hint="default"/>
      </w:rPr>
    </w:lvl>
    <w:lvl w:ilvl="4">
      <w:start w:val="1"/>
      <w:numFmt w:val="lowerLetter"/>
      <w:lvlText w:val="%5)"/>
      <w:lvlJc w:val="left"/>
      <w:pPr>
        <w:tabs>
          <w:tab w:val="num" w:pos="1134"/>
        </w:tabs>
        <w:ind w:left="1134"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C724B65"/>
    <w:multiLevelType w:val="hybridMultilevel"/>
    <w:tmpl w:val="46E4FFEE"/>
    <w:lvl w:ilvl="0" w:tplc="EB0A854E">
      <w:start w:val="1"/>
      <w:numFmt w:val="bullet"/>
      <w:lvlText w:val="•"/>
      <w:lvlJc w:val="left"/>
      <w:pPr>
        <w:ind w:left="559" w:hanging="134"/>
      </w:pPr>
      <w:rPr>
        <w:rFonts w:ascii="Arial Unicode MS" w:eastAsia="Arial Unicode MS" w:hAnsi="Arial Unicode MS" w:hint="default"/>
        <w:w w:val="107"/>
        <w:sz w:val="21"/>
        <w:szCs w:val="21"/>
      </w:rPr>
    </w:lvl>
    <w:lvl w:ilvl="1" w:tplc="85E65D22">
      <w:start w:val="1"/>
      <w:numFmt w:val="bullet"/>
      <w:lvlText w:val="•"/>
      <w:lvlJc w:val="left"/>
      <w:pPr>
        <w:ind w:left="808" w:hanging="134"/>
      </w:pPr>
      <w:rPr>
        <w:rFonts w:hint="default"/>
      </w:rPr>
    </w:lvl>
    <w:lvl w:ilvl="2" w:tplc="69460D26">
      <w:start w:val="1"/>
      <w:numFmt w:val="bullet"/>
      <w:lvlText w:val="•"/>
      <w:lvlJc w:val="left"/>
      <w:pPr>
        <w:ind w:left="1058" w:hanging="134"/>
      </w:pPr>
      <w:rPr>
        <w:rFonts w:hint="default"/>
      </w:rPr>
    </w:lvl>
    <w:lvl w:ilvl="3" w:tplc="CD6AEA72">
      <w:start w:val="1"/>
      <w:numFmt w:val="bullet"/>
      <w:lvlText w:val="•"/>
      <w:lvlJc w:val="left"/>
      <w:pPr>
        <w:ind w:left="1307" w:hanging="134"/>
      </w:pPr>
      <w:rPr>
        <w:rFonts w:hint="default"/>
      </w:rPr>
    </w:lvl>
    <w:lvl w:ilvl="4" w:tplc="DCE6E408">
      <w:start w:val="1"/>
      <w:numFmt w:val="bullet"/>
      <w:lvlText w:val="•"/>
      <w:lvlJc w:val="left"/>
      <w:pPr>
        <w:ind w:left="1556" w:hanging="134"/>
      </w:pPr>
      <w:rPr>
        <w:rFonts w:hint="default"/>
      </w:rPr>
    </w:lvl>
    <w:lvl w:ilvl="5" w:tplc="C3182234">
      <w:start w:val="1"/>
      <w:numFmt w:val="bullet"/>
      <w:lvlText w:val="•"/>
      <w:lvlJc w:val="left"/>
      <w:pPr>
        <w:ind w:left="1805" w:hanging="134"/>
      </w:pPr>
      <w:rPr>
        <w:rFonts w:hint="default"/>
      </w:rPr>
    </w:lvl>
    <w:lvl w:ilvl="6" w:tplc="85C2C604">
      <w:start w:val="1"/>
      <w:numFmt w:val="bullet"/>
      <w:lvlText w:val="•"/>
      <w:lvlJc w:val="left"/>
      <w:pPr>
        <w:ind w:left="2054" w:hanging="134"/>
      </w:pPr>
      <w:rPr>
        <w:rFonts w:hint="default"/>
      </w:rPr>
    </w:lvl>
    <w:lvl w:ilvl="7" w:tplc="3B5A4DA6">
      <w:start w:val="1"/>
      <w:numFmt w:val="bullet"/>
      <w:lvlText w:val="•"/>
      <w:lvlJc w:val="left"/>
      <w:pPr>
        <w:ind w:left="2303" w:hanging="134"/>
      </w:pPr>
      <w:rPr>
        <w:rFonts w:hint="default"/>
      </w:rPr>
    </w:lvl>
    <w:lvl w:ilvl="8" w:tplc="37AAE036">
      <w:start w:val="1"/>
      <w:numFmt w:val="bullet"/>
      <w:lvlText w:val="•"/>
      <w:lvlJc w:val="left"/>
      <w:pPr>
        <w:ind w:left="2552" w:hanging="134"/>
      </w:pPr>
      <w:rPr>
        <w:rFonts w:hint="default"/>
      </w:rPr>
    </w:lvl>
  </w:abstractNum>
  <w:abstractNum w:abstractNumId="23" w15:restartNumberingAfterBreak="0">
    <w:nsid w:val="5D9A15C3"/>
    <w:multiLevelType w:val="hybridMultilevel"/>
    <w:tmpl w:val="1E9823CC"/>
    <w:lvl w:ilvl="0" w:tplc="AA18F162">
      <w:start w:val="1"/>
      <w:numFmt w:val="bullet"/>
      <w:lvlText w:val="•"/>
      <w:lvlJc w:val="left"/>
      <w:pPr>
        <w:ind w:left="245" w:hanging="134"/>
      </w:pPr>
      <w:rPr>
        <w:rFonts w:ascii="Arial Unicode MS" w:eastAsia="Arial Unicode MS" w:hAnsi="Arial Unicode MS" w:hint="default"/>
        <w:w w:val="107"/>
        <w:sz w:val="21"/>
        <w:szCs w:val="21"/>
      </w:rPr>
    </w:lvl>
    <w:lvl w:ilvl="1" w:tplc="D886110C">
      <w:start w:val="1"/>
      <w:numFmt w:val="bullet"/>
      <w:lvlText w:val="•"/>
      <w:lvlJc w:val="left"/>
      <w:pPr>
        <w:ind w:left="494" w:hanging="134"/>
      </w:pPr>
      <w:rPr>
        <w:rFonts w:hint="default"/>
      </w:rPr>
    </w:lvl>
    <w:lvl w:ilvl="2" w:tplc="5C048F26">
      <w:start w:val="1"/>
      <w:numFmt w:val="bullet"/>
      <w:lvlText w:val="•"/>
      <w:lvlJc w:val="left"/>
      <w:pPr>
        <w:ind w:left="744" w:hanging="134"/>
      </w:pPr>
      <w:rPr>
        <w:rFonts w:hint="default"/>
      </w:rPr>
    </w:lvl>
    <w:lvl w:ilvl="3" w:tplc="44DACB5A">
      <w:start w:val="1"/>
      <w:numFmt w:val="bullet"/>
      <w:lvlText w:val="•"/>
      <w:lvlJc w:val="left"/>
      <w:pPr>
        <w:ind w:left="993" w:hanging="134"/>
      </w:pPr>
      <w:rPr>
        <w:rFonts w:hint="default"/>
      </w:rPr>
    </w:lvl>
    <w:lvl w:ilvl="4" w:tplc="B8B465F0">
      <w:start w:val="1"/>
      <w:numFmt w:val="bullet"/>
      <w:lvlText w:val="•"/>
      <w:lvlJc w:val="left"/>
      <w:pPr>
        <w:ind w:left="1242" w:hanging="134"/>
      </w:pPr>
      <w:rPr>
        <w:rFonts w:hint="default"/>
      </w:rPr>
    </w:lvl>
    <w:lvl w:ilvl="5" w:tplc="1FDCA722">
      <w:start w:val="1"/>
      <w:numFmt w:val="bullet"/>
      <w:lvlText w:val="•"/>
      <w:lvlJc w:val="left"/>
      <w:pPr>
        <w:ind w:left="1491" w:hanging="134"/>
      </w:pPr>
      <w:rPr>
        <w:rFonts w:hint="default"/>
      </w:rPr>
    </w:lvl>
    <w:lvl w:ilvl="6" w:tplc="62501116">
      <w:start w:val="1"/>
      <w:numFmt w:val="bullet"/>
      <w:lvlText w:val="•"/>
      <w:lvlJc w:val="left"/>
      <w:pPr>
        <w:ind w:left="1740" w:hanging="134"/>
      </w:pPr>
      <w:rPr>
        <w:rFonts w:hint="default"/>
      </w:rPr>
    </w:lvl>
    <w:lvl w:ilvl="7" w:tplc="EA9AA01C">
      <w:start w:val="1"/>
      <w:numFmt w:val="bullet"/>
      <w:lvlText w:val="•"/>
      <w:lvlJc w:val="left"/>
      <w:pPr>
        <w:ind w:left="1989" w:hanging="134"/>
      </w:pPr>
      <w:rPr>
        <w:rFonts w:hint="default"/>
      </w:rPr>
    </w:lvl>
    <w:lvl w:ilvl="8" w:tplc="005E787C">
      <w:start w:val="1"/>
      <w:numFmt w:val="bullet"/>
      <w:lvlText w:val="•"/>
      <w:lvlJc w:val="left"/>
      <w:pPr>
        <w:ind w:left="2239" w:hanging="134"/>
      </w:pPr>
      <w:rPr>
        <w:rFonts w:hint="default"/>
      </w:rPr>
    </w:lvl>
  </w:abstractNum>
  <w:abstractNum w:abstractNumId="24" w15:restartNumberingAfterBreak="0">
    <w:nsid w:val="65C03560"/>
    <w:multiLevelType w:val="hybridMultilevel"/>
    <w:tmpl w:val="01DCA39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688D2C9E"/>
    <w:multiLevelType w:val="singleLevel"/>
    <w:tmpl w:val="976C8326"/>
    <w:lvl w:ilvl="0">
      <w:start w:val="1"/>
      <w:numFmt w:val="bullet"/>
      <w:lvlText w:val=""/>
      <w:lvlJc w:val="left"/>
      <w:pPr>
        <w:tabs>
          <w:tab w:val="num" w:pos="360"/>
        </w:tabs>
        <w:ind w:left="284" w:hanging="284"/>
      </w:pPr>
      <w:rPr>
        <w:rFonts w:ascii="Symbol" w:hAnsi="Symbol" w:hint="default"/>
        <w:sz w:val="18"/>
      </w:rPr>
    </w:lvl>
  </w:abstractNum>
  <w:abstractNum w:abstractNumId="26" w15:restartNumberingAfterBreak="0">
    <w:nsid w:val="6A493BA7"/>
    <w:multiLevelType w:val="hybridMultilevel"/>
    <w:tmpl w:val="54A49246"/>
    <w:lvl w:ilvl="0" w:tplc="32401D94">
      <w:start w:val="1"/>
      <w:numFmt w:val="bullet"/>
      <w:lvlText w:val="–"/>
      <w:lvlJc w:val="left"/>
      <w:pPr>
        <w:ind w:left="701" w:hanging="284"/>
      </w:pPr>
      <w:rPr>
        <w:rFonts w:ascii="Arial Black" w:eastAsia="Arial Black" w:hAnsi="Arial Black" w:hint="default"/>
        <w:b/>
        <w:bCs/>
        <w:sz w:val="21"/>
        <w:szCs w:val="21"/>
      </w:rPr>
    </w:lvl>
    <w:lvl w:ilvl="1" w:tplc="2702D4F0">
      <w:start w:val="1"/>
      <w:numFmt w:val="bullet"/>
      <w:lvlText w:val="•"/>
      <w:lvlJc w:val="left"/>
      <w:pPr>
        <w:ind w:left="1149" w:hanging="284"/>
      </w:pPr>
      <w:rPr>
        <w:rFonts w:hint="default"/>
      </w:rPr>
    </w:lvl>
    <w:lvl w:ilvl="2" w:tplc="7E12EC3E">
      <w:start w:val="1"/>
      <w:numFmt w:val="bullet"/>
      <w:lvlText w:val="•"/>
      <w:lvlJc w:val="left"/>
      <w:pPr>
        <w:ind w:left="1596" w:hanging="284"/>
      </w:pPr>
      <w:rPr>
        <w:rFonts w:hint="default"/>
      </w:rPr>
    </w:lvl>
    <w:lvl w:ilvl="3" w:tplc="8AE0534C">
      <w:start w:val="1"/>
      <w:numFmt w:val="bullet"/>
      <w:lvlText w:val="•"/>
      <w:lvlJc w:val="left"/>
      <w:pPr>
        <w:ind w:left="2044" w:hanging="284"/>
      </w:pPr>
      <w:rPr>
        <w:rFonts w:hint="default"/>
      </w:rPr>
    </w:lvl>
    <w:lvl w:ilvl="4" w:tplc="23967D3A">
      <w:start w:val="1"/>
      <w:numFmt w:val="bullet"/>
      <w:lvlText w:val="•"/>
      <w:lvlJc w:val="left"/>
      <w:pPr>
        <w:ind w:left="2492" w:hanging="284"/>
      </w:pPr>
      <w:rPr>
        <w:rFonts w:hint="default"/>
      </w:rPr>
    </w:lvl>
    <w:lvl w:ilvl="5" w:tplc="A1105360">
      <w:start w:val="1"/>
      <w:numFmt w:val="bullet"/>
      <w:lvlText w:val="•"/>
      <w:lvlJc w:val="left"/>
      <w:pPr>
        <w:ind w:left="2940" w:hanging="284"/>
      </w:pPr>
      <w:rPr>
        <w:rFonts w:hint="default"/>
      </w:rPr>
    </w:lvl>
    <w:lvl w:ilvl="6" w:tplc="1D5A8006">
      <w:start w:val="1"/>
      <w:numFmt w:val="bullet"/>
      <w:lvlText w:val="•"/>
      <w:lvlJc w:val="left"/>
      <w:pPr>
        <w:ind w:left="3388" w:hanging="284"/>
      </w:pPr>
      <w:rPr>
        <w:rFonts w:hint="default"/>
      </w:rPr>
    </w:lvl>
    <w:lvl w:ilvl="7" w:tplc="CAD8527E">
      <w:start w:val="1"/>
      <w:numFmt w:val="bullet"/>
      <w:lvlText w:val="•"/>
      <w:lvlJc w:val="left"/>
      <w:pPr>
        <w:ind w:left="3836" w:hanging="284"/>
      </w:pPr>
      <w:rPr>
        <w:rFonts w:hint="default"/>
      </w:rPr>
    </w:lvl>
    <w:lvl w:ilvl="8" w:tplc="2DAA237C">
      <w:start w:val="1"/>
      <w:numFmt w:val="bullet"/>
      <w:lvlText w:val="•"/>
      <w:lvlJc w:val="left"/>
      <w:pPr>
        <w:ind w:left="4284" w:hanging="284"/>
      </w:pPr>
      <w:rPr>
        <w:rFonts w:hint="default"/>
      </w:rPr>
    </w:lvl>
  </w:abstractNum>
  <w:abstractNum w:abstractNumId="27" w15:restartNumberingAfterBreak="0">
    <w:nsid w:val="6A871412"/>
    <w:multiLevelType w:val="hybridMultilevel"/>
    <w:tmpl w:val="679EAFA2"/>
    <w:lvl w:ilvl="0" w:tplc="59822F40">
      <w:start w:val="1"/>
      <w:numFmt w:val="bullet"/>
      <w:lvlText w:val="•"/>
      <w:lvlJc w:val="left"/>
      <w:pPr>
        <w:ind w:left="1984" w:hanging="284"/>
      </w:pPr>
      <w:rPr>
        <w:rFonts w:ascii="Lucida Sans Unicode" w:eastAsia="Lucida Sans Unicode" w:hAnsi="Lucida Sans Unicode" w:hint="default"/>
        <w:w w:val="59"/>
        <w:sz w:val="21"/>
        <w:szCs w:val="21"/>
      </w:rPr>
    </w:lvl>
    <w:lvl w:ilvl="1" w:tplc="0298ED54">
      <w:start w:val="1"/>
      <w:numFmt w:val="bullet"/>
      <w:lvlText w:val="•"/>
      <w:lvlJc w:val="left"/>
      <w:pPr>
        <w:ind w:left="2808" w:hanging="284"/>
      </w:pPr>
      <w:rPr>
        <w:rFonts w:hint="default"/>
      </w:rPr>
    </w:lvl>
    <w:lvl w:ilvl="2" w:tplc="3ACE3B56">
      <w:start w:val="1"/>
      <w:numFmt w:val="bullet"/>
      <w:lvlText w:val="•"/>
      <w:lvlJc w:val="left"/>
      <w:pPr>
        <w:ind w:left="3632" w:hanging="284"/>
      </w:pPr>
      <w:rPr>
        <w:rFonts w:hint="default"/>
      </w:rPr>
    </w:lvl>
    <w:lvl w:ilvl="3" w:tplc="AA96C0BE">
      <w:start w:val="1"/>
      <w:numFmt w:val="bullet"/>
      <w:lvlText w:val="•"/>
      <w:lvlJc w:val="left"/>
      <w:pPr>
        <w:ind w:left="4456" w:hanging="284"/>
      </w:pPr>
      <w:rPr>
        <w:rFonts w:hint="default"/>
      </w:rPr>
    </w:lvl>
    <w:lvl w:ilvl="4" w:tplc="CA98A634">
      <w:start w:val="1"/>
      <w:numFmt w:val="bullet"/>
      <w:lvlText w:val="•"/>
      <w:lvlJc w:val="left"/>
      <w:pPr>
        <w:ind w:left="5280" w:hanging="284"/>
      </w:pPr>
      <w:rPr>
        <w:rFonts w:hint="default"/>
      </w:rPr>
    </w:lvl>
    <w:lvl w:ilvl="5" w:tplc="AA4A5076">
      <w:start w:val="1"/>
      <w:numFmt w:val="bullet"/>
      <w:lvlText w:val="•"/>
      <w:lvlJc w:val="left"/>
      <w:pPr>
        <w:ind w:left="6104" w:hanging="284"/>
      </w:pPr>
      <w:rPr>
        <w:rFonts w:hint="default"/>
      </w:rPr>
    </w:lvl>
    <w:lvl w:ilvl="6" w:tplc="44422EEC">
      <w:start w:val="1"/>
      <w:numFmt w:val="bullet"/>
      <w:lvlText w:val="•"/>
      <w:lvlJc w:val="left"/>
      <w:pPr>
        <w:ind w:left="6929" w:hanging="284"/>
      </w:pPr>
      <w:rPr>
        <w:rFonts w:hint="default"/>
      </w:rPr>
    </w:lvl>
    <w:lvl w:ilvl="7" w:tplc="91644454">
      <w:start w:val="1"/>
      <w:numFmt w:val="bullet"/>
      <w:lvlText w:val="•"/>
      <w:lvlJc w:val="left"/>
      <w:pPr>
        <w:ind w:left="7753" w:hanging="284"/>
      </w:pPr>
      <w:rPr>
        <w:rFonts w:hint="default"/>
      </w:rPr>
    </w:lvl>
    <w:lvl w:ilvl="8" w:tplc="99B2DCF6">
      <w:start w:val="1"/>
      <w:numFmt w:val="bullet"/>
      <w:lvlText w:val="•"/>
      <w:lvlJc w:val="left"/>
      <w:pPr>
        <w:ind w:left="8577" w:hanging="284"/>
      </w:pPr>
      <w:rPr>
        <w:rFonts w:hint="default"/>
      </w:rPr>
    </w:lvl>
  </w:abstractNum>
  <w:abstractNum w:abstractNumId="28" w15:restartNumberingAfterBreak="0">
    <w:nsid w:val="6AB61074"/>
    <w:multiLevelType w:val="hybridMultilevel"/>
    <w:tmpl w:val="E9D8A206"/>
    <w:lvl w:ilvl="0" w:tplc="32DEC6B8">
      <w:start w:val="1"/>
      <w:numFmt w:val="bullet"/>
      <w:lvlText w:val="–"/>
      <w:lvlJc w:val="left"/>
      <w:pPr>
        <w:ind w:left="662" w:hanging="284"/>
      </w:pPr>
      <w:rPr>
        <w:rFonts w:ascii="Arial Black" w:eastAsia="Arial Black" w:hAnsi="Arial Black" w:hint="default"/>
        <w:b/>
        <w:bCs/>
        <w:sz w:val="21"/>
        <w:szCs w:val="21"/>
      </w:rPr>
    </w:lvl>
    <w:lvl w:ilvl="1" w:tplc="040C801C">
      <w:start w:val="1"/>
      <w:numFmt w:val="bullet"/>
      <w:lvlText w:val="•"/>
      <w:lvlJc w:val="left"/>
      <w:pPr>
        <w:ind w:left="1109" w:hanging="284"/>
      </w:pPr>
      <w:rPr>
        <w:rFonts w:hint="default"/>
      </w:rPr>
    </w:lvl>
    <w:lvl w:ilvl="2" w:tplc="1250F1EE">
      <w:start w:val="1"/>
      <w:numFmt w:val="bullet"/>
      <w:lvlText w:val="•"/>
      <w:lvlJc w:val="left"/>
      <w:pPr>
        <w:ind w:left="1557" w:hanging="284"/>
      </w:pPr>
      <w:rPr>
        <w:rFonts w:hint="default"/>
      </w:rPr>
    </w:lvl>
    <w:lvl w:ilvl="3" w:tplc="EED03DEA">
      <w:start w:val="1"/>
      <w:numFmt w:val="bullet"/>
      <w:lvlText w:val="•"/>
      <w:lvlJc w:val="left"/>
      <w:pPr>
        <w:ind w:left="2005" w:hanging="284"/>
      </w:pPr>
      <w:rPr>
        <w:rFonts w:hint="default"/>
      </w:rPr>
    </w:lvl>
    <w:lvl w:ilvl="4" w:tplc="C2526822">
      <w:start w:val="1"/>
      <w:numFmt w:val="bullet"/>
      <w:lvlText w:val="•"/>
      <w:lvlJc w:val="left"/>
      <w:pPr>
        <w:ind w:left="2453" w:hanging="284"/>
      </w:pPr>
      <w:rPr>
        <w:rFonts w:hint="default"/>
      </w:rPr>
    </w:lvl>
    <w:lvl w:ilvl="5" w:tplc="3B98B002">
      <w:start w:val="1"/>
      <w:numFmt w:val="bullet"/>
      <w:lvlText w:val="•"/>
      <w:lvlJc w:val="left"/>
      <w:pPr>
        <w:ind w:left="2901" w:hanging="284"/>
      </w:pPr>
      <w:rPr>
        <w:rFonts w:hint="default"/>
      </w:rPr>
    </w:lvl>
    <w:lvl w:ilvl="6" w:tplc="E2B4B88C">
      <w:start w:val="1"/>
      <w:numFmt w:val="bullet"/>
      <w:lvlText w:val="•"/>
      <w:lvlJc w:val="left"/>
      <w:pPr>
        <w:ind w:left="3349" w:hanging="284"/>
      </w:pPr>
      <w:rPr>
        <w:rFonts w:hint="default"/>
      </w:rPr>
    </w:lvl>
    <w:lvl w:ilvl="7" w:tplc="716A8E58">
      <w:start w:val="1"/>
      <w:numFmt w:val="bullet"/>
      <w:lvlText w:val="•"/>
      <w:lvlJc w:val="left"/>
      <w:pPr>
        <w:ind w:left="3797" w:hanging="284"/>
      </w:pPr>
      <w:rPr>
        <w:rFonts w:hint="default"/>
      </w:rPr>
    </w:lvl>
    <w:lvl w:ilvl="8" w:tplc="31BAFC90">
      <w:start w:val="1"/>
      <w:numFmt w:val="bullet"/>
      <w:lvlText w:val="•"/>
      <w:lvlJc w:val="left"/>
      <w:pPr>
        <w:ind w:left="4245" w:hanging="284"/>
      </w:pPr>
      <w:rPr>
        <w:rFonts w:hint="default"/>
      </w:rPr>
    </w:lvl>
  </w:abstractNum>
  <w:abstractNum w:abstractNumId="29" w15:restartNumberingAfterBreak="0">
    <w:nsid w:val="6D8F60E2"/>
    <w:multiLevelType w:val="hybridMultilevel"/>
    <w:tmpl w:val="A40E2D20"/>
    <w:lvl w:ilvl="0" w:tplc="FFFFFFFF">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6E96D242"/>
    <w:multiLevelType w:val="hybridMultilevel"/>
    <w:tmpl w:val="FFFFFFFF"/>
    <w:lvl w:ilvl="0" w:tplc="3716A2B6">
      <w:start w:val="1"/>
      <w:numFmt w:val="decimal"/>
      <w:lvlText w:val="%1."/>
      <w:lvlJc w:val="left"/>
      <w:pPr>
        <w:ind w:left="720" w:hanging="360"/>
      </w:pPr>
    </w:lvl>
    <w:lvl w:ilvl="1" w:tplc="92D214FE">
      <w:start w:val="1"/>
      <w:numFmt w:val="lowerLetter"/>
      <w:lvlText w:val="%2."/>
      <w:lvlJc w:val="left"/>
      <w:pPr>
        <w:ind w:left="1440" w:hanging="360"/>
      </w:pPr>
    </w:lvl>
    <w:lvl w:ilvl="2" w:tplc="C2AE364A">
      <w:start w:val="1"/>
      <w:numFmt w:val="lowerRoman"/>
      <w:lvlText w:val="%3."/>
      <w:lvlJc w:val="right"/>
      <w:pPr>
        <w:ind w:left="2160" w:hanging="180"/>
      </w:pPr>
    </w:lvl>
    <w:lvl w:ilvl="3" w:tplc="0052BC18">
      <w:start w:val="1"/>
      <w:numFmt w:val="decimal"/>
      <w:lvlText w:val="%4."/>
      <w:lvlJc w:val="left"/>
      <w:pPr>
        <w:ind w:left="2880" w:hanging="360"/>
      </w:pPr>
    </w:lvl>
    <w:lvl w:ilvl="4" w:tplc="595ECC46">
      <w:start w:val="1"/>
      <w:numFmt w:val="lowerLetter"/>
      <w:lvlText w:val="%5."/>
      <w:lvlJc w:val="left"/>
      <w:pPr>
        <w:ind w:left="3600" w:hanging="360"/>
      </w:pPr>
    </w:lvl>
    <w:lvl w:ilvl="5" w:tplc="399A3C12">
      <w:start w:val="1"/>
      <w:numFmt w:val="lowerRoman"/>
      <w:lvlText w:val="%6."/>
      <w:lvlJc w:val="right"/>
      <w:pPr>
        <w:ind w:left="4320" w:hanging="180"/>
      </w:pPr>
    </w:lvl>
    <w:lvl w:ilvl="6" w:tplc="0CFEB59E">
      <w:start w:val="1"/>
      <w:numFmt w:val="decimal"/>
      <w:lvlText w:val="%7."/>
      <w:lvlJc w:val="left"/>
      <w:pPr>
        <w:ind w:left="5040" w:hanging="360"/>
      </w:pPr>
    </w:lvl>
    <w:lvl w:ilvl="7" w:tplc="0FD23084">
      <w:start w:val="1"/>
      <w:numFmt w:val="lowerLetter"/>
      <w:lvlText w:val="%8."/>
      <w:lvlJc w:val="left"/>
      <w:pPr>
        <w:ind w:left="5760" w:hanging="360"/>
      </w:pPr>
    </w:lvl>
    <w:lvl w:ilvl="8" w:tplc="96524ED4">
      <w:start w:val="1"/>
      <w:numFmt w:val="lowerRoman"/>
      <w:lvlText w:val="%9."/>
      <w:lvlJc w:val="right"/>
      <w:pPr>
        <w:ind w:left="6480" w:hanging="180"/>
      </w:pPr>
    </w:lvl>
  </w:abstractNum>
  <w:abstractNum w:abstractNumId="31" w15:restartNumberingAfterBreak="0">
    <w:nsid w:val="761C54D3"/>
    <w:multiLevelType w:val="hybridMultilevel"/>
    <w:tmpl w:val="6F1E4EBE"/>
    <w:lvl w:ilvl="0" w:tplc="14090001">
      <w:start w:val="1"/>
      <w:numFmt w:val="bullet"/>
      <w:lvlText w:val=""/>
      <w:lvlJc w:val="left"/>
      <w:pPr>
        <w:tabs>
          <w:tab w:val="num" w:pos="360"/>
        </w:tabs>
        <w:ind w:left="360" w:hanging="360"/>
      </w:pPr>
      <w:rPr>
        <w:rFonts w:ascii="Symbol" w:hAnsi="Symbol" w:hint="default"/>
      </w:rPr>
    </w:lvl>
    <w:lvl w:ilvl="1" w:tplc="1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790B609F"/>
    <w:multiLevelType w:val="hybridMultilevel"/>
    <w:tmpl w:val="DADE0218"/>
    <w:lvl w:ilvl="0" w:tplc="B80C461A">
      <w:start w:val="1"/>
      <w:numFmt w:val="bullet"/>
      <w:lvlText w:val="•"/>
      <w:lvlJc w:val="left"/>
      <w:pPr>
        <w:ind w:left="587" w:hanging="284"/>
      </w:pPr>
      <w:rPr>
        <w:rFonts w:ascii="Lucida Sans Unicode" w:eastAsia="Lucida Sans Unicode" w:hAnsi="Lucida Sans Unicode" w:hint="default"/>
        <w:w w:val="59"/>
        <w:sz w:val="21"/>
        <w:szCs w:val="21"/>
      </w:rPr>
    </w:lvl>
    <w:lvl w:ilvl="1" w:tplc="DA12774A">
      <w:start w:val="1"/>
      <w:numFmt w:val="bullet"/>
      <w:lvlText w:val="•"/>
      <w:lvlJc w:val="left"/>
      <w:pPr>
        <w:ind w:left="2267" w:hanging="284"/>
      </w:pPr>
      <w:rPr>
        <w:rFonts w:ascii="Lucida Sans Unicode" w:eastAsia="Lucida Sans Unicode" w:hAnsi="Lucida Sans Unicode" w:hint="default"/>
        <w:w w:val="59"/>
        <w:sz w:val="21"/>
        <w:szCs w:val="21"/>
      </w:rPr>
    </w:lvl>
    <w:lvl w:ilvl="2" w:tplc="C6E244EC">
      <w:start w:val="1"/>
      <w:numFmt w:val="bullet"/>
      <w:lvlText w:val="•"/>
      <w:lvlJc w:val="left"/>
      <w:pPr>
        <w:ind w:left="2689" w:hanging="284"/>
      </w:pPr>
      <w:rPr>
        <w:rFonts w:hint="default"/>
      </w:rPr>
    </w:lvl>
    <w:lvl w:ilvl="3" w:tplc="8ADA74DA">
      <w:start w:val="1"/>
      <w:numFmt w:val="bullet"/>
      <w:lvlText w:val="•"/>
      <w:lvlJc w:val="left"/>
      <w:pPr>
        <w:ind w:left="3111" w:hanging="284"/>
      </w:pPr>
      <w:rPr>
        <w:rFonts w:hint="default"/>
      </w:rPr>
    </w:lvl>
    <w:lvl w:ilvl="4" w:tplc="4FC0E628">
      <w:start w:val="1"/>
      <w:numFmt w:val="bullet"/>
      <w:lvlText w:val="•"/>
      <w:lvlJc w:val="left"/>
      <w:pPr>
        <w:ind w:left="3532" w:hanging="284"/>
      </w:pPr>
      <w:rPr>
        <w:rFonts w:hint="default"/>
      </w:rPr>
    </w:lvl>
    <w:lvl w:ilvl="5" w:tplc="531CD59C">
      <w:start w:val="1"/>
      <w:numFmt w:val="bullet"/>
      <w:lvlText w:val="•"/>
      <w:lvlJc w:val="left"/>
      <w:pPr>
        <w:ind w:left="3954" w:hanging="284"/>
      </w:pPr>
      <w:rPr>
        <w:rFonts w:hint="default"/>
      </w:rPr>
    </w:lvl>
    <w:lvl w:ilvl="6" w:tplc="53CAE810">
      <w:start w:val="1"/>
      <w:numFmt w:val="bullet"/>
      <w:lvlText w:val="•"/>
      <w:lvlJc w:val="left"/>
      <w:pPr>
        <w:ind w:left="4376" w:hanging="284"/>
      </w:pPr>
      <w:rPr>
        <w:rFonts w:hint="default"/>
      </w:rPr>
    </w:lvl>
    <w:lvl w:ilvl="7" w:tplc="4F583E0A">
      <w:start w:val="1"/>
      <w:numFmt w:val="bullet"/>
      <w:lvlText w:val="•"/>
      <w:lvlJc w:val="left"/>
      <w:pPr>
        <w:ind w:left="4798" w:hanging="284"/>
      </w:pPr>
      <w:rPr>
        <w:rFonts w:hint="default"/>
      </w:rPr>
    </w:lvl>
    <w:lvl w:ilvl="8" w:tplc="4E8A9C6C">
      <w:start w:val="1"/>
      <w:numFmt w:val="bullet"/>
      <w:lvlText w:val="•"/>
      <w:lvlJc w:val="left"/>
      <w:pPr>
        <w:ind w:left="5219" w:hanging="284"/>
      </w:pPr>
      <w:rPr>
        <w:rFonts w:hint="default"/>
      </w:rPr>
    </w:lvl>
  </w:abstractNum>
  <w:abstractNum w:abstractNumId="33" w15:restartNumberingAfterBreak="0">
    <w:nsid w:val="79FC7896"/>
    <w:multiLevelType w:val="hybridMultilevel"/>
    <w:tmpl w:val="C5E8CF5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7A46122C"/>
    <w:multiLevelType w:val="hybridMultilevel"/>
    <w:tmpl w:val="5888C120"/>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5"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abstractNum w:abstractNumId="36" w15:restartNumberingAfterBreak="0">
    <w:nsid w:val="7C970E9C"/>
    <w:multiLevelType w:val="hybridMultilevel"/>
    <w:tmpl w:val="4384984A"/>
    <w:lvl w:ilvl="0" w:tplc="C93A288C">
      <w:start w:val="1"/>
      <w:numFmt w:val="bullet"/>
      <w:lvlText w:val="•"/>
      <w:lvlJc w:val="left"/>
      <w:pPr>
        <w:ind w:left="246" w:hanging="134"/>
      </w:pPr>
      <w:rPr>
        <w:rFonts w:ascii="Arial Unicode MS" w:eastAsia="Arial Unicode MS" w:hAnsi="Arial Unicode MS" w:hint="default"/>
        <w:w w:val="107"/>
        <w:sz w:val="21"/>
        <w:szCs w:val="21"/>
      </w:rPr>
    </w:lvl>
    <w:lvl w:ilvl="1" w:tplc="DA5E0414">
      <w:start w:val="1"/>
      <w:numFmt w:val="bullet"/>
      <w:lvlText w:val="•"/>
      <w:lvlJc w:val="left"/>
      <w:pPr>
        <w:ind w:left="464" w:hanging="134"/>
      </w:pPr>
      <w:rPr>
        <w:rFonts w:hint="default"/>
      </w:rPr>
    </w:lvl>
    <w:lvl w:ilvl="2" w:tplc="E29E55C8">
      <w:start w:val="1"/>
      <w:numFmt w:val="bullet"/>
      <w:lvlText w:val="•"/>
      <w:lvlJc w:val="left"/>
      <w:pPr>
        <w:ind w:left="682" w:hanging="134"/>
      </w:pPr>
      <w:rPr>
        <w:rFonts w:hint="default"/>
      </w:rPr>
    </w:lvl>
    <w:lvl w:ilvl="3" w:tplc="38AA3A8C">
      <w:start w:val="1"/>
      <w:numFmt w:val="bullet"/>
      <w:lvlText w:val="•"/>
      <w:lvlJc w:val="left"/>
      <w:pPr>
        <w:ind w:left="900" w:hanging="134"/>
      </w:pPr>
      <w:rPr>
        <w:rFonts w:hint="default"/>
      </w:rPr>
    </w:lvl>
    <w:lvl w:ilvl="4" w:tplc="6280268C">
      <w:start w:val="1"/>
      <w:numFmt w:val="bullet"/>
      <w:lvlText w:val="•"/>
      <w:lvlJc w:val="left"/>
      <w:pPr>
        <w:ind w:left="1118" w:hanging="134"/>
      </w:pPr>
      <w:rPr>
        <w:rFonts w:hint="default"/>
      </w:rPr>
    </w:lvl>
    <w:lvl w:ilvl="5" w:tplc="41CA4FC0">
      <w:start w:val="1"/>
      <w:numFmt w:val="bullet"/>
      <w:lvlText w:val="•"/>
      <w:lvlJc w:val="left"/>
      <w:pPr>
        <w:ind w:left="1336" w:hanging="134"/>
      </w:pPr>
      <w:rPr>
        <w:rFonts w:hint="default"/>
      </w:rPr>
    </w:lvl>
    <w:lvl w:ilvl="6" w:tplc="F828CB0C">
      <w:start w:val="1"/>
      <w:numFmt w:val="bullet"/>
      <w:lvlText w:val="•"/>
      <w:lvlJc w:val="left"/>
      <w:pPr>
        <w:ind w:left="1554" w:hanging="134"/>
      </w:pPr>
      <w:rPr>
        <w:rFonts w:hint="default"/>
      </w:rPr>
    </w:lvl>
    <w:lvl w:ilvl="7" w:tplc="21BEBEB6">
      <w:start w:val="1"/>
      <w:numFmt w:val="bullet"/>
      <w:lvlText w:val="•"/>
      <w:lvlJc w:val="left"/>
      <w:pPr>
        <w:ind w:left="1771" w:hanging="134"/>
      </w:pPr>
      <w:rPr>
        <w:rFonts w:hint="default"/>
      </w:rPr>
    </w:lvl>
    <w:lvl w:ilvl="8" w:tplc="D11CBA8E">
      <w:start w:val="1"/>
      <w:numFmt w:val="bullet"/>
      <w:lvlText w:val="•"/>
      <w:lvlJc w:val="left"/>
      <w:pPr>
        <w:ind w:left="1989" w:hanging="134"/>
      </w:pPr>
      <w:rPr>
        <w:rFonts w:hint="default"/>
      </w:rPr>
    </w:lvl>
  </w:abstractNum>
  <w:abstractNum w:abstractNumId="37" w15:restartNumberingAfterBreak="0">
    <w:nsid w:val="7CC72B21"/>
    <w:multiLevelType w:val="multilevel"/>
    <w:tmpl w:val="273EF2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175605461">
    <w:abstractNumId w:val="35"/>
  </w:num>
  <w:num w:numId="2" w16cid:durableId="606082149">
    <w:abstractNumId w:val="25"/>
  </w:num>
  <w:num w:numId="3" w16cid:durableId="1768696391">
    <w:abstractNumId w:val="17"/>
  </w:num>
  <w:num w:numId="4" w16cid:durableId="1974141970">
    <w:abstractNumId w:val="18"/>
  </w:num>
  <w:num w:numId="5" w16cid:durableId="1159272217">
    <w:abstractNumId w:val="0"/>
  </w:num>
  <w:num w:numId="6" w16cid:durableId="704789836">
    <w:abstractNumId w:val="37"/>
  </w:num>
  <w:num w:numId="7" w16cid:durableId="1628273020">
    <w:abstractNumId w:val="13"/>
  </w:num>
  <w:num w:numId="8" w16cid:durableId="585261557">
    <w:abstractNumId w:val="2"/>
  </w:num>
  <w:num w:numId="9" w16cid:durableId="1545603849">
    <w:abstractNumId w:val="34"/>
  </w:num>
  <w:num w:numId="10" w16cid:durableId="346520967">
    <w:abstractNumId w:val="1"/>
  </w:num>
  <w:num w:numId="11" w16cid:durableId="1406223666">
    <w:abstractNumId w:val="31"/>
  </w:num>
  <w:num w:numId="12" w16cid:durableId="694354540">
    <w:abstractNumId w:val="3"/>
  </w:num>
  <w:num w:numId="13" w16cid:durableId="538592385">
    <w:abstractNumId w:val="7"/>
  </w:num>
  <w:num w:numId="14" w16cid:durableId="1672291571">
    <w:abstractNumId w:val="5"/>
  </w:num>
  <w:num w:numId="15" w16cid:durableId="1416320872">
    <w:abstractNumId w:val="8"/>
  </w:num>
  <w:num w:numId="16" w16cid:durableId="645552145">
    <w:abstractNumId w:val="21"/>
  </w:num>
  <w:num w:numId="17" w16cid:durableId="130756283">
    <w:abstractNumId w:val="11"/>
  </w:num>
  <w:num w:numId="18" w16cid:durableId="224340911">
    <w:abstractNumId w:val="27"/>
  </w:num>
  <w:num w:numId="19" w16cid:durableId="905988858">
    <w:abstractNumId w:val="12"/>
  </w:num>
  <w:num w:numId="20" w16cid:durableId="323556915">
    <w:abstractNumId w:val="20"/>
  </w:num>
  <w:num w:numId="21" w16cid:durableId="1573157272">
    <w:abstractNumId w:val="6"/>
  </w:num>
  <w:num w:numId="22" w16cid:durableId="1096512966">
    <w:abstractNumId w:val="4"/>
  </w:num>
  <w:num w:numId="23" w16cid:durableId="307830501">
    <w:abstractNumId w:val="23"/>
  </w:num>
  <w:num w:numId="24" w16cid:durableId="1671299475">
    <w:abstractNumId w:val="22"/>
  </w:num>
  <w:num w:numId="25" w16cid:durableId="1180971294">
    <w:abstractNumId w:val="36"/>
  </w:num>
  <w:num w:numId="26" w16cid:durableId="1098211718">
    <w:abstractNumId w:val="15"/>
  </w:num>
  <w:num w:numId="27" w16cid:durableId="85083137">
    <w:abstractNumId w:val="28"/>
  </w:num>
  <w:num w:numId="28" w16cid:durableId="375470940">
    <w:abstractNumId w:val="26"/>
  </w:num>
  <w:num w:numId="29" w16cid:durableId="1131948076">
    <w:abstractNumId w:val="19"/>
  </w:num>
  <w:num w:numId="30" w16cid:durableId="2141999095">
    <w:abstractNumId w:val="9"/>
  </w:num>
  <w:num w:numId="31" w16cid:durableId="925723675">
    <w:abstractNumId w:val="32"/>
  </w:num>
  <w:num w:numId="32" w16cid:durableId="594705938">
    <w:abstractNumId w:val="16"/>
  </w:num>
  <w:num w:numId="33" w16cid:durableId="889851873">
    <w:abstractNumId w:val="24"/>
  </w:num>
  <w:num w:numId="34" w16cid:durableId="860165543">
    <w:abstractNumId w:val="33"/>
  </w:num>
  <w:num w:numId="35" w16cid:durableId="85273743">
    <w:abstractNumId w:val="10"/>
  </w:num>
  <w:num w:numId="36" w16cid:durableId="1671181582">
    <w:abstractNumId w:val="30"/>
  </w:num>
  <w:num w:numId="37" w16cid:durableId="747535143">
    <w:abstractNumId w:val="29"/>
  </w:num>
  <w:num w:numId="38" w16cid:durableId="11391342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16385"/>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25B8"/>
    <w:rsid w:val="00005BB5"/>
    <w:rsid w:val="000132DC"/>
    <w:rsid w:val="00025A6F"/>
    <w:rsid w:val="0002618D"/>
    <w:rsid w:val="00030B26"/>
    <w:rsid w:val="00030E84"/>
    <w:rsid w:val="00032C0A"/>
    <w:rsid w:val="00035257"/>
    <w:rsid w:val="00035D68"/>
    <w:rsid w:val="00054B44"/>
    <w:rsid w:val="0006228D"/>
    <w:rsid w:val="00066962"/>
    <w:rsid w:val="00072BD6"/>
    <w:rsid w:val="00075B78"/>
    <w:rsid w:val="000763E9"/>
    <w:rsid w:val="00082CD6"/>
    <w:rsid w:val="0008437D"/>
    <w:rsid w:val="00085AFE"/>
    <w:rsid w:val="00094800"/>
    <w:rsid w:val="000A41ED"/>
    <w:rsid w:val="000B0730"/>
    <w:rsid w:val="000D19F4"/>
    <w:rsid w:val="000D58DD"/>
    <w:rsid w:val="000F2AE2"/>
    <w:rsid w:val="000F2BFF"/>
    <w:rsid w:val="00102063"/>
    <w:rsid w:val="0010541C"/>
    <w:rsid w:val="00106F93"/>
    <w:rsid w:val="00111D50"/>
    <w:rsid w:val="00113B8E"/>
    <w:rsid w:val="0012053C"/>
    <w:rsid w:val="00122363"/>
    <w:rsid w:val="001342C7"/>
    <w:rsid w:val="0013585C"/>
    <w:rsid w:val="00142261"/>
    <w:rsid w:val="00142954"/>
    <w:rsid w:val="001460E0"/>
    <w:rsid w:val="001472F0"/>
    <w:rsid w:val="00147F71"/>
    <w:rsid w:val="00150A6E"/>
    <w:rsid w:val="0016304B"/>
    <w:rsid w:val="0016468A"/>
    <w:rsid w:val="0018662D"/>
    <w:rsid w:val="00192638"/>
    <w:rsid w:val="00197427"/>
    <w:rsid w:val="001A21B4"/>
    <w:rsid w:val="001A5CF5"/>
    <w:rsid w:val="001B39D2"/>
    <w:rsid w:val="001B4BF8"/>
    <w:rsid w:val="001C4326"/>
    <w:rsid w:val="001C665E"/>
    <w:rsid w:val="001D3541"/>
    <w:rsid w:val="001D3E4E"/>
    <w:rsid w:val="001E254A"/>
    <w:rsid w:val="001E7386"/>
    <w:rsid w:val="001F45A7"/>
    <w:rsid w:val="00201A01"/>
    <w:rsid w:val="0020754B"/>
    <w:rsid w:val="002104D3"/>
    <w:rsid w:val="00213A33"/>
    <w:rsid w:val="002147A9"/>
    <w:rsid w:val="002151CF"/>
    <w:rsid w:val="0021763B"/>
    <w:rsid w:val="00246DB1"/>
    <w:rsid w:val="002476B5"/>
    <w:rsid w:val="002520CC"/>
    <w:rsid w:val="00253ECF"/>
    <w:rsid w:val="002546A1"/>
    <w:rsid w:val="002628F4"/>
    <w:rsid w:val="00273F41"/>
    <w:rsid w:val="00275D08"/>
    <w:rsid w:val="002858E3"/>
    <w:rsid w:val="00286A2A"/>
    <w:rsid w:val="0029190A"/>
    <w:rsid w:val="00292C5A"/>
    <w:rsid w:val="00295241"/>
    <w:rsid w:val="002A4DFC"/>
    <w:rsid w:val="002B047D"/>
    <w:rsid w:val="002B732B"/>
    <w:rsid w:val="002B76A7"/>
    <w:rsid w:val="002C2219"/>
    <w:rsid w:val="002C2552"/>
    <w:rsid w:val="002C380A"/>
    <w:rsid w:val="002D0DF2"/>
    <w:rsid w:val="002D23BD"/>
    <w:rsid w:val="002E0B47"/>
    <w:rsid w:val="002F4685"/>
    <w:rsid w:val="002F7213"/>
    <w:rsid w:val="0030382F"/>
    <w:rsid w:val="0030408D"/>
    <w:rsid w:val="003060E4"/>
    <w:rsid w:val="003160E7"/>
    <w:rsid w:val="0031739E"/>
    <w:rsid w:val="003309CA"/>
    <w:rsid w:val="003325AB"/>
    <w:rsid w:val="003332D1"/>
    <w:rsid w:val="0033412B"/>
    <w:rsid w:val="00341161"/>
    <w:rsid w:val="00343365"/>
    <w:rsid w:val="003445F4"/>
    <w:rsid w:val="00353501"/>
    <w:rsid w:val="00353734"/>
    <w:rsid w:val="003606F8"/>
    <w:rsid w:val="003648EF"/>
    <w:rsid w:val="003673E6"/>
    <w:rsid w:val="00377264"/>
    <w:rsid w:val="003779D2"/>
    <w:rsid w:val="00385E38"/>
    <w:rsid w:val="0039294C"/>
    <w:rsid w:val="00396D14"/>
    <w:rsid w:val="003A26A5"/>
    <w:rsid w:val="003A3761"/>
    <w:rsid w:val="003A512D"/>
    <w:rsid w:val="003A5FEA"/>
    <w:rsid w:val="003B1D10"/>
    <w:rsid w:val="003C76D4"/>
    <w:rsid w:val="003D137D"/>
    <w:rsid w:val="003D2CC5"/>
    <w:rsid w:val="003E04C1"/>
    <w:rsid w:val="003E0887"/>
    <w:rsid w:val="003E74C8"/>
    <w:rsid w:val="003E7C46"/>
    <w:rsid w:val="003F2106"/>
    <w:rsid w:val="003F52A7"/>
    <w:rsid w:val="003F7013"/>
    <w:rsid w:val="0040240C"/>
    <w:rsid w:val="00413021"/>
    <w:rsid w:val="004301C6"/>
    <w:rsid w:val="0043478F"/>
    <w:rsid w:val="0043602B"/>
    <w:rsid w:val="00440BE0"/>
    <w:rsid w:val="00442C1C"/>
    <w:rsid w:val="0044584B"/>
    <w:rsid w:val="00447CB7"/>
    <w:rsid w:val="00455CC9"/>
    <w:rsid w:val="00460826"/>
    <w:rsid w:val="00460EA7"/>
    <w:rsid w:val="0046195B"/>
    <w:rsid w:val="0046362D"/>
    <w:rsid w:val="0046596D"/>
    <w:rsid w:val="00487C04"/>
    <w:rsid w:val="004907E1"/>
    <w:rsid w:val="004A035B"/>
    <w:rsid w:val="004A2108"/>
    <w:rsid w:val="004A38D7"/>
    <w:rsid w:val="004A778C"/>
    <w:rsid w:val="004B48C7"/>
    <w:rsid w:val="004C2E6A"/>
    <w:rsid w:val="004C64B8"/>
    <w:rsid w:val="004D2A2D"/>
    <w:rsid w:val="004D38E5"/>
    <w:rsid w:val="004D479F"/>
    <w:rsid w:val="004D6689"/>
    <w:rsid w:val="004E1D1D"/>
    <w:rsid w:val="004E7AC8"/>
    <w:rsid w:val="004F0C94"/>
    <w:rsid w:val="005019AE"/>
    <w:rsid w:val="00503749"/>
    <w:rsid w:val="00504CF4"/>
    <w:rsid w:val="0050635B"/>
    <w:rsid w:val="005151C2"/>
    <w:rsid w:val="0053199F"/>
    <w:rsid w:val="00531E12"/>
    <w:rsid w:val="00533B90"/>
    <w:rsid w:val="005410F8"/>
    <w:rsid w:val="005448EC"/>
    <w:rsid w:val="00545963"/>
    <w:rsid w:val="00550256"/>
    <w:rsid w:val="00553165"/>
    <w:rsid w:val="00553958"/>
    <w:rsid w:val="00556BB7"/>
    <w:rsid w:val="0055763D"/>
    <w:rsid w:val="00561516"/>
    <w:rsid w:val="005621F2"/>
    <w:rsid w:val="005665FD"/>
    <w:rsid w:val="00567B58"/>
    <w:rsid w:val="00571223"/>
    <w:rsid w:val="005763E0"/>
    <w:rsid w:val="00581136"/>
    <w:rsid w:val="00581EB8"/>
    <w:rsid w:val="005A27CA"/>
    <w:rsid w:val="005A43BD"/>
    <w:rsid w:val="005A79E5"/>
    <w:rsid w:val="005D034C"/>
    <w:rsid w:val="005E226E"/>
    <w:rsid w:val="005E2636"/>
    <w:rsid w:val="005F77FC"/>
    <w:rsid w:val="006015D7"/>
    <w:rsid w:val="00601B21"/>
    <w:rsid w:val="006041F0"/>
    <w:rsid w:val="00605C6D"/>
    <w:rsid w:val="006120CA"/>
    <w:rsid w:val="00624174"/>
    <w:rsid w:val="00626CF8"/>
    <w:rsid w:val="006314AF"/>
    <w:rsid w:val="00634ED8"/>
    <w:rsid w:val="00636D7D"/>
    <w:rsid w:val="00637408"/>
    <w:rsid w:val="00642868"/>
    <w:rsid w:val="00647AFE"/>
    <w:rsid w:val="006512BC"/>
    <w:rsid w:val="00651CC6"/>
    <w:rsid w:val="00653A5A"/>
    <w:rsid w:val="006554AC"/>
    <w:rsid w:val="006575F4"/>
    <w:rsid w:val="006579E6"/>
    <w:rsid w:val="00660682"/>
    <w:rsid w:val="00660F74"/>
    <w:rsid w:val="00663EDC"/>
    <w:rsid w:val="00667E20"/>
    <w:rsid w:val="00671078"/>
    <w:rsid w:val="006758CA"/>
    <w:rsid w:val="0067720E"/>
    <w:rsid w:val="00680A04"/>
    <w:rsid w:val="00686D80"/>
    <w:rsid w:val="00694895"/>
    <w:rsid w:val="00697E2E"/>
    <w:rsid w:val="006A25A2"/>
    <w:rsid w:val="006A3B87"/>
    <w:rsid w:val="006B0E73"/>
    <w:rsid w:val="006B1E3D"/>
    <w:rsid w:val="006B4A4D"/>
    <w:rsid w:val="006B5695"/>
    <w:rsid w:val="006B7B2E"/>
    <w:rsid w:val="006C78EB"/>
    <w:rsid w:val="006D1660"/>
    <w:rsid w:val="006D412A"/>
    <w:rsid w:val="006D63E5"/>
    <w:rsid w:val="006E1753"/>
    <w:rsid w:val="006E3911"/>
    <w:rsid w:val="006F1B67"/>
    <w:rsid w:val="006F4D9C"/>
    <w:rsid w:val="0070091D"/>
    <w:rsid w:val="00702854"/>
    <w:rsid w:val="0071741C"/>
    <w:rsid w:val="00742B90"/>
    <w:rsid w:val="0074434D"/>
    <w:rsid w:val="007570C4"/>
    <w:rsid w:val="007605B8"/>
    <w:rsid w:val="00771B1E"/>
    <w:rsid w:val="00773C95"/>
    <w:rsid w:val="0078171E"/>
    <w:rsid w:val="0078658E"/>
    <w:rsid w:val="007920E2"/>
    <w:rsid w:val="0079566E"/>
    <w:rsid w:val="00795B34"/>
    <w:rsid w:val="007A067F"/>
    <w:rsid w:val="007B1770"/>
    <w:rsid w:val="007B4D3E"/>
    <w:rsid w:val="007B7C70"/>
    <w:rsid w:val="007B7DEB"/>
    <w:rsid w:val="007C0449"/>
    <w:rsid w:val="007D2151"/>
    <w:rsid w:val="007D3B90"/>
    <w:rsid w:val="007D42CC"/>
    <w:rsid w:val="007D5DE4"/>
    <w:rsid w:val="007D7C3A"/>
    <w:rsid w:val="007E0777"/>
    <w:rsid w:val="007E1341"/>
    <w:rsid w:val="007E1B41"/>
    <w:rsid w:val="007E1EC4"/>
    <w:rsid w:val="007E30B9"/>
    <w:rsid w:val="007E70DA"/>
    <w:rsid w:val="007E74F1"/>
    <w:rsid w:val="007F0F0C"/>
    <w:rsid w:val="007F1288"/>
    <w:rsid w:val="00800A8A"/>
    <w:rsid w:val="0080155C"/>
    <w:rsid w:val="008052E1"/>
    <w:rsid w:val="00822F2C"/>
    <w:rsid w:val="00823DEE"/>
    <w:rsid w:val="008305E8"/>
    <w:rsid w:val="00836165"/>
    <w:rsid w:val="0084640C"/>
    <w:rsid w:val="00847A9C"/>
    <w:rsid w:val="00856088"/>
    <w:rsid w:val="00860826"/>
    <w:rsid w:val="00860E21"/>
    <w:rsid w:val="00863117"/>
    <w:rsid w:val="0086388B"/>
    <w:rsid w:val="008642E5"/>
    <w:rsid w:val="00864488"/>
    <w:rsid w:val="00870A36"/>
    <w:rsid w:val="00872D93"/>
    <w:rsid w:val="00880470"/>
    <w:rsid w:val="00880D94"/>
    <w:rsid w:val="00886F64"/>
    <w:rsid w:val="008924DE"/>
    <w:rsid w:val="008A3755"/>
    <w:rsid w:val="008B19DC"/>
    <w:rsid w:val="008B264F"/>
    <w:rsid w:val="008B6F83"/>
    <w:rsid w:val="008B7FD8"/>
    <w:rsid w:val="008C1108"/>
    <w:rsid w:val="008C2973"/>
    <w:rsid w:val="008C6324"/>
    <w:rsid w:val="008C64C4"/>
    <w:rsid w:val="008D2CDD"/>
    <w:rsid w:val="008D74D5"/>
    <w:rsid w:val="008E0ED1"/>
    <w:rsid w:val="008E3A07"/>
    <w:rsid w:val="008E537B"/>
    <w:rsid w:val="008E7AAD"/>
    <w:rsid w:val="008F29BE"/>
    <w:rsid w:val="008F2B72"/>
    <w:rsid w:val="008F4AE5"/>
    <w:rsid w:val="008F51EB"/>
    <w:rsid w:val="00900197"/>
    <w:rsid w:val="00902F55"/>
    <w:rsid w:val="0090582B"/>
    <w:rsid w:val="009060C0"/>
    <w:rsid w:val="009114A2"/>
    <w:rsid w:val="009133F5"/>
    <w:rsid w:val="0091756F"/>
    <w:rsid w:val="00920A27"/>
    <w:rsid w:val="00921216"/>
    <w:rsid w:val="009216CC"/>
    <w:rsid w:val="00926083"/>
    <w:rsid w:val="00930D08"/>
    <w:rsid w:val="00931466"/>
    <w:rsid w:val="00932D69"/>
    <w:rsid w:val="00935589"/>
    <w:rsid w:val="00944647"/>
    <w:rsid w:val="0095565C"/>
    <w:rsid w:val="00964AB6"/>
    <w:rsid w:val="00966F9A"/>
    <w:rsid w:val="00977B8A"/>
    <w:rsid w:val="00982971"/>
    <w:rsid w:val="009845AD"/>
    <w:rsid w:val="00984835"/>
    <w:rsid w:val="0098639B"/>
    <w:rsid w:val="009933EF"/>
    <w:rsid w:val="00995BA0"/>
    <w:rsid w:val="009A418B"/>
    <w:rsid w:val="009A426F"/>
    <w:rsid w:val="009A42D5"/>
    <w:rsid w:val="009A4473"/>
    <w:rsid w:val="009A4CE8"/>
    <w:rsid w:val="009B05C9"/>
    <w:rsid w:val="009B286C"/>
    <w:rsid w:val="009C151C"/>
    <w:rsid w:val="009C440A"/>
    <w:rsid w:val="009D5125"/>
    <w:rsid w:val="009D60B8"/>
    <w:rsid w:val="009D7D4B"/>
    <w:rsid w:val="009E36ED"/>
    <w:rsid w:val="009E3C8C"/>
    <w:rsid w:val="009E6B77"/>
    <w:rsid w:val="009F460A"/>
    <w:rsid w:val="00A043FB"/>
    <w:rsid w:val="00A06BE4"/>
    <w:rsid w:val="00A0729C"/>
    <w:rsid w:val="00A07779"/>
    <w:rsid w:val="00A1166A"/>
    <w:rsid w:val="00A152C2"/>
    <w:rsid w:val="00A20B2E"/>
    <w:rsid w:val="00A24F33"/>
    <w:rsid w:val="00A25069"/>
    <w:rsid w:val="00A26E6B"/>
    <w:rsid w:val="00A3068F"/>
    <w:rsid w:val="00A3145B"/>
    <w:rsid w:val="00A339D0"/>
    <w:rsid w:val="00A41002"/>
    <w:rsid w:val="00A4201A"/>
    <w:rsid w:val="00A5465D"/>
    <w:rsid w:val="00A553CE"/>
    <w:rsid w:val="00A5677A"/>
    <w:rsid w:val="00A56DCC"/>
    <w:rsid w:val="00A625E8"/>
    <w:rsid w:val="00A63DFF"/>
    <w:rsid w:val="00A6490D"/>
    <w:rsid w:val="00A7415D"/>
    <w:rsid w:val="00A80363"/>
    <w:rsid w:val="00A80939"/>
    <w:rsid w:val="00A83E9D"/>
    <w:rsid w:val="00A87C05"/>
    <w:rsid w:val="00A9169D"/>
    <w:rsid w:val="00AA240C"/>
    <w:rsid w:val="00AC101C"/>
    <w:rsid w:val="00AD4CF1"/>
    <w:rsid w:val="00AD5988"/>
    <w:rsid w:val="00AD6293"/>
    <w:rsid w:val="00AF1BA8"/>
    <w:rsid w:val="00AF7800"/>
    <w:rsid w:val="00B00CF5"/>
    <w:rsid w:val="00B072E0"/>
    <w:rsid w:val="00B1007E"/>
    <w:rsid w:val="00B253F6"/>
    <w:rsid w:val="00B26675"/>
    <w:rsid w:val="00B26F0F"/>
    <w:rsid w:val="00B305DB"/>
    <w:rsid w:val="00B332F8"/>
    <w:rsid w:val="00B3492B"/>
    <w:rsid w:val="00B4646F"/>
    <w:rsid w:val="00B55C7D"/>
    <w:rsid w:val="00B63038"/>
    <w:rsid w:val="00B64BD8"/>
    <w:rsid w:val="00B701D1"/>
    <w:rsid w:val="00B73AF2"/>
    <w:rsid w:val="00B7551A"/>
    <w:rsid w:val="00B773F1"/>
    <w:rsid w:val="00B86AB1"/>
    <w:rsid w:val="00B8726A"/>
    <w:rsid w:val="00B97F07"/>
    <w:rsid w:val="00BA7EBA"/>
    <w:rsid w:val="00BB2A06"/>
    <w:rsid w:val="00BB2CBB"/>
    <w:rsid w:val="00BB4198"/>
    <w:rsid w:val="00BC03EE"/>
    <w:rsid w:val="00BC59F1"/>
    <w:rsid w:val="00BF3DE1"/>
    <w:rsid w:val="00BF4843"/>
    <w:rsid w:val="00BF5205"/>
    <w:rsid w:val="00C05132"/>
    <w:rsid w:val="00C12508"/>
    <w:rsid w:val="00C23728"/>
    <w:rsid w:val="00C3026C"/>
    <w:rsid w:val="00C313A9"/>
    <w:rsid w:val="00C41AFC"/>
    <w:rsid w:val="00C441CF"/>
    <w:rsid w:val="00C45AA2"/>
    <w:rsid w:val="00C4792C"/>
    <w:rsid w:val="00C5008A"/>
    <w:rsid w:val="00C55BEF"/>
    <w:rsid w:val="00C601AF"/>
    <w:rsid w:val="00C61A63"/>
    <w:rsid w:val="00C66296"/>
    <w:rsid w:val="00C7394D"/>
    <w:rsid w:val="00C77282"/>
    <w:rsid w:val="00C84DE5"/>
    <w:rsid w:val="00C86248"/>
    <w:rsid w:val="00C90B31"/>
    <w:rsid w:val="00C93BF7"/>
    <w:rsid w:val="00CA0D6F"/>
    <w:rsid w:val="00CA4C33"/>
    <w:rsid w:val="00CA6F4A"/>
    <w:rsid w:val="00CB6427"/>
    <w:rsid w:val="00CC0FBE"/>
    <w:rsid w:val="00CD2119"/>
    <w:rsid w:val="00CD237A"/>
    <w:rsid w:val="00CD36AC"/>
    <w:rsid w:val="00CD5DF5"/>
    <w:rsid w:val="00CE13A3"/>
    <w:rsid w:val="00CE36BC"/>
    <w:rsid w:val="00CF1747"/>
    <w:rsid w:val="00CF60ED"/>
    <w:rsid w:val="00D05D74"/>
    <w:rsid w:val="00D20C59"/>
    <w:rsid w:val="00D23323"/>
    <w:rsid w:val="00D2392A"/>
    <w:rsid w:val="00D25FFE"/>
    <w:rsid w:val="00D30BBE"/>
    <w:rsid w:val="00D37701"/>
    <w:rsid w:val="00D37D80"/>
    <w:rsid w:val="00D4476F"/>
    <w:rsid w:val="00D50573"/>
    <w:rsid w:val="00D54D50"/>
    <w:rsid w:val="00D560B4"/>
    <w:rsid w:val="00D662F8"/>
    <w:rsid w:val="00D66797"/>
    <w:rsid w:val="00D7074B"/>
    <w:rsid w:val="00D7087C"/>
    <w:rsid w:val="00D70C3C"/>
    <w:rsid w:val="00D71DF7"/>
    <w:rsid w:val="00D72BE5"/>
    <w:rsid w:val="00D81462"/>
    <w:rsid w:val="00D82F26"/>
    <w:rsid w:val="00D863D0"/>
    <w:rsid w:val="00D86B00"/>
    <w:rsid w:val="00D86FB9"/>
    <w:rsid w:val="00D87C87"/>
    <w:rsid w:val="00D90BB4"/>
    <w:rsid w:val="00D90E07"/>
    <w:rsid w:val="00D932C2"/>
    <w:rsid w:val="00DB39CF"/>
    <w:rsid w:val="00DB7256"/>
    <w:rsid w:val="00DC0401"/>
    <w:rsid w:val="00DC20BD"/>
    <w:rsid w:val="00DD0BCD"/>
    <w:rsid w:val="00DD447A"/>
    <w:rsid w:val="00DE3B20"/>
    <w:rsid w:val="00DE6C94"/>
    <w:rsid w:val="00DE6FD7"/>
    <w:rsid w:val="00E23271"/>
    <w:rsid w:val="00E24F80"/>
    <w:rsid w:val="00E259F3"/>
    <w:rsid w:val="00E30985"/>
    <w:rsid w:val="00E33238"/>
    <w:rsid w:val="00E376B7"/>
    <w:rsid w:val="00E42F5D"/>
    <w:rsid w:val="00E4486C"/>
    <w:rsid w:val="00E460B6"/>
    <w:rsid w:val="00E511D5"/>
    <w:rsid w:val="00E53A9F"/>
    <w:rsid w:val="00E60249"/>
    <w:rsid w:val="00E65269"/>
    <w:rsid w:val="00E76D66"/>
    <w:rsid w:val="00EA796A"/>
    <w:rsid w:val="00EB1856"/>
    <w:rsid w:val="00EC50CE"/>
    <w:rsid w:val="00EC5B34"/>
    <w:rsid w:val="00ED021E"/>
    <w:rsid w:val="00ED323C"/>
    <w:rsid w:val="00EE2D5C"/>
    <w:rsid w:val="00EE4ADE"/>
    <w:rsid w:val="00EE4DE8"/>
    <w:rsid w:val="00EE5CB7"/>
    <w:rsid w:val="00F024FE"/>
    <w:rsid w:val="00F05AD4"/>
    <w:rsid w:val="00F10EB6"/>
    <w:rsid w:val="00F13F07"/>
    <w:rsid w:val="00F140B2"/>
    <w:rsid w:val="00F25970"/>
    <w:rsid w:val="00F261E8"/>
    <w:rsid w:val="00F311A9"/>
    <w:rsid w:val="00F5180D"/>
    <w:rsid w:val="00F63781"/>
    <w:rsid w:val="00F67496"/>
    <w:rsid w:val="00F801BA"/>
    <w:rsid w:val="00F9366A"/>
    <w:rsid w:val="00F946C9"/>
    <w:rsid w:val="00FA0EA5"/>
    <w:rsid w:val="00FA74EE"/>
    <w:rsid w:val="00FC3711"/>
    <w:rsid w:val="00FC46E7"/>
    <w:rsid w:val="00FC5D25"/>
    <w:rsid w:val="00FD0D7E"/>
    <w:rsid w:val="00FD4FFB"/>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0EEEB9C"/>
  <w15:docId w15:val="{76CBE254-8ACF-4B34-B292-E85591241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uiPriority w:val="1"/>
    <w:qFormat/>
    <w:rsid w:val="00A152C2"/>
    <w:pPr>
      <w:keepNext/>
      <w:spacing w:before="600" w:after="360"/>
      <w:outlineLvl w:val="0"/>
    </w:pPr>
    <w:rPr>
      <w:b/>
      <w:color w:val="23305D"/>
      <w:spacing w:val="-10"/>
      <w:sz w:val="60"/>
    </w:rPr>
  </w:style>
  <w:style w:type="paragraph" w:styleId="Heading2">
    <w:name w:val="heading 2"/>
    <w:basedOn w:val="Normal"/>
    <w:next w:val="Normal"/>
    <w:link w:val="Heading2Char"/>
    <w:uiPriority w:val="1"/>
    <w:qFormat/>
    <w:rsid w:val="00030E84"/>
    <w:pPr>
      <w:keepNext/>
      <w:spacing w:before="480" w:after="180"/>
      <w:outlineLvl w:val="1"/>
    </w:pPr>
    <w:rPr>
      <w:b/>
      <w:color w:val="0A6AB4"/>
      <w:spacing w:val="-5"/>
      <w:sz w:val="48"/>
    </w:rPr>
  </w:style>
  <w:style w:type="paragraph" w:styleId="Heading3">
    <w:name w:val="heading 3"/>
    <w:basedOn w:val="Normal"/>
    <w:next w:val="Normal"/>
    <w:link w:val="Heading3Char"/>
    <w:uiPriority w:val="1"/>
    <w:qFormat/>
    <w:rsid w:val="00030E84"/>
    <w:pPr>
      <w:keepNext/>
      <w:spacing w:before="360" w:after="180"/>
      <w:outlineLvl w:val="2"/>
    </w:pPr>
    <w:rPr>
      <w:color w:val="0A6AB4"/>
      <w:spacing w:val="-5"/>
      <w:sz w:val="36"/>
    </w:rPr>
  </w:style>
  <w:style w:type="paragraph" w:styleId="Heading4">
    <w:name w:val="heading 4"/>
    <w:basedOn w:val="Normal"/>
    <w:next w:val="Normal"/>
    <w:link w:val="Heading4Char"/>
    <w:uiPriority w:val="1"/>
    <w:qFormat/>
    <w:rsid w:val="00030E84"/>
    <w:pPr>
      <w:keepNext/>
      <w:spacing w:before="240" w:after="120"/>
      <w:outlineLvl w:val="3"/>
    </w:pPr>
    <w:rPr>
      <w:color w:val="0A6AB4"/>
      <w:sz w:val="28"/>
    </w:rPr>
  </w:style>
  <w:style w:type="paragraph" w:styleId="Heading5">
    <w:name w:val="heading 5"/>
    <w:basedOn w:val="Normal"/>
    <w:next w:val="Normal"/>
    <w:link w:val="Heading5Char"/>
    <w:uiPriority w:val="1"/>
    <w:qFormat/>
    <w:rsid w:val="00B00CF5"/>
    <w:pPr>
      <w:keepNext/>
      <w:spacing w:before="120" w:after="120"/>
      <w:outlineLvl w:val="4"/>
    </w:pPr>
    <w:rPr>
      <w:color w:val="0A6AB4"/>
      <w:sz w:val="24"/>
    </w:rPr>
  </w:style>
  <w:style w:type="paragraph" w:styleId="Heading6">
    <w:name w:val="heading 6"/>
    <w:basedOn w:val="Normal"/>
    <w:next w:val="Normal"/>
    <w:link w:val="Heading6Char"/>
    <w:uiPriority w:val="1"/>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1"/>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1"/>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1"/>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1D3E4E"/>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2B76A7"/>
    <w:pPr>
      <w:tabs>
        <w:tab w:val="right" w:pos="8080"/>
      </w:tabs>
      <w:spacing w:before="60"/>
      <w:ind w:left="284" w:right="567"/>
    </w:pPr>
    <w:rPr>
      <w:sz w:val="22"/>
    </w:rPr>
  </w:style>
  <w:style w:type="paragraph" w:styleId="TOC3">
    <w:name w:val="toc 3"/>
    <w:basedOn w:val="Normal"/>
    <w:next w:val="Normal"/>
    <w:rsid w:val="002B76A7"/>
    <w:pPr>
      <w:tabs>
        <w:tab w:val="right" w:pos="8080"/>
      </w:tabs>
      <w:spacing w:before="120"/>
      <w:ind w:left="1276" w:right="567" w:hanging="1276"/>
    </w:pPr>
  </w:style>
  <w:style w:type="paragraph" w:customStyle="1" w:styleId="Bullet">
    <w:name w:val="Bullet"/>
    <w:basedOn w:val="Normal"/>
    <w:qFormat/>
    <w:rsid w:val="00FA0EA5"/>
    <w:pPr>
      <w:numPr>
        <w:numId w:val="1"/>
      </w:numPr>
      <w:tabs>
        <w:tab w:val="clear" w:pos="284"/>
      </w:tabs>
      <w:spacing w:before="90"/>
    </w:pPr>
  </w:style>
  <w:style w:type="paragraph" w:styleId="Quote">
    <w:name w:val="Quote"/>
    <w:basedOn w:val="Normal"/>
    <w:next w:val="Normal"/>
    <w:link w:val="QuoteChar"/>
    <w:qFormat/>
    <w:pPr>
      <w:spacing w:before="120"/>
      <w:ind w:left="284" w:right="284"/>
    </w:pPr>
  </w:style>
  <w:style w:type="paragraph" w:styleId="FootnoteText">
    <w:name w:val="footnote text"/>
    <w:basedOn w:val="Normal"/>
    <w:link w:val="FootnoteTextChar"/>
    <w:uiPriority w:val="99"/>
    <w:rsid w:val="00A7415D"/>
    <w:pPr>
      <w:spacing w:before="60" w:line="228" w:lineRule="auto"/>
      <w:ind w:left="284" w:hanging="284"/>
    </w:pPr>
    <w:rPr>
      <w:sz w:val="17"/>
    </w:rPr>
  </w:style>
  <w:style w:type="paragraph" w:styleId="Header">
    <w:name w:val="header"/>
    <w:basedOn w:val="Normal"/>
    <w:link w:val="HeaderChar"/>
    <w:qFormat/>
    <w:rsid w:val="00D25FFE"/>
  </w:style>
  <w:style w:type="paragraph" w:styleId="Title">
    <w:name w:val="Title"/>
    <w:basedOn w:val="Normal"/>
    <w:next w:val="Normal"/>
    <w:link w:val="TitleChar"/>
    <w:uiPriority w:val="99"/>
    <w:qFormat/>
    <w:rsid w:val="005A79E5"/>
    <w:pPr>
      <w:spacing w:line="216" w:lineRule="auto"/>
      <w:ind w:right="3402"/>
    </w:pPr>
    <w:rPr>
      <w:rFonts w:ascii="Segoe UI Black" w:hAnsi="Segoe UI Black" w:cs="Lucida Sans Unicode"/>
      <w:b/>
      <w:sz w:val="72"/>
      <w:szCs w:val="72"/>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qFormat/>
    <w:rsid w:val="007A067F"/>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uiPriority w:val="99"/>
    <w:qFormat/>
    <w:rsid w:val="009C440A"/>
    <w:pPr>
      <w:spacing w:before="60" w:after="60"/>
    </w:pPr>
    <w:rPr>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E30985"/>
    <w:pPr>
      <w:spacing w:line="264" w:lineRule="auto"/>
    </w:pPr>
    <w:rPr>
      <w:color w:val="FFFFFF" w:themeColor="background1"/>
    </w:rPr>
  </w:style>
  <w:style w:type="paragraph" w:customStyle="1" w:styleId="IntroHead">
    <w:name w:val="IntroHead"/>
    <w:basedOn w:val="Heading1"/>
    <w:next w:val="Normal"/>
    <w:qFormat/>
    <w:rsid w:val="001D3E4E"/>
    <w:pPr>
      <w:spacing w:before="0"/>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4"/>
      </w:numPr>
      <w:spacing w:before="40" w:after="0"/>
    </w:pPr>
    <w:rPr>
      <w:szCs w:val="22"/>
    </w:rPr>
  </w:style>
  <w:style w:type="character" w:customStyle="1" w:styleId="NoteChar">
    <w:name w:val="Note Char"/>
    <w:link w:val="Note"/>
    <w:rsid w:val="00A87C05"/>
    <w:rPr>
      <w:rFonts w:ascii="Segoe UI" w:hAnsi="Segoe UI"/>
      <w:sz w:val="17"/>
      <w:lang w:eastAsia="en-GB"/>
    </w:rPr>
  </w:style>
  <w:style w:type="character" w:customStyle="1" w:styleId="FootnoteTextChar">
    <w:name w:val="Footnote Text Char"/>
    <w:link w:val="FootnoteText"/>
    <w:uiPriority w:val="99"/>
    <w:rsid w:val="00A7415D"/>
    <w:rPr>
      <w:rFonts w:ascii="Segoe UI" w:hAnsi="Segoe UI"/>
      <w:sz w:val="17"/>
      <w:lang w:eastAsia="en-GB"/>
    </w:rPr>
  </w:style>
  <w:style w:type="table" w:styleId="TableGrid">
    <w:name w:val="Table Grid"/>
    <w:basedOn w:val="TableNormal"/>
    <w:uiPriority w:val="3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rsid w:val="007A067F"/>
    <w:rPr>
      <w:rFonts w:ascii="Segoe UI" w:hAnsi="Segoe UI"/>
      <w:sz w:val="21"/>
      <w:lang w:eastAsia="en-GB"/>
    </w:rPr>
  </w:style>
  <w:style w:type="character" w:customStyle="1" w:styleId="Heading1Char">
    <w:name w:val="Heading 1 Char"/>
    <w:link w:val="Heading1"/>
    <w:uiPriority w:val="1"/>
    <w:rsid w:val="00A152C2"/>
    <w:rPr>
      <w:rFonts w:ascii="Segoe UI" w:hAnsi="Segoe UI"/>
      <w:b/>
      <w:color w:val="23305D"/>
      <w:spacing w:val="-10"/>
      <w:sz w:val="60"/>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uiPriority w:val="1"/>
    <w:rsid w:val="00030E84"/>
    <w:rPr>
      <w:rFonts w:ascii="Segoe UI" w:hAnsi="Segoe UI"/>
      <w:b/>
      <w:color w:val="0A6AB4"/>
      <w:spacing w:val="-5"/>
      <w:sz w:val="48"/>
      <w:lang w:eastAsia="en-GB"/>
    </w:rPr>
  </w:style>
  <w:style w:type="character" w:customStyle="1" w:styleId="Heading3Char">
    <w:name w:val="Heading 3 Char"/>
    <w:link w:val="Heading3"/>
    <w:uiPriority w:val="1"/>
    <w:rsid w:val="00030E84"/>
    <w:rPr>
      <w:rFonts w:ascii="Segoe UI" w:hAnsi="Segoe UI"/>
      <w:color w:val="0A6AB4"/>
      <w:spacing w:val="-5"/>
      <w:sz w:val="36"/>
      <w:lang w:eastAsia="en-GB"/>
    </w:rPr>
  </w:style>
  <w:style w:type="paragraph" w:customStyle="1" w:styleId="Year">
    <w:name w:val="Year"/>
    <w:basedOn w:val="Subhead"/>
    <w:next w:val="Subhead"/>
    <w:qFormat/>
    <w:rsid w:val="00531E12"/>
    <w:rPr>
      <w:sz w:val="28"/>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1"/>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character" w:customStyle="1" w:styleId="Heading4Char">
    <w:name w:val="Heading 4 Char"/>
    <w:link w:val="Heading4"/>
    <w:uiPriority w:val="1"/>
    <w:rsid w:val="00030E84"/>
    <w:rPr>
      <w:rFonts w:ascii="Segoe UI" w:hAnsi="Segoe UI"/>
      <w:color w:val="0A6AB4"/>
      <w:sz w:val="28"/>
      <w:lang w:eastAsia="en-GB"/>
    </w:rPr>
  </w:style>
  <w:style w:type="character" w:customStyle="1" w:styleId="Heading5Char">
    <w:name w:val="Heading 5 Char"/>
    <w:link w:val="Heading5"/>
    <w:uiPriority w:val="1"/>
    <w:rsid w:val="00B00CF5"/>
    <w:rPr>
      <w:rFonts w:ascii="Segoe UI" w:hAnsi="Segoe UI"/>
      <w:color w:val="0A6AB4"/>
      <w:sz w:val="24"/>
      <w:lang w:eastAsia="en-GB"/>
    </w:rPr>
  </w:style>
  <w:style w:type="character" w:customStyle="1" w:styleId="QuoteChar">
    <w:name w:val="Quote Char"/>
    <w:link w:val="Quote"/>
    <w:rsid w:val="00122363"/>
    <w:rPr>
      <w:rFonts w:ascii="Georgia" w:hAnsi="Georgia"/>
      <w:sz w:val="22"/>
      <w:lang w:eastAsia="en-GB"/>
    </w:rPr>
  </w:style>
  <w:style w:type="character" w:customStyle="1" w:styleId="TitleChar">
    <w:name w:val="Title Char"/>
    <w:link w:val="Title"/>
    <w:uiPriority w:val="99"/>
    <w:rsid w:val="005A79E5"/>
    <w:rPr>
      <w:rFonts w:ascii="Segoe UI Black" w:hAnsi="Segoe UI Black" w:cs="Lucida Sans Unicode"/>
      <w:b/>
      <w:sz w:val="72"/>
      <w:szCs w:val="72"/>
      <w:lang w:eastAsia="en-GB"/>
    </w:rPr>
  </w:style>
  <w:style w:type="paragraph" w:customStyle="1" w:styleId="Number">
    <w:name w:val="Number"/>
    <w:basedOn w:val="Normal"/>
    <w:rsid w:val="00F140B2"/>
    <w:pPr>
      <w:numPr>
        <w:numId w:val="17"/>
      </w:numPr>
      <w:spacing w:before="180"/>
    </w:pPr>
    <w:rPr>
      <w:szCs w:val="24"/>
    </w:rPr>
  </w:style>
  <w:style w:type="paragraph" w:customStyle="1" w:styleId="Letter">
    <w:name w:val="Letter"/>
    <w:basedOn w:val="Normal"/>
    <w:qFormat/>
    <w:rsid w:val="00F140B2"/>
    <w:pPr>
      <w:numPr>
        <w:ilvl w:val="1"/>
        <w:numId w:val="17"/>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AD6293"/>
    <w:pPr>
      <w:numPr>
        <w:ilvl w:val="2"/>
        <w:numId w:val="17"/>
      </w:numPr>
      <w:spacing w:before="90"/>
    </w:pPr>
    <w:rPr>
      <w:rFonts w:eastAsia="Arial Unicode MS"/>
    </w:rPr>
  </w:style>
  <w:style w:type="character" w:styleId="CommentReference">
    <w:name w:val="annotation reference"/>
    <w:basedOn w:val="DefaultParagraphFont"/>
    <w:semiHidden/>
    <w:unhideWhenUsed/>
    <w:rsid w:val="006D412A"/>
    <w:rPr>
      <w:sz w:val="16"/>
      <w:szCs w:val="16"/>
    </w:rPr>
  </w:style>
  <w:style w:type="paragraph" w:styleId="CommentText">
    <w:name w:val="annotation text"/>
    <w:basedOn w:val="Normal"/>
    <w:link w:val="CommentTextChar"/>
    <w:uiPriority w:val="99"/>
    <w:unhideWhenUsed/>
    <w:rsid w:val="006D412A"/>
    <w:pPr>
      <w:spacing w:after="160"/>
    </w:pPr>
    <w:rPr>
      <w:rFonts w:eastAsiaTheme="minorEastAsia" w:cstheme="minorBidi"/>
      <w:sz w:val="20"/>
      <w:lang w:eastAsia="ja-JP"/>
    </w:rPr>
  </w:style>
  <w:style w:type="character" w:customStyle="1" w:styleId="CommentTextChar">
    <w:name w:val="Comment Text Char"/>
    <w:basedOn w:val="DefaultParagraphFont"/>
    <w:link w:val="CommentText"/>
    <w:uiPriority w:val="99"/>
    <w:rsid w:val="006D412A"/>
    <w:rPr>
      <w:rFonts w:ascii="Segoe UI" w:eastAsiaTheme="minorEastAsia" w:hAnsi="Segoe UI" w:cstheme="minorBidi"/>
      <w:lang w:eastAsia="ja-JP"/>
    </w:rPr>
  </w:style>
  <w:style w:type="paragraph" w:styleId="NormalIndent">
    <w:name w:val="Normal Indent"/>
    <w:basedOn w:val="Normal"/>
    <w:uiPriority w:val="99"/>
    <w:unhideWhenUsed/>
    <w:rsid w:val="006D412A"/>
    <w:pPr>
      <w:spacing w:after="160" w:line="279" w:lineRule="auto"/>
      <w:ind w:left="720"/>
    </w:pPr>
    <w:rPr>
      <w:rFonts w:eastAsiaTheme="minorEastAsia" w:cstheme="minorBidi"/>
      <w:sz w:val="20"/>
      <w:szCs w:val="24"/>
      <w:lang w:eastAsia="ja-JP"/>
    </w:rPr>
  </w:style>
  <w:style w:type="paragraph" w:styleId="Caption">
    <w:name w:val="caption"/>
    <w:basedOn w:val="Normal"/>
    <w:next w:val="Normal"/>
    <w:uiPriority w:val="35"/>
    <w:unhideWhenUsed/>
    <w:qFormat/>
    <w:rsid w:val="006D412A"/>
    <w:pPr>
      <w:spacing w:before="120" w:after="40"/>
    </w:pPr>
    <w:rPr>
      <w:rFonts w:eastAsiaTheme="minorEastAsia" w:cstheme="minorBidi"/>
      <w:b/>
      <w:iCs/>
      <w:sz w:val="20"/>
      <w:szCs w:val="18"/>
      <w:lang w:eastAsia="ja-JP"/>
    </w:rPr>
  </w:style>
  <w:style w:type="paragraph" w:styleId="ListParagraph">
    <w:name w:val="List Paragraph"/>
    <w:basedOn w:val="Normal"/>
    <w:uiPriority w:val="34"/>
    <w:qFormat/>
    <w:rsid w:val="006D412A"/>
    <w:pPr>
      <w:spacing w:after="160" w:line="279" w:lineRule="auto"/>
      <w:ind w:left="720"/>
      <w:contextualSpacing/>
    </w:pPr>
    <w:rPr>
      <w:rFonts w:eastAsiaTheme="minorEastAsia" w:cstheme="minorBidi"/>
      <w:sz w:val="20"/>
      <w:szCs w:val="24"/>
      <w:lang w:eastAsia="ja-JP"/>
    </w:rPr>
  </w:style>
  <w:style w:type="table" w:styleId="GridTable2-Accent1">
    <w:name w:val="Grid Table 2 Accent 1"/>
    <w:basedOn w:val="TableNormal"/>
    <w:uiPriority w:val="47"/>
    <w:rsid w:val="006D412A"/>
    <w:rPr>
      <w:rFonts w:eastAsiaTheme="minorHAns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1">
    <w:name w:val="Table Grid1"/>
    <w:basedOn w:val="TableNormal"/>
    <w:next w:val="TableGrid"/>
    <w:uiPriority w:val="39"/>
    <w:rsid w:val="00A152C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152C2"/>
    <w:rPr>
      <w:i/>
      <w:iCs/>
    </w:rPr>
  </w:style>
  <w:style w:type="character" w:styleId="UnresolvedMention">
    <w:name w:val="Unresolved Mention"/>
    <w:basedOn w:val="DefaultParagraphFont"/>
    <w:uiPriority w:val="99"/>
    <w:semiHidden/>
    <w:unhideWhenUsed/>
    <w:rsid w:val="00C41AFC"/>
    <w:rPr>
      <w:color w:val="605E5C"/>
      <w:shd w:val="clear" w:color="auto" w:fill="E1DFDD"/>
    </w:rPr>
  </w:style>
  <w:style w:type="paragraph" w:customStyle="1" w:styleId="EndNoteBibliography">
    <w:name w:val="EndNote Bibliography"/>
    <w:basedOn w:val="Normal"/>
    <w:link w:val="EndNoteBibliographyChar"/>
    <w:rsid w:val="004D38E5"/>
    <w:pPr>
      <w:spacing w:after="160"/>
    </w:pPr>
    <w:rPr>
      <w:rFonts w:eastAsiaTheme="minorEastAsia" w:cs="Segoe UI"/>
      <w:noProof/>
      <w:sz w:val="20"/>
      <w:szCs w:val="24"/>
      <w:lang w:eastAsia="ja-JP"/>
    </w:rPr>
  </w:style>
  <w:style w:type="character" w:customStyle="1" w:styleId="EndNoteBibliographyChar">
    <w:name w:val="EndNote Bibliography Char"/>
    <w:basedOn w:val="DefaultParagraphFont"/>
    <w:link w:val="EndNoteBibliography"/>
    <w:rsid w:val="004D38E5"/>
    <w:rPr>
      <w:rFonts w:ascii="Segoe UI" w:eastAsiaTheme="minorEastAsia" w:hAnsi="Segoe UI" w:cs="Segoe UI"/>
      <w:noProof/>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hyperlink" Target="https://mohgovtnz.sharepoint.com/:w:/r/sites/moh-ecm-ScAd/Shared%20Documents/General/OCSA%20Work%20Programme/Puberty%20Blockers/Post%20September%202023%20literature/Supplementary%20Material%20Addendum.docx?d=w9a3633c9283441c6b8c954c73dc07139&amp;csf=1&amp;web=1&amp;e=rlIR7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mohgovtnz.sharepoint.com/:w:/r/sites/moh-ecm-ScAd/Shared%20Documents/General/OCSA%20Work%20Programme/Puberty%20Blockers/Post%20September%202023%20literature/Supplementary%20Material%20Addendum.docx?d=w9a3633c9283441c6b8c954c73dc07139&amp;csf=1&amp;web=1&amp;e=rlIR7l"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mohgovtnz.sharepoint.com/:w:/r/sites/moh-ecm-ScAd/Shared%20Documents/General/OCSA%20Work%20Programme/Puberty%20Blockers/Post%20September%202023%20literature/Supplementary%20Material%20Addendum.docx?d=w9a3633c9283441c6b8c954c73dc07139&amp;csf=1&amp;web=1&amp;e=qfYVLM" TargetMode="External"/><Relationship Id="rId28"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7.xml"/><Relationship Id="rId27" Type="http://schemas.openxmlformats.org/officeDocument/2006/relationships/header" Target="header4.xml"/><Relationship Id="rId30" Type="http://schemas.openxmlformats.org/officeDocument/2006/relationships/hyperlink" Target="https://cass.independent-review.uk/home/publications/final-report/"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pharmac.govt.nz/news-and-resources/official-information-act/official-information-act-responses/funding-of-gnrh-analogues-for-indications-not-approved-by-medsafe-children-and-adolescents" TargetMode="External"/><Relationship Id="rId13" Type="http://schemas.openxmlformats.org/officeDocument/2006/relationships/hyperlink" Target="https://www.pgdc.org.au/legal" TargetMode="External"/><Relationship Id="rId18" Type="http://schemas.openxmlformats.org/officeDocument/2006/relationships/hyperlink" Target="https://www.pgdc.org.au/legal" TargetMode="External"/><Relationship Id="rId26" Type="http://schemas.openxmlformats.org/officeDocument/2006/relationships/hyperlink" Target="https://www.gov.scot/publications/gender-identity-healthcare-young-people/" TargetMode="External"/><Relationship Id="rId39" Type="http://schemas.openxmlformats.org/officeDocument/2006/relationships/hyperlink" Target="https://www.sst.dk/-/media/English/Publications/2018/Guide-on-healthcare-related-to-gender-identity.ashx" TargetMode="External"/><Relationship Id="rId3" Type="http://schemas.openxmlformats.org/officeDocument/2006/relationships/hyperlink" Target="https://mohgovtnz-my.sharepoint.com/personal/julianne_ryan_health_govt_nz/Documents/Desktop/puberty%20blockers/November/segm.org/sites/default/files/Finnish_Guidelines_2020_Minors_Unofficial%20Translation.pdf" TargetMode="External"/><Relationship Id="rId21" Type="http://schemas.openxmlformats.org/officeDocument/2006/relationships/hyperlink" Target="http://www.england.nhs.uk/commissioning/spec-services/npc-crg/gender-dysphoria-clinical-programme/implementing-advice-from-the-cass-review/" TargetMode="External"/><Relationship Id="rId34" Type="http://schemas.openxmlformats.org/officeDocument/2006/relationships/hyperlink" Target="https://palveluvalikoima.fi/documents/1237350/22895008/Summary_minors_en.pdf/aaf9a6e7-b970-9de9-165c-abedfae46f2e/Summary_minors_en.pdf" TargetMode="External"/><Relationship Id="rId7" Type="http://schemas.openxmlformats.org/officeDocument/2006/relationships/hyperlink" Target="https://info.health.nz/keeping-healthy/transgender-gender-diversity/" TargetMode="External"/><Relationship Id="rId12" Type="http://schemas.openxmlformats.org/officeDocument/2006/relationships/hyperlink" Target="https://www.health.gov.au/sites/default/files/2023-12/foi-4713-released-documents-briefing-on-gender-dysphoric-in-children.pdf" TargetMode="External"/><Relationship Id="rId17" Type="http://schemas.openxmlformats.org/officeDocument/2006/relationships/hyperlink" Target="https://www.rch.org.au/uploadedFiles/Main/Content/adolescentmedicine/australian-standards-of-care-and-treatment-guidelines-for-trans-andgender-diverse-children-and-adolescents.pdf" TargetMode="External"/><Relationship Id="rId25" Type="http://schemas.openxmlformats.org/officeDocument/2006/relationships/hyperlink" Target="file:///C:\Users\jryan\AppData\Local\Microsoft\Windows\INetCache\Content.Outlook\W07E2YCM\McCool%20M.%202024.%20https:\www.bbc.com\news\uk-scotland-68844119" TargetMode="External"/><Relationship Id="rId33" Type="http://schemas.openxmlformats.org/officeDocument/2006/relationships/hyperlink" Target="https://academic.oup.com/jsm/article/20/3/398/7005631" TargetMode="External"/><Relationship Id="rId38" Type="http://schemas.openxmlformats.org/officeDocument/2006/relationships/hyperlink" Target="https://www.academie-medecine.fr/la-medecine-face-a-la-transidentite-de-genre-chez-les-enfants-et-les-adolescents/?lang=en" TargetMode="External"/><Relationship Id="rId2" Type="http://schemas.openxmlformats.org/officeDocument/2006/relationships/hyperlink" Target="https://mohgovtnz-my.sharepoint.com/personal/julianne_ryan_health_govt_nz/Documents/Desktop/puberty%20blockers/November/agreetrust.org/wp-content/uploads/2017/12/AGREE-II-Users-Manual-and-23-item-Instrument-2009-Update-2017.pdf" TargetMode="External"/><Relationship Id="rId16" Type="http://schemas.openxmlformats.org/officeDocument/2006/relationships/hyperlink" Target="https://www.transhub.org.au/puberty-blockers" TargetMode="External"/><Relationship Id="rId20" Type="http://schemas.openxmlformats.org/officeDocument/2006/relationships/hyperlink" Target="https://www.rpharms.com/about-us/news/details/New-restrictions-on-the-prescription-and-supply-of-puberty-blockers" TargetMode="External"/><Relationship Id="rId29" Type="http://schemas.openxmlformats.org/officeDocument/2006/relationships/hyperlink" Target="https://www.sciencedirect.com/science/article/pii/S089085671200500X?via%3Dihub" TargetMode="External"/><Relationship Id="rId1" Type="http://schemas.openxmlformats.org/officeDocument/2006/relationships/hyperlink" Target="https://cass.independent-review.uk/about-the-review/terms-of-reference/" TargetMode="External"/><Relationship Id="rId6" Type="http://schemas.openxmlformats.org/officeDocument/2006/relationships/hyperlink" Target="https://www.endocrine.org/clinical-practice-guidelines/gender-dysphoria-gender-incongruence" TargetMode="External"/><Relationship Id="rId11" Type="http://schemas.openxmlformats.org/officeDocument/2006/relationships/hyperlink" Target="https://patha.nz/resources/Documents/Guidelines%20for%20Gender%20Affirming%20Health%20low%20res.pdf" TargetMode="External"/><Relationship Id="rId24" Type="http://schemas.openxmlformats.org/officeDocument/2006/relationships/hyperlink" Target="https://www.spitalmures.ro/_files/protocoale_terapeutice/psihiatrie/tulburari%20de%20identitate%20sexuala%20la%20copil%20si%20adolescent.pdf" TargetMode="External"/><Relationship Id="rId32" Type="http://schemas.openxmlformats.org/officeDocument/2006/relationships/hyperlink" Target="https://www.medscape.com/viewarticle/europe-and-puberty-blocker-debate-2024a1000831?form=fpf" TargetMode="External"/><Relationship Id="rId37" Type="http://schemas.openxmlformats.org/officeDocument/2006/relationships/hyperlink" Target="https://www.socialstyrelsen.se/globalassets/sharepoint-dokument/artikelkatalog/kunskapsstod/2022-12-8302.pdf" TargetMode="External"/><Relationship Id="rId5" Type="http://schemas.openxmlformats.org/officeDocument/2006/relationships/hyperlink" Target="https://mohgovtnz-my.sharepoint.com/personal/julianne_ryan_health_govt_nz/Documents/Desktop/puberty%20blockers/November/patha.nz/resources/Documents/Guidelines%20for%20Gender%20Affirming%20Health%20low%20res.pdf" TargetMode="External"/><Relationship Id="rId15" Type="http://schemas.openxmlformats.org/officeDocument/2006/relationships/hyperlink" Target="https://www.tandfonline.com/doi/full/10.1080/26895269.2022.2100644" TargetMode="External"/><Relationship Id="rId23" Type="http://schemas.openxmlformats.org/officeDocument/2006/relationships/hyperlink" Target="https://www.nhs.uk/conditions/gender-dysphoria/treatment/" TargetMode="External"/><Relationship Id="rId28" Type="http://schemas.openxmlformats.org/officeDocument/2006/relationships/hyperlink" Target="https://cps.ca/en/documents/position/an-affirming-approach-to-caring-for-transgender-and-gender-diverse-youth" TargetMode="External"/><Relationship Id="rId36" Type="http://schemas.openxmlformats.org/officeDocument/2006/relationships/hyperlink" Target="https://www.helsedirektoratet.no/retningslinjer/kjonnsinkongruens" TargetMode="External"/><Relationship Id="rId10" Type="http://schemas.openxmlformats.org/officeDocument/2006/relationships/hyperlink" Target="https://www.tandfonline.com/doi/full/10.1080/26895269.2022.2100644" TargetMode="External"/><Relationship Id="rId19" Type="http://schemas.openxmlformats.org/officeDocument/2006/relationships/hyperlink" Target="https://eurohealthobservatory.who.int/publications/i/united-kingdom-health-system-summary" TargetMode="External"/><Relationship Id="rId31" Type="http://schemas.openxmlformats.org/officeDocument/2006/relationships/hyperlink" Target="https://transcare.ucsf.edu/guidelines" TargetMode="External"/><Relationship Id="rId4" Type="http://schemas.openxmlformats.org/officeDocument/2006/relationships/hyperlink" Target="https://mohgovtnz-my.sharepoint.com/personal/julianne_ryan_health_govt_nz/Documents/Desktop/puberty%20blockers/November/socialstyrelsen.se/om-socialstyrelsen/pressrum/press/uppdaterade-rekommendationer-for-hormonbehandling-vid-konsdysfori-hos-unga/" TargetMode="External"/><Relationship Id="rId9" Type="http://schemas.openxmlformats.org/officeDocument/2006/relationships/hyperlink" Target="https://patha.nz/" TargetMode="External"/><Relationship Id="rId14" Type="http://schemas.openxmlformats.org/officeDocument/2006/relationships/hyperlink" Target="https://www.rch.org.au/adolescent-medicine/gender-service/" TargetMode="External"/><Relationship Id="rId22" Type="http://schemas.openxmlformats.org/officeDocument/2006/relationships/hyperlink" Target="https://www.ardengemcsu.nhs.uk/services/clinical-support/national-referral-support-service-for-the-nhs-gender-incongruence-service-for-children-and-young-people/" TargetMode="External"/><Relationship Id="rId27" Type="http://schemas.openxmlformats.org/officeDocument/2006/relationships/hyperlink" Target="https://www.sciencedirect.com/science/article/pii/B9780123739605003026?via%3Dihub" TargetMode="External"/><Relationship Id="rId30" Type="http://schemas.openxmlformats.org/officeDocument/2006/relationships/hyperlink" Target="https://publications.aap.org/pediatrics/article/142/4/e20182162/37381/Ensuring-Comprehensive-Care-and-Support-for?autologincheck=redirected" TargetMode="External"/><Relationship Id="rId35" Type="http://schemas.openxmlformats.org/officeDocument/2006/relationships/hyperlink" Target="https://palveluvalikoima.fi/en/recommendation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50DEC7542E1342A5F58102D7DD24B5" ma:contentTypeVersion="13" ma:contentTypeDescription="Create a new document." ma:contentTypeScope="" ma:versionID="f9a598124e655cc727472d5fdc614d6e">
  <xsd:schema xmlns:xsd="http://www.w3.org/2001/XMLSchema" xmlns:xs="http://www.w3.org/2001/XMLSchema" xmlns:p="http://schemas.microsoft.com/office/2006/metadata/properties" xmlns:ns3="bceb9309-8f47-415f-aa59-4677cf6ce37d" xmlns:ns4="72ee7631-8705-4e4e-a159-243698bf6794" targetNamespace="http://schemas.microsoft.com/office/2006/metadata/properties" ma:root="true" ma:fieldsID="ecb36d03ba81bea19d1a7f9ed6507fe5" ns3:_="" ns4:_="">
    <xsd:import namespace="bceb9309-8f47-415f-aa59-4677cf6ce37d"/>
    <xsd:import namespace="72ee7631-8705-4e4e-a159-243698bf67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b9309-8f47-415f-aa59-4677cf6ce3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ee7631-8705-4e4e-a159-243698bf679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DE10D4-B04D-46BB-8458-050322E51106}">
  <ds:schemaRefs>
    <ds:schemaRef ds:uri="http://schemas.microsoft.com/sharepoint/v3/contenttype/forms"/>
  </ds:schemaRefs>
</ds:datastoreItem>
</file>

<file path=customXml/itemProps2.xml><?xml version="1.0" encoding="utf-8"?>
<ds:datastoreItem xmlns:ds="http://schemas.openxmlformats.org/officeDocument/2006/customXml" ds:itemID="{4577FFB0-260E-4BEB-AB23-5A43F0263A51}">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72ee7631-8705-4e4e-a159-243698bf6794"/>
    <ds:schemaRef ds:uri="bceb9309-8f47-415f-aa59-4677cf6ce37d"/>
    <ds:schemaRef ds:uri="http://www.w3.org/XML/1998/namespace"/>
  </ds:schemaRefs>
</ds:datastoreItem>
</file>

<file path=customXml/itemProps3.xml><?xml version="1.0" encoding="utf-8"?>
<ds:datastoreItem xmlns:ds="http://schemas.openxmlformats.org/officeDocument/2006/customXml" ds:itemID="{1B47F67D-389C-427D-8AD9-389F83D09EF9}">
  <ds:schemaRefs>
    <ds:schemaRef ds:uri="http://schemas.openxmlformats.org/officeDocument/2006/bibliography"/>
  </ds:schemaRefs>
</ds:datastoreItem>
</file>

<file path=customXml/itemProps4.xml><?xml version="1.0" encoding="utf-8"?>
<ds:datastoreItem xmlns:ds="http://schemas.openxmlformats.org/officeDocument/2006/customXml" ds:itemID="{0920E4DC-08ED-4FF1-8625-A35284D2B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b9309-8f47-415f-aa59-4677cf6ce37d"/>
    <ds:schemaRef ds:uri="72ee7631-8705-4e4e-a159-243698bf6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1</TotalTime>
  <Pages>25</Pages>
  <Words>4806</Words>
  <Characters>31417</Characters>
  <Application>Microsoft Office Word</Application>
  <DocSecurity>0</DocSecurity>
  <Lines>261</Lines>
  <Paragraphs>72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to Impact of Puberty Blockers in Gender-Dysphoric Adolescents: An evidence brief</dc:title>
  <dc:creator>Ministry of Health</dc:creator>
  <cp:lastModifiedBy>Ministry of Health</cp:lastModifiedBy>
  <cp:revision>4</cp:revision>
  <cp:lastPrinted>2024-11-20T20:10:00Z</cp:lastPrinted>
  <dcterms:created xsi:type="dcterms:W3CDTF">2024-11-20T20:10:00Z</dcterms:created>
  <dcterms:modified xsi:type="dcterms:W3CDTF">2024-11-20T20:10:00Z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0x0101005050DEC7542E1342A5F58102D7DD24B5</vt:lpwstr>
  </property>
</Properties>
</file>