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AC07D" w14:textId="7BEB8D69" w:rsidR="00754A76" w:rsidRPr="009705B2" w:rsidRDefault="00754A76" w:rsidP="00D364DB">
      <w:pPr>
        <w:pStyle w:val="Heading1"/>
      </w:pPr>
      <w:r>
        <w:t>Summary of submissions of s</w:t>
      </w:r>
      <w:r w:rsidRPr="009705B2">
        <w:t xml:space="preserve">ector consultation on the addition of diabetes medicines to the list of </w:t>
      </w:r>
      <w:r w:rsidRPr="00D364DB">
        <w:t>specified</w:t>
      </w:r>
      <w:r w:rsidRPr="009705B2">
        <w:t xml:space="preserve"> prescription medicines for designated registered nurse prescribers </w:t>
      </w:r>
    </w:p>
    <w:p w14:paraId="40074524" w14:textId="77777777" w:rsidR="00754A76" w:rsidRPr="00A14CDC" w:rsidRDefault="00754A76" w:rsidP="00754A76">
      <w:pPr>
        <w:rPr>
          <w:b/>
          <w:bCs/>
          <w:sz w:val="32"/>
          <w:szCs w:val="32"/>
        </w:rPr>
      </w:pPr>
    </w:p>
    <w:p w14:paraId="71F445B9" w14:textId="77777777" w:rsidR="00754A76" w:rsidRPr="009705B2" w:rsidRDefault="00754A76" w:rsidP="00D364DB">
      <w:pPr>
        <w:pStyle w:val="Heading2"/>
      </w:pPr>
      <w:r w:rsidRPr="009705B2">
        <w:t>Summary</w:t>
      </w:r>
    </w:p>
    <w:p w14:paraId="4323CDA2" w14:textId="77777777" w:rsidR="00754A76" w:rsidRDefault="00754A76" w:rsidP="00754A76">
      <w:pPr>
        <w:spacing w:before="120"/>
        <w:rPr>
          <w:rFonts w:ascii="Segoe UI" w:hAnsi="Segoe UI" w:cs="Segoe UI"/>
          <w:kern w:val="22"/>
          <w:sz w:val="22"/>
          <w:szCs w:val="22"/>
          <w:lang w:eastAsia="en-NZ"/>
        </w:rPr>
      </w:pPr>
      <w:r w:rsidRPr="008704BA">
        <w:rPr>
          <w:rFonts w:ascii="Segoe UI" w:hAnsi="Segoe UI" w:cs="Segoe UI"/>
          <w:kern w:val="22"/>
          <w:sz w:val="22"/>
          <w:szCs w:val="22"/>
          <w:lang w:eastAsia="en-NZ"/>
        </w:rPr>
        <w:t>This report is a summary of the submissions received by Manatū Hauora on the addition of Glucagon-like peptide 1 agonists (GLP-1 agonists) e.g. dulaglutide, liraglutide and Sodium-glucose co-transporter 2 inhibitors (SGLT2 inhibitors) e.g. empagliflozin to the list of specified prescription medicines for designated registered nurse prescribers.</w:t>
      </w:r>
    </w:p>
    <w:p w14:paraId="4F948A68" w14:textId="77777777" w:rsidR="00754A76" w:rsidRPr="008704BA" w:rsidRDefault="00754A76" w:rsidP="00754A76">
      <w:pPr>
        <w:rPr>
          <w:rFonts w:ascii="Segoe UI" w:hAnsi="Segoe UI" w:cs="Segoe UI"/>
          <w:kern w:val="22"/>
          <w:sz w:val="22"/>
          <w:szCs w:val="22"/>
          <w:lang w:eastAsia="en-NZ"/>
        </w:rPr>
      </w:pPr>
    </w:p>
    <w:p w14:paraId="108E875C" w14:textId="77777777" w:rsidR="00754A76" w:rsidRPr="009705B2" w:rsidRDefault="00754A76" w:rsidP="00D364DB">
      <w:pPr>
        <w:pStyle w:val="Heading2"/>
      </w:pPr>
      <w:r w:rsidRPr="00D364DB">
        <w:t>Background</w:t>
      </w:r>
    </w:p>
    <w:p w14:paraId="46EB8427" w14:textId="1047841D" w:rsidR="00754A76" w:rsidRDefault="00754A76" w:rsidP="00754A76">
      <w:pPr>
        <w:spacing w:before="120"/>
        <w:rPr>
          <w:rFonts w:ascii="Segoe UI" w:hAnsi="Segoe UI" w:cs="Segoe UI"/>
          <w:kern w:val="22"/>
          <w:sz w:val="22"/>
          <w:szCs w:val="22"/>
          <w:lang w:eastAsia="en-NZ"/>
        </w:rPr>
      </w:pPr>
      <w:r w:rsidRPr="008704BA">
        <w:rPr>
          <w:rFonts w:ascii="Segoe UI" w:hAnsi="Segoe UI" w:cs="Segoe UI"/>
          <w:kern w:val="22"/>
          <w:sz w:val="22"/>
          <w:szCs w:val="22"/>
          <w:lang w:eastAsia="en-NZ"/>
        </w:rPr>
        <w:t>In early April 202</w:t>
      </w:r>
      <w:r>
        <w:rPr>
          <w:rFonts w:ascii="Segoe UI" w:hAnsi="Segoe UI" w:cs="Segoe UI"/>
          <w:kern w:val="22"/>
          <w:sz w:val="22"/>
          <w:szCs w:val="22"/>
          <w:lang w:eastAsia="en-NZ"/>
        </w:rPr>
        <w:t>4</w:t>
      </w:r>
      <w:r w:rsidRPr="008704BA">
        <w:rPr>
          <w:rFonts w:ascii="Segoe UI" w:hAnsi="Segoe UI" w:cs="Segoe UI"/>
          <w:kern w:val="22"/>
          <w:sz w:val="22"/>
          <w:szCs w:val="22"/>
          <w:lang w:eastAsia="en-NZ"/>
        </w:rPr>
        <w:t xml:space="preserve"> the </w:t>
      </w:r>
      <w:r w:rsidR="000D1FCB">
        <w:rPr>
          <w:rFonts w:ascii="Segoe UI" w:hAnsi="Segoe UI" w:cs="Segoe UI"/>
          <w:kern w:val="22"/>
          <w:sz w:val="22"/>
          <w:szCs w:val="22"/>
          <w:lang w:eastAsia="en-NZ"/>
        </w:rPr>
        <w:t xml:space="preserve">Nursing </w:t>
      </w:r>
      <w:r w:rsidRPr="008704BA">
        <w:rPr>
          <w:rFonts w:ascii="Segoe UI" w:hAnsi="Segoe UI" w:cs="Segoe UI"/>
          <w:kern w:val="22"/>
          <w:sz w:val="22"/>
          <w:szCs w:val="22"/>
          <w:lang w:eastAsia="en-NZ"/>
        </w:rPr>
        <w:t>Council of New Zealand recommended two classes of prescription-only diabetes medicines it considered appropriate for registered nurse prescribers in primary health and specialty teams.</w:t>
      </w:r>
    </w:p>
    <w:p w14:paraId="54399AB1" w14:textId="77777777" w:rsidR="00754A76" w:rsidRPr="008704BA" w:rsidRDefault="00754A76" w:rsidP="00754A76">
      <w:pPr>
        <w:rPr>
          <w:rFonts w:ascii="Segoe UI" w:hAnsi="Segoe UI" w:cs="Segoe UI"/>
          <w:kern w:val="22"/>
          <w:sz w:val="22"/>
          <w:szCs w:val="22"/>
          <w:lang w:eastAsia="en-NZ"/>
        </w:rPr>
      </w:pPr>
    </w:p>
    <w:p w14:paraId="40F05FED" w14:textId="77777777" w:rsidR="00754A76" w:rsidRPr="008704BA" w:rsidRDefault="00754A76" w:rsidP="00754A76">
      <w:pPr>
        <w:rPr>
          <w:rFonts w:ascii="Segoe UI" w:hAnsi="Segoe UI" w:cs="Segoe UI"/>
          <w:kern w:val="22"/>
          <w:sz w:val="22"/>
          <w:szCs w:val="22"/>
          <w:lang w:eastAsia="en-NZ"/>
        </w:rPr>
      </w:pPr>
      <w:r w:rsidRPr="008704BA">
        <w:rPr>
          <w:rFonts w:ascii="Segoe UI" w:hAnsi="Segoe UI" w:cs="Segoe UI"/>
          <w:kern w:val="22"/>
          <w:sz w:val="22"/>
          <w:szCs w:val="22"/>
          <w:lang w:eastAsia="en-NZ"/>
        </w:rPr>
        <w:t xml:space="preserve">The Medicines Act 1981 requires that Manatū Hauora consult with people or organisations that may be affected by a change to the specified prescription medicines before a legal change is made to the list by Gazette notice. The consultation period started on </w:t>
      </w:r>
      <w:r>
        <w:rPr>
          <w:rFonts w:ascii="Segoe UI" w:hAnsi="Segoe UI" w:cs="Segoe UI"/>
          <w:kern w:val="22"/>
          <w:sz w:val="22"/>
          <w:szCs w:val="22"/>
          <w:lang w:eastAsia="en-NZ"/>
        </w:rPr>
        <w:t>29 April</w:t>
      </w:r>
      <w:r w:rsidRPr="008704BA">
        <w:rPr>
          <w:rFonts w:ascii="Segoe UI" w:hAnsi="Segoe UI" w:cs="Segoe UI"/>
          <w:kern w:val="22"/>
          <w:sz w:val="22"/>
          <w:szCs w:val="22"/>
          <w:lang w:eastAsia="en-NZ"/>
        </w:rPr>
        <w:t xml:space="preserve"> </w:t>
      </w:r>
      <w:r>
        <w:rPr>
          <w:rFonts w:ascii="Segoe UI" w:hAnsi="Segoe UI" w:cs="Segoe UI"/>
          <w:kern w:val="22"/>
          <w:sz w:val="22"/>
          <w:szCs w:val="22"/>
          <w:lang w:eastAsia="en-NZ"/>
        </w:rPr>
        <w:t xml:space="preserve">2024 </w:t>
      </w:r>
      <w:r w:rsidRPr="008704BA">
        <w:rPr>
          <w:rFonts w:ascii="Segoe UI" w:hAnsi="Segoe UI" w:cs="Segoe UI"/>
          <w:kern w:val="22"/>
          <w:sz w:val="22"/>
          <w:szCs w:val="22"/>
          <w:lang w:eastAsia="en-NZ"/>
        </w:rPr>
        <w:t>and ended 31 May 2024.</w:t>
      </w:r>
    </w:p>
    <w:p w14:paraId="609CE8F4" w14:textId="77777777" w:rsidR="00754A76" w:rsidRDefault="00754A76" w:rsidP="00754A76">
      <w:pPr>
        <w:rPr>
          <w:rFonts w:ascii="Segoe UI" w:eastAsiaTheme="majorEastAsia" w:hAnsi="Segoe UI" w:cs="Arial"/>
          <w:b/>
          <w:bCs/>
          <w:iCs/>
          <w:sz w:val="28"/>
          <w:szCs w:val="28"/>
          <w:lang w:eastAsia="en-NZ"/>
        </w:rPr>
      </w:pPr>
    </w:p>
    <w:p w14:paraId="7EA1BB05" w14:textId="77777777" w:rsidR="00754A76" w:rsidRPr="009705B2" w:rsidRDefault="00754A76" w:rsidP="00D364DB">
      <w:pPr>
        <w:pStyle w:val="Heading2"/>
      </w:pPr>
      <w:r w:rsidRPr="009705B2">
        <w:t>Description of Submitters</w:t>
      </w:r>
    </w:p>
    <w:p w14:paraId="1D909B9D" w14:textId="77777777" w:rsidR="00754A76" w:rsidRPr="00A46BE0" w:rsidRDefault="00754A76" w:rsidP="00754A76">
      <w:pPr>
        <w:spacing w:before="120"/>
        <w:rPr>
          <w:rFonts w:ascii="Segoe UI" w:hAnsi="Segoe UI" w:cs="Segoe UI"/>
          <w:kern w:val="22"/>
          <w:sz w:val="22"/>
          <w:szCs w:val="22"/>
          <w:lang w:eastAsia="en-NZ"/>
        </w:rPr>
      </w:pPr>
      <w:r>
        <w:rPr>
          <w:rFonts w:ascii="Segoe UI" w:hAnsi="Segoe UI" w:cs="Segoe UI"/>
          <w:kern w:val="22"/>
          <w:sz w:val="22"/>
          <w:szCs w:val="22"/>
          <w:lang w:eastAsia="en-NZ"/>
        </w:rPr>
        <w:t>Eighty-three</w:t>
      </w:r>
      <w:r w:rsidRPr="008704BA">
        <w:rPr>
          <w:rFonts w:ascii="Segoe UI" w:hAnsi="Segoe UI" w:cs="Segoe UI"/>
          <w:kern w:val="22"/>
          <w:sz w:val="22"/>
          <w:szCs w:val="22"/>
          <w:lang w:eastAsia="en-NZ"/>
        </w:rPr>
        <w:t xml:space="preserve"> submitters responded to the survey and two emails were received. The majority (42%) of</w:t>
      </w:r>
      <w:r>
        <w:rPr>
          <w:rFonts w:ascii="Segoe UI" w:hAnsi="Segoe UI" w:cs="Segoe UI"/>
          <w:kern w:val="22"/>
          <w:sz w:val="22"/>
          <w:szCs w:val="22"/>
          <w:lang w:eastAsia="en-NZ"/>
        </w:rPr>
        <w:t xml:space="preserve"> </w:t>
      </w:r>
    </w:p>
    <w:p w14:paraId="4FAEA5FC" w14:textId="77777777" w:rsidR="00754A76" w:rsidRDefault="00754A76" w:rsidP="00754A76">
      <w:pPr>
        <w:rPr>
          <w:rFonts w:ascii="Segoe UI" w:hAnsi="Segoe UI" w:cs="Segoe UI"/>
          <w:kern w:val="22"/>
          <w:sz w:val="22"/>
          <w:szCs w:val="22"/>
          <w:lang w:eastAsia="en-NZ"/>
        </w:rPr>
      </w:pPr>
      <w:r w:rsidRPr="00A46BE0">
        <w:rPr>
          <w:rFonts w:ascii="Segoe UI" w:hAnsi="Segoe UI" w:cs="Segoe UI"/>
          <w:kern w:val="22"/>
          <w:sz w:val="22"/>
          <w:szCs w:val="22"/>
          <w:lang w:eastAsia="en-NZ"/>
        </w:rPr>
        <w:t xml:space="preserve">respondents identified as registered nurse prescribers, with </w:t>
      </w:r>
      <w:r>
        <w:rPr>
          <w:rFonts w:ascii="Segoe UI" w:hAnsi="Segoe UI" w:cs="Segoe UI"/>
          <w:kern w:val="22"/>
          <w:sz w:val="22"/>
          <w:szCs w:val="22"/>
          <w:lang w:eastAsia="en-NZ"/>
        </w:rPr>
        <w:t xml:space="preserve">the </w:t>
      </w:r>
      <w:r w:rsidRPr="008704BA">
        <w:rPr>
          <w:rFonts w:ascii="Segoe UI" w:hAnsi="Segoe UI" w:cs="Segoe UI"/>
          <w:kern w:val="22"/>
          <w:sz w:val="22"/>
          <w:szCs w:val="22"/>
          <w:lang w:eastAsia="en-NZ"/>
        </w:rPr>
        <w:t>remainder identifying as nurse</w:t>
      </w:r>
      <w:r>
        <w:rPr>
          <w:rFonts w:ascii="Segoe UI" w:hAnsi="Segoe UI" w:cs="Segoe UI"/>
          <w:kern w:val="22"/>
          <w:sz w:val="22"/>
          <w:szCs w:val="22"/>
          <w:lang w:eastAsia="en-NZ"/>
        </w:rPr>
        <w:t xml:space="preserve"> </w:t>
      </w:r>
      <w:r w:rsidRPr="008704BA">
        <w:rPr>
          <w:rFonts w:ascii="Segoe UI" w:hAnsi="Segoe UI" w:cs="Segoe UI"/>
          <w:kern w:val="22"/>
          <w:sz w:val="22"/>
          <w:szCs w:val="22"/>
          <w:lang w:eastAsia="en-NZ"/>
        </w:rPr>
        <w:t xml:space="preserve">practitioners, registered nurses, medical practitioners, pharmacists, educators and other. Submissions were made on behalf of 21 organisations including </w:t>
      </w:r>
      <w:r>
        <w:rPr>
          <w:rFonts w:ascii="Segoe UI" w:hAnsi="Segoe UI" w:cs="Segoe UI"/>
          <w:kern w:val="22"/>
          <w:sz w:val="22"/>
          <w:szCs w:val="22"/>
          <w:lang w:eastAsia="en-NZ"/>
        </w:rPr>
        <w:t>seven</w:t>
      </w:r>
      <w:r w:rsidRPr="008704BA">
        <w:rPr>
          <w:rFonts w:ascii="Segoe UI" w:hAnsi="Segoe UI" w:cs="Segoe UI"/>
          <w:kern w:val="22"/>
          <w:sz w:val="22"/>
          <w:szCs w:val="22"/>
          <w:lang w:eastAsia="en-NZ"/>
        </w:rPr>
        <w:t xml:space="preserve"> H</w:t>
      </w:r>
      <w:r>
        <w:rPr>
          <w:rFonts w:ascii="Segoe UI" w:hAnsi="Segoe UI" w:cs="Segoe UI"/>
          <w:kern w:val="22"/>
          <w:sz w:val="22"/>
          <w:szCs w:val="22"/>
          <w:lang w:eastAsia="en-NZ"/>
        </w:rPr>
        <w:t xml:space="preserve">ealth </w:t>
      </w:r>
      <w:r w:rsidRPr="008704BA">
        <w:rPr>
          <w:rFonts w:ascii="Segoe UI" w:hAnsi="Segoe UI" w:cs="Segoe UI"/>
          <w:kern w:val="22"/>
          <w:sz w:val="22"/>
          <w:szCs w:val="22"/>
          <w:lang w:eastAsia="en-NZ"/>
        </w:rPr>
        <w:t>N</w:t>
      </w:r>
      <w:r>
        <w:rPr>
          <w:rFonts w:ascii="Segoe UI" w:hAnsi="Segoe UI" w:cs="Segoe UI"/>
          <w:kern w:val="22"/>
          <w:sz w:val="22"/>
          <w:szCs w:val="22"/>
          <w:lang w:eastAsia="en-NZ"/>
        </w:rPr>
        <w:t xml:space="preserve">ew </w:t>
      </w:r>
      <w:r w:rsidRPr="008704BA">
        <w:rPr>
          <w:rFonts w:ascii="Segoe UI" w:hAnsi="Segoe UI" w:cs="Segoe UI"/>
          <w:kern w:val="22"/>
          <w:sz w:val="22"/>
          <w:szCs w:val="22"/>
          <w:lang w:eastAsia="en-NZ"/>
        </w:rPr>
        <w:t>Z</w:t>
      </w:r>
      <w:r>
        <w:rPr>
          <w:rFonts w:ascii="Segoe UI" w:hAnsi="Segoe UI" w:cs="Segoe UI"/>
          <w:kern w:val="22"/>
          <w:sz w:val="22"/>
          <w:szCs w:val="22"/>
          <w:lang w:eastAsia="en-NZ"/>
        </w:rPr>
        <w:t>ealand</w:t>
      </w:r>
      <w:r w:rsidRPr="008704BA">
        <w:rPr>
          <w:rFonts w:ascii="Segoe UI" w:hAnsi="Segoe UI" w:cs="Segoe UI"/>
          <w:kern w:val="22"/>
          <w:sz w:val="22"/>
          <w:szCs w:val="22"/>
          <w:lang w:eastAsia="en-NZ"/>
        </w:rPr>
        <w:t xml:space="preserve"> districts, </w:t>
      </w:r>
      <w:r>
        <w:rPr>
          <w:rFonts w:ascii="Segoe UI" w:hAnsi="Segoe UI" w:cs="Segoe UI"/>
          <w:kern w:val="22"/>
          <w:sz w:val="22"/>
          <w:szCs w:val="22"/>
          <w:lang w:eastAsia="en-NZ"/>
        </w:rPr>
        <w:t>seven</w:t>
      </w:r>
      <w:r w:rsidRPr="008704BA">
        <w:rPr>
          <w:rFonts w:ascii="Segoe UI" w:hAnsi="Segoe UI" w:cs="Segoe UI"/>
          <w:kern w:val="22"/>
          <w:sz w:val="22"/>
          <w:szCs w:val="22"/>
          <w:lang w:eastAsia="en-NZ"/>
        </w:rPr>
        <w:t xml:space="preserve"> Health centres or PHOs, </w:t>
      </w:r>
      <w:r>
        <w:rPr>
          <w:rFonts w:ascii="Segoe UI" w:hAnsi="Segoe UI" w:cs="Segoe UI"/>
          <w:kern w:val="22"/>
          <w:sz w:val="22"/>
          <w:szCs w:val="22"/>
          <w:lang w:eastAsia="en-NZ"/>
        </w:rPr>
        <w:t>four</w:t>
      </w:r>
      <w:r w:rsidRPr="008704BA">
        <w:rPr>
          <w:rFonts w:ascii="Segoe UI" w:hAnsi="Segoe UI" w:cs="Segoe UI"/>
          <w:kern w:val="22"/>
          <w:sz w:val="22"/>
          <w:szCs w:val="22"/>
          <w:lang w:eastAsia="en-NZ"/>
        </w:rPr>
        <w:t xml:space="preserve"> professional organisations, </w:t>
      </w:r>
      <w:r>
        <w:rPr>
          <w:rFonts w:ascii="Segoe UI" w:hAnsi="Segoe UI" w:cs="Segoe UI"/>
          <w:kern w:val="22"/>
          <w:sz w:val="22"/>
          <w:szCs w:val="22"/>
          <w:lang w:eastAsia="en-NZ"/>
        </w:rPr>
        <w:t>two</w:t>
      </w:r>
      <w:r w:rsidRPr="008704BA">
        <w:rPr>
          <w:rFonts w:ascii="Segoe UI" w:hAnsi="Segoe UI" w:cs="Segoe UI"/>
          <w:kern w:val="22"/>
          <w:sz w:val="22"/>
          <w:szCs w:val="22"/>
          <w:lang w:eastAsia="en-NZ"/>
        </w:rPr>
        <w:t xml:space="preserve"> Responsible authorities and Pharmac.</w:t>
      </w:r>
    </w:p>
    <w:p w14:paraId="7A22871D" w14:textId="77777777" w:rsidR="00754A76" w:rsidRPr="008704BA" w:rsidRDefault="00754A76" w:rsidP="00754A76">
      <w:pPr>
        <w:rPr>
          <w:rFonts w:ascii="Segoe UI" w:hAnsi="Segoe UI" w:cs="Segoe UI"/>
          <w:kern w:val="22"/>
          <w:sz w:val="22"/>
          <w:szCs w:val="22"/>
          <w:lang w:eastAsia="en-NZ"/>
        </w:rPr>
      </w:pPr>
    </w:p>
    <w:tbl>
      <w:tblPr>
        <w:tblStyle w:val="TableGrid"/>
        <w:tblW w:w="0" w:type="auto"/>
        <w:tblLook w:val="04A0" w:firstRow="1" w:lastRow="0" w:firstColumn="1" w:lastColumn="0" w:noHBand="0" w:noVBand="1"/>
      </w:tblPr>
      <w:tblGrid>
        <w:gridCol w:w="5949"/>
        <w:gridCol w:w="1701"/>
        <w:gridCol w:w="1368"/>
      </w:tblGrid>
      <w:tr w:rsidR="00754A76" w:rsidRPr="00F36DFF" w14:paraId="6F09319E" w14:textId="77777777" w:rsidTr="00E73A3E">
        <w:tc>
          <w:tcPr>
            <w:tcW w:w="5949" w:type="dxa"/>
          </w:tcPr>
          <w:p w14:paraId="19A66A2F" w14:textId="77777777" w:rsidR="00754A76" w:rsidRPr="004B48DD" w:rsidRDefault="00754A76" w:rsidP="00E73A3E">
            <w:pPr>
              <w:rPr>
                <w:rFonts w:ascii="Segoe UI" w:hAnsi="Segoe UI" w:cs="Segoe UI"/>
                <w:b/>
                <w:bCs/>
                <w:kern w:val="22"/>
                <w:sz w:val="22"/>
                <w:szCs w:val="22"/>
                <w:lang w:eastAsia="en-NZ"/>
              </w:rPr>
            </w:pPr>
            <w:r w:rsidRPr="004B48DD">
              <w:rPr>
                <w:rFonts w:ascii="Segoe UI" w:hAnsi="Segoe UI" w:cs="Segoe UI"/>
                <w:b/>
                <w:bCs/>
                <w:kern w:val="22"/>
                <w:sz w:val="22"/>
                <w:szCs w:val="22"/>
                <w:lang w:eastAsia="en-NZ"/>
              </w:rPr>
              <w:t xml:space="preserve">Submitter </w:t>
            </w:r>
          </w:p>
        </w:tc>
        <w:tc>
          <w:tcPr>
            <w:tcW w:w="1701" w:type="dxa"/>
          </w:tcPr>
          <w:p w14:paraId="2044504A" w14:textId="77777777" w:rsidR="00754A76" w:rsidRPr="004B48DD" w:rsidRDefault="00754A76" w:rsidP="00E73A3E">
            <w:pPr>
              <w:rPr>
                <w:rFonts w:ascii="Segoe UI" w:hAnsi="Segoe UI" w:cs="Segoe UI"/>
                <w:b/>
                <w:bCs/>
                <w:kern w:val="22"/>
                <w:sz w:val="22"/>
                <w:szCs w:val="22"/>
                <w:lang w:eastAsia="en-NZ"/>
              </w:rPr>
            </w:pPr>
            <w:r w:rsidRPr="004B48DD">
              <w:rPr>
                <w:rFonts w:ascii="Segoe UI" w:hAnsi="Segoe UI" w:cs="Segoe UI"/>
                <w:b/>
                <w:bCs/>
                <w:kern w:val="22"/>
                <w:sz w:val="22"/>
                <w:szCs w:val="22"/>
                <w:lang w:eastAsia="en-NZ"/>
              </w:rPr>
              <w:t>Total</w:t>
            </w:r>
          </w:p>
        </w:tc>
        <w:tc>
          <w:tcPr>
            <w:tcW w:w="1366" w:type="dxa"/>
          </w:tcPr>
          <w:p w14:paraId="77C8D7BC" w14:textId="77777777" w:rsidR="00754A76" w:rsidRPr="004B48DD" w:rsidRDefault="00754A76" w:rsidP="00E73A3E">
            <w:pPr>
              <w:rPr>
                <w:rFonts w:ascii="Segoe UI" w:hAnsi="Segoe UI" w:cs="Segoe UI"/>
                <w:b/>
                <w:bCs/>
                <w:kern w:val="22"/>
                <w:sz w:val="22"/>
                <w:szCs w:val="22"/>
                <w:lang w:eastAsia="en-NZ"/>
              </w:rPr>
            </w:pPr>
            <w:r w:rsidRPr="004B48DD">
              <w:rPr>
                <w:rFonts w:ascii="Segoe UI" w:hAnsi="Segoe UI" w:cs="Segoe UI"/>
                <w:b/>
                <w:bCs/>
                <w:kern w:val="22"/>
                <w:sz w:val="22"/>
                <w:szCs w:val="22"/>
                <w:lang w:eastAsia="en-NZ"/>
              </w:rPr>
              <w:t>Percentage</w:t>
            </w:r>
          </w:p>
        </w:tc>
      </w:tr>
      <w:tr w:rsidR="00754A76" w14:paraId="14C940B3" w14:textId="77777777" w:rsidTr="00E73A3E">
        <w:tc>
          <w:tcPr>
            <w:tcW w:w="5949" w:type="dxa"/>
          </w:tcPr>
          <w:p w14:paraId="4EC17102"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Consumer</w:t>
            </w:r>
          </w:p>
        </w:tc>
        <w:tc>
          <w:tcPr>
            <w:tcW w:w="1701" w:type="dxa"/>
          </w:tcPr>
          <w:p w14:paraId="6E19483E"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0</w:t>
            </w:r>
          </w:p>
        </w:tc>
        <w:tc>
          <w:tcPr>
            <w:tcW w:w="1366" w:type="dxa"/>
          </w:tcPr>
          <w:p w14:paraId="5AF56FA7"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0</w:t>
            </w:r>
          </w:p>
        </w:tc>
      </w:tr>
      <w:tr w:rsidR="00754A76" w14:paraId="7C24BAC5" w14:textId="77777777" w:rsidTr="00E73A3E">
        <w:tc>
          <w:tcPr>
            <w:tcW w:w="5949" w:type="dxa"/>
          </w:tcPr>
          <w:p w14:paraId="07C3BD24"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Educator</w:t>
            </w:r>
          </w:p>
        </w:tc>
        <w:tc>
          <w:tcPr>
            <w:tcW w:w="1701" w:type="dxa"/>
          </w:tcPr>
          <w:p w14:paraId="7B3BC4B3"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5</w:t>
            </w:r>
          </w:p>
        </w:tc>
        <w:tc>
          <w:tcPr>
            <w:tcW w:w="1366" w:type="dxa"/>
          </w:tcPr>
          <w:p w14:paraId="3EF5F0D4"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5.</w:t>
            </w:r>
            <w:r>
              <w:rPr>
                <w:rFonts w:ascii="Segoe UI" w:hAnsi="Segoe UI" w:cs="Segoe UI"/>
                <w:kern w:val="22"/>
                <w:sz w:val="22"/>
                <w:szCs w:val="22"/>
                <w:lang w:eastAsia="en-NZ"/>
              </w:rPr>
              <w:t>9</w:t>
            </w:r>
          </w:p>
        </w:tc>
      </w:tr>
      <w:tr w:rsidR="00754A76" w14:paraId="06A6A963" w14:textId="77777777" w:rsidTr="00E73A3E">
        <w:tc>
          <w:tcPr>
            <w:tcW w:w="5949" w:type="dxa"/>
          </w:tcPr>
          <w:p w14:paraId="281E1BE4"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Registered nurse</w:t>
            </w:r>
          </w:p>
        </w:tc>
        <w:tc>
          <w:tcPr>
            <w:tcW w:w="1701" w:type="dxa"/>
          </w:tcPr>
          <w:p w14:paraId="2620CB47"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9</w:t>
            </w:r>
          </w:p>
        </w:tc>
        <w:tc>
          <w:tcPr>
            <w:tcW w:w="1366" w:type="dxa"/>
          </w:tcPr>
          <w:p w14:paraId="53232747"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10.</w:t>
            </w:r>
            <w:r>
              <w:rPr>
                <w:rFonts w:ascii="Segoe UI" w:hAnsi="Segoe UI" w:cs="Segoe UI"/>
                <w:kern w:val="22"/>
                <w:sz w:val="22"/>
                <w:szCs w:val="22"/>
                <w:lang w:eastAsia="en-NZ"/>
              </w:rPr>
              <w:t>6</w:t>
            </w:r>
          </w:p>
        </w:tc>
      </w:tr>
      <w:tr w:rsidR="00754A76" w14:paraId="73C592A5" w14:textId="77777777" w:rsidTr="00E73A3E">
        <w:tc>
          <w:tcPr>
            <w:tcW w:w="5949" w:type="dxa"/>
          </w:tcPr>
          <w:p w14:paraId="42BCDF3B"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Registered Nurse Prescriber</w:t>
            </w:r>
          </w:p>
        </w:tc>
        <w:tc>
          <w:tcPr>
            <w:tcW w:w="1701" w:type="dxa"/>
          </w:tcPr>
          <w:p w14:paraId="62CCB0F9"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36</w:t>
            </w:r>
          </w:p>
        </w:tc>
        <w:tc>
          <w:tcPr>
            <w:tcW w:w="1366" w:type="dxa"/>
          </w:tcPr>
          <w:p w14:paraId="61AE38CA"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42.</w:t>
            </w:r>
            <w:r>
              <w:rPr>
                <w:rFonts w:ascii="Segoe UI" w:hAnsi="Segoe UI" w:cs="Segoe UI"/>
                <w:kern w:val="22"/>
                <w:sz w:val="22"/>
                <w:szCs w:val="22"/>
                <w:lang w:eastAsia="en-NZ"/>
              </w:rPr>
              <w:t>4</w:t>
            </w:r>
          </w:p>
        </w:tc>
      </w:tr>
      <w:tr w:rsidR="00754A76" w14:paraId="6D195C27" w14:textId="77777777" w:rsidTr="00E73A3E">
        <w:tc>
          <w:tcPr>
            <w:tcW w:w="5949" w:type="dxa"/>
          </w:tcPr>
          <w:p w14:paraId="7D97A80B"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Nurse Practitioner</w:t>
            </w:r>
          </w:p>
        </w:tc>
        <w:tc>
          <w:tcPr>
            <w:tcW w:w="1701" w:type="dxa"/>
          </w:tcPr>
          <w:p w14:paraId="3E16A19C"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18</w:t>
            </w:r>
          </w:p>
        </w:tc>
        <w:tc>
          <w:tcPr>
            <w:tcW w:w="1366" w:type="dxa"/>
          </w:tcPr>
          <w:p w14:paraId="0542C201"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21.</w:t>
            </w:r>
            <w:r>
              <w:rPr>
                <w:rFonts w:ascii="Segoe UI" w:hAnsi="Segoe UI" w:cs="Segoe UI"/>
                <w:kern w:val="22"/>
                <w:sz w:val="22"/>
                <w:szCs w:val="22"/>
                <w:lang w:eastAsia="en-NZ"/>
              </w:rPr>
              <w:t>2</w:t>
            </w:r>
          </w:p>
        </w:tc>
      </w:tr>
      <w:tr w:rsidR="00754A76" w14:paraId="3F21198A" w14:textId="77777777" w:rsidTr="00E73A3E">
        <w:tc>
          <w:tcPr>
            <w:tcW w:w="5949" w:type="dxa"/>
          </w:tcPr>
          <w:p w14:paraId="00F1426D"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Medical practitioner</w:t>
            </w:r>
          </w:p>
        </w:tc>
        <w:tc>
          <w:tcPr>
            <w:tcW w:w="1701" w:type="dxa"/>
          </w:tcPr>
          <w:p w14:paraId="428E059F"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10</w:t>
            </w:r>
          </w:p>
        </w:tc>
        <w:tc>
          <w:tcPr>
            <w:tcW w:w="1366" w:type="dxa"/>
          </w:tcPr>
          <w:p w14:paraId="5D7A7D2D"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11.</w:t>
            </w:r>
            <w:r>
              <w:rPr>
                <w:rFonts w:ascii="Segoe UI" w:hAnsi="Segoe UI" w:cs="Segoe UI"/>
                <w:kern w:val="22"/>
                <w:sz w:val="22"/>
                <w:szCs w:val="22"/>
                <w:lang w:eastAsia="en-NZ"/>
              </w:rPr>
              <w:t>8</w:t>
            </w:r>
          </w:p>
        </w:tc>
      </w:tr>
      <w:tr w:rsidR="00754A76" w14:paraId="19F7C18E" w14:textId="77777777" w:rsidTr="00E73A3E">
        <w:tc>
          <w:tcPr>
            <w:tcW w:w="5949" w:type="dxa"/>
          </w:tcPr>
          <w:p w14:paraId="73DD9613"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Pharmacist</w:t>
            </w:r>
          </w:p>
        </w:tc>
        <w:tc>
          <w:tcPr>
            <w:tcW w:w="1701" w:type="dxa"/>
          </w:tcPr>
          <w:p w14:paraId="16D35A08"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1</w:t>
            </w:r>
          </w:p>
        </w:tc>
        <w:tc>
          <w:tcPr>
            <w:tcW w:w="1366" w:type="dxa"/>
          </w:tcPr>
          <w:p w14:paraId="45319396"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1.</w:t>
            </w:r>
            <w:r>
              <w:rPr>
                <w:rFonts w:ascii="Segoe UI" w:hAnsi="Segoe UI" w:cs="Segoe UI"/>
                <w:kern w:val="22"/>
                <w:sz w:val="22"/>
                <w:szCs w:val="22"/>
                <w:lang w:eastAsia="en-NZ"/>
              </w:rPr>
              <w:t>2</w:t>
            </w:r>
          </w:p>
        </w:tc>
      </w:tr>
      <w:tr w:rsidR="00754A76" w14:paraId="333945B8" w14:textId="77777777" w:rsidTr="00E73A3E">
        <w:tc>
          <w:tcPr>
            <w:tcW w:w="5949" w:type="dxa"/>
          </w:tcPr>
          <w:p w14:paraId="50C912D1"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Professional organisation</w:t>
            </w:r>
          </w:p>
        </w:tc>
        <w:tc>
          <w:tcPr>
            <w:tcW w:w="1701" w:type="dxa"/>
          </w:tcPr>
          <w:p w14:paraId="4CE3B889"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2</w:t>
            </w:r>
          </w:p>
        </w:tc>
        <w:tc>
          <w:tcPr>
            <w:tcW w:w="1366" w:type="dxa"/>
          </w:tcPr>
          <w:p w14:paraId="572B4D17"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2.</w:t>
            </w:r>
            <w:r>
              <w:rPr>
                <w:rFonts w:ascii="Segoe UI" w:hAnsi="Segoe UI" w:cs="Segoe UI"/>
                <w:kern w:val="22"/>
                <w:sz w:val="22"/>
                <w:szCs w:val="22"/>
                <w:lang w:eastAsia="en-NZ"/>
              </w:rPr>
              <w:t>3</w:t>
            </w:r>
          </w:p>
        </w:tc>
      </w:tr>
      <w:tr w:rsidR="00754A76" w14:paraId="1A92CE2E" w14:textId="77777777" w:rsidTr="00E73A3E">
        <w:tc>
          <w:tcPr>
            <w:tcW w:w="5949" w:type="dxa"/>
          </w:tcPr>
          <w:p w14:paraId="37347FEE"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Other</w:t>
            </w:r>
          </w:p>
        </w:tc>
        <w:tc>
          <w:tcPr>
            <w:tcW w:w="1701" w:type="dxa"/>
          </w:tcPr>
          <w:p w14:paraId="741CB05D"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2</w:t>
            </w:r>
          </w:p>
        </w:tc>
        <w:tc>
          <w:tcPr>
            <w:tcW w:w="1366" w:type="dxa"/>
          </w:tcPr>
          <w:p w14:paraId="0BA6D700"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2.</w:t>
            </w:r>
            <w:r>
              <w:rPr>
                <w:rFonts w:ascii="Segoe UI" w:hAnsi="Segoe UI" w:cs="Segoe UI"/>
                <w:kern w:val="22"/>
                <w:sz w:val="22"/>
                <w:szCs w:val="22"/>
                <w:lang w:eastAsia="en-NZ"/>
              </w:rPr>
              <w:t>3</w:t>
            </w:r>
          </w:p>
        </w:tc>
      </w:tr>
      <w:tr w:rsidR="00754A76" w14:paraId="44FE98D3" w14:textId="77777777" w:rsidTr="00E73A3E">
        <w:tc>
          <w:tcPr>
            <w:tcW w:w="5949" w:type="dxa"/>
          </w:tcPr>
          <w:p w14:paraId="0CFC7083"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Not answered</w:t>
            </w:r>
          </w:p>
        </w:tc>
        <w:tc>
          <w:tcPr>
            <w:tcW w:w="1701" w:type="dxa"/>
          </w:tcPr>
          <w:p w14:paraId="4B75151A"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2</w:t>
            </w:r>
          </w:p>
        </w:tc>
        <w:tc>
          <w:tcPr>
            <w:tcW w:w="1366" w:type="dxa"/>
          </w:tcPr>
          <w:p w14:paraId="65B7532B" w14:textId="77777777" w:rsidR="00754A76" w:rsidRPr="004B48DD" w:rsidRDefault="00754A76" w:rsidP="00E73A3E">
            <w:pPr>
              <w:rPr>
                <w:rFonts w:ascii="Segoe UI" w:hAnsi="Segoe UI" w:cs="Segoe UI"/>
                <w:kern w:val="22"/>
                <w:sz w:val="22"/>
                <w:szCs w:val="22"/>
                <w:lang w:eastAsia="en-NZ"/>
              </w:rPr>
            </w:pPr>
            <w:r w:rsidRPr="004B48DD">
              <w:rPr>
                <w:rFonts w:ascii="Segoe UI" w:hAnsi="Segoe UI" w:cs="Segoe UI"/>
                <w:kern w:val="22"/>
                <w:sz w:val="22"/>
                <w:szCs w:val="22"/>
                <w:lang w:eastAsia="en-NZ"/>
              </w:rPr>
              <w:t>2.</w:t>
            </w:r>
            <w:r>
              <w:rPr>
                <w:rFonts w:ascii="Segoe UI" w:hAnsi="Segoe UI" w:cs="Segoe UI"/>
                <w:kern w:val="22"/>
                <w:sz w:val="22"/>
                <w:szCs w:val="22"/>
                <w:lang w:eastAsia="en-NZ"/>
              </w:rPr>
              <w:t>3</w:t>
            </w:r>
          </w:p>
        </w:tc>
      </w:tr>
    </w:tbl>
    <w:p w14:paraId="7639A852" w14:textId="77777777" w:rsidR="00754A76" w:rsidRDefault="00754A76" w:rsidP="00754A76"/>
    <w:p w14:paraId="1CFB518B" w14:textId="77777777" w:rsidR="00754A76" w:rsidRDefault="00754A76" w:rsidP="00754A76">
      <w:r>
        <w:br w:type="page"/>
      </w:r>
    </w:p>
    <w:p w14:paraId="70740FCB" w14:textId="77777777" w:rsidR="00754A76" w:rsidRPr="009705B2" w:rsidRDefault="00754A76" w:rsidP="00D364DB">
      <w:pPr>
        <w:pStyle w:val="Heading2"/>
      </w:pPr>
      <w:r w:rsidRPr="009705B2">
        <w:lastRenderedPageBreak/>
        <w:t>Summary of Submissions</w:t>
      </w:r>
    </w:p>
    <w:p w14:paraId="2F8ED7D5" w14:textId="77777777" w:rsidR="00754A76" w:rsidRDefault="00754A76" w:rsidP="00754A76">
      <w:pPr>
        <w:spacing w:before="120"/>
        <w:rPr>
          <w:rFonts w:ascii="Segoe UI" w:hAnsi="Segoe UI" w:cs="Segoe UI"/>
          <w:kern w:val="22"/>
          <w:sz w:val="22"/>
          <w:szCs w:val="22"/>
          <w:lang w:eastAsia="en-NZ"/>
        </w:rPr>
      </w:pPr>
      <w:r w:rsidRPr="001960BB">
        <w:rPr>
          <w:rFonts w:ascii="Segoe UI" w:hAnsi="Segoe UI" w:cs="Segoe UI"/>
          <w:kern w:val="22"/>
          <w:sz w:val="22"/>
          <w:szCs w:val="22"/>
          <w:lang w:eastAsia="en-NZ"/>
        </w:rPr>
        <w:t>The majority (83 or 97.64%) of submitters supported the proposal. All the organisational submitters agreed with the proposed prescription medicine classes being added to the list.</w:t>
      </w:r>
    </w:p>
    <w:p w14:paraId="15FACE3D" w14:textId="77777777" w:rsidR="00754A76" w:rsidRPr="001960BB" w:rsidRDefault="00754A76" w:rsidP="00754A76">
      <w:pPr>
        <w:rPr>
          <w:rFonts w:ascii="Segoe UI" w:hAnsi="Segoe UI" w:cs="Segoe UI"/>
          <w:kern w:val="22"/>
          <w:sz w:val="22"/>
          <w:szCs w:val="22"/>
          <w:lang w:eastAsia="en-NZ"/>
        </w:rPr>
      </w:pPr>
    </w:p>
    <w:p w14:paraId="51C6B50E" w14:textId="301BA798" w:rsidR="00754A76" w:rsidRDefault="00754A76" w:rsidP="00754A76">
      <w:pPr>
        <w:rPr>
          <w:rFonts w:ascii="Segoe UI" w:hAnsi="Segoe UI" w:cs="Segoe UI"/>
          <w:kern w:val="22"/>
          <w:sz w:val="22"/>
          <w:szCs w:val="22"/>
          <w:lang w:eastAsia="en-NZ"/>
        </w:rPr>
      </w:pPr>
      <w:r w:rsidRPr="001960BB">
        <w:rPr>
          <w:rFonts w:ascii="Segoe UI" w:hAnsi="Segoe UI" w:cs="Segoe UI"/>
          <w:kern w:val="22"/>
          <w:sz w:val="22"/>
          <w:szCs w:val="22"/>
          <w:lang w:eastAsia="en-NZ"/>
        </w:rPr>
        <w:t xml:space="preserve">The most </w:t>
      </w:r>
      <w:r w:rsidR="00DC7662">
        <w:rPr>
          <w:rFonts w:ascii="Segoe UI" w:hAnsi="Segoe UI" w:cs="Segoe UI"/>
          <w:kern w:val="22"/>
          <w:sz w:val="22"/>
          <w:szCs w:val="22"/>
          <w:lang w:eastAsia="en-NZ"/>
        </w:rPr>
        <w:t>common</w:t>
      </w:r>
      <w:r w:rsidRPr="001960BB">
        <w:rPr>
          <w:rFonts w:ascii="Segoe UI" w:hAnsi="Segoe UI" w:cs="Segoe UI"/>
          <w:kern w:val="22"/>
          <w:sz w:val="22"/>
          <w:szCs w:val="22"/>
          <w:lang w:eastAsia="en-NZ"/>
        </w:rPr>
        <w:t xml:space="preserve"> reasons given </w:t>
      </w:r>
      <w:r w:rsidR="000D1FCB">
        <w:rPr>
          <w:rFonts w:ascii="Segoe UI" w:hAnsi="Segoe UI" w:cs="Segoe UI"/>
          <w:kern w:val="22"/>
          <w:sz w:val="22"/>
          <w:szCs w:val="22"/>
          <w:lang w:eastAsia="en-NZ"/>
        </w:rPr>
        <w:t xml:space="preserve">for support </w:t>
      </w:r>
      <w:r w:rsidRPr="001960BB">
        <w:rPr>
          <w:rFonts w:ascii="Segoe UI" w:hAnsi="Segoe UI" w:cs="Segoe UI"/>
          <w:kern w:val="22"/>
          <w:sz w:val="22"/>
          <w:szCs w:val="22"/>
          <w:lang w:eastAsia="en-NZ"/>
        </w:rPr>
        <w:t>was that it would improve equitable access to diabetes medicines, benefit Māori and Pacific patients and rural and remote communities and optimise treatment for patients preventing complications (27).</w:t>
      </w:r>
    </w:p>
    <w:p w14:paraId="4F1CAB15" w14:textId="77777777" w:rsidR="00754A76" w:rsidRPr="001960BB" w:rsidRDefault="00754A76" w:rsidP="00754A76">
      <w:pPr>
        <w:rPr>
          <w:rFonts w:ascii="Segoe UI" w:hAnsi="Segoe UI" w:cs="Segoe UI"/>
          <w:kern w:val="22"/>
          <w:sz w:val="22"/>
          <w:szCs w:val="22"/>
          <w:lang w:eastAsia="en-NZ"/>
        </w:rPr>
      </w:pPr>
    </w:p>
    <w:p w14:paraId="19DC2C08" w14:textId="77777777" w:rsidR="00754A76" w:rsidRPr="001960BB" w:rsidRDefault="00754A76" w:rsidP="00754A76">
      <w:pPr>
        <w:rPr>
          <w:rFonts w:ascii="Segoe UI" w:hAnsi="Segoe UI" w:cs="Segoe UI"/>
          <w:kern w:val="22"/>
          <w:sz w:val="22"/>
          <w:szCs w:val="22"/>
          <w:lang w:eastAsia="en-NZ"/>
        </w:rPr>
      </w:pPr>
      <w:r w:rsidRPr="001960BB">
        <w:rPr>
          <w:rFonts w:ascii="Segoe UI" w:hAnsi="Segoe UI" w:cs="Segoe UI"/>
          <w:kern w:val="22"/>
          <w:sz w:val="22"/>
          <w:szCs w:val="22"/>
          <w:lang w:eastAsia="en-NZ"/>
        </w:rPr>
        <w:t xml:space="preserve">Some submitters acknowledged that the additional classes would enable nurse prescribers working in diabetes and with long term conditions </w:t>
      </w:r>
      <w:r>
        <w:rPr>
          <w:rFonts w:ascii="Segoe UI" w:hAnsi="Segoe UI" w:cs="Segoe UI"/>
          <w:kern w:val="22"/>
          <w:sz w:val="22"/>
          <w:szCs w:val="22"/>
          <w:lang w:eastAsia="en-NZ"/>
        </w:rPr>
        <w:t xml:space="preserve">to prescribe appropriate medicines </w:t>
      </w:r>
      <w:r w:rsidRPr="001960BB">
        <w:rPr>
          <w:rFonts w:ascii="Segoe UI" w:hAnsi="Segoe UI" w:cs="Segoe UI"/>
          <w:kern w:val="22"/>
          <w:sz w:val="22"/>
          <w:szCs w:val="22"/>
          <w:lang w:eastAsia="en-NZ"/>
        </w:rPr>
        <w:t>and reduce workloads for other prescribers (12)</w:t>
      </w:r>
      <w:r>
        <w:rPr>
          <w:rFonts w:ascii="Segoe UI" w:hAnsi="Segoe UI" w:cs="Segoe UI"/>
          <w:kern w:val="22"/>
          <w:sz w:val="22"/>
          <w:szCs w:val="22"/>
          <w:lang w:eastAsia="en-NZ"/>
        </w:rPr>
        <w:t>.</w:t>
      </w:r>
    </w:p>
    <w:p w14:paraId="2E91FBDC" w14:textId="77777777" w:rsidR="00754A76" w:rsidRDefault="00754A76" w:rsidP="00754A76">
      <w:pPr>
        <w:rPr>
          <w:rFonts w:ascii="Segoe UI" w:hAnsi="Segoe UI" w:cs="Segoe UI"/>
          <w:kern w:val="22"/>
          <w:sz w:val="22"/>
          <w:szCs w:val="22"/>
          <w:lang w:eastAsia="en-NZ"/>
        </w:rPr>
      </w:pPr>
    </w:p>
    <w:p w14:paraId="3177EF4E" w14:textId="77777777" w:rsidR="00754A76" w:rsidRDefault="00754A76" w:rsidP="00754A76">
      <w:pPr>
        <w:rPr>
          <w:rFonts w:ascii="Segoe UI" w:hAnsi="Segoe UI" w:cs="Segoe UI"/>
          <w:kern w:val="22"/>
          <w:sz w:val="22"/>
          <w:szCs w:val="22"/>
          <w:lang w:eastAsia="en-NZ"/>
        </w:rPr>
      </w:pPr>
      <w:r w:rsidRPr="001960BB">
        <w:rPr>
          <w:rFonts w:ascii="Segoe UI" w:hAnsi="Segoe UI" w:cs="Segoe UI"/>
          <w:kern w:val="22"/>
          <w:sz w:val="22"/>
          <w:szCs w:val="22"/>
          <w:lang w:eastAsia="en-NZ"/>
        </w:rPr>
        <w:t>The support for the addition of classes was specifically mentioned with many also mentioning the benefits of future proofing the medicines list with other medicine classes given current supply issues (16)</w:t>
      </w:r>
      <w:r>
        <w:rPr>
          <w:rFonts w:ascii="Segoe UI" w:hAnsi="Segoe UI" w:cs="Segoe UI"/>
          <w:kern w:val="22"/>
          <w:sz w:val="22"/>
          <w:szCs w:val="22"/>
          <w:lang w:eastAsia="en-NZ"/>
        </w:rPr>
        <w:t>.</w:t>
      </w:r>
    </w:p>
    <w:p w14:paraId="612448A5" w14:textId="77777777" w:rsidR="00754A76" w:rsidRPr="001960BB" w:rsidRDefault="00754A76" w:rsidP="00754A76">
      <w:pPr>
        <w:rPr>
          <w:rFonts w:ascii="Segoe UI" w:hAnsi="Segoe UI" w:cs="Segoe UI"/>
          <w:kern w:val="22"/>
          <w:sz w:val="22"/>
          <w:szCs w:val="22"/>
          <w:lang w:eastAsia="en-NZ"/>
        </w:rPr>
      </w:pPr>
    </w:p>
    <w:p w14:paraId="4803BC74" w14:textId="77777777" w:rsidR="00754A76" w:rsidRPr="001960BB" w:rsidRDefault="00754A76" w:rsidP="00754A76">
      <w:pPr>
        <w:rPr>
          <w:rFonts w:ascii="Segoe UI" w:hAnsi="Segoe UI" w:cs="Segoe UI"/>
          <w:kern w:val="22"/>
          <w:sz w:val="22"/>
          <w:szCs w:val="22"/>
          <w:lang w:eastAsia="en-NZ"/>
        </w:rPr>
      </w:pPr>
      <w:r w:rsidRPr="001960BB">
        <w:rPr>
          <w:rFonts w:ascii="Segoe UI" w:hAnsi="Segoe UI" w:cs="Segoe UI"/>
          <w:kern w:val="22"/>
          <w:sz w:val="22"/>
          <w:szCs w:val="22"/>
          <w:lang w:eastAsia="en-NZ"/>
        </w:rPr>
        <w:t>A small number of submitters mentioned the existing Pharmac restrictions on funded medicines that are independent of this consultation, some with a desire to see the extension of eligibility. Two submitters mentioned the need for appropriate education and mentorship.</w:t>
      </w:r>
    </w:p>
    <w:p w14:paraId="5261982A" w14:textId="77777777" w:rsidR="00754A76" w:rsidRPr="001960BB" w:rsidRDefault="00754A76" w:rsidP="00754A76">
      <w:pPr>
        <w:rPr>
          <w:rFonts w:ascii="Segoe UI" w:hAnsi="Segoe UI" w:cs="Segoe UI"/>
          <w:kern w:val="22"/>
          <w:sz w:val="22"/>
          <w:szCs w:val="22"/>
          <w:lang w:eastAsia="en-NZ"/>
        </w:rPr>
      </w:pPr>
    </w:p>
    <w:p w14:paraId="05175DED" w14:textId="77777777" w:rsidR="00754A76" w:rsidRPr="001960BB" w:rsidRDefault="00754A76" w:rsidP="00754A76">
      <w:pPr>
        <w:rPr>
          <w:rFonts w:ascii="Segoe UI" w:hAnsi="Segoe UI" w:cs="Segoe UI"/>
          <w:kern w:val="22"/>
          <w:sz w:val="22"/>
          <w:szCs w:val="22"/>
          <w:lang w:eastAsia="en-NZ"/>
        </w:rPr>
      </w:pPr>
      <w:r w:rsidRPr="001960BB">
        <w:rPr>
          <w:rFonts w:ascii="Segoe UI" w:hAnsi="Segoe UI" w:cs="Segoe UI"/>
          <w:kern w:val="22"/>
          <w:sz w:val="22"/>
          <w:szCs w:val="22"/>
          <w:lang w:eastAsia="en-NZ"/>
        </w:rPr>
        <w:t>Of those not in favour of one or both medicine classes being added to the list (2.25%), reasons were that GLP-1 antagonists are complicated medications, with multiple side effects and prescribing indications and there are already access problems for diabetic patients so having more prescribers will make this worse. In addition there is social pressure to use these medicines in non-diabetic but overweight patients which registered nurse prescribers may be influenced by.</w:t>
      </w:r>
    </w:p>
    <w:p w14:paraId="6C7AF854" w14:textId="3B02345E" w:rsidR="00754A76" w:rsidRDefault="00754A76" w:rsidP="00754A76">
      <w:pPr>
        <w:rPr>
          <w:rFonts w:ascii="Segoe UI" w:hAnsi="Segoe UI" w:cs="Segoe UI"/>
          <w:b/>
          <w:bCs/>
          <w:sz w:val="22"/>
          <w:szCs w:val="22"/>
        </w:rPr>
      </w:pPr>
    </w:p>
    <w:sectPr w:rsidR="00754A76" w:rsidSect="00754A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2499" w14:textId="77777777" w:rsidR="00905EF2" w:rsidRDefault="00905EF2" w:rsidP="00754A76">
      <w:r>
        <w:separator/>
      </w:r>
    </w:p>
  </w:endnote>
  <w:endnote w:type="continuationSeparator" w:id="0">
    <w:p w14:paraId="61396033" w14:textId="77777777" w:rsidR="00905EF2" w:rsidRDefault="00905EF2" w:rsidP="0075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98E1" w14:textId="77777777" w:rsidR="00905EF2" w:rsidRDefault="00905EF2" w:rsidP="00754A76">
      <w:r>
        <w:separator/>
      </w:r>
    </w:p>
  </w:footnote>
  <w:footnote w:type="continuationSeparator" w:id="0">
    <w:p w14:paraId="1A4748D6" w14:textId="77777777" w:rsidR="00905EF2" w:rsidRDefault="00905EF2" w:rsidP="00754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76"/>
    <w:rsid w:val="000D1FCB"/>
    <w:rsid w:val="001C685D"/>
    <w:rsid w:val="00287290"/>
    <w:rsid w:val="00422A0B"/>
    <w:rsid w:val="00754A76"/>
    <w:rsid w:val="00905EF2"/>
    <w:rsid w:val="00C302FE"/>
    <w:rsid w:val="00D364DB"/>
    <w:rsid w:val="00DC7662"/>
    <w:rsid w:val="00EE71A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6BDE6"/>
  <w15:chartTrackingRefBased/>
  <w15:docId w15:val="{35031773-183F-40C6-BFC3-750E9E8F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A76"/>
    <w:pPr>
      <w:spacing w:after="0" w:line="240" w:lineRule="auto"/>
    </w:pPr>
    <w:rPr>
      <w:rFonts w:ascii="Arial" w:eastAsia="Times New Roman" w:hAnsi="Arial" w:cs="Times"/>
      <w:sz w:val="24"/>
      <w:szCs w:val="24"/>
      <w:lang w:eastAsia="en-GB"/>
    </w:rPr>
  </w:style>
  <w:style w:type="paragraph" w:styleId="Heading1">
    <w:name w:val="heading 1"/>
    <w:basedOn w:val="Normal"/>
    <w:next w:val="Normal"/>
    <w:link w:val="Heading1Char"/>
    <w:uiPriority w:val="9"/>
    <w:qFormat/>
    <w:rsid w:val="00D364DB"/>
    <w:pPr>
      <w:outlineLvl w:val="0"/>
    </w:pPr>
    <w:rPr>
      <w:rFonts w:ascii="Segoe UI" w:eastAsiaTheme="majorEastAsia" w:hAnsi="Segoe UI" w:cs="Arial"/>
      <w:b/>
      <w:bCs/>
      <w:kern w:val="32"/>
      <w:sz w:val="48"/>
      <w:szCs w:val="32"/>
      <w:lang w:eastAsia="en-NZ"/>
    </w:rPr>
  </w:style>
  <w:style w:type="paragraph" w:styleId="Heading2">
    <w:name w:val="heading 2"/>
    <w:basedOn w:val="Normal"/>
    <w:next w:val="Normal"/>
    <w:link w:val="Heading2Char"/>
    <w:uiPriority w:val="9"/>
    <w:unhideWhenUsed/>
    <w:qFormat/>
    <w:rsid w:val="00D364DB"/>
    <w:pPr>
      <w:outlineLvl w:val="1"/>
    </w:pPr>
    <w:rPr>
      <w:rFonts w:ascii="Segoe UI" w:eastAsiaTheme="majorEastAsia" w:hAnsi="Segoe UI" w:cs="Arial"/>
      <w:b/>
      <w:bCs/>
      <w:iCs/>
      <w:sz w:val="28"/>
      <w:szCs w:val="2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A76"/>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A76"/>
    <w:pPr>
      <w:tabs>
        <w:tab w:val="center" w:pos="4513"/>
        <w:tab w:val="right" w:pos="9026"/>
      </w:tabs>
    </w:pPr>
  </w:style>
  <w:style w:type="character" w:customStyle="1" w:styleId="HeaderChar">
    <w:name w:val="Header Char"/>
    <w:basedOn w:val="DefaultParagraphFont"/>
    <w:link w:val="Header"/>
    <w:uiPriority w:val="99"/>
    <w:rsid w:val="00754A76"/>
    <w:rPr>
      <w:rFonts w:ascii="Arial" w:eastAsia="Times New Roman" w:hAnsi="Arial" w:cs="Times"/>
      <w:sz w:val="24"/>
      <w:szCs w:val="24"/>
      <w:lang w:eastAsia="en-GB"/>
    </w:rPr>
  </w:style>
  <w:style w:type="paragraph" w:styleId="Footer">
    <w:name w:val="footer"/>
    <w:basedOn w:val="Normal"/>
    <w:link w:val="FooterChar"/>
    <w:uiPriority w:val="99"/>
    <w:unhideWhenUsed/>
    <w:rsid w:val="00754A76"/>
    <w:pPr>
      <w:tabs>
        <w:tab w:val="center" w:pos="4513"/>
        <w:tab w:val="right" w:pos="9026"/>
      </w:tabs>
    </w:pPr>
  </w:style>
  <w:style w:type="character" w:customStyle="1" w:styleId="FooterChar">
    <w:name w:val="Footer Char"/>
    <w:basedOn w:val="DefaultParagraphFont"/>
    <w:link w:val="Footer"/>
    <w:uiPriority w:val="99"/>
    <w:rsid w:val="00754A76"/>
    <w:rPr>
      <w:rFonts w:ascii="Arial" w:eastAsia="Times New Roman" w:hAnsi="Arial" w:cs="Times"/>
      <w:sz w:val="24"/>
      <w:szCs w:val="24"/>
      <w:lang w:eastAsia="en-GB"/>
    </w:rPr>
  </w:style>
  <w:style w:type="character" w:customStyle="1" w:styleId="Heading1Char">
    <w:name w:val="Heading 1 Char"/>
    <w:basedOn w:val="DefaultParagraphFont"/>
    <w:link w:val="Heading1"/>
    <w:uiPriority w:val="9"/>
    <w:rsid w:val="00D364DB"/>
    <w:rPr>
      <w:rFonts w:ascii="Segoe UI" w:eastAsiaTheme="majorEastAsia" w:hAnsi="Segoe UI" w:cs="Arial"/>
      <w:b/>
      <w:bCs/>
      <w:kern w:val="32"/>
      <w:sz w:val="48"/>
      <w:szCs w:val="32"/>
      <w:lang w:eastAsia="en-NZ"/>
    </w:rPr>
  </w:style>
  <w:style w:type="character" w:customStyle="1" w:styleId="Heading2Char">
    <w:name w:val="Heading 2 Char"/>
    <w:basedOn w:val="DefaultParagraphFont"/>
    <w:link w:val="Heading2"/>
    <w:uiPriority w:val="9"/>
    <w:rsid w:val="00D364DB"/>
    <w:rPr>
      <w:rFonts w:ascii="Segoe UI" w:eastAsiaTheme="majorEastAsia" w:hAnsi="Segoe UI" w:cs="Arial"/>
      <w:b/>
      <w:bCs/>
      <w:iCs/>
      <w:sz w:val="28"/>
      <w:szCs w:val="2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submissions of sector consultation on the addition of diabetes medicines to the list of specified prescription medicines for designated registered nurse prescribers</dc:title>
  <dc:subject/>
  <dc:creator>Ministry of Health</dc:creator>
  <cp:keywords/>
  <dc:description/>
  <cp:lastModifiedBy>Ministry of Health</cp:lastModifiedBy>
  <cp:revision>4</cp:revision>
  <cp:lastPrinted>2024-08-18T22:46:00Z</cp:lastPrinted>
  <dcterms:created xsi:type="dcterms:W3CDTF">2024-08-18T22:44:00Z</dcterms:created>
  <dcterms:modified xsi:type="dcterms:W3CDTF">2024-08-18T22:46:00Z</dcterms:modified>
</cp:coreProperties>
</file>