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6BB7" w14:textId="77777777" w:rsidR="00C05132" w:rsidRDefault="00C05132" w:rsidP="00C05132"/>
    <w:p w14:paraId="11455161" w14:textId="42923167" w:rsidR="00C86248" w:rsidRPr="00926083" w:rsidRDefault="00702DB4" w:rsidP="008217DA">
      <w:pPr>
        <w:pStyle w:val="Title"/>
        <w:ind w:right="2976"/>
      </w:pPr>
      <w:proofErr w:type="spellStart"/>
      <w:r w:rsidRPr="00702DB4">
        <w:t>Ngā</w:t>
      </w:r>
      <w:proofErr w:type="spellEnd"/>
      <w:r w:rsidRPr="00702DB4">
        <w:t xml:space="preserve"> </w:t>
      </w:r>
      <w:proofErr w:type="spellStart"/>
      <w:r w:rsidRPr="00702DB4">
        <w:t>Ratonga</w:t>
      </w:r>
      <w:proofErr w:type="spellEnd"/>
      <w:r w:rsidRPr="00702DB4">
        <w:t xml:space="preserve"> Mate </w:t>
      </w:r>
      <w:proofErr w:type="spellStart"/>
      <w:r w:rsidRPr="00702DB4">
        <w:t>Whakaahuru</w:t>
      </w:r>
      <w:proofErr w:type="spellEnd"/>
      <w:r w:rsidR="008217DA">
        <w:t xml:space="preserve"> </w:t>
      </w:r>
      <w:r w:rsidRPr="00702DB4">
        <w:t xml:space="preserve">– </w:t>
      </w:r>
      <w:r w:rsidR="008217DA">
        <w:br/>
      </w:r>
      <w:r w:rsidRPr="00702DB4">
        <w:t>Assisted Dying Service</w:t>
      </w:r>
    </w:p>
    <w:p w14:paraId="2B4FAC6A" w14:textId="16EAC017" w:rsidR="00C05132" w:rsidRDefault="00702DB4" w:rsidP="00926083">
      <w:pPr>
        <w:pStyle w:val="Subhead"/>
      </w:pPr>
      <w:r w:rsidRPr="00702DB4">
        <w:t>Registrar (assisted dying) Annual Report to the Minister of Health –June 2024</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133DA53A" w14:textId="7F085623" w:rsidR="00702DB4" w:rsidRPr="00C05132" w:rsidRDefault="00702DB4" w:rsidP="00702DB4">
      <w:pPr>
        <w:pStyle w:val="Imprint"/>
        <w:spacing w:before="1200"/>
        <w:rPr>
          <w:rFonts w:cs="Segoe UI"/>
        </w:rPr>
      </w:pPr>
      <w:r w:rsidRPr="00C05132">
        <w:rPr>
          <w:rFonts w:cs="Segoe UI"/>
        </w:rPr>
        <w:lastRenderedPageBreak/>
        <w:t xml:space="preserve">Citation: Ministry of Health. </w:t>
      </w:r>
      <w:r>
        <w:rPr>
          <w:rFonts w:cs="Segoe UI"/>
        </w:rPr>
        <w:t>2024</w:t>
      </w:r>
      <w:r w:rsidRPr="00C05132">
        <w:rPr>
          <w:rFonts w:cs="Segoe UI"/>
        </w:rPr>
        <w:t xml:space="preserve">. </w:t>
      </w:r>
      <w:proofErr w:type="spellStart"/>
      <w:r w:rsidR="005E7EA4">
        <w:rPr>
          <w:rFonts w:cs="Segoe UI"/>
          <w:i/>
        </w:rPr>
        <w:t>Ngā</w:t>
      </w:r>
      <w:proofErr w:type="spellEnd"/>
      <w:r w:rsidR="005E7EA4">
        <w:rPr>
          <w:rFonts w:cs="Segoe UI"/>
          <w:i/>
        </w:rPr>
        <w:t xml:space="preserve"> </w:t>
      </w:r>
      <w:proofErr w:type="spellStart"/>
      <w:r w:rsidR="005E7EA4">
        <w:rPr>
          <w:rFonts w:cs="Segoe UI"/>
          <w:i/>
        </w:rPr>
        <w:t>Ratonga</w:t>
      </w:r>
      <w:proofErr w:type="spellEnd"/>
      <w:r w:rsidR="005E7EA4">
        <w:rPr>
          <w:rFonts w:cs="Segoe UI"/>
          <w:i/>
        </w:rPr>
        <w:t xml:space="preserve"> </w:t>
      </w:r>
      <w:r w:rsidR="005E7EA4" w:rsidRPr="00DD1B3A">
        <w:rPr>
          <w:rFonts w:cs="Segoe UI"/>
          <w:i/>
        </w:rPr>
        <w:t xml:space="preserve">Mate </w:t>
      </w:r>
      <w:proofErr w:type="spellStart"/>
      <w:r w:rsidR="005E7EA4" w:rsidRPr="00DD1B3A">
        <w:rPr>
          <w:rFonts w:cs="Segoe UI"/>
          <w:i/>
        </w:rPr>
        <w:t>Whakaahuru</w:t>
      </w:r>
      <w:proofErr w:type="spellEnd"/>
      <w:r w:rsidR="002E61FA">
        <w:rPr>
          <w:rFonts w:cs="Segoe UI"/>
          <w:i/>
        </w:rPr>
        <w:t xml:space="preserve"> - </w:t>
      </w:r>
      <w:r w:rsidRPr="00DD1B3A">
        <w:rPr>
          <w:rFonts w:cs="Segoe UI"/>
          <w:i/>
        </w:rPr>
        <w:t>Assisted Dying Service</w:t>
      </w:r>
      <w:r>
        <w:rPr>
          <w:rFonts w:cs="Segoe UI"/>
          <w:i/>
        </w:rPr>
        <w:t xml:space="preserve">: </w:t>
      </w:r>
      <w:r w:rsidRPr="00DD1B3A">
        <w:rPr>
          <w:rFonts w:cs="Segoe UI"/>
          <w:i/>
        </w:rPr>
        <w:t>Registrar (assisted dying) Annual Report to the Minister of Health</w:t>
      </w:r>
      <w:r>
        <w:rPr>
          <w:rFonts w:cs="Segoe UI"/>
          <w:i/>
        </w:rPr>
        <w:t xml:space="preserve"> – June 2024. </w:t>
      </w:r>
      <w:r w:rsidRPr="00C05132">
        <w:rPr>
          <w:rFonts w:cs="Segoe UI"/>
        </w:rPr>
        <w:t>Wellington: Ministry of Health.</w:t>
      </w:r>
    </w:p>
    <w:p w14:paraId="3EF856E5" w14:textId="77777777" w:rsidR="00702DB4" w:rsidRDefault="00702DB4" w:rsidP="00702DB4">
      <w:pPr>
        <w:pStyle w:val="Imprint"/>
      </w:pPr>
      <w:r>
        <w:t>Published in June 2024 by the Ministry of Health</w:t>
      </w:r>
      <w:r>
        <w:br/>
        <w:t>PO Box 5013, Wellington 6140, New Zealand</w:t>
      </w:r>
    </w:p>
    <w:p w14:paraId="582A6B34" w14:textId="56311DEA" w:rsidR="00702DB4" w:rsidRPr="009C0F2D" w:rsidRDefault="00702DB4" w:rsidP="00702DB4">
      <w:pPr>
        <w:pStyle w:val="Imprint"/>
      </w:pPr>
      <w:r w:rsidRPr="00826DEF">
        <w:t xml:space="preserve">ISBN </w:t>
      </w:r>
      <w:r w:rsidR="00520C54" w:rsidRPr="00520C54">
        <w:t>978-1-991075-79-6</w:t>
      </w:r>
      <w:r w:rsidRPr="00826DEF">
        <w:t xml:space="preserve"> (print)</w:t>
      </w:r>
      <w:r w:rsidRPr="00826DEF">
        <w:br/>
        <w:t xml:space="preserve">ISBN </w:t>
      </w:r>
      <w:r w:rsidR="00674B22" w:rsidRPr="00674B22">
        <w:t>978-1-991075-80-2</w:t>
      </w:r>
      <w:r w:rsidRPr="00826DEF">
        <w:t xml:space="preserve"> (online)</w:t>
      </w:r>
      <w:r w:rsidRPr="00826DEF">
        <w:br/>
        <w:t xml:space="preserve">HP </w:t>
      </w:r>
      <w:r w:rsidR="00E30F3A">
        <w:t>9078</w:t>
      </w:r>
    </w:p>
    <w:p w14:paraId="48DBDA36" w14:textId="77777777" w:rsidR="00C86248" w:rsidRDefault="008C64C4" w:rsidP="00A63DFF">
      <w:r>
        <w:rPr>
          <w:noProof/>
          <w:lang w:eastAsia="en-NZ"/>
        </w:rPr>
        <w:drawing>
          <wp:inline distT="0" distB="0" distL="0" distR="0" wp14:anchorId="6EF4539D" wp14:editId="18D35AA0">
            <wp:extent cx="1216825" cy="576270"/>
            <wp:effectExtent l="0" t="0" r="2540" b="0"/>
            <wp:docPr id="2" name="Picture 2" descr="Ministry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0F8774BA" w14:textId="77777777" w:rsidR="00032C0A" w:rsidRDefault="008E3A07" w:rsidP="001D3E4E">
      <w:pPr>
        <w:pStyle w:val="Heading1"/>
        <w:spacing w:before="0"/>
      </w:pPr>
      <w:bookmarkStart w:id="1" w:name="_Toc405792991"/>
      <w:bookmarkStart w:id="2" w:name="_Toc405793224"/>
      <w:bookmarkStart w:id="3" w:name="_Toc170220973"/>
      <w:r>
        <w:lastRenderedPageBreak/>
        <w:t>Foreword</w:t>
      </w:r>
      <w:bookmarkEnd w:id="3"/>
    </w:p>
    <w:p w14:paraId="7675328C" w14:textId="44E73E9D" w:rsidR="00702DB4" w:rsidRDefault="00702DB4" w:rsidP="00702DB4">
      <w:proofErr w:type="spellStart"/>
      <w:r>
        <w:t>Tēnā</w:t>
      </w:r>
      <w:proofErr w:type="spellEnd"/>
      <w:r>
        <w:t xml:space="preserve"> koutou </w:t>
      </w:r>
    </w:p>
    <w:p w14:paraId="7659E719" w14:textId="77777777" w:rsidR="00702DB4" w:rsidRDefault="00702DB4" w:rsidP="00702DB4"/>
    <w:p w14:paraId="09210FF0" w14:textId="72F8EDAE" w:rsidR="00702DB4" w:rsidRDefault="00702DB4" w:rsidP="00702DB4">
      <w:r>
        <w:t xml:space="preserve">The last year has seen a period of change for the Ministry of the Health’s </w:t>
      </w:r>
      <w:r w:rsidR="00F24A59">
        <w:t xml:space="preserve">– </w:t>
      </w:r>
      <w:r>
        <w:t xml:space="preserve"> Manatū Hauora</w:t>
      </w:r>
      <w:r w:rsidRPr="00FC35BA">
        <w:t xml:space="preserve"> </w:t>
      </w:r>
      <w:r>
        <w:t xml:space="preserve">(the Ministry’s) role in </w:t>
      </w:r>
      <w:proofErr w:type="spellStart"/>
      <w:r w:rsidRPr="001467A2">
        <w:t>Ngā</w:t>
      </w:r>
      <w:proofErr w:type="spellEnd"/>
      <w:r w:rsidRPr="001467A2">
        <w:t xml:space="preserve"> </w:t>
      </w:r>
      <w:proofErr w:type="spellStart"/>
      <w:r w:rsidRPr="001467A2">
        <w:t>Ratonga</w:t>
      </w:r>
      <w:proofErr w:type="spellEnd"/>
      <w:r w:rsidRPr="001467A2">
        <w:t xml:space="preserve"> Mate </w:t>
      </w:r>
      <w:proofErr w:type="spellStart"/>
      <w:r w:rsidRPr="001467A2">
        <w:t>Whakaahuru</w:t>
      </w:r>
      <w:proofErr w:type="spellEnd"/>
      <w:r w:rsidR="00F24A59">
        <w:t xml:space="preserve"> – the Assisted Dying Service</w:t>
      </w:r>
      <w:r>
        <w:t xml:space="preserve"> (the Service). The transfer of the operational functions to Health New Zealand </w:t>
      </w:r>
      <w:r w:rsidR="00F24A59">
        <w:t xml:space="preserve">– </w:t>
      </w:r>
      <w:proofErr w:type="spellStart"/>
      <w:r>
        <w:t>Te</w:t>
      </w:r>
      <w:proofErr w:type="spellEnd"/>
      <w:r>
        <w:t xml:space="preserve"> </w:t>
      </w:r>
      <w:proofErr w:type="spellStart"/>
      <w:r>
        <w:t>Whatu</w:t>
      </w:r>
      <w:proofErr w:type="spellEnd"/>
      <w:r>
        <w:t xml:space="preserve"> Ora (Health New Zealand) in March 2023 provided an opportunity for the Ministry to focus on its core functions, including a greater focus on our regulatory stewardship role. </w:t>
      </w:r>
    </w:p>
    <w:p w14:paraId="0DD17080" w14:textId="77777777" w:rsidR="00702DB4" w:rsidRDefault="00702DB4" w:rsidP="00702DB4"/>
    <w:p w14:paraId="546D0D07" w14:textId="36D58E88" w:rsidR="00702DB4" w:rsidRDefault="00702DB4" w:rsidP="00702DB4">
      <w:r>
        <w:t>This report covers the period 1 April 2023 to 31 March 2024. Included in the report is general information about the Ministry’s role in the Service, a summary of service activities for the reporting period and an overview of complaints received about the Service.</w:t>
      </w:r>
    </w:p>
    <w:p w14:paraId="39C9BB71" w14:textId="77777777" w:rsidR="00702DB4" w:rsidRDefault="00702DB4" w:rsidP="00702DB4"/>
    <w:p w14:paraId="7699B123" w14:textId="0B28B532" w:rsidR="00702DB4" w:rsidRDefault="00702DB4" w:rsidP="00702DB4">
      <w:r>
        <w:t xml:space="preserve">Our regulation and monitoring activities are informed by data and insights and supplemented by feedback and complaints. These activities, along with the safeguards in the </w:t>
      </w:r>
      <w:proofErr w:type="gramStart"/>
      <w:r>
        <w:t>End of Life</w:t>
      </w:r>
      <w:proofErr w:type="gramEnd"/>
      <w:r>
        <w:t xml:space="preserve"> Choice A</w:t>
      </w:r>
      <w:r w:rsidRPr="009A5DCF">
        <w:t xml:space="preserve">ct </w:t>
      </w:r>
      <w:r>
        <w:t>2019 (the Act), help ensure assisted dying services in New Zealand are safe, of good quality</w:t>
      </w:r>
      <w:r w:rsidDel="00D05A6D">
        <w:t>,</w:t>
      </w:r>
      <w:r>
        <w:t xml:space="preserve"> and trusted. </w:t>
      </w:r>
    </w:p>
    <w:p w14:paraId="33BBFC28" w14:textId="77777777" w:rsidR="00702DB4" w:rsidRDefault="00702DB4" w:rsidP="00702DB4"/>
    <w:p w14:paraId="012D85A1" w14:textId="4DC55ED3" w:rsidR="00702DB4" w:rsidRDefault="00702DB4" w:rsidP="00702DB4">
      <w:r>
        <w:t xml:space="preserve">Assisted dying is a person-centred service that gives eligible people choice and control at the end of their life. They can decide when, where, and how their assisted death takes place. While dying at home remains the </w:t>
      </w:r>
      <w:r w:rsidDel="00063B10">
        <w:t xml:space="preserve">chosen </w:t>
      </w:r>
      <w:r>
        <w:t>location for many assisted deaths, some have chosen a funeral home, the beach, or another location of significance to them and their wh</w:t>
      </w:r>
      <w:r w:rsidRPr="7772E776">
        <w:rPr>
          <w:rFonts w:ascii="Calibri" w:eastAsia="Calibri" w:hAnsi="Calibri" w:cs="Calibri"/>
          <w:color w:val="202124"/>
        </w:rPr>
        <w:t>ā</w:t>
      </w:r>
      <w:r>
        <w:t>nau.</w:t>
      </w:r>
    </w:p>
    <w:p w14:paraId="27D3ABC1" w14:textId="77777777" w:rsidR="00702DB4" w:rsidRDefault="00702DB4" w:rsidP="00702DB4"/>
    <w:p w14:paraId="4A6C12FB" w14:textId="7E70E28D" w:rsidR="00702DB4" w:rsidRDefault="00702DB4" w:rsidP="00702DB4">
      <w:r>
        <w:t>Over this period, we have observed an increase of 3.3% new applications for assisted dying services compared with the previous reporting period. Including open cases (those that remained open at the end of the previous reporting year), this has resulted in a total increase of 10.9% in active applications and an increase of 15% in medical assessments completed by attending medical practitioners (AMPs).</w:t>
      </w:r>
    </w:p>
    <w:p w14:paraId="4BB03A73" w14:textId="77777777" w:rsidR="00702DB4" w:rsidRDefault="00702DB4" w:rsidP="00702DB4"/>
    <w:p w14:paraId="2F210871" w14:textId="42BF381A" w:rsidR="00702DB4" w:rsidRDefault="00702DB4" w:rsidP="00702DB4">
      <w:pPr>
        <w:rPr>
          <w:color w:val="000000" w:themeColor="text1"/>
        </w:rPr>
      </w:pPr>
      <w:r>
        <w:t xml:space="preserve">Within the context of this observed increase, outcomes have remained markedly consistent with the previous reporting period. Specifically, the percentage of applicants assessed as </w:t>
      </w:r>
      <w:r w:rsidRPr="00D03839">
        <w:rPr>
          <w:color w:val="000000" w:themeColor="text1"/>
        </w:rPr>
        <w:t>‘eligible’ by A</w:t>
      </w:r>
      <w:r>
        <w:rPr>
          <w:color w:val="000000" w:themeColor="text1"/>
        </w:rPr>
        <w:t xml:space="preserve">MPs </w:t>
      </w:r>
      <w:r w:rsidRPr="00D03839">
        <w:rPr>
          <w:color w:val="000000" w:themeColor="text1"/>
        </w:rPr>
        <w:t xml:space="preserve">and independent medical practitioners </w:t>
      </w:r>
      <w:r>
        <w:rPr>
          <w:color w:val="000000" w:themeColor="text1"/>
        </w:rPr>
        <w:t>(IMPs) was</w:t>
      </w:r>
      <w:r w:rsidRPr="00D03839">
        <w:rPr>
          <w:color w:val="000000" w:themeColor="text1"/>
        </w:rPr>
        <w:t xml:space="preserve"> similar to the </w:t>
      </w:r>
      <w:r>
        <w:rPr>
          <w:color w:val="000000" w:themeColor="text1"/>
        </w:rPr>
        <w:t>previous</w:t>
      </w:r>
      <w:r w:rsidRPr="00D03839">
        <w:rPr>
          <w:color w:val="000000" w:themeColor="text1"/>
        </w:rPr>
        <w:t xml:space="preserve"> </w:t>
      </w:r>
      <w:r w:rsidRPr="11B0FB5E">
        <w:rPr>
          <w:color w:val="000000" w:themeColor="text1"/>
        </w:rPr>
        <w:t xml:space="preserve">year. </w:t>
      </w:r>
      <w:r w:rsidRPr="00D03839">
        <w:rPr>
          <w:color w:val="000000" w:themeColor="text1"/>
        </w:rPr>
        <w:t>Further</w:t>
      </w:r>
      <w:r>
        <w:rPr>
          <w:color w:val="000000" w:themeColor="text1"/>
        </w:rPr>
        <w:t>more</w:t>
      </w:r>
      <w:r w:rsidRPr="00D03839">
        <w:rPr>
          <w:color w:val="000000" w:themeColor="text1"/>
        </w:rPr>
        <w:t xml:space="preserve">, as with the </w:t>
      </w:r>
      <w:r>
        <w:rPr>
          <w:color w:val="000000" w:themeColor="text1"/>
        </w:rPr>
        <w:t>previous</w:t>
      </w:r>
      <w:r w:rsidRPr="00D03839">
        <w:rPr>
          <w:color w:val="000000" w:themeColor="text1"/>
        </w:rPr>
        <w:t xml:space="preserve"> year</w:t>
      </w:r>
      <w:r>
        <w:rPr>
          <w:color w:val="000000" w:themeColor="text1"/>
        </w:rPr>
        <w:t>’s</w:t>
      </w:r>
      <w:r w:rsidRPr="00D03839">
        <w:rPr>
          <w:color w:val="000000" w:themeColor="text1"/>
        </w:rPr>
        <w:t xml:space="preserve"> reporting, over </w:t>
      </w:r>
      <w:r>
        <w:rPr>
          <w:color w:val="000000" w:themeColor="text1"/>
        </w:rPr>
        <w:t>one-</w:t>
      </w:r>
      <w:r w:rsidRPr="00D03839">
        <w:rPr>
          <w:color w:val="000000" w:themeColor="text1"/>
        </w:rPr>
        <w:t xml:space="preserve">third of active applications within the current period resulted in an assisted death. </w:t>
      </w:r>
    </w:p>
    <w:p w14:paraId="3CD80D9E" w14:textId="77777777" w:rsidR="00702DB4" w:rsidRDefault="00702DB4" w:rsidP="00702DB4">
      <w:pPr>
        <w:rPr>
          <w:color w:val="000000" w:themeColor="text1"/>
        </w:rPr>
      </w:pPr>
    </w:p>
    <w:p w14:paraId="214DB384" w14:textId="478F4DE0" w:rsidR="00702DB4" w:rsidRDefault="00702DB4" w:rsidP="00702DB4">
      <w:r>
        <w:t>Notably, for those</w:t>
      </w:r>
      <w:r w:rsidRPr="00087882">
        <w:t xml:space="preserve"> found eligible for assisted dying following assessment, there was an average of 16</w:t>
      </w:r>
      <w:r>
        <w:t> </w:t>
      </w:r>
      <w:r w:rsidRPr="00087882">
        <w:t xml:space="preserve">days between initial formal application and eligibility approval. This is a decrease of </w:t>
      </w:r>
      <w:r>
        <w:t>two</w:t>
      </w:r>
      <w:r w:rsidRPr="00087882">
        <w:t xml:space="preserve"> days compared </w:t>
      </w:r>
      <w:r>
        <w:t>with</w:t>
      </w:r>
      <w:r w:rsidRPr="00087882">
        <w:t xml:space="preserve"> the last reporting period</w:t>
      </w:r>
      <w:r>
        <w:t xml:space="preserve"> and reflects the efforts made by the teams of medical practitioners and staff working to support applicants and their whānau through this process. </w:t>
      </w:r>
    </w:p>
    <w:p w14:paraId="5FAB5E4B" w14:textId="77777777" w:rsidR="00702DB4" w:rsidRPr="0099646C" w:rsidRDefault="00702DB4" w:rsidP="00702DB4"/>
    <w:p w14:paraId="3CEC87F9" w14:textId="4C4D4DDE" w:rsidR="00702DB4" w:rsidRDefault="00702DB4" w:rsidP="00702DB4">
      <w:r w:rsidRPr="00A259D6">
        <w:t xml:space="preserve">The number of complaints received about the </w:t>
      </w:r>
      <w:r>
        <w:t>S</w:t>
      </w:r>
      <w:r w:rsidRPr="00A259D6">
        <w:t xml:space="preserve">ervice remains low and comparable </w:t>
      </w:r>
      <w:r>
        <w:t>with</w:t>
      </w:r>
      <w:r w:rsidRPr="00A259D6">
        <w:t xml:space="preserve"> </w:t>
      </w:r>
      <w:r>
        <w:t xml:space="preserve">the number for </w:t>
      </w:r>
      <w:r w:rsidRPr="00A259D6">
        <w:t>the previous report.</w:t>
      </w:r>
      <w:r w:rsidRPr="00FE0A11">
        <w:t xml:space="preserve"> </w:t>
      </w:r>
      <w:r w:rsidRPr="009A5DCF">
        <w:t xml:space="preserve">During our regulatory </w:t>
      </w:r>
      <w:r>
        <w:t>activities</w:t>
      </w:r>
      <w:r w:rsidRPr="009A5DCF">
        <w:t xml:space="preserve">, </w:t>
      </w:r>
      <w:r>
        <w:t xml:space="preserve">including the </w:t>
      </w:r>
      <w:r>
        <w:lastRenderedPageBreak/>
        <w:t xml:space="preserve">review of each application to ensure compliance with the Act, </w:t>
      </w:r>
      <w:r w:rsidRPr="009A5DCF">
        <w:t>we identified a small number of potential breaches</w:t>
      </w:r>
      <w:r>
        <w:t xml:space="preserve">. These are related </w:t>
      </w:r>
      <w:r w:rsidRPr="009A5DCF">
        <w:t>to the process</w:t>
      </w:r>
      <w:r>
        <w:t xml:space="preserve"> rather than</w:t>
      </w:r>
      <w:r w:rsidRPr="009A5DCF">
        <w:t xml:space="preserve"> eligibility.</w:t>
      </w:r>
      <w:r>
        <w:t xml:space="preserve"> </w:t>
      </w:r>
    </w:p>
    <w:p w14:paraId="4CB129B2" w14:textId="77777777" w:rsidR="00702DB4" w:rsidRDefault="00702DB4" w:rsidP="00702DB4"/>
    <w:p w14:paraId="59293E10" w14:textId="439968A8" w:rsidR="00702DB4" w:rsidRDefault="00702DB4" w:rsidP="00702DB4">
      <w:r>
        <w:t>We receive feedback from applicants who seek assisted dying, their wh</w:t>
      </w:r>
      <w:r w:rsidRPr="7158F4D8">
        <w:rPr>
          <w:rFonts w:ascii="Calibri" w:eastAsia="Calibri" w:hAnsi="Calibri" w:cs="Calibri"/>
          <w:color w:val="202124"/>
        </w:rPr>
        <w:t>ā</w:t>
      </w:r>
      <w:r>
        <w:t xml:space="preserve">nau and supports, and the practitioners providing assisted dying services. This feedback is essential in helping ensure we understand how assisted dying services are working in New Zealand. Thank you to everyone who took the time to provide us with feedback. </w:t>
      </w:r>
    </w:p>
    <w:p w14:paraId="6F50CA72" w14:textId="77777777" w:rsidR="00702DB4" w:rsidRDefault="00702DB4" w:rsidP="00702DB4"/>
    <w:p w14:paraId="1E3EC727" w14:textId="77777777" w:rsidR="00702DB4" w:rsidRPr="0037703D" w:rsidRDefault="00702DB4" w:rsidP="00702DB4">
      <w:pPr>
        <w:pStyle w:val="paragraph"/>
        <w:spacing w:before="0" w:beforeAutospacing="0" w:after="0" w:afterAutospacing="0"/>
        <w:textAlignment w:val="baseline"/>
        <w:rPr>
          <w:rFonts w:asciiTheme="minorHAnsi" w:hAnsiTheme="minorHAnsi" w:cstheme="minorHAnsi"/>
          <w:color w:val="7030A0"/>
          <w:sz w:val="22"/>
          <w:szCs w:val="22"/>
        </w:rPr>
      </w:pPr>
      <w:r w:rsidRPr="0037703D">
        <w:rPr>
          <w:rStyle w:val="normaltextrun"/>
          <w:rFonts w:asciiTheme="minorHAnsi" w:hAnsiTheme="minorHAnsi" w:cstheme="minorHAnsi"/>
          <w:sz w:val="22"/>
          <w:szCs w:val="22"/>
        </w:rPr>
        <w:t xml:space="preserve">Medical practitioners are pivotal to the delivery of safe assisted dying services. Their role in assessing eligibility in strict compliance with the Act and supporting people to access palliative care and other supports at a vulnerable time in their lives is key. I extend my thanks to them for their dedication and compassion to those who chose this option at the end of their lives. I would also like to thank other health practitioners, pharmacies, the </w:t>
      </w:r>
      <w:r>
        <w:rPr>
          <w:rStyle w:val="normaltextrun"/>
          <w:rFonts w:asciiTheme="minorHAnsi" w:hAnsiTheme="minorHAnsi" w:cstheme="minorHAnsi"/>
          <w:sz w:val="22"/>
          <w:szCs w:val="22"/>
        </w:rPr>
        <w:t>Assisted Dying S</w:t>
      </w:r>
      <w:r w:rsidRPr="0037703D">
        <w:rPr>
          <w:rStyle w:val="normaltextrun"/>
          <w:rFonts w:asciiTheme="minorHAnsi" w:hAnsiTheme="minorHAnsi" w:cstheme="minorHAnsi"/>
          <w:sz w:val="22"/>
          <w:szCs w:val="22"/>
        </w:rPr>
        <w:t xml:space="preserve">ecretariat, the </w:t>
      </w:r>
      <w:r>
        <w:rPr>
          <w:rStyle w:val="normaltextrun"/>
          <w:rFonts w:asciiTheme="minorHAnsi" w:hAnsiTheme="minorHAnsi" w:cstheme="minorHAnsi"/>
          <w:sz w:val="22"/>
          <w:szCs w:val="22"/>
        </w:rPr>
        <w:t xml:space="preserve">principal </w:t>
      </w:r>
      <w:r w:rsidRPr="0037703D">
        <w:rPr>
          <w:rStyle w:val="normaltextrun"/>
          <w:rFonts w:asciiTheme="minorHAnsi" w:hAnsiTheme="minorHAnsi" w:cstheme="minorHAnsi"/>
          <w:sz w:val="22"/>
          <w:szCs w:val="22"/>
        </w:rPr>
        <w:t>clinical advisors at</w:t>
      </w:r>
      <w:r>
        <w:rPr>
          <w:rStyle w:val="normaltextrun"/>
          <w:rFonts w:asciiTheme="minorHAnsi" w:hAnsiTheme="minorHAnsi" w:cstheme="minorHAnsi"/>
          <w:sz w:val="22"/>
          <w:szCs w:val="22"/>
        </w:rPr>
        <w:t xml:space="preserve"> Health New Zealand</w:t>
      </w:r>
      <w:r w:rsidRPr="0037703D">
        <w:rPr>
          <w:rStyle w:val="normaltextrun"/>
          <w:rFonts w:asciiTheme="minorHAnsi" w:hAnsiTheme="minorHAnsi" w:cstheme="minorHAnsi"/>
          <w:sz w:val="22"/>
          <w:szCs w:val="22"/>
        </w:rPr>
        <w:t>, wh</w:t>
      </w:r>
      <w:r w:rsidRPr="0037703D">
        <w:rPr>
          <w:rFonts w:asciiTheme="minorHAnsi" w:eastAsia="Calibri" w:hAnsiTheme="minorHAnsi" w:cstheme="minorHAnsi"/>
          <w:color w:val="202124"/>
          <w:sz w:val="22"/>
          <w:szCs w:val="22"/>
        </w:rPr>
        <w:t>ā</w:t>
      </w:r>
      <w:r w:rsidRPr="0037703D">
        <w:rPr>
          <w:rStyle w:val="normaltextrun"/>
          <w:rFonts w:asciiTheme="minorHAnsi" w:hAnsiTheme="minorHAnsi" w:cstheme="minorHAnsi"/>
          <w:sz w:val="22"/>
          <w:szCs w:val="22"/>
        </w:rPr>
        <w:t>nau, and those supporting and caring for people at this time.  </w:t>
      </w:r>
    </w:p>
    <w:p w14:paraId="696AE6C0" w14:textId="77777777" w:rsidR="00702DB4" w:rsidRPr="0037703D" w:rsidRDefault="00702DB4" w:rsidP="00702DB4">
      <w:pPr>
        <w:pStyle w:val="paragraph"/>
        <w:spacing w:before="0" w:beforeAutospacing="0" w:after="0" w:afterAutospacing="0"/>
        <w:textAlignment w:val="baseline"/>
        <w:rPr>
          <w:sz w:val="22"/>
          <w:szCs w:val="22"/>
        </w:rPr>
      </w:pPr>
    </w:p>
    <w:p w14:paraId="45234DCF" w14:textId="09737A51" w:rsidR="00702DB4" w:rsidRDefault="00702DB4" w:rsidP="00702DB4">
      <w:r w:rsidRPr="000A0BCA">
        <w:t xml:space="preserve">Engagement with international jurisdictions is a key part of my role. I meet regularly with the </w:t>
      </w:r>
      <w:r>
        <w:t>c</w:t>
      </w:r>
      <w:r w:rsidRPr="000A0BCA">
        <w:t>hairs of the Australian review boards</w:t>
      </w:r>
      <w:r>
        <w:t>,</w:t>
      </w:r>
      <w:r w:rsidRPr="000A0BCA">
        <w:t xml:space="preserve"> with the objective of sharing insights and improving the quality and safety of </w:t>
      </w:r>
      <w:r>
        <w:t>assisted dying</w:t>
      </w:r>
      <w:r w:rsidRPr="000A0BCA">
        <w:t xml:space="preserve"> service</w:t>
      </w:r>
      <w:r>
        <w:t>s in New Zealand</w:t>
      </w:r>
      <w:r w:rsidRPr="000A0BCA">
        <w:t xml:space="preserve">. I am also a member of the European Partnership of Supervisory Organisations Assisted Dying working group. The purpose of my involvement with this group is to understand how various countries have enacted and implemented assisted dying and to explore the role of the regulator. </w:t>
      </w:r>
    </w:p>
    <w:p w14:paraId="2E28357E" w14:textId="77777777" w:rsidR="00702DB4" w:rsidRPr="000A0BCA" w:rsidRDefault="00702DB4" w:rsidP="00702DB4"/>
    <w:p w14:paraId="766CD3EA" w14:textId="5798E1DD" w:rsidR="00702DB4" w:rsidRDefault="00702DB4" w:rsidP="00702DB4">
      <w:r w:rsidRPr="000A0BCA">
        <w:t>In late 2023, I presented to the Irish Joint Committee on Assisted Dying</w:t>
      </w:r>
      <w:r>
        <w:t>,</w:t>
      </w:r>
      <w:r w:rsidRPr="000A0BCA">
        <w:t xml:space="preserve"> focusing on the New Zealand legislation, our implementation experience and the safeguards in the Act. The number of countries offering assisted dying continues to grow</w:t>
      </w:r>
      <w:r>
        <w:t>,</w:t>
      </w:r>
      <w:r w:rsidRPr="000A0BCA">
        <w:t xml:space="preserve"> and with </w:t>
      </w:r>
      <w:r>
        <w:t>this growth comes</w:t>
      </w:r>
      <w:r w:rsidRPr="000A0BCA">
        <w:t xml:space="preserve"> the opportunity for us to engage further internationally, to share our experience</w:t>
      </w:r>
      <w:r>
        <w:t>s</w:t>
      </w:r>
      <w:r w:rsidRPr="000A0BCA">
        <w:t xml:space="preserve">, and to learn from the other regulatory systems around the world. </w:t>
      </w:r>
    </w:p>
    <w:p w14:paraId="1F1DB2E1" w14:textId="77777777" w:rsidR="00702DB4" w:rsidRPr="000A0BCA" w:rsidRDefault="00702DB4" w:rsidP="00702DB4"/>
    <w:p w14:paraId="480AB06B" w14:textId="5164222D" w:rsidR="00702DB4" w:rsidRDefault="00702DB4" w:rsidP="00702DB4">
      <w:proofErr w:type="spellStart"/>
      <w:r>
        <w:t>Ngā</w:t>
      </w:r>
      <w:proofErr w:type="spellEnd"/>
      <w:r>
        <w:t xml:space="preserve"> mihi </w:t>
      </w:r>
    </w:p>
    <w:p w14:paraId="097FFA48" w14:textId="0DB15F25" w:rsidR="00702DB4" w:rsidRDefault="00702DB4" w:rsidP="00702DB4"/>
    <w:p w14:paraId="689BD0C0" w14:textId="77777777" w:rsidR="00702DB4" w:rsidRDefault="00702DB4" w:rsidP="00702DB4"/>
    <w:p w14:paraId="5D1ECED0" w14:textId="77777777" w:rsidR="00702DB4" w:rsidRDefault="00702DB4" w:rsidP="00702DB4"/>
    <w:p w14:paraId="01F0E885" w14:textId="77777777" w:rsidR="00702DB4" w:rsidRDefault="00702DB4" w:rsidP="00702DB4">
      <w:r>
        <w:t>Dr Kristin Good</w:t>
      </w:r>
    </w:p>
    <w:p w14:paraId="1214D976" w14:textId="77777777" w:rsidR="00702DB4" w:rsidRPr="004803A3" w:rsidRDefault="00702DB4" w:rsidP="00702DB4">
      <w:pPr>
        <w:rPr>
          <w:b/>
          <w:bCs/>
        </w:rPr>
      </w:pPr>
      <w:r w:rsidRPr="004803A3">
        <w:rPr>
          <w:b/>
          <w:bCs/>
        </w:rPr>
        <w:t>Registrar (assisted dying)</w:t>
      </w:r>
    </w:p>
    <w:p w14:paraId="3C70FAF9" w14:textId="77777777" w:rsidR="00D662F8" w:rsidRDefault="00D662F8" w:rsidP="0046362D"/>
    <w:p w14:paraId="5558ECEF" w14:textId="77777777" w:rsidR="00571223" w:rsidRDefault="00571223" w:rsidP="0046362D">
      <w:pPr>
        <w:sectPr w:rsidR="00571223" w:rsidSect="001D3E4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648D4F84" w14:textId="77777777" w:rsidR="00C86248" w:rsidRDefault="00C86248" w:rsidP="00025A6F">
      <w:pPr>
        <w:pStyle w:val="IntroHead"/>
      </w:pPr>
      <w:r>
        <w:lastRenderedPageBreak/>
        <w:t>Contents</w:t>
      </w:r>
      <w:bookmarkEnd w:id="1"/>
      <w:bookmarkEnd w:id="2"/>
    </w:p>
    <w:p w14:paraId="084C56BE" w14:textId="59672A7F" w:rsidR="003B522D" w:rsidRDefault="003B522D">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70220973" w:history="1">
        <w:r w:rsidRPr="000C2406">
          <w:rPr>
            <w:rStyle w:val="Hyperlink"/>
            <w:noProof/>
          </w:rPr>
          <w:t>Foreword</w:t>
        </w:r>
        <w:r>
          <w:rPr>
            <w:noProof/>
            <w:webHidden/>
          </w:rPr>
          <w:tab/>
        </w:r>
        <w:r>
          <w:rPr>
            <w:noProof/>
            <w:webHidden/>
          </w:rPr>
          <w:fldChar w:fldCharType="begin"/>
        </w:r>
        <w:r>
          <w:rPr>
            <w:noProof/>
            <w:webHidden/>
          </w:rPr>
          <w:instrText xml:space="preserve"> PAGEREF _Toc170220973 \h </w:instrText>
        </w:r>
        <w:r>
          <w:rPr>
            <w:noProof/>
            <w:webHidden/>
          </w:rPr>
        </w:r>
        <w:r>
          <w:rPr>
            <w:noProof/>
            <w:webHidden/>
          </w:rPr>
          <w:fldChar w:fldCharType="separate"/>
        </w:r>
        <w:r>
          <w:rPr>
            <w:noProof/>
            <w:webHidden/>
          </w:rPr>
          <w:t>iii</w:t>
        </w:r>
        <w:r>
          <w:rPr>
            <w:noProof/>
            <w:webHidden/>
          </w:rPr>
          <w:fldChar w:fldCharType="end"/>
        </w:r>
      </w:hyperlink>
    </w:p>
    <w:p w14:paraId="73A862DB" w14:textId="442E3567" w:rsidR="003B522D" w:rsidRDefault="003B522D">
      <w:pPr>
        <w:pStyle w:val="TOC1"/>
        <w:rPr>
          <w:rFonts w:asciiTheme="minorHAnsi" w:eastAsiaTheme="minorEastAsia" w:hAnsiTheme="minorHAnsi" w:cstheme="minorBidi"/>
          <w:noProof/>
          <w:sz w:val="22"/>
          <w:szCs w:val="22"/>
          <w:lang w:eastAsia="en-NZ"/>
        </w:rPr>
      </w:pPr>
      <w:hyperlink w:anchor="_Toc170220974" w:history="1">
        <w:r w:rsidRPr="000C2406">
          <w:rPr>
            <w:rStyle w:val="Hyperlink"/>
            <w:noProof/>
          </w:rPr>
          <w:t>Introduction</w:t>
        </w:r>
        <w:r>
          <w:rPr>
            <w:noProof/>
            <w:webHidden/>
          </w:rPr>
          <w:tab/>
        </w:r>
        <w:r>
          <w:rPr>
            <w:noProof/>
            <w:webHidden/>
          </w:rPr>
          <w:fldChar w:fldCharType="begin"/>
        </w:r>
        <w:r>
          <w:rPr>
            <w:noProof/>
            <w:webHidden/>
          </w:rPr>
          <w:instrText xml:space="preserve"> PAGEREF _Toc170220974 \h </w:instrText>
        </w:r>
        <w:r>
          <w:rPr>
            <w:noProof/>
            <w:webHidden/>
          </w:rPr>
        </w:r>
        <w:r>
          <w:rPr>
            <w:noProof/>
            <w:webHidden/>
          </w:rPr>
          <w:fldChar w:fldCharType="separate"/>
        </w:r>
        <w:r>
          <w:rPr>
            <w:noProof/>
            <w:webHidden/>
          </w:rPr>
          <w:t>1</w:t>
        </w:r>
        <w:r>
          <w:rPr>
            <w:noProof/>
            <w:webHidden/>
          </w:rPr>
          <w:fldChar w:fldCharType="end"/>
        </w:r>
      </w:hyperlink>
    </w:p>
    <w:p w14:paraId="1DE54F5E" w14:textId="02E023D3" w:rsidR="003B522D" w:rsidRDefault="003B522D">
      <w:pPr>
        <w:pStyle w:val="TOC2"/>
        <w:rPr>
          <w:rFonts w:asciiTheme="minorHAnsi" w:eastAsiaTheme="minorEastAsia" w:hAnsiTheme="minorHAnsi" w:cstheme="minorBidi"/>
          <w:noProof/>
          <w:szCs w:val="22"/>
          <w:lang w:eastAsia="en-NZ"/>
        </w:rPr>
      </w:pPr>
      <w:hyperlink w:anchor="_Toc170220975" w:history="1">
        <w:r w:rsidRPr="000C2406">
          <w:rPr>
            <w:rStyle w:val="Hyperlink"/>
            <w:noProof/>
          </w:rPr>
          <w:t>About this report</w:t>
        </w:r>
        <w:r>
          <w:rPr>
            <w:noProof/>
            <w:webHidden/>
          </w:rPr>
          <w:tab/>
        </w:r>
        <w:r>
          <w:rPr>
            <w:noProof/>
            <w:webHidden/>
          </w:rPr>
          <w:fldChar w:fldCharType="begin"/>
        </w:r>
        <w:r>
          <w:rPr>
            <w:noProof/>
            <w:webHidden/>
          </w:rPr>
          <w:instrText xml:space="preserve"> PAGEREF _Toc170220975 \h </w:instrText>
        </w:r>
        <w:r>
          <w:rPr>
            <w:noProof/>
            <w:webHidden/>
          </w:rPr>
        </w:r>
        <w:r>
          <w:rPr>
            <w:noProof/>
            <w:webHidden/>
          </w:rPr>
          <w:fldChar w:fldCharType="separate"/>
        </w:r>
        <w:r>
          <w:rPr>
            <w:noProof/>
            <w:webHidden/>
          </w:rPr>
          <w:t>1</w:t>
        </w:r>
        <w:r>
          <w:rPr>
            <w:noProof/>
            <w:webHidden/>
          </w:rPr>
          <w:fldChar w:fldCharType="end"/>
        </w:r>
      </w:hyperlink>
    </w:p>
    <w:p w14:paraId="01227A88" w14:textId="48F99A5C" w:rsidR="003B522D" w:rsidRDefault="003B522D">
      <w:pPr>
        <w:pStyle w:val="TOC2"/>
        <w:rPr>
          <w:rFonts w:asciiTheme="minorHAnsi" w:eastAsiaTheme="minorEastAsia" w:hAnsiTheme="minorHAnsi" w:cstheme="minorBidi"/>
          <w:noProof/>
          <w:szCs w:val="22"/>
          <w:lang w:eastAsia="en-NZ"/>
        </w:rPr>
      </w:pPr>
      <w:hyperlink w:anchor="_Toc170220976" w:history="1">
        <w:r w:rsidRPr="000C2406">
          <w:rPr>
            <w:rStyle w:val="Hyperlink"/>
            <w:noProof/>
          </w:rPr>
          <w:t>End of Life Choice Act 2019</w:t>
        </w:r>
        <w:r>
          <w:rPr>
            <w:noProof/>
            <w:webHidden/>
          </w:rPr>
          <w:tab/>
        </w:r>
        <w:r>
          <w:rPr>
            <w:noProof/>
            <w:webHidden/>
          </w:rPr>
          <w:fldChar w:fldCharType="begin"/>
        </w:r>
        <w:r>
          <w:rPr>
            <w:noProof/>
            <w:webHidden/>
          </w:rPr>
          <w:instrText xml:space="preserve"> PAGEREF _Toc170220976 \h </w:instrText>
        </w:r>
        <w:r>
          <w:rPr>
            <w:noProof/>
            <w:webHidden/>
          </w:rPr>
        </w:r>
        <w:r>
          <w:rPr>
            <w:noProof/>
            <w:webHidden/>
          </w:rPr>
          <w:fldChar w:fldCharType="separate"/>
        </w:r>
        <w:r>
          <w:rPr>
            <w:noProof/>
            <w:webHidden/>
          </w:rPr>
          <w:t>1</w:t>
        </w:r>
        <w:r>
          <w:rPr>
            <w:noProof/>
            <w:webHidden/>
          </w:rPr>
          <w:fldChar w:fldCharType="end"/>
        </w:r>
      </w:hyperlink>
    </w:p>
    <w:p w14:paraId="22C35B6C" w14:textId="4709C490" w:rsidR="003B522D" w:rsidRDefault="003B522D">
      <w:pPr>
        <w:pStyle w:val="TOC1"/>
        <w:rPr>
          <w:rFonts w:asciiTheme="minorHAnsi" w:eastAsiaTheme="minorEastAsia" w:hAnsiTheme="minorHAnsi" w:cstheme="minorBidi"/>
          <w:noProof/>
          <w:sz w:val="22"/>
          <w:szCs w:val="22"/>
          <w:lang w:eastAsia="en-NZ"/>
        </w:rPr>
      </w:pPr>
      <w:hyperlink w:anchor="_Toc170220977" w:history="1">
        <w:r w:rsidRPr="000C2406">
          <w:rPr>
            <w:rStyle w:val="Hyperlink"/>
            <w:noProof/>
          </w:rPr>
          <w:t>Roles and groups</w:t>
        </w:r>
        <w:r>
          <w:rPr>
            <w:noProof/>
            <w:webHidden/>
          </w:rPr>
          <w:tab/>
        </w:r>
        <w:r>
          <w:rPr>
            <w:noProof/>
            <w:webHidden/>
          </w:rPr>
          <w:fldChar w:fldCharType="begin"/>
        </w:r>
        <w:r>
          <w:rPr>
            <w:noProof/>
            <w:webHidden/>
          </w:rPr>
          <w:instrText xml:space="preserve"> PAGEREF _Toc170220977 \h </w:instrText>
        </w:r>
        <w:r>
          <w:rPr>
            <w:noProof/>
            <w:webHidden/>
          </w:rPr>
        </w:r>
        <w:r>
          <w:rPr>
            <w:noProof/>
            <w:webHidden/>
          </w:rPr>
          <w:fldChar w:fldCharType="separate"/>
        </w:r>
        <w:r>
          <w:rPr>
            <w:noProof/>
            <w:webHidden/>
          </w:rPr>
          <w:t>3</w:t>
        </w:r>
        <w:r>
          <w:rPr>
            <w:noProof/>
            <w:webHidden/>
          </w:rPr>
          <w:fldChar w:fldCharType="end"/>
        </w:r>
      </w:hyperlink>
    </w:p>
    <w:p w14:paraId="3B96F190" w14:textId="5C0F8ED8" w:rsidR="003B522D" w:rsidRDefault="003B522D">
      <w:pPr>
        <w:pStyle w:val="TOC2"/>
        <w:rPr>
          <w:rFonts w:asciiTheme="minorHAnsi" w:eastAsiaTheme="minorEastAsia" w:hAnsiTheme="minorHAnsi" w:cstheme="minorBidi"/>
          <w:noProof/>
          <w:szCs w:val="22"/>
          <w:lang w:eastAsia="en-NZ"/>
        </w:rPr>
      </w:pPr>
      <w:hyperlink w:anchor="_Toc170220978" w:history="1">
        <w:r w:rsidRPr="000C2406">
          <w:rPr>
            <w:rStyle w:val="Hyperlink"/>
            <w:noProof/>
          </w:rPr>
          <w:t>Registrar (assisted dying)</w:t>
        </w:r>
        <w:r>
          <w:rPr>
            <w:noProof/>
            <w:webHidden/>
          </w:rPr>
          <w:tab/>
        </w:r>
        <w:r>
          <w:rPr>
            <w:noProof/>
            <w:webHidden/>
          </w:rPr>
          <w:fldChar w:fldCharType="begin"/>
        </w:r>
        <w:r>
          <w:rPr>
            <w:noProof/>
            <w:webHidden/>
          </w:rPr>
          <w:instrText xml:space="preserve"> PAGEREF _Toc170220978 \h </w:instrText>
        </w:r>
        <w:r>
          <w:rPr>
            <w:noProof/>
            <w:webHidden/>
          </w:rPr>
        </w:r>
        <w:r>
          <w:rPr>
            <w:noProof/>
            <w:webHidden/>
          </w:rPr>
          <w:fldChar w:fldCharType="separate"/>
        </w:r>
        <w:r>
          <w:rPr>
            <w:noProof/>
            <w:webHidden/>
          </w:rPr>
          <w:t>3</w:t>
        </w:r>
        <w:r>
          <w:rPr>
            <w:noProof/>
            <w:webHidden/>
          </w:rPr>
          <w:fldChar w:fldCharType="end"/>
        </w:r>
      </w:hyperlink>
    </w:p>
    <w:p w14:paraId="28BDF08D" w14:textId="3CEE7696" w:rsidR="003B522D" w:rsidRDefault="003B522D">
      <w:pPr>
        <w:pStyle w:val="TOC2"/>
        <w:rPr>
          <w:rFonts w:asciiTheme="minorHAnsi" w:eastAsiaTheme="minorEastAsia" w:hAnsiTheme="minorHAnsi" w:cstheme="minorBidi"/>
          <w:noProof/>
          <w:szCs w:val="22"/>
          <w:lang w:eastAsia="en-NZ"/>
        </w:rPr>
      </w:pPr>
      <w:hyperlink w:anchor="_Toc170220979" w:history="1">
        <w:r w:rsidRPr="000C2406">
          <w:rPr>
            <w:rStyle w:val="Hyperlink"/>
            <w:noProof/>
          </w:rPr>
          <w:t>The Support and Consultation for End of Life in New Zealand Group</w:t>
        </w:r>
        <w:r>
          <w:rPr>
            <w:noProof/>
            <w:webHidden/>
          </w:rPr>
          <w:tab/>
        </w:r>
        <w:r>
          <w:rPr>
            <w:noProof/>
            <w:webHidden/>
          </w:rPr>
          <w:fldChar w:fldCharType="begin"/>
        </w:r>
        <w:r>
          <w:rPr>
            <w:noProof/>
            <w:webHidden/>
          </w:rPr>
          <w:instrText xml:space="preserve"> PAGEREF _Toc170220979 \h </w:instrText>
        </w:r>
        <w:r>
          <w:rPr>
            <w:noProof/>
            <w:webHidden/>
          </w:rPr>
        </w:r>
        <w:r>
          <w:rPr>
            <w:noProof/>
            <w:webHidden/>
          </w:rPr>
          <w:fldChar w:fldCharType="separate"/>
        </w:r>
        <w:r>
          <w:rPr>
            <w:noProof/>
            <w:webHidden/>
          </w:rPr>
          <w:t>3</w:t>
        </w:r>
        <w:r>
          <w:rPr>
            <w:noProof/>
            <w:webHidden/>
          </w:rPr>
          <w:fldChar w:fldCharType="end"/>
        </w:r>
      </w:hyperlink>
    </w:p>
    <w:p w14:paraId="19C21B1B" w14:textId="503062EC" w:rsidR="003B522D" w:rsidRDefault="003B522D">
      <w:pPr>
        <w:pStyle w:val="TOC2"/>
        <w:rPr>
          <w:rFonts w:asciiTheme="minorHAnsi" w:eastAsiaTheme="minorEastAsia" w:hAnsiTheme="minorHAnsi" w:cstheme="minorBidi"/>
          <w:noProof/>
          <w:szCs w:val="22"/>
          <w:lang w:eastAsia="en-NZ"/>
        </w:rPr>
      </w:pPr>
      <w:hyperlink w:anchor="_Toc170220980" w:history="1">
        <w:r w:rsidRPr="000C2406">
          <w:rPr>
            <w:rStyle w:val="Hyperlink"/>
            <w:noProof/>
          </w:rPr>
          <w:t>End of Life Review Committee</w:t>
        </w:r>
        <w:r>
          <w:rPr>
            <w:noProof/>
            <w:webHidden/>
          </w:rPr>
          <w:tab/>
        </w:r>
        <w:r>
          <w:rPr>
            <w:noProof/>
            <w:webHidden/>
          </w:rPr>
          <w:fldChar w:fldCharType="begin"/>
        </w:r>
        <w:r>
          <w:rPr>
            <w:noProof/>
            <w:webHidden/>
          </w:rPr>
          <w:instrText xml:space="preserve"> PAGEREF _Toc170220980 \h </w:instrText>
        </w:r>
        <w:r>
          <w:rPr>
            <w:noProof/>
            <w:webHidden/>
          </w:rPr>
        </w:r>
        <w:r>
          <w:rPr>
            <w:noProof/>
            <w:webHidden/>
          </w:rPr>
          <w:fldChar w:fldCharType="separate"/>
        </w:r>
        <w:r>
          <w:rPr>
            <w:noProof/>
            <w:webHidden/>
          </w:rPr>
          <w:t>3</w:t>
        </w:r>
        <w:r>
          <w:rPr>
            <w:noProof/>
            <w:webHidden/>
          </w:rPr>
          <w:fldChar w:fldCharType="end"/>
        </w:r>
      </w:hyperlink>
    </w:p>
    <w:p w14:paraId="46969208" w14:textId="58931CE1" w:rsidR="003B522D" w:rsidRDefault="003B522D">
      <w:pPr>
        <w:pStyle w:val="TOC2"/>
        <w:rPr>
          <w:rFonts w:asciiTheme="minorHAnsi" w:eastAsiaTheme="minorEastAsia" w:hAnsiTheme="minorHAnsi" w:cstheme="minorBidi"/>
          <w:noProof/>
          <w:szCs w:val="22"/>
          <w:lang w:eastAsia="en-NZ"/>
        </w:rPr>
      </w:pPr>
      <w:hyperlink w:anchor="_Toc170220981" w:history="1">
        <w:r w:rsidRPr="000C2406">
          <w:rPr>
            <w:rStyle w:val="Hyperlink"/>
            <w:noProof/>
          </w:rPr>
          <w:t>Assisted Dying Secretariat</w:t>
        </w:r>
        <w:r>
          <w:rPr>
            <w:noProof/>
            <w:webHidden/>
          </w:rPr>
          <w:tab/>
        </w:r>
        <w:r>
          <w:rPr>
            <w:noProof/>
            <w:webHidden/>
          </w:rPr>
          <w:fldChar w:fldCharType="begin"/>
        </w:r>
        <w:r>
          <w:rPr>
            <w:noProof/>
            <w:webHidden/>
          </w:rPr>
          <w:instrText xml:space="preserve"> PAGEREF _Toc170220981 \h </w:instrText>
        </w:r>
        <w:r>
          <w:rPr>
            <w:noProof/>
            <w:webHidden/>
          </w:rPr>
        </w:r>
        <w:r>
          <w:rPr>
            <w:noProof/>
            <w:webHidden/>
          </w:rPr>
          <w:fldChar w:fldCharType="separate"/>
        </w:r>
        <w:r>
          <w:rPr>
            <w:noProof/>
            <w:webHidden/>
          </w:rPr>
          <w:t>4</w:t>
        </w:r>
        <w:r>
          <w:rPr>
            <w:noProof/>
            <w:webHidden/>
          </w:rPr>
          <w:fldChar w:fldCharType="end"/>
        </w:r>
      </w:hyperlink>
    </w:p>
    <w:p w14:paraId="196D11BA" w14:textId="0975A558" w:rsidR="003B522D" w:rsidRDefault="003B522D">
      <w:pPr>
        <w:pStyle w:val="TOC2"/>
        <w:rPr>
          <w:rFonts w:asciiTheme="minorHAnsi" w:eastAsiaTheme="minorEastAsia" w:hAnsiTheme="minorHAnsi" w:cstheme="minorBidi"/>
          <w:noProof/>
          <w:szCs w:val="22"/>
          <w:lang w:eastAsia="en-NZ"/>
        </w:rPr>
      </w:pPr>
      <w:hyperlink w:anchor="_Toc170220982" w:history="1">
        <w:r w:rsidRPr="000C2406">
          <w:rPr>
            <w:rStyle w:val="Hyperlink"/>
            <w:noProof/>
            <w:lang w:eastAsia="en-NZ"/>
          </w:rPr>
          <w:t>Office of the Registrar</w:t>
        </w:r>
        <w:r>
          <w:rPr>
            <w:noProof/>
            <w:webHidden/>
          </w:rPr>
          <w:tab/>
        </w:r>
        <w:r>
          <w:rPr>
            <w:noProof/>
            <w:webHidden/>
          </w:rPr>
          <w:fldChar w:fldCharType="begin"/>
        </w:r>
        <w:r>
          <w:rPr>
            <w:noProof/>
            <w:webHidden/>
          </w:rPr>
          <w:instrText xml:space="preserve"> PAGEREF _Toc170220982 \h </w:instrText>
        </w:r>
        <w:r>
          <w:rPr>
            <w:noProof/>
            <w:webHidden/>
          </w:rPr>
        </w:r>
        <w:r>
          <w:rPr>
            <w:noProof/>
            <w:webHidden/>
          </w:rPr>
          <w:fldChar w:fldCharType="separate"/>
        </w:r>
        <w:r>
          <w:rPr>
            <w:noProof/>
            <w:webHidden/>
          </w:rPr>
          <w:t>4</w:t>
        </w:r>
        <w:r>
          <w:rPr>
            <w:noProof/>
            <w:webHidden/>
          </w:rPr>
          <w:fldChar w:fldCharType="end"/>
        </w:r>
      </w:hyperlink>
    </w:p>
    <w:p w14:paraId="084DD7BA" w14:textId="6E956179" w:rsidR="003B522D" w:rsidRDefault="003B522D">
      <w:pPr>
        <w:pStyle w:val="TOC2"/>
        <w:rPr>
          <w:rFonts w:asciiTheme="minorHAnsi" w:eastAsiaTheme="minorEastAsia" w:hAnsiTheme="minorHAnsi" w:cstheme="minorBidi"/>
          <w:noProof/>
          <w:szCs w:val="22"/>
          <w:lang w:eastAsia="en-NZ"/>
        </w:rPr>
      </w:pPr>
      <w:hyperlink w:anchor="_Toc170220983" w:history="1">
        <w:r w:rsidRPr="000C2406">
          <w:rPr>
            <w:rStyle w:val="Hyperlink"/>
            <w:noProof/>
          </w:rPr>
          <w:t>Health New Zealand - Te Whatu Ora</w:t>
        </w:r>
        <w:r>
          <w:rPr>
            <w:noProof/>
            <w:webHidden/>
          </w:rPr>
          <w:tab/>
        </w:r>
        <w:r>
          <w:rPr>
            <w:noProof/>
            <w:webHidden/>
          </w:rPr>
          <w:fldChar w:fldCharType="begin"/>
        </w:r>
        <w:r>
          <w:rPr>
            <w:noProof/>
            <w:webHidden/>
          </w:rPr>
          <w:instrText xml:space="preserve"> PAGEREF _Toc170220983 \h </w:instrText>
        </w:r>
        <w:r>
          <w:rPr>
            <w:noProof/>
            <w:webHidden/>
          </w:rPr>
        </w:r>
        <w:r>
          <w:rPr>
            <w:noProof/>
            <w:webHidden/>
          </w:rPr>
          <w:fldChar w:fldCharType="separate"/>
        </w:r>
        <w:r>
          <w:rPr>
            <w:noProof/>
            <w:webHidden/>
          </w:rPr>
          <w:t>4</w:t>
        </w:r>
        <w:r>
          <w:rPr>
            <w:noProof/>
            <w:webHidden/>
          </w:rPr>
          <w:fldChar w:fldCharType="end"/>
        </w:r>
      </w:hyperlink>
    </w:p>
    <w:p w14:paraId="2D59B52A" w14:textId="079FABB6" w:rsidR="003B522D" w:rsidRDefault="003B522D">
      <w:pPr>
        <w:pStyle w:val="TOC1"/>
        <w:rPr>
          <w:rFonts w:asciiTheme="minorHAnsi" w:eastAsiaTheme="minorEastAsia" w:hAnsiTheme="minorHAnsi" w:cstheme="minorBidi"/>
          <w:noProof/>
          <w:sz w:val="22"/>
          <w:szCs w:val="22"/>
          <w:lang w:eastAsia="en-NZ"/>
        </w:rPr>
      </w:pPr>
      <w:hyperlink w:anchor="_Toc170220984" w:history="1">
        <w:r w:rsidRPr="000C2406">
          <w:rPr>
            <w:rStyle w:val="Hyperlink"/>
            <w:noProof/>
          </w:rPr>
          <w:t>Reporting and service activity</w:t>
        </w:r>
        <w:r>
          <w:rPr>
            <w:noProof/>
            <w:webHidden/>
          </w:rPr>
          <w:tab/>
        </w:r>
        <w:r>
          <w:rPr>
            <w:noProof/>
            <w:webHidden/>
          </w:rPr>
          <w:fldChar w:fldCharType="begin"/>
        </w:r>
        <w:r>
          <w:rPr>
            <w:noProof/>
            <w:webHidden/>
          </w:rPr>
          <w:instrText xml:space="preserve"> PAGEREF _Toc170220984 \h </w:instrText>
        </w:r>
        <w:r>
          <w:rPr>
            <w:noProof/>
            <w:webHidden/>
          </w:rPr>
        </w:r>
        <w:r>
          <w:rPr>
            <w:noProof/>
            <w:webHidden/>
          </w:rPr>
          <w:fldChar w:fldCharType="separate"/>
        </w:r>
        <w:r>
          <w:rPr>
            <w:noProof/>
            <w:webHidden/>
          </w:rPr>
          <w:t>5</w:t>
        </w:r>
        <w:r>
          <w:rPr>
            <w:noProof/>
            <w:webHidden/>
          </w:rPr>
          <w:fldChar w:fldCharType="end"/>
        </w:r>
      </w:hyperlink>
    </w:p>
    <w:p w14:paraId="6587E7BE" w14:textId="7D93702A" w:rsidR="003B522D" w:rsidRDefault="003B522D">
      <w:pPr>
        <w:pStyle w:val="TOC1"/>
        <w:rPr>
          <w:rFonts w:asciiTheme="minorHAnsi" w:eastAsiaTheme="minorEastAsia" w:hAnsiTheme="minorHAnsi" w:cstheme="minorBidi"/>
          <w:noProof/>
          <w:sz w:val="22"/>
          <w:szCs w:val="22"/>
          <w:lang w:eastAsia="en-NZ"/>
        </w:rPr>
      </w:pPr>
      <w:hyperlink w:anchor="_Toc170220985" w:history="1">
        <w:r w:rsidRPr="000C2406">
          <w:rPr>
            <w:rStyle w:val="Hyperlink"/>
            <w:noProof/>
          </w:rPr>
          <w:t>Overview of assisted dying applications</w:t>
        </w:r>
        <w:r>
          <w:rPr>
            <w:noProof/>
            <w:webHidden/>
          </w:rPr>
          <w:tab/>
        </w:r>
        <w:r>
          <w:rPr>
            <w:noProof/>
            <w:webHidden/>
          </w:rPr>
          <w:fldChar w:fldCharType="begin"/>
        </w:r>
        <w:r>
          <w:rPr>
            <w:noProof/>
            <w:webHidden/>
          </w:rPr>
          <w:instrText xml:space="preserve"> PAGEREF _Toc170220985 \h </w:instrText>
        </w:r>
        <w:r>
          <w:rPr>
            <w:noProof/>
            <w:webHidden/>
          </w:rPr>
        </w:r>
        <w:r>
          <w:rPr>
            <w:noProof/>
            <w:webHidden/>
          </w:rPr>
          <w:fldChar w:fldCharType="separate"/>
        </w:r>
        <w:r>
          <w:rPr>
            <w:noProof/>
            <w:webHidden/>
          </w:rPr>
          <w:t>6</w:t>
        </w:r>
        <w:r>
          <w:rPr>
            <w:noProof/>
            <w:webHidden/>
          </w:rPr>
          <w:fldChar w:fldCharType="end"/>
        </w:r>
      </w:hyperlink>
    </w:p>
    <w:p w14:paraId="29D25BE9" w14:textId="2E2A711C" w:rsidR="003B522D" w:rsidRDefault="003B522D">
      <w:pPr>
        <w:pStyle w:val="TOC2"/>
        <w:rPr>
          <w:rFonts w:asciiTheme="minorHAnsi" w:eastAsiaTheme="minorEastAsia" w:hAnsiTheme="minorHAnsi" w:cstheme="minorBidi"/>
          <w:noProof/>
          <w:szCs w:val="22"/>
          <w:lang w:eastAsia="en-NZ"/>
        </w:rPr>
      </w:pPr>
      <w:hyperlink w:anchor="_Toc170220986" w:history="1">
        <w:r w:rsidRPr="000C2406">
          <w:rPr>
            <w:rStyle w:val="Hyperlink"/>
            <w:noProof/>
          </w:rPr>
          <w:t>Demographics of applicants</w:t>
        </w:r>
        <w:r>
          <w:rPr>
            <w:noProof/>
            <w:webHidden/>
          </w:rPr>
          <w:tab/>
        </w:r>
        <w:r>
          <w:rPr>
            <w:noProof/>
            <w:webHidden/>
          </w:rPr>
          <w:fldChar w:fldCharType="begin"/>
        </w:r>
        <w:r>
          <w:rPr>
            <w:noProof/>
            <w:webHidden/>
          </w:rPr>
          <w:instrText xml:space="preserve"> PAGEREF _Toc170220986 \h </w:instrText>
        </w:r>
        <w:r>
          <w:rPr>
            <w:noProof/>
            <w:webHidden/>
          </w:rPr>
        </w:r>
        <w:r>
          <w:rPr>
            <w:noProof/>
            <w:webHidden/>
          </w:rPr>
          <w:fldChar w:fldCharType="separate"/>
        </w:r>
        <w:r>
          <w:rPr>
            <w:noProof/>
            <w:webHidden/>
          </w:rPr>
          <w:t>7</w:t>
        </w:r>
        <w:r>
          <w:rPr>
            <w:noProof/>
            <w:webHidden/>
          </w:rPr>
          <w:fldChar w:fldCharType="end"/>
        </w:r>
      </w:hyperlink>
    </w:p>
    <w:p w14:paraId="061CC51A" w14:textId="67B8A3C8" w:rsidR="003B522D" w:rsidRDefault="003B522D">
      <w:pPr>
        <w:pStyle w:val="TOC1"/>
        <w:rPr>
          <w:rFonts w:asciiTheme="minorHAnsi" w:eastAsiaTheme="minorEastAsia" w:hAnsiTheme="minorHAnsi" w:cstheme="minorBidi"/>
          <w:noProof/>
          <w:sz w:val="22"/>
          <w:szCs w:val="22"/>
          <w:lang w:eastAsia="en-NZ"/>
        </w:rPr>
      </w:pPr>
      <w:hyperlink w:anchor="_Toc170220987" w:history="1">
        <w:r w:rsidRPr="000C2406">
          <w:rPr>
            <w:rStyle w:val="Hyperlink"/>
            <w:noProof/>
          </w:rPr>
          <w:t>Assisted deaths</w:t>
        </w:r>
        <w:r>
          <w:rPr>
            <w:noProof/>
            <w:webHidden/>
          </w:rPr>
          <w:tab/>
        </w:r>
        <w:r>
          <w:rPr>
            <w:noProof/>
            <w:webHidden/>
          </w:rPr>
          <w:fldChar w:fldCharType="begin"/>
        </w:r>
        <w:r>
          <w:rPr>
            <w:noProof/>
            <w:webHidden/>
          </w:rPr>
          <w:instrText xml:space="preserve"> PAGEREF _Toc170220987 \h </w:instrText>
        </w:r>
        <w:r>
          <w:rPr>
            <w:noProof/>
            <w:webHidden/>
          </w:rPr>
        </w:r>
        <w:r>
          <w:rPr>
            <w:noProof/>
            <w:webHidden/>
          </w:rPr>
          <w:fldChar w:fldCharType="separate"/>
        </w:r>
        <w:r>
          <w:rPr>
            <w:noProof/>
            <w:webHidden/>
          </w:rPr>
          <w:t>9</w:t>
        </w:r>
        <w:r>
          <w:rPr>
            <w:noProof/>
            <w:webHidden/>
          </w:rPr>
          <w:fldChar w:fldCharType="end"/>
        </w:r>
      </w:hyperlink>
    </w:p>
    <w:p w14:paraId="18C2268D" w14:textId="65DC2E5E" w:rsidR="003B522D" w:rsidRDefault="003B522D">
      <w:pPr>
        <w:pStyle w:val="TOC2"/>
        <w:rPr>
          <w:rFonts w:asciiTheme="minorHAnsi" w:eastAsiaTheme="minorEastAsia" w:hAnsiTheme="minorHAnsi" w:cstheme="minorBidi"/>
          <w:noProof/>
          <w:szCs w:val="22"/>
          <w:lang w:eastAsia="en-NZ"/>
        </w:rPr>
      </w:pPr>
      <w:hyperlink w:anchor="_Toc170220988" w:history="1">
        <w:r w:rsidRPr="000C2406">
          <w:rPr>
            <w:rStyle w:val="Hyperlink"/>
            <w:noProof/>
            <w:lang w:eastAsia="en-NZ"/>
          </w:rPr>
          <w:t>Locations of assisted deaths</w:t>
        </w:r>
        <w:r>
          <w:rPr>
            <w:noProof/>
            <w:webHidden/>
          </w:rPr>
          <w:tab/>
        </w:r>
        <w:r>
          <w:rPr>
            <w:noProof/>
            <w:webHidden/>
          </w:rPr>
          <w:fldChar w:fldCharType="begin"/>
        </w:r>
        <w:r>
          <w:rPr>
            <w:noProof/>
            <w:webHidden/>
          </w:rPr>
          <w:instrText xml:space="preserve"> PAGEREF _Toc170220988 \h </w:instrText>
        </w:r>
        <w:r>
          <w:rPr>
            <w:noProof/>
            <w:webHidden/>
          </w:rPr>
        </w:r>
        <w:r>
          <w:rPr>
            <w:noProof/>
            <w:webHidden/>
          </w:rPr>
          <w:fldChar w:fldCharType="separate"/>
        </w:r>
        <w:r>
          <w:rPr>
            <w:noProof/>
            <w:webHidden/>
          </w:rPr>
          <w:t>9</w:t>
        </w:r>
        <w:r>
          <w:rPr>
            <w:noProof/>
            <w:webHidden/>
          </w:rPr>
          <w:fldChar w:fldCharType="end"/>
        </w:r>
      </w:hyperlink>
    </w:p>
    <w:p w14:paraId="6B4DBA39" w14:textId="54894551" w:rsidR="003B522D" w:rsidRDefault="003B522D">
      <w:pPr>
        <w:pStyle w:val="TOC2"/>
        <w:rPr>
          <w:rFonts w:asciiTheme="minorHAnsi" w:eastAsiaTheme="minorEastAsia" w:hAnsiTheme="minorHAnsi" w:cstheme="minorBidi"/>
          <w:noProof/>
          <w:szCs w:val="22"/>
          <w:lang w:eastAsia="en-NZ"/>
        </w:rPr>
      </w:pPr>
      <w:hyperlink w:anchor="_Toc170220989" w:history="1">
        <w:r w:rsidRPr="000C2406">
          <w:rPr>
            <w:rStyle w:val="Hyperlink"/>
            <w:noProof/>
          </w:rPr>
          <w:t>Method of administration</w:t>
        </w:r>
        <w:r>
          <w:rPr>
            <w:noProof/>
            <w:webHidden/>
          </w:rPr>
          <w:tab/>
        </w:r>
        <w:r>
          <w:rPr>
            <w:noProof/>
            <w:webHidden/>
          </w:rPr>
          <w:fldChar w:fldCharType="begin"/>
        </w:r>
        <w:r>
          <w:rPr>
            <w:noProof/>
            <w:webHidden/>
          </w:rPr>
          <w:instrText xml:space="preserve"> PAGEREF _Toc170220989 \h </w:instrText>
        </w:r>
        <w:r>
          <w:rPr>
            <w:noProof/>
            <w:webHidden/>
          </w:rPr>
        </w:r>
        <w:r>
          <w:rPr>
            <w:noProof/>
            <w:webHidden/>
          </w:rPr>
          <w:fldChar w:fldCharType="separate"/>
        </w:r>
        <w:r>
          <w:rPr>
            <w:noProof/>
            <w:webHidden/>
          </w:rPr>
          <w:t>10</w:t>
        </w:r>
        <w:r>
          <w:rPr>
            <w:noProof/>
            <w:webHidden/>
          </w:rPr>
          <w:fldChar w:fldCharType="end"/>
        </w:r>
      </w:hyperlink>
    </w:p>
    <w:p w14:paraId="1FEE1618" w14:textId="33B2C224" w:rsidR="003B522D" w:rsidRDefault="003B522D">
      <w:pPr>
        <w:pStyle w:val="TOC2"/>
        <w:rPr>
          <w:rFonts w:asciiTheme="minorHAnsi" w:eastAsiaTheme="minorEastAsia" w:hAnsiTheme="minorHAnsi" w:cstheme="minorBidi"/>
          <w:noProof/>
          <w:szCs w:val="22"/>
          <w:lang w:eastAsia="en-NZ"/>
        </w:rPr>
      </w:pPr>
      <w:hyperlink w:anchor="_Toc170220990" w:history="1">
        <w:r w:rsidRPr="000C2406">
          <w:rPr>
            <w:rStyle w:val="Hyperlink"/>
            <w:noProof/>
          </w:rPr>
          <w:t>Assessments completed during this period</w:t>
        </w:r>
        <w:r>
          <w:rPr>
            <w:noProof/>
            <w:webHidden/>
          </w:rPr>
          <w:tab/>
        </w:r>
        <w:r>
          <w:rPr>
            <w:noProof/>
            <w:webHidden/>
          </w:rPr>
          <w:fldChar w:fldCharType="begin"/>
        </w:r>
        <w:r>
          <w:rPr>
            <w:noProof/>
            <w:webHidden/>
          </w:rPr>
          <w:instrText xml:space="preserve"> PAGEREF _Toc170220990 \h </w:instrText>
        </w:r>
        <w:r>
          <w:rPr>
            <w:noProof/>
            <w:webHidden/>
          </w:rPr>
        </w:r>
        <w:r>
          <w:rPr>
            <w:noProof/>
            <w:webHidden/>
          </w:rPr>
          <w:fldChar w:fldCharType="separate"/>
        </w:r>
        <w:r>
          <w:rPr>
            <w:noProof/>
            <w:webHidden/>
          </w:rPr>
          <w:t>10</w:t>
        </w:r>
        <w:r>
          <w:rPr>
            <w:noProof/>
            <w:webHidden/>
          </w:rPr>
          <w:fldChar w:fldCharType="end"/>
        </w:r>
      </w:hyperlink>
    </w:p>
    <w:p w14:paraId="0BD25417" w14:textId="22C604C6" w:rsidR="003B522D" w:rsidRDefault="003B522D">
      <w:pPr>
        <w:pStyle w:val="TOC2"/>
        <w:rPr>
          <w:rFonts w:asciiTheme="minorHAnsi" w:eastAsiaTheme="minorEastAsia" w:hAnsiTheme="minorHAnsi" w:cstheme="minorBidi"/>
          <w:noProof/>
          <w:szCs w:val="22"/>
          <w:lang w:eastAsia="en-NZ"/>
        </w:rPr>
      </w:pPr>
      <w:hyperlink w:anchor="_Toc170220991" w:history="1">
        <w:r w:rsidRPr="000C2406">
          <w:rPr>
            <w:rStyle w:val="Hyperlink"/>
            <w:noProof/>
          </w:rPr>
          <w:t>Applications not progressed to an assisted death</w:t>
        </w:r>
        <w:r>
          <w:rPr>
            <w:noProof/>
            <w:webHidden/>
          </w:rPr>
          <w:tab/>
        </w:r>
        <w:r>
          <w:rPr>
            <w:noProof/>
            <w:webHidden/>
          </w:rPr>
          <w:fldChar w:fldCharType="begin"/>
        </w:r>
        <w:r>
          <w:rPr>
            <w:noProof/>
            <w:webHidden/>
          </w:rPr>
          <w:instrText xml:space="preserve"> PAGEREF _Toc170220991 \h </w:instrText>
        </w:r>
        <w:r>
          <w:rPr>
            <w:noProof/>
            <w:webHidden/>
          </w:rPr>
        </w:r>
        <w:r>
          <w:rPr>
            <w:noProof/>
            <w:webHidden/>
          </w:rPr>
          <w:fldChar w:fldCharType="separate"/>
        </w:r>
        <w:r>
          <w:rPr>
            <w:noProof/>
            <w:webHidden/>
          </w:rPr>
          <w:t>12</w:t>
        </w:r>
        <w:r>
          <w:rPr>
            <w:noProof/>
            <w:webHidden/>
          </w:rPr>
          <w:fldChar w:fldCharType="end"/>
        </w:r>
      </w:hyperlink>
    </w:p>
    <w:p w14:paraId="1EF0A0C4" w14:textId="3822974A" w:rsidR="003B522D" w:rsidRDefault="003B522D">
      <w:pPr>
        <w:pStyle w:val="TOC1"/>
        <w:rPr>
          <w:rFonts w:asciiTheme="minorHAnsi" w:eastAsiaTheme="minorEastAsia" w:hAnsiTheme="minorHAnsi" w:cstheme="minorBidi"/>
          <w:noProof/>
          <w:sz w:val="22"/>
          <w:szCs w:val="22"/>
          <w:lang w:eastAsia="en-NZ"/>
        </w:rPr>
      </w:pPr>
      <w:hyperlink w:anchor="_Toc170220992" w:history="1">
        <w:r w:rsidRPr="000C2406">
          <w:rPr>
            <w:rStyle w:val="Hyperlink"/>
            <w:noProof/>
          </w:rPr>
          <w:t>Feedback, complaints and queries</w:t>
        </w:r>
        <w:r>
          <w:rPr>
            <w:noProof/>
            <w:webHidden/>
          </w:rPr>
          <w:tab/>
        </w:r>
        <w:r>
          <w:rPr>
            <w:noProof/>
            <w:webHidden/>
          </w:rPr>
          <w:fldChar w:fldCharType="begin"/>
        </w:r>
        <w:r>
          <w:rPr>
            <w:noProof/>
            <w:webHidden/>
          </w:rPr>
          <w:instrText xml:space="preserve"> PAGEREF _Toc170220992 \h </w:instrText>
        </w:r>
        <w:r>
          <w:rPr>
            <w:noProof/>
            <w:webHidden/>
          </w:rPr>
        </w:r>
        <w:r>
          <w:rPr>
            <w:noProof/>
            <w:webHidden/>
          </w:rPr>
          <w:fldChar w:fldCharType="separate"/>
        </w:r>
        <w:r>
          <w:rPr>
            <w:noProof/>
            <w:webHidden/>
          </w:rPr>
          <w:t>13</w:t>
        </w:r>
        <w:r>
          <w:rPr>
            <w:noProof/>
            <w:webHidden/>
          </w:rPr>
          <w:fldChar w:fldCharType="end"/>
        </w:r>
      </w:hyperlink>
    </w:p>
    <w:p w14:paraId="105451B4" w14:textId="1ECBC5D6" w:rsidR="003B522D" w:rsidRDefault="003B522D">
      <w:pPr>
        <w:pStyle w:val="TOC2"/>
        <w:rPr>
          <w:rFonts w:asciiTheme="minorHAnsi" w:eastAsiaTheme="minorEastAsia" w:hAnsiTheme="minorHAnsi" w:cstheme="minorBidi"/>
          <w:noProof/>
          <w:szCs w:val="22"/>
          <w:lang w:eastAsia="en-NZ"/>
        </w:rPr>
      </w:pPr>
      <w:hyperlink w:anchor="_Toc170220993" w:history="1">
        <w:r w:rsidRPr="000C2406">
          <w:rPr>
            <w:rStyle w:val="Hyperlink"/>
            <w:noProof/>
          </w:rPr>
          <w:t>Feedback</w:t>
        </w:r>
        <w:r>
          <w:rPr>
            <w:noProof/>
            <w:webHidden/>
          </w:rPr>
          <w:tab/>
        </w:r>
        <w:r>
          <w:rPr>
            <w:noProof/>
            <w:webHidden/>
          </w:rPr>
          <w:fldChar w:fldCharType="begin"/>
        </w:r>
        <w:r>
          <w:rPr>
            <w:noProof/>
            <w:webHidden/>
          </w:rPr>
          <w:instrText xml:space="preserve"> PAGEREF _Toc170220993 \h </w:instrText>
        </w:r>
        <w:r>
          <w:rPr>
            <w:noProof/>
            <w:webHidden/>
          </w:rPr>
        </w:r>
        <w:r>
          <w:rPr>
            <w:noProof/>
            <w:webHidden/>
          </w:rPr>
          <w:fldChar w:fldCharType="separate"/>
        </w:r>
        <w:r>
          <w:rPr>
            <w:noProof/>
            <w:webHidden/>
          </w:rPr>
          <w:t>13</w:t>
        </w:r>
        <w:r>
          <w:rPr>
            <w:noProof/>
            <w:webHidden/>
          </w:rPr>
          <w:fldChar w:fldCharType="end"/>
        </w:r>
      </w:hyperlink>
    </w:p>
    <w:p w14:paraId="0DCF1958" w14:textId="177FE850" w:rsidR="003B522D" w:rsidRDefault="003B522D">
      <w:pPr>
        <w:pStyle w:val="TOC2"/>
        <w:rPr>
          <w:rFonts w:asciiTheme="minorHAnsi" w:eastAsiaTheme="minorEastAsia" w:hAnsiTheme="minorHAnsi" w:cstheme="minorBidi"/>
          <w:noProof/>
          <w:szCs w:val="22"/>
          <w:lang w:eastAsia="en-NZ"/>
        </w:rPr>
      </w:pPr>
      <w:hyperlink w:anchor="_Toc170220994" w:history="1">
        <w:r w:rsidRPr="000C2406">
          <w:rPr>
            <w:rStyle w:val="Hyperlink"/>
            <w:noProof/>
          </w:rPr>
          <w:t>Complaints</w:t>
        </w:r>
        <w:r>
          <w:rPr>
            <w:noProof/>
            <w:webHidden/>
          </w:rPr>
          <w:tab/>
        </w:r>
        <w:r>
          <w:rPr>
            <w:noProof/>
            <w:webHidden/>
          </w:rPr>
          <w:fldChar w:fldCharType="begin"/>
        </w:r>
        <w:r>
          <w:rPr>
            <w:noProof/>
            <w:webHidden/>
          </w:rPr>
          <w:instrText xml:space="preserve"> PAGEREF _Toc170220994 \h </w:instrText>
        </w:r>
        <w:r>
          <w:rPr>
            <w:noProof/>
            <w:webHidden/>
          </w:rPr>
        </w:r>
        <w:r>
          <w:rPr>
            <w:noProof/>
            <w:webHidden/>
          </w:rPr>
          <w:fldChar w:fldCharType="separate"/>
        </w:r>
        <w:r>
          <w:rPr>
            <w:noProof/>
            <w:webHidden/>
          </w:rPr>
          <w:t>13</w:t>
        </w:r>
        <w:r>
          <w:rPr>
            <w:noProof/>
            <w:webHidden/>
          </w:rPr>
          <w:fldChar w:fldCharType="end"/>
        </w:r>
      </w:hyperlink>
    </w:p>
    <w:p w14:paraId="5D0C0C39" w14:textId="71B0D586" w:rsidR="003B522D" w:rsidRDefault="003B522D">
      <w:pPr>
        <w:pStyle w:val="TOC2"/>
        <w:rPr>
          <w:rFonts w:asciiTheme="minorHAnsi" w:eastAsiaTheme="minorEastAsia" w:hAnsiTheme="minorHAnsi" w:cstheme="minorBidi"/>
          <w:noProof/>
          <w:szCs w:val="22"/>
          <w:lang w:eastAsia="en-NZ"/>
        </w:rPr>
      </w:pPr>
      <w:hyperlink w:anchor="_Toc170220995" w:history="1">
        <w:r w:rsidRPr="000C2406">
          <w:rPr>
            <w:rStyle w:val="Hyperlink"/>
            <w:noProof/>
          </w:rPr>
          <w:t>Queries</w:t>
        </w:r>
        <w:r>
          <w:rPr>
            <w:noProof/>
            <w:webHidden/>
          </w:rPr>
          <w:tab/>
        </w:r>
        <w:r>
          <w:rPr>
            <w:noProof/>
            <w:webHidden/>
          </w:rPr>
          <w:fldChar w:fldCharType="begin"/>
        </w:r>
        <w:r>
          <w:rPr>
            <w:noProof/>
            <w:webHidden/>
          </w:rPr>
          <w:instrText xml:space="preserve"> PAGEREF _Toc170220995 \h </w:instrText>
        </w:r>
        <w:r>
          <w:rPr>
            <w:noProof/>
            <w:webHidden/>
          </w:rPr>
        </w:r>
        <w:r>
          <w:rPr>
            <w:noProof/>
            <w:webHidden/>
          </w:rPr>
          <w:fldChar w:fldCharType="separate"/>
        </w:r>
        <w:r>
          <w:rPr>
            <w:noProof/>
            <w:webHidden/>
          </w:rPr>
          <w:t>17</w:t>
        </w:r>
        <w:r>
          <w:rPr>
            <w:noProof/>
            <w:webHidden/>
          </w:rPr>
          <w:fldChar w:fldCharType="end"/>
        </w:r>
      </w:hyperlink>
    </w:p>
    <w:p w14:paraId="133A9219" w14:textId="323DDCF2" w:rsidR="00C86248" w:rsidRDefault="003B522D">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55CD78DF" w14:textId="5B6ABAA8" w:rsidR="003B522D" w:rsidRDefault="003B522D">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170220996" w:history="1">
        <w:r w:rsidRPr="00F76152">
          <w:rPr>
            <w:rStyle w:val="Hyperlink"/>
            <w:noProof/>
          </w:rPr>
          <w:t>Figure 1: Assisted deaths by location</w:t>
        </w:r>
        <w:r>
          <w:rPr>
            <w:noProof/>
            <w:webHidden/>
          </w:rPr>
          <w:tab/>
        </w:r>
        <w:r>
          <w:rPr>
            <w:noProof/>
            <w:webHidden/>
          </w:rPr>
          <w:fldChar w:fldCharType="begin"/>
        </w:r>
        <w:r>
          <w:rPr>
            <w:noProof/>
            <w:webHidden/>
          </w:rPr>
          <w:instrText xml:space="preserve"> PAGEREF _Toc170220996 \h </w:instrText>
        </w:r>
        <w:r>
          <w:rPr>
            <w:noProof/>
            <w:webHidden/>
          </w:rPr>
        </w:r>
        <w:r>
          <w:rPr>
            <w:noProof/>
            <w:webHidden/>
          </w:rPr>
          <w:fldChar w:fldCharType="separate"/>
        </w:r>
        <w:r>
          <w:rPr>
            <w:noProof/>
            <w:webHidden/>
          </w:rPr>
          <w:t>9</w:t>
        </w:r>
        <w:r>
          <w:rPr>
            <w:noProof/>
            <w:webHidden/>
          </w:rPr>
          <w:fldChar w:fldCharType="end"/>
        </w:r>
      </w:hyperlink>
    </w:p>
    <w:p w14:paraId="05CC63FD" w14:textId="46A2EA7D" w:rsidR="003A5FEA" w:rsidRDefault="003B522D" w:rsidP="003A5FEA">
      <w:r>
        <w:fldChar w:fldCharType="end"/>
      </w:r>
    </w:p>
    <w:p w14:paraId="23AE1249" w14:textId="77777777" w:rsidR="00E95DAF" w:rsidRDefault="00E95DAF" w:rsidP="002B76A7">
      <w:pPr>
        <w:pStyle w:val="TOC1"/>
        <w:keepNext/>
        <w:sectPr w:rsidR="00E95DAF" w:rsidSect="0078658E">
          <w:headerReference w:type="even" r:id="rId21"/>
          <w:headerReference w:type="default" r:id="rId22"/>
          <w:footerReference w:type="even" r:id="rId23"/>
          <w:pgSz w:w="11907" w:h="16840" w:code="9"/>
          <w:pgMar w:top="1418" w:right="1701" w:bottom="1134" w:left="1843" w:header="284" w:footer="425" w:gutter="284"/>
          <w:pgNumType w:fmt="lowerRoman"/>
          <w:cols w:space="720"/>
        </w:sectPr>
      </w:pPr>
    </w:p>
    <w:p w14:paraId="0D248541" w14:textId="5B2B3571" w:rsidR="002B76A7" w:rsidRDefault="002B76A7" w:rsidP="002B76A7">
      <w:pPr>
        <w:pStyle w:val="TOC1"/>
        <w:keepNext/>
      </w:pPr>
      <w:r>
        <w:lastRenderedPageBreak/>
        <w:t>List of Tables</w:t>
      </w:r>
    </w:p>
    <w:p w14:paraId="1F3EED49" w14:textId="405CE5E8" w:rsidR="003B522D" w:rsidRDefault="003B522D">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70220997" w:history="1">
        <w:r w:rsidRPr="004E7BED">
          <w:rPr>
            <w:rStyle w:val="Hyperlink"/>
            <w:noProof/>
          </w:rPr>
          <w:t>Table 1: Demographic summary of new applications</w:t>
        </w:r>
        <w:r>
          <w:rPr>
            <w:noProof/>
            <w:webHidden/>
          </w:rPr>
          <w:tab/>
        </w:r>
        <w:r>
          <w:rPr>
            <w:noProof/>
            <w:webHidden/>
          </w:rPr>
          <w:fldChar w:fldCharType="begin"/>
        </w:r>
        <w:r>
          <w:rPr>
            <w:noProof/>
            <w:webHidden/>
          </w:rPr>
          <w:instrText xml:space="preserve"> PAGEREF _Toc170220997 \h </w:instrText>
        </w:r>
        <w:r>
          <w:rPr>
            <w:noProof/>
            <w:webHidden/>
          </w:rPr>
        </w:r>
        <w:r>
          <w:rPr>
            <w:noProof/>
            <w:webHidden/>
          </w:rPr>
          <w:fldChar w:fldCharType="separate"/>
        </w:r>
        <w:r>
          <w:rPr>
            <w:noProof/>
            <w:webHidden/>
          </w:rPr>
          <w:t>7</w:t>
        </w:r>
        <w:r>
          <w:rPr>
            <w:noProof/>
            <w:webHidden/>
          </w:rPr>
          <w:fldChar w:fldCharType="end"/>
        </w:r>
      </w:hyperlink>
    </w:p>
    <w:p w14:paraId="4C21C337" w14:textId="02184BC6" w:rsidR="003B522D" w:rsidRDefault="003B522D">
      <w:pPr>
        <w:pStyle w:val="TOC3"/>
        <w:rPr>
          <w:rFonts w:asciiTheme="minorHAnsi" w:eastAsiaTheme="minorEastAsia" w:hAnsiTheme="minorHAnsi" w:cstheme="minorBidi"/>
          <w:noProof/>
          <w:sz w:val="22"/>
          <w:szCs w:val="22"/>
          <w:lang w:eastAsia="en-NZ"/>
        </w:rPr>
      </w:pPr>
      <w:hyperlink w:anchor="_Toc170220998" w:history="1">
        <w:r w:rsidRPr="004E7BED">
          <w:rPr>
            <w:rStyle w:val="Hyperlink"/>
            <w:noProof/>
          </w:rPr>
          <w:t>Table 2: Assessment outcomes</w:t>
        </w:r>
        <w:r>
          <w:rPr>
            <w:noProof/>
            <w:webHidden/>
          </w:rPr>
          <w:tab/>
        </w:r>
        <w:r>
          <w:rPr>
            <w:noProof/>
            <w:webHidden/>
          </w:rPr>
          <w:fldChar w:fldCharType="begin"/>
        </w:r>
        <w:r>
          <w:rPr>
            <w:noProof/>
            <w:webHidden/>
          </w:rPr>
          <w:instrText xml:space="preserve"> PAGEREF _Toc170220998 \h </w:instrText>
        </w:r>
        <w:r>
          <w:rPr>
            <w:noProof/>
            <w:webHidden/>
          </w:rPr>
        </w:r>
        <w:r>
          <w:rPr>
            <w:noProof/>
            <w:webHidden/>
          </w:rPr>
          <w:fldChar w:fldCharType="separate"/>
        </w:r>
        <w:r>
          <w:rPr>
            <w:noProof/>
            <w:webHidden/>
          </w:rPr>
          <w:t>11</w:t>
        </w:r>
        <w:r>
          <w:rPr>
            <w:noProof/>
            <w:webHidden/>
          </w:rPr>
          <w:fldChar w:fldCharType="end"/>
        </w:r>
      </w:hyperlink>
    </w:p>
    <w:p w14:paraId="464AE993" w14:textId="69AB6D4B" w:rsidR="003B522D" w:rsidRDefault="003B522D">
      <w:pPr>
        <w:pStyle w:val="TOC3"/>
        <w:rPr>
          <w:rFonts w:asciiTheme="minorHAnsi" w:eastAsiaTheme="minorEastAsia" w:hAnsiTheme="minorHAnsi" w:cstheme="minorBidi"/>
          <w:noProof/>
          <w:sz w:val="22"/>
          <w:szCs w:val="22"/>
          <w:lang w:eastAsia="en-NZ"/>
        </w:rPr>
      </w:pPr>
      <w:hyperlink w:anchor="_Toc170220999" w:history="1">
        <w:r w:rsidRPr="004E7BED">
          <w:rPr>
            <w:rStyle w:val="Hyperlink"/>
            <w:noProof/>
          </w:rPr>
          <w:t>Table 3: Ineligibility decisions</w:t>
        </w:r>
        <w:r>
          <w:rPr>
            <w:noProof/>
            <w:webHidden/>
          </w:rPr>
          <w:tab/>
        </w:r>
        <w:r>
          <w:rPr>
            <w:noProof/>
            <w:webHidden/>
          </w:rPr>
          <w:fldChar w:fldCharType="begin"/>
        </w:r>
        <w:r>
          <w:rPr>
            <w:noProof/>
            <w:webHidden/>
          </w:rPr>
          <w:instrText xml:space="preserve"> PAGEREF _Toc170220999 \h </w:instrText>
        </w:r>
        <w:r>
          <w:rPr>
            <w:noProof/>
            <w:webHidden/>
          </w:rPr>
        </w:r>
        <w:r>
          <w:rPr>
            <w:noProof/>
            <w:webHidden/>
          </w:rPr>
          <w:fldChar w:fldCharType="separate"/>
        </w:r>
        <w:r>
          <w:rPr>
            <w:noProof/>
            <w:webHidden/>
          </w:rPr>
          <w:t>12</w:t>
        </w:r>
        <w:r>
          <w:rPr>
            <w:noProof/>
            <w:webHidden/>
          </w:rPr>
          <w:fldChar w:fldCharType="end"/>
        </w:r>
      </w:hyperlink>
    </w:p>
    <w:p w14:paraId="42EF8904" w14:textId="2ACD9B41" w:rsidR="003B522D" w:rsidRDefault="003B522D">
      <w:pPr>
        <w:pStyle w:val="TOC3"/>
        <w:rPr>
          <w:rFonts w:asciiTheme="minorHAnsi" w:eastAsiaTheme="minorEastAsia" w:hAnsiTheme="minorHAnsi" w:cstheme="minorBidi"/>
          <w:noProof/>
          <w:sz w:val="22"/>
          <w:szCs w:val="22"/>
          <w:lang w:eastAsia="en-NZ"/>
        </w:rPr>
      </w:pPr>
      <w:hyperlink w:anchor="_Toc170221000" w:history="1">
        <w:r w:rsidRPr="004E7BED">
          <w:rPr>
            <w:rStyle w:val="Hyperlink"/>
            <w:noProof/>
          </w:rPr>
          <w:t>Table 4: Assessment outcomes</w:t>
        </w:r>
        <w:r>
          <w:rPr>
            <w:noProof/>
            <w:webHidden/>
          </w:rPr>
          <w:tab/>
        </w:r>
        <w:r>
          <w:rPr>
            <w:noProof/>
            <w:webHidden/>
          </w:rPr>
          <w:fldChar w:fldCharType="begin"/>
        </w:r>
        <w:r>
          <w:rPr>
            <w:noProof/>
            <w:webHidden/>
          </w:rPr>
          <w:instrText xml:space="preserve"> PAGEREF _Toc170221000 \h </w:instrText>
        </w:r>
        <w:r>
          <w:rPr>
            <w:noProof/>
            <w:webHidden/>
          </w:rPr>
        </w:r>
        <w:r>
          <w:rPr>
            <w:noProof/>
            <w:webHidden/>
          </w:rPr>
          <w:fldChar w:fldCharType="separate"/>
        </w:r>
        <w:r>
          <w:rPr>
            <w:noProof/>
            <w:webHidden/>
          </w:rPr>
          <w:t>12</w:t>
        </w:r>
        <w:r>
          <w:rPr>
            <w:noProof/>
            <w:webHidden/>
          </w:rPr>
          <w:fldChar w:fldCharType="end"/>
        </w:r>
      </w:hyperlink>
    </w:p>
    <w:p w14:paraId="7A682568" w14:textId="4E2827CE" w:rsidR="003B522D" w:rsidRDefault="003B522D">
      <w:pPr>
        <w:pStyle w:val="TOC3"/>
        <w:rPr>
          <w:rFonts w:asciiTheme="minorHAnsi" w:eastAsiaTheme="minorEastAsia" w:hAnsiTheme="minorHAnsi" w:cstheme="minorBidi"/>
          <w:noProof/>
          <w:sz w:val="22"/>
          <w:szCs w:val="22"/>
          <w:lang w:eastAsia="en-NZ"/>
        </w:rPr>
      </w:pPr>
      <w:hyperlink w:anchor="_Toc170221001" w:history="1">
        <w:r w:rsidRPr="004E7BED">
          <w:rPr>
            <w:rStyle w:val="Hyperlink"/>
            <w:noProof/>
          </w:rPr>
          <w:t>Table 6: Complaints received by the HDC</w:t>
        </w:r>
        <w:r>
          <w:rPr>
            <w:noProof/>
            <w:webHidden/>
          </w:rPr>
          <w:tab/>
        </w:r>
        <w:r>
          <w:rPr>
            <w:noProof/>
            <w:webHidden/>
          </w:rPr>
          <w:fldChar w:fldCharType="begin"/>
        </w:r>
        <w:r>
          <w:rPr>
            <w:noProof/>
            <w:webHidden/>
          </w:rPr>
          <w:instrText xml:space="preserve"> PAGEREF _Toc170221001 \h </w:instrText>
        </w:r>
        <w:r>
          <w:rPr>
            <w:noProof/>
            <w:webHidden/>
          </w:rPr>
        </w:r>
        <w:r>
          <w:rPr>
            <w:noProof/>
            <w:webHidden/>
          </w:rPr>
          <w:fldChar w:fldCharType="separate"/>
        </w:r>
        <w:r>
          <w:rPr>
            <w:noProof/>
            <w:webHidden/>
          </w:rPr>
          <w:t>16</w:t>
        </w:r>
        <w:r>
          <w:rPr>
            <w:noProof/>
            <w:webHidden/>
          </w:rPr>
          <w:fldChar w:fldCharType="end"/>
        </w:r>
      </w:hyperlink>
    </w:p>
    <w:p w14:paraId="08700783" w14:textId="2E6F991D" w:rsidR="003B522D" w:rsidRDefault="003B522D">
      <w:pPr>
        <w:pStyle w:val="TOC3"/>
        <w:rPr>
          <w:rFonts w:asciiTheme="minorHAnsi" w:eastAsiaTheme="minorEastAsia" w:hAnsiTheme="minorHAnsi" w:cstheme="minorBidi"/>
          <w:noProof/>
          <w:sz w:val="22"/>
          <w:szCs w:val="22"/>
          <w:lang w:eastAsia="en-NZ"/>
        </w:rPr>
      </w:pPr>
      <w:hyperlink w:anchor="_Toc170221002" w:history="1">
        <w:r w:rsidRPr="004E7BED">
          <w:rPr>
            <w:rStyle w:val="Hyperlink"/>
            <w:noProof/>
          </w:rPr>
          <w:t>Table 7: Number and type of queries by reporting year, 2021/22, 2022/23, 2023/24</w:t>
        </w:r>
        <w:r>
          <w:rPr>
            <w:noProof/>
            <w:webHidden/>
          </w:rPr>
          <w:tab/>
        </w:r>
        <w:r>
          <w:rPr>
            <w:noProof/>
            <w:webHidden/>
          </w:rPr>
          <w:fldChar w:fldCharType="begin"/>
        </w:r>
        <w:r>
          <w:rPr>
            <w:noProof/>
            <w:webHidden/>
          </w:rPr>
          <w:instrText xml:space="preserve"> PAGEREF _Toc170221002 \h </w:instrText>
        </w:r>
        <w:r>
          <w:rPr>
            <w:noProof/>
            <w:webHidden/>
          </w:rPr>
        </w:r>
        <w:r>
          <w:rPr>
            <w:noProof/>
            <w:webHidden/>
          </w:rPr>
          <w:fldChar w:fldCharType="separate"/>
        </w:r>
        <w:r>
          <w:rPr>
            <w:noProof/>
            <w:webHidden/>
          </w:rPr>
          <w:t>17</w:t>
        </w:r>
        <w:r>
          <w:rPr>
            <w:noProof/>
            <w:webHidden/>
          </w:rPr>
          <w:fldChar w:fldCharType="end"/>
        </w:r>
      </w:hyperlink>
    </w:p>
    <w:p w14:paraId="4A6797B1" w14:textId="4CDCE276" w:rsidR="002B76A7" w:rsidRDefault="003B522D" w:rsidP="003A5FEA">
      <w:r>
        <w:rPr>
          <w:sz w:val="20"/>
        </w:rPr>
        <w:fldChar w:fldCharType="end"/>
      </w:r>
    </w:p>
    <w:p w14:paraId="03333094" w14:textId="77777777" w:rsidR="001D3E4E" w:rsidRDefault="001D3E4E" w:rsidP="003A5FEA">
      <w:pPr>
        <w:sectPr w:rsidR="001D3E4E" w:rsidSect="0078658E">
          <w:pgSz w:w="11907" w:h="16840" w:code="9"/>
          <w:pgMar w:top="1418" w:right="1701" w:bottom="1134" w:left="1843" w:header="284" w:footer="425" w:gutter="284"/>
          <w:pgNumType w:fmt="lowerRoman"/>
          <w:cols w:space="720"/>
        </w:sectPr>
      </w:pPr>
    </w:p>
    <w:p w14:paraId="6889BC0F" w14:textId="77777777" w:rsidR="009A42D5" w:rsidRPr="0043478F" w:rsidRDefault="009A42D5" w:rsidP="0008437D">
      <w:pPr>
        <w:ind w:left="-2268" w:right="-1701"/>
      </w:pPr>
    </w:p>
    <w:p w14:paraId="39BE2591" w14:textId="2F57291F" w:rsidR="008C2973" w:rsidRDefault="007B4CC0" w:rsidP="007B4CC0">
      <w:pPr>
        <w:pStyle w:val="Heading1"/>
        <w:spacing w:before="0"/>
        <w:rPr>
          <w:spacing w:val="0"/>
        </w:rPr>
      </w:pPr>
      <w:bookmarkStart w:id="4" w:name="_Toc170220974"/>
      <w:r w:rsidRPr="007B4CC0">
        <w:rPr>
          <w:spacing w:val="0"/>
        </w:rPr>
        <w:t>Introduction</w:t>
      </w:r>
      <w:bookmarkEnd w:id="4"/>
    </w:p>
    <w:p w14:paraId="2F7FAE2B" w14:textId="77777777" w:rsidR="007B4CC0" w:rsidRPr="0037703D" w:rsidRDefault="007B4CC0" w:rsidP="007B4CC0">
      <w:pPr>
        <w:pStyle w:val="Heading2"/>
      </w:pPr>
      <w:bookmarkStart w:id="5" w:name="_Toc170220975"/>
      <w:r w:rsidRPr="0037703D">
        <w:t>About this report</w:t>
      </w:r>
      <w:bookmarkEnd w:id="5"/>
      <w:r w:rsidRPr="0037703D">
        <w:t xml:space="preserve"> </w:t>
      </w:r>
    </w:p>
    <w:p w14:paraId="50496583" w14:textId="0555BF09" w:rsidR="007B4CC0" w:rsidRDefault="007B4CC0" w:rsidP="007B4CC0">
      <w:r>
        <w:t>The Ministry of Health - Manatū Hauora</w:t>
      </w:r>
      <w:r w:rsidRPr="00D90FB3">
        <w:t xml:space="preserve"> (the Ministry) is responsible for administering the </w:t>
      </w:r>
      <w:proofErr w:type="gramStart"/>
      <w:r w:rsidRPr="00D90FB3">
        <w:t>End of Life</w:t>
      </w:r>
      <w:proofErr w:type="gramEnd"/>
      <w:r w:rsidRPr="00D90FB3">
        <w:t xml:space="preserve"> Choice Act 2019 (the Act). </w:t>
      </w:r>
    </w:p>
    <w:p w14:paraId="458E70CB" w14:textId="77777777" w:rsidR="007B4CC0" w:rsidRPr="00D90FB3" w:rsidRDefault="007B4CC0" w:rsidP="007B4CC0"/>
    <w:p w14:paraId="2AC82DC7" w14:textId="048A0240" w:rsidR="007B4CC0" w:rsidRDefault="007B4CC0" w:rsidP="007B4CC0">
      <w:r w:rsidRPr="00D90FB3">
        <w:t xml:space="preserve">The Registrar (assisted dying) </w:t>
      </w:r>
      <w:r>
        <w:t xml:space="preserve">(the Registrar) </w:t>
      </w:r>
      <w:r w:rsidRPr="00D90FB3">
        <w:t>is required to report on the Assisted Dying Service</w:t>
      </w:r>
      <w:r>
        <w:t xml:space="preserve"> (the Service)</w:t>
      </w:r>
      <w:r w:rsidRPr="00D90FB3">
        <w:t xml:space="preserve">, as required by section 27(7) of the Act. </w:t>
      </w:r>
    </w:p>
    <w:p w14:paraId="3D85174F" w14:textId="77777777" w:rsidR="007B4CC0" w:rsidRPr="00D90FB3" w:rsidRDefault="007B4CC0" w:rsidP="007B4CC0"/>
    <w:p w14:paraId="5C91074E" w14:textId="77777777" w:rsidR="007B4CC0" w:rsidRPr="00D90FB3" w:rsidRDefault="007B4CC0" w:rsidP="007B4CC0">
      <w:r w:rsidRPr="00D90FB3">
        <w:t xml:space="preserve">Reporting is due to the Minister of Health by 30 June each year, and covers: </w:t>
      </w:r>
    </w:p>
    <w:p w14:paraId="42D21746" w14:textId="77777777" w:rsidR="007B4CC0" w:rsidRPr="007B4CC0" w:rsidRDefault="007B4CC0" w:rsidP="007B4CC0">
      <w:pPr>
        <w:pStyle w:val="Bullet"/>
      </w:pPr>
      <w:r w:rsidRPr="007B4CC0">
        <w:t xml:space="preserve">the total number of deaths occurring under the </w:t>
      </w:r>
      <w:proofErr w:type="gramStart"/>
      <w:r w:rsidRPr="007B4CC0">
        <w:t>Act</w:t>
      </w:r>
      <w:proofErr w:type="gramEnd"/>
    </w:p>
    <w:p w14:paraId="10D3AD67" w14:textId="77777777" w:rsidR="007B4CC0" w:rsidRPr="007B4CC0" w:rsidRDefault="007B4CC0" w:rsidP="007B4CC0">
      <w:pPr>
        <w:pStyle w:val="Bullet"/>
      </w:pPr>
      <w:r w:rsidRPr="007B4CC0">
        <w:t>the number of deaths occurring through each of the methods of administration of medication</w:t>
      </w:r>
    </w:p>
    <w:p w14:paraId="23AFFB25" w14:textId="77777777" w:rsidR="007B4CC0" w:rsidRPr="007B4CC0" w:rsidRDefault="007B4CC0" w:rsidP="007B4CC0">
      <w:pPr>
        <w:pStyle w:val="Bullet"/>
      </w:pPr>
      <w:r w:rsidRPr="007B4CC0">
        <w:t xml:space="preserve">the number of complaints received about breaches of this Act and how those complaints were dealt </w:t>
      </w:r>
      <w:proofErr w:type="gramStart"/>
      <w:r w:rsidRPr="007B4CC0">
        <w:t>with</w:t>
      </w:r>
      <w:proofErr w:type="gramEnd"/>
    </w:p>
    <w:p w14:paraId="31429328" w14:textId="77777777" w:rsidR="007B4CC0" w:rsidRPr="007B4CC0" w:rsidRDefault="007B4CC0" w:rsidP="007B4CC0">
      <w:pPr>
        <w:pStyle w:val="Bullet"/>
      </w:pPr>
      <w:r w:rsidRPr="007B4CC0">
        <w:t>any other matter relating to the operation of the Act that the Registrar thinks appropriate.</w:t>
      </w:r>
    </w:p>
    <w:p w14:paraId="621441C4" w14:textId="77777777" w:rsidR="007B4CC0" w:rsidRPr="00D90FB3" w:rsidRDefault="007B4CC0" w:rsidP="007B4CC0"/>
    <w:p w14:paraId="3E2BED0C" w14:textId="77777777" w:rsidR="007B4CC0" w:rsidRPr="003233C7" w:rsidRDefault="007B4CC0" w:rsidP="007B4CC0">
      <w:pPr>
        <w:rPr>
          <w:b/>
          <w:bCs/>
          <w:sz w:val="32"/>
          <w:szCs w:val="32"/>
        </w:rPr>
      </w:pPr>
      <w:r w:rsidRPr="00D90FB3">
        <w:t>This report covers the period 1 April 2023 to 31 March 2024</w:t>
      </w:r>
      <w:r>
        <w:t>. This</w:t>
      </w:r>
      <w:r w:rsidRPr="00D90FB3">
        <w:t xml:space="preserve"> is the second full</w:t>
      </w:r>
      <w:r>
        <w:t>-</w:t>
      </w:r>
      <w:r w:rsidRPr="00D90FB3">
        <w:t>year report published since the Act came into force on 7 November 2021.</w:t>
      </w:r>
      <w:r w:rsidRPr="00D90FB3" w:rsidDel="00C66060">
        <w:t xml:space="preserve"> </w:t>
      </w:r>
    </w:p>
    <w:p w14:paraId="3631ADF7" w14:textId="77777777" w:rsidR="007B4CC0" w:rsidRPr="00706E12" w:rsidRDefault="007B4CC0" w:rsidP="007B4CC0">
      <w:pPr>
        <w:pStyle w:val="Heading2"/>
      </w:pPr>
      <w:bookmarkStart w:id="6" w:name="_Toc103606318"/>
      <w:bookmarkStart w:id="7" w:name="_Toc104460667"/>
      <w:bookmarkStart w:id="8" w:name="_Toc106611866"/>
      <w:bookmarkStart w:id="9" w:name="_Toc138428947"/>
      <w:bookmarkStart w:id="10" w:name="_Toc170220976"/>
      <w:r w:rsidRPr="00706E12">
        <w:t>End of Life Choice Act 2019</w:t>
      </w:r>
      <w:bookmarkEnd w:id="6"/>
      <w:bookmarkEnd w:id="7"/>
      <w:bookmarkEnd w:id="8"/>
      <w:bookmarkEnd w:id="9"/>
      <w:bookmarkEnd w:id="10"/>
    </w:p>
    <w:p w14:paraId="2AEBB6F2" w14:textId="77777777" w:rsidR="007B4CC0" w:rsidRDefault="007B4CC0" w:rsidP="007B4CC0">
      <w:r w:rsidRPr="001E7528">
        <w:rPr>
          <w:rFonts w:eastAsia="MS Gothic"/>
          <w:bCs/>
          <w:szCs w:val="21"/>
        </w:rPr>
        <w:t xml:space="preserve">The </w:t>
      </w:r>
      <w:r>
        <w:rPr>
          <w:rFonts w:eastAsia="MS Gothic"/>
          <w:bCs/>
          <w:szCs w:val="21"/>
        </w:rPr>
        <w:t>Act</w:t>
      </w:r>
      <w:r w:rsidRPr="001E7528">
        <w:rPr>
          <w:szCs w:val="21"/>
        </w:rPr>
        <w:t xml:space="preserve"> </w:t>
      </w:r>
      <w:r>
        <w:t>came into force on 7 November 2021. It</w:t>
      </w:r>
      <w:r w:rsidRPr="001E7528">
        <w:t xml:space="preserve"> </w:t>
      </w:r>
      <w:r>
        <w:t>gives</w:t>
      </w:r>
      <w:r w:rsidRPr="001E7528">
        <w:t xml:space="preserve"> </w:t>
      </w:r>
      <w:r w:rsidRPr="001E7528">
        <w:rPr>
          <w:lang w:eastAsia="en-NZ"/>
        </w:rPr>
        <w:t xml:space="preserve">a person with a terminal illness </w:t>
      </w:r>
      <w:r w:rsidRPr="001E7528">
        <w:t>the option to</w:t>
      </w:r>
      <w:r w:rsidRPr="001E7528">
        <w:rPr>
          <w:lang w:eastAsia="en-NZ"/>
        </w:rPr>
        <w:t xml:space="preserve"> request medication to end their life.</w:t>
      </w:r>
      <w:r w:rsidRPr="001E7528">
        <w:t xml:space="preserve"> The Act outlines the legal framework for assisted dying, including eligibility criteria and some key safeguards. </w:t>
      </w:r>
    </w:p>
    <w:p w14:paraId="2FD63011" w14:textId="77777777" w:rsidR="007B4CC0" w:rsidRPr="001E7528" w:rsidRDefault="007B4CC0" w:rsidP="007B4CC0">
      <w:r w:rsidRPr="001E7528">
        <w:t xml:space="preserve">To be eligible for </w:t>
      </w:r>
      <w:r>
        <w:t>an assisted death,</w:t>
      </w:r>
      <w:r w:rsidRPr="001E7528">
        <w:t xml:space="preserve"> a person must be: </w:t>
      </w:r>
    </w:p>
    <w:p w14:paraId="46FEC0F6" w14:textId="77777777" w:rsidR="007B4CC0" w:rsidRPr="007B4CC0" w:rsidRDefault="007B4CC0" w:rsidP="007B4CC0">
      <w:pPr>
        <w:pStyle w:val="Bullet"/>
      </w:pPr>
      <w:r w:rsidRPr="007B4CC0">
        <w:t xml:space="preserve">aged 18 years or </w:t>
      </w:r>
      <w:proofErr w:type="gramStart"/>
      <w:r w:rsidRPr="007B4CC0">
        <w:t>over</w:t>
      </w:r>
      <w:proofErr w:type="gramEnd"/>
    </w:p>
    <w:p w14:paraId="363D6D77" w14:textId="77777777" w:rsidR="007B4CC0" w:rsidRPr="007B4CC0" w:rsidRDefault="007B4CC0" w:rsidP="007B4CC0">
      <w:pPr>
        <w:pStyle w:val="Bullet"/>
      </w:pPr>
      <w:r w:rsidRPr="007B4CC0">
        <w:t>a citizen or permanent resident of New Zealand</w:t>
      </w:r>
    </w:p>
    <w:p w14:paraId="6D9D4EBC" w14:textId="77777777" w:rsidR="007B4CC0" w:rsidRPr="007B4CC0" w:rsidRDefault="007B4CC0" w:rsidP="007B4CC0">
      <w:pPr>
        <w:pStyle w:val="Bullet"/>
      </w:pPr>
      <w:r w:rsidRPr="007B4CC0">
        <w:t xml:space="preserve">suffering from a terminal illness that is likely to end their life within six </w:t>
      </w:r>
      <w:proofErr w:type="gramStart"/>
      <w:r w:rsidRPr="007B4CC0">
        <w:t>months</w:t>
      </w:r>
      <w:proofErr w:type="gramEnd"/>
    </w:p>
    <w:p w14:paraId="46E280B3" w14:textId="77777777" w:rsidR="007B4CC0" w:rsidRPr="007B4CC0" w:rsidRDefault="007B4CC0" w:rsidP="007B4CC0">
      <w:pPr>
        <w:pStyle w:val="Bullet"/>
      </w:pPr>
      <w:r w:rsidRPr="007B4CC0">
        <w:t>in an advanced state of irreversible decline in physical capability</w:t>
      </w:r>
    </w:p>
    <w:p w14:paraId="7A703D59" w14:textId="77777777" w:rsidR="007B4CC0" w:rsidRPr="007B4CC0" w:rsidRDefault="007B4CC0" w:rsidP="007B4CC0">
      <w:pPr>
        <w:pStyle w:val="Bullet"/>
      </w:pPr>
      <w:r w:rsidRPr="007B4CC0">
        <w:t xml:space="preserve">experiencing unbearable suffering that cannot be relieved in a manner the person considers </w:t>
      </w:r>
      <w:proofErr w:type="gramStart"/>
      <w:r w:rsidRPr="007B4CC0">
        <w:t>tolerable</w:t>
      </w:r>
      <w:proofErr w:type="gramEnd"/>
    </w:p>
    <w:p w14:paraId="3EEE75DE" w14:textId="77777777" w:rsidR="007B4CC0" w:rsidRPr="007B4CC0" w:rsidRDefault="007B4CC0" w:rsidP="007B4CC0">
      <w:pPr>
        <w:pStyle w:val="Bullet"/>
      </w:pPr>
      <w:r w:rsidRPr="007B4CC0">
        <w:t>competent to make an informed decision about assisted dying.</w:t>
      </w:r>
    </w:p>
    <w:p w14:paraId="5D2CAD46" w14:textId="77777777" w:rsidR="007B4CC0" w:rsidRDefault="007B4CC0" w:rsidP="007B4CC0">
      <w:pPr>
        <w:rPr>
          <w:lang w:eastAsia="en-NZ"/>
        </w:rPr>
      </w:pPr>
    </w:p>
    <w:p w14:paraId="1600384A" w14:textId="35DC052C" w:rsidR="007B4CC0" w:rsidRDefault="007B4CC0" w:rsidP="007B4CC0">
      <w:pPr>
        <w:rPr>
          <w:rFonts w:cs="Segoe UI"/>
          <w:lang w:eastAsia="en-NZ"/>
        </w:rPr>
      </w:pPr>
      <w:r w:rsidRPr="001E7528">
        <w:rPr>
          <w:rFonts w:cs="Segoe UI"/>
          <w:lang w:eastAsia="en-NZ"/>
        </w:rPr>
        <w:t>The decision to have an assisted death must be made by the person with a terminal illness</w:t>
      </w:r>
      <w:r>
        <w:rPr>
          <w:rFonts w:cs="Segoe UI"/>
          <w:lang w:eastAsia="en-NZ"/>
        </w:rPr>
        <w:t>. A</w:t>
      </w:r>
      <w:r w:rsidRPr="001E7528">
        <w:rPr>
          <w:rFonts w:cs="Segoe UI"/>
          <w:lang w:eastAsia="en-NZ"/>
        </w:rPr>
        <w:t xml:space="preserve"> health practitioner is not </w:t>
      </w:r>
      <w:r>
        <w:rPr>
          <w:rFonts w:cs="Segoe UI"/>
          <w:lang w:eastAsia="en-NZ"/>
        </w:rPr>
        <w:t>permitted</w:t>
      </w:r>
      <w:r w:rsidRPr="001E7528">
        <w:rPr>
          <w:rFonts w:cs="Segoe UI"/>
          <w:lang w:eastAsia="en-NZ"/>
        </w:rPr>
        <w:t xml:space="preserve"> to raise this option with </w:t>
      </w:r>
      <w:r>
        <w:rPr>
          <w:rFonts w:cs="Segoe UI"/>
          <w:lang w:eastAsia="en-NZ"/>
        </w:rPr>
        <w:t xml:space="preserve">a patient </w:t>
      </w:r>
      <w:r w:rsidRPr="001E7528">
        <w:rPr>
          <w:rFonts w:cs="Segoe UI"/>
          <w:lang w:eastAsia="en-NZ"/>
        </w:rPr>
        <w:t xml:space="preserve">unprompted. </w:t>
      </w:r>
    </w:p>
    <w:p w14:paraId="54BF29CC" w14:textId="77777777" w:rsidR="007B4CC0" w:rsidRDefault="007B4CC0" w:rsidP="007B4CC0">
      <w:pPr>
        <w:rPr>
          <w:rFonts w:cs="Segoe UI"/>
          <w:lang w:eastAsia="en-NZ"/>
        </w:rPr>
      </w:pPr>
    </w:p>
    <w:p w14:paraId="217C2AE7" w14:textId="77777777" w:rsidR="007B4CC0" w:rsidRDefault="007B4CC0" w:rsidP="007B4CC0">
      <w:pPr>
        <w:rPr>
          <w:rFonts w:cs="Segoe UI"/>
          <w:lang w:eastAsia="en-NZ"/>
        </w:rPr>
      </w:pPr>
      <w:r>
        <w:rPr>
          <w:rFonts w:cs="Segoe UI"/>
          <w:lang w:eastAsia="en-NZ"/>
        </w:rPr>
        <w:t xml:space="preserve">Read the full Act on the </w:t>
      </w:r>
      <w:hyperlink r:id="rId24" w:history="1">
        <w:r w:rsidRPr="00B03E74">
          <w:rPr>
            <w:rStyle w:val="Hyperlink"/>
            <w:rFonts w:cs="Segoe UI"/>
            <w:lang w:eastAsia="en-NZ"/>
          </w:rPr>
          <w:t>New Zealand Legislation website</w:t>
        </w:r>
      </w:hyperlink>
      <w:r>
        <w:rPr>
          <w:rFonts w:cs="Segoe UI"/>
          <w:lang w:eastAsia="en-NZ"/>
        </w:rPr>
        <w:t xml:space="preserve">. </w:t>
      </w:r>
    </w:p>
    <w:p w14:paraId="3386A65A" w14:textId="44B35585" w:rsidR="007B4CC0" w:rsidRDefault="007B4CC0" w:rsidP="007B4CC0">
      <w:pPr>
        <w:rPr>
          <w:rFonts w:eastAsia="Calibri"/>
          <w:lang w:eastAsia="en-NZ"/>
        </w:rPr>
      </w:pPr>
      <w:r w:rsidRPr="00731782">
        <w:rPr>
          <w:rFonts w:eastAsia="Calibri"/>
          <w:lang w:eastAsia="en-NZ"/>
        </w:rPr>
        <w:lastRenderedPageBreak/>
        <w:t>Under section 30 of the Act, the Ministry is required to review the operation of the Act</w:t>
      </w:r>
      <w:r>
        <w:rPr>
          <w:rFonts w:eastAsia="Calibri"/>
          <w:lang w:eastAsia="en-NZ"/>
        </w:rPr>
        <w:t>,</w:t>
      </w:r>
      <w:r w:rsidRPr="00731782">
        <w:rPr>
          <w:rFonts w:eastAsia="Calibri"/>
          <w:lang w:eastAsia="en-NZ"/>
        </w:rPr>
        <w:t xml:space="preserve"> commencing in 2024. Work on the review is underway. The terms of reference for the review will be published on the Ministry</w:t>
      </w:r>
      <w:r>
        <w:rPr>
          <w:rFonts w:eastAsia="Calibri"/>
          <w:lang w:eastAsia="en-NZ"/>
        </w:rPr>
        <w:t>’s</w:t>
      </w:r>
      <w:r w:rsidRPr="00731782">
        <w:rPr>
          <w:rFonts w:eastAsia="Calibri"/>
          <w:lang w:eastAsia="en-NZ"/>
        </w:rPr>
        <w:t xml:space="preserve"> website.</w:t>
      </w:r>
    </w:p>
    <w:p w14:paraId="2A63C4B7" w14:textId="77777777" w:rsidR="007B4CC0" w:rsidRDefault="007B4CC0" w:rsidP="007B4CC0">
      <w:pPr>
        <w:rPr>
          <w:rFonts w:cs="Segoe UI"/>
          <w:b/>
          <w:bCs/>
          <w:sz w:val="48"/>
          <w:szCs w:val="48"/>
          <w:lang w:eastAsia="en-NZ"/>
        </w:rPr>
        <w:sectPr w:rsidR="007B4CC0" w:rsidSect="003309CA">
          <w:headerReference w:type="default" r:id="rId25"/>
          <w:footerReference w:type="even" r:id="rId26"/>
          <w:footerReference w:type="default" r:id="rId27"/>
          <w:pgSz w:w="11907" w:h="16834" w:code="9"/>
          <w:pgMar w:top="1418" w:right="1701" w:bottom="1134" w:left="1843" w:header="284" w:footer="425" w:gutter="284"/>
          <w:pgNumType w:start="1"/>
          <w:cols w:space="720"/>
        </w:sectPr>
      </w:pPr>
    </w:p>
    <w:p w14:paraId="703125E2" w14:textId="77777777" w:rsidR="007B4CC0" w:rsidRPr="00944B3A" w:rsidRDefault="007B4CC0" w:rsidP="007B4CC0">
      <w:pPr>
        <w:pStyle w:val="Heading1"/>
        <w:spacing w:before="0"/>
      </w:pPr>
      <w:bookmarkStart w:id="11" w:name="_Toc170220977"/>
      <w:r w:rsidRPr="00944B3A">
        <w:lastRenderedPageBreak/>
        <w:t>Roles and groups</w:t>
      </w:r>
      <w:bookmarkEnd w:id="11"/>
      <w:r w:rsidRPr="00944B3A">
        <w:t xml:space="preserve"> </w:t>
      </w:r>
    </w:p>
    <w:p w14:paraId="28874E68" w14:textId="77777777" w:rsidR="007B4CC0" w:rsidRPr="00706E12" w:rsidRDefault="007B4CC0" w:rsidP="007B4CC0">
      <w:pPr>
        <w:pStyle w:val="Heading2"/>
      </w:pPr>
      <w:bookmarkStart w:id="12" w:name="_Toc170220978"/>
      <w:r>
        <w:t>R</w:t>
      </w:r>
      <w:r w:rsidRPr="00706E12">
        <w:t xml:space="preserve">egistrar </w:t>
      </w:r>
      <w:r>
        <w:t>(assisted dying)</w:t>
      </w:r>
      <w:bookmarkEnd w:id="12"/>
    </w:p>
    <w:p w14:paraId="69D7B6A2" w14:textId="77777777" w:rsidR="007B4CC0" w:rsidRPr="001E7528" w:rsidRDefault="007B4CC0" w:rsidP="007B4CC0">
      <w:pPr>
        <w:rPr>
          <w:rFonts w:cs="Segoe UI"/>
        </w:rPr>
      </w:pPr>
      <w:r w:rsidRPr="001E7528">
        <w:rPr>
          <w:rFonts w:cs="Segoe UI"/>
        </w:rPr>
        <w:t>The Registrar</w:t>
      </w:r>
      <w:r>
        <w:rPr>
          <w:rFonts w:cs="Segoe UI"/>
        </w:rPr>
        <w:t xml:space="preserve"> (assisted dying) (the Registrar) </w:t>
      </w:r>
      <w:r w:rsidRPr="001E7528">
        <w:rPr>
          <w:rFonts w:cs="Segoe UI"/>
        </w:rPr>
        <w:t xml:space="preserve">is a statutory role under the Act </w:t>
      </w:r>
      <w:r>
        <w:rPr>
          <w:rFonts w:cs="Segoe UI"/>
        </w:rPr>
        <w:t>and must be a Ministry employee who is nomina</w:t>
      </w:r>
      <w:r w:rsidRPr="001E7528">
        <w:rPr>
          <w:rFonts w:cs="Segoe UI"/>
        </w:rPr>
        <w:t xml:space="preserve">ted by the Director-General of Health. </w:t>
      </w:r>
      <w:r>
        <w:rPr>
          <w:rFonts w:cs="Segoe UI"/>
        </w:rPr>
        <w:t>The</w:t>
      </w:r>
      <w:r w:rsidRPr="001E7528">
        <w:rPr>
          <w:rFonts w:cs="Segoe UI"/>
        </w:rPr>
        <w:t xml:space="preserve"> Registrar’s responsibilities </w:t>
      </w:r>
      <w:r>
        <w:rPr>
          <w:rFonts w:cs="Segoe UI"/>
        </w:rPr>
        <w:t xml:space="preserve">under the Act </w:t>
      </w:r>
      <w:r w:rsidRPr="001E7528">
        <w:rPr>
          <w:rFonts w:cs="Segoe UI"/>
        </w:rPr>
        <w:t xml:space="preserve">include: </w:t>
      </w:r>
    </w:p>
    <w:p w14:paraId="1386504D" w14:textId="77777777" w:rsidR="007B4CC0" w:rsidRPr="007B4CC0" w:rsidRDefault="007B4CC0" w:rsidP="007B4CC0">
      <w:pPr>
        <w:pStyle w:val="Bullet"/>
      </w:pPr>
      <w:r w:rsidRPr="007B4CC0">
        <w:t xml:space="preserve">reviewing the assisted dying forms completed by health practitioners to ensure compliance with the Act before the prescription is </w:t>
      </w:r>
      <w:proofErr w:type="gramStart"/>
      <w:r w:rsidRPr="007B4CC0">
        <w:t>released</w:t>
      </w:r>
      <w:proofErr w:type="gramEnd"/>
    </w:p>
    <w:p w14:paraId="22C35F95" w14:textId="77777777" w:rsidR="007B4CC0" w:rsidRPr="007B4CC0" w:rsidRDefault="007B4CC0" w:rsidP="007B4CC0">
      <w:pPr>
        <w:pStyle w:val="Bullet"/>
      </w:pPr>
      <w:r w:rsidRPr="007B4CC0">
        <w:t xml:space="preserve">establishing and maintaining a register of approved forms for the assisted dying process, including consulting the Privacy Commissioner as required under the </w:t>
      </w:r>
      <w:proofErr w:type="gramStart"/>
      <w:r w:rsidRPr="007B4CC0">
        <w:t>Act</w:t>
      </w:r>
      <w:proofErr w:type="gramEnd"/>
      <w:r w:rsidRPr="007B4CC0">
        <w:t xml:space="preserve">  </w:t>
      </w:r>
    </w:p>
    <w:p w14:paraId="3C36A727" w14:textId="77777777" w:rsidR="007B4CC0" w:rsidRPr="007B4CC0" w:rsidRDefault="007B4CC0" w:rsidP="007B4CC0">
      <w:pPr>
        <w:pStyle w:val="Bullet"/>
      </w:pPr>
      <w:r w:rsidRPr="007B4CC0">
        <w:t xml:space="preserve">receiving and managing complaints, including referring them to the Health and Disability Commissioner (HDC), New Zealand Police and/or other appropriate authorities </w:t>
      </w:r>
    </w:p>
    <w:p w14:paraId="17B75CB6" w14:textId="77777777" w:rsidR="007B4CC0" w:rsidRPr="007B4CC0" w:rsidRDefault="007B4CC0" w:rsidP="007B4CC0">
      <w:pPr>
        <w:pStyle w:val="Bullet"/>
      </w:pPr>
      <w:r w:rsidRPr="007B4CC0">
        <w:t xml:space="preserve">taking any action as directed by the </w:t>
      </w:r>
      <w:proofErr w:type="gramStart"/>
      <w:r w:rsidRPr="007B4CC0">
        <w:t>End of Life</w:t>
      </w:r>
      <w:proofErr w:type="gramEnd"/>
      <w:r w:rsidRPr="007B4CC0">
        <w:t xml:space="preserve"> Review Committee. </w:t>
      </w:r>
    </w:p>
    <w:p w14:paraId="09DB65E3" w14:textId="77777777" w:rsidR="007B4CC0" w:rsidRPr="00740ADB" w:rsidRDefault="007B4CC0" w:rsidP="007B4CC0">
      <w:pPr>
        <w:pStyle w:val="Heading2"/>
      </w:pPr>
      <w:bookmarkStart w:id="13" w:name="_Toc170220979"/>
      <w:r w:rsidRPr="00740ADB">
        <w:t>The Support and Consultation for End of Life in New Zealand Group</w:t>
      </w:r>
      <w:bookmarkEnd w:id="13"/>
    </w:p>
    <w:p w14:paraId="40E05BE7" w14:textId="2AC3A223" w:rsidR="007B4CC0" w:rsidRDefault="007B4CC0" w:rsidP="007B4CC0">
      <w:r>
        <w:t xml:space="preserve">The </w:t>
      </w:r>
      <w:r w:rsidRPr="00740ADB">
        <w:t>Support and Consultation for</w:t>
      </w:r>
      <w:r>
        <w:t xml:space="preserve"> End of Life in New Zealand Group (SCENZ Group) is a statutory body under the Act. Members are appointed by the Director-General of Health for a period of two years. The role of the SCENZ Group is specified in section 25 of the Act. The SCENZ Group maintains a list of health practitioners willing to provide assisted dying services in New Zealand and is responsible for the clinical guidelines for administering medication for an assisted death and the standard of care for assisted dying in New Zealand.  </w:t>
      </w:r>
    </w:p>
    <w:p w14:paraId="2E2FECA3" w14:textId="77777777" w:rsidR="007B4CC0" w:rsidRDefault="007B4CC0" w:rsidP="007B4CC0"/>
    <w:p w14:paraId="7A328DB9" w14:textId="77777777" w:rsidR="007B4CC0" w:rsidRDefault="007B4CC0" w:rsidP="007B4CC0">
      <w:r>
        <w:t xml:space="preserve">Appointments to the SCENZ Group were renewed at the end of 2023. More information about the SCENZ Group, including details of its current members, can be found on </w:t>
      </w:r>
      <w:hyperlink r:id="rId28">
        <w:r>
          <w:rPr>
            <w:rStyle w:val="Hyperlink"/>
          </w:rPr>
          <w:t>The Support and Consultation for End of Life in New Zealand (SCENZ) Group webpage on the Ministry’s website</w:t>
        </w:r>
      </w:hyperlink>
      <w:r>
        <w:t xml:space="preserve">.  </w:t>
      </w:r>
    </w:p>
    <w:p w14:paraId="0073E620" w14:textId="77777777" w:rsidR="007B4CC0" w:rsidRPr="00171684" w:rsidRDefault="007B4CC0" w:rsidP="007B4CC0">
      <w:pPr>
        <w:pStyle w:val="Heading2"/>
      </w:pPr>
      <w:bookmarkStart w:id="14" w:name="_Toc170220980"/>
      <w:r w:rsidRPr="00171684">
        <w:t>End of Life Review Committee</w:t>
      </w:r>
      <w:bookmarkEnd w:id="14"/>
    </w:p>
    <w:p w14:paraId="79500D19" w14:textId="7F95ED79" w:rsidR="007B4CC0" w:rsidRDefault="007B4CC0" w:rsidP="007B4CC0">
      <w:r>
        <w:t xml:space="preserve">The </w:t>
      </w:r>
      <w:proofErr w:type="gramStart"/>
      <w:r>
        <w:t>End of Life</w:t>
      </w:r>
      <w:proofErr w:type="gramEnd"/>
      <w:r>
        <w:t xml:space="preserve"> Review Committee (the Committee) is responsible for considering the death reports sent to them by the Registrar under section 21(3) of the Act. The Committee decides whether the death report shows satisfactory compliance with section 21(2) of the Act. Its function is to make recommendations to the Registrar about the death report information should that be necessary. </w:t>
      </w:r>
    </w:p>
    <w:p w14:paraId="35C42701" w14:textId="77777777" w:rsidR="007B4CC0" w:rsidRDefault="007B4CC0" w:rsidP="007B4CC0"/>
    <w:p w14:paraId="0F13701F" w14:textId="41192881" w:rsidR="007B4CC0" w:rsidRDefault="007B4CC0" w:rsidP="007B4CC0">
      <w:pPr>
        <w:rPr>
          <w:rStyle w:val="Hyperlink"/>
          <w:bCs/>
        </w:rPr>
      </w:pPr>
      <w:r>
        <w:lastRenderedPageBreak/>
        <w:t xml:space="preserve">Following the resignation of one of the Committee members in late 2023, the work of the Committee has been on hold pending the appointment of new members by the Minister of Health. More information about the Committee can be found on </w:t>
      </w:r>
      <w:hyperlink r:id="rId29">
        <w:r>
          <w:rPr>
            <w:rStyle w:val="Hyperlink"/>
          </w:rPr>
          <w:t>The End of Life Review Committee webpage on the Ministry’s website</w:t>
        </w:r>
      </w:hyperlink>
      <w:r w:rsidRPr="00564806">
        <w:rPr>
          <w:rStyle w:val="Hyperlink"/>
          <w:bCs/>
        </w:rPr>
        <w:t>.</w:t>
      </w:r>
    </w:p>
    <w:p w14:paraId="7D33C037" w14:textId="77777777" w:rsidR="007B4CC0" w:rsidRDefault="007B4CC0" w:rsidP="007B4CC0"/>
    <w:p w14:paraId="77C113D3" w14:textId="77777777" w:rsidR="007B4CC0" w:rsidRDefault="007B4CC0" w:rsidP="007B4CC0">
      <w:r>
        <w:t xml:space="preserve">The Registrar did not receive any recommendations from the Committee for the period of this report. </w:t>
      </w:r>
    </w:p>
    <w:p w14:paraId="45227931" w14:textId="77777777" w:rsidR="007B4CC0" w:rsidRPr="00171684" w:rsidRDefault="007B4CC0" w:rsidP="007B4CC0">
      <w:pPr>
        <w:pStyle w:val="Heading2"/>
      </w:pPr>
      <w:bookmarkStart w:id="15" w:name="_Toc170220981"/>
      <w:r w:rsidRPr="00171684">
        <w:t>Assisted Dying Secretariat</w:t>
      </w:r>
      <w:bookmarkEnd w:id="15"/>
      <w:r w:rsidRPr="00171684">
        <w:t xml:space="preserve"> </w:t>
      </w:r>
    </w:p>
    <w:p w14:paraId="56902A3C" w14:textId="3091E309" w:rsidR="007B4CC0" w:rsidRPr="00342431" w:rsidRDefault="007B4CC0" w:rsidP="007B4CC0">
      <w:pPr>
        <w:rPr>
          <w:lang w:eastAsia="en-NZ"/>
        </w:rPr>
      </w:pPr>
      <w:r w:rsidRPr="73739957">
        <w:rPr>
          <w:lang w:eastAsia="en-NZ"/>
        </w:rPr>
        <w:t>The Assisted Dying Secretariat</w:t>
      </w:r>
      <w:r>
        <w:rPr>
          <w:lang w:eastAsia="en-NZ"/>
        </w:rPr>
        <w:t xml:space="preserve"> (the Secretariat)</w:t>
      </w:r>
      <w:r w:rsidRPr="73739957">
        <w:rPr>
          <w:lang w:eastAsia="en-NZ"/>
        </w:rPr>
        <w:t xml:space="preserve"> is part of the Regulatory Assurance team</w:t>
      </w:r>
      <w:r>
        <w:rPr>
          <w:lang w:eastAsia="en-NZ"/>
        </w:rPr>
        <w:t xml:space="preserve"> in the Ministry’s Regulation and Monitoring </w:t>
      </w:r>
      <w:r w:rsidR="003A35A2">
        <w:rPr>
          <w:rFonts w:ascii="Arial" w:hAnsi="Arial" w:cs="Arial"/>
          <w:lang w:eastAsia="en-NZ"/>
        </w:rPr>
        <w:t xml:space="preserve">– </w:t>
      </w:r>
      <w:proofErr w:type="spellStart"/>
      <w:r>
        <w:rPr>
          <w:lang w:eastAsia="en-NZ"/>
        </w:rPr>
        <w:t>Te</w:t>
      </w:r>
      <w:proofErr w:type="spellEnd"/>
      <w:r>
        <w:rPr>
          <w:lang w:eastAsia="en-NZ"/>
        </w:rPr>
        <w:t xml:space="preserve"> </w:t>
      </w:r>
      <w:proofErr w:type="spellStart"/>
      <w:r>
        <w:rPr>
          <w:lang w:eastAsia="en-NZ"/>
        </w:rPr>
        <w:t>Pou</w:t>
      </w:r>
      <w:proofErr w:type="spellEnd"/>
      <w:r>
        <w:rPr>
          <w:lang w:eastAsia="en-NZ"/>
        </w:rPr>
        <w:t xml:space="preserve"> </w:t>
      </w:r>
      <w:proofErr w:type="spellStart"/>
      <w:r>
        <w:rPr>
          <w:lang w:eastAsia="en-NZ"/>
        </w:rPr>
        <w:t>Whakamaru</w:t>
      </w:r>
      <w:proofErr w:type="spellEnd"/>
      <w:r>
        <w:rPr>
          <w:lang w:eastAsia="en-NZ"/>
        </w:rPr>
        <w:t xml:space="preserve"> directorate</w:t>
      </w:r>
      <w:r w:rsidRPr="73739957">
        <w:rPr>
          <w:lang w:eastAsia="en-NZ"/>
        </w:rPr>
        <w:t xml:space="preserve">. The Secretariat </w:t>
      </w:r>
      <w:r>
        <w:rPr>
          <w:lang w:eastAsia="en-NZ"/>
        </w:rPr>
        <w:t xml:space="preserve">supports the SCENZ Group, the </w:t>
      </w:r>
      <w:r w:rsidRPr="00740ADB">
        <w:rPr>
          <w:lang w:eastAsia="en-NZ"/>
        </w:rPr>
        <w:t>Committee</w:t>
      </w:r>
      <w:r>
        <w:rPr>
          <w:lang w:eastAsia="en-NZ"/>
        </w:rPr>
        <w:t xml:space="preserve"> and the Office of the Registrar</w:t>
      </w:r>
      <w:r w:rsidRPr="00740ADB">
        <w:rPr>
          <w:lang w:eastAsia="en-NZ"/>
        </w:rPr>
        <w:t xml:space="preserve"> </w:t>
      </w:r>
      <w:r>
        <w:rPr>
          <w:lang w:eastAsia="en-NZ"/>
        </w:rPr>
        <w:t xml:space="preserve">and </w:t>
      </w:r>
      <w:r w:rsidRPr="73739957">
        <w:rPr>
          <w:lang w:eastAsia="en-NZ"/>
        </w:rPr>
        <w:t>has a regulatory and monitoring function to ensure compliance with</w:t>
      </w:r>
      <w:r>
        <w:rPr>
          <w:lang w:eastAsia="en-NZ"/>
        </w:rPr>
        <w:t xml:space="preserve"> the</w:t>
      </w:r>
      <w:r w:rsidRPr="73739957">
        <w:rPr>
          <w:lang w:eastAsia="en-NZ"/>
        </w:rPr>
        <w:t xml:space="preserve"> Ac</w:t>
      </w:r>
      <w:r w:rsidRPr="00BA216C">
        <w:rPr>
          <w:lang w:eastAsia="en-NZ"/>
        </w:rPr>
        <w:t>t. The Registrar works closely with the Secretariat.</w:t>
      </w:r>
      <w:r w:rsidRPr="73739957">
        <w:rPr>
          <w:lang w:eastAsia="en-NZ"/>
        </w:rPr>
        <w:t xml:space="preserve"> </w:t>
      </w:r>
    </w:p>
    <w:p w14:paraId="73B12D0A" w14:textId="77777777" w:rsidR="007B4CC0" w:rsidRPr="007A23DB" w:rsidRDefault="007B4CC0" w:rsidP="007B4CC0">
      <w:pPr>
        <w:pStyle w:val="Heading2"/>
        <w:rPr>
          <w:lang w:eastAsia="en-NZ"/>
        </w:rPr>
      </w:pPr>
      <w:bookmarkStart w:id="16" w:name="_Toc170220982"/>
      <w:r w:rsidRPr="007A23DB">
        <w:rPr>
          <w:lang w:eastAsia="en-NZ"/>
        </w:rPr>
        <w:t>Office of the Registrar</w:t>
      </w:r>
      <w:bookmarkEnd w:id="16"/>
    </w:p>
    <w:p w14:paraId="6F19D264" w14:textId="77777777" w:rsidR="007B4CC0" w:rsidRPr="00776D50" w:rsidRDefault="007B4CC0" w:rsidP="007B4CC0">
      <w:pPr>
        <w:pStyle w:val="Bullet"/>
        <w:numPr>
          <w:ilvl w:val="0"/>
          <w:numId w:val="0"/>
        </w:numPr>
        <w:spacing w:before="0"/>
        <w:rPr>
          <w:rFonts w:asciiTheme="minorHAnsi" w:eastAsiaTheme="minorEastAsia" w:hAnsiTheme="minorHAnsi" w:cstheme="minorBidi"/>
          <w:sz w:val="22"/>
          <w:szCs w:val="22"/>
          <w:lang w:eastAsia="en-US"/>
        </w:rPr>
      </w:pPr>
      <w:r w:rsidRPr="3F138F33">
        <w:rPr>
          <w:rFonts w:asciiTheme="minorHAnsi" w:eastAsiaTheme="minorEastAsia" w:hAnsiTheme="minorHAnsi" w:cstheme="minorBidi"/>
          <w:sz w:val="22"/>
          <w:szCs w:val="22"/>
          <w:lang w:eastAsia="en-US"/>
        </w:rPr>
        <w:t xml:space="preserve">The Office of the Registrar (the Office) supports the Registrar. The Office includes the Deputy Registrar and members of the Secretariat who hold the relevant knowledge and technical skills. </w:t>
      </w:r>
    </w:p>
    <w:p w14:paraId="103B1840" w14:textId="77777777" w:rsidR="007B4CC0" w:rsidRPr="00311544" w:rsidRDefault="007B4CC0" w:rsidP="007B4CC0">
      <w:pPr>
        <w:pStyle w:val="Heading2"/>
      </w:pPr>
      <w:bookmarkStart w:id="17" w:name="_Toc170220983"/>
      <w:r>
        <w:t xml:space="preserve">Health New Zealand - </w:t>
      </w:r>
      <w:proofErr w:type="spellStart"/>
      <w:r w:rsidRPr="00311544">
        <w:t>Te</w:t>
      </w:r>
      <w:proofErr w:type="spellEnd"/>
      <w:r w:rsidRPr="00311544">
        <w:t xml:space="preserve"> </w:t>
      </w:r>
      <w:proofErr w:type="spellStart"/>
      <w:r w:rsidRPr="00311544">
        <w:t>Whatu</w:t>
      </w:r>
      <w:proofErr w:type="spellEnd"/>
      <w:r w:rsidRPr="00311544">
        <w:t xml:space="preserve"> Ora</w:t>
      </w:r>
      <w:bookmarkEnd w:id="17"/>
      <w:r w:rsidRPr="00311544">
        <w:t xml:space="preserve"> </w:t>
      </w:r>
    </w:p>
    <w:p w14:paraId="461E001A" w14:textId="77777777" w:rsidR="007B4CC0" w:rsidRDefault="007B4CC0" w:rsidP="007B4CC0">
      <w:r>
        <w:t xml:space="preserve">Health New Zealand - </w:t>
      </w:r>
      <w:proofErr w:type="spellStart"/>
      <w:r>
        <w:t>Te</w:t>
      </w:r>
      <w:proofErr w:type="spellEnd"/>
      <w:r>
        <w:t xml:space="preserve"> </w:t>
      </w:r>
      <w:proofErr w:type="spellStart"/>
      <w:r>
        <w:t>Whatu</w:t>
      </w:r>
      <w:proofErr w:type="spellEnd"/>
      <w:r>
        <w:t xml:space="preserve"> Ora (Health New Zealand) is responsible for the delivery of assisted dying services. As such, this report does not include general information relating to the operational functions, such as training, </w:t>
      </w:r>
      <w:r w:rsidRPr="00DE41A8">
        <w:t xml:space="preserve">clinical support, service provision and data </w:t>
      </w:r>
      <w:r>
        <w:t xml:space="preserve">collection. </w:t>
      </w:r>
    </w:p>
    <w:p w14:paraId="5A8C6C64" w14:textId="77777777" w:rsidR="007B4CC0" w:rsidRDefault="007B4CC0" w:rsidP="007B4CC0">
      <w:pPr>
        <w:rPr>
          <w:lang w:eastAsia="en-NZ"/>
        </w:rPr>
        <w:sectPr w:rsidR="007B4CC0" w:rsidSect="007B4CC0">
          <w:pgSz w:w="11907" w:h="16834" w:code="9"/>
          <w:pgMar w:top="1418" w:right="1701" w:bottom="1134" w:left="1843" w:header="284" w:footer="425" w:gutter="284"/>
          <w:cols w:space="720"/>
        </w:sectPr>
      </w:pPr>
    </w:p>
    <w:p w14:paraId="577CE4D7" w14:textId="77777777" w:rsidR="007B4CC0" w:rsidRPr="006F54F8" w:rsidRDefault="007B4CC0" w:rsidP="007B4CC0">
      <w:pPr>
        <w:pStyle w:val="Heading1"/>
        <w:spacing w:before="0"/>
      </w:pPr>
      <w:bookmarkStart w:id="18" w:name="_Toc170220984"/>
      <w:r w:rsidRPr="006F54F8">
        <w:lastRenderedPageBreak/>
        <w:t xml:space="preserve">Reporting and </w:t>
      </w:r>
      <w:r>
        <w:t>s</w:t>
      </w:r>
      <w:r w:rsidRPr="006F54F8">
        <w:t xml:space="preserve">ervice </w:t>
      </w:r>
      <w:r>
        <w:t>a</w:t>
      </w:r>
      <w:r w:rsidRPr="006F54F8">
        <w:t>ctivity</w:t>
      </w:r>
      <w:bookmarkEnd w:id="18"/>
    </w:p>
    <w:p w14:paraId="6D63F59A" w14:textId="0A761904" w:rsidR="007B4CC0" w:rsidRDefault="007B4CC0" w:rsidP="007B4CC0">
      <w:r>
        <w:t xml:space="preserve">The Ministry, through Health New Zealand, collects data about assisted dying services as part of its role in overseeing and monitoring those services. Collecting this information helps us understand both who is accessing services and how these services are provided. Data can provide insight into how the process is experienced by individuals, their whānau, and the health practitioners who provide the services. This drives continuous improvements and results in better outcomes for those accessing assisted dying services. </w:t>
      </w:r>
    </w:p>
    <w:p w14:paraId="6FAA60CD" w14:textId="77777777" w:rsidR="007B4CC0" w:rsidRPr="00862736" w:rsidRDefault="007B4CC0" w:rsidP="007B4CC0"/>
    <w:p w14:paraId="2ED20B8F" w14:textId="76509B12" w:rsidR="007B4CC0" w:rsidRDefault="007B4CC0" w:rsidP="007B4CC0">
      <w:r>
        <w:t xml:space="preserve">The level of detail that can currently be reported is limited due to the need to protect confidentiality of individuals using the services when there are a low number of cases to date. </w:t>
      </w:r>
    </w:p>
    <w:p w14:paraId="0D59F276" w14:textId="77777777" w:rsidR="007B4CC0" w:rsidRDefault="007B4CC0" w:rsidP="007B4CC0"/>
    <w:p w14:paraId="4B12351B" w14:textId="77777777" w:rsidR="007B4CC0" w:rsidRDefault="007B4CC0" w:rsidP="007B4CC0">
      <w:r w:rsidRPr="00F54FFE">
        <w:t>The collection and consolidation of data informing this report has been undertaken by Health New Zealand and provided to the Ministry of Health. As part of its supervisory role, the Ministry reviews and ratifies this information over time. Further review and adjustment may occur because of this process</w:t>
      </w:r>
      <w:r>
        <w:t xml:space="preserve">.  </w:t>
      </w:r>
    </w:p>
    <w:p w14:paraId="67F0B1B7" w14:textId="77777777" w:rsidR="00AB63A0" w:rsidRDefault="00AB63A0" w:rsidP="007B4CC0">
      <w:pPr>
        <w:pStyle w:val="Heading2"/>
        <w:sectPr w:rsidR="00AB63A0" w:rsidSect="007B4CC0">
          <w:pgSz w:w="11907" w:h="16834" w:code="9"/>
          <w:pgMar w:top="1418" w:right="1701" w:bottom="1134" w:left="1843" w:header="284" w:footer="425" w:gutter="284"/>
          <w:cols w:space="720"/>
        </w:sectPr>
      </w:pPr>
      <w:bookmarkStart w:id="19" w:name="_Toc138428956"/>
    </w:p>
    <w:p w14:paraId="148C2394" w14:textId="5B3DABB2" w:rsidR="007B4CC0" w:rsidRPr="007B4CC0" w:rsidRDefault="007B4CC0" w:rsidP="00AB63A0">
      <w:pPr>
        <w:pStyle w:val="Heading1"/>
        <w:spacing w:before="0"/>
      </w:pPr>
      <w:bookmarkStart w:id="20" w:name="_Toc170220985"/>
      <w:r w:rsidRPr="007B4CC0">
        <w:lastRenderedPageBreak/>
        <w:t xml:space="preserve">Overview of assisted dying </w:t>
      </w:r>
      <w:proofErr w:type="gramStart"/>
      <w:r w:rsidRPr="007B4CC0">
        <w:t>applications</w:t>
      </w:r>
      <w:bookmarkEnd w:id="19"/>
      <w:bookmarkEnd w:id="20"/>
      <w:proofErr w:type="gramEnd"/>
    </w:p>
    <w:p w14:paraId="5F3DA547" w14:textId="46881E48" w:rsidR="007B4CC0" w:rsidRDefault="007B4CC0" w:rsidP="007B4CC0">
      <w:r>
        <w:t>The data provided below reflects a summary of individuals’ interactions with the Service from 1 April 2023 to 31 March 2024. Accordingly, medical assessments and outcomes may refer to applications initiated in the Registrar’s previous annual report. Between 1 April 2023 and 31 March 2024, there we</w:t>
      </w:r>
      <w:r w:rsidRPr="00F3216D">
        <w:t xml:space="preserve">re 834 new formal applications for assisted dying. This report also contains information on 111 applications that were ongoing at the end of the last Registrar annual report (for the 2022/23 year). Thus, a total of 945 applications </w:t>
      </w:r>
      <w:r>
        <w:t xml:space="preserve">were active during this 2023/24 reporting period, reflecting an increase in active applications of 11% from the previous reporting period. </w:t>
      </w:r>
    </w:p>
    <w:p w14:paraId="6EFE941C" w14:textId="77777777" w:rsidR="007B4CC0" w:rsidRPr="00D23BF4" w:rsidRDefault="007B4CC0" w:rsidP="007B4CC0"/>
    <w:p w14:paraId="5AFA7DB1" w14:textId="77777777" w:rsidR="007B4CC0" w:rsidRPr="00135F43" w:rsidRDefault="007B4CC0" w:rsidP="007B4CC0">
      <w:r>
        <w:t>As of 31 March 2024, there were 71 individuals still in the process of assessment or in preparation for assisted dying, and 344 people had an assisted death. The remaining applications had not progressed to an assisted death due to:</w:t>
      </w:r>
    </w:p>
    <w:p w14:paraId="56B4D487" w14:textId="77777777" w:rsidR="007B4CC0" w:rsidRPr="007B4CC0" w:rsidRDefault="007B4CC0" w:rsidP="007B4CC0">
      <w:pPr>
        <w:pStyle w:val="Bullet"/>
      </w:pPr>
      <w:r w:rsidRPr="007B4CC0">
        <w:t xml:space="preserve">the application being found to not comply with the </w:t>
      </w:r>
      <w:proofErr w:type="gramStart"/>
      <w:r w:rsidRPr="007B4CC0">
        <w:t>Act</w:t>
      </w:r>
      <w:proofErr w:type="gramEnd"/>
    </w:p>
    <w:p w14:paraId="724A2817" w14:textId="77777777" w:rsidR="007B4CC0" w:rsidRPr="007B4CC0" w:rsidRDefault="007B4CC0" w:rsidP="007B4CC0">
      <w:pPr>
        <w:pStyle w:val="Bullet"/>
      </w:pPr>
      <w:r w:rsidRPr="007B4CC0">
        <w:t xml:space="preserve">the applicant withdrawing their </w:t>
      </w:r>
      <w:proofErr w:type="gramStart"/>
      <w:r w:rsidRPr="007B4CC0">
        <w:t>application</w:t>
      </w:r>
      <w:proofErr w:type="gramEnd"/>
    </w:p>
    <w:p w14:paraId="21F0ED86" w14:textId="77777777" w:rsidR="007B4CC0" w:rsidRPr="007B4CC0" w:rsidRDefault="007B4CC0" w:rsidP="007B4CC0">
      <w:pPr>
        <w:pStyle w:val="Bullet"/>
      </w:pPr>
      <w:r w:rsidRPr="007B4CC0">
        <w:t xml:space="preserve">the applicant being found ineligible or not competent to give consent at or following </w:t>
      </w:r>
      <w:proofErr w:type="gramStart"/>
      <w:r w:rsidRPr="007B4CC0">
        <w:t>assessment</w:t>
      </w:r>
      <w:proofErr w:type="gramEnd"/>
    </w:p>
    <w:p w14:paraId="32D4E833" w14:textId="77777777" w:rsidR="007B4CC0" w:rsidRPr="007B4CC0" w:rsidRDefault="007B4CC0" w:rsidP="007B4CC0">
      <w:pPr>
        <w:pStyle w:val="Bullet"/>
      </w:pPr>
      <w:r w:rsidRPr="007B4CC0">
        <w:t>the applicant dying as a result of underlying conditions.</w:t>
      </w:r>
    </w:p>
    <w:p w14:paraId="2CDCC10C" w14:textId="77777777" w:rsidR="007B4CC0" w:rsidRPr="006D6B24" w:rsidRDefault="007B4CC0" w:rsidP="007B4CC0">
      <w:pPr>
        <w:pStyle w:val="Bullet"/>
        <w:numPr>
          <w:ilvl w:val="0"/>
          <w:numId w:val="0"/>
        </w:numPr>
        <w:ind w:left="284"/>
        <w:rPr>
          <w:rFonts w:asciiTheme="minorHAnsi" w:hAnsiTheme="minorHAnsi" w:cstheme="minorHAnsi"/>
          <w:sz w:val="22"/>
          <w:szCs w:val="22"/>
        </w:rPr>
      </w:pPr>
    </w:p>
    <w:p w14:paraId="2BE6BF01" w14:textId="3784DBDA" w:rsidR="007B4CC0" w:rsidRDefault="007B4CC0" w:rsidP="007B4CC0">
      <w:r>
        <w:t xml:space="preserve">Assisted dying services are person-centred, and the time taken from application through to assisted death varies based on the applicant’s personal situation. People requesting assisted deaths are nearing the end of their life, which means they may feel a sense of urgency about moving through the process quickly. However, assisted dying is not an acute or urgent service, and the Secretariat aims to set realistic expectations with people that the process from initial application through to determination of eligibility may take up to six weeks. The Act stipulates the processes and steps that need to be followed to ensure a safe and quality service. For those found eligible following assessment, the average time between initial formal application and eligibility approval is </w:t>
      </w:r>
      <w:r w:rsidRPr="00A74C76">
        <w:t>16 days.</w:t>
      </w:r>
      <w:r>
        <w:t xml:space="preserve"> </w:t>
      </w:r>
    </w:p>
    <w:p w14:paraId="7EF30066" w14:textId="77777777" w:rsidR="007B4CC0" w:rsidRDefault="007B4CC0" w:rsidP="007B4CC0"/>
    <w:p w14:paraId="4E3A5471" w14:textId="77777777" w:rsidR="007B4CC0" w:rsidRDefault="007B4CC0" w:rsidP="007B4CC0">
      <w:r w:rsidRPr="006119E4">
        <w:t>While individual circumstances specific to each case can impact the length of time between application and determination of eligibility, the number of people dying during the assessment process is reflective of how close to the end of life some applicants are, as opposed to there being significant delays in accessing services.</w:t>
      </w:r>
    </w:p>
    <w:p w14:paraId="6AB1F8A4" w14:textId="77777777" w:rsidR="00E95DAF" w:rsidRDefault="00E95DAF" w:rsidP="007B4CC0">
      <w:pPr>
        <w:pStyle w:val="Heading2"/>
        <w:sectPr w:rsidR="00E95DAF" w:rsidSect="007B4CC0">
          <w:pgSz w:w="11907" w:h="16834" w:code="9"/>
          <w:pgMar w:top="1418" w:right="1701" w:bottom="1134" w:left="1843" w:header="284" w:footer="425" w:gutter="284"/>
          <w:cols w:space="720"/>
        </w:sectPr>
      </w:pPr>
      <w:bookmarkStart w:id="21" w:name="_Toc103085570"/>
      <w:bookmarkStart w:id="22" w:name="_Toc103606332"/>
      <w:bookmarkStart w:id="23" w:name="_Toc104460682"/>
      <w:bookmarkStart w:id="24" w:name="_Toc106611877"/>
    </w:p>
    <w:p w14:paraId="2EC64D0B" w14:textId="68003303" w:rsidR="007B4CC0" w:rsidRPr="006E1310" w:rsidRDefault="007B4CC0" w:rsidP="00E95DAF">
      <w:pPr>
        <w:pStyle w:val="Heading2"/>
        <w:spacing w:before="0"/>
      </w:pPr>
      <w:bookmarkStart w:id="25" w:name="_Toc170220986"/>
      <w:r w:rsidRPr="006E1310">
        <w:lastRenderedPageBreak/>
        <w:t>Demographics of applicants</w:t>
      </w:r>
      <w:bookmarkEnd w:id="21"/>
      <w:bookmarkEnd w:id="22"/>
      <w:bookmarkEnd w:id="23"/>
      <w:bookmarkEnd w:id="24"/>
      <w:bookmarkEnd w:id="25"/>
    </w:p>
    <w:p w14:paraId="0886583F" w14:textId="4B6350D3" w:rsidR="007B4CC0" w:rsidRDefault="007B4CC0" w:rsidP="007B4CC0">
      <w:pPr>
        <w:rPr>
          <w:shd w:val="clear" w:color="auto" w:fill="FFFFFF"/>
        </w:rPr>
      </w:pPr>
      <w:r w:rsidRPr="003159E6">
        <w:rPr>
          <w:shd w:val="clear" w:color="auto" w:fill="FFFFFF"/>
        </w:rPr>
        <w:t xml:space="preserve">The Ministry </w:t>
      </w:r>
      <w:r>
        <w:rPr>
          <w:shd w:val="clear" w:color="auto" w:fill="FFFFFF"/>
        </w:rPr>
        <w:t xml:space="preserve">collects </w:t>
      </w:r>
      <w:r w:rsidRPr="003159E6">
        <w:rPr>
          <w:shd w:val="clear" w:color="auto" w:fill="FFFFFF"/>
        </w:rPr>
        <w:t xml:space="preserve">information about the demographics of applicants, including gender and ethnicity data, which is collected based on health sector standards and protocols. </w:t>
      </w:r>
    </w:p>
    <w:p w14:paraId="3C208D96" w14:textId="77777777" w:rsidR="007B4CC0" w:rsidRPr="009436E3" w:rsidRDefault="007B4CC0" w:rsidP="007B4CC0">
      <w:pPr>
        <w:rPr>
          <w:shd w:val="clear" w:color="auto" w:fill="FFFFFF"/>
        </w:rPr>
      </w:pPr>
    </w:p>
    <w:p w14:paraId="24F413AC" w14:textId="77777777" w:rsidR="007B4CC0" w:rsidRPr="00DE5FEF" w:rsidRDefault="007B4CC0" w:rsidP="007B4CC0">
      <w:pPr>
        <w:rPr>
          <w:lang w:eastAsia="en-NZ"/>
        </w:rPr>
      </w:pPr>
      <w:r w:rsidRPr="683FF59B">
        <w:rPr>
          <w:lang w:eastAsia="en-NZ"/>
        </w:rPr>
        <w:t>Of the 834 new applications received over the 2023/24 year:</w:t>
      </w:r>
    </w:p>
    <w:p w14:paraId="42A37C75" w14:textId="77777777" w:rsidR="007B4CC0" w:rsidRPr="007B4CC0" w:rsidRDefault="007B4CC0" w:rsidP="007B4CC0">
      <w:pPr>
        <w:pStyle w:val="Bullet"/>
      </w:pPr>
      <w:r w:rsidRPr="007B4CC0">
        <w:t>82% identified as New Zealand European/Pākehā</w:t>
      </w:r>
    </w:p>
    <w:p w14:paraId="14EA7F94" w14:textId="77777777" w:rsidR="007B4CC0" w:rsidRPr="007B4CC0" w:rsidRDefault="007B4CC0" w:rsidP="007B4CC0">
      <w:pPr>
        <w:pStyle w:val="Bullet"/>
      </w:pPr>
      <w:r w:rsidRPr="007B4CC0">
        <w:t xml:space="preserve">4% identified as </w:t>
      </w:r>
      <w:proofErr w:type="gramStart"/>
      <w:r w:rsidRPr="007B4CC0">
        <w:t>Māori</w:t>
      </w:r>
      <w:proofErr w:type="gramEnd"/>
    </w:p>
    <w:p w14:paraId="032D19E6" w14:textId="77777777" w:rsidR="007B4CC0" w:rsidRPr="007B4CC0" w:rsidRDefault="007B4CC0" w:rsidP="007B4CC0">
      <w:pPr>
        <w:pStyle w:val="Bullet"/>
      </w:pPr>
      <w:r w:rsidRPr="007B4CC0">
        <w:t>49% identified as female/</w:t>
      </w:r>
      <w:proofErr w:type="spellStart"/>
      <w:proofErr w:type="gramStart"/>
      <w:r w:rsidRPr="007B4CC0">
        <w:t>wāhine</w:t>
      </w:r>
      <w:proofErr w:type="spellEnd"/>
      <w:proofErr w:type="gramEnd"/>
    </w:p>
    <w:p w14:paraId="74474AD1" w14:textId="77777777" w:rsidR="007B4CC0" w:rsidRPr="007B4CC0" w:rsidRDefault="007B4CC0" w:rsidP="007B4CC0">
      <w:pPr>
        <w:pStyle w:val="Bullet"/>
      </w:pPr>
      <w:r w:rsidRPr="007B4CC0">
        <w:t xml:space="preserve">78% were 65 years or </w:t>
      </w:r>
      <w:proofErr w:type="gramStart"/>
      <w:r w:rsidRPr="007B4CC0">
        <w:t>older</w:t>
      </w:r>
      <w:proofErr w:type="gramEnd"/>
    </w:p>
    <w:p w14:paraId="6E0E31F4" w14:textId="77777777" w:rsidR="007B4CC0" w:rsidRPr="007B4CC0" w:rsidRDefault="007B4CC0" w:rsidP="007B4CC0">
      <w:pPr>
        <w:pStyle w:val="Bullet"/>
      </w:pPr>
      <w:r w:rsidRPr="007B4CC0">
        <w:t xml:space="preserve">76% were receiving palliative care at the time of the </w:t>
      </w:r>
      <w:proofErr w:type="gramStart"/>
      <w:r w:rsidRPr="007B4CC0">
        <w:t>application</w:t>
      </w:r>
      <w:proofErr w:type="gramEnd"/>
    </w:p>
    <w:p w14:paraId="319F627D" w14:textId="77777777" w:rsidR="007B4CC0" w:rsidRPr="007B4CC0" w:rsidRDefault="007B4CC0" w:rsidP="007B4CC0">
      <w:pPr>
        <w:pStyle w:val="Bullet"/>
      </w:pPr>
      <w:r w:rsidRPr="007B4CC0">
        <w:t xml:space="preserve">69% had a diagnosis of cancer. </w:t>
      </w:r>
    </w:p>
    <w:p w14:paraId="4A923132" w14:textId="77777777" w:rsidR="007B4CC0" w:rsidRPr="003159E6" w:rsidRDefault="007B4CC0" w:rsidP="007B4CC0">
      <w:pPr>
        <w:rPr>
          <w:lang w:eastAsia="en-NZ"/>
        </w:rPr>
      </w:pPr>
    </w:p>
    <w:p w14:paraId="6576388F" w14:textId="47E492A7" w:rsidR="007B4CC0" w:rsidRDefault="007B4CC0" w:rsidP="007B4CC0">
      <w:pPr>
        <w:rPr>
          <w:lang w:eastAsia="en-NZ"/>
        </w:rPr>
      </w:pPr>
      <w:r w:rsidRPr="6E087651">
        <w:rPr>
          <w:lang w:eastAsia="en-NZ"/>
        </w:rPr>
        <w:t xml:space="preserve">As part of the assisted dying process, the attending medical practitioner (AMP) must ensure the person understands </w:t>
      </w:r>
      <w:r>
        <w:rPr>
          <w:lang w:eastAsia="en-NZ"/>
        </w:rPr>
        <w:t xml:space="preserve">all </w:t>
      </w:r>
      <w:r w:rsidRPr="6E087651">
        <w:rPr>
          <w:lang w:eastAsia="en-NZ"/>
        </w:rPr>
        <w:t xml:space="preserve">their </w:t>
      </w:r>
      <w:r>
        <w:rPr>
          <w:lang w:eastAsia="en-NZ"/>
        </w:rPr>
        <w:t>choices</w:t>
      </w:r>
      <w:r w:rsidRPr="6E087651">
        <w:rPr>
          <w:lang w:eastAsia="en-NZ"/>
        </w:rPr>
        <w:t xml:space="preserve"> for end-of-life</w:t>
      </w:r>
      <w:r>
        <w:rPr>
          <w:lang w:eastAsia="en-NZ"/>
        </w:rPr>
        <w:t xml:space="preserve"> </w:t>
      </w:r>
      <w:r w:rsidRPr="6E087651">
        <w:rPr>
          <w:lang w:eastAsia="en-NZ"/>
        </w:rPr>
        <w:t xml:space="preserve">care. </w:t>
      </w:r>
      <w:r>
        <w:rPr>
          <w:lang w:eastAsia="en-NZ"/>
        </w:rPr>
        <w:t>As a result, t</w:t>
      </w:r>
      <w:r w:rsidRPr="6E087651">
        <w:rPr>
          <w:lang w:eastAsia="en-NZ"/>
        </w:rPr>
        <w:t xml:space="preserve">he Ministry notes </w:t>
      </w:r>
      <w:r>
        <w:rPr>
          <w:lang w:eastAsia="en-NZ"/>
        </w:rPr>
        <w:t xml:space="preserve">there have been occasions in which a </w:t>
      </w:r>
      <w:r w:rsidRPr="6E087651">
        <w:rPr>
          <w:lang w:eastAsia="en-NZ"/>
        </w:rPr>
        <w:t xml:space="preserve">person’s request for assisted dying has led to them exploring </w:t>
      </w:r>
      <w:r>
        <w:rPr>
          <w:lang w:eastAsia="en-NZ"/>
        </w:rPr>
        <w:t>alternative</w:t>
      </w:r>
      <w:r w:rsidRPr="6E087651">
        <w:rPr>
          <w:lang w:eastAsia="en-NZ"/>
        </w:rPr>
        <w:t xml:space="preserve"> </w:t>
      </w:r>
      <w:r>
        <w:rPr>
          <w:lang w:eastAsia="en-NZ"/>
        </w:rPr>
        <w:t>care or services. This may include</w:t>
      </w:r>
      <w:r w:rsidRPr="6E087651">
        <w:rPr>
          <w:lang w:eastAsia="en-NZ"/>
        </w:rPr>
        <w:t xml:space="preserve"> optimising palliative care or accessing additional social or wrap</w:t>
      </w:r>
      <w:r>
        <w:rPr>
          <w:lang w:eastAsia="en-NZ"/>
        </w:rPr>
        <w:t>-</w:t>
      </w:r>
      <w:r w:rsidRPr="6E087651">
        <w:rPr>
          <w:lang w:eastAsia="en-NZ"/>
        </w:rPr>
        <w:t xml:space="preserve">around supports, </w:t>
      </w:r>
      <w:r>
        <w:rPr>
          <w:lang w:eastAsia="en-NZ"/>
        </w:rPr>
        <w:t>which</w:t>
      </w:r>
      <w:r w:rsidRPr="6E087651">
        <w:rPr>
          <w:lang w:eastAsia="en-NZ"/>
        </w:rPr>
        <w:t xml:space="preserve"> has</w:t>
      </w:r>
      <w:r>
        <w:rPr>
          <w:lang w:eastAsia="en-NZ"/>
        </w:rPr>
        <w:t xml:space="preserve"> resulted in</w:t>
      </w:r>
      <w:r w:rsidRPr="6E087651">
        <w:rPr>
          <w:lang w:eastAsia="en-NZ"/>
        </w:rPr>
        <w:t xml:space="preserve"> them rescinding their application for assisted dying.</w:t>
      </w:r>
    </w:p>
    <w:p w14:paraId="26DADE5F" w14:textId="77777777" w:rsidR="007B4CC0" w:rsidRPr="003159E6" w:rsidRDefault="007B4CC0" w:rsidP="007B4CC0">
      <w:pPr>
        <w:rPr>
          <w:lang w:eastAsia="en-NZ"/>
        </w:rPr>
      </w:pPr>
    </w:p>
    <w:p w14:paraId="1990C01A" w14:textId="77777777" w:rsidR="007B4CC0" w:rsidRDefault="007B4CC0" w:rsidP="007B4CC0">
      <w:pPr>
        <w:rPr>
          <w:lang w:eastAsia="en-NZ"/>
        </w:rPr>
      </w:pPr>
      <w:r w:rsidRPr="2D5C31BE">
        <w:rPr>
          <w:lang w:eastAsia="en-NZ"/>
        </w:rPr>
        <w:t xml:space="preserve">Additionally, the </w:t>
      </w:r>
      <w:r>
        <w:rPr>
          <w:lang w:eastAsia="en-NZ"/>
        </w:rPr>
        <w:t xml:space="preserve">principal </w:t>
      </w:r>
      <w:r w:rsidRPr="2D5C31BE">
        <w:rPr>
          <w:lang w:eastAsia="en-NZ"/>
        </w:rPr>
        <w:t>clinical advisors</w:t>
      </w:r>
      <w:r>
        <w:rPr>
          <w:lang w:eastAsia="en-NZ"/>
        </w:rPr>
        <w:t xml:space="preserve"> within </w:t>
      </w:r>
      <w:r>
        <w:t xml:space="preserve">Health New Zealand </w:t>
      </w:r>
      <w:r>
        <w:rPr>
          <w:lang w:eastAsia="en-NZ"/>
        </w:rPr>
        <w:t>work</w:t>
      </w:r>
      <w:r w:rsidRPr="2D5C31BE">
        <w:rPr>
          <w:lang w:eastAsia="en-NZ"/>
        </w:rPr>
        <w:t xml:space="preserve"> with other health services, such as the person’s general practitioner, to help coordinate their care or support. This has led some people to then choose to withdraw their application for assisted dying as they </w:t>
      </w:r>
      <w:r>
        <w:rPr>
          <w:lang w:eastAsia="en-NZ"/>
        </w:rPr>
        <w:t xml:space="preserve">have </w:t>
      </w:r>
      <w:r w:rsidRPr="2D5C31BE">
        <w:rPr>
          <w:lang w:eastAsia="en-NZ"/>
        </w:rPr>
        <w:t xml:space="preserve">felt this option was no longer </w:t>
      </w:r>
      <w:r w:rsidRPr="00F3216D">
        <w:rPr>
          <w:lang w:eastAsia="en-NZ"/>
        </w:rPr>
        <w:t xml:space="preserve">needed. For some people, just knowing they have options within their control is comfort enough and they choose not to have an assisted death. </w:t>
      </w:r>
    </w:p>
    <w:p w14:paraId="56CDE3A3" w14:textId="77777777" w:rsidR="00AB63A0" w:rsidRDefault="00AB63A0" w:rsidP="007B4CC0">
      <w:pPr>
        <w:rPr>
          <w:lang w:eastAsia="en-NZ"/>
        </w:rPr>
      </w:pPr>
    </w:p>
    <w:p w14:paraId="47724D1F" w14:textId="364A07EA" w:rsidR="007B4CC0" w:rsidRPr="00AB63A0" w:rsidRDefault="007B4CC0" w:rsidP="00AB63A0">
      <w:pPr>
        <w:pStyle w:val="Table"/>
      </w:pPr>
      <w:bookmarkStart w:id="26" w:name="_Toc138428968"/>
      <w:bookmarkStart w:id="27" w:name="_Toc170220997"/>
      <w:r w:rsidRPr="00AB63A0">
        <w:t xml:space="preserve">Table </w:t>
      </w:r>
      <w:fldSimple w:instr=" SEQ Table \* ARABIC ">
        <w:r w:rsidR="00E8724C">
          <w:rPr>
            <w:noProof/>
          </w:rPr>
          <w:t>1</w:t>
        </w:r>
      </w:fldSimple>
      <w:r w:rsidRPr="00AB63A0">
        <w:t>: Demographic summary of new applications</w:t>
      </w:r>
      <w:bookmarkEnd w:id="26"/>
      <w:bookmarkEnd w:id="27"/>
      <w:r w:rsidRPr="00AB63A0">
        <w:t xml:space="preserve"> </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05"/>
        <w:gridCol w:w="2693"/>
        <w:gridCol w:w="1560"/>
        <w:gridCol w:w="1411"/>
      </w:tblGrid>
      <w:tr w:rsidR="007B4CC0" w:rsidRPr="007B4CC0" w14:paraId="528AB24A" w14:textId="77777777" w:rsidTr="00AB63A0">
        <w:trPr>
          <w:tblHeader/>
        </w:trPr>
        <w:tc>
          <w:tcPr>
            <w:tcW w:w="5098" w:type="dxa"/>
            <w:gridSpan w:val="2"/>
            <w:tcBorders>
              <w:top w:val="nil"/>
              <w:bottom w:val="nil"/>
            </w:tcBorders>
            <w:shd w:val="clear" w:color="auto" w:fill="D9D9D9" w:themeFill="background1" w:themeFillShade="D9"/>
          </w:tcPr>
          <w:p w14:paraId="0705818C" w14:textId="77777777" w:rsidR="007B4CC0" w:rsidRPr="007B4CC0" w:rsidRDefault="007B4CC0" w:rsidP="007B4CC0">
            <w:pPr>
              <w:pStyle w:val="TableText"/>
              <w:rPr>
                <w:b/>
                <w:bCs/>
              </w:rPr>
            </w:pPr>
            <w:r w:rsidRPr="007B4CC0">
              <w:rPr>
                <w:b/>
                <w:bCs/>
              </w:rPr>
              <w:t>Demographic summary: New applications (N= 834)</w:t>
            </w:r>
          </w:p>
          <w:p w14:paraId="79477ED2" w14:textId="77777777" w:rsidR="007B4CC0" w:rsidRPr="007B4CC0" w:rsidRDefault="007B4CC0" w:rsidP="007B4CC0">
            <w:pPr>
              <w:pStyle w:val="TableText"/>
              <w:rPr>
                <w:b/>
                <w:bCs/>
              </w:rPr>
            </w:pPr>
            <w:r w:rsidRPr="007B4CC0">
              <w:rPr>
                <w:b/>
                <w:bCs/>
              </w:rPr>
              <w:t>1 April 2023–31 March 2024</w:t>
            </w:r>
          </w:p>
        </w:tc>
        <w:tc>
          <w:tcPr>
            <w:tcW w:w="1560" w:type="dxa"/>
            <w:tcBorders>
              <w:top w:val="nil"/>
              <w:bottom w:val="nil"/>
            </w:tcBorders>
            <w:shd w:val="clear" w:color="auto" w:fill="D9D9D9" w:themeFill="background1" w:themeFillShade="D9"/>
          </w:tcPr>
          <w:p w14:paraId="46D92983" w14:textId="77777777" w:rsidR="007B4CC0" w:rsidRPr="007B4CC0" w:rsidRDefault="007B4CC0" w:rsidP="00374E42">
            <w:pPr>
              <w:pStyle w:val="TableText"/>
              <w:jc w:val="right"/>
              <w:rPr>
                <w:b/>
                <w:bCs/>
              </w:rPr>
            </w:pPr>
            <w:r w:rsidRPr="007B4CC0">
              <w:rPr>
                <w:b/>
                <w:bCs/>
              </w:rPr>
              <w:t>Number of people</w:t>
            </w:r>
            <w:r w:rsidRPr="007B4CC0">
              <w:rPr>
                <w:b/>
                <w:bCs/>
                <w:vertAlign w:val="superscript"/>
              </w:rPr>
              <w:t>3</w:t>
            </w:r>
          </w:p>
        </w:tc>
        <w:tc>
          <w:tcPr>
            <w:tcW w:w="1411" w:type="dxa"/>
            <w:tcBorders>
              <w:top w:val="nil"/>
              <w:bottom w:val="nil"/>
            </w:tcBorders>
            <w:shd w:val="clear" w:color="auto" w:fill="D9D9D9" w:themeFill="background1" w:themeFillShade="D9"/>
          </w:tcPr>
          <w:p w14:paraId="141A5DBC" w14:textId="77777777" w:rsidR="007B4CC0" w:rsidRPr="007B4CC0" w:rsidRDefault="007B4CC0" w:rsidP="00374E42">
            <w:pPr>
              <w:pStyle w:val="TableText"/>
              <w:jc w:val="right"/>
              <w:rPr>
                <w:b/>
                <w:bCs/>
              </w:rPr>
            </w:pPr>
            <w:r w:rsidRPr="007B4CC0">
              <w:rPr>
                <w:b/>
                <w:bCs/>
              </w:rPr>
              <w:t>% of applications</w:t>
            </w:r>
          </w:p>
        </w:tc>
      </w:tr>
      <w:tr w:rsidR="007B4CC0" w14:paraId="02FAE46F" w14:textId="77777777" w:rsidTr="007B4CC0">
        <w:tc>
          <w:tcPr>
            <w:tcW w:w="2405" w:type="dxa"/>
            <w:vMerge w:val="restart"/>
            <w:tcBorders>
              <w:top w:val="nil"/>
            </w:tcBorders>
          </w:tcPr>
          <w:p w14:paraId="2DE6952E" w14:textId="77777777" w:rsidR="007B4CC0" w:rsidRPr="007B4CC0" w:rsidRDefault="007B4CC0" w:rsidP="007B4CC0">
            <w:pPr>
              <w:pStyle w:val="TableText"/>
            </w:pPr>
            <w:r w:rsidRPr="007B4CC0">
              <w:t>Ethnic group</w:t>
            </w:r>
            <w:r w:rsidRPr="007B4CC0">
              <w:rPr>
                <w:vertAlign w:val="superscript"/>
              </w:rPr>
              <w:t>1</w:t>
            </w:r>
          </w:p>
        </w:tc>
        <w:tc>
          <w:tcPr>
            <w:tcW w:w="2693" w:type="dxa"/>
            <w:tcBorders>
              <w:top w:val="nil"/>
            </w:tcBorders>
          </w:tcPr>
          <w:p w14:paraId="01F5C674" w14:textId="77777777" w:rsidR="007B4CC0" w:rsidRPr="007B4CC0" w:rsidRDefault="007B4CC0" w:rsidP="007B4CC0">
            <w:pPr>
              <w:pStyle w:val="TableText"/>
            </w:pPr>
            <w:r w:rsidRPr="007B4CC0">
              <w:t>Māori</w:t>
            </w:r>
          </w:p>
        </w:tc>
        <w:tc>
          <w:tcPr>
            <w:tcW w:w="1560" w:type="dxa"/>
            <w:tcBorders>
              <w:top w:val="nil"/>
            </w:tcBorders>
          </w:tcPr>
          <w:p w14:paraId="4CCB0138" w14:textId="77777777" w:rsidR="007B4CC0" w:rsidRPr="007B4CC0" w:rsidRDefault="007B4CC0" w:rsidP="00374E42">
            <w:pPr>
              <w:pStyle w:val="TableText"/>
              <w:jc w:val="right"/>
            </w:pPr>
            <w:r w:rsidRPr="007B4CC0">
              <w:t>32</w:t>
            </w:r>
          </w:p>
        </w:tc>
        <w:tc>
          <w:tcPr>
            <w:tcW w:w="1411" w:type="dxa"/>
            <w:tcBorders>
              <w:top w:val="nil"/>
            </w:tcBorders>
          </w:tcPr>
          <w:p w14:paraId="22FA9A37" w14:textId="77777777" w:rsidR="007B4CC0" w:rsidRPr="007B4CC0" w:rsidRDefault="007B4CC0" w:rsidP="00374E42">
            <w:pPr>
              <w:pStyle w:val="TableText"/>
              <w:jc w:val="right"/>
            </w:pPr>
            <w:r w:rsidRPr="007B4CC0">
              <w:t>3.84</w:t>
            </w:r>
          </w:p>
        </w:tc>
      </w:tr>
      <w:tr w:rsidR="007B4CC0" w14:paraId="071C204E" w14:textId="77777777" w:rsidTr="007B4CC0">
        <w:tc>
          <w:tcPr>
            <w:tcW w:w="2405" w:type="dxa"/>
            <w:vMerge/>
          </w:tcPr>
          <w:p w14:paraId="6E1A2F7E" w14:textId="77777777" w:rsidR="007B4CC0" w:rsidRPr="007B4CC0" w:rsidRDefault="007B4CC0" w:rsidP="007B4CC0">
            <w:pPr>
              <w:pStyle w:val="TableText"/>
            </w:pPr>
          </w:p>
        </w:tc>
        <w:tc>
          <w:tcPr>
            <w:tcW w:w="2693" w:type="dxa"/>
          </w:tcPr>
          <w:p w14:paraId="7D9CE551" w14:textId="77777777" w:rsidR="007B4CC0" w:rsidRPr="007B4CC0" w:rsidRDefault="007B4CC0" w:rsidP="007B4CC0">
            <w:pPr>
              <w:pStyle w:val="TableText"/>
            </w:pPr>
            <w:r w:rsidRPr="007B4CC0">
              <w:t>Pacific peoples</w:t>
            </w:r>
          </w:p>
        </w:tc>
        <w:tc>
          <w:tcPr>
            <w:tcW w:w="1560" w:type="dxa"/>
          </w:tcPr>
          <w:p w14:paraId="07163E9A" w14:textId="77777777" w:rsidR="007B4CC0" w:rsidRPr="007B4CC0" w:rsidRDefault="007B4CC0" w:rsidP="00374E42">
            <w:pPr>
              <w:pStyle w:val="TableText"/>
              <w:jc w:val="right"/>
            </w:pPr>
            <w:r w:rsidRPr="007B4CC0">
              <w:t>4</w:t>
            </w:r>
          </w:p>
        </w:tc>
        <w:tc>
          <w:tcPr>
            <w:tcW w:w="1411" w:type="dxa"/>
          </w:tcPr>
          <w:p w14:paraId="7B6C5C41" w14:textId="77777777" w:rsidR="007B4CC0" w:rsidRPr="007B4CC0" w:rsidRDefault="007B4CC0" w:rsidP="00374E42">
            <w:pPr>
              <w:pStyle w:val="TableText"/>
              <w:jc w:val="right"/>
            </w:pPr>
            <w:r w:rsidRPr="007B4CC0">
              <w:t>0.48</w:t>
            </w:r>
          </w:p>
        </w:tc>
      </w:tr>
      <w:tr w:rsidR="007B4CC0" w14:paraId="3376F660" w14:textId="77777777" w:rsidTr="007B4CC0">
        <w:tc>
          <w:tcPr>
            <w:tcW w:w="2405" w:type="dxa"/>
            <w:vMerge/>
          </w:tcPr>
          <w:p w14:paraId="5D0FF905" w14:textId="77777777" w:rsidR="007B4CC0" w:rsidRPr="007B4CC0" w:rsidRDefault="007B4CC0" w:rsidP="007B4CC0">
            <w:pPr>
              <w:pStyle w:val="TableText"/>
            </w:pPr>
          </w:p>
        </w:tc>
        <w:tc>
          <w:tcPr>
            <w:tcW w:w="2693" w:type="dxa"/>
          </w:tcPr>
          <w:p w14:paraId="48D126DB" w14:textId="77777777" w:rsidR="007B4CC0" w:rsidRPr="007B4CC0" w:rsidRDefault="007B4CC0" w:rsidP="007B4CC0">
            <w:pPr>
              <w:pStyle w:val="TableText"/>
            </w:pPr>
            <w:r w:rsidRPr="007B4CC0">
              <w:t>NZ European/Pākehā</w:t>
            </w:r>
          </w:p>
        </w:tc>
        <w:tc>
          <w:tcPr>
            <w:tcW w:w="1560" w:type="dxa"/>
          </w:tcPr>
          <w:p w14:paraId="1ACC8AEF" w14:textId="77777777" w:rsidR="007B4CC0" w:rsidRPr="007B4CC0" w:rsidRDefault="007B4CC0" w:rsidP="00374E42">
            <w:pPr>
              <w:pStyle w:val="TableText"/>
              <w:jc w:val="right"/>
            </w:pPr>
            <w:r w:rsidRPr="007B4CC0">
              <w:t>688</w:t>
            </w:r>
          </w:p>
        </w:tc>
        <w:tc>
          <w:tcPr>
            <w:tcW w:w="1411" w:type="dxa"/>
          </w:tcPr>
          <w:p w14:paraId="33FAB177" w14:textId="77777777" w:rsidR="007B4CC0" w:rsidRPr="007B4CC0" w:rsidRDefault="007B4CC0" w:rsidP="00374E42">
            <w:pPr>
              <w:pStyle w:val="TableText"/>
              <w:jc w:val="right"/>
            </w:pPr>
            <w:r w:rsidRPr="007B4CC0">
              <w:t>82.49</w:t>
            </w:r>
          </w:p>
        </w:tc>
      </w:tr>
      <w:tr w:rsidR="007B4CC0" w14:paraId="39C716AC" w14:textId="77777777" w:rsidTr="007B4CC0">
        <w:tc>
          <w:tcPr>
            <w:tcW w:w="2405" w:type="dxa"/>
            <w:vMerge/>
          </w:tcPr>
          <w:p w14:paraId="75D69A09" w14:textId="77777777" w:rsidR="007B4CC0" w:rsidRPr="007B4CC0" w:rsidRDefault="007B4CC0" w:rsidP="007B4CC0">
            <w:pPr>
              <w:pStyle w:val="TableText"/>
            </w:pPr>
          </w:p>
        </w:tc>
        <w:tc>
          <w:tcPr>
            <w:tcW w:w="2693" w:type="dxa"/>
          </w:tcPr>
          <w:p w14:paraId="44E05151" w14:textId="77777777" w:rsidR="007B4CC0" w:rsidRPr="007B4CC0" w:rsidRDefault="007B4CC0" w:rsidP="007B4CC0">
            <w:pPr>
              <w:pStyle w:val="TableText"/>
            </w:pPr>
            <w:r w:rsidRPr="007B4CC0">
              <w:t>Asian</w:t>
            </w:r>
          </w:p>
        </w:tc>
        <w:tc>
          <w:tcPr>
            <w:tcW w:w="1560" w:type="dxa"/>
          </w:tcPr>
          <w:p w14:paraId="6C9C689D" w14:textId="77777777" w:rsidR="007B4CC0" w:rsidRPr="007B4CC0" w:rsidRDefault="007B4CC0" w:rsidP="00374E42">
            <w:pPr>
              <w:pStyle w:val="TableText"/>
              <w:jc w:val="right"/>
            </w:pPr>
            <w:r w:rsidRPr="007B4CC0">
              <w:t>19</w:t>
            </w:r>
          </w:p>
        </w:tc>
        <w:tc>
          <w:tcPr>
            <w:tcW w:w="1411" w:type="dxa"/>
          </w:tcPr>
          <w:p w14:paraId="47664738" w14:textId="77777777" w:rsidR="007B4CC0" w:rsidRPr="007B4CC0" w:rsidRDefault="007B4CC0" w:rsidP="00374E42">
            <w:pPr>
              <w:pStyle w:val="TableText"/>
              <w:jc w:val="right"/>
            </w:pPr>
            <w:r w:rsidRPr="007B4CC0">
              <w:t>2.28</w:t>
            </w:r>
          </w:p>
        </w:tc>
      </w:tr>
      <w:tr w:rsidR="007B4CC0" w14:paraId="1A3704AE" w14:textId="77777777" w:rsidTr="007B4CC0">
        <w:tc>
          <w:tcPr>
            <w:tcW w:w="2405" w:type="dxa"/>
            <w:vMerge/>
          </w:tcPr>
          <w:p w14:paraId="25BD8A78" w14:textId="77777777" w:rsidR="007B4CC0" w:rsidRPr="007B4CC0" w:rsidRDefault="007B4CC0" w:rsidP="007B4CC0">
            <w:pPr>
              <w:pStyle w:val="TableText"/>
            </w:pPr>
          </w:p>
        </w:tc>
        <w:tc>
          <w:tcPr>
            <w:tcW w:w="2693" w:type="dxa"/>
          </w:tcPr>
          <w:p w14:paraId="7375EA18" w14:textId="77777777" w:rsidR="007B4CC0" w:rsidRPr="007B4CC0" w:rsidRDefault="007B4CC0" w:rsidP="007B4CC0">
            <w:pPr>
              <w:pStyle w:val="TableText"/>
            </w:pPr>
            <w:r w:rsidRPr="007B4CC0">
              <w:t>Other</w:t>
            </w:r>
          </w:p>
        </w:tc>
        <w:tc>
          <w:tcPr>
            <w:tcW w:w="1560" w:type="dxa"/>
          </w:tcPr>
          <w:p w14:paraId="0DA28605" w14:textId="77777777" w:rsidR="007B4CC0" w:rsidRPr="007B4CC0" w:rsidRDefault="007B4CC0" w:rsidP="00374E42">
            <w:pPr>
              <w:pStyle w:val="TableText"/>
              <w:jc w:val="right"/>
            </w:pPr>
            <w:r w:rsidRPr="007B4CC0">
              <w:t>103</w:t>
            </w:r>
          </w:p>
        </w:tc>
        <w:tc>
          <w:tcPr>
            <w:tcW w:w="1411" w:type="dxa"/>
          </w:tcPr>
          <w:p w14:paraId="2EFC257D" w14:textId="77777777" w:rsidR="007B4CC0" w:rsidRPr="007B4CC0" w:rsidRDefault="007B4CC0" w:rsidP="00374E42">
            <w:pPr>
              <w:pStyle w:val="TableText"/>
              <w:jc w:val="right"/>
            </w:pPr>
            <w:r w:rsidRPr="007B4CC0">
              <w:t>12.35</w:t>
            </w:r>
          </w:p>
        </w:tc>
      </w:tr>
      <w:tr w:rsidR="007B4CC0" w14:paraId="1A004139" w14:textId="77777777" w:rsidTr="007B4CC0">
        <w:tc>
          <w:tcPr>
            <w:tcW w:w="2405" w:type="dxa"/>
            <w:vMerge w:val="restart"/>
          </w:tcPr>
          <w:p w14:paraId="4BBB39A3" w14:textId="77777777" w:rsidR="007B4CC0" w:rsidRPr="007B4CC0" w:rsidRDefault="007B4CC0" w:rsidP="007B4CC0">
            <w:pPr>
              <w:pStyle w:val="TableText"/>
            </w:pPr>
            <w:r w:rsidRPr="007B4CC0">
              <w:t>Sex</w:t>
            </w:r>
          </w:p>
        </w:tc>
        <w:tc>
          <w:tcPr>
            <w:tcW w:w="2693" w:type="dxa"/>
          </w:tcPr>
          <w:p w14:paraId="689F056B" w14:textId="77777777" w:rsidR="007B4CC0" w:rsidRPr="007B4CC0" w:rsidRDefault="007B4CC0" w:rsidP="007B4CC0">
            <w:pPr>
              <w:pStyle w:val="TableText"/>
            </w:pPr>
            <w:r w:rsidRPr="007B4CC0">
              <w:t>Female/</w:t>
            </w:r>
            <w:proofErr w:type="spellStart"/>
            <w:r w:rsidRPr="007B4CC0">
              <w:t>wāhine</w:t>
            </w:r>
            <w:proofErr w:type="spellEnd"/>
          </w:p>
        </w:tc>
        <w:tc>
          <w:tcPr>
            <w:tcW w:w="1560" w:type="dxa"/>
          </w:tcPr>
          <w:p w14:paraId="379FC698" w14:textId="77777777" w:rsidR="007B4CC0" w:rsidRPr="007B4CC0" w:rsidRDefault="007B4CC0" w:rsidP="00374E42">
            <w:pPr>
              <w:pStyle w:val="TableText"/>
              <w:jc w:val="right"/>
            </w:pPr>
            <w:r w:rsidRPr="007B4CC0">
              <w:t>407</w:t>
            </w:r>
          </w:p>
        </w:tc>
        <w:tc>
          <w:tcPr>
            <w:tcW w:w="1411" w:type="dxa"/>
          </w:tcPr>
          <w:p w14:paraId="07927E34" w14:textId="77777777" w:rsidR="007B4CC0" w:rsidRPr="007B4CC0" w:rsidRDefault="007B4CC0" w:rsidP="00374E42">
            <w:pPr>
              <w:pStyle w:val="TableText"/>
              <w:jc w:val="right"/>
            </w:pPr>
            <w:r w:rsidRPr="007B4CC0">
              <w:t>48.80</w:t>
            </w:r>
          </w:p>
        </w:tc>
      </w:tr>
      <w:tr w:rsidR="007B4CC0" w14:paraId="16ED4DF6" w14:textId="77777777" w:rsidTr="007B4CC0">
        <w:tc>
          <w:tcPr>
            <w:tcW w:w="2405" w:type="dxa"/>
            <w:vMerge/>
          </w:tcPr>
          <w:p w14:paraId="16D2E141" w14:textId="77777777" w:rsidR="007B4CC0" w:rsidRPr="007B4CC0" w:rsidRDefault="007B4CC0" w:rsidP="007B4CC0">
            <w:pPr>
              <w:pStyle w:val="TableText"/>
            </w:pPr>
          </w:p>
        </w:tc>
        <w:tc>
          <w:tcPr>
            <w:tcW w:w="2693" w:type="dxa"/>
          </w:tcPr>
          <w:p w14:paraId="33184146" w14:textId="77777777" w:rsidR="007B4CC0" w:rsidRPr="007B4CC0" w:rsidRDefault="007B4CC0" w:rsidP="007B4CC0">
            <w:pPr>
              <w:pStyle w:val="TableText"/>
            </w:pPr>
            <w:r w:rsidRPr="007B4CC0">
              <w:t>Male/</w:t>
            </w:r>
            <w:proofErr w:type="spellStart"/>
            <w:r w:rsidRPr="007B4CC0">
              <w:t>tāne</w:t>
            </w:r>
            <w:proofErr w:type="spellEnd"/>
          </w:p>
        </w:tc>
        <w:tc>
          <w:tcPr>
            <w:tcW w:w="1560" w:type="dxa"/>
          </w:tcPr>
          <w:p w14:paraId="448CD8EC" w14:textId="77777777" w:rsidR="007B4CC0" w:rsidRPr="007B4CC0" w:rsidRDefault="007B4CC0" w:rsidP="00374E42">
            <w:pPr>
              <w:pStyle w:val="TableText"/>
              <w:jc w:val="right"/>
            </w:pPr>
            <w:r w:rsidRPr="007B4CC0">
              <w:t>427</w:t>
            </w:r>
          </w:p>
        </w:tc>
        <w:tc>
          <w:tcPr>
            <w:tcW w:w="1411" w:type="dxa"/>
          </w:tcPr>
          <w:p w14:paraId="6A6A9BF1" w14:textId="77777777" w:rsidR="007B4CC0" w:rsidRPr="007B4CC0" w:rsidRDefault="007B4CC0" w:rsidP="00374E42">
            <w:pPr>
              <w:pStyle w:val="TableText"/>
              <w:jc w:val="right"/>
            </w:pPr>
            <w:r w:rsidRPr="007B4CC0">
              <w:t>51.20</w:t>
            </w:r>
          </w:p>
        </w:tc>
      </w:tr>
      <w:tr w:rsidR="007B4CC0" w14:paraId="230AD502" w14:textId="77777777" w:rsidTr="007B4CC0">
        <w:tc>
          <w:tcPr>
            <w:tcW w:w="2405" w:type="dxa"/>
            <w:vMerge/>
          </w:tcPr>
          <w:p w14:paraId="28D48EF1" w14:textId="77777777" w:rsidR="007B4CC0" w:rsidRPr="007B4CC0" w:rsidRDefault="007B4CC0" w:rsidP="007B4CC0">
            <w:pPr>
              <w:pStyle w:val="TableText"/>
            </w:pPr>
          </w:p>
        </w:tc>
        <w:tc>
          <w:tcPr>
            <w:tcW w:w="2693" w:type="dxa"/>
          </w:tcPr>
          <w:p w14:paraId="7D7C6C58" w14:textId="77777777" w:rsidR="007B4CC0" w:rsidRPr="007B4CC0" w:rsidRDefault="007B4CC0" w:rsidP="007B4CC0">
            <w:pPr>
              <w:pStyle w:val="TableText"/>
            </w:pPr>
            <w:r w:rsidRPr="007B4CC0">
              <w:t>Gender diverse</w:t>
            </w:r>
          </w:p>
        </w:tc>
        <w:tc>
          <w:tcPr>
            <w:tcW w:w="1560" w:type="dxa"/>
          </w:tcPr>
          <w:p w14:paraId="29556009" w14:textId="77777777" w:rsidR="007B4CC0" w:rsidRPr="007B4CC0" w:rsidRDefault="007B4CC0" w:rsidP="00374E42">
            <w:pPr>
              <w:pStyle w:val="TableText"/>
              <w:jc w:val="right"/>
            </w:pPr>
            <w:r w:rsidRPr="007B4CC0">
              <w:t>0</w:t>
            </w:r>
          </w:p>
        </w:tc>
        <w:tc>
          <w:tcPr>
            <w:tcW w:w="1411" w:type="dxa"/>
          </w:tcPr>
          <w:p w14:paraId="4B51FAAE" w14:textId="77777777" w:rsidR="007B4CC0" w:rsidRPr="007B4CC0" w:rsidRDefault="007B4CC0" w:rsidP="00374E42">
            <w:pPr>
              <w:pStyle w:val="TableText"/>
              <w:jc w:val="right"/>
            </w:pPr>
            <w:r w:rsidRPr="007B4CC0">
              <w:t>0.00</w:t>
            </w:r>
          </w:p>
        </w:tc>
      </w:tr>
      <w:tr w:rsidR="007B4CC0" w14:paraId="1409C769" w14:textId="77777777" w:rsidTr="007B4CC0">
        <w:tc>
          <w:tcPr>
            <w:tcW w:w="2405" w:type="dxa"/>
            <w:vMerge w:val="restart"/>
          </w:tcPr>
          <w:p w14:paraId="719A6180" w14:textId="77777777" w:rsidR="007B4CC0" w:rsidRPr="007B4CC0" w:rsidRDefault="007B4CC0" w:rsidP="007B4CC0">
            <w:pPr>
              <w:pStyle w:val="TableText"/>
            </w:pPr>
            <w:r w:rsidRPr="007B4CC0">
              <w:t>Age group</w:t>
            </w:r>
          </w:p>
        </w:tc>
        <w:tc>
          <w:tcPr>
            <w:tcW w:w="2693" w:type="dxa"/>
          </w:tcPr>
          <w:p w14:paraId="4A9B590B" w14:textId="77777777" w:rsidR="007B4CC0" w:rsidRPr="007B4CC0" w:rsidRDefault="007B4CC0" w:rsidP="007B4CC0">
            <w:pPr>
              <w:pStyle w:val="TableText"/>
            </w:pPr>
            <w:r w:rsidRPr="007B4CC0">
              <w:t>18–44 years</w:t>
            </w:r>
          </w:p>
        </w:tc>
        <w:tc>
          <w:tcPr>
            <w:tcW w:w="1560" w:type="dxa"/>
          </w:tcPr>
          <w:p w14:paraId="44B3EA6A" w14:textId="77777777" w:rsidR="007B4CC0" w:rsidRPr="007B4CC0" w:rsidRDefault="007B4CC0" w:rsidP="00374E42">
            <w:pPr>
              <w:pStyle w:val="TableText"/>
              <w:jc w:val="right"/>
            </w:pPr>
            <w:r w:rsidRPr="007B4CC0">
              <w:t>21</w:t>
            </w:r>
          </w:p>
        </w:tc>
        <w:tc>
          <w:tcPr>
            <w:tcW w:w="1411" w:type="dxa"/>
          </w:tcPr>
          <w:p w14:paraId="4534C22B" w14:textId="77777777" w:rsidR="007B4CC0" w:rsidRPr="007B4CC0" w:rsidRDefault="007B4CC0" w:rsidP="00374E42">
            <w:pPr>
              <w:pStyle w:val="TableText"/>
              <w:jc w:val="right"/>
            </w:pPr>
            <w:r w:rsidRPr="007B4CC0">
              <w:t>2.52</w:t>
            </w:r>
          </w:p>
        </w:tc>
      </w:tr>
      <w:tr w:rsidR="007B4CC0" w14:paraId="1E0136E4" w14:textId="77777777" w:rsidTr="007B4CC0">
        <w:tc>
          <w:tcPr>
            <w:tcW w:w="2405" w:type="dxa"/>
            <w:vMerge/>
          </w:tcPr>
          <w:p w14:paraId="5633CE2D" w14:textId="77777777" w:rsidR="007B4CC0" w:rsidRPr="007B4CC0" w:rsidRDefault="007B4CC0" w:rsidP="007B4CC0">
            <w:pPr>
              <w:pStyle w:val="TableText"/>
            </w:pPr>
          </w:p>
        </w:tc>
        <w:tc>
          <w:tcPr>
            <w:tcW w:w="2693" w:type="dxa"/>
          </w:tcPr>
          <w:p w14:paraId="1C7975AF" w14:textId="77777777" w:rsidR="007B4CC0" w:rsidRPr="007B4CC0" w:rsidRDefault="007B4CC0" w:rsidP="007B4CC0">
            <w:pPr>
              <w:pStyle w:val="TableText"/>
            </w:pPr>
            <w:r w:rsidRPr="007B4CC0">
              <w:t>45–64 years</w:t>
            </w:r>
          </w:p>
        </w:tc>
        <w:tc>
          <w:tcPr>
            <w:tcW w:w="1560" w:type="dxa"/>
          </w:tcPr>
          <w:p w14:paraId="7AA46C2C" w14:textId="77777777" w:rsidR="007B4CC0" w:rsidRPr="007B4CC0" w:rsidRDefault="007B4CC0" w:rsidP="00374E42">
            <w:pPr>
              <w:pStyle w:val="TableText"/>
              <w:jc w:val="right"/>
            </w:pPr>
            <w:r w:rsidRPr="007B4CC0">
              <w:t>159</w:t>
            </w:r>
          </w:p>
        </w:tc>
        <w:tc>
          <w:tcPr>
            <w:tcW w:w="1411" w:type="dxa"/>
          </w:tcPr>
          <w:p w14:paraId="10D6DDA1" w14:textId="77777777" w:rsidR="007B4CC0" w:rsidRPr="007B4CC0" w:rsidRDefault="007B4CC0" w:rsidP="00374E42">
            <w:pPr>
              <w:pStyle w:val="TableText"/>
              <w:jc w:val="right"/>
            </w:pPr>
            <w:r w:rsidRPr="007B4CC0">
              <w:t>19.06</w:t>
            </w:r>
          </w:p>
        </w:tc>
      </w:tr>
      <w:tr w:rsidR="007B4CC0" w14:paraId="36C1974D" w14:textId="77777777" w:rsidTr="007B4CC0">
        <w:tc>
          <w:tcPr>
            <w:tcW w:w="2405" w:type="dxa"/>
            <w:vMerge/>
          </w:tcPr>
          <w:p w14:paraId="2FA394A8" w14:textId="77777777" w:rsidR="007B4CC0" w:rsidRPr="007B4CC0" w:rsidRDefault="007B4CC0" w:rsidP="007B4CC0">
            <w:pPr>
              <w:pStyle w:val="TableText"/>
            </w:pPr>
          </w:p>
        </w:tc>
        <w:tc>
          <w:tcPr>
            <w:tcW w:w="2693" w:type="dxa"/>
          </w:tcPr>
          <w:p w14:paraId="318AC3FA" w14:textId="77777777" w:rsidR="007B4CC0" w:rsidRPr="007B4CC0" w:rsidRDefault="007B4CC0" w:rsidP="007B4CC0">
            <w:pPr>
              <w:pStyle w:val="TableText"/>
            </w:pPr>
            <w:r w:rsidRPr="007B4CC0">
              <w:t>65–84 years</w:t>
            </w:r>
          </w:p>
        </w:tc>
        <w:tc>
          <w:tcPr>
            <w:tcW w:w="1560" w:type="dxa"/>
          </w:tcPr>
          <w:p w14:paraId="338D2A95" w14:textId="77777777" w:rsidR="007B4CC0" w:rsidRPr="007B4CC0" w:rsidRDefault="007B4CC0" w:rsidP="00374E42">
            <w:pPr>
              <w:pStyle w:val="TableText"/>
              <w:jc w:val="right"/>
            </w:pPr>
            <w:r w:rsidRPr="007B4CC0">
              <w:t>496</w:t>
            </w:r>
          </w:p>
        </w:tc>
        <w:tc>
          <w:tcPr>
            <w:tcW w:w="1411" w:type="dxa"/>
          </w:tcPr>
          <w:p w14:paraId="49A76B06" w14:textId="77777777" w:rsidR="007B4CC0" w:rsidRPr="007B4CC0" w:rsidRDefault="007B4CC0" w:rsidP="00374E42">
            <w:pPr>
              <w:pStyle w:val="TableText"/>
              <w:jc w:val="right"/>
            </w:pPr>
            <w:r w:rsidRPr="007B4CC0">
              <w:t>59.47</w:t>
            </w:r>
          </w:p>
        </w:tc>
      </w:tr>
      <w:tr w:rsidR="007B4CC0" w14:paraId="78A4ED44" w14:textId="77777777" w:rsidTr="007B4CC0">
        <w:tc>
          <w:tcPr>
            <w:tcW w:w="2405" w:type="dxa"/>
            <w:vMerge/>
          </w:tcPr>
          <w:p w14:paraId="3BD641CF" w14:textId="77777777" w:rsidR="007B4CC0" w:rsidRPr="007B4CC0" w:rsidRDefault="007B4CC0" w:rsidP="007B4CC0">
            <w:pPr>
              <w:pStyle w:val="TableText"/>
            </w:pPr>
          </w:p>
        </w:tc>
        <w:tc>
          <w:tcPr>
            <w:tcW w:w="2693" w:type="dxa"/>
          </w:tcPr>
          <w:p w14:paraId="25A77E10" w14:textId="77777777" w:rsidR="007B4CC0" w:rsidRPr="007B4CC0" w:rsidRDefault="007B4CC0" w:rsidP="007B4CC0">
            <w:pPr>
              <w:pStyle w:val="TableText"/>
            </w:pPr>
            <w:r w:rsidRPr="007B4CC0">
              <w:t>85+ years</w:t>
            </w:r>
          </w:p>
        </w:tc>
        <w:tc>
          <w:tcPr>
            <w:tcW w:w="1560" w:type="dxa"/>
          </w:tcPr>
          <w:p w14:paraId="259BF9D1" w14:textId="77777777" w:rsidR="007B4CC0" w:rsidRPr="007B4CC0" w:rsidRDefault="007B4CC0" w:rsidP="00374E42">
            <w:pPr>
              <w:pStyle w:val="TableText"/>
              <w:jc w:val="right"/>
            </w:pPr>
            <w:r w:rsidRPr="007B4CC0">
              <w:t>158</w:t>
            </w:r>
          </w:p>
        </w:tc>
        <w:tc>
          <w:tcPr>
            <w:tcW w:w="1411" w:type="dxa"/>
          </w:tcPr>
          <w:p w14:paraId="6BCB7DC5" w14:textId="77777777" w:rsidR="007B4CC0" w:rsidRPr="007B4CC0" w:rsidRDefault="007B4CC0" w:rsidP="00374E42">
            <w:pPr>
              <w:pStyle w:val="TableText"/>
              <w:jc w:val="right"/>
            </w:pPr>
            <w:r w:rsidRPr="007B4CC0">
              <w:t>18.94</w:t>
            </w:r>
          </w:p>
        </w:tc>
      </w:tr>
      <w:tr w:rsidR="007B4CC0" w14:paraId="5E3B9AD3" w14:textId="77777777" w:rsidTr="007B4CC0">
        <w:tc>
          <w:tcPr>
            <w:tcW w:w="2405" w:type="dxa"/>
            <w:vMerge w:val="restart"/>
          </w:tcPr>
          <w:p w14:paraId="6A2F4FE6" w14:textId="77777777" w:rsidR="007B4CC0" w:rsidRPr="007B4CC0" w:rsidRDefault="007B4CC0" w:rsidP="007B4CC0">
            <w:pPr>
              <w:pStyle w:val="TableText"/>
            </w:pPr>
            <w:r w:rsidRPr="007B4CC0">
              <w:t>Diagnosis</w:t>
            </w:r>
            <w:r w:rsidRPr="007B4CC0">
              <w:rPr>
                <w:vertAlign w:val="superscript"/>
              </w:rPr>
              <w:t>2</w:t>
            </w:r>
          </w:p>
        </w:tc>
        <w:tc>
          <w:tcPr>
            <w:tcW w:w="2693" w:type="dxa"/>
          </w:tcPr>
          <w:p w14:paraId="341910AF" w14:textId="77777777" w:rsidR="007B4CC0" w:rsidRPr="007B4CC0" w:rsidRDefault="007B4CC0" w:rsidP="007B4CC0">
            <w:pPr>
              <w:pStyle w:val="TableText"/>
            </w:pPr>
            <w:r w:rsidRPr="007B4CC0">
              <w:t>Cancer</w:t>
            </w:r>
          </w:p>
        </w:tc>
        <w:tc>
          <w:tcPr>
            <w:tcW w:w="1560" w:type="dxa"/>
          </w:tcPr>
          <w:p w14:paraId="40A1D327" w14:textId="77777777" w:rsidR="007B4CC0" w:rsidRPr="007B4CC0" w:rsidRDefault="007B4CC0" w:rsidP="00374E42">
            <w:pPr>
              <w:pStyle w:val="TableText"/>
              <w:jc w:val="right"/>
            </w:pPr>
            <w:r w:rsidRPr="007B4CC0">
              <w:t>574</w:t>
            </w:r>
          </w:p>
        </w:tc>
        <w:tc>
          <w:tcPr>
            <w:tcW w:w="1411" w:type="dxa"/>
          </w:tcPr>
          <w:p w14:paraId="1B2E673F" w14:textId="77777777" w:rsidR="007B4CC0" w:rsidRPr="007B4CC0" w:rsidRDefault="007B4CC0" w:rsidP="00374E42">
            <w:pPr>
              <w:pStyle w:val="TableText"/>
              <w:jc w:val="right"/>
            </w:pPr>
            <w:r w:rsidRPr="007B4CC0">
              <w:t>68.82</w:t>
            </w:r>
          </w:p>
        </w:tc>
      </w:tr>
      <w:tr w:rsidR="007B4CC0" w14:paraId="2B1ED6A9" w14:textId="77777777" w:rsidTr="007B4CC0">
        <w:tc>
          <w:tcPr>
            <w:tcW w:w="2405" w:type="dxa"/>
            <w:vMerge/>
          </w:tcPr>
          <w:p w14:paraId="2FAF80AC" w14:textId="77777777" w:rsidR="007B4CC0" w:rsidRPr="007B4CC0" w:rsidRDefault="007B4CC0" w:rsidP="007B4CC0">
            <w:pPr>
              <w:pStyle w:val="TableText"/>
            </w:pPr>
          </w:p>
        </w:tc>
        <w:tc>
          <w:tcPr>
            <w:tcW w:w="2693" w:type="dxa"/>
          </w:tcPr>
          <w:p w14:paraId="7AE80F29" w14:textId="77777777" w:rsidR="007B4CC0" w:rsidRPr="007B4CC0" w:rsidRDefault="007B4CC0" w:rsidP="007B4CC0">
            <w:pPr>
              <w:pStyle w:val="TableText"/>
            </w:pPr>
            <w:r w:rsidRPr="007B4CC0">
              <w:t>Neurological condition</w:t>
            </w:r>
          </w:p>
        </w:tc>
        <w:tc>
          <w:tcPr>
            <w:tcW w:w="1560" w:type="dxa"/>
          </w:tcPr>
          <w:p w14:paraId="339A9F71" w14:textId="77777777" w:rsidR="007B4CC0" w:rsidRPr="007B4CC0" w:rsidRDefault="007B4CC0" w:rsidP="00374E42">
            <w:pPr>
              <w:pStyle w:val="TableText"/>
              <w:jc w:val="right"/>
            </w:pPr>
            <w:r w:rsidRPr="007B4CC0">
              <w:t>55</w:t>
            </w:r>
          </w:p>
        </w:tc>
        <w:tc>
          <w:tcPr>
            <w:tcW w:w="1411" w:type="dxa"/>
          </w:tcPr>
          <w:p w14:paraId="4DE37C28" w14:textId="77777777" w:rsidR="007B4CC0" w:rsidRPr="007B4CC0" w:rsidRDefault="007B4CC0" w:rsidP="00374E42">
            <w:pPr>
              <w:pStyle w:val="TableText"/>
              <w:jc w:val="right"/>
            </w:pPr>
            <w:r w:rsidRPr="007B4CC0">
              <w:t>6.59</w:t>
            </w:r>
          </w:p>
        </w:tc>
      </w:tr>
      <w:tr w:rsidR="007B4CC0" w14:paraId="0F235114" w14:textId="77777777" w:rsidTr="007B4CC0">
        <w:tc>
          <w:tcPr>
            <w:tcW w:w="2405" w:type="dxa"/>
            <w:vMerge/>
          </w:tcPr>
          <w:p w14:paraId="591DD9D9" w14:textId="77777777" w:rsidR="007B4CC0" w:rsidRPr="007B4CC0" w:rsidRDefault="007B4CC0" w:rsidP="007B4CC0">
            <w:pPr>
              <w:pStyle w:val="TableText"/>
            </w:pPr>
          </w:p>
        </w:tc>
        <w:tc>
          <w:tcPr>
            <w:tcW w:w="2693" w:type="dxa"/>
          </w:tcPr>
          <w:p w14:paraId="693B4C78" w14:textId="77777777" w:rsidR="007B4CC0" w:rsidRPr="007B4CC0" w:rsidRDefault="007B4CC0" w:rsidP="007B4CC0">
            <w:pPr>
              <w:pStyle w:val="TableText"/>
            </w:pPr>
            <w:r w:rsidRPr="007B4CC0">
              <w:t>Chronic respiratory disease</w:t>
            </w:r>
          </w:p>
        </w:tc>
        <w:tc>
          <w:tcPr>
            <w:tcW w:w="1560" w:type="dxa"/>
          </w:tcPr>
          <w:p w14:paraId="22F1945A" w14:textId="77777777" w:rsidR="007B4CC0" w:rsidRPr="007B4CC0" w:rsidRDefault="007B4CC0" w:rsidP="00374E42">
            <w:pPr>
              <w:pStyle w:val="TableText"/>
              <w:jc w:val="right"/>
            </w:pPr>
            <w:r w:rsidRPr="007B4CC0">
              <w:t>39</w:t>
            </w:r>
          </w:p>
        </w:tc>
        <w:tc>
          <w:tcPr>
            <w:tcW w:w="1411" w:type="dxa"/>
          </w:tcPr>
          <w:p w14:paraId="28D504BB" w14:textId="77777777" w:rsidR="007B4CC0" w:rsidRPr="007B4CC0" w:rsidRDefault="007B4CC0" w:rsidP="00374E42">
            <w:pPr>
              <w:pStyle w:val="TableText"/>
              <w:jc w:val="right"/>
            </w:pPr>
            <w:r w:rsidRPr="007B4CC0">
              <w:t>4.68</w:t>
            </w:r>
          </w:p>
        </w:tc>
      </w:tr>
      <w:tr w:rsidR="007B4CC0" w14:paraId="5AC882AD" w14:textId="77777777" w:rsidTr="007B4CC0">
        <w:tc>
          <w:tcPr>
            <w:tcW w:w="2405" w:type="dxa"/>
            <w:vMerge/>
          </w:tcPr>
          <w:p w14:paraId="58EA2942" w14:textId="77777777" w:rsidR="007B4CC0" w:rsidRPr="007B4CC0" w:rsidRDefault="007B4CC0" w:rsidP="007B4CC0">
            <w:pPr>
              <w:pStyle w:val="TableText"/>
            </w:pPr>
          </w:p>
        </w:tc>
        <w:tc>
          <w:tcPr>
            <w:tcW w:w="2693" w:type="dxa"/>
          </w:tcPr>
          <w:p w14:paraId="2A3D9D46" w14:textId="77777777" w:rsidR="007B4CC0" w:rsidRPr="007B4CC0" w:rsidRDefault="007B4CC0" w:rsidP="007B4CC0">
            <w:pPr>
              <w:pStyle w:val="TableText"/>
            </w:pPr>
            <w:r w:rsidRPr="007B4CC0">
              <w:t>Cardiovascular condition</w:t>
            </w:r>
          </w:p>
        </w:tc>
        <w:tc>
          <w:tcPr>
            <w:tcW w:w="1560" w:type="dxa"/>
          </w:tcPr>
          <w:p w14:paraId="18C7472C" w14:textId="77777777" w:rsidR="007B4CC0" w:rsidRPr="007B4CC0" w:rsidRDefault="007B4CC0" w:rsidP="00374E42">
            <w:pPr>
              <w:pStyle w:val="TableText"/>
              <w:jc w:val="right"/>
            </w:pPr>
            <w:r w:rsidRPr="007B4CC0">
              <w:t>42</w:t>
            </w:r>
          </w:p>
        </w:tc>
        <w:tc>
          <w:tcPr>
            <w:tcW w:w="1411" w:type="dxa"/>
          </w:tcPr>
          <w:p w14:paraId="30021410" w14:textId="77777777" w:rsidR="007B4CC0" w:rsidRPr="007B4CC0" w:rsidRDefault="007B4CC0" w:rsidP="00374E42">
            <w:pPr>
              <w:pStyle w:val="TableText"/>
              <w:jc w:val="right"/>
            </w:pPr>
            <w:r w:rsidRPr="007B4CC0">
              <w:t>5.04</w:t>
            </w:r>
          </w:p>
        </w:tc>
      </w:tr>
      <w:tr w:rsidR="007B4CC0" w14:paraId="5EFD14FA" w14:textId="77777777" w:rsidTr="007B4CC0">
        <w:tc>
          <w:tcPr>
            <w:tcW w:w="2405" w:type="dxa"/>
            <w:vMerge/>
          </w:tcPr>
          <w:p w14:paraId="594A1105" w14:textId="77777777" w:rsidR="007B4CC0" w:rsidRPr="007B4CC0" w:rsidRDefault="007B4CC0" w:rsidP="007B4CC0">
            <w:pPr>
              <w:pStyle w:val="TableText"/>
            </w:pPr>
          </w:p>
        </w:tc>
        <w:tc>
          <w:tcPr>
            <w:tcW w:w="2693" w:type="dxa"/>
          </w:tcPr>
          <w:p w14:paraId="097BD56C" w14:textId="77777777" w:rsidR="007B4CC0" w:rsidRPr="007B4CC0" w:rsidRDefault="007B4CC0" w:rsidP="007B4CC0">
            <w:pPr>
              <w:pStyle w:val="TableText"/>
            </w:pPr>
            <w:r w:rsidRPr="007B4CC0">
              <w:t>Other organ failure</w:t>
            </w:r>
          </w:p>
        </w:tc>
        <w:tc>
          <w:tcPr>
            <w:tcW w:w="1560" w:type="dxa"/>
          </w:tcPr>
          <w:p w14:paraId="6EB73339" w14:textId="77777777" w:rsidR="007B4CC0" w:rsidRPr="007B4CC0" w:rsidRDefault="007B4CC0" w:rsidP="00374E42">
            <w:pPr>
              <w:pStyle w:val="TableText"/>
              <w:jc w:val="right"/>
            </w:pPr>
            <w:r w:rsidRPr="007B4CC0">
              <w:t>21</w:t>
            </w:r>
          </w:p>
        </w:tc>
        <w:tc>
          <w:tcPr>
            <w:tcW w:w="1411" w:type="dxa"/>
          </w:tcPr>
          <w:p w14:paraId="05350B3F" w14:textId="77777777" w:rsidR="007B4CC0" w:rsidRPr="007B4CC0" w:rsidRDefault="007B4CC0" w:rsidP="00374E42">
            <w:pPr>
              <w:pStyle w:val="TableText"/>
              <w:jc w:val="right"/>
            </w:pPr>
            <w:r w:rsidRPr="007B4CC0">
              <w:t>2.52</w:t>
            </w:r>
          </w:p>
        </w:tc>
      </w:tr>
      <w:tr w:rsidR="007B4CC0" w14:paraId="0D31D025" w14:textId="77777777" w:rsidTr="007B4CC0">
        <w:tc>
          <w:tcPr>
            <w:tcW w:w="2405" w:type="dxa"/>
            <w:vMerge/>
          </w:tcPr>
          <w:p w14:paraId="2E1A914A" w14:textId="77777777" w:rsidR="007B4CC0" w:rsidRPr="007B4CC0" w:rsidRDefault="007B4CC0" w:rsidP="007B4CC0">
            <w:pPr>
              <w:pStyle w:val="TableText"/>
            </w:pPr>
          </w:p>
        </w:tc>
        <w:tc>
          <w:tcPr>
            <w:tcW w:w="2693" w:type="dxa"/>
          </w:tcPr>
          <w:p w14:paraId="4C448EE3" w14:textId="77777777" w:rsidR="007B4CC0" w:rsidRPr="007B4CC0" w:rsidRDefault="007B4CC0" w:rsidP="007B4CC0">
            <w:pPr>
              <w:pStyle w:val="TableText"/>
            </w:pPr>
            <w:r w:rsidRPr="007B4CC0">
              <w:t>Multiple co-morbidities</w:t>
            </w:r>
          </w:p>
        </w:tc>
        <w:tc>
          <w:tcPr>
            <w:tcW w:w="1560" w:type="dxa"/>
          </w:tcPr>
          <w:p w14:paraId="7D2A6D7B" w14:textId="77777777" w:rsidR="007B4CC0" w:rsidRPr="007B4CC0" w:rsidRDefault="007B4CC0" w:rsidP="00374E42">
            <w:pPr>
              <w:pStyle w:val="TableText"/>
              <w:jc w:val="right"/>
            </w:pPr>
            <w:r w:rsidRPr="007B4CC0">
              <w:t>37</w:t>
            </w:r>
          </w:p>
        </w:tc>
        <w:tc>
          <w:tcPr>
            <w:tcW w:w="1411" w:type="dxa"/>
          </w:tcPr>
          <w:p w14:paraId="5FB711C6" w14:textId="77777777" w:rsidR="007B4CC0" w:rsidRPr="007B4CC0" w:rsidRDefault="007B4CC0" w:rsidP="00374E42">
            <w:pPr>
              <w:pStyle w:val="TableText"/>
              <w:jc w:val="right"/>
            </w:pPr>
            <w:r w:rsidRPr="007B4CC0">
              <w:t>4.44</w:t>
            </w:r>
          </w:p>
        </w:tc>
      </w:tr>
      <w:tr w:rsidR="007B4CC0" w14:paraId="772394B5" w14:textId="77777777" w:rsidTr="007B4CC0">
        <w:tc>
          <w:tcPr>
            <w:tcW w:w="2405" w:type="dxa"/>
            <w:vMerge/>
          </w:tcPr>
          <w:p w14:paraId="4B0ACE8B" w14:textId="77777777" w:rsidR="007B4CC0" w:rsidRPr="007B4CC0" w:rsidRDefault="007B4CC0" w:rsidP="007B4CC0">
            <w:pPr>
              <w:pStyle w:val="TableText"/>
            </w:pPr>
          </w:p>
        </w:tc>
        <w:tc>
          <w:tcPr>
            <w:tcW w:w="2693" w:type="dxa"/>
          </w:tcPr>
          <w:p w14:paraId="78A27FB0" w14:textId="77777777" w:rsidR="007B4CC0" w:rsidRPr="007B4CC0" w:rsidRDefault="007B4CC0" w:rsidP="007B4CC0">
            <w:pPr>
              <w:pStyle w:val="TableText"/>
            </w:pPr>
            <w:r w:rsidRPr="007B4CC0">
              <w:t>Not known</w:t>
            </w:r>
            <w:r w:rsidRPr="007B4CC0">
              <w:rPr>
                <w:vertAlign w:val="superscript"/>
              </w:rPr>
              <w:t>4</w:t>
            </w:r>
          </w:p>
        </w:tc>
        <w:tc>
          <w:tcPr>
            <w:tcW w:w="1560" w:type="dxa"/>
          </w:tcPr>
          <w:p w14:paraId="0D0970F0" w14:textId="77777777" w:rsidR="007B4CC0" w:rsidRPr="007B4CC0" w:rsidRDefault="007B4CC0" w:rsidP="00374E42">
            <w:pPr>
              <w:pStyle w:val="TableText"/>
              <w:jc w:val="right"/>
            </w:pPr>
            <w:r w:rsidRPr="007B4CC0">
              <w:t>126</w:t>
            </w:r>
          </w:p>
        </w:tc>
        <w:tc>
          <w:tcPr>
            <w:tcW w:w="1411" w:type="dxa"/>
          </w:tcPr>
          <w:p w14:paraId="3E3E4D2D" w14:textId="77777777" w:rsidR="007B4CC0" w:rsidRPr="007B4CC0" w:rsidRDefault="007B4CC0" w:rsidP="00374E42">
            <w:pPr>
              <w:pStyle w:val="TableText"/>
              <w:jc w:val="right"/>
            </w:pPr>
            <w:r w:rsidRPr="007B4CC0">
              <w:t>15.11</w:t>
            </w:r>
          </w:p>
        </w:tc>
      </w:tr>
      <w:tr w:rsidR="007B4CC0" w14:paraId="749B3752" w14:textId="77777777" w:rsidTr="007B4CC0">
        <w:tc>
          <w:tcPr>
            <w:tcW w:w="2405" w:type="dxa"/>
            <w:vMerge w:val="restart"/>
          </w:tcPr>
          <w:p w14:paraId="2B0CCA08" w14:textId="77777777" w:rsidR="007B4CC0" w:rsidRPr="007B4CC0" w:rsidRDefault="007B4CC0" w:rsidP="007B4CC0">
            <w:pPr>
              <w:pStyle w:val="TableText"/>
            </w:pPr>
            <w:r w:rsidRPr="007B4CC0">
              <w:t>Receiving palliative care at time of application?</w:t>
            </w:r>
          </w:p>
        </w:tc>
        <w:tc>
          <w:tcPr>
            <w:tcW w:w="2693" w:type="dxa"/>
          </w:tcPr>
          <w:p w14:paraId="24AF6C80" w14:textId="77777777" w:rsidR="007B4CC0" w:rsidRPr="007B4CC0" w:rsidRDefault="007B4CC0" w:rsidP="007B4CC0">
            <w:pPr>
              <w:pStyle w:val="TableText"/>
            </w:pPr>
            <w:r w:rsidRPr="007B4CC0">
              <w:t>Yes</w:t>
            </w:r>
          </w:p>
        </w:tc>
        <w:tc>
          <w:tcPr>
            <w:tcW w:w="1560" w:type="dxa"/>
          </w:tcPr>
          <w:p w14:paraId="78E22AEF" w14:textId="77777777" w:rsidR="007B4CC0" w:rsidRPr="007B4CC0" w:rsidRDefault="007B4CC0" w:rsidP="00374E42">
            <w:pPr>
              <w:pStyle w:val="TableText"/>
              <w:jc w:val="right"/>
            </w:pPr>
            <w:r w:rsidRPr="007B4CC0">
              <w:t>632</w:t>
            </w:r>
          </w:p>
        </w:tc>
        <w:tc>
          <w:tcPr>
            <w:tcW w:w="1411" w:type="dxa"/>
          </w:tcPr>
          <w:p w14:paraId="17961B1F" w14:textId="77777777" w:rsidR="007B4CC0" w:rsidRPr="007B4CC0" w:rsidRDefault="007B4CC0" w:rsidP="00374E42">
            <w:pPr>
              <w:pStyle w:val="TableText"/>
              <w:jc w:val="right"/>
            </w:pPr>
            <w:r w:rsidRPr="007B4CC0">
              <w:t>75.78</w:t>
            </w:r>
          </w:p>
        </w:tc>
      </w:tr>
      <w:tr w:rsidR="007B4CC0" w14:paraId="1D0B5423" w14:textId="77777777" w:rsidTr="007B4CC0">
        <w:tc>
          <w:tcPr>
            <w:tcW w:w="2405" w:type="dxa"/>
            <w:vMerge/>
          </w:tcPr>
          <w:p w14:paraId="01A63470" w14:textId="77777777" w:rsidR="007B4CC0" w:rsidRPr="007B4CC0" w:rsidRDefault="007B4CC0" w:rsidP="007B4CC0">
            <w:pPr>
              <w:pStyle w:val="TableText"/>
            </w:pPr>
          </w:p>
        </w:tc>
        <w:tc>
          <w:tcPr>
            <w:tcW w:w="2693" w:type="dxa"/>
          </w:tcPr>
          <w:p w14:paraId="603652AD" w14:textId="77777777" w:rsidR="007B4CC0" w:rsidRPr="007B4CC0" w:rsidRDefault="007B4CC0" w:rsidP="007B4CC0">
            <w:pPr>
              <w:pStyle w:val="TableText"/>
            </w:pPr>
            <w:r w:rsidRPr="007B4CC0">
              <w:t>No</w:t>
            </w:r>
          </w:p>
        </w:tc>
        <w:tc>
          <w:tcPr>
            <w:tcW w:w="1560" w:type="dxa"/>
          </w:tcPr>
          <w:p w14:paraId="1F0E9436" w14:textId="77777777" w:rsidR="007B4CC0" w:rsidRPr="007B4CC0" w:rsidRDefault="007B4CC0" w:rsidP="00374E42">
            <w:pPr>
              <w:pStyle w:val="TableText"/>
              <w:jc w:val="right"/>
            </w:pPr>
            <w:r w:rsidRPr="007B4CC0">
              <w:t>202</w:t>
            </w:r>
          </w:p>
        </w:tc>
        <w:tc>
          <w:tcPr>
            <w:tcW w:w="1411" w:type="dxa"/>
          </w:tcPr>
          <w:p w14:paraId="0D58A700" w14:textId="77777777" w:rsidR="007B4CC0" w:rsidRPr="007B4CC0" w:rsidRDefault="007B4CC0" w:rsidP="00374E42">
            <w:pPr>
              <w:pStyle w:val="TableText"/>
              <w:jc w:val="right"/>
            </w:pPr>
            <w:r w:rsidRPr="007B4CC0">
              <w:t>24.22</w:t>
            </w:r>
          </w:p>
        </w:tc>
      </w:tr>
      <w:tr w:rsidR="007B4CC0" w14:paraId="4415B29A" w14:textId="77777777" w:rsidTr="007B4CC0">
        <w:trPr>
          <w:trHeight w:val="413"/>
        </w:trPr>
        <w:tc>
          <w:tcPr>
            <w:tcW w:w="2405" w:type="dxa"/>
            <w:vMerge/>
          </w:tcPr>
          <w:p w14:paraId="56A791D7" w14:textId="77777777" w:rsidR="007B4CC0" w:rsidRPr="007B4CC0" w:rsidRDefault="007B4CC0" w:rsidP="007B4CC0">
            <w:pPr>
              <w:pStyle w:val="TableText"/>
            </w:pPr>
          </w:p>
        </w:tc>
        <w:tc>
          <w:tcPr>
            <w:tcW w:w="2693" w:type="dxa"/>
          </w:tcPr>
          <w:p w14:paraId="7592B7C0" w14:textId="77777777" w:rsidR="007B4CC0" w:rsidRPr="007B4CC0" w:rsidRDefault="007B4CC0" w:rsidP="007B4CC0">
            <w:pPr>
              <w:pStyle w:val="TableText"/>
            </w:pPr>
            <w:r w:rsidRPr="007B4CC0">
              <w:t>Not stated</w:t>
            </w:r>
          </w:p>
        </w:tc>
        <w:tc>
          <w:tcPr>
            <w:tcW w:w="1560" w:type="dxa"/>
          </w:tcPr>
          <w:p w14:paraId="18A02801" w14:textId="77777777" w:rsidR="007B4CC0" w:rsidRPr="007B4CC0" w:rsidRDefault="007B4CC0" w:rsidP="00374E42">
            <w:pPr>
              <w:pStyle w:val="TableText"/>
              <w:jc w:val="right"/>
            </w:pPr>
            <w:r w:rsidRPr="007B4CC0">
              <w:t>0</w:t>
            </w:r>
          </w:p>
        </w:tc>
        <w:tc>
          <w:tcPr>
            <w:tcW w:w="1411" w:type="dxa"/>
          </w:tcPr>
          <w:p w14:paraId="532B6D87" w14:textId="77777777" w:rsidR="007B4CC0" w:rsidRPr="007B4CC0" w:rsidRDefault="007B4CC0" w:rsidP="00374E42">
            <w:pPr>
              <w:pStyle w:val="TableText"/>
              <w:jc w:val="right"/>
            </w:pPr>
            <w:r w:rsidRPr="007B4CC0">
              <w:t>0.00</w:t>
            </w:r>
          </w:p>
        </w:tc>
      </w:tr>
      <w:tr w:rsidR="007B4CC0" w14:paraId="33E65E57" w14:textId="77777777" w:rsidTr="007B4CC0">
        <w:tc>
          <w:tcPr>
            <w:tcW w:w="2405" w:type="dxa"/>
            <w:vMerge w:val="restart"/>
          </w:tcPr>
          <w:p w14:paraId="0F71A0A1" w14:textId="77777777" w:rsidR="007B4CC0" w:rsidRPr="007B4CC0" w:rsidRDefault="007B4CC0" w:rsidP="007B4CC0">
            <w:pPr>
              <w:pStyle w:val="TableText"/>
            </w:pPr>
            <w:r w:rsidRPr="007B4CC0">
              <w:t>Reported a disability at time of application?</w:t>
            </w:r>
          </w:p>
        </w:tc>
        <w:tc>
          <w:tcPr>
            <w:tcW w:w="2693" w:type="dxa"/>
          </w:tcPr>
          <w:p w14:paraId="152BFC6F" w14:textId="77777777" w:rsidR="007B4CC0" w:rsidRPr="007B4CC0" w:rsidRDefault="007B4CC0" w:rsidP="007B4CC0">
            <w:pPr>
              <w:pStyle w:val="TableText"/>
            </w:pPr>
            <w:r w:rsidRPr="007B4CC0">
              <w:t>Yes</w:t>
            </w:r>
          </w:p>
        </w:tc>
        <w:tc>
          <w:tcPr>
            <w:tcW w:w="1560" w:type="dxa"/>
          </w:tcPr>
          <w:p w14:paraId="537FEDCA" w14:textId="77777777" w:rsidR="007B4CC0" w:rsidRPr="007B4CC0" w:rsidRDefault="007B4CC0" w:rsidP="00374E42">
            <w:pPr>
              <w:pStyle w:val="TableText"/>
              <w:jc w:val="right"/>
            </w:pPr>
            <w:r w:rsidRPr="007B4CC0">
              <w:t>98</w:t>
            </w:r>
          </w:p>
        </w:tc>
        <w:tc>
          <w:tcPr>
            <w:tcW w:w="1411" w:type="dxa"/>
          </w:tcPr>
          <w:p w14:paraId="6DD23273" w14:textId="77777777" w:rsidR="007B4CC0" w:rsidRPr="007B4CC0" w:rsidRDefault="007B4CC0" w:rsidP="00374E42">
            <w:pPr>
              <w:pStyle w:val="TableText"/>
              <w:jc w:val="right"/>
            </w:pPr>
            <w:r w:rsidRPr="007B4CC0">
              <w:t>11.75</w:t>
            </w:r>
          </w:p>
        </w:tc>
      </w:tr>
      <w:tr w:rsidR="007B4CC0" w14:paraId="5608E149" w14:textId="77777777" w:rsidTr="007B4CC0">
        <w:tc>
          <w:tcPr>
            <w:tcW w:w="2405" w:type="dxa"/>
            <w:vMerge/>
          </w:tcPr>
          <w:p w14:paraId="27BDED20" w14:textId="77777777" w:rsidR="007B4CC0" w:rsidRPr="007B4CC0" w:rsidRDefault="007B4CC0" w:rsidP="007B4CC0">
            <w:pPr>
              <w:pStyle w:val="TableText"/>
            </w:pPr>
          </w:p>
        </w:tc>
        <w:tc>
          <w:tcPr>
            <w:tcW w:w="2693" w:type="dxa"/>
          </w:tcPr>
          <w:p w14:paraId="3C3E9CF9" w14:textId="77777777" w:rsidR="007B4CC0" w:rsidRPr="007B4CC0" w:rsidRDefault="007B4CC0" w:rsidP="007B4CC0">
            <w:pPr>
              <w:pStyle w:val="TableText"/>
            </w:pPr>
            <w:r w:rsidRPr="007B4CC0">
              <w:t>No</w:t>
            </w:r>
          </w:p>
        </w:tc>
        <w:tc>
          <w:tcPr>
            <w:tcW w:w="1560" w:type="dxa"/>
          </w:tcPr>
          <w:p w14:paraId="4918C6B6" w14:textId="77777777" w:rsidR="007B4CC0" w:rsidRPr="007B4CC0" w:rsidRDefault="007B4CC0" w:rsidP="00374E42">
            <w:pPr>
              <w:pStyle w:val="TableText"/>
              <w:jc w:val="right"/>
            </w:pPr>
            <w:r w:rsidRPr="007B4CC0">
              <w:t>736</w:t>
            </w:r>
          </w:p>
        </w:tc>
        <w:tc>
          <w:tcPr>
            <w:tcW w:w="1411" w:type="dxa"/>
          </w:tcPr>
          <w:p w14:paraId="568C0E2E" w14:textId="77777777" w:rsidR="007B4CC0" w:rsidRPr="007B4CC0" w:rsidRDefault="007B4CC0" w:rsidP="00374E42">
            <w:pPr>
              <w:pStyle w:val="TableText"/>
              <w:jc w:val="right"/>
            </w:pPr>
            <w:r w:rsidRPr="007B4CC0">
              <w:t>88.25</w:t>
            </w:r>
          </w:p>
        </w:tc>
      </w:tr>
      <w:tr w:rsidR="007B4CC0" w14:paraId="58647560" w14:textId="77777777" w:rsidTr="007B4CC0">
        <w:tc>
          <w:tcPr>
            <w:tcW w:w="2405" w:type="dxa"/>
            <w:vMerge/>
          </w:tcPr>
          <w:p w14:paraId="2DB7A0E9" w14:textId="77777777" w:rsidR="007B4CC0" w:rsidRPr="007B4CC0" w:rsidRDefault="007B4CC0" w:rsidP="007B4CC0">
            <w:pPr>
              <w:pStyle w:val="TableText"/>
            </w:pPr>
          </w:p>
        </w:tc>
        <w:tc>
          <w:tcPr>
            <w:tcW w:w="2693" w:type="dxa"/>
          </w:tcPr>
          <w:p w14:paraId="78A4D9FE" w14:textId="77777777" w:rsidR="007B4CC0" w:rsidRPr="007B4CC0" w:rsidRDefault="007B4CC0" w:rsidP="007B4CC0">
            <w:pPr>
              <w:pStyle w:val="TableText"/>
            </w:pPr>
            <w:r w:rsidRPr="007B4CC0">
              <w:t>Not stated</w:t>
            </w:r>
          </w:p>
        </w:tc>
        <w:tc>
          <w:tcPr>
            <w:tcW w:w="1560" w:type="dxa"/>
          </w:tcPr>
          <w:p w14:paraId="674BCCD3" w14:textId="77777777" w:rsidR="007B4CC0" w:rsidRPr="007B4CC0" w:rsidRDefault="007B4CC0" w:rsidP="00374E42">
            <w:pPr>
              <w:pStyle w:val="TableText"/>
              <w:jc w:val="right"/>
            </w:pPr>
            <w:r w:rsidRPr="007B4CC0">
              <w:t>0</w:t>
            </w:r>
          </w:p>
        </w:tc>
        <w:tc>
          <w:tcPr>
            <w:tcW w:w="1411" w:type="dxa"/>
          </w:tcPr>
          <w:p w14:paraId="61FD95B0" w14:textId="77777777" w:rsidR="007B4CC0" w:rsidRPr="007B4CC0" w:rsidRDefault="007B4CC0" w:rsidP="00374E42">
            <w:pPr>
              <w:pStyle w:val="TableText"/>
              <w:jc w:val="right"/>
            </w:pPr>
            <w:r w:rsidRPr="007B4CC0">
              <w:t>0.00</w:t>
            </w:r>
          </w:p>
        </w:tc>
      </w:tr>
    </w:tbl>
    <w:p w14:paraId="20F7C80E" w14:textId="77777777" w:rsidR="007B4CC0" w:rsidRPr="007B4CC0" w:rsidRDefault="007B4CC0" w:rsidP="007B4CC0">
      <w:pPr>
        <w:pStyle w:val="Note"/>
      </w:pPr>
      <w:r w:rsidRPr="007B4CC0">
        <w:t>Notes:</w:t>
      </w:r>
    </w:p>
    <w:p w14:paraId="5CC2954E" w14:textId="77777777" w:rsidR="007B4CC0" w:rsidRPr="007B4CC0" w:rsidRDefault="007B4CC0" w:rsidP="007B4CC0">
      <w:pPr>
        <w:pStyle w:val="Note"/>
        <w:numPr>
          <w:ilvl w:val="0"/>
          <w:numId w:val="34"/>
        </w:numPr>
        <w:ind w:left="284" w:hanging="284"/>
      </w:pPr>
      <w:r w:rsidRPr="007B4CC0">
        <w:t>Total ethnicity has been used. This means that individuals reporting more than one ethnicity are included within each category they identify with. In the current report, individuals identifying as ‘European’ have been included within the ‘Other’ category, distinct from New Zealand European/Pākehā.</w:t>
      </w:r>
    </w:p>
    <w:p w14:paraId="2FE6B178" w14:textId="77777777" w:rsidR="007B4CC0" w:rsidRPr="007B4CC0" w:rsidRDefault="007B4CC0" w:rsidP="007B4CC0">
      <w:pPr>
        <w:pStyle w:val="Note"/>
        <w:numPr>
          <w:ilvl w:val="0"/>
          <w:numId w:val="34"/>
        </w:numPr>
        <w:ind w:left="284" w:hanging="284"/>
      </w:pPr>
      <w:r w:rsidRPr="007B4CC0">
        <w:t>Total diagnosis has been used. This means that individuals presenting with multiple diagnoses are included within each applicable diagnostic category.</w:t>
      </w:r>
    </w:p>
    <w:p w14:paraId="40332428" w14:textId="77777777" w:rsidR="007B4CC0" w:rsidRPr="007B4CC0" w:rsidRDefault="007B4CC0" w:rsidP="007B4CC0">
      <w:pPr>
        <w:pStyle w:val="Note"/>
        <w:numPr>
          <w:ilvl w:val="0"/>
          <w:numId w:val="34"/>
        </w:numPr>
        <w:ind w:left="284" w:hanging="284"/>
      </w:pPr>
      <w:r w:rsidRPr="007B4CC0">
        <w:t>Repeat applications are included as unique instances. This means that, in cases where an individual submits multiple applications during this period, their information is recorded in the demographic data each time.</w:t>
      </w:r>
    </w:p>
    <w:p w14:paraId="04FEEB07" w14:textId="77777777" w:rsidR="007B4CC0" w:rsidRPr="007B4CC0" w:rsidRDefault="007B4CC0" w:rsidP="007B4CC0">
      <w:pPr>
        <w:pStyle w:val="Note"/>
        <w:numPr>
          <w:ilvl w:val="0"/>
          <w:numId w:val="34"/>
        </w:numPr>
        <w:ind w:left="284" w:hanging="284"/>
      </w:pPr>
      <w:r w:rsidRPr="007B4CC0">
        <w:t>‘Diagnosis not known’ includes individuals who have applied but have not yet completed their first assessment with their AMP, as well as those who withdrew their application before assessment, died before their assessment was completed or were ineligible due to not having a terminal illness.</w:t>
      </w:r>
    </w:p>
    <w:p w14:paraId="2260136A" w14:textId="77777777" w:rsidR="00AB63A0" w:rsidRDefault="00AB63A0" w:rsidP="00AB63A0">
      <w:pPr>
        <w:pStyle w:val="Heading1"/>
        <w:sectPr w:rsidR="00AB63A0" w:rsidSect="007B4CC0">
          <w:pgSz w:w="11907" w:h="16834" w:code="9"/>
          <w:pgMar w:top="1418" w:right="1701" w:bottom="1134" w:left="1843" w:header="284" w:footer="425" w:gutter="284"/>
          <w:cols w:space="720"/>
        </w:sectPr>
      </w:pPr>
      <w:bookmarkStart w:id="28" w:name="_Toc103606333"/>
      <w:bookmarkStart w:id="29" w:name="_Toc104460683"/>
      <w:bookmarkStart w:id="30" w:name="_Toc106611878"/>
      <w:bookmarkStart w:id="31" w:name="_Toc138428957"/>
      <w:bookmarkStart w:id="32" w:name="_Toc103085571"/>
    </w:p>
    <w:p w14:paraId="428B0C83" w14:textId="0F0087A2" w:rsidR="007B4CC0" w:rsidRPr="006E1310" w:rsidRDefault="007B4CC0" w:rsidP="00AB63A0">
      <w:pPr>
        <w:pStyle w:val="Heading1"/>
        <w:spacing w:before="0"/>
      </w:pPr>
      <w:bookmarkStart w:id="33" w:name="_Toc170220987"/>
      <w:r w:rsidRPr="006E1310">
        <w:lastRenderedPageBreak/>
        <w:t xml:space="preserve">Assisted </w:t>
      </w:r>
      <w:proofErr w:type="gramStart"/>
      <w:r w:rsidRPr="006E1310">
        <w:t>deaths</w:t>
      </w:r>
      <w:bookmarkEnd w:id="28"/>
      <w:bookmarkEnd w:id="29"/>
      <w:bookmarkEnd w:id="30"/>
      <w:bookmarkEnd w:id="31"/>
      <w:bookmarkEnd w:id="33"/>
      <w:proofErr w:type="gramEnd"/>
      <w:r w:rsidRPr="006E1310">
        <w:t xml:space="preserve"> </w:t>
      </w:r>
      <w:bookmarkEnd w:id="32"/>
    </w:p>
    <w:p w14:paraId="6B6BD46E" w14:textId="10DA3DA8" w:rsidR="007B4CC0" w:rsidRDefault="007B4CC0" w:rsidP="00AB63A0">
      <w:r w:rsidRPr="00A42AC5">
        <w:rPr>
          <w:lang w:eastAsia="en-NZ"/>
        </w:rPr>
        <w:t xml:space="preserve">Between </w:t>
      </w:r>
      <w:r w:rsidRPr="00155769">
        <w:rPr>
          <w:lang w:eastAsia="en-NZ"/>
        </w:rPr>
        <w:t xml:space="preserve">1 April 2023 </w:t>
      </w:r>
      <w:r>
        <w:rPr>
          <w:lang w:eastAsia="en-NZ"/>
        </w:rPr>
        <w:t>and</w:t>
      </w:r>
      <w:r w:rsidRPr="00155769">
        <w:rPr>
          <w:lang w:eastAsia="en-NZ"/>
        </w:rPr>
        <w:t xml:space="preserve"> 31 March 2024, </w:t>
      </w:r>
      <w:r>
        <w:rPr>
          <w:lang w:eastAsia="en-NZ"/>
        </w:rPr>
        <w:t xml:space="preserve">a total of </w:t>
      </w:r>
      <w:r w:rsidRPr="00155769">
        <w:rPr>
          <w:lang w:eastAsia="en-NZ"/>
        </w:rPr>
        <w:t>344</w:t>
      </w:r>
      <w:r w:rsidRPr="00A42AC5">
        <w:rPr>
          <w:lang w:eastAsia="en-NZ"/>
        </w:rPr>
        <w:t xml:space="preserve"> people </w:t>
      </w:r>
      <w:r>
        <w:rPr>
          <w:lang w:eastAsia="en-NZ"/>
        </w:rPr>
        <w:t xml:space="preserve">had </w:t>
      </w:r>
      <w:r w:rsidRPr="00A42AC5">
        <w:rPr>
          <w:lang w:eastAsia="en-NZ"/>
        </w:rPr>
        <w:t>an assisted death</w:t>
      </w:r>
      <w:r>
        <w:rPr>
          <w:lang w:eastAsia="en-NZ"/>
        </w:rPr>
        <w:t xml:space="preserve">, reflecting </w:t>
      </w:r>
      <w:r>
        <w:t>36% of the total active applications during this reporting period. This figure is similar to the previous year’s reporting, in which 38% of active applications resulted in an assisted death.</w:t>
      </w:r>
    </w:p>
    <w:p w14:paraId="1F7C1353" w14:textId="77777777" w:rsidR="00AB63A0" w:rsidRPr="00A42AC5" w:rsidRDefault="00AB63A0" w:rsidP="00AB63A0">
      <w:pPr>
        <w:rPr>
          <w:lang w:eastAsia="en-NZ"/>
        </w:rPr>
      </w:pPr>
    </w:p>
    <w:p w14:paraId="22C16DCF" w14:textId="75FE20F4" w:rsidR="007B4CC0" w:rsidRDefault="007B4CC0" w:rsidP="00AB63A0">
      <w:pPr>
        <w:rPr>
          <w:lang w:eastAsia="en-NZ"/>
        </w:rPr>
      </w:pPr>
      <w:r>
        <w:rPr>
          <w:lang w:eastAsia="en-NZ"/>
        </w:rPr>
        <w:t>Often,</w:t>
      </w:r>
      <w:r w:rsidRPr="00A42AC5">
        <w:rPr>
          <w:lang w:eastAsia="en-NZ"/>
        </w:rPr>
        <w:t xml:space="preserve"> people </w:t>
      </w:r>
      <w:r>
        <w:rPr>
          <w:lang w:eastAsia="en-NZ"/>
        </w:rPr>
        <w:t>having</w:t>
      </w:r>
      <w:r w:rsidRPr="00A42AC5">
        <w:rPr>
          <w:lang w:eastAsia="en-NZ"/>
        </w:rPr>
        <w:t xml:space="preserve"> an assisted death have made </w:t>
      </w:r>
      <w:r>
        <w:rPr>
          <w:lang w:eastAsia="en-NZ"/>
        </w:rPr>
        <w:t xml:space="preserve">efforts to ensure that the experience is </w:t>
      </w:r>
      <w:r w:rsidRPr="00A42AC5">
        <w:rPr>
          <w:lang w:eastAsia="en-NZ"/>
        </w:rPr>
        <w:t>personal to them and their whānau. Some people cho</w:t>
      </w:r>
      <w:r>
        <w:rPr>
          <w:lang w:eastAsia="en-NZ"/>
        </w:rPr>
        <w:t>o</w:t>
      </w:r>
      <w:r w:rsidRPr="00A42AC5">
        <w:rPr>
          <w:lang w:eastAsia="en-NZ"/>
        </w:rPr>
        <w:t xml:space="preserve">se to include cultural or spiritual practices, such as </w:t>
      </w:r>
      <w:proofErr w:type="spellStart"/>
      <w:r w:rsidRPr="00A42AC5">
        <w:rPr>
          <w:lang w:eastAsia="en-NZ"/>
        </w:rPr>
        <w:t>karakia</w:t>
      </w:r>
      <w:proofErr w:type="spellEnd"/>
      <w:r w:rsidRPr="00A42AC5">
        <w:rPr>
          <w:lang w:eastAsia="en-NZ"/>
        </w:rPr>
        <w:t xml:space="preserve"> or prayer, </w:t>
      </w:r>
      <w:r>
        <w:rPr>
          <w:lang w:eastAsia="en-NZ"/>
        </w:rPr>
        <w:t>before</w:t>
      </w:r>
      <w:r w:rsidRPr="00A42AC5">
        <w:rPr>
          <w:lang w:eastAsia="en-NZ"/>
        </w:rPr>
        <w:t xml:space="preserve"> or during the administration of the medication, while others cho</w:t>
      </w:r>
      <w:r>
        <w:rPr>
          <w:lang w:eastAsia="en-NZ"/>
        </w:rPr>
        <w:t>o</w:t>
      </w:r>
      <w:r w:rsidRPr="00A42AC5">
        <w:rPr>
          <w:lang w:eastAsia="en-NZ"/>
        </w:rPr>
        <w:t xml:space="preserve">se to play music that </w:t>
      </w:r>
      <w:r>
        <w:rPr>
          <w:lang w:eastAsia="en-NZ"/>
        </w:rPr>
        <w:t>is</w:t>
      </w:r>
      <w:r w:rsidRPr="00A42AC5">
        <w:rPr>
          <w:lang w:eastAsia="en-NZ"/>
        </w:rPr>
        <w:t xml:space="preserve"> significant to them. People </w:t>
      </w:r>
      <w:r>
        <w:rPr>
          <w:lang w:eastAsia="en-NZ"/>
        </w:rPr>
        <w:t xml:space="preserve">also </w:t>
      </w:r>
      <w:r w:rsidRPr="00A42AC5">
        <w:rPr>
          <w:lang w:eastAsia="en-NZ"/>
        </w:rPr>
        <w:t>cho</w:t>
      </w:r>
      <w:r>
        <w:rPr>
          <w:lang w:eastAsia="en-NZ"/>
        </w:rPr>
        <w:t>o</w:t>
      </w:r>
      <w:r w:rsidRPr="00A42AC5">
        <w:rPr>
          <w:lang w:eastAsia="en-NZ"/>
        </w:rPr>
        <w:t xml:space="preserve">se who they would like to be present, including whānau, friends and pets, and where their death will occur. </w:t>
      </w:r>
    </w:p>
    <w:p w14:paraId="31432D9F" w14:textId="77777777" w:rsidR="00AB63A0" w:rsidRPr="00A42AC5" w:rsidRDefault="00AB63A0" w:rsidP="00AB63A0">
      <w:pPr>
        <w:rPr>
          <w:lang w:eastAsia="en-NZ"/>
        </w:rPr>
      </w:pPr>
    </w:p>
    <w:p w14:paraId="719E5CC3" w14:textId="77777777" w:rsidR="007B4CC0" w:rsidRPr="00A42AC5" w:rsidRDefault="007B4CC0" w:rsidP="00AB63A0">
      <w:pPr>
        <w:rPr>
          <w:lang w:eastAsia="en-NZ"/>
        </w:rPr>
      </w:pPr>
      <w:r>
        <w:t xml:space="preserve">Health New Zealand </w:t>
      </w:r>
      <w:r w:rsidRPr="00A42AC5">
        <w:rPr>
          <w:lang w:eastAsia="en-NZ"/>
        </w:rPr>
        <w:t xml:space="preserve">encourages </w:t>
      </w:r>
      <w:r>
        <w:rPr>
          <w:lang w:eastAsia="en-NZ"/>
        </w:rPr>
        <w:t>health</w:t>
      </w:r>
      <w:r w:rsidRPr="00A42AC5">
        <w:rPr>
          <w:lang w:eastAsia="en-NZ"/>
        </w:rPr>
        <w:t xml:space="preserve"> practitioners to discuss these choices with the person to ensure that the service </w:t>
      </w:r>
      <w:r>
        <w:rPr>
          <w:lang w:eastAsia="en-NZ"/>
        </w:rPr>
        <w:t xml:space="preserve">provided </w:t>
      </w:r>
      <w:r w:rsidRPr="00A42AC5">
        <w:rPr>
          <w:lang w:eastAsia="en-NZ"/>
        </w:rPr>
        <w:t xml:space="preserve">is responsive to their cultural, spiritual and social needs. Resources are provided to support these conversations in the </w:t>
      </w:r>
      <w:r>
        <w:rPr>
          <w:lang w:eastAsia="en-NZ"/>
        </w:rPr>
        <w:t xml:space="preserve">health </w:t>
      </w:r>
      <w:r w:rsidRPr="00A42AC5">
        <w:rPr>
          <w:lang w:eastAsia="en-NZ"/>
        </w:rPr>
        <w:t>practitioner trainin</w:t>
      </w:r>
      <w:r>
        <w:rPr>
          <w:lang w:eastAsia="en-NZ"/>
        </w:rPr>
        <w:t>g</w:t>
      </w:r>
      <w:r w:rsidRPr="00A42AC5">
        <w:rPr>
          <w:lang w:eastAsia="en-NZ"/>
        </w:rPr>
        <w:t>.</w:t>
      </w:r>
      <w:bookmarkStart w:id="34" w:name="_Toc103606334"/>
      <w:bookmarkStart w:id="35" w:name="_Toc104460684"/>
    </w:p>
    <w:p w14:paraId="63599861" w14:textId="77777777" w:rsidR="007B4CC0" w:rsidRPr="006E1310" w:rsidRDefault="007B4CC0" w:rsidP="00AB63A0">
      <w:pPr>
        <w:pStyle w:val="Heading2"/>
        <w:rPr>
          <w:lang w:eastAsia="en-NZ"/>
        </w:rPr>
      </w:pPr>
      <w:bookmarkStart w:id="36" w:name="_Toc170220988"/>
      <w:r w:rsidRPr="006E1310">
        <w:rPr>
          <w:lang w:eastAsia="en-NZ"/>
        </w:rPr>
        <w:t xml:space="preserve">Locations </w:t>
      </w:r>
      <w:r>
        <w:rPr>
          <w:lang w:eastAsia="en-NZ"/>
        </w:rPr>
        <w:t xml:space="preserve">of </w:t>
      </w:r>
      <w:r w:rsidRPr="006E1310">
        <w:rPr>
          <w:lang w:eastAsia="en-NZ"/>
        </w:rPr>
        <w:t>assisted deaths</w:t>
      </w:r>
      <w:bookmarkEnd w:id="34"/>
      <w:bookmarkEnd w:id="35"/>
      <w:bookmarkEnd w:id="36"/>
      <w:r w:rsidRPr="006E1310">
        <w:rPr>
          <w:lang w:eastAsia="en-NZ"/>
        </w:rPr>
        <w:t xml:space="preserve"> </w:t>
      </w:r>
    </w:p>
    <w:p w14:paraId="7F379EAC" w14:textId="77777777" w:rsidR="007B4CC0" w:rsidRPr="00A42AC5" w:rsidRDefault="007B4CC0" w:rsidP="00AB63A0">
      <w:r w:rsidRPr="00A42AC5">
        <w:t>Assisted deaths have mainly taken place in a person’s home or another private residence. The breakdown by location is:</w:t>
      </w:r>
    </w:p>
    <w:p w14:paraId="13CF19BC" w14:textId="77777777" w:rsidR="007B4CC0" w:rsidRPr="00AB63A0" w:rsidRDefault="007B4CC0" w:rsidP="00AB63A0">
      <w:pPr>
        <w:pStyle w:val="Bullet"/>
      </w:pPr>
      <w:r w:rsidRPr="00AB63A0">
        <w:t>80% at a private residence or another private property</w:t>
      </w:r>
    </w:p>
    <w:p w14:paraId="0B1AEE7B" w14:textId="77777777" w:rsidR="007B4CC0" w:rsidRPr="00AB63A0" w:rsidRDefault="007B4CC0" w:rsidP="00AB63A0">
      <w:pPr>
        <w:pStyle w:val="Bullet"/>
      </w:pPr>
      <w:r w:rsidRPr="00AB63A0">
        <w:t>10% in an aged care facility</w:t>
      </w:r>
    </w:p>
    <w:p w14:paraId="233BAC78" w14:textId="77777777" w:rsidR="007B4CC0" w:rsidRPr="00AB63A0" w:rsidRDefault="007B4CC0" w:rsidP="00AB63A0">
      <w:pPr>
        <w:pStyle w:val="Bullet"/>
      </w:pPr>
      <w:r w:rsidRPr="00AB63A0">
        <w:t xml:space="preserve">8% at a hospital </w:t>
      </w:r>
    </w:p>
    <w:p w14:paraId="43542B85" w14:textId="0AD7A9EB" w:rsidR="007B4CC0" w:rsidRDefault="007B4CC0" w:rsidP="00AB63A0">
      <w:pPr>
        <w:pStyle w:val="Bullet"/>
      </w:pPr>
      <w:r w:rsidRPr="00AB63A0">
        <w:t>2% in a hospice facility.</w:t>
      </w:r>
    </w:p>
    <w:p w14:paraId="0E9E63C8" w14:textId="36CCA8DA" w:rsidR="00AB63A0" w:rsidRDefault="00AB63A0" w:rsidP="00AB63A0"/>
    <w:p w14:paraId="0F166270" w14:textId="07E9267E" w:rsidR="007B4CC0" w:rsidRPr="00AB63A0" w:rsidRDefault="007B4CC0" w:rsidP="00AB63A0">
      <w:pPr>
        <w:pStyle w:val="Figure"/>
      </w:pPr>
      <w:bookmarkStart w:id="37" w:name="_Toc106611899"/>
      <w:bookmarkStart w:id="38" w:name="_Toc170220996"/>
      <w:r w:rsidRPr="00AB63A0">
        <w:t xml:space="preserve">Figure </w:t>
      </w:r>
      <w:fldSimple w:instr=" SEQ Figure \* ARABIC ">
        <w:r w:rsidR="00E8724C">
          <w:rPr>
            <w:noProof/>
          </w:rPr>
          <w:t>1</w:t>
        </w:r>
      </w:fldSimple>
      <w:r w:rsidRPr="00AB63A0">
        <w:t>: Assisted deaths by location</w:t>
      </w:r>
      <w:bookmarkEnd w:id="37"/>
      <w:bookmarkEnd w:id="38"/>
    </w:p>
    <w:p w14:paraId="68CB2359" w14:textId="77777777" w:rsidR="007B4CC0" w:rsidRPr="00E23FD9" w:rsidRDefault="007B4CC0" w:rsidP="007B4CC0">
      <w:r>
        <w:rPr>
          <w:noProof/>
        </w:rPr>
        <w:drawing>
          <wp:inline distT="0" distB="0" distL="0" distR="0" wp14:anchorId="086EB63B" wp14:editId="60DD276C">
            <wp:extent cx="4487932" cy="2726267"/>
            <wp:effectExtent l="0" t="0" r="8255" b="0"/>
            <wp:docPr id="86159467" name="Picture 86159467" descr="Graph shows over 250 assisted deaths in private residence or another private proper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9467" name="Picture 86159467" descr="Graph shows over 250 assisted deaths in private residence or another private property">
                      <a:extLst>
                        <a:ext uri="{C183D7F6-B498-43B3-948B-1728B52AA6E4}">
                          <adec:decorative xmlns:adec="http://schemas.microsoft.com/office/drawing/2017/decorative" val="0"/>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4543302" cy="2759902"/>
                    </a:xfrm>
                    <a:prstGeom prst="rect">
                      <a:avLst/>
                    </a:prstGeom>
                  </pic:spPr>
                </pic:pic>
              </a:graphicData>
            </a:graphic>
          </wp:inline>
        </w:drawing>
      </w:r>
    </w:p>
    <w:p w14:paraId="5418042B" w14:textId="77777777" w:rsidR="007B4CC0" w:rsidRPr="004F2DFA" w:rsidRDefault="007B4CC0" w:rsidP="00AB63A0">
      <w:r w:rsidRPr="004F2DFA">
        <w:lastRenderedPageBreak/>
        <w:t xml:space="preserve">The Secretariat continues to support and encourage </w:t>
      </w:r>
      <w:r>
        <w:t xml:space="preserve">health care </w:t>
      </w:r>
      <w:r w:rsidRPr="004F2DFA">
        <w:t xml:space="preserve">providers to support person-centred access to assisted dying should a person in </w:t>
      </w:r>
      <w:r>
        <w:t>their</w:t>
      </w:r>
      <w:r w:rsidRPr="004F2DFA">
        <w:t xml:space="preserve"> care request assisted dying. </w:t>
      </w:r>
    </w:p>
    <w:p w14:paraId="3864C29C" w14:textId="77777777" w:rsidR="007B4CC0" w:rsidRPr="006E1310" w:rsidRDefault="007B4CC0" w:rsidP="00AB63A0">
      <w:pPr>
        <w:pStyle w:val="Heading2"/>
      </w:pPr>
      <w:bookmarkStart w:id="39" w:name="_Toc103606335"/>
      <w:bookmarkStart w:id="40" w:name="_Toc104460685"/>
      <w:bookmarkStart w:id="41" w:name="_Toc170220989"/>
      <w:r w:rsidRPr="006E1310">
        <w:t>Method of administration</w:t>
      </w:r>
      <w:bookmarkEnd w:id="39"/>
      <w:bookmarkEnd w:id="40"/>
      <w:bookmarkEnd w:id="41"/>
      <w:r w:rsidRPr="006E1310">
        <w:t xml:space="preserve"> </w:t>
      </w:r>
    </w:p>
    <w:p w14:paraId="0C8A9E1C" w14:textId="77777777" w:rsidR="007B4CC0" w:rsidRPr="00E23FD9" w:rsidRDefault="007B4CC0" w:rsidP="007B4CC0">
      <w:pPr>
        <w:rPr>
          <w:rFonts w:cs="Segoe UI"/>
          <w:highlight w:val="green"/>
        </w:rPr>
      </w:pPr>
      <w:r w:rsidRPr="004F2DFA">
        <w:rPr>
          <w:rFonts w:cs="Segoe UI"/>
        </w:rPr>
        <w:t>Under the Act, there are four</w:t>
      </w:r>
      <w:r>
        <w:rPr>
          <w:rFonts w:cs="Segoe UI"/>
        </w:rPr>
        <w:t xml:space="preserve"> </w:t>
      </w:r>
      <w:r w:rsidRPr="004F2DFA">
        <w:rPr>
          <w:rFonts w:cs="Segoe UI"/>
        </w:rPr>
        <w:t>options for administ</w:t>
      </w:r>
      <w:r>
        <w:rPr>
          <w:rFonts w:cs="Segoe UI"/>
        </w:rPr>
        <w:t>ering</w:t>
      </w:r>
      <w:r w:rsidRPr="004F2DFA">
        <w:rPr>
          <w:rFonts w:cs="Segoe UI"/>
        </w:rPr>
        <w:t xml:space="preserve"> the assisted dying medication. The AMP </w:t>
      </w:r>
      <w:r>
        <w:rPr>
          <w:rFonts w:cs="Segoe UI"/>
        </w:rPr>
        <w:t xml:space="preserve">provides the </w:t>
      </w:r>
      <w:r w:rsidRPr="004F2DFA">
        <w:rPr>
          <w:rFonts w:cs="Segoe UI"/>
        </w:rPr>
        <w:t xml:space="preserve">person with advice on </w:t>
      </w:r>
      <w:r w:rsidRPr="051E591D">
        <w:rPr>
          <w:rFonts w:cs="Segoe UI"/>
        </w:rPr>
        <w:t xml:space="preserve">each of </w:t>
      </w:r>
      <w:r w:rsidRPr="004F2DFA">
        <w:rPr>
          <w:rFonts w:cs="Segoe UI"/>
        </w:rPr>
        <w:t>the options</w:t>
      </w:r>
      <w:r>
        <w:rPr>
          <w:rFonts w:cs="Segoe UI"/>
        </w:rPr>
        <w:t>,</w:t>
      </w:r>
      <w:r w:rsidRPr="004F2DFA">
        <w:rPr>
          <w:rFonts w:cs="Segoe UI"/>
        </w:rPr>
        <w:t xml:space="preserve"> </w:t>
      </w:r>
      <w:r w:rsidRPr="3B60DEAD">
        <w:rPr>
          <w:rFonts w:cs="Segoe UI"/>
        </w:rPr>
        <w:t xml:space="preserve">and </w:t>
      </w:r>
      <w:r>
        <w:rPr>
          <w:rFonts w:cs="Segoe UI"/>
        </w:rPr>
        <w:t xml:space="preserve">the person </w:t>
      </w:r>
      <w:r w:rsidRPr="3B60DEAD">
        <w:rPr>
          <w:rFonts w:cs="Segoe UI"/>
        </w:rPr>
        <w:t xml:space="preserve">then </w:t>
      </w:r>
      <w:r w:rsidRPr="1AB4BEAC">
        <w:rPr>
          <w:rFonts w:cs="Segoe UI"/>
        </w:rPr>
        <w:t>selects</w:t>
      </w:r>
      <w:r w:rsidRPr="3B60DEAD">
        <w:rPr>
          <w:rFonts w:cs="Segoe UI"/>
        </w:rPr>
        <w:t xml:space="preserve"> their </w:t>
      </w:r>
      <w:r w:rsidRPr="09FA1C6D">
        <w:rPr>
          <w:rFonts w:cs="Segoe UI"/>
        </w:rPr>
        <w:t>preferred option.</w:t>
      </w:r>
      <w:r w:rsidRPr="00003C1B">
        <w:rPr>
          <w:rFonts w:cs="Segoe UI"/>
        </w:rPr>
        <w:t xml:space="preserve"> </w:t>
      </w:r>
      <w:r w:rsidRPr="007032EE">
        <w:rPr>
          <w:rFonts w:cs="Segoe UI"/>
        </w:rPr>
        <w:t xml:space="preserve">For the </w:t>
      </w:r>
      <w:r w:rsidRPr="007032EE">
        <w:rPr>
          <w:lang w:eastAsia="en-NZ"/>
        </w:rPr>
        <w:t xml:space="preserve">344 </w:t>
      </w:r>
      <w:r w:rsidRPr="007032EE">
        <w:rPr>
          <w:rFonts w:cs="Segoe UI"/>
        </w:rPr>
        <w:t>assisted deaths</w:t>
      </w:r>
      <w:r>
        <w:rPr>
          <w:rFonts w:cs="Segoe UI"/>
        </w:rPr>
        <w:t xml:space="preserve"> that took place</w:t>
      </w:r>
      <w:r w:rsidRPr="007032EE">
        <w:rPr>
          <w:rFonts w:cs="Segoe UI"/>
        </w:rPr>
        <w:t xml:space="preserve"> </w:t>
      </w:r>
      <w:r w:rsidRPr="007032EE">
        <w:rPr>
          <w:lang w:eastAsia="en-NZ"/>
        </w:rPr>
        <w:t xml:space="preserve">between 1 April 2023 </w:t>
      </w:r>
      <w:r>
        <w:rPr>
          <w:lang w:eastAsia="en-NZ"/>
        </w:rPr>
        <w:t>and</w:t>
      </w:r>
      <w:r w:rsidRPr="007032EE">
        <w:rPr>
          <w:lang w:eastAsia="en-NZ"/>
        </w:rPr>
        <w:t xml:space="preserve"> 31 March 2024</w:t>
      </w:r>
      <w:r w:rsidRPr="007032EE">
        <w:rPr>
          <w:rFonts w:cs="Segoe UI"/>
        </w:rPr>
        <w:t xml:space="preserve">: </w:t>
      </w:r>
    </w:p>
    <w:p w14:paraId="3CE05DEE" w14:textId="77777777" w:rsidR="007B4CC0" w:rsidRPr="00AB63A0" w:rsidRDefault="007B4CC0" w:rsidP="00AB63A0">
      <w:pPr>
        <w:pStyle w:val="Bullet"/>
      </w:pPr>
      <w:r w:rsidRPr="00AB63A0">
        <w:t xml:space="preserve">22 people chose ingestion, triggered by the </w:t>
      </w:r>
      <w:proofErr w:type="gramStart"/>
      <w:r w:rsidRPr="00AB63A0">
        <w:t>person</w:t>
      </w:r>
      <w:proofErr w:type="gramEnd"/>
    </w:p>
    <w:p w14:paraId="0680516D" w14:textId="77777777" w:rsidR="007B4CC0" w:rsidRPr="00AB63A0" w:rsidRDefault="007B4CC0" w:rsidP="00AB63A0">
      <w:pPr>
        <w:pStyle w:val="Bullet"/>
      </w:pPr>
      <w:r w:rsidRPr="00AB63A0">
        <w:t xml:space="preserve">4 people chose intravenous delivery, triggered by the </w:t>
      </w:r>
      <w:proofErr w:type="gramStart"/>
      <w:r w:rsidRPr="00AB63A0">
        <w:t>person</w:t>
      </w:r>
      <w:proofErr w:type="gramEnd"/>
    </w:p>
    <w:p w14:paraId="03C06D89" w14:textId="77777777" w:rsidR="007B4CC0" w:rsidRPr="00AB63A0" w:rsidRDefault="007B4CC0" w:rsidP="00AB63A0">
      <w:pPr>
        <w:pStyle w:val="Bullet"/>
      </w:pPr>
      <w:r w:rsidRPr="00AB63A0">
        <w:t>1 person chose ingestion through a tube, triggered by the AMP or attending nurse practitioner (ANP)</w:t>
      </w:r>
    </w:p>
    <w:p w14:paraId="0836D752" w14:textId="77777777" w:rsidR="007B4CC0" w:rsidRPr="00AB63A0" w:rsidRDefault="007B4CC0" w:rsidP="00AB63A0">
      <w:pPr>
        <w:pStyle w:val="Bullet"/>
      </w:pPr>
      <w:r w:rsidRPr="00AB63A0">
        <w:t>317 people chose injection, administered by the AMP/ANP.</w:t>
      </w:r>
    </w:p>
    <w:p w14:paraId="3AEF2142" w14:textId="77777777" w:rsidR="007B4CC0" w:rsidRPr="00C42D1C" w:rsidRDefault="007B4CC0" w:rsidP="007B4CC0">
      <w:pPr>
        <w:pStyle w:val="Bullet"/>
        <w:numPr>
          <w:ilvl w:val="0"/>
          <w:numId w:val="0"/>
        </w:numPr>
        <w:ind w:left="284"/>
        <w:rPr>
          <w:rFonts w:asciiTheme="minorHAnsi" w:hAnsiTheme="minorHAnsi" w:cstheme="minorHAnsi"/>
          <w:sz w:val="22"/>
          <w:szCs w:val="22"/>
        </w:rPr>
      </w:pPr>
    </w:p>
    <w:p w14:paraId="02DBAADC" w14:textId="77777777" w:rsidR="007B4CC0" w:rsidRPr="00ED47EF" w:rsidRDefault="007B4CC0" w:rsidP="00AB63A0">
      <w:r w:rsidRPr="00ED47EF">
        <w:t xml:space="preserve">Each medication method has a standard administration protocol to ensure consistent, safe and quality services. </w:t>
      </w:r>
      <w:r w:rsidRPr="007032EE">
        <w:t>As of 31 March 2024,</w:t>
      </w:r>
      <w:r w:rsidRPr="00ED47EF">
        <w:t xml:space="preserve"> there have been no major complications related to the administration of the medication</w:t>
      </w:r>
      <w:r>
        <w:t>,</w:t>
      </w:r>
      <w:r w:rsidRPr="00ED47EF">
        <w:t xml:space="preserve"> and all deaths have occurred within expected timeframes. The details of the protocol are only provided to </w:t>
      </w:r>
      <w:r>
        <w:t xml:space="preserve">the health </w:t>
      </w:r>
      <w:r w:rsidRPr="00ED47EF">
        <w:t xml:space="preserve">practitioners involved in the assisted dying service. </w:t>
      </w:r>
    </w:p>
    <w:p w14:paraId="40367125" w14:textId="77777777" w:rsidR="007B4CC0" w:rsidRPr="006E1310" w:rsidRDefault="007B4CC0" w:rsidP="00AB63A0">
      <w:pPr>
        <w:pStyle w:val="Heading2"/>
        <w:rPr>
          <w:lang w:eastAsia="en-NZ"/>
        </w:rPr>
      </w:pPr>
      <w:bookmarkStart w:id="42" w:name="_Toc170220990"/>
      <w:r w:rsidRPr="006E1310">
        <w:t xml:space="preserve">Assessments completed during this </w:t>
      </w:r>
      <w:proofErr w:type="gramStart"/>
      <w:r w:rsidRPr="006E1310">
        <w:t>period</w:t>
      </w:r>
      <w:bookmarkEnd w:id="42"/>
      <w:proofErr w:type="gramEnd"/>
    </w:p>
    <w:p w14:paraId="039F6D44" w14:textId="2504C601" w:rsidR="007B4CC0" w:rsidRDefault="007B4CC0" w:rsidP="007B4CC0">
      <w:pPr>
        <w:rPr>
          <w:lang w:eastAsia="en-NZ"/>
        </w:rPr>
      </w:pPr>
      <w:r w:rsidRPr="00003C1B">
        <w:rPr>
          <w:lang w:eastAsia="en-NZ"/>
        </w:rPr>
        <w:t xml:space="preserve">A person must meet strict eligibility criteria to have an assisted death. </w:t>
      </w:r>
    </w:p>
    <w:p w14:paraId="432CEBF4" w14:textId="77777777" w:rsidR="00AB63A0" w:rsidRPr="00003C1B" w:rsidRDefault="00AB63A0" w:rsidP="007B4CC0">
      <w:pPr>
        <w:rPr>
          <w:lang w:eastAsia="en-NZ"/>
        </w:rPr>
      </w:pPr>
    </w:p>
    <w:p w14:paraId="162F8580" w14:textId="2D64D672" w:rsidR="007B4CC0" w:rsidRDefault="007B4CC0" w:rsidP="007B4CC0">
      <w:pPr>
        <w:rPr>
          <w:lang w:eastAsia="en-NZ"/>
        </w:rPr>
      </w:pPr>
      <w:r>
        <w:rPr>
          <w:lang w:eastAsia="en-NZ"/>
        </w:rPr>
        <w:t xml:space="preserve">After an application is submitted, an initial assessment is made by an AMP. The AMP reviews the person’s eligibility against the criteria outlined in the Act. </w:t>
      </w:r>
      <w:r w:rsidRPr="3F138F33">
        <w:rPr>
          <w:lang w:eastAsia="en-NZ"/>
        </w:rPr>
        <w:t>The independent medical practitioner (</w:t>
      </w:r>
      <w:r>
        <w:rPr>
          <w:lang w:eastAsia="en-NZ"/>
        </w:rPr>
        <w:t>IMP</w:t>
      </w:r>
      <w:r w:rsidRPr="3F138F33">
        <w:rPr>
          <w:lang w:eastAsia="en-NZ"/>
        </w:rPr>
        <w:t>)</w:t>
      </w:r>
      <w:r>
        <w:rPr>
          <w:lang w:eastAsia="en-NZ"/>
        </w:rPr>
        <w:t xml:space="preserve"> then provides an independent second assessment. More information on the health practitioner roles can be found in the Act or the </w:t>
      </w:r>
      <w:hyperlink r:id="rId31">
        <w:r>
          <w:rPr>
            <w:rStyle w:val="Hyperlink"/>
            <w:lang w:eastAsia="en-NZ"/>
          </w:rPr>
          <w:t>Roles in the Assisted Dying Service webpage on Health New Zealand's website</w:t>
        </w:r>
      </w:hyperlink>
      <w:r>
        <w:rPr>
          <w:lang w:eastAsia="en-NZ"/>
        </w:rPr>
        <w:t>.</w:t>
      </w:r>
    </w:p>
    <w:p w14:paraId="10838EFC" w14:textId="77777777" w:rsidR="00AB63A0" w:rsidRDefault="00AB63A0" w:rsidP="007B4CC0">
      <w:pPr>
        <w:rPr>
          <w:lang w:eastAsia="en-NZ"/>
        </w:rPr>
      </w:pPr>
    </w:p>
    <w:p w14:paraId="38213107" w14:textId="22111C89" w:rsidR="007B4CC0" w:rsidRDefault="007B4CC0" w:rsidP="007B4CC0">
      <w:r w:rsidRPr="00085EA4">
        <w:t>During the current reporting period, AMPs assessed 914 applications, which was an increase of 15% as compared with the previous year’s reporting period (794 applications). Additionally, during the current period of reporting, IMPs assessed 664 applications, which was an increase of 13% as compared with the previous year’s reporting period (578 applications). The proportion of applications found to be eligible (82%) by the AMP during the current reporting period was slightly lower than observed in the previous reporting year (86%), however the percentage of applications found eligible by IMPs remained high across both periods (97% and 99%, respectively).</w:t>
      </w:r>
    </w:p>
    <w:p w14:paraId="05807616" w14:textId="77777777" w:rsidR="00AB63A0" w:rsidRPr="00085EA4" w:rsidRDefault="00AB63A0" w:rsidP="007B4CC0"/>
    <w:p w14:paraId="6C62B5DA" w14:textId="55F89962" w:rsidR="007B4CC0" w:rsidRDefault="007B4CC0" w:rsidP="007B4CC0">
      <w:pPr>
        <w:rPr>
          <w:lang w:eastAsia="en-NZ"/>
        </w:rPr>
      </w:pPr>
      <w:r>
        <w:rPr>
          <w:lang w:eastAsia="en-NZ"/>
        </w:rPr>
        <w:lastRenderedPageBreak/>
        <w:t xml:space="preserve">Applicants may be found ineligible at each of these assessments for a variety of reasons. For more information on ineligibility outcomes at assessment for this first year of service please see </w:t>
      </w:r>
      <w:r>
        <w:rPr>
          <w:lang w:eastAsia="en-NZ"/>
        </w:rPr>
        <w:fldChar w:fldCharType="begin"/>
      </w:r>
      <w:r>
        <w:rPr>
          <w:lang w:eastAsia="en-NZ"/>
        </w:rPr>
        <w:instrText xml:space="preserve"> REF _Ref138345112 \h </w:instrText>
      </w:r>
      <w:r>
        <w:rPr>
          <w:lang w:eastAsia="en-NZ"/>
        </w:rPr>
      </w:r>
      <w:r>
        <w:rPr>
          <w:lang w:eastAsia="en-NZ"/>
        </w:rPr>
        <w:fldChar w:fldCharType="separate"/>
      </w:r>
      <w:r w:rsidR="00E8724C" w:rsidRPr="00AB63A0">
        <w:t xml:space="preserve">Table </w:t>
      </w:r>
      <w:r w:rsidR="00E8724C">
        <w:rPr>
          <w:noProof/>
        </w:rPr>
        <w:t>2</w:t>
      </w:r>
      <w:r>
        <w:rPr>
          <w:lang w:eastAsia="en-NZ"/>
        </w:rPr>
        <w:fldChar w:fldCharType="end"/>
      </w:r>
      <w:r>
        <w:rPr>
          <w:lang w:eastAsia="en-NZ"/>
        </w:rPr>
        <w:t>.</w:t>
      </w:r>
    </w:p>
    <w:p w14:paraId="015606B2" w14:textId="77777777" w:rsidR="00AB63A0" w:rsidRDefault="00AB63A0" w:rsidP="007B4CC0">
      <w:pPr>
        <w:rPr>
          <w:lang w:eastAsia="en-NZ"/>
        </w:rPr>
      </w:pPr>
    </w:p>
    <w:p w14:paraId="21E76402" w14:textId="5C4B7FFA" w:rsidR="007B4CC0" w:rsidRDefault="007B4CC0" w:rsidP="007B4CC0">
      <w:pPr>
        <w:rPr>
          <w:rFonts w:cs="Segoe UI"/>
          <w:lang w:eastAsia="en-NZ"/>
        </w:rPr>
      </w:pPr>
      <w:r w:rsidRPr="683FF59B">
        <w:rPr>
          <w:lang w:eastAsia="en-NZ"/>
        </w:rPr>
        <w:t xml:space="preserve">Following eligible outcomes at both AMP and IMP </w:t>
      </w:r>
      <w:r w:rsidRPr="59136BFF">
        <w:rPr>
          <w:lang w:eastAsia="en-NZ"/>
        </w:rPr>
        <w:t>assessment</w:t>
      </w:r>
      <w:r w:rsidRPr="59136BFF">
        <w:rPr>
          <w:color w:val="FF0000"/>
          <w:lang w:eastAsia="en-NZ"/>
        </w:rPr>
        <w:t xml:space="preserve"> </w:t>
      </w:r>
      <w:r w:rsidRPr="683FF59B">
        <w:rPr>
          <w:lang w:eastAsia="en-NZ"/>
        </w:rPr>
        <w:t>the AMP meets with the applicant for another discussion about eligibility and the assisted dying process. At this time, some previously eligible applicants may be found not competent or eligible to c</w:t>
      </w:r>
      <w:r w:rsidRPr="683FF59B">
        <w:rPr>
          <w:rFonts w:cs="Segoe UI"/>
          <w:lang w:eastAsia="en-NZ"/>
        </w:rPr>
        <w:t xml:space="preserve">ontinue. However, as with the previous reporting year, 99% of applicants who have received eligible outcomes at both AMP and IMP initial assessments were found to be eligible at this stage. </w:t>
      </w:r>
    </w:p>
    <w:p w14:paraId="57798531" w14:textId="77777777" w:rsidR="00AB63A0" w:rsidRPr="004E1B64" w:rsidRDefault="00AB63A0" w:rsidP="007B4CC0">
      <w:pPr>
        <w:rPr>
          <w:rFonts w:cs="Segoe UI"/>
          <w:lang w:eastAsia="en-NZ"/>
        </w:rPr>
      </w:pPr>
    </w:p>
    <w:p w14:paraId="44F46549" w14:textId="4BE7CC5D" w:rsidR="007B4CC0" w:rsidRPr="00AB63A0" w:rsidRDefault="007B4CC0" w:rsidP="00AB63A0">
      <w:pPr>
        <w:pStyle w:val="Table"/>
      </w:pPr>
      <w:bookmarkStart w:id="43" w:name="_Ref138345112"/>
      <w:bookmarkStart w:id="44" w:name="_Toc138428969"/>
      <w:bookmarkStart w:id="45" w:name="_Toc170220998"/>
      <w:r w:rsidRPr="00AB63A0">
        <w:t xml:space="preserve">Table </w:t>
      </w:r>
      <w:fldSimple w:instr=" SEQ Table \* ARABIC ">
        <w:r w:rsidR="00E8724C">
          <w:rPr>
            <w:noProof/>
          </w:rPr>
          <w:t>2</w:t>
        </w:r>
      </w:fldSimple>
      <w:bookmarkEnd w:id="43"/>
      <w:r w:rsidRPr="00AB63A0">
        <w:t>: Assessment outcomes</w:t>
      </w:r>
      <w:bookmarkEnd w:id="44"/>
      <w:bookmarkEnd w:id="45"/>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835"/>
        <w:gridCol w:w="2544"/>
        <w:gridCol w:w="2690"/>
      </w:tblGrid>
      <w:tr w:rsidR="007B4CC0" w:rsidRPr="00091145" w14:paraId="2170A928" w14:textId="77777777" w:rsidTr="00E95DAF">
        <w:tc>
          <w:tcPr>
            <w:tcW w:w="2835" w:type="dxa"/>
            <w:tcBorders>
              <w:top w:val="nil"/>
              <w:bottom w:val="nil"/>
            </w:tcBorders>
            <w:shd w:val="clear" w:color="auto" w:fill="D9D9D9" w:themeFill="background1" w:themeFillShade="D9"/>
          </w:tcPr>
          <w:p w14:paraId="6EDE8313" w14:textId="77777777" w:rsidR="007B4CC0" w:rsidRPr="00091145" w:rsidRDefault="007B4CC0" w:rsidP="00091145">
            <w:pPr>
              <w:pStyle w:val="TableText"/>
              <w:rPr>
                <w:b/>
                <w:bCs/>
              </w:rPr>
            </w:pPr>
          </w:p>
        </w:tc>
        <w:tc>
          <w:tcPr>
            <w:tcW w:w="2544" w:type="dxa"/>
            <w:tcBorders>
              <w:top w:val="nil"/>
              <w:bottom w:val="nil"/>
            </w:tcBorders>
            <w:shd w:val="clear" w:color="auto" w:fill="D9D9D9" w:themeFill="background1" w:themeFillShade="D9"/>
          </w:tcPr>
          <w:p w14:paraId="69575CC5" w14:textId="77777777" w:rsidR="007B4CC0" w:rsidRPr="00091145" w:rsidRDefault="007B4CC0" w:rsidP="00091145">
            <w:pPr>
              <w:pStyle w:val="TableText"/>
              <w:rPr>
                <w:b/>
                <w:bCs/>
              </w:rPr>
            </w:pPr>
            <w:r w:rsidRPr="00091145">
              <w:rPr>
                <w:b/>
                <w:bCs/>
              </w:rPr>
              <w:t>Outcome of assessment</w:t>
            </w:r>
          </w:p>
        </w:tc>
        <w:tc>
          <w:tcPr>
            <w:tcW w:w="2690" w:type="dxa"/>
            <w:tcBorders>
              <w:top w:val="nil"/>
              <w:bottom w:val="nil"/>
            </w:tcBorders>
            <w:shd w:val="clear" w:color="auto" w:fill="D9D9D9" w:themeFill="background1" w:themeFillShade="D9"/>
          </w:tcPr>
          <w:p w14:paraId="578EEEEC" w14:textId="77777777" w:rsidR="007B4CC0" w:rsidRPr="00091145" w:rsidRDefault="007B4CC0" w:rsidP="00E95DAF">
            <w:pPr>
              <w:pStyle w:val="TableText"/>
              <w:jc w:val="right"/>
              <w:rPr>
                <w:b/>
                <w:bCs/>
              </w:rPr>
            </w:pPr>
            <w:r w:rsidRPr="00091145">
              <w:rPr>
                <w:b/>
                <w:bCs/>
              </w:rPr>
              <w:t>Number of assessments</w:t>
            </w:r>
          </w:p>
        </w:tc>
      </w:tr>
      <w:tr w:rsidR="007B4CC0" w:rsidRPr="00091145" w14:paraId="0C0A0266" w14:textId="77777777" w:rsidTr="00E95DAF">
        <w:tc>
          <w:tcPr>
            <w:tcW w:w="2835" w:type="dxa"/>
            <w:vMerge w:val="restart"/>
            <w:tcBorders>
              <w:top w:val="nil"/>
            </w:tcBorders>
          </w:tcPr>
          <w:p w14:paraId="7A1619B4" w14:textId="77777777" w:rsidR="007B4CC0" w:rsidRPr="00091145" w:rsidRDefault="007B4CC0" w:rsidP="00091145">
            <w:pPr>
              <w:pStyle w:val="TableText"/>
            </w:pPr>
            <w:r w:rsidRPr="00091145">
              <w:t xml:space="preserve">AMP assessments </w:t>
            </w:r>
          </w:p>
          <w:p w14:paraId="3CE4F4BE" w14:textId="77777777" w:rsidR="007B4CC0" w:rsidRPr="00091145" w:rsidRDefault="007B4CC0" w:rsidP="00091145">
            <w:pPr>
              <w:pStyle w:val="TableText"/>
            </w:pPr>
            <w:r w:rsidRPr="00091145">
              <w:t>(N = 914)</w:t>
            </w:r>
          </w:p>
        </w:tc>
        <w:tc>
          <w:tcPr>
            <w:tcW w:w="2544" w:type="dxa"/>
            <w:tcBorders>
              <w:top w:val="nil"/>
            </w:tcBorders>
          </w:tcPr>
          <w:p w14:paraId="368DFBA9" w14:textId="77777777" w:rsidR="007B4CC0" w:rsidRPr="00091145" w:rsidRDefault="007B4CC0" w:rsidP="00091145">
            <w:pPr>
              <w:pStyle w:val="TableText"/>
            </w:pPr>
            <w:r w:rsidRPr="00091145">
              <w:t>Eligible</w:t>
            </w:r>
          </w:p>
        </w:tc>
        <w:tc>
          <w:tcPr>
            <w:tcW w:w="2690" w:type="dxa"/>
            <w:tcBorders>
              <w:top w:val="nil"/>
            </w:tcBorders>
          </w:tcPr>
          <w:p w14:paraId="7FFC45AD" w14:textId="77777777" w:rsidR="007B4CC0" w:rsidRPr="00091145" w:rsidRDefault="007B4CC0" w:rsidP="00E95DAF">
            <w:pPr>
              <w:pStyle w:val="TableText"/>
              <w:jc w:val="right"/>
            </w:pPr>
            <w:r w:rsidRPr="00091145">
              <w:t>753</w:t>
            </w:r>
          </w:p>
        </w:tc>
      </w:tr>
      <w:tr w:rsidR="007B4CC0" w:rsidRPr="00091145" w14:paraId="7D910DFD" w14:textId="77777777" w:rsidTr="00E95DAF">
        <w:tc>
          <w:tcPr>
            <w:tcW w:w="2835" w:type="dxa"/>
            <w:vMerge/>
          </w:tcPr>
          <w:p w14:paraId="770AC2F7" w14:textId="77777777" w:rsidR="007B4CC0" w:rsidRPr="00091145" w:rsidRDefault="007B4CC0" w:rsidP="00091145">
            <w:pPr>
              <w:pStyle w:val="TableText"/>
            </w:pPr>
          </w:p>
        </w:tc>
        <w:tc>
          <w:tcPr>
            <w:tcW w:w="2544" w:type="dxa"/>
          </w:tcPr>
          <w:p w14:paraId="72E67B9B" w14:textId="77777777" w:rsidR="007B4CC0" w:rsidRPr="00091145" w:rsidRDefault="007B4CC0" w:rsidP="00091145">
            <w:pPr>
              <w:pStyle w:val="TableText"/>
            </w:pPr>
            <w:r w:rsidRPr="00091145">
              <w:t>Ineligible</w:t>
            </w:r>
          </w:p>
        </w:tc>
        <w:tc>
          <w:tcPr>
            <w:tcW w:w="2690" w:type="dxa"/>
          </w:tcPr>
          <w:p w14:paraId="0F20EF82" w14:textId="77777777" w:rsidR="007B4CC0" w:rsidRPr="00091145" w:rsidRDefault="007B4CC0" w:rsidP="00E95DAF">
            <w:pPr>
              <w:pStyle w:val="TableText"/>
              <w:jc w:val="right"/>
            </w:pPr>
            <w:r w:rsidRPr="00091145">
              <w:t>161</w:t>
            </w:r>
          </w:p>
        </w:tc>
      </w:tr>
      <w:tr w:rsidR="007B4CC0" w:rsidRPr="00091145" w14:paraId="5E4E35B5" w14:textId="77777777" w:rsidTr="00E95DAF">
        <w:tc>
          <w:tcPr>
            <w:tcW w:w="2835" w:type="dxa"/>
            <w:vMerge w:val="restart"/>
          </w:tcPr>
          <w:p w14:paraId="40D292DA" w14:textId="77777777" w:rsidR="007B4CC0" w:rsidRPr="00091145" w:rsidRDefault="007B4CC0" w:rsidP="00091145">
            <w:pPr>
              <w:pStyle w:val="TableText"/>
            </w:pPr>
            <w:r w:rsidRPr="00091145">
              <w:t xml:space="preserve">IMP assessments </w:t>
            </w:r>
          </w:p>
          <w:p w14:paraId="69589D6B" w14:textId="77777777" w:rsidR="007B4CC0" w:rsidRPr="00091145" w:rsidRDefault="007B4CC0" w:rsidP="00091145">
            <w:pPr>
              <w:pStyle w:val="TableText"/>
            </w:pPr>
            <w:r w:rsidRPr="00091145">
              <w:t>(N = 664)</w:t>
            </w:r>
          </w:p>
        </w:tc>
        <w:tc>
          <w:tcPr>
            <w:tcW w:w="2544" w:type="dxa"/>
          </w:tcPr>
          <w:p w14:paraId="079C051D" w14:textId="77777777" w:rsidR="007B4CC0" w:rsidRPr="00091145" w:rsidRDefault="007B4CC0" w:rsidP="00091145">
            <w:pPr>
              <w:pStyle w:val="TableText"/>
            </w:pPr>
            <w:r w:rsidRPr="00091145">
              <w:t>Eligible</w:t>
            </w:r>
          </w:p>
        </w:tc>
        <w:tc>
          <w:tcPr>
            <w:tcW w:w="2690" w:type="dxa"/>
          </w:tcPr>
          <w:p w14:paraId="077CEAF4" w14:textId="77777777" w:rsidR="007B4CC0" w:rsidRPr="00091145" w:rsidRDefault="007B4CC0" w:rsidP="00E95DAF">
            <w:pPr>
              <w:pStyle w:val="TableText"/>
              <w:jc w:val="right"/>
            </w:pPr>
            <w:r w:rsidRPr="00091145">
              <w:t>655</w:t>
            </w:r>
          </w:p>
        </w:tc>
      </w:tr>
      <w:tr w:rsidR="007B4CC0" w:rsidRPr="00091145" w14:paraId="139F2120" w14:textId="77777777" w:rsidTr="00E95DAF">
        <w:tc>
          <w:tcPr>
            <w:tcW w:w="2835" w:type="dxa"/>
            <w:vMerge/>
          </w:tcPr>
          <w:p w14:paraId="796F3AE4" w14:textId="77777777" w:rsidR="007B4CC0" w:rsidRPr="00091145" w:rsidRDefault="007B4CC0" w:rsidP="00091145">
            <w:pPr>
              <w:pStyle w:val="TableText"/>
            </w:pPr>
          </w:p>
        </w:tc>
        <w:tc>
          <w:tcPr>
            <w:tcW w:w="2544" w:type="dxa"/>
          </w:tcPr>
          <w:p w14:paraId="3B332A60" w14:textId="77777777" w:rsidR="007B4CC0" w:rsidRPr="00091145" w:rsidRDefault="007B4CC0" w:rsidP="00091145">
            <w:pPr>
              <w:pStyle w:val="TableText"/>
            </w:pPr>
            <w:r w:rsidRPr="00091145">
              <w:t>Ineligible</w:t>
            </w:r>
          </w:p>
        </w:tc>
        <w:tc>
          <w:tcPr>
            <w:tcW w:w="2690" w:type="dxa"/>
          </w:tcPr>
          <w:p w14:paraId="34ED6DEE" w14:textId="77777777" w:rsidR="007B4CC0" w:rsidRPr="00091145" w:rsidRDefault="007B4CC0" w:rsidP="00E95DAF">
            <w:pPr>
              <w:pStyle w:val="TableText"/>
              <w:jc w:val="right"/>
            </w:pPr>
            <w:r w:rsidRPr="00091145">
              <w:t>9</w:t>
            </w:r>
          </w:p>
        </w:tc>
      </w:tr>
      <w:tr w:rsidR="007B4CC0" w:rsidRPr="00091145" w14:paraId="44E3F5AB" w14:textId="77777777" w:rsidTr="00E95DAF">
        <w:trPr>
          <w:trHeight w:val="487"/>
        </w:trPr>
        <w:tc>
          <w:tcPr>
            <w:tcW w:w="2835" w:type="dxa"/>
            <w:vMerge w:val="restart"/>
          </w:tcPr>
          <w:p w14:paraId="5AC67E0C" w14:textId="77777777" w:rsidR="007B4CC0" w:rsidRPr="00091145" w:rsidRDefault="007B4CC0" w:rsidP="00091145">
            <w:pPr>
              <w:pStyle w:val="TableText"/>
            </w:pPr>
            <w:r w:rsidRPr="00091145">
              <w:t xml:space="preserve">Eligibility discussion following </w:t>
            </w:r>
            <w:proofErr w:type="gramStart"/>
            <w:r w:rsidRPr="00091145">
              <w:t>assessment</w:t>
            </w:r>
            <w:proofErr w:type="gramEnd"/>
          </w:p>
          <w:p w14:paraId="0BDE7FC2" w14:textId="77777777" w:rsidR="007B4CC0" w:rsidRPr="00091145" w:rsidRDefault="007B4CC0" w:rsidP="00091145">
            <w:pPr>
              <w:pStyle w:val="TableText"/>
            </w:pPr>
            <w:r w:rsidRPr="00091145">
              <w:t>(N = 492)</w:t>
            </w:r>
          </w:p>
        </w:tc>
        <w:tc>
          <w:tcPr>
            <w:tcW w:w="2544" w:type="dxa"/>
          </w:tcPr>
          <w:p w14:paraId="71D7F071" w14:textId="77777777" w:rsidR="007B4CC0" w:rsidRPr="00091145" w:rsidRDefault="007B4CC0" w:rsidP="00091145">
            <w:pPr>
              <w:pStyle w:val="TableText"/>
            </w:pPr>
            <w:r w:rsidRPr="00091145">
              <w:t xml:space="preserve">Eligible </w:t>
            </w:r>
          </w:p>
        </w:tc>
        <w:tc>
          <w:tcPr>
            <w:tcW w:w="2690" w:type="dxa"/>
          </w:tcPr>
          <w:p w14:paraId="04301D62" w14:textId="77777777" w:rsidR="007B4CC0" w:rsidRPr="00091145" w:rsidRDefault="007B4CC0" w:rsidP="00E95DAF">
            <w:pPr>
              <w:pStyle w:val="TableText"/>
              <w:jc w:val="right"/>
            </w:pPr>
            <w:r w:rsidRPr="00091145">
              <w:t>488</w:t>
            </w:r>
          </w:p>
        </w:tc>
      </w:tr>
      <w:tr w:rsidR="007B4CC0" w:rsidRPr="00091145" w14:paraId="4F52A621" w14:textId="77777777" w:rsidTr="00E95DAF">
        <w:trPr>
          <w:trHeight w:val="501"/>
        </w:trPr>
        <w:tc>
          <w:tcPr>
            <w:tcW w:w="2835" w:type="dxa"/>
            <w:vMerge/>
          </w:tcPr>
          <w:p w14:paraId="78547C61" w14:textId="77777777" w:rsidR="007B4CC0" w:rsidRPr="00091145" w:rsidRDefault="007B4CC0" w:rsidP="00091145">
            <w:pPr>
              <w:pStyle w:val="TableText"/>
            </w:pPr>
          </w:p>
        </w:tc>
        <w:tc>
          <w:tcPr>
            <w:tcW w:w="2544" w:type="dxa"/>
          </w:tcPr>
          <w:p w14:paraId="5C349E95" w14:textId="77777777" w:rsidR="007B4CC0" w:rsidRPr="00091145" w:rsidRDefault="007B4CC0" w:rsidP="00091145">
            <w:pPr>
              <w:pStyle w:val="TableText"/>
            </w:pPr>
            <w:r w:rsidRPr="00091145">
              <w:t>Ineligible</w:t>
            </w:r>
          </w:p>
        </w:tc>
        <w:tc>
          <w:tcPr>
            <w:tcW w:w="2690" w:type="dxa"/>
          </w:tcPr>
          <w:p w14:paraId="69B49204" w14:textId="77777777" w:rsidR="007B4CC0" w:rsidRPr="00091145" w:rsidRDefault="007B4CC0" w:rsidP="00E95DAF">
            <w:pPr>
              <w:pStyle w:val="TableText"/>
              <w:jc w:val="right"/>
            </w:pPr>
            <w:r w:rsidRPr="00091145">
              <w:t>4</w:t>
            </w:r>
          </w:p>
        </w:tc>
      </w:tr>
    </w:tbl>
    <w:p w14:paraId="30BC1170" w14:textId="77777777" w:rsidR="007B4CC0" w:rsidRDefault="007B4CC0" w:rsidP="007B4CC0">
      <w:pPr>
        <w:rPr>
          <w:lang w:eastAsia="en-NZ"/>
        </w:rPr>
      </w:pPr>
    </w:p>
    <w:p w14:paraId="39F5BA2C" w14:textId="77777777" w:rsidR="007B4CC0" w:rsidRDefault="007B4CC0" w:rsidP="007B4CC0">
      <w:pPr>
        <w:rPr>
          <w:lang w:eastAsia="en-NZ"/>
        </w:rPr>
      </w:pPr>
      <w:r w:rsidRPr="4F645F51">
        <w:rPr>
          <w:lang w:eastAsia="en-NZ"/>
        </w:rPr>
        <w:t xml:space="preserve">The AMP and IMP may request a psychiatrist from the SCENZ list for their opinion on whether the person requesting the option of receiving assisted dying is competent to make an informed decision about assisted dying. Of the ten assessments completed by a psychiatrist during this reporting period, one person was determined not to be competent to make an informed decision. </w:t>
      </w:r>
    </w:p>
    <w:p w14:paraId="22F40493" w14:textId="77777777" w:rsidR="007B4CC0" w:rsidRPr="006E1310" w:rsidRDefault="007B4CC0" w:rsidP="007B4CC0">
      <w:pPr>
        <w:pStyle w:val="Heading4"/>
        <w:rPr>
          <w:sz w:val="36"/>
          <w:szCs w:val="36"/>
          <w:lang w:eastAsia="en-NZ"/>
        </w:rPr>
      </w:pPr>
      <w:r w:rsidRPr="006E1310">
        <w:rPr>
          <w:lang w:eastAsia="en-NZ"/>
        </w:rPr>
        <w:t xml:space="preserve">Ineligibility summaries: Assessed by AMP and IMP </w:t>
      </w:r>
    </w:p>
    <w:p w14:paraId="06604609" w14:textId="7157704A" w:rsidR="007B4CC0" w:rsidRDefault="007B4CC0" w:rsidP="00E95DAF">
      <w:r w:rsidRPr="001A2A72">
        <w:rPr>
          <w:lang w:eastAsia="en-NZ"/>
        </w:rPr>
        <w:t xml:space="preserve">Not all applications made to the </w:t>
      </w:r>
      <w:r>
        <w:rPr>
          <w:lang w:eastAsia="en-NZ"/>
        </w:rPr>
        <w:t>S</w:t>
      </w:r>
      <w:r w:rsidRPr="001A2A72">
        <w:rPr>
          <w:lang w:eastAsia="en-NZ"/>
        </w:rPr>
        <w:t xml:space="preserve">ervice will result in an assisted death; some individuals may be assessed as ineligible. Reasons for ineligibility vary and may relate to an applicant’s age, status as a New Zealand citizen/resident or considerations relating to their health and physical decline. </w:t>
      </w:r>
      <w:r>
        <w:rPr>
          <w:lang w:eastAsia="en-NZ"/>
        </w:rPr>
        <w:t>M</w:t>
      </w:r>
      <w:r w:rsidRPr="001A2A72">
        <w:rPr>
          <w:lang w:eastAsia="en-NZ"/>
        </w:rPr>
        <w:t>ore information about eligibility criteria</w:t>
      </w:r>
      <w:r>
        <w:rPr>
          <w:lang w:eastAsia="en-NZ"/>
        </w:rPr>
        <w:t xml:space="preserve"> can be found on the</w:t>
      </w:r>
      <w:r w:rsidRPr="001A2A72">
        <w:rPr>
          <w:lang w:eastAsia="en-NZ"/>
        </w:rPr>
        <w:t xml:space="preserve"> </w:t>
      </w:r>
      <w:hyperlink r:id="rId32" w:history="1">
        <w:r>
          <w:rPr>
            <w:rStyle w:val="Hyperlink"/>
          </w:rPr>
          <w:t>Assisted dying eligibility and access webpage on Health New Zealand's website</w:t>
        </w:r>
      </w:hyperlink>
      <w:r w:rsidRPr="003F44DB">
        <w:t>.</w:t>
      </w:r>
    </w:p>
    <w:p w14:paraId="4F481BF1" w14:textId="77777777" w:rsidR="00E95DAF" w:rsidRDefault="00E95DAF" w:rsidP="00E95DAF">
      <w:bookmarkStart w:id="46" w:name="_Ref138344670"/>
      <w:bookmarkStart w:id="47" w:name="_Toc138428970"/>
    </w:p>
    <w:p w14:paraId="3143A0A5" w14:textId="1B2E5B01" w:rsidR="00091145" w:rsidRDefault="00E95DAF" w:rsidP="00E95DAF">
      <w:r>
        <w:fldChar w:fldCharType="begin"/>
      </w:r>
      <w:r>
        <w:instrText xml:space="preserve"> REF _Ref170138298 \h </w:instrText>
      </w:r>
      <w:r>
        <w:fldChar w:fldCharType="separate"/>
      </w:r>
      <w:r w:rsidR="00E8724C" w:rsidRPr="00091145">
        <w:t xml:space="preserve">Table </w:t>
      </w:r>
      <w:r w:rsidR="00E8724C">
        <w:rPr>
          <w:noProof/>
        </w:rPr>
        <w:t>3</w:t>
      </w:r>
      <w:r>
        <w:fldChar w:fldCharType="end"/>
      </w:r>
      <w:r>
        <w:t xml:space="preserve"> summarises the ineligibility decisions made at each stage of assessment by AMP and IMPs. Being found eligible at the AMP assessment stage but then ineligible at the IMP assessment stage may occur due to a number of reasons, including but not limited to, a change in personal circumstances impacting eligibility and/or a change in prognosis.</w:t>
      </w:r>
    </w:p>
    <w:p w14:paraId="23C38867" w14:textId="77777777" w:rsidR="00E95DAF" w:rsidRDefault="00E95DAF" w:rsidP="00091145">
      <w:pPr>
        <w:pStyle w:val="Table"/>
      </w:pPr>
    </w:p>
    <w:p w14:paraId="39CF87E1" w14:textId="241DBC0A" w:rsidR="00E95DAF" w:rsidRDefault="00E95DAF" w:rsidP="00091145">
      <w:pPr>
        <w:pStyle w:val="Table"/>
        <w:sectPr w:rsidR="00E95DAF" w:rsidSect="007B4CC0">
          <w:pgSz w:w="11907" w:h="16834" w:code="9"/>
          <w:pgMar w:top="1418" w:right="1701" w:bottom="1134" w:left="1843" w:header="284" w:footer="425" w:gutter="284"/>
          <w:cols w:space="720"/>
        </w:sectPr>
      </w:pPr>
    </w:p>
    <w:p w14:paraId="53D248BF" w14:textId="26C7BF95" w:rsidR="007B4CC0" w:rsidRPr="00091145" w:rsidRDefault="007B4CC0" w:rsidP="00E95DAF">
      <w:pPr>
        <w:pStyle w:val="Table"/>
        <w:keepNext w:val="0"/>
      </w:pPr>
      <w:bookmarkStart w:id="48" w:name="_Ref170138298"/>
      <w:bookmarkStart w:id="49" w:name="_Toc170220999"/>
      <w:r w:rsidRPr="00091145">
        <w:lastRenderedPageBreak/>
        <w:t xml:space="preserve">Table </w:t>
      </w:r>
      <w:fldSimple w:instr=" SEQ Table \* ARABIC ">
        <w:r w:rsidR="00E8724C">
          <w:rPr>
            <w:noProof/>
          </w:rPr>
          <w:t>3</w:t>
        </w:r>
      </w:fldSimple>
      <w:bookmarkEnd w:id="46"/>
      <w:bookmarkEnd w:id="48"/>
      <w:r w:rsidRPr="00091145">
        <w:t>: Ineligibility decisions</w:t>
      </w:r>
      <w:bookmarkEnd w:id="47"/>
      <w:bookmarkEnd w:id="49"/>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111"/>
        <w:gridCol w:w="2126"/>
        <w:gridCol w:w="1832"/>
      </w:tblGrid>
      <w:tr w:rsidR="007B4CC0" w:rsidRPr="00091145" w14:paraId="283F5C06" w14:textId="77777777" w:rsidTr="007B4CC0">
        <w:tc>
          <w:tcPr>
            <w:tcW w:w="4111" w:type="dxa"/>
            <w:tcBorders>
              <w:top w:val="nil"/>
              <w:bottom w:val="nil"/>
            </w:tcBorders>
            <w:shd w:val="clear" w:color="auto" w:fill="D9D9D9" w:themeFill="background1" w:themeFillShade="D9"/>
          </w:tcPr>
          <w:p w14:paraId="453DBCA6" w14:textId="77777777" w:rsidR="007B4CC0" w:rsidRPr="00091145" w:rsidRDefault="007B4CC0" w:rsidP="00E95DAF">
            <w:pPr>
              <w:pStyle w:val="TableText"/>
              <w:rPr>
                <w:b/>
                <w:bCs/>
              </w:rPr>
            </w:pPr>
            <w:r w:rsidRPr="00091145">
              <w:rPr>
                <w:b/>
                <w:bCs/>
              </w:rPr>
              <w:t>The applicant is …</w:t>
            </w:r>
          </w:p>
        </w:tc>
        <w:tc>
          <w:tcPr>
            <w:tcW w:w="2126" w:type="dxa"/>
            <w:tcBorders>
              <w:top w:val="nil"/>
              <w:bottom w:val="nil"/>
            </w:tcBorders>
            <w:shd w:val="clear" w:color="auto" w:fill="D9D9D9" w:themeFill="background1" w:themeFillShade="D9"/>
          </w:tcPr>
          <w:p w14:paraId="6C7B1068" w14:textId="77777777" w:rsidR="007B4CC0" w:rsidRPr="00091145" w:rsidRDefault="007B4CC0" w:rsidP="00E95DAF">
            <w:pPr>
              <w:pStyle w:val="TableText"/>
              <w:jc w:val="right"/>
              <w:rPr>
                <w:b/>
                <w:bCs/>
              </w:rPr>
            </w:pPr>
            <w:r w:rsidRPr="00091145">
              <w:rPr>
                <w:b/>
                <w:bCs/>
              </w:rPr>
              <w:t>Ineligible at AMP assessment (171)</w:t>
            </w:r>
          </w:p>
        </w:tc>
        <w:tc>
          <w:tcPr>
            <w:tcW w:w="1832" w:type="dxa"/>
            <w:tcBorders>
              <w:top w:val="nil"/>
              <w:bottom w:val="nil"/>
            </w:tcBorders>
            <w:shd w:val="clear" w:color="auto" w:fill="D9D9D9" w:themeFill="background1" w:themeFillShade="D9"/>
          </w:tcPr>
          <w:p w14:paraId="48315965" w14:textId="77777777" w:rsidR="007B4CC0" w:rsidRPr="00091145" w:rsidRDefault="007B4CC0" w:rsidP="00E95DAF">
            <w:pPr>
              <w:pStyle w:val="TableText"/>
              <w:jc w:val="right"/>
              <w:rPr>
                <w:b/>
                <w:bCs/>
              </w:rPr>
            </w:pPr>
            <w:r w:rsidRPr="00091145">
              <w:rPr>
                <w:b/>
                <w:bCs/>
              </w:rPr>
              <w:t>Ineligible at IMP assessment (22)</w:t>
            </w:r>
          </w:p>
        </w:tc>
      </w:tr>
      <w:tr w:rsidR="007B4CC0" w:rsidRPr="00091145" w14:paraId="4AC95E63" w14:textId="77777777" w:rsidTr="007B4CC0">
        <w:tc>
          <w:tcPr>
            <w:tcW w:w="4111" w:type="dxa"/>
            <w:tcBorders>
              <w:top w:val="nil"/>
            </w:tcBorders>
            <w:shd w:val="clear" w:color="auto" w:fill="FFFFFF" w:themeFill="background1"/>
          </w:tcPr>
          <w:p w14:paraId="21BA0DFA" w14:textId="77777777" w:rsidR="007B4CC0" w:rsidRPr="00091145" w:rsidRDefault="007B4CC0" w:rsidP="00E95DAF">
            <w:pPr>
              <w:pStyle w:val="TableText"/>
            </w:pPr>
            <w:r w:rsidRPr="00091145">
              <w:t>Not a New Zealand citizen / permanent resident</w:t>
            </w:r>
          </w:p>
        </w:tc>
        <w:tc>
          <w:tcPr>
            <w:tcW w:w="2126" w:type="dxa"/>
            <w:tcBorders>
              <w:top w:val="nil"/>
            </w:tcBorders>
            <w:shd w:val="clear" w:color="auto" w:fill="FFFFFF" w:themeFill="background1"/>
          </w:tcPr>
          <w:p w14:paraId="79B6E158" w14:textId="77777777" w:rsidR="007B4CC0" w:rsidRPr="00091145" w:rsidRDefault="007B4CC0" w:rsidP="00E95DAF">
            <w:pPr>
              <w:pStyle w:val="TableText"/>
              <w:jc w:val="right"/>
            </w:pPr>
            <w:r w:rsidRPr="00091145">
              <w:t>4 (2.5%)</w:t>
            </w:r>
          </w:p>
        </w:tc>
        <w:tc>
          <w:tcPr>
            <w:tcW w:w="1832" w:type="dxa"/>
            <w:tcBorders>
              <w:top w:val="nil"/>
            </w:tcBorders>
            <w:shd w:val="clear" w:color="auto" w:fill="FFFFFF" w:themeFill="background1"/>
          </w:tcPr>
          <w:p w14:paraId="77EFEFA4" w14:textId="77777777" w:rsidR="007B4CC0" w:rsidRPr="00091145" w:rsidRDefault="007B4CC0" w:rsidP="00E95DAF">
            <w:pPr>
              <w:pStyle w:val="TableText"/>
              <w:jc w:val="right"/>
            </w:pPr>
            <w:r w:rsidRPr="00091145">
              <w:t>0 (0.0%)</w:t>
            </w:r>
          </w:p>
        </w:tc>
      </w:tr>
      <w:tr w:rsidR="007B4CC0" w:rsidRPr="00091145" w14:paraId="5109C6DB" w14:textId="77777777" w:rsidTr="007B4CC0">
        <w:tc>
          <w:tcPr>
            <w:tcW w:w="4111" w:type="dxa"/>
            <w:tcBorders>
              <w:top w:val="nil"/>
            </w:tcBorders>
            <w:shd w:val="clear" w:color="auto" w:fill="FFFFFF" w:themeFill="background1"/>
          </w:tcPr>
          <w:p w14:paraId="2A36E6E4" w14:textId="77777777" w:rsidR="007B4CC0" w:rsidRPr="00091145" w:rsidRDefault="007B4CC0" w:rsidP="00E95DAF">
            <w:pPr>
              <w:pStyle w:val="TableText"/>
            </w:pPr>
            <w:r w:rsidRPr="00091145">
              <w:t>Not aged 18 or over</w:t>
            </w:r>
          </w:p>
        </w:tc>
        <w:tc>
          <w:tcPr>
            <w:tcW w:w="2126" w:type="dxa"/>
            <w:tcBorders>
              <w:top w:val="nil"/>
            </w:tcBorders>
            <w:shd w:val="clear" w:color="auto" w:fill="FFFFFF" w:themeFill="background1"/>
          </w:tcPr>
          <w:p w14:paraId="17447406" w14:textId="77777777" w:rsidR="007B4CC0" w:rsidRPr="00091145" w:rsidRDefault="007B4CC0" w:rsidP="00E95DAF">
            <w:pPr>
              <w:pStyle w:val="TableText"/>
              <w:jc w:val="right"/>
            </w:pPr>
            <w:r w:rsidRPr="00091145">
              <w:t>0 (0.0%)</w:t>
            </w:r>
          </w:p>
        </w:tc>
        <w:tc>
          <w:tcPr>
            <w:tcW w:w="1832" w:type="dxa"/>
            <w:tcBorders>
              <w:top w:val="nil"/>
            </w:tcBorders>
            <w:shd w:val="clear" w:color="auto" w:fill="FFFFFF" w:themeFill="background1"/>
          </w:tcPr>
          <w:p w14:paraId="3823D0B0" w14:textId="77777777" w:rsidR="007B4CC0" w:rsidRPr="00091145" w:rsidRDefault="007B4CC0" w:rsidP="00E95DAF">
            <w:pPr>
              <w:pStyle w:val="TableText"/>
              <w:jc w:val="right"/>
            </w:pPr>
            <w:r w:rsidRPr="00091145">
              <w:t>0 (0.0%)</w:t>
            </w:r>
          </w:p>
        </w:tc>
      </w:tr>
      <w:tr w:rsidR="007B4CC0" w:rsidRPr="00091145" w14:paraId="7B660B83" w14:textId="77777777" w:rsidTr="007B4CC0">
        <w:tc>
          <w:tcPr>
            <w:tcW w:w="4111" w:type="dxa"/>
            <w:tcBorders>
              <w:top w:val="nil"/>
            </w:tcBorders>
            <w:shd w:val="clear" w:color="auto" w:fill="FFFFFF" w:themeFill="background1"/>
          </w:tcPr>
          <w:p w14:paraId="7F1E8E01" w14:textId="77777777" w:rsidR="007B4CC0" w:rsidRPr="00091145" w:rsidRDefault="007B4CC0" w:rsidP="00E95DAF">
            <w:pPr>
              <w:pStyle w:val="TableText"/>
            </w:pPr>
            <w:r w:rsidRPr="00091145">
              <w:t>Not experiencing unbearable suffering that cannot be relieved in a manner the person considers tolerable</w:t>
            </w:r>
          </w:p>
        </w:tc>
        <w:tc>
          <w:tcPr>
            <w:tcW w:w="2126" w:type="dxa"/>
            <w:tcBorders>
              <w:top w:val="nil"/>
            </w:tcBorders>
            <w:shd w:val="clear" w:color="auto" w:fill="FFFFFF" w:themeFill="background1"/>
          </w:tcPr>
          <w:p w14:paraId="523AC362" w14:textId="77777777" w:rsidR="007B4CC0" w:rsidRPr="00091145" w:rsidRDefault="007B4CC0" w:rsidP="00E95DAF">
            <w:pPr>
              <w:pStyle w:val="TableText"/>
              <w:jc w:val="right"/>
            </w:pPr>
            <w:r w:rsidRPr="00091145">
              <w:t>62 (38.5%)</w:t>
            </w:r>
          </w:p>
        </w:tc>
        <w:tc>
          <w:tcPr>
            <w:tcW w:w="1832" w:type="dxa"/>
            <w:tcBorders>
              <w:top w:val="nil"/>
            </w:tcBorders>
            <w:shd w:val="clear" w:color="auto" w:fill="FFFFFF" w:themeFill="background1"/>
          </w:tcPr>
          <w:p w14:paraId="33666CBB" w14:textId="77777777" w:rsidR="007B4CC0" w:rsidRPr="00091145" w:rsidRDefault="007B4CC0" w:rsidP="00E95DAF">
            <w:pPr>
              <w:pStyle w:val="TableText"/>
              <w:jc w:val="right"/>
            </w:pPr>
            <w:r w:rsidRPr="00091145">
              <w:t>4 (44.4%)</w:t>
            </w:r>
          </w:p>
        </w:tc>
      </w:tr>
      <w:tr w:rsidR="007B4CC0" w:rsidRPr="00091145" w14:paraId="2F8D802B" w14:textId="77777777" w:rsidTr="007B4CC0">
        <w:tc>
          <w:tcPr>
            <w:tcW w:w="4111" w:type="dxa"/>
            <w:tcBorders>
              <w:top w:val="nil"/>
            </w:tcBorders>
            <w:shd w:val="clear" w:color="auto" w:fill="FFFFFF" w:themeFill="background1"/>
          </w:tcPr>
          <w:p w14:paraId="14D488AB" w14:textId="77777777" w:rsidR="007B4CC0" w:rsidRPr="00091145" w:rsidRDefault="007B4CC0" w:rsidP="00E95DAF">
            <w:pPr>
              <w:pStyle w:val="TableText"/>
            </w:pPr>
            <w:r w:rsidRPr="00091145">
              <w:t>Not in an advanced state of irreversible physical decline</w:t>
            </w:r>
          </w:p>
        </w:tc>
        <w:tc>
          <w:tcPr>
            <w:tcW w:w="2126" w:type="dxa"/>
            <w:tcBorders>
              <w:top w:val="nil"/>
            </w:tcBorders>
            <w:shd w:val="clear" w:color="auto" w:fill="FFFFFF" w:themeFill="background1"/>
          </w:tcPr>
          <w:p w14:paraId="388BC723" w14:textId="77777777" w:rsidR="007B4CC0" w:rsidRPr="00091145" w:rsidRDefault="007B4CC0" w:rsidP="00E95DAF">
            <w:pPr>
              <w:pStyle w:val="TableText"/>
              <w:jc w:val="right"/>
            </w:pPr>
            <w:r w:rsidRPr="00091145">
              <w:t>70 (43.5%)</w:t>
            </w:r>
          </w:p>
        </w:tc>
        <w:tc>
          <w:tcPr>
            <w:tcW w:w="1832" w:type="dxa"/>
            <w:tcBorders>
              <w:top w:val="nil"/>
            </w:tcBorders>
            <w:shd w:val="clear" w:color="auto" w:fill="FFFFFF" w:themeFill="background1"/>
          </w:tcPr>
          <w:p w14:paraId="65635A56" w14:textId="77777777" w:rsidR="007B4CC0" w:rsidRPr="00091145" w:rsidRDefault="007B4CC0" w:rsidP="00E95DAF">
            <w:pPr>
              <w:pStyle w:val="TableText"/>
              <w:jc w:val="right"/>
            </w:pPr>
            <w:r w:rsidRPr="00091145">
              <w:t>5 (55.6%)</w:t>
            </w:r>
          </w:p>
        </w:tc>
      </w:tr>
      <w:tr w:rsidR="007B4CC0" w:rsidRPr="00091145" w14:paraId="26DD41FA" w14:textId="77777777" w:rsidTr="007B4CC0">
        <w:tc>
          <w:tcPr>
            <w:tcW w:w="4111" w:type="dxa"/>
            <w:tcBorders>
              <w:top w:val="nil"/>
            </w:tcBorders>
            <w:shd w:val="clear" w:color="auto" w:fill="FFFFFF" w:themeFill="background1"/>
          </w:tcPr>
          <w:p w14:paraId="627AACD0" w14:textId="77777777" w:rsidR="007B4CC0" w:rsidRPr="00091145" w:rsidRDefault="007B4CC0" w:rsidP="00E95DAF">
            <w:pPr>
              <w:pStyle w:val="TableText"/>
            </w:pPr>
            <w:r w:rsidRPr="00091145">
              <w:t>Not suffering from a terminal illness that is likely to end their life within six months</w:t>
            </w:r>
          </w:p>
        </w:tc>
        <w:tc>
          <w:tcPr>
            <w:tcW w:w="2126" w:type="dxa"/>
            <w:tcBorders>
              <w:top w:val="nil"/>
            </w:tcBorders>
            <w:shd w:val="clear" w:color="auto" w:fill="FFFFFF" w:themeFill="background1"/>
          </w:tcPr>
          <w:p w14:paraId="17449470" w14:textId="77777777" w:rsidR="007B4CC0" w:rsidRPr="00091145" w:rsidRDefault="007B4CC0" w:rsidP="00E95DAF">
            <w:pPr>
              <w:pStyle w:val="TableText"/>
              <w:jc w:val="right"/>
            </w:pPr>
            <w:r w:rsidRPr="00091145">
              <w:t>130 (80.7%)</w:t>
            </w:r>
          </w:p>
        </w:tc>
        <w:tc>
          <w:tcPr>
            <w:tcW w:w="1832" w:type="dxa"/>
            <w:tcBorders>
              <w:top w:val="nil"/>
            </w:tcBorders>
            <w:shd w:val="clear" w:color="auto" w:fill="FFFFFF" w:themeFill="background1"/>
          </w:tcPr>
          <w:p w14:paraId="3CFF3D3E" w14:textId="77777777" w:rsidR="007B4CC0" w:rsidRPr="00091145" w:rsidRDefault="007B4CC0" w:rsidP="00E95DAF">
            <w:pPr>
              <w:pStyle w:val="TableText"/>
              <w:jc w:val="right"/>
            </w:pPr>
            <w:r w:rsidRPr="00091145">
              <w:t>6 (66.7%)</w:t>
            </w:r>
          </w:p>
        </w:tc>
      </w:tr>
    </w:tbl>
    <w:p w14:paraId="1138CE1E" w14:textId="77777777" w:rsidR="007B4CC0" w:rsidRPr="00091145" w:rsidRDefault="007B4CC0" w:rsidP="00E95DAF">
      <w:pPr>
        <w:pStyle w:val="Note"/>
      </w:pPr>
      <w:r w:rsidRPr="00091145">
        <w:t>Note:</w:t>
      </w:r>
    </w:p>
    <w:p w14:paraId="4B481483" w14:textId="77777777" w:rsidR="007B4CC0" w:rsidRPr="00091145" w:rsidRDefault="007B4CC0" w:rsidP="00E95DAF">
      <w:pPr>
        <w:pStyle w:val="Note"/>
      </w:pPr>
      <w:r w:rsidRPr="00091145">
        <w:t xml:space="preserve">Total reasons for ineligibility have been applied. This means that individuals may be found to be ineligible across multiple criteria, and each observed reason is included in the report.  </w:t>
      </w:r>
    </w:p>
    <w:p w14:paraId="07C1028A" w14:textId="77777777" w:rsidR="007B4CC0" w:rsidRPr="006E1310" w:rsidRDefault="007B4CC0" w:rsidP="00091145">
      <w:pPr>
        <w:pStyle w:val="Heading2"/>
      </w:pPr>
      <w:bookmarkStart w:id="50" w:name="_Toc170220991"/>
      <w:r w:rsidRPr="006E1310">
        <w:t>Application</w:t>
      </w:r>
      <w:r>
        <w:t>s</w:t>
      </w:r>
      <w:r w:rsidRPr="006E1310">
        <w:t xml:space="preserve"> not progressed to an assisted </w:t>
      </w:r>
      <w:proofErr w:type="gramStart"/>
      <w:r w:rsidRPr="006E1310">
        <w:t>death</w:t>
      </w:r>
      <w:bookmarkEnd w:id="50"/>
      <w:proofErr w:type="gramEnd"/>
    </w:p>
    <w:p w14:paraId="128B2654" w14:textId="4F00D0B0" w:rsidR="007B4CC0" w:rsidRDefault="007B4CC0" w:rsidP="00374E42">
      <w:r>
        <w:fldChar w:fldCharType="begin"/>
      </w:r>
      <w:r>
        <w:instrText xml:space="preserve"> REF _Ref138345125 \h </w:instrText>
      </w:r>
      <w:r w:rsidR="00374E42">
        <w:instrText xml:space="preserve"> \* MERGEFORMAT </w:instrText>
      </w:r>
      <w:r>
        <w:fldChar w:fldCharType="separate"/>
      </w:r>
      <w:r w:rsidR="00E8724C" w:rsidRPr="00091145">
        <w:t xml:space="preserve">Table </w:t>
      </w:r>
      <w:r w:rsidR="00E8724C">
        <w:rPr>
          <w:noProof/>
        </w:rPr>
        <w:t>4</w:t>
      </w:r>
      <w:r>
        <w:fldChar w:fldCharType="end"/>
      </w:r>
      <w:r>
        <w:t xml:space="preserve"> summarises applications where an AMP or IMP assessment had occurred, but the applicant had not progressed to an assisted death. This table specifically relates to applications not accounted for as ineligible at the AMP or IMP assessments (as per</w:t>
      </w:r>
      <w:r w:rsidR="00374E42">
        <w:t xml:space="preserve"> </w:t>
      </w:r>
      <w:r w:rsidR="00374E42">
        <w:fldChar w:fldCharType="begin"/>
      </w:r>
      <w:r w:rsidR="00374E42">
        <w:instrText xml:space="preserve"> REF _Ref170138298 \h </w:instrText>
      </w:r>
      <w:r w:rsidR="00374E42">
        <w:fldChar w:fldCharType="separate"/>
      </w:r>
      <w:r w:rsidR="00E8724C" w:rsidRPr="00091145">
        <w:t xml:space="preserve">Table </w:t>
      </w:r>
      <w:r w:rsidR="00E8724C">
        <w:rPr>
          <w:noProof/>
        </w:rPr>
        <w:t>3</w:t>
      </w:r>
      <w:r w:rsidR="00374E42">
        <w:fldChar w:fldCharType="end"/>
      </w:r>
      <w:r>
        <w:t>). Additionally, this table includes applications that were still open at the close of this reporting period and that are therefore not associated with a known outcome.</w:t>
      </w:r>
    </w:p>
    <w:p w14:paraId="353E8D52" w14:textId="77777777" w:rsidR="00091145" w:rsidRDefault="00091145" w:rsidP="007B4CC0"/>
    <w:p w14:paraId="7F4A0ED9" w14:textId="3BC061B9" w:rsidR="007B4CC0" w:rsidRDefault="007B4CC0" w:rsidP="007B4CC0">
      <w:r>
        <w:t>There are several reasons why an individual may not continue their application to an assisted death. These include being found ineligible following a previous eligible outcome or becoming unable to make an informed decision / give their consent. Individuals may also withdraw their application or die of an underlying condition / terminal illness at any point during the application process or before their scheduled assisted death. Furthermore, individual applications may be found non-compliant with the Act during final review and before an assisted death may occur.</w:t>
      </w:r>
    </w:p>
    <w:p w14:paraId="5E71D55D" w14:textId="77777777" w:rsidR="00091145" w:rsidRDefault="00091145" w:rsidP="007B4CC0"/>
    <w:p w14:paraId="57288CB9" w14:textId="6071C736" w:rsidR="007B4CC0" w:rsidRPr="00091145" w:rsidRDefault="007B4CC0" w:rsidP="00091145">
      <w:pPr>
        <w:pStyle w:val="Table"/>
      </w:pPr>
      <w:bookmarkStart w:id="51" w:name="_Ref138345125"/>
      <w:bookmarkStart w:id="52" w:name="_Toc138428971"/>
      <w:bookmarkStart w:id="53" w:name="_Toc170221000"/>
      <w:r w:rsidRPr="00091145">
        <w:t xml:space="preserve">Table </w:t>
      </w:r>
      <w:fldSimple w:instr=" SEQ Table \* ARABIC ">
        <w:r w:rsidR="00E8724C">
          <w:rPr>
            <w:noProof/>
          </w:rPr>
          <w:t>4</w:t>
        </w:r>
      </w:fldSimple>
      <w:bookmarkEnd w:id="51"/>
      <w:r w:rsidRPr="00091145">
        <w:t>: Assessment outcomes</w:t>
      </w:r>
      <w:bookmarkEnd w:id="52"/>
      <w:bookmarkEnd w:id="53"/>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665"/>
        <w:gridCol w:w="2404"/>
      </w:tblGrid>
      <w:tr w:rsidR="007B4CC0" w:rsidRPr="00091145" w14:paraId="0192740D" w14:textId="77777777" w:rsidTr="007B4CC0">
        <w:tc>
          <w:tcPr>
            <w:tcW w:w="5665" w:type="dxa"/>
            <w:tcBorders>
              <w:top w:val="nil"/>
              <w:bottom w:val="nil"/>
            </w:tcBorders>
            <w:shd w:val="clear" w:color="auto" w:fill="D9D9D9" w:themeFill="background1" w:themeFillShade="D9"/>
          </w:tcPr>
          <w:p w14:paraId="49AB72A4" w14:textId="77777777" w:rsidR="007B4CC0" w:rsidRPr="00091145" w:rsidRDefault="007B4CC0" w:rsidP="00091145">
            <w:pPr>
              <w:pStyle w:val="TableText"/>
              <w:rPr>
                <w:b/>
                <w:bCs/>
              </w:rPr>
            </w:pPr>
            <w:r w:rsidRPr="00091145">
              <w:rPr>
                <w:b/>
                <w:bCs/>
              </w:rPr>
              <w:t>Outcome type</w:t>
            </w:r>
          </w:p>
        </w:tc>
        <w:tc>
          <w:tcPr>
            <w:tcW w:w="2404" w:type="dxa"/>
            <w:tcBorders>
              <w:top w:val="nil"/>
              <w:bottom w:val="nil"/>
            </w:tcBorders>
            <w:shd w:val="clear" w:color="auto" w:fill="D9D9D9" w:themeFill="background1" w:themeFillShade="D9"/>
          </w:tcPr>
          <w:p w14:paraId="5159EAD3" w14:textId="77777777" w:rsidR="007B4CC0" w:rsidRPr="00091145" w:rsidRDefault="007B4CC0" w:rsidP="00091145">
            <w:pPr>
              <w:pStyle w:val="TableText"/>
              <w:jc w:val="right"/>
              <w:rPr>
                <w:b/>
                <w:bCs/>
              </w:rPr>
            </w:pPr>
            <w:r w:rsidRPr="00091145">
              <w:rPr>
                <w:b/>
                <w:bCs/>
              </w:rPr>
              <w:t>Number of assessments</w:t>
            </w:r>
          </w:p>
        </w:tc>
      </w:tr>
      <w:tr w:rsidR="007B4CC0" w:rsidRPr="00091145" w14:paraId="0FF32A17" w14:textId="77777777" w:rsidTr="007B4CC0">
        <w:tc>
          <w:tcPr>
            <w:tcW w:w="5665" w:type="dxa"/>
            <w:tcBorders>
              <w:top w:val="nil"/>
            </w:tcBorders>
          </w:tcPr>
          <w:p w14:paraId="6A7AD091" w14:textId="77777777" w:rsidR="007B4CC0" w:rsidRPr="00091145" w:rsidRDefault="007B4CC0" w:rsidP="00091145">
            <w:pPr>
              <w:pStyle w:val="TableText"/>
            </w:pPr>
            <w:r w:rsidRPr="00091145">
              <w:t>Died in process</w:t>
            </w:r>
          </w:p>
        </w:tc>
        <w:tc>
          <w:tcPr>
            <w:tcW w:w="2404" w:type="dxa"/>
            <w:tcBorders>
              <w:top w:val="nil"/>
            </w:tcBorders>
          </w:tcPr>
          <w:p w14:paraId="04A02D36" w14:textId="77777777" w:rsidR="007B4CC0" w:rsidRPr="00091145" w:rsidRDefault="007B4CC0" w:rsidP="00091145">
            <w:pPr>
              <w:pStyle w:val="TableText"/>
              <w:jc w:val="right"/>
            </w:pPr>
            <w:r w:rsidRPr="00091145">
              <w:t>258</w:t>
            </w:r>
          </w:p>
        </w:tc>
      </w:tr>
      <w:tr w:rsidR="007B4CC0" w:rsidRPr="00091145" w14:paraId="01C0C05F" w14:textId="77777777" w:rsidTr="007B4CC0">
        <w:tc>
          <w:tcPr>
            <w:tcW w:w="5665" w:type="dxa"/>
          </w:tcPr>
          <w:p w14:paraId="7EA2740B" w14:textId="77777777" w:rsidR="007B4CC0" w:rsidRPr="00091145" w:rsidRDefault="007B4CC0" w:rsidP="00091145">
            <w:pPr>
              <w:pStyle w:val="TableText"/>
            </w:pPr>
            <w:r w:rsidRPr="00091145">
              <w:t>Lost competence</w:t>
            </w:r>
          </w:p>
        </w:tc>
        <w:tc>
          <w:tcPr>
            <w:tcW w:w="2404" w:type="dxa"/>
          </w:tcPr>
          <w:p w14:paraId="394AB2F9" w14:textId="77777777" w:rsidR="007B4CC0" w:rsidRPr="00091145" w:rsidRDefault="007B4CC0" w:rsidP="00091145">
            <w:pPr>
              <w:pStyle w:val="TableText"/>
              <w:jc w:val="right"/>
            </w:pPr>
            <w:r w:rsidRPr="00091145">
              <w:t>53</w:t>
            </w:r>
          </w:p>
        </w:tc>
      </w:tr>
      <w:tr w:rsidR="007B4CC0" w:rsidRPr="00091145" w14:paraId="22258227" w14:textId="77777777" w:rsidTr="007B4CC0">
        <w:tc>
          <w:tcPr>
            <w:tcW w:w="5665" w:type="dxa"/>
          </w:tcPr>
          <w:p w14:paraId="5AA09BAE" w14:textId="77777777" w:rsidR="007B4CC0" w:rsidRPr="00091145" w:rsidRDefault="007B4CC0" w:rsidP="00091145">
            <w:pPr>
              <w:pStyle w:val="TableText"/>
            </w:pPr>
            <w:r w:rsidRPr="00091145">
              <w:t>Lost eligibility</w:t>
            </w:r>
          </w:p>
        </w:tc>
        <w:tc>
          <w:tcPr>
            <w:tcW w:w="2404" w:type="dxa"/>
          </w:tcPr>
          <w:p w14:paraId="5E8151A1" w14:textId="77777777" w:rsidR="007B4CC0" w:rsidRPr="00091145" w:rsidRDefault="007B4CC0" w:rsidP="00091145">
            <w:pPr>
              <w:pStyle w:val="TableText"/>
              <w:jc w:val="right"/>
            </w:pPr>
            <w:r w:rsidRPr="00091145">
              <w:t>10</w:t>
            </w:r>
          </w:p>
        </w:tc>
      </w:tr>
      <w:tr w:rsidR="007B4CC0" w:rsidRPr="00091145" w14:paraId="709608D4" w14:textId="77777777" w:rsidTr="007B4CC0">
        <w:tc>
          <w:tcPr>
            <w:tcW w:w="5665" w:type="dxa"/>
          </w:tcPr>
          <w:p w14:paraId="13FEE4E4" w14:textId="77777777" w:rsidR="007B4CC0" w:rsidRPr="00091145" w:rsidRDefault="007B4CC0" w:rsidP="00091145">
            <w:pPr>
              <w:pStyle w:val="TableText"/>
            </w:pPr>
            <w:r w:rsidRPr="00091145">
              <w:t>Decided to withdraw</w:t>
            </w:r>
          </w:p>
        </w:tc>
        <w:tc>
          <w:tcPr>
            <w:tcW w:w="2404" w:type="dxa"/>
          </w:tcPr>
          <w:p w14:paraId="349FC6AF" w14:textId="77777777" w:rsidR="007B4CC0" w:rsidRPr="00091145" w:rsidRDefault="007B4CC0" w:rsidP="00091145">
            <w:pPr>
              <w:pStyle w:val="TableText"/>
              <w:jc w:val="right"/>
            </w:pPr>
            <w:r w:rsidRPr="00091145">
              <w:t>34</w:t>
            </w:r>
          </w:p>
        </w:tc>
      </w:tr>
      <w:tr w:rsidR="007B4CC0" w:rsidRPr="00091145" w14:paraId="2319F69E" w14:textId="77777777" w:rsidTr="007B4CC0">
        <w:tc>
          <w:tcPr>
            <w:tcW w:w="5665" w:type="dxa"/>
          </w:tcPr>
          <w:p w14:paraId="46DDA460" w14:textId="77777777" w:rsidR="007B4CC0" w:rsidRPr="00091145" w:rsidRDefault="007B4CC0" w:rsidP="00091145">
            <w:pPr>
              <w:pStyle w:val="TableText"/>
            </w:pPr>
            <w:r w:rsidRPr="00091145">
              <w:t>Application found to be not compliant with the Act at final review</w:t>
            </w:r>
          </w:p>
        </w:tc>
        <w:tc>
          <w:tcPr>
            <w:tcW w:w="2404" w:type="dxa"/>
          </w:tcPr>
          <w:p w14:paraId="3FF7DE5A" w14:textId="77777777" w:rsidR="007B4CC0" w:rsidRPr="00091145" w:rsidRDefault="007B4CC0" w:rsidP="00091145">
            <w:pPr>
              <w:pStyle w:val="TableText"/>
              <w:jc w:val="right"/>
            </w:pPr>
            <w:r w:rsidRPr="00091145">
              <w:t>1</w:t>
            </w:r>
          </w:p>
        </w:tc>
      </w:tr>
      <w:tr w:rsidR="007B4CC0" w:rsidRPr="00091145" w14:paraId="5F587241" w14:textId="77777777" w:rsidTr="007B4CC0">
        <w:tc>
          <w:tcPr>
            <w:tcW w:w="5665" w:type="dxa"/>
          </w:tcPr>
          <w:p w14:paraId="3616CFA9" w14:textId="77777777" w:rsidR="007B4CC0" w:rsidRPr="00091145" w:rsidRDefault="007B4CC0" w:rsidP="00091145">
            <w:pPr>
              <w:pStyle w:val="TableText"/>
            </w:pPr>
            <w:r w:rsidRPr="00091145">
              <w:t>Applications still open at the time of this reporting period</w:t>
            </w:r>
          </w:p>
        </w:tc>
        <w:tc>
          <w:tcPr>
            <w:tcW w:w="2404" w:type="dxa"/>
          </w:tcPr>
          <w:p w14:paraId="24294C14" w14:textId="77777777" w:rsidR="007B4CC0" w:rsidRPr="00091145" w:rsidRDefault="007B4CC0" w:rsidP="00091145">
            <w:pPr>
              <w:pStyle w:val="TableText"/>
              <w:jc w:val="right"/>
            </w:pPr>
            <w:r w:rsidRPr="00091145">
              <w:t>71</w:t>
            </w:r>
          </w:p>
        </w:tc>
      </w:tr>
    </w:tbl>
    <w:p w14:paraId="040FB7B3" w14:textId="77777777" w:rsidR="00091145" w:rsidRDefault="00091145" w:rsidP="007B4CC0">
      <w:pPr>
        <w:sectPr w:rsidR="00091145" w:rsidSect="007B4CC0">
          <w:pgSz w:w="11907" w:h="16834" w:code="9"/>
          <w:pgMar w:top="1418" w:right="1701" w:bottom="1134" w:left="1843" w:header="284" w:footer="425" w:gutter="284"/>
          <w:cols w:space="720"/>
        </w:sectPr>
      </w:pPr>
    </w:p>
    <w:p w14:paraId="0E0BB11E" w14:textId="297FBB26" w:rsidR="007B4CC0" w:rsidRDefault="00091145" w:rsidP="00091145">
      <w:pPr>
        <w:pStyle w:val="Heading1"/>
        <w:spacing w:before="0"/>
      </w:pPr>
      <w:bookmarkStart w:id="54" w:name="_Toc170220992"/>
      <w:r w:rsidRPr="00091145">
        <w:lastRenderedPageBreak/>
        <w:t>Feedback, complaints and queries</w:t>
      </w:r>
      <w:bookmarkEnd w:id="54"/>
    </w:p>
    <w:p w14:paraId="06BE8279" w14:textId="77777777" w:rsidR="00091145" w:rsidRPr="008E543D" w:rsidRDefault="00091145" w:rsidP="00091145">
      <w:pPr>
        <w:pStyle w:val="Heading2"/>
      </w:pPr>
      <w:bookmarkStart w:id="55" w:name="_Hlk167870088"/>
      <w:bookmarkStart w:id="56" w:name="_Toc170220993"/>
      <w:r w:rsidRPr="008E543D">
        <w:t>Feedback</w:t>
      </w:r>
      <w:bookmarkEnd w:id="56"/>
    </w:p>
    <w:bookmarkEnd w:id="55"/>
    <w:p w14:paraId="559FFEF3" w14:textId="24A5CD71" w:rsidR="00091145" w:rsidRDefault="00091145" w:rsidP="00091145">
      <w:pPr>
        <w:rPr>
          <w:rFonts w:cs="Segoe UI"/>
        </w:rPr>
      </w:pPr>
      <w:r w:rsidRPr="0003349C">
        <w:rPr>
          <w:rFonts w:cs="Segoe UI"/>
        </w:rPr>
        <w:t xml:space="preserve">Feedback is critical to improving the quality, safety and equity of </w:t>
      </w:r>
      <w:r>
        <w:rPr>
          <w:rFonts w:cs="Segoe UI"/>
        </w:rPr>
        <w:t>assisted dying</w:t>
      </w:r>
      <w:r w:rsidRPr="0003349C">
        <w:rPr>
          <w:rFonts w:cs="Segoe UI"/>
        </w:rPr>
        <w:t xml:space="preserve"> service</w:t>
      </w:r>
      <w:r>
        <w:rPr>
          <w:rFonts w:cs="Segoe UI"/>
        </w:rPr>
        <w:t>s,</w:t>
      </w:r>
      <w:r w:rsidRPr="0003349C">
        <w:rPr>
          <w:rFonts w:cs="Segoe UI"/>
        </w:rPr>
        <w:t xml:space="preserve"> and the Ministry retains its interest in receiving feedback on the service as part of good monitoring and regulation.</w:t>
      </w:r>
    </w:p>
    <w:p w14:paraId="07C72C04" w14:textId="77777777" w:rsidR="00091145" w:rsidRDefault="00091145" w:rsidP="00091145">
      <w:pPr>
        <w:rPr>
          <w:rFonts w:cs="Segoe UI"/>
        </w:rPr>
      </w:pPr>
    </w:p>
    <w:p w14:paraId="76048372" w14:textId="7EF03F42" w:rsidR="00091145" w:rsidRDefault="00091145" w:rsidP="00091145">
      <w:pPr>
        <w:rPr>
          <w:rFonts w:cs="Segoe UI"/>
        </w:rPr>
      </w:pPr>
      <w:r>
        <w:t>We</w:t>
      </w:r>
      <w:r w:rsidRPr="00111CF9">
        <w:t xml:space="preserve"> encourage </w:t>
      </w:r>
      <w:r>
        <w:t>individuals</w:t>
      </w:r>
      <w:r w:rsidRPr="00111CF9">
        <w:t xml:space="preserve"> </w:t>
      </w:r>
      <w:r>
        <w:t>and their families/wh</w:t>
      </w:r>
      <w:r w:rsidRPr="46ED03FC">
        <w:rPr>
          <w:rFonts w:ascii="Calibri" w:eastAsia="Calibri" w:hAnsi="Calibri" w:cs="Calibri"/>
          <w:color w:val="202124"/>
        </w:rPr>
        <w:t>ā</w:t>
      </w:r>
      <w:r>
        <w:t xml:space="preserve">nau to continue to provide feedback about their experience with the assisted dying service. </w:t>
      </w:r>
      <w:r w:rsidRPr="0003349C">
        <w:rPr>
          <w:rFonts w:cs="Segoe UI"/>
        </w:rPr>
        <w:t xml:space="preserve">The Ministry is aware of the sensitive nature of this topic and the need to reflect and uphold the emotional wellbeing and privacy of anyone who shares their feedback. </w:t>
      </w:r>
    </w:p>
    <w:p w14:paraId="61B7D4D0" w14:textId="77777777" w:rsidR="00091145" w:rsidRDefault="00091145" w:rsidP="00091145">
      <w:pPr>
        <w:rPr>
          <w:rFonts w:cs="Segoe UI"/>
        </w:rPr>
      </w:pPr>
    </w:p>
    <w:p w14:paraId="26339E15" w14:textId="77777777" w:rsidR="00091145" w:rsidRDefault="00091145" w:rsidP="00091145">
      <w:pPr>
        <w:rPr>
          <w:b/>
          <w:bCs/>
        </w:rPr>
      </w:pPr>
      <w:r>
        <w:rPr>
          <w:rFonts w:cs="Segoe UI"/>
        </w:rPr>
        <w:t>M</w:t>
      </w:r>
      <w:r w:rsidRPr="0DA24BD3">
        <w:rPr>
          <w:rFonts w:cs="Segoe UI"/>
        </w:rPr>
        <w:t>ore information about how to provide feedback</w:t>
      </w:r>
      <w:r>
        <w:rPr>
          <w:rFonts w:cs="Segoe UI"/>
        </w:rPr>
        <w:t xml:space="preserve"> can be found on the</w:t>
      </w:r>
      <w:r w:rsidRPr="0DA24BD3">
        <w:rPr>
          <w:rFonts w:cs="Segoe UI"/>
        </w:rPr>
        <w:t xml:space="preserve"> </w:t>
      </w:r>
      <w:hyperlink r:id="rId33">
        <w:r>
          <w:rPr>
            <w:rStyle w:val="Hyperlink"/>
            <w:rFonts w:cs="Segoe UI"/>
          </w:rPr>
          <w:t>Assisted Dying Service feedback and complaints process webpage on the Ministry's website</w:t>
        </w:r>
        <w:r w:rsidRPr="007D3B97">
          <w:rPr>
            <w:rStyle w:val="Hyperlink"/>
            <w:rFonts w:cs="Segoe UI"/>
            <w:b w:val="0"/>
            <w:bCs/>
          </w:rPr>
          <w:t xml:space="preserve">. </w:t>
        </w:r>
      </w:hyperlink>
    </w:p>
    <w:p w14:paraId="2544543D" w14:textId="77777777" w:rsidR="00091145" w:rsidRPr="008E543D" w:rsidRDefault="00091145" w:rsidP="00091145">
      <w:pPr>
        <w:pStyle w:val="Heading2"/>
      </w:pPr>
      <w:bookmarkStart w:id="57" w:name="_Toc170220994"/>
      <w:r w:rsidRPr="008E543D">
        <w:t>Complaints</w:t>
      </w:r>
      <w:bookmarkEnd w:id="57"/>
    </w:p>
    <w:p w14:paraId="49605C03" w14:textId="646C29EB" w:rsidR="00091145" w:rsidRDefault="00091145" w:rsidP="00091145">
      <w:pPr>
        <w:rPr>
          <w:rFonts w:cs="Segoe UI"/>
        </w:rPr>
      </w:pPr>
      <w:r>
        <w:t xml:space="preserve">The Registrar and the Secretariat keep a central record of all complaints received about the Act. </w:t>
      </w:r>
      <w:r w:rsidRPr="00F24521">
        <w:rPr>
          <w:rFonts w:cs="Segoe UI"/>
        </w:rPr>
        <w:t>The Registrar also receive</w:t>
      </w:r>
      <w:r>
        <w:rPr>
          <w:rFonts w:cs="Segoe UI"/>
        </w:rPr>
        <w:t>s</w:t>
      </w:r>
      <w:r w:rsidRPr="00F24521">
        <w:rPr>
          <w:rFonts w:cs="Segoe UI"/>
        </w:rPr>
        <w:t xml:space="preserve"> details of complaints about the </w:t>
      </w:r>
      <w:r>
        <w:rPr>
          <w:rFonts w:cs="Segoe UI"/>
        </w:rPr>
        <w:t>S</w:t>
      </w:r>
      <w:r w:rsidRPr="00F24521">
        <w:rPr>
          <w:rFonts w:cs="Segoe UI"/>
        </w:rPr>
        <w:t>ervice made to the H</w:t>
      </w:r>
      <w:r>
        <w:rPr>
          <w:rFonts w:cs="Segoe UI"/>
        </w:rPr>
        <w:t xml:space="preserve">ealth and </w:t>
      </w:r>
      <w:r w:rsidRPr="00F24521">
        <w:rPr>
          <w:rFonts w:cs="Segoe UI"/>
        </w:rPr>
        <w:t>D</w:t>
      </w:r>
      <w:r>
        <w:rPr>
          <w:rFonts w:cs="Segoe UI"/>
        </w:rPr>
        <w:t>isability Commissioner (the HDC)</w:t>
      </w:r>
      <w:r w:rsidRPr="00F24521">
        <w:rPr>
          <w:rFonts w:cs="Segoe UI"/>
        </w:rPr>
        <w:t xml:space="preserve">, an </w:t>
      </w:r>
      <w:r>
        <w:rPr>
          <w:rFonts w:cs="Segoe UI"/>
        </w:rPr>
        <w:t>a</w:t>
      </w:r>
      <w:r w:rsidRPr="00F24521">
        <w:rPr>
          <w:rFonts w:cs="Segoe UI"/>
        </w:rPr>
        <w:t>uthority</w:t>
      </w:r>
      <w:r>
        <w:rPr>
          <w:rFonts w:cs="Segoe UI"/>
        </w:rPr>
        <w:t>(such as a council)</w:t>
      </w:r>
      <w:r w:rsidRPr="00F24521">
        <w:rPr>
          <w:rFonts w:cs="Segoe UI"/>
        </w:rPr>
        <w:t xml:space="preserve"> or the New Zealand Police under section 28 of the Act. </w:t>
      </w:r>
      <w:r>
        <w:rPr>
          <w:rFonts w:cs="Segoe UI"/>
        </w:rPr>
        <w:t xml:space="preserve">Health New Zealand also </w:t>
      </w:r>
      <w:r w:rsidRPr="1DC0CD08">
        <w:rPr>
          <w:rFonts w:cs="Segoe UI"/>
        </w:rPr>
        <w:t>notifies</w:t>
      </w:r>
      <w:r>
        <w:rPr>
          <w:rFonts w:cs="Segoe UI"/>
        </w:rPr>
        <w:t xml:space="preserve"> the Registrar (assisted dying) of operational complaints. </w:t>
      </w:r>
    </w:p>
    <w:p w14:paraId="24910DF7" w14:textId="77777777" w:rsidR="00091145" w:rsidRDefault="00091145" w:rsidP="00091145">
      <w:pPr>
        <w:rPr>
          <w:rFonts w:cs="Segoe UI"/>
        </w:rPr>
      </w:pPr>
    </w:p>
    <w:p w14:paraId="10B6AD3E" w14:textId="5C5A9FA4" w:rsidR="00091145" w:rsidRDefault="00091145" w:rsidP="00091145">
      <w:r>
        <w:rPr>
          <w:rFonts w:cs="Segoe UI"/>
        </w:rPr>
        <w:t>T</w:t>
      </w:r>
      <w:r w:rsidRPr="005A0DC7">
        <w:rPr>
          <w:rFonts w:cs="Segoe UI"/>
        </w:rPr>
        <w:t xml:space="preserve">he Nursing Council </w:t>
      </w:r>
      <w:r>
        <w:rPr>
          <w:rFonts w:cs="Segoe UI"/>
        </w:rPr>
        <w:t xml:space="preserve">of </w:t>
      </w:r>
      <w:r w:rsidRPr="005A0DC7">
        <w:rPr>
          <w:rFonts w:cs="Segoe UI"/>
        </w:rPr>
        <w:t xml:space="preserve">New Zealand </w:t>
      </w:r>
      <w:r>
        <w:rPr>
          <w:rFonts w:cs="Segoe UI"/>
        </w:rPr>
        <w:t xml:space="preserve">did not receive any complaints </w:t>
      </w:r>
      <w:r w:rsidRPr="005A0DC7">
        <w:rPr>
          <w:rFonts w:cs="Segoe UI"/>
        </w:rPr>
        <w:t xml:space="preserve">in relation to the </w:t>
      </w:r>
      <w:r>
        <w:rPr>
          <w:rFonts w:cs="Segoe UI"/>
        </w:rPr>
        <w:t>S</w:t>
      </w:r>
      <w:r w:rsidRPr="005A0DC7">
        <w:rPr>
          <w:rFonts w:cs="Segoe UI"/>
        </w:rPr>
        <w:t xml:space="preserve">ervice during the reporting period. </w:t>
      </w:r>
      <w:r>
        <w:rPr>
          <w:rFonts w:cs="Segoe UI"/>
        </w:rPr>
        <w:t>One complaint, received by the Ministry, was referred to several agencies including the</w:t>
      </w:r>
      <w:r w:rsidRPr="005A0DC7">
        <w:rPr>
          <w:rFonts w:cs="Segoe UI"/>
        </w:rPr>
        <w:t xml:space="preserve"> New Zea</w:t>
      </w:r>
      <w:r w:rsidRPr="005A0DC7">
        <w:t>land Police and the Medical Council</w:t>
      </w:r>
      <w:r>
        <w:t xml:space="preserve"> of New Zealand </w:t>
      </w:r>
      <w:r w:rsidR="00472F87">
        <w:rPr>
          <w:rFonts w:ascii="Arial" w:hAnsi="Arial" w:cs="Arial"/>
        </w:rPr>
        <w:t xml:space="preserve">– </w:t>
      </w:r>
      <w:proofErr w:type="spellStart"/>
      <w:r>
        <w:t>Te</w:t>
      </w:r>
      <w:proofErr w:type="spellEnd"/>
      <w:r>
        <w:t xml:space="preserve"> </w:t>
      </w:r>
      <w:proofErr w:type="spellStart"/>
      <w:r>
        <w:t>Kaunihera</w:t>
      </w:r>
      <w:proofErr w:type="spellEnd"/>
      <w:r>
        <w:t xml:space="preserve"> Rata o Aotearoa (the Medical Council). Both agencies have advised that this was </w:t>
      </w:r>
      <w:r w:rsidRPr="005A0DC7">
        <w:t>the only complaint they received during th</w:t>
      </w:r>
      <w:r>
        <w:t>e</w:t>
      </w:r>
      <w:r w:rsidRPr="005A0DC7">
        <w:t xml:space="preserve"> reporting period and</w:t>
      </w:r>
      <w:r>
        <w:t xml:space="preserve"> that it</w:t>
      </w:r>
      <w:r w:rsidRPr="005A0DC7">
        <w:t xml:space="preserve"> is ongoing at the time of this report. Please </w:t>
      </w:r>
      <w:r>
        <w:t>see</w:t>
      </w:r>
      <w:r w:rsidRPr="005A0DC7">
        <w:t xml:space="preserve"> complaint number 13 in </w:t>
      </w:r>
      <w:r w:rsidR="00374E42">
        <w:fldChar w:fldCharType="begin"/>
      </w:r>
      <w:r w:rsidR="00374E42">
        <w:instrText xml:space="preserve"> REF _Ref170138338 \h </w:instrText>
      </w:r>
      <w:r w:rsidR="00374E42">
        <w:fldChar w:fldCharType="separate"/>
      </w:r>
      <w:r w:rsidR="00E8724C">
        <w:t xml:space="preserve">Table </w:t>
      </w:r>
      <w:r w:rsidR="00E8724C">
        <w:rPr>
          <w:noProof/>
        </w:rPr>
        <w:t>5</w:t>
      </w:r>
      <w:r w:rsidR="00374E42">
        <w:fldChar w:fldCharType="end"/>
      </w:r>
      <w:r>
        <w:t xml:space="preserve"> </w:t>
      </w:r>
      <w:r w:rsidRPr="005A0DC7">
        <w:t>below.</w:t>
      </w:r>
    </w:p>
    <w:p w14:paraId="5EE6DA9C" w14:textId="77777777" w:rsidR="00091145" w:rsidRDefault="00091145" w:rsidP="00091145"/>
    <w:p w14:paraId="4B20E84F" w14:textId="595D8B15" w:rsidR="00091145" w:rsidRDefault="00091145" w:rsidP="00091145">
      <w:r>
        <w:rPr>
          <w:rFonts w:cs="Segoe UI"/>
        </w:rPr>
        <w:t xml:space="preserve">Tables 5 and 6 below contain a summary of all complaints received by the Registrar, the Secretariat and the HDC </w:t>
      </w:r>
      <w:r>
        <w:t xml:space="preserve">between 1 April 2023 and 31 March 2024. </w:t>
      </w:r>
    </w:p>
    <w:p w14:paraId="74AD7A7E" w14:textId="3E413A1F" w:rsidR="00091145" w:rsidRDefault="00091145" w:rsidP="00091145"/>
    <w:p w14:paraId="5B3D97E2" w14:textId="3123B29B" w:rsidR="00091145" w:rsidRDefault="00091145" w:rsidP="00091145">
      <w:r>
        <w:br w:type="page"/>
      </w:r>
      <w:bookmarkStart w:id="58" w:name="_Ref170138338"/>
      <w:r>
        <w:lastRenderedPageBreak/>
        <w:t xml:space="preserve">Table </w:t>
      </w:r>
      <w:fldSimple w:instr=" SEQ Table \* ARABIC ">
        <w:r w:rsidR="00E8724C">
          <w:rPr>
            <w:noProof/>
          </w:rPr>
          <w:t>5</w:t>
        </w:r>
      </w:fldSimple>
      <w:bookmarkEnd w:id="58"/>
      <w:r>
        <w:t xml:space="preserve">: </w:t>
      </w:r>
      <w:r w:rsidRPr="00D160CB">
        <w:t xml:space="preserve">Complaints received by </w:t>
      </w:r>
      <w:r>
        <w:t xml:space="preserve">the </w:t>
      </w:r>
      <w:proofErr w:type="gramStart"/>
      <w:r>
        <w:t>Ministry</w:t>
      </w:r>
      <w:proofErr w:type="gramEnd"/>
      <w:r w:rsidRPr="006E1310">
        <w:rPr>
          <w:rFonts w:cstheme="minorHAnsi"/>
          <w:color w:val="FFFFFF" w:themeColor="background1"/>
        </w:rPr>
        <w:t xml:space="preserve"> </w:t>
      </w:r>
    </w:p>
    <w:tbl>
      <w:tblPr>
        <w:tblStyle w:val="TableGrid"/>
        <w:tblW w:w="85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7"/>
        <w:gridCol w:w="1085"/>
        <w:gridCol w:w="1340"/>
        <w:gridCol w:w="1139"/>
        <w:gridCol w:w="1838"/>
        <w:gridCol w:w="2556"/>
      </w:tblGrid>
      <w:tr w:rsidR="00374E42" w14:paraId="4D4719CA" w14:textId="77777777" w:rsidTr="00374E42">
        <w:trPr>
          <w:tblHeader/>
        </w:trPr>
        <w:tc>
          <w:tcPr>
            <w:tcW w:w="547" w:type="dxa"/>
            <w:tcBorders>
              <w:top w:val="nil"/>
              <w:left w:val="nil"/>
              <w:bottom w:val="nil"/>
              <w:right w:val="nil"/>
            </w:tcBorders>
            <w:shd w:val="clear" w:color="auto" w:fill="D9D9D9" w:themeFill="background1" w:themeFillShade="D9"/>
          </w:tcPr>
          <w:p w14:paraId="63610DFA" w14:textId="77777777" w:rsidR="00374E42" w:rsidRDefault="00374E42" w:rsidP="00374E42">
            <w:pPr>
              <w:pStyle w:val="TableText"/>
            </w:pPr>
          </w:p>
        </w:tc>
        <w:tc>
          <w:tcPr>
            <w:tcW w:w="1085" w:type="dxa"/>
            <w:tcBorders>
              <w:top w:val="nil"/>
              <w:left w:val="nil"/>
              <w:bottom w:val="nil"/>
              <w:right w:val="nil"/>
            </w:tcBorders>
            <w:shd w:val="clear" w:color="auto" w:fill="D9D9D9" w:themeFill="background1" w:themeFillShade="D9"/>
          </w:tcPr>
          <w:p w14:paraId="1D620A43" w14:textId="6E3777C7" w:rsidR="00374E42" w:rsidRPr="00374E42" w:rsidRDefault="00374E42" w:rsidP="00374E42">
            <w:pPr>
              <w:pStyle w:val="TableText"/>
              <w:rPr>
                <w:b/>
                <w:bCs/>
              </w:rPr>
            </w:pPr>
            <w:r w:rsidRPr="00374E42">
              <w:rPr>
                <w:b/>
                <w:bCs/>
              </w:rPr>
              <w:t>Date received</w:t>
            </w:r>
          </w:p>
        </w:tc>
        <w:tc>
          <w:tcPr>
            <w:tcW w:w="1340" w:type="dxa"/>
            <w:tcBorders>
              <w:top w:val="nil"/>
              <w:left w:val="nil"/>
              <w:bottom w:val="nil"/>
              <w:right w:val="nil"/>
            </w:tcBorders>
            <w:shd w:val="clear" w:color="auto" w:fill="D9D9D9" w:themeFill="background1" w:themeFillShade="D9"/>
          </w:tcPr>
          <w:p w14:paraId="55306908" w14:textId="60FB0CE5" w:rsidR="00374E42" w:rsidRPr="00374E42" w:rsidRDefault="00374E42" w:rsidP="00374E42">
            <w:pPr>
              <w:pStyle w:val="TableText"/>
              <w:rPr>
                <w:b/>
                <w:bCs/>
              </w:rPr>
            </w:pPr>
            <w:r w:rsidRPr="00374E42">
              <w:rPr>
                <w:b/>
                <w:bCs/>
              </w:rPr>
              <w:t>Complainant</w:t>
            </w:r>
          </w:p>
        </w:tc>
        <w:tc>
          <w:tcPr>
            <w:tcW w:w="1139" w:type="dxa"/>
            <w:tcBorders>
              <w:top w:val="nil"/>
              <w:left w:val="nil"/>
              <w:bottom w:val="nil"/>
              <w:right w:val="nil"/>
            </w:tcBorders>
            <w:shd w:val="clear" w:color="auto" w:fill="D9D9D9" w:themeFill="background1" w:themeFillShade="D9"/>
          </w:tcPr>
          <w:p w14:paraId="3D3A36B1" w14:textId="1A2A93EC" w:rsidR="00374E42" w:rsidRPr="00374E42" w:rsidRDefault="00374E42" w:rsidP="00374E42">
            <w:pPr>
              <w:pStyle w:val="TableText"/>
              <w:rPr>
                <w:b/>
                <w:bCs/>
              </w:rPr>
            </w:pPr>
            <w:r w:rsidRPr="00374E42">
              <w:rPr>
                <w:b/>
                <w:bCs/>
              </w:rPr>
              <w:t xml:space="preserve">Referred by another agency? </w:t>
            </w:r>
          </w:p>
        </w:tc>
        <w:tc>
          <w:tcPr>
            <w:tcW w:w="1838" w:type="dxa"/>
            <w:tcBorders>
              <w:top w:val="nil"/>
              <w:left w:val="nil"/>
              <w:bottom w:val="nil"/>
              <w:right w:val="nil"/>
            </w:tcBorders>
            <w:shd w:val="clear" w:color="auto" w:fill="D9D9D9" w:themeFill="background1" w:themeFillShade="D9"/>
          </w:tcPr>
          <w:p w14:paraId="7D50F585" w14:textId="6E797955" w:rsidR="00374E42" w:rsidRPr="00374E42" w:rsidRDefault="00374E42" w:rsidP="00374E42">
            <w:pPr>
              <w:pStyle w:val="TableText"/>
              <w:rPr>
                <w:b/>
                <w:bCs/>
              </w:rPr>
            </w:pPr>
            <w:r w:rsidRPr="00374E42">
              <w:rPr>
                <w:b/>
                <w:bCs/>
              </w:rPr>
              <w:t>Description of complaint</w:t>
            </w:r>
          </w:p>
        </w:tc>
        <w:tc>
          <w:tcPr>
            <w:tcW w:w="2556" w:type="dxa"/>
            <w:tcBorders>
              <w:top w:val="nil"/>
              <w:left w:val="nil"/>
              <w:bottom w:val="nil"/>
              <w:right w:val="nil"/>
            </w:tcBorders>
            <w:shd w:val="clear" w:color="auto" w:fill="D9D9D9" w:themeFill="background1" w:themeFillShade="D9"/>
          </w:tcPr>
          <w:p w14:paraId="25E7EBA0" w14:textId="45309F59" w:rsidR="00374E42" w:rsidRPr="00374E42" w:rsidRDefault="00374E42" w:rsidP="00374E42">
            <w:pPr>
              <w:pStyle w:val="TableText"/>
              <w:rPr>
                <w:b/>
                <w:bCs/>
              </w:rPr>
            </w:pPr>
            <w:r w:rsidRPr="00374E42">
              <w:rPr>
                <w:b/>
                <w:bCs/>
              </w:rPr>
              <w:t>Action(s) taken</w:t>
            </w:r>
          </w:p>
        </w:tc>
      </w:tr>
      <w:tr w:rsidR="00374E42" w14:paraId="2F6E9E82" w14:textId="77777777" w:rsidTr="00374E42">
        <w:tc>
          <w:tcPr>
            <w:tcW w:w="547" w:type="dxa"/>
            <w:tcBorders>
              <w:top w:val="nil"/>
              <w:left w:val="nil"/>
              <w:right w:val="nil"/>
            </w:tcBorders>
          </w:tcPr>
          <w:p w14:paraId="3BB52ADB" w14:textId="04768948" w:rsidR="00374E42" w:rsidRDefault="00374E42" w:rsidP="00374E42">
            <w:pPr>
              <w:pStyle w:val="TableText"/>
            </w:pPr>
            <w:r w:rsidRPr="000B5124">
              <w:t>1</w:t>
            </w:r>
          </w:p>
        </w:tc>
        <w:tc>
          <w:tcPr>
            <w:tcW w:w="1085" w:type="dxa"/>
            <w:tcBorders>
              <w:top w:val="nil"/>
              <w:left w:val="nil"/>
              <w:right w:val="nil"/>
            </w:tcBorders>
          </w:tcPr>
          <w:p w14:paraId="3039F08C" w14:textId="527D300D" w:rsidR="00374E42" w:rsidRDefault="00374E42" w:rsidP="00374E42">
            <w:pPr>
              <w:pStyle w:val="TableText"/>
            </w:pPr>
            <w:r w:rsidRPr="000B5124">
              <w:t>May 2023</w:t>
            </w:r>
          </w:p>
        </w:tc>
        <w:tc>
          <w:tcPr>
            <w:tcW w:w="1340" w:type="dxa"/>
            <w:tcBorders>
              <w:top w:val="nil"/>
              <w:left w:val="nil"/>
              <w:right w:val="nil"/>
            </w:tcBorders>
          </w:tcPr>
          <w:p w14:paraId="39CDEE4C" w14:textId="27A93299" w:rsidR="00374E42" w:rsidRDefault="00374E42" w:rsidP="00374E42">
            <w:pPr>
              <w:pStyle w:val="TableText"/>
            </w:pPr>
            <w:r w:rsidRPr="000B5124">
              <w:t>Health practitioner</w:t>
            </w:r>
          </w:p>
        </w:tc>
        <w:tc>
          <w:tcPr>
            <w:tcW w:w="1139" w:type="dxa"/>
            <w:tcBorders>
              <w:top w:val="nil"/>
              <w:left w:val="nil"/>
              <w:right w:val="nil"/>
            </w:tcBorders>
          </w:tcPr>
          <w:p w14:paraId="2C3B9F5F" w14:textId="2106E330" w:rsidR="00374E42" w:rsidRDefault="00374E42" w:rsidP="00374E42">
            <w:pPr>
              <w:pStyle w:val="TableText"/>
            </w:pPr>
            <w:r w:rsidRPr="000B5124">
              <w:t>No</w:t>
            </w:r>
          </w:p>
        </w:tc>
        <w:tc>
          <w:tcPr>
            <w:tcW w:w="1838" w:type="dxa"/>
            <w:tcBorders>
              <w:top w:val="nil"/>
              <w:left w:val="nil"/>
              <w:right w:val="nil"/>
            </w:tcBorders>
          </w:tcPr>
          <w:p w14:paraId="065DB71D" w14:textId="2046667B" w:rsidR="00374E42" w:rsidRDefault="00374E42" w:rsidP="00374E42">
            <w:pPr>
              <w:pStyle w:val="TableText"/>
            </w:pPr>
            <w:r w:rsidRPr="000B5124">
              <w:t xml:space="preserve">Practitioner not paid correctly for services. </w:t>
            </w:r>
          </w:p>
        </w:tc>
        <w:tc>
          <w:tcPr>
            <w:tcW w:w="2556" w:type="dxa"/>
            <w:tcBorders>
              <w:top w:val="nil"/>
              <w:left w:val="nil"/>
              <w:right w:val="nil"/>
            </w:tcBorders>
          </w:tcPr>
          <w:p w14:paraId="54467E78" w14:textId="47D63F72" w:rsidR="00374E42" w:rsidRDefault="00374E42" w:rsidP="00374E42">
            <w:pPr>
              <w:pStyle w:val="TableText"/>
            </w:pPr>
            <w:r w:rsidRPr="000B5124">
              <w:t>Operational complaint. Complaint referred to Health New Zealand. Payment issue identified and resolved. Complainant advised and complaint closed.</w:t>
            </w:r>
          </w:p>
        </w:tc>
      </w:tr>
      <w:tr w:rsidR="00374E42" w14:paraId="63FFC04D" w14:textId="77777777" w:rsidTr="00374E42">
        <w:tc>
          <w:tcPr>
            <w:tcW w:w="547" w:type="dxa"/>
            <w:tcBorders>
              <w:left w:val="nil"/>
              <w:right w:val="nil"/>
            </w:tcBorders>
          </w:tcPr>
          <w:p w14:paraId="41C39DB2" w14:textId="014CCC30" w:rsidR="00374E42" w:rsidRDefault="00374E42" w:rsidP="00374E42">
            <w:pPr>
              <w:pStyle w:val="TableText"/>
            </w:pPr>
            <w:r w:rsidRPr="000B5124">
              <w:t>2</w:t>
            </w:r>
          </w:p>
        </w:tc>
        <w:tc>
          <w:tcPr>
            <w:tcW w:w="1085" w:type="dxa"/>
            <w:tcBorders>
              <w:left w:val="nil"/>
              <w:right w:val="nil"/>
            </w:tcBorders>
          </w:tcPr>
          <w:p w14:paraId="08857F8C" w14:textId="7A4203C2" w:rsidR="00374E42" w:rsidRDefault="00374E42" w:rsidP="00374E42">
            <w:pPr>
              <w:pStyle w:val="TableText"/>
            </w:pPr>
            <w:r w:rsidRPr="000B5124">
              <w:t>May 2023</w:t>
            </w:r>
          </w:p>
        </w:tc>
        <w:tc>
          <w:tcPr>
            <w:tcW w:w="1340" w:type="dxa"/>
            <w:tcBorders>
              <w:left w:val="nil"/>
              <w:right w:val="nil"/>
            </w:tcBorders>
          </w:tcPr>
          <w:p w14:paraId="047AD516" w14:textId="51971DC4" w:rsidR="00374E42" w:rsidRDefault="00374E42" w:rsidP="00374E42">
            <w:pPr>
              <w:pStyle w:val="TableText"/>
            </w:pPr>
            <w:r w:rsidRPr="000B5124">
              <w:t>Other – advocacy group</w:t>
            </w:r>
          </w:p>
        </w:tc>
        <w:tc>
          <w:tcPr>
            <w:tcW w:w="1139" w:type="dxa"/>
            <w:tcBorders>
              <w:left w:val="nil"/>
              <w:right w:val="nil"/>
            </w:tcBorders>
          </w:tcPr>
          <w:p w14:paraId="774D5B72" w14:textId="2D5DC9FC" w:rsidR="00374E42" w:rsidRDefault="00374E42" w:rsidP="00374E42">
            <w:pPr>
              <w:pStyle w:val="TableText"/>
            </w:pPr>
            <w:r w:rsidRPr="000B5124">
              <w:t>No</w:t>
            </w:r>
          </w:p>
        </w:tc>
        <w:tc>
          <w:tcPr>
            <w:tcW w:w="1838" w:type="dxa"/>
            <w:tcBorders>
              <w:left w:val="nil"/>
              <w:right w:val="nil"/>
            </w:tcBorders>
          </w:tcPr>
          <w:p w14:paraId="6DBA15EE" w14:textId="021AA3F7" w:rsidR="00374E42" w:rsidRDefault="00374E42" w:rsidP="00374E42">
            <w:pPr>
              <w:pStyle w:val="TableText"/>
            </w:pPr>
            <w:r w:rsidRPr="000B5124">
              <w:t xml:space="preserve">Issue contacting the Service. </w:t>
            </w:r>
          </w:p>
        </w:tc>
        <w:tc>
          <w:tcPr>
            <w:tcW w:w="2556" w:type="dxa"/>
            <w:tcBorders>
              <w:left w:val="nil"/>
              <w:right w:val="nil"/>
            </w:tcBorders>
          </w:tcPr>
          <w:p w14:paraId="16E82C7F" w14:textId="5310DEEC" w:rsidR="00374E42" w:rsidRDefault="00374E42" w:rsidP="00374E42">
            <w:pPr>
              <w:pStyle w:val="TableText"/>
            </w:pPr>
            <w:r w:rsidRPr="000B5124">
              <w:t>Operational complaint. Complaint referred to Health New Zealand. Technical issue identified and resolved. Complainant advised and complaint closed.</w:t>
            </w:r>
          </w:p>
        </w:tc>
      </w:tr>
      <w:tr w:rsidR="00374E42" w14:paraId="6E2E0B5D" w14:textId="77777777" w:rsidTr="00374E42">
        <w:tc>
          <w:tcPr>
            <w:tcW w:w="547" w:type="dxa"/>
            <w:tcBorders>
              <w:left w:val="nil"/>
              <w:right w:val="nil"/>
            </w:tcBorders>
          </w:tcPr>
          <w:p w14:paraId="658144B4" w14:textId="4944D34F" w:rsidR="00374E42" w:rsidRDefault="00374E42" w:rsidP="00374E42">
            <w:pPr>
              <w:pStyle w:val="TableText"/>
            </w:pPr>
            <w:r w:rsidRPr="000B5124">
              <w:t>3</w:t>
            </w:r>
          </w:p>
        </w:tc>
        <w:tc>
          <w:tcPr>
            <w:tcW w:w="1085" w:type="dxa"/>
            <w:tcBorders>
              <w:left w:val="nil"/>
              <w:right w:val="nil"/>
            </w:tcBorders>
          </w:tcPr>
          <w:p w14:paraId="2B359B76" w14:textId="706B6ACB" w:rsidR="00374E42" w:rsidRDefault="00374E42" w:rsidP="00374E42">
            <w:pPr>
              <w:pStyle w:val="TableText"/>
            </w:pPr>
            <w:r w:rsidRPr="000B5124">
              <w:t>May 2023</w:t>
            </w:r>
          </w:p>
        </w:tc>
        <w:tc>
          <w:tcPr>
            <w:tcW w:w="1340" w:type="dxa"/>
            <w:tcBorders>
              <w:left w:val="nil"/>
              <w:right w:val="nil"/>
            </w:tcBorders>
          </w:tcPr>
          <w:p w14:paraId="4299D130" w14:textId="63ECD991" w:rsidR="00374E42" w:rsidRDefault="00374E42" w:rsidP="00374E42">
            <w:pPr>
              <w:pStyle w:val="TableText"/>
            </w:pPr>
            <w:r w:rsidRPr="000B5124">
              <w:t>Whānau of applicant</w:t>
            </w:r>
          </w:p>
        </w:tc>
        <w:tc>
          <w:tcPr>
            <w:tcW w:w="1139" w:type="dxa"/>
            <w:tcBorders>
              <w:left w:val="nil"/>
              <w:right w:val="nil"/>
            </w:tcBorders>
          </w:tcPr>
          <w:p w14:paraId="21FAF7AE" w14:textId="10637834" w:rsidR="00374E42" w:rsidRDefault="00374E42" w:rsidP="00374E42">
            <w:pPr>
              <w:pStyle w:val="TableText"/>
            </w:pPr>
            <w:r w:rsidRPr="000B5124">
              <w:t>Yes – HNZ</w:t>
            </w:r>
          </w:p>
        </w:tc>
        <w:tc>
          <w:tcPr>
            <w:tcW w:w="1838" w:type="dxa"/>
            <w:tcBorders>
              <w:left w:val="nil"/>
              <w:right w:val="nil"/>
            </w:tcBorders>
          </w:tcPr>
          <w:p w14:paraId="33FC8E80" w14:textId="53072547" w:rsidR="00374E42" w:rsidRDefault="00374E42" w:rsidP="00374E42">
            <w:pPr>
              <w:pStyle w:val="TableText"/>
            </w:pPr>
            <w:r w:rsidRPr="000B5124">
              <w:t xml:space="preserve">Desire for urgency for assisted dying assessments. </w:t>
            </w:r>
          </w:p>
        </w:tc>
        <w:tc>
          <w:tcPr>
            <w:tcW w:w="2556" w:type="dxa"/>
            <w:tcBorders>
              <w:left w:val="nil"/>
              <w:right w:val="nil"/>
            </w:tcBorders>
          </w:tcPr>
          <w:p w14:paraId="7AF3987E" w14:textId="542DEC15" w:rsidR="00374E42" w:rsidRDefault="00374E42" w:rsidP="00374E42">
            <w:pPr>
              <w:pStyle w:val="TableText"/>
            </w:pPr>
            <w:r w:rsidRPr="000B5124">
              <w:t xml:space="preserve">Operational complaint. Complaint referred to Health New Zealand. Engagement with whānau. Complaint closed. </w:t>
            </w:r>
          </w:p>
        </w:tc>
      </w:tr>
      <w:tr w:rsidR="00374E42" w14:paraId="46D2D72F" w14:textId="77777777" w:rsidTr="00374E42">
        <w:tc>
          <w:tcPr>
            <w:tcW w:w="547" w:type="dxa"/>
            <w:tcBorders>
              <w:left w:val="nil"/>
              <w:right w:val="nil"/>
            </w:tcBorders>
          </w:tcPr>
          <w:p w14:paraId="7776D6B5" w14:textId="00C6D2ED" w:rsidR="00374E42" w:rsidRDefault="00374E42" w:rsidP="00374E42">
            <w:pPr>
              <w:pStyle w:val="TableText"/>
            </w:pPr>
            <w:r w:rsidRPr="000B5124">
              <w:t>4</w:t>
            </w:r>
          </w:p>
        </w:tc>
        <w:tc>
          <w:tcPr>
            <w:tcW w:w="1085" w:type="dxa"/>
            <w:tcBorders>
              <w:left w:val="nil"/>
              <w:right w:val="nil"/>
            </w:tcBorders>
          </w:tcPr>
          <w:p w14:paraId="2517DB8F" w14:textId="669673C9" w:rsidR="00374E42" w:rsidRDefault="00374E42" w:rsidP="00374E42">
            <w:pPr>
              <w:pStyle w:val="TableText"/>
            </w:pPr>
            <w:r w:rsidRPr="000B5124">
              <w:t xml:space="preserve">May 2023 </w:t>
            </w:r>
          </w:p>
        </w:tc>
        <w:tc>
          <w:tcPr>
            <w:tcW w:w="1340" w:type="dxa"/>
            <w:tcBorders>
              <w:left w:val="nil"/>
              <w:right w:val="nil"/>
            </w:tcBorders>
          </w:tcPr>
          <w:p w14:paraId="1F4ED5E4" w14:textId="34E4CDDF" w:rsidR="00374E42" w:rsidRDefault="00374E42" w:rsidP="00374E42">
            <w:pPr>
              <w:pStyle w:val="TableText"/>
            </w:pPr>
            <w:r w:rsidRPr="000B5124">
              <w:t xml:space="preserve">Health practitioner </w:t>
            </w:r>
          </w:p>
        </w:tc>
        <w:tc>
          <w:tcPr>
            <w:tcW w:w="1139" w:type="dxa"/>
            <w:tcBorders>
              <w:left w:val="nil"/>
              <w:right w:val="nil"/>
            </w:tcBorders>
          </w:tcPr>
          <w:p w14:paraId="2E70569C" w14:textId="48BABFE0" w:rsidR="00374E42" w:rsidRDefault="00374E42" w:rsidP="00374E42">
            <w:pPr>
              <w:pStyle w:val="TableText"/>
            </w:pPr>
            <w:r w:rsidRPr="000B5124">
              <w:t>No</w:t>
            </w:r>
          </w:p>
        </w:tc>
        <w:tc>
          <w:tcPr>
            <w:tcW w:w="1838" w:type="dxa"/>
            <w:tcBorders>
              <w:left w:val="nil"/>
              <w:right w:val="nil"/>
            </w:tcBorders>
          </w:tcPr>
          <w:p w14:paraId="26B75CCA" w14:textId="3F5FC260" w:rsidR="00374E42" w:rsidRDefault="00374E42" w:rsidP="00374E42">
            <w:pPr>
              <w:pStyle w:val="TableText"/>
            </w:pPr>
            <w:r w:rsidRPr="000B5124">
              <w:t xml:space="preserve">Concerns raised about AMP’s actions on nominated date. </w:t>
            </w:r>
          </w:p>
        </w:tc>
        <w:tc>
          <w:tcPr>
            <w:tcW w:w="2556" w:type="dxa"/>
            <w:tcBorders>
              <w:left w:val="nil"/>
              <w:right w:val="nil"/>
            </w:tcBorders>
          </w:tcPr>
          <w:p w14:paraId="636F7B1C" w14:textId="57B0BA16" w:rsidR="00374E42" w:rsidRDefault="00374E42" w:rsidP="00374E42">
            <w:pPr>
              <w:pStyle w:val="TableText"/>
            </w:pPr>
            <w:r w:rsidRPr="000B5124">
              <w:t>Registrar discussed the complaint with Health New Zealand staff and the AMP. Referred to Health New Zealand district to manage. Complaint closed.</w:t>
            </w:r>
          </w:p>
        </w:tc>
      </w:tr>
      <w:tr w:rsidR="00374E42" w14:paraId="5ABBD6A1" w14:textId="77777777" w:rsidTr="00374E42">
        <w:tc>
          <w:tcPr>
            <w:tcW w:w="547" w:type="dxa"/>
            <w:tcBorders>
              <w:left w:val="nil"/>
              <w:right w:val="nil"/>
            </w:tcBorders>
          </w:tcPr>
          <w:p w14:paraId="21960323" w14:textId="31DFB655" w:rsidR="00374E42" w:rsidRDefault="00374E42" w:rsidP="00374E42">
            <w:pPr>
              <w:pStyle w:val="TableText"/>
            </w:pPr>
            <w:r w:rsidRPr="000B5124">
              <w:t>5</w:t>
            </w:r>
          </w:p>
        </w:tc>
        <w:tc>
          <w:tcPr>
            <w:tcW w:w="1085" w:type="dxa"/>
            <w:tcBorders>
              <w:left w:val="nil"/>
              <w:right w:val="nil"/>
            </w:tcBorders>
          </w:tcPr>
          <w:p w14:paraId="1303201F" w14:textId="6E62BAA2" w:rsidR="00374E42" w:rsidRDefault="00374E42" w:rsidP="00374E42">
            <w:pPr>
              <w:pStyle w:val="TableText"/>
            </w:pPr>
            <w:r w:rsidRPr="000B5124">
              <w:t xml:space="preserve">June 2023 </w:t>
            </w:r>
          </w:p>
        </w:tc>
        <w:tc>
          <w:tcPr>
            <w:tcW w:w="1340" w:type="dxa"/>
            <w:tcBorders>
              <w:left w:val="nil"/>
              <w:right w:val="nil"/>
            </w:tcBorders>
          </w:tcPr>
          <w:p w14:paraId="79F406E5" w14:textId="5C9EDE4C" w:rsidR="00374E42" w:rsidRDefault="00374E42" w:rsidP="00374E42">
            <w:pPr>
              <w:pStyle w:val="TableText"/>
            </w:pPr>
            <w:r w:rsidRPr="000B5124">
              <w:t xml:space="preserve">Whānau of applicant </w:t>
            </w:r>
          </w:p>
        </w:tc>
        <w:tc>
          <w:tcPr>
            <w:tcW w:w="1139" w:type="dxa"/>
            <w:tcBorders>
              <w:left w:val="nil"/>
              <w:right w:val="nil"/>
            </w:tcBorders>
          </w:tcPr>
          <w:p w14:paraId="21B983E4" w14:textId="55C2F6C7" w:rsidR="00374E42" w:rsidRDefault="00374E42" w:rsidP="00374E42">
            <w:pPr>
              <w:pStyle w:val="TableText"/>
            </w:pPr>
            <w:r w:rsidRPr="000B5124">
              <w:t>No</w:t>
            </w:r>
          </w:p>
        </w:tc>
        <w:tc>
          <w:tcPr>
            <w:tcW w:w="1838" w:type="dxa"/>
            <w:tcBorders>
              <w:left w:val="nil"/>
              <w:right w:val="nil"/>
            </w:tcBorders>
          </w:tcPr>
          <w:p w14:paraId="65058FAD" w14:textId="33822316" w:rsidR="00374E42" w:rsidRDefault="00374E42" w:rsidP="00374E42">
            <w:pPr>
              <w:pStyle w:val="TableText"/>
            </w:pPr>
            <w:r w:rsidRPr="000B5124">
              <w:t xml:space="preserve">Complaint regarding cause of death listed as assisted death on death certificate.  </w:t>
            </w:r>
          </w:p>
        </w:tc>
        <w:tc>
          <w:tcPr>
            <w:tcW w:w="2556" w:type="dxa"/>
            <w:tcBorders>
              <w:left w:val="nil"/>
              <w:right w:val="nil"/>
            </w:tcBorders>
          </w:tcPr>
          <w:p w14:paraId="2165D57D" w14:textId="2288C0F6" w:rsidR="00374E42" w:rsidRDefault="00374E42" w:rsidP="00374E42">
            <w:pPr>
              <w:pStyle w:val="TableText"/>
            </w:pPr>
            <w:r w:rsidRPr="000B5124">
              <w:t xml:space="preserve">Discussed with complainant and agreed to note as feedback for the legislation review. Complaint closed. </w:t>
            </w:r>
          </w:p>
        </w:tc>
      </w:tr>
      <w:tr w:rsidR="00374E42" w14:paraId="53AFBE41" w14:textId="77777777" w:rsidTr="00374E42">
        <w:tc>
          <w:tcPr>
            <w:tcW w:w="547" w:type="dxa"/>
            <w:tcBorders>
              <w:left w:val="nil"/>
              <w:right w:val="nil"/>
            </w:tcBorders>
          </w:tcPr>
          <w:p w14:paraId="7325BD7F" w14:textId="735F5928" w:rsidR="00374E42" w:rsidRDefault="00374E42" w:rsidP="00374E42">
            <w:pPr>
              <w:pStyle w:val="TableText"/>
            </w:pPr>
            <w:r w:rsidRPr="000B5124">
              <w:t>6</w:t>
            </w:r>
          </w:p>
        </w:tc>
        <w:tc>
          <w:tcPr>
            <w:tcW w:w="1085" w:type="dxa"/>
            <w:tcBorders>
              <w:left w:val="nil"/>
              <w:right w:val="nil"/>
            </w:tcBorders>
          </w:tcPr>
          <w:p w14:paraId="09E39745" w14:textId="2BEC51C9" w:rsidR="00374E42" w:rsidRDefault="00374E42" w:rsidP="00374E42">
            <w:pPr>
              <w:pStyle w:val="TableText"/>
            </w:pPr>
            <w:r w:rsidRPr="000B5124">
              <w:t xml:space="preserve">June 2023 </w:t>
            </w:r>
          </w:p>
        </w:tc>
        <w:tc>
          <w:tcPr>
            <w:tcW w:w="1340" w:type="dxa"/>
            <w:tcBorders>
              <w:left w:val="nil"/>
              <w:right w:val="nil"/>
            </w:tcBorders>
          </w:tcPr>
          <w:p w14:paraId="7B2ED55B" w14:textId="240A6868" w:rsidR="00374E42" w:rsidRDefault="00374E42" w:rsidP="00374E42">
            <w:pPr>
              <w:pStyle w:val="TableText"/>
            </w:pPr>
            <w:r w:rsidRPr="000B5124">
              <w:t xml:space="preserve">Health practitioner </w:t>
            </w:r>
          </w:p>
        </w:tc>
        <w:tc>
          <w:tcPr>
            <w:tcW w:w="1139" w:type="dxa"/>
            <w:tcBorders>
              <w:left w:val="nil"/>
              <w:right w:val="nil"/>
            </w:tcBorders>
          </w:tcPr>
          <w:p w14:paraId="4EBBF31A" w14:textId="3E543632" w:rsidR="00374E42" w:rsidRDefault="00374E42" w:rsidP="00374E42">
            <w:pPr>
              <w:pStyle w:val="TableText"/>
            </w:pPr>
            <w:r w:rsidRPr="000B5124">
              <w:t>No</w:t>
            </w:r>
          </w:p>
        </w:tc>
        <w:tc>
          <w:tcPr>
            <w:tcW w:w="1838" w:type="dxa"/>
            <w:tcBorders>
              <w:left w:val="nil"/>
              <w:right w:val="nil"/>
            </w:tcBorders>
          </w:tcPr>
          <w:p w14:paraId="1B6A0DC8" w14:textId="3FB002E4" w:rsidR="00374E42" w:rsidRDefault="00374E42" w:rsidP="00374E42">
            <w:pPr>
              <w:pStyle w:val="TableText"/>
            </w:pPr>
            <w:r w:rsidRPr="000B5124">
              <w:t xml:space="preserve">Communication issues regarding location of assisted death. </w:t>
            </w:r>
          </w:p>
        </w:tc>
        <w:tc>
          <w:tcPr>
            <w:tcW w:w="2556" w:type="dxa"/>
            <w:tcBorders>
              <w:left w:val="nil"/>
              <w:right w:val="nil"/>
            </w:tcBorders>
          </w:tcPr>
          <w:p w14:paraId="4E9F6342" w14:textId="5E6BBFCA" w:rsidR="00374E42" w:rsidRDefault="00374E42" w:rsidP="00374E42">
            <w:pPr>
              <w:pStyle w:val="TableText"/>
            </w:pPr>
            <w:r w:rsidRPr="000B5124">
              <w:t>Discussed with facility staff and Health New Zealand teams. Satisfied the issue was resolved by the facility. Complainant advised and complaint closed.</w:t>
            </w:r>
          </w:p>
        </w:tc>
      </w:tr>
      <w:tr w:rsidR="00374E42" w14:paraId="435DB4DD" w14:textId="77777777" w:rsidTr="00374E42">
        <w:tc>
          <w:tcPr>
            <w:tcW w:w="547" w:type="dxa"/>
            <w:tcBorders>
              <w:left w:val="nil"/>
              <w:right w:val="nil"/>
            </w:tcBorders>
          </w:tcPr>
          <w:p w14:paraId="1822B74E" w14:textId="66A995DA" w:rsidR="00374E42" w:rsidRDefault="00374E42" w:rsidP="00374E42">
            <w:pPr>
              <w:pStyle w:val="TableText"/>
            </w:pPr>
            <w:r w:rsidRPr="000B5124">
              <w:t>7</w:t>
            </w:r>
          </w:p>
        </w:tc>
        <w:tc>
          <w:tcPr>
            <w:tcW w:w="1085" w:type="dxa"/>
            <w:tcBorders>
              <w:left w:val="nil"/>
              <w:right w:val="nil"/>
            </w:tcBorders>
          </w:tcPr>
          <w:p w14:paraId="06DEF033" w14:textId="12E6B480" w:rsidR="00374E42" w:rsidRDefault="00374E42" w:rsidP="00374E42">
            <w:pPr>
              <w:pStyle w:val="TableText"/>
            </w:pPr>
            <w:r w:rsidRPr="000B5124">
              <w:t xml:space="preserve">July 2023 </w:t>
            </w:r>
          </w:p>
        </w:tc>
        <w:tc>
          <w:tcPr>
            <w:tcW w:w="1340" w:type="dxa"/>
            <w:tcBorders>
              <w:left w:val="nil"/>
              <w:right w:val="nil"/>
            </w:tcBorders>
          </w:tcPr>
          <w:p w14:paraId="31B1853B" w14:textId="37A73FFB" w:rsidR="00374E42" w:rsidRDefault="00374E42" w:rsidP="00374E42">
            <w:pPr>
              <w:pStyle w:val="TableText"/>
            </w:pPr>
            <w:r w:rsidRPr="000B5124">
              <w:t>Other – member of the public</w:t>
            </w:r>
          </w:p>
        </w:tc>
        <w:tc>
          <w:tcPr>
            <w:tcW w:w="1139" w:type="dxa"/>
            <w:tcBorders>
              <w:left w:val="nil"/>
              <w:right w:val="nil"/>
            </w:tcBorders>
          </w:tcPr>
          <w:p w14:paraId="025104D3" w14:textId="264E63D7" w:rsidR="00374E42" w:rsidRDefault="00374E42" w:rsidP="00374E42">
            <w:pPr>
              <w:pStyle w:val="TableText"/>
            </w:pPr>
            <w:r w:rsidRPr="000B5124">
              <w:t xml:space="preserve">Yes – HNZ </w:t>
            </w:r>
          </w:p>
        </w:tc>
        <w:tc>
          <w:tcPr>
            <w:tcW w:w="1838" w:type="dxa"/>
            <w:tcBorders>
              <w:left w:val="nil"/>
              <w:right w:val="nil"/>
            </w:tcBorders>
          </w:tcPr>
          <w:p w14:paraId="7932C4B4" w14:textId="2858F8E9" w:rsidR="00374E42" w:rsidRDefault="00374E42" w:rsidP="00374E42">
            <w:pPr>
              <w:pStyle w:val="TableText"/>
            </w:pPr>
            <w:r w:rsidRPr="000B5124">
              <w:t xml:space="preserve">A member of the public questioned the legality of an assisted death following a media article. </w:t>
            </w:r>
          </w:p>
        </w:tc>
        <w:tc>
          <w:tcPr>
            <w:tcW w:w="2556" w:type="dxa"/>
            <w:tcBorders>
              <w:left w:val="nil"/>
              <w:right w:val="nil"/>
            </w:tcBorders>
          </w:tcPr>
          <w:p w14:paraId="2BB1141F" w14:textId="7851D942" w:rsidR="00374E42" w:rsidRDefault="00374E42" w:rsidP="00374E42">
            <w:pPr>
              <w:pStyle w:val="TableText"/>
            </w:pPr>
            <w:r w:rsidRPr="000B5124">
              <w:t>Case reviewed by the Office of the Registrar. No evidence found of a breach of the Act. Complainant advised and complaint closed.</w:t>
            </w:r>
          </w:p>
        </w:tc>
      </w:tr>
      <w:tr w:rsidR="00374E42" w14:paraId="43710D5D" w14:textId="77777777" w:rsidTr="00374E42">
        <w:tc>
          <w:tcPr>
            <w:tcW w:w="547" w:type="dxa"/>
            <w:tcBorders>
              <w:left w:val="nil"/>
              <w:right w:val="nil"/>
            </w:tcBorders>
          </w:tcPr>
          <w:p w14:paraId="5CFA6BBE" w14:textId="7708B847" w:rsidR="00374E42" w:rsidRDefault="00374E42" w:rsidP="00374E42">
            <w:pPr>
              <w:pStyle w:val="TableText"/>
            </w:pPr>
            <w:r w:rsidRPr="000B5124">
              <w:t>8</w:t>
            </w:r>
          </w:p>
        </w:tc>
        <w:tc>
          <w:tcPr>
            <w:tcW w:w="1085" w:type="dxa"/>
            <w:tcBorders>
              <w:left w:val="nil"/>
              <w:right w:val="nil"/>
            </w:tcBorders>
          </w:tcPr>
          <w:p w14:paraId="0E043610" w14:textId="24926D03" w:rsidR="00374E42" w:rsidRDefault="00374E42" w:rsidP="00374E42">
            <w:pPr>
              <w:pStyle w:val="TableText"/>
            </w:pPr>
            <w:r w:rsidRPr="000B5124">
              <w:t xml:space="preserve">July 2023 </w:t>
            </w:r>
          </w:p>
        </w:tc>
        <w:tc>
          <w:tcPr>
            <w:tcW w:w="1340" w:type="dxa"/>
            <w:tcBorders>
              <w:left w:val="nil"/>
              <w:right w:val="nil"/>
            </w:tcBorders>
          </w:tcPr>
          <w:p w14:paraId="529AB5B7" w14:textId="206CD140" w:rsidR="00374E42" w:rsidRDefault="00374E42" w:rsidP="00374E42">
            <w:pPr>
              <w:pStyle w:val="TableText"/>
            </w:pPr>
            <w:r w:rsidRPr="000B5124">
              <w:t>Health practitioner</w:t>
            </w:r>
          </w:p>
        </w:tc>
        <w:tc>
          <w:tcPr>
            <w:tcW w:w="1139" w:type="dxa"/>
            <w:tcBorders>
              <w:left w:val="nil"/>
              <w:right w:val="nil"/>
            </w:tcBorders>
          </w:tcPr>
          <w:p w14:paraId="143A0646" w14:textId="09A450D5" w:rsidR="00374E42" w:rsidRDefault="00374E42" w:rsidP="00374E42">
            <w:pPr>
              <w:pStyle w:val="TableText"/>
            </w:pPr>
            <w:r w:rsidRPr="000B5124">
              <w:t>No</w:t>
            </w:r>
          </w:p>
        </w:tc>
        <w:tc>
          <w:tcPr>
            <w:tcW w:w="1838" w:type="dxa"/>
            <w:tcBorders>
              <w:left w:val="nil"/>
              <w:right w:val="nil"/>
            </w:tcBorders>
          </w:tcPr>
          <w:p w14:paraId="110F6846" w14:textId="7FBDA0EA" w:rsidR="00374E42" w:rsidRDefault="00374E42" w:rsidP="00374E42">
            <w:pPr>
              <w:pStyle w:val="TableText"/>
            </w:pPr>
            <w:r w:rsidRPr="000B5124">
              <w:t>Facility potentially obstructing applicant in their request for an assisted death.</w:t>
            </w:r>
          </w:p>
        </w:tc>
        <w:tc>
          <w:tcPr>
            <w:tcW w:w="2556" w:type="dxa"/>
            <w:tcBorders>
              <w:left w:val="nil"/>
              <w:right w:val="nil"/>
            </w:tcBorders>
          </w:tcPr>
          <w:p w14:paraId="17200BCA" w14:textId="28D33149" w:rsidR="00374E42" w:rsidRDefault="00374E42" w:rsidP="00374E42">
            <w:pPr>
              <w:pStyle w:val="TableText"/>
            </w:pPr>
            <w:r w:rsidRPr="000B5124">
              <w:t xml:space="preserve">Referred to HDC. </w:t>
            </w:r>
          </w:p>
        </w:tc>
      </w:tr>
      <w:tr w:rsidR="00374E42" w14:paraId="0F444363" w14:textId="77777777" w:rsidTr="00374E42">
        <w:tc>
          <w:tcPr>
            <w:tcW w:w="547" w:type="dxa"/>
            <w:tcBorders>
              <w:left w:val="nil"/>
              <w:right w:val="nil"/>
            </w:tcBorders>
          </w:tcPr>
          <w:p w14:paraId="631A7F7A" w14:textId="49169629" w:rsidR="00374E42" w:rsidRDefault="00374E42" w:rsidP="00374E42">
            <w:pPr>
              <w:pStyle w:val="TableText"/>
            </w:pPr>
            <w:r w:rsidRPr="000B5124">
              <w:lastRenderedPageBreak/>
              <w:t>9</w:t>
            </w:r>
          </w:p>
        </w:tc>
        <w:tc>
          <w:tcPr>
            <w:tcW w:w="1085" w:type="dxa"/>
            <w:tcBorders>
              <w:left w:val="nil"/>
              <w:right w:val="nil"/>
            </w:tcBorders>
          </w:tcPr>
          <w:p w14:paraId="0A994B3B" w14:textId="028B782B" w:rsidR="00374E42" w:rsidRDefault="00374E42" w:rsidP="00374E42">
            <w:pPr>
              <w:pStyle w:val="TableText"/>
            </w:pPr>
            <w:r w:rsidRPr="000B5124">
              <w:t xml:space="preserve">September 2023 </w:t>
            </w:r>
          </w:p>
        </w:tc>
        <w:tc>
          <w:tcPr>
            <w:tcW w:w="1340" w:type="dxa"/>
            <w:tcBorders>
              <w:left w:val="nil"/>
              <w:right w:val="nil"/>
            </w:tcBorders>
          </w:tcPr>
          <w:p w14:paraId="35E7DD18" w14:textId="3B8DB1DC" w:rsidR="00374E42" w:rsidRDefault="00374E42" w:rsidP="00374E42">
            <w:pPr>
              <w:pStyle w:val="TableText"/>
            </w:pPr>
            <w:r w:rsidRPr="000B5124">
              <w:t xml:space="preserve">Health practitioner </w:t>
            </w:r>
          </w:p>
        </w:tc>
        <w:tc>
          <w:tcPr>
            <w:tcW w:w="1139" w:type="dxa"/>
            <w:tcBorders>
              <w:left w:val="nil"/>
              <w:right w:val="nil"/>
            </w:tcBorders>
          </w:tcPr>
          <w:p w14:paraId="1B19A036" w14:textId="45ED0D28" w:rsidR="00374E42" w:rsidRDefault="00374E42" w:rsidP="00374E42">
            <w:pPr>
              <w:pStyle w:val="TableText"/>
            </w:pPr>
            <w:r w:rsidRPr="000B5124">
              <w:t>Yes – HNZ</w:t>
            </w:r>
          </w:p>
        </w:tc>
        <w:tc>
          <w:tcPr>
            <w:tcW w:w="1838" w:type="dxa"/>
            <w:tcBorders>
              <w:left w:val="nil"/>
              <w:right w:val="nil"/>
            </w:tcBorders>
          </w:tcPr>
          <w:p w14:paraId="4123FDD3" w14:textId="321E85E8" w:rsidR="00374E42" w:rsidRDefault="00374E42" w:rsidP="00374E42">
            <w:pPr>
              <w:pStyle w:val="TableText"/>
            </w:pPr>
            <w:r w:rsidRPr="000B5124">
              <w:t xml:space="preserve">Concerns raised about health practitioners involved in patient’s care barring access to the service. </w:t>
            </w:r>
          </w:p>
        </w:tc>
        <w:tc>
          <w:tcPr>
            <w:tcW w:w="2556" w:type="dxa"/>
            <w:tcBorders>
              <w:left w:val="nil"/>
              <w:right w:val="nil"/>
            </w:tcBorders>
          </w:tcPr>
          <w:p w14:paraId="1CCD6910" w14:textId="5803EEF8" w:rsidR="00374E42" w:rsidRDefault="00374E42" w:rsidP="00374E42">
            <w:pPr>
              <w:pStyle w:val="TableText"/>
            </w:pPr>
            <w:r w:rsidRPr="000B5124">
              <w:t xml:space="preserve">Ongoing at the time of this report. </w:t>
            </w:r>
          </w:p>
        </w:tc>
      </w:tr>
      <w:tr w:rsidR="00374E42" w14:paraId="18EC0E53" w14:textId="77777777" w:rsidTr="00374E42">
        <w:tc>
          <w:tcPr>
            <w:tcW w:w="547" w:type="dxa"/>
            <w:tcBorders>
              <w:left w:val="nil"/>
              <w:right w:val="nil"/>
            </w:tcBorders>
          </w:tcPr>
          <w:p w14:paraId="48D9E5C3" w14:textId="29F38A32" w:rsidR="00374E42" w:rsidRDefault="00374E42" w:rsidP="00374E42">
            <w:pPr>
              <w:pStyle w:val="TableText"/>
            </w:pPr>
            <w:r w:rsidRPr="000B5124">
              <w:t>10</w:t>
            </w:r>
          </w:p>
        </w:tc>
        <w:tc>
          <w:tcPr>
            <w:tcW w:w="1085" w:type="dxa"/>
            <w:tcBorders>
              <w:left w:val="nil"/>
              <w:right w:val="nil"/>
            </w:tcBorders>
          </w:tcPr>
          <w:p w14:paraId="6A50378A" w14:textId="7F095B6E" w:rsidR="00374E42" w:rsidRDefault="00374E42" w:rsidP="00374E42">
            <w:pPr>
              <w:pStyle w:val="TableText"/>
            </w:pPr>
            <w:r w:rsidRPr="000B5124">
              <w:t xml:space="preserve">November 2023 </w:t>
            </w:r>
          </w:p>
        </w:tc>
        <w:tc>
          <w:tcPr>
            <w:tcW w:w="1340" w:type="dxa"/>
            <w:tcBorders>
              <w:left w:val="nil"/>
              <w:right w:val="nil"/>
            </w:tcBorders>
          </w:tcPr>
          <w:p w14:paraId="226F90D6" w14:textId="25057ECD" w:rsidR="00374E42" w:rsidRDefault="00374E42" w:rsidP="00374E42">
            <w:pPr>
              <w:pStyle w:val="TableText"/>
            </w:pPr>
            <w:r w:rsidRPr="000B5124">
              <w:t>Whānau of applicant</w:t>
            </w:r>
          </w:p>
        </w:tc>
        <w:tc>
          <w:tcPr>
            <w:tcW w:w="1139" w:type="dxa"/>
            <w:tcBorders>
              <w:left w:val="nil"/>
              <w:right w:val="nil"/>
            </w:tcBorders>
          </w:tcPr>
          <w:p w14:paraId="2D142434" w14:textId="5EDE516B" w:rsidR="00374E42" w:rsidRDefault="00374E42" w:rsidP="00374E42">
            <w:pPr>
              <w:pStyle w:val="TableText"/>
            </w:pPr>
            <w:r w:rsidRPr="000B5124">
              <w:t>No</w:t>
            </w:r>
          </w:p>
        </w:tc>
        <w:tc>
          <w:tcPr>
            <w:tcW w:w="1838" w:type="dxa"/>
            <w:tcBorders>
              <w:left w:val="nil"/>
              <w:right w:val="nil"/>
            </w:tcBorders>
          </w:tcPr>
          <w:p w14:paraId="78BDBD26" w14:textId="11E652A3" w:rsidR="00374E42" w:rsidRDefault="00374E42" w:rsidP="00374E42">
            <w:pPr>
              <w:pStyle w:val="TableText"/>
            </w:pPr>
            <w:r w:rsidRPr="000B5124">
              <w:t xml:space="preserve">Concerns regarding lack of information provided to applicant about how to access the service. </w:t>
            </w:r>
          </w:p>
        </w:tc>
        <w:tc>
          <w:tcPr>
            <w:tcW w:w="2556" w:type="dxa"/>
            <w:tcBorders>
              <w:left w:val="nil"/>
              <w:right w:val="nil"/>
            </w:tcBorders>
          </w:tcPr>
          <w:p w14:paraId="220E47FA" w14:textId="4BFCE5BF" w:rsidR="00374E42" w:rsidRDefault="00374E42" w:rsidP="00374E42">
            <w:pPr>
              <w:pStyle w:val="TableText"/>
            </w:pPr>
            <w:r w:rsidRPr="000B5124">
              <w:t>Ongoing at the time of this report.</w:t>
            </w:r>
          </w:p>
        </w:tc>
      </w:tr>
      <w:tr w:rsidR="00374E42" w14:paraId="7D0FBD1A" w14:textId="77777777" w:rsidTr="00374E42">
        <w:tc>
          <w:tcPr>
            <w:tcW w:w="547" w:type="dxa"/>
            <w:tcBorders>
              <w:left w:val="nil"/>
              <w:right w:val="nil"/>
            </w:tcBorders>
          </w:tcPr>
          <w:p w14:paraId="32EE4B16" w14:textId="4006A282" w:rsidR="00374E42" w:rsidRDefault="00374E42" w:rsidP="00374E42">
            <w:pPr>
              <w:pStyle w:val="TableText"/>
            </w:pPr>
            <w:r w:rsidRPr="000B5124">
              <w:t>11</w:t>
            </w:r>
          </w:p>
        </w:tc>
        <w:tc>
          <w:tcPr>
            <w:tcW w:w="1085" w:type="dxa"/>
            <w:tcBorders>
              <w:left w:val="nil"/>
              <w:right w:val="nil"/>
            </w:tcBorders>
          </w:tcPr>
          <w:p w14:paraId="7AC36906" w14:textId="59953210" w:rsidR="00374E42" w:rsidRDefault="00374E42" w:rsidP="00374E42">
            <w:pPr>
              <w:pStyle w:val="TableText"/>
            </w:pPr>
            <w:r w:rsidRPr="000B5124">
              <w:t xml:space="preserve">November 2023 </w:t>
            </w:r>
          </w:p>
        </w:tc>
        <w:tc>
          <w:tcPr>
            <w:tcW w:w="1340" w:type="dxa"/>
            <w:tcBorders>
              <w:left w:val="nil"/>
              <w:right w:val="nil"/>
            </w:tcBorders>
          </w:tcPr>
          <w:p w14:paraId="35A109CF" w14:textId="4BAE6BAD" w:rsidR="00374E42" w:rsidRDefault="00374E42" w:rsidP="00374E42">
            <w:pPr>
              <w:pStyle w:val="TableText"/>
            </w:pPr>
            <w:r w:rsidRPr="000B5124">
              <w:t xml:space="preserve">Whānau of applicant </w:t>
            </w:r>
          </w:p>
        </w:tc>
        <w:tc>
          <w:tcPr>
            <w:tcW w:w="1139" w:type="dxa"/>
            <w:tcBorders>
              <w:left w:val="nil"/>
              <w:right w:val="nil"/>
            </w:tcBorders>
          </w:tcPr>
          <w:p w14:paraId="7E022323" w14:textId="7D6599D8" w:rsidR="00374E42" w:rsidRDefault="00374E42" w:rsidP="00374E42">
            <w:pPr>
              <w:pStyle w:val="TableText"/>
            </w:pPr>
            <w:r w:rsidRPr="000B5124">
              <w:t>Yes - HNZ</w:t>
            </w:r>
          </w:p>
        </w:tc>
        <w:tc>
          <w:tcPr>
            <w:tcW w:w="1838" w:type="dxa"/>
            <w:tcBorders>
              <w:left w:val="nil"/>
              <w:right w:val="nil"/>
            </w:tcBorders>
          </w:tcPr>
          <w:p w14:paraId="330AE6DC" w14:textId="3DCBF70B" w:rsidR="00374E42" w:rsidRDefault="00374E42" w:rsidP="00374E42">
            <w:pPr>
              <w:pStyle w:val="TableText"/>
            </w:pPr>
            <w:r w:rsidRPr="000B5124">
              <w:t>Concerns raised about AMP’s actions on nominated date.</w:t>
            </w:r>
          </w:p>
        </w:tc>
        <w:tc>
          <w:tcPr>
            <w:tcW w:w="2556" w:type="dxa"/>
            <w:tcBorders>
              <w:left w:val="nil"/>
              <w:right w:val="nil"/>
            </w:tcBorders>
          </w:tcPr>
          <w:p w14:paraId="44474430" w14:textId="54D13956" w:rsidR="00374E42" w:rsidRDefault="00374E42" w:rsidP="00374E42">
            <w:pPr>
              <w:pStyle w:val="TableText"/>
            </w:pPr>
            <w:r w:rsidRPr="000B5124">
              <w:t>Case reviewed by Office of the Registrar. No evidence found of a breach of the Act. Complainant advised. Complaint closed.</w:t>
            </w:r>
          </w:p>
        </w:tc>
      </w:tr>
      <w:tr w:rsidR="00374E42" w14:paraId="4267331C" w14:textId="77777777" w:rsidTr="00374E42">
        <w:tc>
          <w:tcPr>
            <w:tcW w:w="547" w:type="dxa"/>
            <w:tcBorders>
              <w:left w:val="nil"/>
              <w:right w:val="nil"/>
            </w:tcBorders>
          </w:tcPr>
          <w:p w14:paraId="5FD67C37" w14:textId="799177FF" w:rsidR="00374E42" w:rsidRDefault="00374E42" w:rsidP="00374E42">
            <w:pPr>
              <w:pStyle w:val="TableText"/>
            </w:pPr>
            <w:r w:rsidRPr="000B5124">
              <w:t>12</w:t>
            </w:r>
          </w:p>
        </w:tc>
        <w:tc>
          <w:tcPr>
            <w:tcW w:w="1085" w:type="dxa"/>
            <w:tcBorders>
              <w:left w:val="nil"/>
              <w:right w:val="nil"/>
            </w:tcBorders>
          </w:tcPr>
          <w:p w14:paraId="426827DE" w14:textId="5CB57715" w:rsidR="00374E42" w:rsidRDefault="00374E42" w:rsidP="00374E42">
            <w:pPr>
              <w:pStyle w:val="TableText"/>
            </w:pPr>
            <w:r w:rsidRPr="000B5124">
              <w:t>January 2024</w:t>
            </w:r>
          </w:p>
        </w:tc>
        <w:tc>
          <w:tcPr>
            <w:tcW w:w="1340" w:type="dxa"/>
            <w:tcBorders>
              <w:left w:val="nil"/>
              <w:right w:val="nil"/>
            </w:tcBorders>
          </w:tcPr>
          <w:p w14:paraId="30CE39FB" w14:textId="38A64DCD" w:rsidR="00374E42" w:rsidRDefault="00374E42" w:rsidP="00374E42">
            <w:pPr>
              <w:pStyle w:val="TableText"/>
            </w:pPr>
            <w:r w:rsidRPr="000B5124">
              <w:t xml:space="preserve">Applicant </w:t>
            </w:r>
          </w:p>
        </w:tc>
        <w:tc>
          <w:tcPr>
            <w:tcW w:w="1139" w:type="dxa"/>
            <w:tcBorders>
              <w:left w:val="nil"/>
              <w:right w:val="nil"/>
            </w:tcBorders>
          </w:tcPr>
          <w:p w14:paraId="72930CDA" w14:textId="5F037DE6" w:rsidR="00374E42" w:rsidRDefault="00374E42" w:rsidP="00374E42">
            <w:pPr>
              <w:pStyle w:val="TableText"/>
            </w:pPr>
            <w:r w:rsidRPr="000B5124">
              <w:t>No</w:t>
            </w:r>
          </w:p>
        </w:tc>
        <w:tc>
          <w:tcPr>
            <w:tcW w:w="1838" w:type="dxa"/>
            <w:tcBorders>
              <w:left w:val="nil"/>
              <w:right w:val="nil"/>
            </w:tcBorders>
          </w:tcPr>
          <w:p w14:paraId="0E60E9A8" w14:textId="2401C4E3" w:rsidR="00374E42" w:rsidRDefault="00374E42" w:rsidP="00374E42">
            <w:pPr>
              <w:pStyle w:val="TableText"/>
            </w:pPr>
            <w:r w:rsidRPr="000B5124">
              <w:t xml:space="preserve">Applicant felt there was a lack of information provided by the AMP after finding applicant deemed ineligible. </w:t>
            </w:r>
          </w:p>
        </w:tc>
        <w:tc>
          <w:tcPr>
            <w:tcW w:w="2556" w:type="dxa"/>
            <w:tcBorders>
              <w:left w:val="nil"/>
              <w:right w:val="nil"/>
            </w:tcBorders>
          </w:tcPr>
          <w:p w14:paraId="36F07938" w14:textId="72EAF441" w:rsidR="00374E42" w:rsidRDefault="00374E42" w:rsidP="00374E42">
            <w:pPr>
              <w:pStyle w:val="TableText"/>
            </w:pPr>
            <w:r w:rsidRPr="000B5124">
              <w:t xml:space="preserve">Discussed separately with applicant and AMP. Engaged with Health New Zealand to arrange a new assessment for the applicant. Applicant/complainant advised, and complaint closed. </w:t>
            </w:r>
          </w:p>
        </w:tc>
      </w:tr>
      <w:tr w:rsidR="00374E42" w14:paraId="78A33456" w14:textId="77777777" w:rsidTr="00374E42">
        <w:tc>
          <w:tcPr>
            <w:tcW w:w="547" w:type="dxa"/>
            <w:tcBorders>
              <w:left w:val="nil"/>
              <w:right w:val="nil"/>
            </w:tcBorders>
          </w:tcPr>
          <w:p w14:paraId="0C2083E1" w14:textId="3AA95FDE" w:rsidR="00374E42" w:rsidRDefault="00374E42" w:rsidP="00374E42">
            <w:pPr>
              <w:pStyle w:val="TableText"/>
            </w:pPr>
            <w:r w:rsidRPr="000B5124">
              <w:t>13</w:t>
            </w:r>
          </w:p>
        </w:tc>
        <w:tc>
          <w:tcPr>
            <w:tcW w:w="1085" w:type="dxa"/>
            <w:tcBorders>
              <w:left w:val="nil"/>
              <w:right w:val="nil"/>
            </w:tcBorders>
          </w:tcPr>
          <w:p w14:paraId="567005E2" w14:textId="0ECFA40A" w:rsidR="00374E42" w:rsidRDefault="00374E42" w:rsidP="00374E42">
            <w:pPr>
              <w:pStyle w:val="TableText"/>
            </w:pPr>
            <w:r w:rsidRPr="000B5124">
              <w:t>March 2024</w:t>
            </w:r>
          </w:p>
        </w:tc>
        <w:tc>
          <w:tcPr>
            <w:tcW w:w="1340" w:type="dxa"/>
            <w:tcBorders>
              <w:left w:val="nil"/>
              <w:right w:val="nil"/>
            </w:tcBorders>
          </w:tcPr>
          <w:p w14:paraId="229EA351" w14:textId="4ED4C5AF" w:rsidR="00374E42" w:rsidRDefault="00374E42" w:rsidP="00374E42">
            <w:pPr>
              <w:pStyle w:val="TableText"/>
            </w:pPr>
            <w:r w:rsidRPr="000B5124">
              <w:t xml:space="preserve">Other – Health New Zealand </w:t>
            </w:r>
          </w:p>
        </w:tc>
        <w:tc>
          <w:tcPr>
            <w:tcW w:w="1139" w:type="dxa"/>
            <w:tcBorders>
              <w:left w:val="nil"/>
              <w:right w:val="nil"/>
            </w:tcBorders>
          </w:tcPr>
          <w:p w14:paraId="3AEC29B3" w14:textId="53B0B14D" w:rsidR="00374E42" w:rsidRDefault="00374E42" w:rsidP="00374E42">
            <w:pPr>
              <w:pStyle w:val="TableText"/>
            </w:pPr>
            <w:r w:rsidRPr="000B5124">
              <w:t>No</w:t>
            </w:r>
          </w:p>
        </w:tc>
        <w:tc>
          <w:tcPr>
            <w:tcW w:w="1838" w:type="dxa"/>
            <w:tcBorders>
              <w:left w:val="nil"/>
              <w:right w:val="nil"/>
            </w:tcBorders>
          </w:tcPr>
          <w:p w14:paraId="1108989D" w14:textId="3C8EB1F0" w:rsidR="00374E42" w:rsidRDefault="00374E42" w:rsidP="00374E42">
            <w:pPr>
              <w:pStyle w:val="TableText"/>
            </w:pPr>
            <w:r w:rsidRPr="000B5124">
              <w:t xml:space="preserve">Concerns raised about the administration of the assisted dying medication without compliance with the Act being confirmed. </w:t>
            </w:r>
          </w:p>
        </w:tc>
        <w:tc>
          <w:tcPr>
            <w:tcW w:w="2556" w:type="dxa"/>
            <w:tcBorders>
              <w:left w:val="nil"/>
              <w:right w:val="nil"/>
            </w:tcBorders>
          </w:tcPr>
          <w:p w14:paraId="11D377AF" w14:textId="494D0B4B" w:rsidR="00374E42" w:rsidRDefault="00374E42" w:rsidP="00374E42">
            <w:pPr>
              <w:pStyle w:val="TableText"/>
            </w:pPr>
            <w:r w:rsidRPr="000B5124">
              <w:t xml:space="preserve">Referred to the HDC, the New Zealand Police and the Medical Council. Ongoing at the time of this report.  </w:t>
            </w:r>
          </w:p>
        </w:tc>
      </w:tr>
      <w:tr w:rsidR="00374E42" w14:paraId="5B05C6AC" w14:textId="77777777" w:rsidTr="00374E42">
        <w:tc>
          <w:tcPr>
            <w:tcW w:w="547" w:type="dxa"/>
            <w:tcBorders>
              <w:left w:val="nil"/>
              <w:right w:val="nil"/>
            </w:tcBorders>
          </w:tcPr>
          <w:p w14:paraId="281BB730" w14:textId="2BB7248C" w:rsidR="00374E42" w:rsidRDefault="00374E42" w:rsidP="00374E42">
            <w:pPr>
              <w:pStyle w:val="TableText"/>
            </w:pPr>
            <w:r w:rsidRPr="000B5124">
              <w:t>14</w:t>
            </w:r>
          </w:p>
        </w:tc>
        <w:tc>
          <w:tcPr>
            <w:tcW w:w="1085" w:type="dxa"/>
            <w:tcBorders>
              <w:left w:val="nil"/>
              <w:right w:val="nil"/>
            </w:tcBorders>
          </w:tcPr>
          <w:p w14:paraId="4A4F6E4D" w14:textId="2C01E2B5" w:rsidR="00374E42" w:rsidRDefault="00374E42" w:rsidP="00374E42">
            <w:pPr>
              <w:pStyle w:val="TableText"/>
            </w:pPr>
            <w:r w:rsidRPr="000B5124">
              <w:t>March 2024</w:t>
            </w:r>
          </w:p>
        </w:tc>
        <w:tc>
          <w:tcPr>
            <w:tcW w:w="1340" w:type="dxa"/>
            <w:tcBorders>
              <w:left w:val="nil"/>
              <w:right w:val="nil"/>
            </w:tcBorders>
          </w:tcPr>
          <w:p w14:paraId="64474CD9" w14:textId="5F62F70B" w:rsidR="00374E42" w:rsidRDefault="00374E42" w:rsidP="00374E42">
            <w:pPr>
              <w:pStyle w:val="TableText"/>
            </w:pPr>
            <w:r w:rsidRPr="000B5124">
              <w:t xml:space="preserve">Health practitioner </w:t>
            </w:r>
          </w:p>
        </w:tc>
        <w:tc>
          <w:tcPr>
            <w:tcW w:w="1139" w:type="dxa"/>
            <w:tcBorders>
              <w:left w:val="nil"/>
              <w:right w:val="nil"/>
            </w:tcBorders>
          </w:tcPr>
          <w:p w14:paraId="1E5C089C" w14:textId="72AC5129" w:rsidR="00374E42" w:rsidRDefault="00374E42" w:rsidP="00374E42">
            <w:pPr>
              <w:pStyle w:val="TableText"/>
            </w:pPr>
            <w:r w:rsidRPr="000B5124">
              <w:t>Yes – HNZ</w:t>
            </w:r>
          </w:p>
        </w:tc>
        <w:tc>
          <w:tcPr>
            <w:tcW w:w="1838" w:type="dxa"/>
            <w:tcBorders>
              <w:left w:val="nil"/>
              <w:right w:val="nil"/>
            </w:tcBorders>
          </w:tcPr>
          <w:p w14:paraId="4BC3121A" w14:textId="57B28EE0" w:rsidR="00374E42" w:rsidRDefault="00374E42" w:rsidP="00374E42">
            <w:pPr>
              <w:pStyle w:val="TableText"/>
            </w:pPr>
            <w:r w:rsidRPr="000B5124">
              <w:t xml:space="preserve">Concerns raised about IMP assessment. </w:t>
            </w:r>
          </w:p>
        </w:tc>
        <w:tc>
          <w:tcPr>
            <w:tcW w:w="2556" w:type="dxa"/>
            <w:tcBorders>
              <w:left w:val="nil"/>
              <w:right w:val="nil"/>
            </w:tcBorders>
          </w:tcPr>
          <w:p w14:paraId="159A4996" w14:textId="78200050" w:rsidR="00374E42" w:rsidRDefault="00374E42" w:rsidP="00374E42">
            <w:pPr>
              <w:pStyle w:val="TableText"/>
            </w:pPr>
            <w:r w:rsidRPr="000B5124">
              <w:t xml:space="preserve">Ongoing at the time of this report.  </w:t>
            </w:r>
          </w:p>
        </w:tc>
      </w:tr>
      <w:tr w:rsidR="00374E42" w14:paraId="64BD0A86" w14:textId="77777777" w:rsidTr="00374E42">
        <w:tc>
          <w:tcPr>
            <w:tcW w:w="547" w:type="dxa"/>
            <w:tcBorders>
              <w:left w:val="nil"/>
              <w:right w:val="nil"/>
            </w:tcBorders>
          </w:tcPr>
          <w:p w14:paraId="07A3A3C2" w14:textId="7EB8EE33" w:rsidR="00374E42" w:rsidRDefault="00374E42" w:rsidP="00374E42">
            <w:pPr>
              <w:pStyle w:val="TableText"/>
            </w:pPr>
            <w:r w:rsidRPr="000B5124">
              <w:t>15</w:t>
            </w:r>
          </w:p>
        </w:tc>
        <w:tc>
          <w:tcPr>
            <w:tcW w:w="1085" w:type="dxa"/>
            <w:tcBorders>
              <w:left w:val="nil"/>
              <w:right w:val="nil"/>
            </w:tcBorders>
          </w:tcPr>
          <w:p w14:paraId="2BCDF2D7" w14:textId="17972586" w:rsidR="00374E42" w:rsidRDefault="00374E42" w:rsidP="00374E42">
            <w:pPr>
              <w:pStyle w:val="TableText"/>
            </w:pPr>
            <w:r w:rsidRPr="000B5124">
              <w:t xml:space="preserve">March 2024 </w:t>
            </w:r>
          </w:p>
        </w:tc>
        <w:tc>
          <w:tcPr>
            <w:tcW w:w="1340" w:type="dxa"/>
            <w:tcBorders>
              <w:left w:val="nil"/>
              <w:right w:val="nil"/>
            </w:tcBorders>
          </w:tcPr>
          <w:p w14:paraId="16E9DFC6" w14:textId="1C87370F" w:rsidR="00374E42" w:rsidRDefault="00374E42" w:rsidP="00374E42">
            <w:pPr>
              <w:pStyle w:val="TableText"/>
            </w:pPr>
            <w:r w:rsidRPr="000B5124">
              <w:t xml:space="preserve">Health practitioner </w:t>
            </w:r>
          </w:p>
        </w:tc>
        <w:tc>
          <w:tcPr>
            <w:tcW w:w="1139" w:type="dxa"/>
            <w:tcBorders>
              <w:left w:val="nil"/>
              <w:right w:val="nil"/>
            </w:tcBorders>
          </w:tcPr>
          <w:p w14:paraId="253A7537" w14:textId="0A5808D4" w:rsidR="00374E42" w:rsidRDefault="00374E42" w:rsidP="00374E42">
            <w:pPr>
              <w:pStyle w:val="TableText"/>
            </w:pPr>
            <w:r w:rsidRPr="000B5124">
              <w:t>Yes - HNZ</w:t>
            </w:r>
          </w:p>
        </w:tc>
        <w:tc>
          <w:tcPr>
            <w:tcW w:w="1838" w:type="dxa"/>
            <w:tcBorders>
              <w:left w:val="nil"/>
              <w:right w:val="nil"/>
            </w:tcBorders>
          </w:tcPr>
          <w:p w14:paraId="4EAF80FE" w14:textId="6E576057" w:rsidR="00374E42" w:rsidRDefault="00374E42" w:rsidP="00374E42">
            <w:pPr>
              <w:pStyle w:val="TableText"/>
            </w:pPr>
            <w:r w:rsidRPr="000B5124">
              <w:t xml:space="preserve">Concerns raised by the AMP about the treatment of an assisted dying patient by other health practitioners. </w:t>
            </w:r>
          </w:p>
        </w:tc>
        <w:tc>
          <w:tcPr>
            <w:tcW w:w="2556" w:type="dxa"/>
            <w:tcBorders>
              <w:left w:val="nil"/>
              <w:right w:val="nil"/>
            </w:tcBorders>
          </w:tcPr>
          <w:p w14:paraId="3DF46B16" w14:textId="2917D3B5" w:rsidR="00374E42" w:rsidRDefault="00374E42" w:rsidP="00374E42">
            <w:pPr>
              <w:pStyle w:val="TableText"/>
            </w:pPr>
            <w:r w:rsidRPr="000B5124">
              <w:t xml:space="preserve">Ongoing at the time of this report.  </w:t>
            </w:r>
          </w:p>
        </w:tc>
      </w:tr>
    </w:tbl>
    <w:p w14:paraId="66AE8AF0" w14:textId="3323AC3B" w:rsidR="00374E42" w:rsidRDefault="00374E42" w:rsidP="00374E42">
      <w:pPr>
        <w:pStyle w:val="Table"/>
      </w:pPr>
      <w:bookmarkStart w:id="59" w:name="_Toc170221001"/>
      <w:r>
        <w:lastRenderedPageBreak/>
        <w:t xml:space="preserve">Table </w:t>
      </w:r>
      <w:fldSimple w:instr=" SEQ Table \* ARABIC ">
        <w:r w:rsidR="00E8724C">
          <w:rPr>
            <w:noProof/>
          </w:rPr>
          <w:t>6</w:t>
        </w:r>
      </w:fldSimple>
      <w:r>
        <w:t xml:space="preserve">: </w:t>
      </w:r>
      <w:r w:rsidRPr="00374E42">
        <w:t xml:space="preserve">Complaints received by the </w:t>
      </w:r>
      <w:proofErr w:type="gramStart"/>
      <w:r w:rsidRPr="00374E42">
        <w:t>HDC</w:t>
      </w:r>
      <w:bookmarkEnd w:id="59"/>
      <w:proofErr w:type="gramEnd"/>
    </w:p>
    <w:tbl>
      <w:tblPr>
        <w:tblStyle w:val="TableGrid"/>
        <w:tblW w:w="85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7"/>
        <w:gridCol w:w="1085"/>
        <w:gridCol w:w="1770"/>
        <w:gridCol w:w="3119"/>
        <w:gridCol w:w="1984"/>
      </w:tblGrid>
      <w:tr w:rsidR="00374E42" w14:paraId="0132CBB6" w14:textId="77777777" w:rsidTr="00374E42">
        <w:trPr>
          <w:tblHeader/>
        </w:trPr>
        <w:tc>
          <w:tcPr>
            <w:tcW w:w="547" w:type="dxa"/>
            <w:tcBorders>
              <w:top w:val="nil"/>
              <w:left w:val="nil"/>
              <w:bottom w:val="nil"/>
              <w:right w:val="nil"/>
            </w:tcBorders>
            <w:shd w:val="clear" w:color="auto" w:fill="D9D9D9" w:themeFill="background1" w:themeFillShade="D9"/>
          </w:tcPr>
          <w:p w14:paraId="11282E3B" w14:textId="77777777" w:rsidR="00374E42" w:rsidRDefault="00374E42" w:rsidP="005F2EF4">
            <w:pPr>
              <w:pStyle w:val="TableText"/>
            </w:pPr>
          </w:p>
        </w:tc>
        <w:tc>
          <w:tcPr>
            <w:tcW w:w="1085" w:type="dxa"/>
            <w:tcBorders>
              <w:top w:val="nil"/>
              <w:left w:val="nil"/>
              <w:bottom w:val="nil"/>
              <w:right w:val="nil"/>
            </w:tcBorders>
            <w:shd w:val="clear" w:color="auto" w:fill="D9D9D9" w:themeFill="background1" w:themeFillShade="D9"/>
          </w:tcPr>
          <w:p w14:paraId="4D823E83" w14:textId="77777777" w:rsidR="00374E42" w:rsidRPr="00374E42" w:rsidRDefault="00374E42" w:rsidP="005F2EF4">
            <w:pPr>
              <w:pStyle w:val="TableText"/>
              <w:rPr>
                <w:b/>
                <w:bCs/>
              </w:rPr>
            </w:pPr>
            <w:r w:rsidRPr="00374E42">
              <w:rPr>
                <w:b/>
                <w:bCs/>
              </w:rPr>
              <w:t>Date received</w:t>
            </w:r>
          </w:p>
        </w:tc>
        <w:tc>
          <w:tcPr>
            <w:tcW w:w="1770" w:type="dxa"/>
            <w:tcBorders>
              <w:top w:val="nil"/>
              <w:left w:val="nil"/>
              <w:bottom w:val="nil"/>
              <w:right w:val="nil"/>
            </w:tcBorders>
            <w:shd w:val="clear" w:color="auto" w:fill="D9D9D9" w:themeFill="background1" w:themeFillShade="D9"/>
          </w:tcPr>
          <w:p w14:paraId="0D0F4C51" w14:textId="77777777" w:rsidR="00374E42" w:rsidRPr="00374E42" w:rsidRDefault="00374E42" w:rsidP="005F2EF4">
            <w:pPr>
              <w:pStyle w:val="TableText"/>
              <w:rPr>
                <w:b/>
                <w:bCs/>
              </w:rPr>
            </w:pPr>
            <w:r w:rsidRPr="00374E42">
              <w:rPr>
                <w:b/>
                <w:bCs/>
              </w:rPr>
              <w:t xml:space="preserve">Referred by another agency? </w:t>
            </w:r>
          </w:p>
        </w:tc>
        <w:tc>
          <w:tcPr>
            <w:tcW w:w="3119" w:type="dxa"/>
            <w:tcBorders>
              <w:top w:val="nil"/>
              <w:left w:val="nil"/>
              <w:bottom w:val="nil"/>
              <w:right w:val="nil"/>
            </w:tcBorders>
            <w:shd w:val="clear" w:color="auto" w:fill="D9D9D9" w:themeFill="background1" w:themeFillShade="D9"/>
          </w:tcPr>
          <w:p w14:paraId="1EEF81AA" w14:textId="77777777" w:rsidR="00374E42" w:rsidRPr="00374E42" w:rsidRDefault="00374E42" w:rsidP="005F2EF4">
            <w:pPr>
              <w:pStyle w:val="TableText"/>
              <w:rPr>
                <w:b/>
                <w:bCs/>
              </w:rPr>
            </w:pPr>
            <w:r w:rsidRPr="00374E42">
              <w:rPr>
                <w:b/>
                <w:bCs/>
              </w:rPr>
              <w:t>Description of complaint</w:t>
            </w:r>
          </w:p>
        </w:tc>
        <w:tc>
          <w:tcPr>
            <w:tcW w:w="1984" w:type="dxa"/>
            <w:tcBorders>
              <w:top w:val="nil"/>
              <w:left w:val="nil"/>
              <w:bottom w:val="nil"/>
              <w:right w:val="nil"/>
            </w:tcBorders>
            <w:shd w:val="clear" w:color="auto" w:fill="D9D9D9" w:themeFill="background1" w:themeFillShade="D9"/>
          </w:tcPr>
          <w:p w14:paraId="654E201C" w14:textId="77777777" w:rsidR="00374E42" w:rsidRPr="00374E42" w:rsidRDefault="00374E42" w:rsidP="005F2EF4">
            <w:pPr>
              <w:pStyle w:val="TableText"/>
              <w:rPr>
                <w:b/>
                <w:bCs/>
              </w:rPr>
            </w:pPr>
            <w:r w:rsidRPr="00374E42">
              <w:rPr>
                <w:b/>
                <w:bCs/>
              </w:rPr>
              <w:t>Action(s) taken</w:t>
            </w:r>
          </w:p>
        </w:tc>
      </w:tr>
      <w:tr w:rsidR="00374E42" w14:paraId="54AB3C5E" w14:textId="77777777" w:rsidTr="00374E42">
        <w:tc>
          <w:tcPr>
            <w:tcW w:w="547" w:type="dxa"/>
            <w:tcBorders>
              <w:top w:val="nil"/>
              <w:left w:val="nil"/>
              <w:right w:val="nil"/>
            </w:tcBorders>
          </w:tcPr>
          <w:p w14:paraId="14BDAA0F" w14:textId="6901F3F2" w:rsidR="00374E42" w:rsidRPr="00374E42" w:rsidRDefault="00374E42" w:rsidP="00374E42">
            <w:pPr>
              <w:pStyle w:val="TableText"/>
            </w:pPr>
            <w:r w:rsidRPr="00374E42">
              <w:t>1</w:t>
            </w:r>
          </w:p>
        </w:tc>
        <w:tc>
          <w:tcPr>
            <w:tcW w:w="1085" w:type="dxa"/>
            <w:tcBorders>
              <w:top w:val="nil"/>
              <w:left w:val="nil"/>
              <w:right w:val="nil"/>
            </w:tcBorders>
          </w:tcPr>
          <w:p w14:paraId="4B31C9FB" w14:textId="79297028" w:rsidR="00374E42" w:rsidRPr="00374E42" w:rsidRDefault="00374E42" w:rsidP="00374E42">
            <w:pPr>
              <w:pStyle w:val="TableText"/>
            </w:pPr>
            <w:r w:rsidRPr="00374E42">
              <w:t xml:space="preserve">April 2023 </w:t>
            </w:r>
          </w:p>
        </w:tc>
        <w:tc>
          <w:tcPr>
            <w:tcW w:w="1770" w:type="dxa"/>
            <w:tcBorders>
              <w:top w:val="nil"/>
              <w:left w:val="nil"/>
              <w:right w:val="nil"/>
            </w:tcBorders>
          </w:tcPr>
          <w:p w14:paraId="3D450B6B" w14:textId="0C52702B" w:rsidR="00374E42" w:rsidRPr="00374E42" w:rsidRDefault="00374E42" w:rsidP="00374E42">
            <w:pPr>
              <w:pStyle w:val="TableText"/>
            </w:pPr>
            <w:r w:rsidRPr="00374E42">
              <w:t>Yes –Nationwide Health and Disability Advocacy Service (Advocacy Service)</w:t>
            </w:r>
          </w:p>
        </w:tc>
        <w:tc>
          <w:tcPr>
            <w:tcW w:w="3119" w:type="dxa"/>
            <w:tcBorders>
              <w:top w:val="nil"/>
              <w:left w:val="nil"/>
              <w:right w:val="nil"/>
            </w:tcBorders>
          </w:tcPr>
          <w:p w14:paraId="1CD3E35C" w14:textId="619F553E" w:rsidR="00374E42" w:rsidRPr="00374E42" w:rsidRDefault="00374E42" w:rsidP="00374E42">
            <w:pPr>
              <w:pStyle w:val="TableText"/>
            </w:pPr>
            <w:r w:rsidRPr="00374E42">
              <w:t>The complainant raised concerns that the consumer was declined access to an assisted death after being found not competent at the third (psychiatrist) opinion.</w:t>
            </w:r>
          </w:p>
        </w:tc>
        <w:tc>
          <w:tcPr>
            <w:tcW w:w="1984" w:type="dxa"/>
            <w:tcBorders>
              <w:top w:val="nil"/>
              <w:left w:val="nil"/>
              <w:right w:val="nil"/>
            </w:tcBorders>
          </w:tcPr>
          <w:p w14:paraId="07C611F3" w14:textId="7374779C" w:rsidR="00374E42" w:rsidRPr="00374E42" w:rsidRDefault="00374E42" w:rsidP="00374E42">
            <w:pPr>
              <w:pStyle w:val="TableText"/>
            </w:pPr>
            <w:r w:rsidRPr="00374E42">
              <w:t>Closed – No further action. Care provided was appropriate.</w:t>
            </w:r>
          </w:p>
        </w:tc>
      </w:tr>
      <w:tr w:rsidR="00374E42" w14:paraId="1413ADE6" w14:textId="77777777" w:rsidTr="00374E42">
        <w:tc>
          <w:tcPr>
            <w:tcW w:w="547" w:type="dxa"/>
            <w:tcBorders>
              <w:left w:val="nil"/>
              <w:right w:val="nil"/>
            </w:tcBorders>
          </w:tcPr>
          <w:p w14:paraId="4837B89E" w14:textId="49958AAD" w:rsidR="00374E42" w:rsidRPr="00374E42" w:rsidRDefault="00374E42" w:rsidP="00374E42">
            <w:pPr>
              <w:pStyle w:val="TableText"/>
            </w:pPr>
            <w:r w:rsidRPr="00374E42">
              <w:t>2</w:t>
            </w:r>
          </w:p>
        </w:tc>
        <w:tc>
          <w:tcPr>
            <w:tcW w:w="1085" w:type="dxa"/>
            <w:tcBorders>
              <w:left w:val="nil"/>
              <w:right w:val="nil"/>
            </w:tcBorders>
          </w:tcPr>
          <w:p w14:paraId="1CB25067" w14:textId="5C262288" w:rsidR="00374E42" w:rsidRPr="00374E42" w:rsidRDefault="00374E42" w:rsidP="00374E42">
            <w:pPr>
              <w:pStyle w:val="TableText"/>
            </w:pPr>
            <w:r w:rsidRPr="00374E42">
              <w:t>May 2023</w:t>
            </w:r>
          </w:p>
        </w:tc>
        <w:tc>
          <w:tcPr>
            <w:tcW w:w="1770" w:type="dxa"/>
            <w:tcBorders>
              <w:left w:val="nil"/>
              <w:right w:val="nil"/>
            </w:tcBorders>
          </w:tcPr>
          <w:p w14:paraId="033E766C" w14:textId="4642A90C" w:rsidR="00374E42" w:rsidRPr="00374E42" w:rsidRDefault="00374E42" w:rsidP="00374E42">
            <w:pPr>
              <w:pStyle w:val="TableText"/>
            </w:pPr>
            <w:r w:rsidRPr="00374E42">
              <w:t xml:space="preserve">Yes – Advocacy Service </w:t>
            </w:r>
          </w:p>
        </w:tc>
        <w:tc>
          <w:tcPr>
            <w:tcW w:w="3119" w:type="dxa"/>
            <w:tcBorders>
              <w:left w:val="nil"/>
              <w:right w:val="nil"/>
            </w:tcBorders>
          </w:tcPr>
          <w:p w14:paraId="0E51B7B9" w14:textId="13F59767" w:rsidR="00374E42" w:rsidRPr="00374E42" w:rsidRDefault="00374E42" w:rsidP="00374E42">
            <w:pPr>
              <w:pStyle w:val="TableText"/>
            </w:pPr>
            <w:r w:rsidRPr="00374E42">
              <w:t>The complainant raised concerns about the adequacy of the consumer’s AMP assessment before the assisted death. Concerns were also raised about possible family coercion.</w:t>
            </w:r>
          </w:p>
        </w:tc>
        <w:tc>
          <w:tcPr>
            <w:tcW w:w="1984" w:type="dxa"/>
            <w:tcBorders>
              <w:left w:val="nil"/>
              <w:right w:val="nil"/>
            </w:tcBorders>
          </w:tcPr>
          <w:p w14:paraId="7001E74F" w14:textId="45B0F826" w:rsidR="00374E42" w:rsidRPr="00374E42" w:rsidRDefault="00374E42" w:rsidP="00374E42">
            <w:pPr>
              <w:pStyle w:val="TableText"/>
            </w:pPr>
            <w:r w:rsidRPr="00374E42">
              <w:t xml:space="preserve">Ongoing at the time of this report.  </w:t>
            </w:r>
          </w:p>
        </w:tc>
      </w:tr>
      <w:tr w:rsidR="00374E42" w14:paraId="418C03E3" w14:textId="77777777" w:rsidTr="00374E42">
        <w:tc>
          <w:tcPr>
            <w:tcW w:w="547" w:type="dxa"/>
            <w:tcBorders>
              <w:left w:val="nil"/>
              <w:right w:val="nil"/>
            </w:tcBorders>
          </w:tcPr>
          <w:p w14:paraId="52030F1E" w14:textId="19AB55D0" w:rsidR="00374E42" w:rsidRPr="00374E42" w:rsidRDefault="00374E42" w:rsidP="00374E42">
            <w:pPr>
              <w:pStyle w:val="TableText"/>
            </w:pPr>
            <w:r w:rsidRPr="00374E42">
              <w:t>3</w:t>
            </w:r>
          </w:p>
        </w:tc>
        <w:tc>
          <w:tcPr>
            <w:tcW w:w="1085" w:type="dxa"/>
            <w:tcBorders>
              <w:left w:val="nil"/>
              <w:right w:val="nil"/>
            </w:tcBorders>
          </w:tcPr>
          <w:p w14:paraId="5A67E570" w14:textId="0F6759E6" w:rsidR="00374E42" w:rsidRPr="00374E42" w:rsidRDefault="00374E42" w:rsidP="00374E42">
            <w:pPr>
              <w:pStyle w:val="TableText"/>
            </w:pPr>
            <w:r w:rsidRPr="00374E42">
              <w:t>June 2023</w:t>
            </w:r>
          </w:p>
        </w:tc>
        <w:tc>
          <w:tcPr>
            <w:tcW w:w="1770" w:type="dxa"/>
            <w:tcBorders>
              <w:left w:val="nil"/>
              <w:right w:val="nil"/>
            </w:tcBorders>
          </w:tcPr>
          <w:p w14:paraId="6618EDC4" w14:textId="4A8E807F" w:rsidR="00374E42" w:rsidRPr="00374E42" w:rsidRDefault="00374E42" w:rsidP="00374E42">
            <w:pPr>
              <w:pStyle w:val="TableText"/>
            </w:pPr>
            <w:r w:rsidRPr="00374E42">
              <w:t xml:space="preserve">Yes – Advocacy Service </w:t>
            </w:r>
          </w:p>
        </w:tc>
        <w:tc>
          <w:tcPr>
            <w:tcW w:w="3119" w:type="dxa"/>
            <w:tcBorders>
              <w:left w:val="nil"/>
              <w:right w:val="nil"/>
            </w:tcBorders>
          </w:tcPr>
          <w:p w14:paraId="656653D7" w14:textId="6FA96453" w:rsidR="00374E42" w:rsidRPr="00374E42" w:rsidRDefault="00374E42" w:rsidP="00374E42">
            <w:pPr>
              <w:pStyle w:val="TableText"/>
            </w:pPr>
            <w:r w:rsidRPr="00374E42">
              <w:t xml:space="preserve">The complainant raised concerns about the requirement under the assisted dying process for ‘Assisted Death’ to be noted on the death certificate. </w:t>
            </w:r>
          </w:p>
        </w:tc>
        <w:tc>
          <w:tcPr>
            <w:tcW w:w="1984" w:type="dxa"/>
            <w:tcBorders>
              <w:left w:val="nil"/>
              <w:right w:val="nil"/>
            </w:tcBorders>
          </w:tcPr>
          <w:p w14:paraId="21AB3E91" w14:textId="10EB4776" w:rsidR="00374E42" w:rsidRPr="00374E42" w:rsidRDefault="00374E42" w:rsidP="00374E42">
            <w:pPr>
              <w:pStyle w:val="TableText"/>
            </w:pPr>
            <w:r w:rsidRPr="00374E42">
              <w:t xml:space="preserve">Closed – no further action. Legislative requirement.  </w:t>
            </w:r>
          </w:p>
        </w:tc>
      </w:tr>
      <w:tr w:rsidR="00374E42" w14:paraId="0E9013E5" w14:textId="77777777" w:rsidTr="00374E42">
        <w:tc>
          <w:tcPr>
            <w:tcW w:w="547" w:type="dxa"/>
            <w:tcBorders>
              <w:left w:val="nil"/>
              <w:right w:val="nil"/>
            </w:tcBorders>
          </w:tcPr>
          <w:p w14:paraId="337DF2AF" w14:textId="6DCF6F63" w:rsidR="00374E42" w:rsidRPr="00374E42" w:rsidRDefault="00374E42" w:rsidP="00374E42">
            <w:pPr>
              <w:pStyle w:val="TableText"/>
            </w:pPr>
            <w:r w:rsidRPr="00374E42">
              <w:t>4</w:t>
            </w:r>
          </w:p>
        </w:tc>
        <w:tc>
          <w:tcPr>
            <w:tcW w:w="1085" w:type="dxa"/>
            <w:tcBorders>
              <w:left w:val="nil"/>
              <w:right w:val="nil"/>
            </w:tcBorders>
          </w:tcPr>
          <w:p w14:paraId="01D3E78A" w14:textId="41B71FF6" w:rsidR="00374E42" w:rsidRPr="00374E42" w:rsidRDefault="00374E42" w:rsidP="00374E42">
            <w:pPr>
              <w:pStyle w:val="TableText"/>
            </w:pPr>
            <w:r w:rsidRPr="00374E42">
              <w:t>July 2023</w:t>
            </w:r>
          </w:p>
        </w:tc>
        <w:tc>
          <w:tcPr>
            <w:tcW w:w="1770" w:type="dxa"/>
            <w:tcBorders>
              <w:left w:val="nil"/>
              <w:right w:val="nil"/>
            </w:tcBorders>
          </w:tcPr>
          <w:p w14:paraId="2322FF08" w14:textId="46F04C55" w:rsidR="00374E42" w:rsidRPr="00374E42" w:rsidRDefault="00374E42" w:rsidP="00374E42">
            <w:pPr>
              <w:pStyle w:val="TableText"/>
            </w:pPr>
            <w:r w:rsidRPr="00374E42">
              <w:t xml:space="preserve">Yes – the Ministry </w:t>
            </w:r>
          </w:p>
        </w:tc>
        <w:tc>
          <w:tcPr>
            <w:tcW w:w="3119" w:type="dxa"/>
            <w:tcBorders>
              <w:left w:val="nil"/>
              <w:right w:val="nil"/>
            </w:tcBorders>
          </w:tcPr>
          <w:p w14:paraId="109E9A78" w14:textId="10FAD1F0" w:rsidR="00374E42" w:rsidRPr="00374E42" w:rsidRDefault="00374E42" w:rsidP="00374E42">
            <w:pPr>
              <w:pStyle w:val="TableText"/>
            </w:pPr>
            <w:r w:rsidRPr="00374E42">
              <w:t>The complainant raised concerns about conscientious objection of aged residential care facilities, which led to a vulnerable consumer not being permitted to receive an assisted death on their premises. Concerns were also raised about attempts to use the consumer’s mental health history to obstruct the process and remove the person from the residence.</w:t>
            </w:r>
          </w:p>
        </w:tc>
        <w:tc>
          <w:tcPr>
            <w:tcW w:w="1984" w:type="dxa"/>
            <w:tcBorders>
              <w:left w:val="nil"/>
              <w:right w:val="nil"/>
            </w:tcBorders>
          </w:tcPr>
          <w:p w14:paraId="2F98A8CA" w14:textId="26B83602" w:rsidR="00374E42" w:rsidRPr="00374E42" w:rsidRDefault="00374E42" w:rsidP="00374E42">
            <w:pPr>
              <w:pStyle w:val="TableText"/>
            </w:pPr>
            <w:r w:rsidRPr="00374E42">
              <w:t xml:space="preserve">Ongoing at the time of this report.  </w:t>
            </w:r>
          </w:p>
        </w:tc>
      </w:tr>
      <w:tr w:rsidR="00374E42" w14:paraId="262A5654" w14:textId="77777777" w:rsidTr="00374E42">
        <w:tc>
          <w:tcPr>
            <w:tcW w:w="547" w:type="dxa"/>
            <w:tcBorders>
              <w:left w:val="nil"/>
              <w:right w:val="nil"/>
            </w:tcBorders>
          </w:tcPr>
          <w:p w14:paraId="4857E8BF" w14:textId="0F4AD72D" w:rsidR="00374E42" w:rsidRPr="00374E42" w:rsidRDefault="00374E42" w:rsidP="00374E42">
            <w:pPr>
              <w:pStyle w:val="TableText"/>
            </w:pPr>
            <w:r w:rsidRPr="00374E42">
              <w:t>5</w:t>
            </w:r>
          </w:p>
        </w:tc>
        <w:tc>
          <w:tcPr>
            <w:tcW w:w="1085" w:type="dxa"/>
            <w:tcBorders>
              <w:left w:val="nil"/>
              <w:right w:val="nil"/>
            </w:tcBorders>
          </w:tcPr>
          <w:p w14:paraId="6F88B5D6" w14:textId="018CE4BA" w:rsidR="00374E42" w:rsidRPr="00374E42" w:rsidRDefault="00374E42" w:rsidP="00374E42">
            <w:pPr>
              <w:pStyle w:val="TableText"/>
            </w:pPr>
            <w:r w:rsidRPr="00374E42">
              <w:t>January 2024</w:t>
            </w:r>
          </w:p>
        </w:tc>
        <w:tc>
          <w:tcPr>
            <w:tcW w:w="1770" w:type="dxa"/>
            <w:tcBorders>
              <w:left w:val="nil"/>
              <w:right w:val="nil"/>
            </w:tcBorders>
          </w:tcPr>
          <w:p w14:paraId="3153362F" w14:textId="55E770A9" w:rsidR="00374E42" w:rsidRPr="00374E42" w:rsidRDefault="00374E42" w:rsidP="00374E42">
            <w:pPr>
              <w:pStyle w:val="TableText"/>
            </w:pPr>
            <w:r w:rsidRPr="00374E42">
              <w:t>No</w:t>
            </w:r>
          </w:p>
        </w:tc>
        <w:tc>
          <w:tcPr>
            <w:tcW w:w="3119" w:type="dxa"/>
            <w:tcBorders>
              <w:left w:val="nil"/>
              <w:right w:val="nil"/>
            </w:tcBorders>
          </w:tcPr>
          <w:p w14:paraId="605272A7" w14:textId="06A25EFC" w:rsidR="00374E42" w:rsidRPr="00374E42" w:rsidRDefault="00374E42" w:rsidP="00374E42">
            <w:pPr>
              <w:pStyle w:val="TableText"/>
            </w:pPr>
            <w:r w:rsidRPr="00374E42">
              <w:t>The complainant raised concerns about difficulty accessing information about the assisted dying process, as well as concerns about the actual assessment as the consumer was initially found ineligible.</w:t>
            </w:r>
          </w:p>
        </w:tc>
        <w:tc>
          <w:tcPr>
            <w:tcW w:w="1984" w:type="dxa"/>
            <w:tcBorders>
              <w:left w:val="nil"/>
              <w:right w:val="nil"/>
            </w:tcBorders>
          </w:tcPr>
          <w:p w14:paraId="560558BE" w14:textId="33A0A1D0" w:rsidR="00374E42" w:rsidRPr="00374E42" w:rsidRDefault="00374E42" w:rsidP="00374E42">
            <w:pPr>
              <w:pStyle w:val="TableText"/>
            </w:pPr>
            <w:r w:rsidRPr="00374E42">
              <w:t xml:space="preserve">Ongoing at the time of this report.  </w:t>
            </w:r>
          </w:p>
        </w:tc>
      </w:tr>
      <w:tr w:rsidR="00374E42" w14:paraId="3860DDC5" w14:textId="77777777" w:rsidTr="00374E42">
        <w:tc>
          <w:tcPr>
            <w:tcW w:w="547" w:type="dxa"/>
            <w:tcBorders>
              <w:left w:val="nil"/>
              <w:right w:val="nil"/>
            </w:tcBorders>
          </w:tcPr>
          <w:p w14:paraId="413E9E2C" w14:textId="43042D62" w:rsidR="00374E42" w:rsidRPr="00374E42" w:rsidRDefault="00374E42" w:rsidP="00374E42">
            <w:pPr>
              <w:pStyle w:val="TableText"/>
            </w:pPr>
            <w:r w:rsidRPr="00374E42">
              <w:t>6</w:t>
            </w:r>
          </w:p>
        </w:tc>
        <w:tc>
          <w:tcPr>
            <w:tcW w:w="1085" w:type="dxa"/>
            <w:tcBorders>
              <w:left w:val="nil"/>
              <w:right w:val="nil"/>
            </w:tcBorders>
          </w:tcPr>
          <w:p w14:paraId="1A46C6AB" w14:textId="4EAA751B" w:rsidR="00374E42" w:rsidRPr="00374E42" w:rsidRDefault="00374E42" w:rsidP="00374E42">
            <w:pPr>
              <w:pStyle w:val="TableText"/>
            </w:pPr>
            <w:r w:rsidRPr="00374E42">
              <w:t>February 2024</w:t>
            </w:r>
          </w:p>
        </w:tc>
        <w:tc>
          <w:tcPr>
            <w:tcW w:w="1770" w:type="dxa"/>
            <w:tcBorders>
              <w:left w:val="nil"/>
              <w:right w:val="nil"/>
            </w:tcBorders>
          </w:tcPr>
          <w:p w14:paraId="453B0F94" w14:textId="58EE0671" w:rsidR="00374E42" w:rsidRPr="00374E42" w:rsidRDefault="00374E42" w:rsidP="00374E42">
            <w:pPr>
              <w:pStyle w:val="TableText"/>
            </w:pPr>
            <w:r w:rsidRPr="00374E42">
              <w:t>No</w:t>
            </w:r>
          </w:p>
        </w:tc>
        <w:tc>
          <w:tcPr>
            <w:tcW w:w="3119" w:type="dxa"/>
            <w:tcBorders>
              <w:left w:val="nil"/>
              <w:right w:val="nil"/>
            </w:tcBorders>
          </w:tcPr>
          <w:p w14:paraId="05D18C4B" w14:textId="6A1242B4" w:rsidR="00374E42" w:rsidRPr="00374E42" w:rsidRDefault="00374E42" w:rsidP="00374E42">
            <w:pPr>
              <w:pStyle w:val="TableText"/>
            </w:pPr>
            <w:r w:rsidRPr="00374E42">
              <w:t xml:space="preserve">The complainant raised concerns about the administrative requirements of the assisted dying process whereby consumers are required to provide evidence of name change when the name on their application differs from their birth name. </w:t>
            </w:r>
          </w:p>
        </w:tc>
        <w:tc>
          <w:tcPr>
            <w:tcW w:w="1984" w:type="dxa"/>
            <w:tcBorders>
              <w:left w:val="nil"/>
              <w:right w:val="nil"/>
            </w:tcBorders>
          </w:tcPr>
          <w:p w14:paraId="52FFBF75" w14:textId="6436D35C" w:rsidR="00374E42" w:rsidRPr="00374E42" w:rsidRDefault="00374E42" w:rsidP="00374E42">
            <w:pPr>
              <w:pStyle w:val="TableText"/>
            </w:pPr>
            <w:r w:rsidRPr="00374E42">
              <w:t xml:space="preserve">Ongoing at the time of this report.  </w:t>
            </w:r>
          </w:p>
        </w:tc>
      </w:tr>
      <w:tr w:rsidR="00374E42" w14:paraId="3AA9E221" w14:textId="77777777" w:rsidTr="00374E42">
        <w:tc>
          <w:tcPr>
            <w:tcW w:w="547" w:type="dxa"/>
            <w:tcBorders>
              <w:left w:val="nil"/>
              <w:right w:val="nil"/>
            </w:tcBorders>
          </w:tcPr>
          <w:p w14:paraId="7728A87A" w14:textId="020D0CDF" w:rsidR="00374E42" w:rsidRPr="00374E42" w:rsidRDefault="00374E42" w:rsidP="00374E42">
            <w:pPr>
              <w:pStyle w:val="TableText"/>
            </w:pPr>
            <w:r w:rsidRPr="00374E42">
              <w:t>7</w:t>
            </w:r>
          </w:p>
        </w:tc>
        <w:tc>
          <w:tcPr>
            <w:tcW w:w="1085" w:type="dxa"/>
            <w:tcBorders>
              <w:left w:val="nil"/>
              <w:right w:val="nil"/>
            </w:tcBorders>
          </w:tcPr>
          <w:p w14:paraId="6DD44F52" w14:textId="066613F7" w:rsidR="00374E42" w:rsidRPr="00374E42" w:rsidRDefault="00374E42" w:rsidP="00374E42">
            <w:pPr>
              <w:pStyle w:val="TableText"/>
            </w:pPr>
            <w:r w:rsidRPr="00374E42">
              <w:t>March 2024</w:t>
            </w:r>
          </w:p>
        </w:tc>
        <w:tc>
          <w:tcPr>
            <w:tcW w:w="1770" w:type="dxa"/>
            <w:tcBorders>
              <w:left w:val="nil"/>
              <w:right w:val="nil"/>
            </w:tcBorders>
          </w:tcPr>
          <w:p w14:paraId="1E90F5C8" w14:textId="6E7CB1C6" w:rsidR="00374E42" w:rsidRPr="00374E42" w:rsidRDefault="00374E42" w:rsidP="00374E42">
            <w:pPr>
              <w:pStyle w:val="TableText"/>
            </w:pPr>
            <w:r w:rsidRPr="00374E42">
              <w:t>Yes – the Ministry</w:t>
            </w:r>
          </w:p>
        </w:tc>
        <w:tc>
          <w:tcPr>
            <w:tcW w:w="3119" w:type="dxa"/>
            <w:tcBorders>
              <w:left w:val="nil"/>
              <w:right w:val="nil"/>
            </w:tcBorders>
          </w:tcPr>
          <w:p w14:paraId="3A31C4BC" w14:textId="2B4CCEEF" w:rsidR="00374E42" w:rsidRPr="00374E42" w:rsidRDefault="00374E42" w:rsidP="00374E42">
            <w:pPr>
              <w:pStyle w:val="TableText"/>
            </w:pPr>
            <w:r w:rsidRPr="00374E42">
              <w:t xml:space="preserve">The complainant raised concerns about assisted dying medication being administered to a consumer without formal approval. </w:t>
            </w:r>
          </w:p>
        </w:tc>
        <w:tc>
          <w:tcPr>
            <w:tcW w:w="1984" w:type="dxa"/>
            <w:tcBorders>
              <w:left w:val="nil"/>
              <w:right w:val="nil"/>
            </w:tcBorders>
          </w:tcPr>
          <w:p w14:paraId="22553A4A" w14:textId="15DC2054" w:rsidR="00374E42" w:rsidRPr="00374E42" w:rsidRDefault="00374E42" w:rsidP="00374E42">
            <w:pPr>
              <w:pStyle w:val="TableText"/>
            </w:pPr>
            <w:r w:rsidRPr="00374E42">
              <w:t xml:space="preserve">Ongoing at the time of this report.  </w:t>
            </w:r>
          </w:p>
        </w:tc>
      </w:tr>
    </w:tbl>
    <w:p w14:paraId="3C4D0720" w14:textId="77777777" w:rsidR="00374E42" w:rsidRDefault="00374E42" w:rsidP="00374E42">
      <w:pPr>
        <w:pStyle w:val="Heading2"/>
      </w:pPr>
      <w:bookmarkStart w:id="60" w:name="_Toc170220995"/>
      <w:r w:rsidRPr="008E543D">
        <w:lastRenderedPageBreak/>
        <w:t>Queries</w:t>
      </w:r>
      <w:bookmarkEnd w:id="60"/>
      <w:r w:rsidRPr="008E543D">
        <w:t xml:space="preserve"> </w:t>
      </w:r>
    </w:p>
    <w:p w14:paraId="721720A7" w14:textId="38301713" w:rsidR="00374E42" w:rsidRDefault="00374E42" w:rsidP="00374E42">
      <w:r w:rsidRPr="4690022B">
        <w:t xml:space="preserve">The Ministry notes there is public interest in assisted dying </w:t>
      </w:r>
      <w:r>
        <w:t>beyond</w:t>
      </w:r>
      <w:r w:rsidRPr="4690022B">
        <w:t xml:space="preserve"> people who are accessing or providing the service. This is reflected in the queries and </w:t>
      </w:r>
      <w:r>
        <w:t xml:space="preserve">Official Information Act 1982 (OIA) </w:t>
      </w:r>
      <w:r w:rsidRPr="4690022B">
        <w:t>requests from individuals, interest groups and the media since the service became available on 7</w:t>
      </w:r>
      <w:r>
        <w:t> </w:t>
      </w:r>
      <w:r w:rsidRPr="4690022B">
        <w:t>November</w:t>
      </w:r>
      <w:r>
        <w:t> </w:t>
      </w:r>
      <w:r w:rsidRPr="4690022B">
        <w:t xml:space="preserve">2021. </w:t>
      </w:r>
    </w:p>
    <w:p w14:paraId="27F21517" w14:textId="77777777" w:rsidR="00374E42" w:rsidRPr="008E543D" w:rsidRDefault="00374E42" w:rsidP="00374E42"/>
    <w:p w14:paraId="7C4C9230" w14:textId="0D1FCE07" w:rsidR="00374E42" w:rsidRDefault="00374E42" w:rsidP="00374E42">
      <w:r>
        <w:t xml:space="preserve">Queries and OIA requests received in the last financial year have again generally been related to the various roles of people involved in the service or service usage/activity.  </w:t>
      </w:r>
    </w:p>
    <w:p w14:paraId="182F9EA3" w14:textId="77777777" w:rsidR="00374E42" w:rsidRDefault="00374E42" w:rsidP="00374E42"/>
    <w:p w14:paraId="20912E74" w14:textId="220F1FBA" w:rsidR="00374E42" w:rsidRDefault="00374E42" w:rsidP="00374E42">
      <w:r>
        <w:rPr>
          <w:szCs w:val="21"/>
        </w:rPr>
        <w:fldChar w:fldCharType="begin"/>
      </w:r>
      <w:r>
        <w:rPr>
          <w:szCs w:val="21"/>
        </w:rPr>
        <w:instrText xml:space="preserve"> REF _Ref170138214 \h </w:instrText>
      </w:r>
      <w:r>
        <w:rPr>
          <w:szCs w:val="21"/>
        </w:rPr>
      </w:r>
      <w:r>
        <w:rPr>
          <w:szCs w:val="21"/>
        </w:rPr>
        <w:fldChar w:fldCharType="separate"/>
      </w:r>
      <w:r w:rsidR="00E8724C" w:rsidRPr="00374E42">
        <w:t xml:space="preserve">Table </w:t>
      </w:r>
      <w:r w:rsidR="00E8724C">
        <w:rPr>
          <w:noProof/>
        </w:rPr>
        <w:t>7</w:t>
      </w:r>
      <w:r>
        <w:rPr>
          <w:szCs w:val="21"/>
        </w:rPr>
        <w:fldChar w:fldCharType="end"/>
      </w:r>
      <w:r w:rsidRPr="0DA24BD3">
        <w:t xml:space="preserve"> </w:t>
      </w:r>
      <w:r>
        <w:t>lists</w:t>
      </w:r>
      <w:r w:rsidRPr="0DA24BD3">
        <w:t xml:space="preserve"> the </w:t>
      </w:r>
      <w:r>
        <w:t xml:space="preserve">number of </w:t>
      </w:r>
      <w:r w:rsidRPr="0DA24BD3">
        <w:t xml:space="preserve">queries and requests responded to during each reporting year since the service began. Please note, queries relating to operational aspects are the responsibility of Health </w:t>
      </w:r>
      <w:r>
        <w:t>New Zealand</w:t>
      </w:r>
      <w:r w:rsidRPr="0DA24BD3">
        <w:t xml:space="preserve"> and are not reflected in these figures. </w:t>
      </w:r>
    </w:p>
    <w:p w14:paraId="054F993B" w14:textId="77777777" w:rsidR="00374E42" w:rsidRDefault="00374E42" w:rsidP="00374E42"/>
    <w:p w14:paraId="7CAFEB15" w14:textId="4C8BDF90" w:rsidR="00374E42" w:rsidRPr="00374E42" w:rsidRDefault="00374E42" w:rsidP="00374E42">
      <w:pPr>
        <w:pStyle w:val="Table"/>
      </w:pPr>
      <w:bookmarkStart w:id="61" w:name="_Ref170138214"/>
      <w:bookmarkStart w:id="62" w:name="_Toc170221002"/>
      <w:r w:rsidRPr="00374E42">
        <w:t xml:space="preserve">Table </w:t>
      </w:r>
      <w:fldSimple w:instr=" SEQ Table \* ARABIC ">
        <w:r w:rsidR="00E8724C">
          <w:rPr>
            <w:noProof/>
          </w:rPr>
          <w:t>7</w:t>
        </w:r>
      </w:fldSimple>
      <w:bookmarkEnd w:id="61"/>
      <w:r w:rsidRPr="00374E42">
        <w:t>: Number and type of queries by reporting year, 2021/22, 2022/23, 2023/24</w:t>
      </w:r>
      <w:bookmarkEnd w:id="62"/>
    </w:p>
    <w:tbl>
      <w:tblPr>
        <w:tblStyle w:val="TableGrid"/>
        <w:tblW w:w="8222" w:type="dxa"/>
        <w:tblBorders>
          <w:top w:val="none" w:sz="0" w:space="0" w:color="auto"/>
          <w:left w:val="none" w:sz="0" w:space="0" w:color="auto"/>
          <w:right w:val="none" w:sz="0" w:space="0" w:color="auto"/>
          <w:insideV w:val="none" w:sz="0" w:space="0" w:color="auto"/>
        </w:tblBorders>
        <w:tblLayout w:type="fixed"/>
        <w:tblLook w:val="06A0" w:firstRow="1" w:lastRow="0" w:firstColumn="1" w:lastColumn="0" w:noHBand="1" w:noVBand="1"/>
      </w:tblPr>
      <w:tblGrid>
        <w:gridCol w:w="2694"/>
        <w:gridCol w:w="421"/>
        <w:gridCol w:w="1587"/>
        <w:gridCol w:w="1587"/>
        <w:gridCol w:w="1933"/>
      </w:tblGrid>
      <w:tr w:rsidR="00374E42" w:rsidRPr="00374E42" w14:paraId="376BA322" w14:textId="77777777" w:rsidTr="00374E42">
        <w:trPr>
          <w:trHeight w:val="335"/>
        </w:trPr>
        <w:tc>
          <w:tcPr>
            <w:tcW w:w="2694" w:type="dxa"/>
            <w:tcBorders>
              <w:top w:val="nil"/>
              <w:bottom w:val="nil"/>
            </w:tcBorders>
            <w:shd w:val="clear" w:color="auto" w:fill="D9D9D9" w:themeFill="background1" w:themeFillShade="D9"/>
          </w:tcPr>
          <w:p w14:paraId="03DA87C2" w14:textId="77777777" w:rsidR="00374E42" w:rsidRPr="00374E42" w:rsidRDefault="00374E42" w:rsidP="00374E42">
            <w:pPr>
              <w:pStyle w:val="TableText"/>
              <w:rPr>
                <w:b/>
                <w:bCs/>
              </w:rPr>
            </w:pPr>
            <w:r w:rsidRPr="00374E42">
              <w:rPr>
                <w:b/>
                <w:bCs/>
              </w:rPr>
              <w:t>Query type</w:t>
            </w:r>
          </w:p>
        </w:tc>
        <w:tc>
          <w:tcPr>
            <w:tcW w:w="2008" w:type="dxa"/>
            <w:gridSpan w:val="2"/>
            <w:tcBorders>
              <w:top w:val="nil"/>
              <w:bottom w:val="nil"/>
            </w:tcBorders>
            <w:shd w:val="clear" w:color="auto" w:fill="D9D9D9" w:themeFill="background1" w:themeFillShade="D9"/>
          </w:tcPr>
          <w:p w14:paraId="7196CC27" w14:textId="77777777" w:rsidR="00374E42" w:rsidRPr="00374E42" w:rsidRDefault="00374E42" w:rsidP="00374E42">
            <w:pPr>
              <w:pStyle w:val="TableText"/>
              <w:jc w:val="right"/>
              <w:rPr>
                <w:b/>
                <w:bCs/>
              </w:rPr>
            </w:pPr>
            <w:r w:rsidRPr="00374E42">
              <w:rPr>
                <w:b/>
                <w:bCs/>
              </w:rPr>
              <w:t xml:space="preserve">7 November 2021–31 March 2022 </w:t>
            </w:r>
          </w:p>
        </w:tc>
        <w:tc>
          <w:tcPr>
            <w:tcW w:w="1587" w:type="dxa"/>
            <w:tcBorders>
              <w:top w:val="nil"/>
              <w:bottom w:val="nil"/>
            </w:tcBorders>
            <w:shd w:val="clear" w:color="auto" w:fill="D9D9D9" w:themeFill="background1" w:themeFillShade="D9"/>
          </w:tcPr>
          <w:p w14:paraId="4122FA97" w14:textId="77777777" w:rsidR="00374E42" w:rsidRPr="00374E42" w:rsidRDefault="00374E42" w:rsidP="00374E42">
            <w:pPr>
              <w:pStyle w:val="TableText"/>
              <w:jc w:val="right"/>
              <w:rPr>
                <w:b/>
                <w:bCs/>
              </w:rPr>
            </w:pPr>
            <w:r w:rsidRPr="00374E42">
              <w:rPr>
                <w:b/>
                <w:bCs/>
              </w:rPr>
              <w:t xml:space="preserve">1 April 2022–31 March 2023 </w:t>
            </w:r>
          </w:p>
        </w:tc>
        <w:tc>
          <w:tcPr>
            <w:tcW w:w="1933" w:type="dxa"/>
            <w:tcBorders>
              <w:top w:val="nil"/>
              <w:bottom w:val="nil"/>
            </w:tcBorders>
            <w:shd w:val="clear" w:color="auto" w:fill="D9D9D9" w:themeFill="background1" w:themeFillShade="D9"/>
          </w:tcPr>
          <w:p w14:paraId="75F44799" w14:textId="77777777" w:rsidR="00374E42" w:rsidRPr="00374E42" w:rsidRDefault="00374E42" w:rsidP="00374E42">
            <w:pPr>
              <w:pStyle w:val="TableText"/>
              <w:jc w:val="right"/>
              <w:rPr>
                <w:b/>
                <w:bCs/>
              </w:rPr>
            </w:pPr>
            <w:r w:rsidRPr="00374E42">
              <w:rPr>
                <w:b/>
                <w:bCs/>
              </w:rPr>
              <w:t>1 April 2023–31 March 2024</w:t>
            </w:r>
          </w:p>
        </w:tc>
      </w:tr>
      <w:tr w:rsidR="00374E42" w14:paraId="3B37C9DD" w14:textId="77777777" w:rsidTr="00374E42">
        <w:trPr>
          <w:trHeight w:val="321"/>
        </w:trPr>
        <w:tc>
          <w:tcPr>
            <w:tcW w:w="3115" w:type="dxa"/>
            <w:gridSpan w:val="2"/>
            <w:tcBorders>
              <w:top w:val="nil"/>
              <w:bottom w:val="single" w:sz="4" w:space="0" w:color="A6A6A6" w:themeColor="background1" w:themeShade="A6"/>
            </w:tcBorders>
          </w:tcPr>
          <w:p w14:paraId="375E0E38" w14:textId="77777777" w:rsidR="00374E42" w:rsidRPr="00374E42" w:rsidRDefault="00374E42" w:rsidP="00374E42">
            <w:pPr>
              <w:pStyle w:val="TableText"/>
            </w:pPr>
            <w:r w:rsidRPr="00374E42">
              <w:t>OIA requests</w:t>
            </w:r>
          </w:p>
        </w:tc>
        <w:tc>
          <w:tcPr>
            <w:tcW w:w="1587" w:type="dxa"/>
            <w:tcBorders>
              <w:top w:val="nil"/>
              <w:bottom w:val="single" w:sz="4" w:space="0" w:color="A6A6A6" w:themeColor="background1" w:themeShade="A6"/>
            </w:tcBorders>
          </w:tcPr>
          <w:p w14:paraId="2E543D08" w14:textId="77777777" w:rsidR="00374E42" w:rsidRPr="00374E42" w:rsidRDefault="00374E42" w:rsidP="00374E42">
            <w:pPr>
              <w:pStyle w:val="TableText"/>
              <w:jc w:val="right"/>
            </w:pPr>
            <w:r w:rsidRPr="00374E42">
              <w:t>10</w:t>
            </w:r>
          </w:p>
        </w:tc>
        <w:tc>
          <w:tcPr>
            <w:tcW w:w="1587" w:type="dxa"/>
            <w:tcBorders>
              <w:top w:val="nil"/>
              <w:bottom w:val="single" w:sz="4" w:space="0" w:color="A6A6A6" w:themeColor="background1" w:themeShade="A6"/>
            </w:tcBorders>
          </w:tcPr>
          <w:p w14:paraId="70B628B5" w14:textId="77777777" w:rsidR="00374E42" w:rsidRPr="00374E42" w:rsidRDefault="00374E42" w:rsidP="00374E42">
            <w:pPr>
              <w:pStyle w:val="TableText"/>
              <w:jc w:val="right"/>
            </w:pPr>
            <w:r w:rsidRPr="00374E42">
              <w:t>14</w:t>
            </w:r>
          </w:p>
        </w:tc>
        <w:tc>
          <w:tcPr>
            <w:tcW w:w="1933" w:type="dxa"/>
            <w:tcBorders>
              <w:top w:val="nil"/>
              <w:bottom w:val="single" w:sz="4" w:space="0" w:color="A6A6A6" w:themeColor="background1" w:themeShade="A6"/>
            </w:tcBorders>
          </w:tcPr>
          <w:p w14:paraId="17448890" w14:textId="77777777" w:rsidR="00374E42" w:rsidRPr="00374E42" w:rsidRDefault="00374E42" w:rsidP="00374E42">
            <w:pPr>
              <w:pStyle w:val="TableText"/>
              <w:jc w:val="right"/>
            </w:pPr>
            <w:r w:rsidRPr="00374E42">
              <w:t>7</w:t>
            </w:r>
          </w:p>
        </w:tc>
      </w:tr>
      <w:tr w:rsidR="00374E42" w14:paraId="4550FE74" w14:textId="77777777" w:rsidTr="00374E42">
        <w:trPr>
          <w:trHeight w:val="335"/>
        </w:trPr>
        <w:tc>
          <w:tcPr>
            <w:tcW w:w="2694" w:type="dxa"/>
            <w:tcBorders>
              <w:top w:val="single" w:sz="4" w:space="0" w:color="A6A6A6" w:themeColor="background1" w:themeShade="A6"/>
              <w:bottom w:val="single" w:sz="4" w:space="0" w:color="A6A6A6" w:themeColor="background1" w:themeShade="A6"/>
            </w:tcBorders>
          </w:tcPr>
          <w:p w14:paraId="6647FD0C" w14:textId="77777777" w:rsidR="00374E42" w:rsidRPr="00374E42" w:rsidRDefault="00374E42" w:rsidP="00374E42">
            <w:pPr>
              <w:pStyle w:val="TableText"/>
            </w:pPr>
            <w:r w:rsidRPr="00374E42">
              <w:t xml:space="preserve">Media queries </w:t>
            </w:r>
          </w:p>
        </w:tc>
        <w:tc>
          <w:tcPr>
            <w:tcW w:w="2008" w:type="dxa"/>
            <w:gridSpan w:val="2"/>
            <w:tcBorders>
              <w:top w:val="single" w:sz="4" w:space="0" w:color="A6A6A6" w:themeColor="background1" w:themeShade="A6"/>
              <w:bottom w:val="single" w:sz="4" w:space="0" w:color="A6A6A6" w:themeColor="background1" w:themeShade="A6"/>
            </w:tcBorders>
          </w:tcPr>
          <w:p w14:paraId="72C3A66C" w14:textId="77777777" w:rsidR="00374E42" w:rsidRPr="00374E42" w:rsidRDefault="00374E42" w:rsidP="00374E42">
            <w:pPr>
              <w:pStyle w:val="TableText"/>
              <w:jc w:val="right"/>
            </w:pPr>
            <w:r w:rsidRPr="00374E42">
              <w:t>25</w:t>
            </w:r>
          </w:p>
        </w:tc>
        <w:tc>
          <w:tcPr>
            <w:tcW w:w="1587" w:type="dxa"/>
            <w:tcBorders>
              <w:top w:val="single" w:sz="4" w:space="0" w:color="A6A6A6" w:themeColor="background1" w:themeShade="A6"/>
              <w:bottom w:val="single" w:sz="4" w:space="0" w:color="A6A6A6" w:themeColor="background1" w:themeShade="A6"/>
            </w:tcBorders>
          </w:tcPr>
          <w:p w14:paraId="56D4811B" w14:textId="77777777" w:rsidR="00374E42" w:rsidRPr="00374E42" w:rsidRDefault="00374E42" w:rsidP="00374E42">
            <w:pPr>
              <w:pStyle w:val="TableText"/>
              <w:jc w:val="right"/>
            </w:pPr>
            <w:r w:rsidRPr="00374E42">
              <w:t>30</w:t>
            </w:r>
          </w:p>
        </w:tc>
        <w:tc>
          <w:tcPr>
            <w:tcW w:w="1933" w:type="dxa"/>
            <w:tcBorders>
              <w:top w:val="single" w:sz="4" w:space="0" w:color="A6A6A6" w:themeColor="background1" w:themeShade="A6"/>
              <w:bottom w:val="single" w:sz="4" w:space="0" w:color="A6A6A6" w:themeColor="background1" w:themeShade="A6"/>
            </w:tcBorders>
          </w:tcPr>
          <w:p w14:paraId="3169DD06" w14:textId="77777777" w:rsidR="00374E42" w:rsidRPr="00374E42" w:rsidRDefault="00374E42" w:rsidP="00374E42">
            <w:pPr>
              <w:pStyle w:val="TableText"/>
              <w:jc w:val="right"/>
            </w:pPr>
            <w:r w:rsidRPr="00374E42">
              <w:t>23</w:t>
            </w:r>
          </w:p>
        </w:tc>
      </w:tr>
      <w:tr w:rsidR="00374E42" w14:paraId="121420D4" w14:textId="77777777" w:rsidTr="00374E42">
        <w:trPr>
          <w:trHeight w:val="400"/>
        </w:trPr>
        <w:tc>
          <w:tcPr>
            <w:tcW w:w="2694" w:type="dxa"/>
            <w:tcBorders>
              <w:top w:val="single" w:sz="4" w:space="0" w:color="A6A6A6" w:themeColor="background1" w:themeShade="A6"/>
              <w:bottom w:val="single" w:sz="4" w:space="0" w:color="A6A6A6" w:themeColor="background1" w:themeShade="A6"/>
            </w:tcBorders>
          </w:tcPr>
          <w:p w14:paraId="4F3E88B9" w14:textId="77777777" w:rsidR="00374E42" w:rsidRPr="00374E42" w:rsidRDefault="00374E42" w:rsidP="00374E42">
            <w:pPr>
              <w:pStyle w:val="TableText"/>
            </w:pPr>
            <w:r w:rsidRPr="00374E42">
              <w:t>Written parliamentary questions</w:t>
            </w:r>
          </w:p>
        </w:tc>
        <w:tc>
          <w:tcPr>
            <w:tcW w:w="2008" w:type="dxa"/>
            <w:gridSpan w:val="2"/>
            <w:tcBorders>
              <w:top w:val="single" w:sz="4" w:space="0" w:color="A6A6A6" w:themeColor="background1" w:themeShade="A6"/>
              <w:bottom w:val="single" w:sz="4" w:space="0" w:color="A6A6A6" w:themeColor="background1" w:themeShade="A6"/>
            </w:tcBorders>
          </w:tcPr>
          <w:p w14:paraId="2D100038" w14:textId="77777777" w:rsidR="00374E42" w:rsidRPr="00374E42" w:rsidRDefault="00374E42" w:rsidP="00374E42">
            <w:pPr>
              <w:pStyle w:val="TableText"/>
              <w:jc w:val="right"/>
            </w:pPr>
            <w:r w:rsidRPr="00374E42">
              <w:t>12</w:t>
            </w:r>
          </w:p>
        </w:tc>
        <w:tc>
          <w:tcPr>
            <w:tcW w:w="1587" w:type="dxa"/>
            <w:tcBorders>
              <w:top w:val="single" w:sz="4" w:space="0" w:color="A6A6A6" w:themeColor="background1" w:themeShade="A6"/>
              <w:bottom w:val="single" w:sz="4" w:space="0" w:color="A6A6A6" w:themeColor="background1" w:themeShade="A6"/>
            </w:tcBorders>
          </w:tcPr>
          <w:p w14:paraId="59E5241B" w14:textId="77777777" w:rsidR="00374E42" w:rsidRPr="00374E42" w:rsidRDefault="00374E42" w:rsidP="00374E42">
            <w:pPr>
              <w:pStyle w:val="TableText"/>
              <w:jc w:val="right"/>
            </w:pPr>
            <w:r w:rsidRPr="00374E42">
              <w:t>0</w:t>
            </w:r>
          </w:p>
        </w:tc>
        <w:tc>
          <w:tcPr>
            <w:tcW w:w="1933" w:type="dxa"/>
            <w:tcBorders>
              <w:top w:val="single" w:sz="4" w:space="0" w:color="A6A6A6" w:themeColor="background1" w:themeShade="A6"/>
              <w:bottom w:val="single" w:sz="4" w:space="0" w:color="A6A6A6" w:themeColor="background1" w:themeShade="A6"/>
            </w:tcBorders>
          </w:tcPr>
          <w:p w14:paraId="46A70FC0" w14:textId="77777777" w:rsidR="00374E42" w:rsidRPr="00374E42" w:rsidRDefault="00374E42" w:rsidP="00374E42">
            <w:pPr>
              <w:pStyle w:val="TableText"/>
              <w:jc w:val="right"/>
            </w:pPr>
            <w:r w:rsidRPr="00374E42">
              <w:t>1</w:t>
            </w:r>
          </w:p>
        </w:tc>
      </w:tr>
    </w:tbl>
    <w:p w14:paraId="0DE53BFC" w14:textId="77777777" w:rsidR="00056744" w:rsidRDefault="00056744" w:rsidP="00374E42">
      <w:pPr>
        <w:sectPr w:rsidR="00056744" w:rsidSect="00374E42">
          <w:pgSz w:w="11907" w:h="16834" w:code="9"/>
          <w:pgMar w:top="1418" w:right="1701" w:bottom="1134" w:left="1843" w:header="284" w:footer="425" w:gutter="284"/>
          <w:cols w:space="720"/>
        </w:sectPr>
      </w:pPr>
    </w:p>
    <w:p w14:paraId="28235804" w14:textId="16B3E1AC" w:rsidR="009A42D5" w:rsidRDefault="009A42D5" w:rsidP="00374E42"/>
    <w:sectPr w:rsidR="009A42D5" w:rsidSect="00374E42">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683E" w14:textId="77777777" w:rsidR="003A69C5" w:rsidRDefault="003A69C5">
      <w:r>
        <w:separator/>
      </w:r>
    </w:p>
    <w:p w14:paraId="58560011" w14:textId="77777777" w:rsidR="003A69C5" w:rsidRDefault="003A69C5"/>
  </w:endnote>
  <w:endnote w:type="continuationSeparator" w:id="0">
    <w:p w14:paraId="158B53E2" w14:textId="77777777" w:rsidR="003A69C5" w:rsidRDefault="003A69C5">
      <w:r>
        <w:continuationSeparator/>
      </w:r>
    </w:p>
    <w:p w14:paraId="1D1DBAAE" w14:textId="77777777" w:rsidR="003A69C5" w:rsidRDefault="003A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015FF19C" w:rsidR="007B4CC0" w:rsidRPr="00581136" w:rsidRDefault="007B4CC0"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7B4CC0" w:rsidRPr="005A79E5" w:rsidRDefault="007B4CC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7B4CC0" w:rsidRDefault="007B4CC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7B4CC0" w:rsidRDefault="007B4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7B4CC0" w14:paraId="1660B341" w14:textId="77777777" w:rsidTr="007B4CC0">
      <w:trPr>
        <w:cantSplit/>
      </w:trPr>
      <w:tc>
        <w:tcPr>
          <w:tcW w:w="675" w:type="dxa"/>
          <w:vAlign w:val="center"/>
        </w:tcPr>
        <w:p w14:paraId="16A6409F" w14:textId="77777777" w:rsidR="007B4CC0" w:rsidRPr="00931466" w:rsidRDefault="007B4CC0" w:rsidP="00702DB4">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37F5CB05" w14:textId="77777777" w:rsidR="003E3F73" w:rsidRDefault="003E3F73" w:rsidP="003E3F73">
          <w:pPr>
            <w:pStyle w:val="RectoFooter"/>
            <w:jc w:val="left"/>
          </w:pPr>
          <w:r>
            <w:t>NGĀ RATONGA MATE WHAKAAHURU - ASSISTED DYING SERVICE</w:t>
          </w:r>
        </w:p>
        <w:p w14:paraId="2C355DEA" w14:textId="6B7A4B17" w:rsidR="007B4CC0" w:rsidRDefault="003E3F73" w:rsidP="003E3F73">
          <w:pPr>
            <w:pStyle w:val="RectoFooter"/>
            <w:jc w:val="left"/>
          </w:pPr>
          <w:r>
            <w:t>Registrar (assisted dying) Annual Report to the Minister of Health – June 2024</w:t>
          </w:r>
        </w:p>
      </w:tc>
    </w:tr>
  </w:tbl>
  <w:p w14:paraId="172F2DDB" w14:textId="77777777" w:rsidR="007B4CC0" w:rsidRPr="00571223" w:rsidRDefault="007B4CC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B4CC0" w14:paraId="71F3685B" w14:textId="77777777" w:rsidTr="00D662F8">
      <w:trPr>
        <w:cantSplit/>
      </w:trPr>
      <w:tc>
        <w:tcPr>
          <w:tcW w:w="8080" w:type="dxa"/>
          <w:vAlign w:val="center"/>
        </w:tcPr>
        <w:p w14:paraId="2A0393FD" w14:textId="77777777" w:rsidR="003E3F73" w:rsidRDefault="003E3F73" w:rsidP="003E3F73">
          <w:pPr>
            <w:pStyle w:val="RectoFooter"/>
          </w:pPr>
          <w:r>
            <w:t>NGĀ RATONGA MATE WHAKAAHURU - ASSISTED DYING SERVICE</w:t>
          </w:r>
        </w:p>
        <w:p w14:paraId="5784B1D8" w14:textId="66511338" w:rsidR="007B4CC0" w:rsidRDefault="003E3F73" w:rsidP="003E3F73">
          <w:pPr>
            <w:pStyle w:val="RectoFooter"/>
          </w:pPr>
          <w:r>
            <w:t>Registrar (assisted dying) Annual Report to the Minister of Health – June 2024</w:t>
          </w:r>
        </w:p>
      </w:tc>
      <w:tc>
        <w:tcPr>
          <w:tcW w:w="709" w:type="dxa"/>
          <w:vAlign w:val="center"/>
        </w:tcPr>
        <w:p w14:paraId="18A7A1B5" w14:textId="77777777" w:rsidR="007B4CC0" w:rsidRPr="00931466" w:rsidRDefault="007B4CC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7B4CC0" w:rsidRPr="00581EB8" w:rsidRDefault="007B4CC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7B4CC0" w14:paraId="4C3A3BF7" w14:textId="77777777" w:rsidTr="00D662F8">
      <w:trPr>
        <w:cantSplit/>
      </w:trPr>
      <w:tc>
        <w:tcPr>
          <w:tcW w:w="709" w:type="dxa"/>
          <w:vAlign w:val="center"/>
        </w:tcPr>
        <w:p w14:paraId="28F87ED7" w14:textId="77777777" w:rsidR="007B4CC0" w:rsidRPr="00931466" w:rsidRDefault="007B4CC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5DCD76CF" w14:textId="77777777" w:rsidR="003E3F73" w:rsidRDefault="003E3F73" w:rsidP="003E3F73">
          <w:pPr>
            <w:pStyle w:val="RectoFooter"/>
            <w:jc w:val="left"/>
          </w:pPr>
          <w:r>
            <w:t>NGĀ RATONGA MATE WHAKAAHURU - ASSISTED DYING SERVICE</w:t>
          </w:r>
        </w:p>
        <w:p w14:paraId="6026D159" w14:textId="2E53BA58" w:rsidR="007B4CC0" w:rsidRDefault="003E3F73" w:rsidP="003E3F73">
          <w:pPr>
            <w:pStyle w:val="RectoFooter"/>
            <w:jc w:val="left"/>
          </w:pPr>
          <w:r>
            <w:t>Registrar (assisted dying) Annual Report to the Minister of Health – June 2024</w:t>
          </w:r>
        </w:p>
      </w:tc>
    </w:tr>
  </w:tbl>
  <w:p w14:paraId="711B5D80" w14:textId="77777777" w:rsidR="007B4CC0" w:rsidRPr="00571223" w:rsidRDefault="007B4CC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7B4CC0" w14:paraId="7E34FA6B" w14:textId="77777777" w:rsidTr="00D662F8">
      <w:trPr>
        <w:cantSplit/>
      </w:trPr>
      <w:tc>
        <w:tcPr>
          <w:tcW w:w="675" w:type="dxa"/>
          <w:vAlign w:val="center"/>
        </w:tcPr>
        <w:p w14:paraId="6281C317" w14:textId="77777777" w:rsidR="007B4CC0" w:rsidRPr="00931466" w:rsidRDefault="007B4CC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60E86CEB" w14:textId="77777777" w:rsidR="003E3F73" w:rsidRDefault="003E3F73" w:rsidP="003E3F73">
          <w:pPr>
            <w:pStyle w:val="RectoFooter"/>
            <w:jc w:val="left"/>
          </w:pPr>
          <w:r>
            <w:t>NGĀ RATONGA MATE WHAKAAHURU - ASSISTED DYING SERVICE</w:t>
          </w:r>
        </w:p>
        <w:p w14:paraId="27262A64" w14:textId="4FA76D94" w:rsidR="007B4CC0" w:rsidRDefault="003E3F73" w:rsidP="003E3F73">
          <w:pPr>
            <w:pStyle w:val="RectoFooter"/>
            <w:jc w:val="left"/>
          </w:pPr>
          <w:r>
            <w:t>Registrar (assisted dying) Annual Report to the Minister of Health – June 2024</w:t>
          </w:r>
        </w:p>
      </w:tc>
    </w:tr>
  </w:tbl>
  <w:p w14:paraId="5177CEA2" w14:textId="77777777" w:rsidR="007B4CC0" w:rsidRPr="00571223" w:rsidRDefault="007B4CC0"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B4CC0" w14:paraId="47337729" w14:textId="77777777" w:rsidTr="00D662F8">
      <w:trPr>
        <w:cantSplit/>
      </w:trPr>
      <w:tc>
        <w:tcPr>
          <w:tcW w:w="8080" w:type="dxa"/>
          <w:vAlign w:val="center"/>
        </w:tcPr>
        <w:p w14:paraId="2B0E8653" w14:textId="77777777" w:rsidR="003E3F73" w:rsidRDefault="003E3F73" w:rsidP="003E3F73">
          <w:pPr>
            <w:pStyle w:val="RectoFooter"/>
          </w:pPr>
          <w:r>
            <w:t>NGĀ RATONGA MATE WHAKAAHURU - ASSISTED DYING SERVICE</w:t>
          </w:r>
        </w:p>
        <w:p w14:paraId="1A33CBD1" w14:textId="6743F9F0" w:rsidR="007B4CC0" w:rsidRDefault="003E3F73" w:rsidP="003E3F73">
          <w:pPr>
            <w:pStyle w:val="RectoFooter"/>
          </w:pPr>
          <w:r>
            <w:t>Registrar (assisted dying) Annual Report to the Minister of Health – June 2024</w:t>
          </w:r>
        </w:p>
      </w:tc>
      <w:tc>
        <w:tcPr>
          <w:tcW w:w="709" w:type="dxa"/>
          <w:vAlign w:val="center"/>
        </w:tcPr>
        <w:p w14:paraId="501EC334" w14:textId="77777777" w:rsidR="007B4CC0" w:rsidRPr="00931466" w:rsidRDefault="007B4CC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7B4CC0" w:rsidRPr="00581EB8" w:rsidRDefault="007B4CC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3B63" w14:textId="77777777" w:rsidR="003A69C5" w:rsidRPr="00A26E6B" w:rsidRDefault="003A69C5" w:rsidP="00A26E6B"/>
  </w:footnote>
  <w:footnote w:type="continuationSeparator" w:id="0">
    <w:p w14:paraId="4F68CEAD" w14:textId="77777777" w:rsidR="003A69C5" w:rsidRDefault="003A69C5">
      <w:r>
        <w:continuationSeparator/>
      </w:r>
    </w:p>
    <w:p w14:paraId="02CDADB3" w14:textId="77777777" w:rsidR="003A69C5" w:rsidRDefault="003A6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7B4CC0" w14:paraId="11530A0D" w14:textId="77777777" w:rsidTr="008F2B72">
      <w:trPr>
        <w:cantSplit/>
      </w:trPr>
      <w:tc>
        <w:tcPr>
          <w:tcW w:w="5210" w:type="dxa"/>
          <w:vAlign w:val="center"/>
        </w:tcPr>
        <w:p w14:paraId="2BDE3162" w14:textId="4E67EED4" w:rsidR="007B4CC0" w:rsidRDefault="007B4CC0" w:rsidP="00B26F0F">
          <w:pPr>
            <w:pStyle w:val="Header"/>
          </w:pPr>
          <w:bookmarkStart w:id="0" w:name="_Hlk110933925"/>
          <w:r>
            <w:rPr>
              <w:noProof/>
              <w:lang w:eastAsia="en-NZ"/>
            </w:rPr>
            <w:drawing>
              <wp:inline distT="0" distB="0" distL="0" distR="0" wp14:anchorId="04421456" wp14:editId="300E5305">
                <wp:extent cx="2294626" cy="542925"/>
                <wp:effectExtent l="0" t="0" r="0" b="0"/>
                <wp:docPr id="1" name="Picture 1" descr="NZ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Z Government logo">
                          <a:extLst>
                            <a:ext uri="{C183D7F6-B498-43B3-948B-1728B52AA6E4}">
                              <adec:decorative xmlns:adec="http://schemas.microsoft.com/office/drawing/2017/decorative" val="0"/>
                            </a:ext>
                          </a:extLst>
                        </pic:cNvPr>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7B4CC0" w:rsidRDefault="007B4CC0" w:rsidP="007B4CC0">
          <w:pPr>
            <w:pStyle w:val="Header"/>
            <w:jc w:val="right"/>
          </w:pPr>
          <w:r>
            <w:rPr>
              <w:noProof/>
            </w:rPr>
            <w:drawing>
              <wp:anchor distT="0" distB="0" distL="114300" distR="114300" simplePos="0" relativeHeight="251658240" behindDoc="0" locked="0" layoutInCell="1" allowOverlap="1" wp14:anchorId="1D75C094" wp14:editId="54708760">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7B4CC0" w:rsidRDefault="007B4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7B4CC0" w:rsidRDefault="007B4CC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7B4CC0" w:rsidRDefault="007B4CC0"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7B4CC0" w:rsidRDefault="007B4CC0"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7B4CC0" w:rsidRDefault="007B4CC0"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7B4CC0" w:rsidRDefault="007B4C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527061E6"/>
    <w:multiLevelType w:val="hybridMultilevel"/>
    <w:tmpl w:val="DAF0E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2"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3" w15:restartNumberingAfterBreak="0">
    <w:nsid w:val="5DD57E71"/>
    <w:multiLevelType w:val="hybridMultilevel"/>
    <w:tmpl w:val="36C80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5"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6"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7"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8"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0"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2"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3"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74404296">
    <w:abstractNumId w:val="31"/>
  </w:num>
  <w:num w:numId="2" w16cid:durableId="164133722">
    <w:abstractNumId w:val="24"/>
  </w:num>
  <w:num w:numId="3" w16cid:durableId="1370179915">
    <w:abstractNumId w:val="15"/>
  </w:num>
  <w:num w:numId="4" w16cid:durableId="886450481">
    <w:abstractNumId w:val="16"/>
  </w:num>
  <w:num w:numId="5" w16cid:durableId="1136798241">
    <w:abstractNumId w:val="0"/>
  </w:num>
  <w:num w:numId="6" w16cid:durableId="833767571">
    <w:abstractNumId w:val="33"/>
  </w:num>
  <w:num w:numId="7" w16cid:durableId="502093487">
    <w:abstractNumId w:val="12"/>
  </w:num>
  <w:num w:numId="8" w16cid:durableId="1969312565">
    <w:abstractNumId w:val="2"/>
  </w:num>
  <w:num w:numId="9" w16cid:durableId="1738091970">
    <w:abstractNumId w:val="30"/>
  </w:num>
  <w:num w:numId="10" w16cid:durableId="1709990687">
    <w:abstractNumId w:val="1"/>
  </w:num>
  <w:num w:numId="11" w16cid:durableId="351614881">
    <w:abstractNumId w:val="28"/>
  </w:num>
  <w:num w:numId="12" w16cid:durableId="51127179">
    <w:abstractNumId w:val="3"/>
  </w:num>
  <w:num w:numId="13" w16cid:durableId="1097603351">
    <w:abstractNumId w:val="7"/>
  </w:num>
  <w:num w:numId="14" w16cid:durableId="1615743087">
    <w:abstractNumId w:val="5"/>
  </w:num>
  <w:num w:numId="15" w16cid:durableId="1016275003">
    <w:abstractNumId w:val="8"/>
  </w:num>
  <w:num w:numId="16" w16cid:durableId="823399805">
    <w:abstractNumId w:val="20"/>
  </w:num>
  <w:num w:numId="17" w16cid:durableId="790171852">
    <w:abstractNumId w:val="10"/>
  </w:num>
  <w:num w:numId="18" w16cid:durableId="1075322100">
    <w:abstractNumId w:val="26"/>
  </w:num>
  <w:num w:numId="19" w16cid:durableId="2029258479">
    <w:abstractNumId w:val="11"/>
  </w:num>
  <w:num w:numId="20" w16cid:durableId="1360936006">
    <w:abstractNumId w:val="18"/>
  </w:num>
  <w:num w:numId="21" w16cid:durableId="625160618">
    <w:abstractNumId w:val="6"/>
  </w:num>
  <w:num w:numId="22" w16cid:durableId="1210728450">
    <w:abstractNumId w:val="4"/>
  </w:num>
  <w:num w:numId="23" w16cid:durableId="1765220652">
    <w:abstractNumId w:val="22"/>
  </w:num>
  <w:num w:numId="24" w16cid:durableId="302587469">
    <w:abstractNumId w:val="21"/>
  </w:num>
  <w:num w:numId="25" w16cid:durableId="1424499368">
    <w:abstractNumId w:val="32"/>
  </w:num>
  <w:num w:numId="26" w16cid:durableId="1560091272">
    <w:abstractNumId w:val="13"/>
  </w:num>
  <w:num w:numId="27" w16cid:durableId="2027512097">
    <w:abstractNumId w:val="27"/>
  </w:num>
  <w:num w:numId="28" w16cid:durableId="1763185580">
    <w:abstractNumId w:val="25"/>
  </w:num>
  <w:num w:numId="29" w16cid:durableId="27803131">
    <w:abstractNumId w:val="17"/>
  </w:num>
  <w:num w:numId="30" w16cid:durableId="1005014072">
    <w:abstractNumId w:val="9"/>
  </w:num>
  <w:num w:numId="31" w16cid:durableId="68892000">
    <w:abstractNumId w:val="29"/>
  </w:num>
  <w:num w:numId="32" w16cid:durableId="47808159">
    <w:abstractNumId w:val="14"/>
  </w:num>
  <w:num w:numId="33" w16cid:durableId="124205594">
    <w:abstractNumId w:val="23"/>
  </w:num>
  <w:num w:numId="34" w16cid:durableId="128774107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994"/>
    <w:rsid w:val="00054B44"/>
    <w:rsid w:val="00056744"/>
    <w:rsid w:val="00060745"/>
    <w:rsid w:val="0006228D"/>
    <w:rsid w:val="00072BD6"/>
    <w:rsid w:val="00075B78"/>
    <w:rsid w:val="000763E9"/>
    <w:rsid w:val="00082CD6"/>
    <w:rsid w:val="0008437D"/>
    <w:rsid w:val="00084C61"/>
    <w:rsid w:val="00085AFE"/>
    <w:rsid w:val="00091145"/>
    <w:rsid w:val="00094800"/>
    <w:rsid w:val="000A41ED"/>
    <w:rsid w:val="000B0730"/>
    <w:rsid w:val="000B3CFB"/>
    <w:rsid w:val="000D19F4"/>
    <w:rsid w:val="000D58DD"/>
    <w:rsid w:val="000F2AE2"/>
    <w:rsid w:val="000F2BFF"/>
    <w:rsid w:val="00102063"/>
    <w:rsid w:val="0010541C"/>
    <w:rsid w:val="00106F93"/>
    <w:rsid w:val="001102B2"/>
    <w:rsid w:val="00111D50"/>
    <w:rsid w:val="00113B8E"/>
    <w:rsid w:val="0012053C"/>
    <w:rsid w:val="00122363"/>
    <w:rsid w:val="00132EEE"/>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5BA5"/>
    <w:rsid w:val="001C665E"/>
    <w:rsid w:val="001D3541"/>
    <w:rsid w:val="001D3E4E"/>
    <w:rsid w:val="001D71A4"/>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61FA"/>
    <w:rsid w:val="002F4685"/>
    <w:rsid w:val="002F7213"/>
    <w:rsid w:val="0030382F"/>
    <w:rsid w:val="0030408D"/>
    <w:rsid w:val="003060E4"/>
    <w:rsid w:val="003160E7"/>
    <w:rsid w:val="0031739E"/>
    <w:rsid w:val="003309CA"/>
    <w:rsid w:val="003325AB"/>
    <w:rsid w:val="003332D1"/>
    <w:rsid w:val="0033412B"/>
    <w:rsid w:val="0034086D"/>
    <w:rsid w:val="00341161"/>
    <w:rsid w:val="00343365"/>
    <w:rsid w:val="003445F4"/>
    <w:rsid w:val="00353501"/>
    <w:rsid w:val="00353734"/>
    <w:rsid w:val="003606F8"/>
    <w:rsid w:val="003639F7"/>
    <w:rsid w:val="003648EF"/>
    <w:rsid w:val="003673E6"/>
    <w:rsid w:val="00374E42"/>
    <w:rsid w:val="00377264"/>
    <w:rsid w:val="003779D2"/>
    <w:rsid w:val="00385E38"/>
    <w:rsid w:val="003A26A5"/>
    <w:rsid w:val="003A35A2"/>
    <w:rsid w:val="003A3761"/>
    <w:rsid w:val="003A512D"/>
    <w:rsid w:val="003A5FEA"/>
    <w:rsid w:val="003A69C5"/>
    <w:rsid w:val="003B1D10"/>
    <w:rsid w:val="003B35AA"/>
    <w:rsid w:val="003B522D"/>
    <w:rsid w:val="003C76D4"/>
    <w:rsid w:val="003D137D"/>
    <w:rsid w:val="003D2CC5"/>
    <w:rsid w:val="003E04C1"/>
    <w:rsid w:val="003E0887"/>
    <w:rsid w:val="003E3F73"/>
    <w:rsid w:val="003E74C8"/>
    <w:rsid w:val="003E7C46"/>
    <w:rsid w:val="003F2106"/>
    <w:rsid w:val="003F52A7"/>
    <w:rsid w:val="003F7013"/>
    <w:rsid w:val="0040240C"/>
    <w:rsid w:val="00413021"/>
    <w:rsid w:val="004301C6"/>
    <w:rsid w:val="00431D3D"/>
    <w:rsid w:val="0043478F"/>
    <w:rsid w:val="0043602B"/>
    <w:rsid w:val="00440BE0"/>
    <w:rsid w:val="00442C1C"/>
    <w:rsid w:val="0044584B"/>
    <w:rsid w:val="00447CB7"/>
    <w:rsid w:val="00455CC9"/>
    <w:rsid w:val="00460826"/>
    <w:rsid w:val="00460EA7"/>
    <w:rsid w:val="0046195B"/>
    <w:rsid w:val="0046362D"/>
    <w:rsid w:val="0046596D"/>
    <w:rsid w:val="00472F87"/>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20C54"/>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90EEF"/>
    <w:rsid w:val="005A27CA"/>
    <w:rsid w:val="005A43BD"/>
    <w:rsid w:val="005A79E5"/>
    <w:rsid w:val="005D034C"/>
    <w:rsid w:val="005E226E"/>
    <w:rsid w:val="005E2636"/>
    <w:rsid w:val="005E7EA4"/>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4B22"/>
    <w:rsid w:val="006758CA"/>
    <w:rsid w:val="00675AD6"/>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02DB4"/>
    <w:rsid w:val="0071741C"/>
    <w:rsid w:val="007268E7"/>
    <w:rsid w:val="007268F9"/>
    <w:rsid w:val="00742B90"/>
    <w:rsid w:val="0074434D"/>
    <w:rsid w:val="007570C4"/>
    <w:rsid w:val="007605B8"/>
    <w:rsid w:val="00771B1E"/>
    <w:rsid w:val="00773C95"/>
    <w:rsid w:val="0078171E"/>
    <w:rsid w:val="0078658E"/>
    <w:rsid w:val="007920E2"/>
    <w:rsid w:val="0079566E"/>
    <w:rsid w:val="00795B34"/>
    <w:rsid w:val="007A067F"/>
    <w:rsid w:val="007B1770"/>
    <w:rsid w:val="007B4CC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4F59"/>
    <w:rsid w:val="007E74F1"/>
    <w:rsid w:val="007F0F0C"/>
    <w:rsid w:val="007F1288"/>
    <w:rsid w:val="00800A8A"/>
    <w:rsid w:val="0080155C"/>
    <w:rsid w:val="008052E1"/>
    <w:rsid w:val="008217DA"/>
    <w:rsid w:val="00822F2C"/>
    <w:rsid w:val="00823DEE"/>
    <w:rsid w:val="00826DEF"/>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5A82"/>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4ACD"/>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16ADC"/>
    <w:rsid w:val="00A20B2E"/>
    <w:rsid w:val="00A24F33"/>
    <w:rsid w:val="00A25069"/>
    <w:rsid w:val="00A26E6B"/>
    <w:rsid w:val="00A3068F"/>
    <w:rsid w:val="00A3145B"/>
    <w:rsid w:val="00A339D0"/>
    <w:rsid w:val="00A340BD"/>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B63A0"/>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9692D"/>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3A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0F3A"/>
    <w:rsid w:val="00E31019"/>
    <w:rsid w:val="00E33238"/>
    <w:rsid w:val="00E376B7"/>
    <w:rsid w:val="00E42F5D"/>
    <w:rsid w:val="00E4486C"/>
    <w:rsid w:val="00E460B6"/>
    <w:rsid w:val="00E511D5"/>
    <w:rsid w:val="00E53A9F"/>
    <w:rsid w:val="00E60249"/>
    <w:rsid w:val="00E65269"/>
    <w:rsid w:val="00E76D66"/>
    <w:rsid w:val="00E8724C"/>
    <w:rsid w:val="00E95DAF"/>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4A59"/>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customStyle="1" w:styleId="paragraph">
    <w:name w:val="paragraph"/>
    <w:basedOn w:val="Normal"/>
    <w:rsid w:val="00702DB4"/>
    <w:pPr>
      <w:spacing w:before="100" w:beforeAutospacing="1" w:after="100" w:afterAutospacing="1"/>
    </w:pPr>
    <w:rPr>
      <w:rFonts w:ascii="Times New Roman" w:hAnsi="Times New Roman"/>
      <w:sz w:val="24"/>
      <w:szCs w:val="24"/>
      <w:lang w:eastAsia="en-NZ"/>
    </w:rPr>
  </w:style>
  <w:style w:type="character" w:customStyle="1" w:styleId="normaltextrun">
    <w:name w:val="normaltextrun"/>
    <w:basedOn w:val="DefaultParagraphFont"/>
    <w:rsid w:val="00702DB4"/>
  </w:style>
  <w:style w:type="character" w:customStyle="1" w:styleId="BulletChar">
    <w:name w:val="Bullet Char"/>
    <w:link w:val="Bullet"/>
    <w:locked/>
    <w:rsid w:val="007B4CC0"/>
    <w:rPr>
      <w:rFonts w:ascii="Segoe UI" w:hAnsi="Segoe UI"/>
      <w:sz w:val="21"/>
      <w:lang w:eastAsia="en-GB"/>
    </w:rPr>
  </w:style>
  <w:style w:type="character" w:customStyle="1" w:styleId="FigureChar">
    <w:name w:val="Figure Char"/>
    <w:link w:val="Figure"/>
    <w:locked/>
    <w:rsid w:val="007B4CC0"/>
    <w:rPr>
      <w:rFonts w:ascii="Segoe UI" w:hAnsi="Segoe UI"/>
      <w:b/>
      <w:lang w:eastAsia="en-GB"/>
    </w:rPr>
  </w:style>
  <w:style w:type="character" w:customStyle="1" w:styleId="TableChar">
    <w:name w:val="Table Char"/>
    <w:link w:val="Table"/>
    <w:locked/>
    <w:rsid w:val="007B4CC0"/>
    <w:rPr>
      <w:rFonts w:ascii="Segoe UI" w:hAnsi="Segoe UI"/>
      <w:b/>
      <w:lang w:eastAsia="en-GB"/>
    </w:rPr>
  </w:style>
  <w:style w:type="paragraph" w:styleId="Caption">
    <w:name w:val="caption"/>
    <w:basedOn w:val="Normal"/>
    <w:next w:val="Normal"/>
    <w:unhideWhenUsed/>
    <w:qFormat/>
    <w:rsid w:val="00091145"/>
    <w:pPr>
      <w:spacing w:after="200"/>
    </w:pPr>
    <w:rPr>
      <w:i/>
      <w:iCs/>
      <w:color w:val="1F497D" w:themeColor="text2"/>
      <w:sz w:val="18"/>
      <w:szCs w:val="18"/>
    </w:rPr>
  </w:style>
  <w:style w:type="table" w:customStyle="1" w:styleId="TableGrid1">
    <w:name w:val="Table Grid1"/>
    <w:basedOn w:val="TableNormal"/>
    <w:next w:val="TableGrid"/>
    <w:uiPriority w:val="39"/>
    <w:rsid w:val="000911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4E4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32EEE"/>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www.health.govt.nz/our-work/regulation-health-and-disability-system/assisted-dying-service/assisted-dying-service-feedback-and-complaints-proces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health.govt.nz/our-work/regulation-health-and-disability-system/assisted-dying-service/end-life-review-commit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govt.nz/act/public/2019/0067/latest/DLM7285905.html" TargetMode="External"/><Relationship Id="rId32" Type="http://schemas.openxmlformats.org/officeDocument/2006/relationships/hyperlink" Target="https://www.health.govt.nz/our-work/life-stages/assisted-dying-service/assisted-dying-information-public/assisted-dying-eligibility-and-acces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health.govt.nz/our-work/regulation-health-and-disability-system/assisted-dying-service/support-and-consultation-end-life-new-zealand-scenz-group"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ealth.govt.nz/our-work/life-stages/assisted-dying-service/information-health-professionals/roles-delivery-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image" Target="media/image5.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94</TotalTime>
  <Pages>24</Pages>
  <Words>5755</Words>
  <Characters>32808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Assisted Dying Service: Registrar (assisted dying) Annual Report to the Minister of Health – June 2024</vt:lpstr>
    </vt:vector>
  </TitlesOfParts>
  <Company>Microsoft</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Dying Service: Registrar (assisted dying) Annual Report to the Minister of Health – June 2024</dc:title>
  <dc:creator>Ministry of Health</dc:creator>
  <cp:lastModifiedBy>Ministry of Health</cp:lastModifiedBy>
  <cp:revision>35</cp:revision>
  <cp:lastPrinted>2024-06-25T02:34:00Z</cp:lastPrinted>
  <dcterms:created xsi:type="dcterms:W3CDTF">2022-08-09T00:39:00Z</dcterms:created>
  <dcterms:modified xsi:type="dcterms:W3CDTF">2024-06-25T03:16:00Z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