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1012" w14:textId="070028E6" w:rsidR="00A85E30" w:rsidRPr="0019448C" w:rsidRDefault="00A85E30" w:rsidP="00A85E30">
      <w:pPr>
        <w:rPr>
          <w:rFonts w:ascii="Arial" w:hAnsi="Arial" w:cs="Arial"/>
          <w:b/>
          <w:sz w:val="20"/>
          <w:szCs w:val="20"/>
        </w:rPr>
      </w:pPr>
      <w:r w:rsidRPr="0019448C">
        <w:rPr>
          <w:rFonts w:ascii="Arial" w:hAnsi="Arial" w:cs="Arial"/>
          <w:b/>
          <w:sz w:val="20"/>
          <w:szCs w:val="20"/>
        </w:rPr>
        <w:t>Summary for 3</w:t>
      </w:r>
      <w:r w:rsidR="00422A64" w:rsidRPr="0019448C">
        <w:rPr>
          <w:rFonts w:ascii="Arial" w:hAnsi="Arial" w:cs="Arial"/>
          <w:b/>
          <w:sz w:val="20"/>
          <w:szCs w:val="20"/>
        </w:rPr>
        <w:t>5</w:t>
      </w:r>
      <w:r w:rsidR="00422A64" w:rsidRPr="0019448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22A64" w:rsidRPr="0019448C">
        <w:rPr>
          <w:rFonts w:ascii="Arial" w:hAnsi="Arial" w:cs="Arial"/>
          <w:b/>
          <w:sz w:val="20"/>
          <w:szCs w:val="20"/>
        </w:rPr>
        <w:t xml:space="preserve"> </w:t>
      </w:r>
      <w:r w:rsidRPr="0019448C">
        <w:rPr>
          <w:rFonts w:ascii="Arial" w:hAnsi="Arial" w:cs="Arial"/>
          <w:b/>
          <w:sz w:val="20"/>
          <w:szCs w:val="20"/>
        </w:rPr>
        <w:t>meeting (</w:t>
      </w:r>
      <w:r w:rsidR="00C258A8" w:rsidRPr="0019448C">
        <w:rPr>
          <w:rFonts w:ascii="Arial" w:hAnsi="Arial" w:cs="Arial"/>
          <w:b/>
          <w:sz w:val="20"/>
          <w:szCs w:val="20"/>
        </w:rPr>
        <w:t>28 September 2021</w:t>
      </w:r>
      <w:r w:rsidRPr="0019448C">
        <w:rPr>
          <w:rFonts w:ascii="Arial" w:hAnsi="Arial" w:cs="Arial"/>
          <w:b/>
          <w:sz w:val="20"/>
          <w:szCs w:val="20"/>
        </w:rPr>
        <w:t>):</w:t>
      </w:r>
    </w:p>
    <w:p w14:paraId="3752FBBC" w14:textId="354EE738" w:rsidR="00A85E30" w:rsidRPr="0019448C" w:rsidRDefault="00A85E30" w:rsidP="00A85E30">
      <w:pPr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 xml:space="preserve">The Compliance Panel (The Panel) met via videoconference to discuss </w:t>
      </w:r>
      <w:r w:rsidR="002F1777" w:rsidRPr="0019448C">
        <w:rPr>
          <w:rFonts w:ascii="Arial" w:hAnsi="Arial" w:cs="Arial"/>
          <w:sz w:val="20"/>
          <w:szCs w:val="20"/>
        </w:rPr>
        <w:t>five</w:t>
      </w:r>
      <w:r w:rsidR="00D35ACD" w:rsidRPr="0019448C">
        <w:rPr>
          <w:rFonts w:ascii="Arial" w:hAnsi="Arial" w:cs="Arial"/>
          <w:sz w:val="20"/>
          <w:szCs w:val="20"/>
        </w:rPr>
        <w:t xml:space="preserve"> complaints.</w:t>
      </w:r>
    </w:p>
    <w:p w14:paraId="46B3A879" w14:textId="2E68D85C" w:rsidR="00A85E30" w:rsidRPr="0019448C" w:rsidRDefault="00A85E30" w:rsidP="00A85E30">
      <w:pPr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 xml:space="preserve">The complaint decisions </w:t>
      </w:r>
      <w:r w:rsidR="00D35ACD" w:rsidRPr="0019448C">
        <w:rPr>
          <w:rFonts w:ascii="Arial" w:hAnsi="Arial" w:cs="Arial"/>
          <w:sz w:val="20"/>
          <w:szCs w:val="20"/>
        </w:rPr>
        <w:t>from the 3</w:t>
      </w:r>
      <w:r w:rsidR="00E440AE" w:rsidRPr="0019448C">
        <w:rPr>
          <w:rFonts w:ascii="Arial" w:hAnsi="Arial" w:cs="Arial"/>
          <w:sz w:val="20"/>
          <w:szCs w:val="20"/>
        </w:rPr>
        <w:t>5</w:t>
      </w:r>
      <w:r w:rsidR="00E440AE" w:rsidRPr="0019448C">
        <w:rPr>
          <w:rFonts w:ascii="Arial" w:hAnsi="Arial" w:cs="Arial"/>
          <w:sz w:val="20"/>
          <w:szCs w:val="20"/>
          <w:vertAlign w:val="superscript"/>
        </w:rPr>
        <w:t>th</w:t>
      </w:r>
      <w:r w:rsidR="00E440AE" w:rsidRPr="0019448C">
        <w:rPr>
          <w:rFonts w:ascii="Arial" w:hAnsi="Arial" w:cs="Arial"/>
          <w:sz w:val="20"/>
          <w:szCs w:val="20"/>
        </w:rPr>
        <w:t xml:space="preserve"> </w:t>
      </w:r>
      <w:r w:rsidR="00D35ACD" w:rsidRPr="0019448C">
        <w:rPr>
          <w:rFonts w:ascii="Arial" w:hAnsi="Arial" w:cs="Arial"/>
          <w:sz w:val="20"/>
          <w:szCs w:val="20"/>
        </w:rPr>
        <w:t xml:space="preserve">meeting </w:t>
      </w:r>
      <w:r w:rsidRPr="0019448C">
        <w:rPr>
          <w:rFonts w:ascii="Arial" w:hAnsi="Arial" w:cs="Arial"/>
          <w:sz w:val="20"/>
          <w:szCs w:val="20"/>
        </w:rPr>
        <w:t xml:space="preserve">have been finalised. </w:t>
      </w:r>
    </w:p>
    <w:p w14:paraId="3C690F87" w14:textId="571B2239" w:rsidR="006E5964" w:rsidRPr="0019448C" w:rsidRDefault="00E440AE" w:rsidP="00B76F6E">
      <w:pPr>
        <w:pStyle w:val="BodyText"/>
        <w:numPr>
          <w:ilvl w:val="0"/>
          <w:numId w:val="1"/>
        </w:numPr>
        <w:ind w:hanging="357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b/>
          <w:bCs/>
          <w:sz w:val="20"/>
          <w:szCs w:val="20"/>
        </w:rPr>
        <w:t xml:space="preserve">Complaint against </w:t>
      </w:r>
      <w:bookmarkStart w:id="0" w:name="_Hlk85013830"/>
      <w:proofErr w:type="spellStart"/>
      <w:r w:rsidRPr="0019448C">
        <w:rPr>
          <w:rFonts w:ascii="Arial" w:hAnsi="Arial" w:cs="Arial"/>
          <w:b/>
          <w:bCs/>
          <w:sz w:val="20"/>
          <w:szCs w:val="20"/>
        </w:rPr>
        <w:t>Zuru</w:t>
      </w:r>
      <w:proofErr w:type="spellEnd"/>
      <w:r w:rsidRPr="0019448C">
        <w:rPr>
          <w:rFonts w:ascii="Arial" w:hAnsi="Arial" w:cs="Arial"/>
          <w:b/>
          <w:bCs/>
          <w:sz w:val="20"/>
          <w:szCs w:val="20"/>
        </w:rPr>
        <w:t xml:space="preserve"> (Haven) (05-2021-01)</w:t>
      </w:r>
      <w:bookmarkEnd w:id="0"/>
      <w:r w:rsidR="006E5964" w:rsidRPr="0019448C">
        <w:rPr>
          <w:rFonts w:ascii="Arial" w:hAnsi="Arial" w:cs="Arial"/>
          <w:sz w:val="20"/>
          <w:szCs w:val="20"/>
        </w:rPr>
        <w:t xml:space="preserve"> The complainant alleged that this text breached Article 5.1 of the INC Code of Practice. </w:t>
      </w:r>
    </w:p>
    <w:p w14:paraId="1F6BB3F4" w14:textId="7F57E701" w:rsidR="00E440AE" w:rsidRPr="0019448C" w:rsidRDefault="006E5964" w:rsidP="00B76F6E">
      <w:pPr>
        <w:pStyle w:val="BodyText"/>
        <w:numPr>
          <w:ilvl w:val="1"/>
          <w:numId w:val="1"/>
        </w:numPr>
        <w:ind w:hanging="357"/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 xml:space="preserve">The Panel agreed that </w:t>
      </w:r>
      <w:proofErr w:type="spellStart"/>
      <w:r w:rsidRPr="0019448C">
        <w:rPr>
          <w:rFonts w:ascii="Arial" w:hAnsi="Arial" w:cs="Arial"/>
          <w:sz w:val="20"/>
          <w:szCs w:val="20"/>
        </w:rPr>
        <w:t>Zuru</w:t>
      </w:r>
      <w:proofErr w:type="spellEnd"/>
      <w:r w:rsidRPr="0019448C">
        <w:rPr>
          <w:rFonts w:ascii="Arial" w:hAnsi="Arial" w:cs="Arial"/>
          <w:sz w:val="20"/>
          <w:szCs w:val="20"/>
        </w:rPr>
        <w:t xml:space="preserve"> breached Article 5.1 as the use of the phrase ‘formula’ is marketing formula to the general public. In considering the complaint and the remediation taken by </w:t>
      </w:r>
      <w:proofErr w:type="spellStart"/>
      <w:r w:rsidRPr="0019448C">
        <w:rPr>
          <w:rFonts w:ascii="Arial" w:hAnsi="Arial" w:cs="Arial"/>
          <w:sz w:val="20"/>
          <w:szCs w:val="20"/>
        </w:rPr>
        <w:t>Zuru</w:t>
      </w:r>
      <w:proofErr w:type="spellEnd"/>
      <w:r w:rsidRPr="0019448C">
        <w:rPr>
          <w:rFonts w:ascii="Arial" w:hAnsi="Arial" w:cs="Arial"/>
          <w:sz w:val="20"/>
          <w:szCs w:val="20"/>
        </w:rPr>
        <w:t>, the Panel clicked through from the drop box and received the following message.</w:t>
      </w:r>
    </w:p>
    <w:p w14:paraId="307EE87F" w14:textId="5BF46C04" w:rsidR="00E53EF0" w:rsidRPr="0019448C" w:rsidRDefault="00E53EF0" w:rsidP="00B76F6E">
      <w:pPr>
        <w:pStyle w:val="BodyText"/>
        <w:numPr>
          <w:ilvl w:val="1"/>
          <w:numId w:val="1"/>
        </w:numPr>
        <w:ind w:hanging="357"/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 xml:space="preserve">The Panel considered that this statement “Sample boxes of our Stage 1, Stage 2 and etc” further constitutes a breach of Article 5.1 as this is marketing of Stage 1 and Stage 2 products.  </w:t>
      </w:r>
      <w:proofErr w:type="spellStart"/>
      <w:r w:rsidRPr="0019448C">
        <w:rPr>
          <w:rFonts w:ascii="Arial" w:hAnsi="Arial" w:cs="Arial"/>
          <w:sz w:val="20"/>
          <w:szCs w:val="20"/>
        </w:rPr>
        <w:t>Zuru</w:t>
      </w:r>
      <w:proofErr w:type="spellEnd"/>
      <w:r w:rsidRPr="0019448C">
        <w:rPr>
          <w:rFonts w:ascii="Arial" w:hAnsi="Arial" w:cs="Arial"/>
          <w:sz w:val="20"/>
          <w:szCs w:val="20"/>
        </w:rPr>
        <w:t xml:space="preserve"> should consider the full content of this pre-populated answer in light of the requirements of the INC Code of Practice.</w:t>
      </w:r>
    </w:p>
    <w:p w14:paraId="10C719A3" w14:textId="0E4BD764" w:rsidR="00FD5F1C" w:rsidRPr="0019448C" w:rsidRDefault="00B47877" w:rsidP="00B76F6E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rFonts w:ascii="Arial" w:hAnsi="Arial" w:cs="Arial"/>
          <w:sz w:val="20"/>
          <w:szCs w:val="20"/>
        </w:rPr>
      </w:pPr>
      <w:bookmarkStart w:id="1" w:name="_Hlk85013841"/>
      <w:r w:rsidRPr="0019448C">
        <w:rPr>
          <w:rFonts w:ascii="Arial" w:hAnsi="Arial" w:cs="Arial"/>
          <w:b/>
          <w:bCs/>
          <w:sz w:val="20"/>
          <w:szCs w:val="20"/>
        </w:rPr>
        <w:t>Complaint against Nestlé (06-2021-02)</w:t>
      </w:r>
      <w:bookmarkEnd w:id="1"/>
      <w:r w:rsidRPr="0019448C">
        <w:rPr>
          <w:rFonts w:ascii="Arial" w:hAnsi="Arial" w:cs="Arial"/>
          <w:sz w:val="20"/>
          <w:szCs w:val="20"/>
        </w:rPr>
        <w:t xml:space="preserve">. The complainant alleged that the URL breached Article 5.1 of the INC Code of Practice. </w:t>
      </w:r>
      <w:r w:rsidR="00FD5F1C" w:rsidRPr="0019448C">
        <w:rPr>
          <w:rFonts w:ascii="Arial" w:hAnsi="Arial" w:cs="Arial"/>
          <w:sz w:val="20"/>
          <w:szCs w:val="20"/>
        </w:rPr>
        <w:t>The Panel agreed that Nestlé has not breached Article 5.1 in relation to the use of this URL.</w:t>
      </w:r>
    </w:p>
    <w:p w14:paraId="72E7612B" w14:textId="0E92C018" w:rsidR="00B47877" w:rsidRPr="0019448C" w:rsidRDefault="00B76F6E" w:rsidP="00B76F6E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b/>
          <w:bCs/>
          <w:sz w:val="20"/>
          <w:szCs w:val="20"/>
        </w:rPr>
        <w:t xml:space="preserve">Complaint against </w:t>
      </w:r>
      <w:bookmarkStart w:id="2" w:name="_Hlk85013865"/>
      <w:r w:rsidRPr="0019448C">
        <w:rPr>
          <w:rFonts w:ascii="Arial" w:hAnsi="Arial" w:cs="Arial"/>
          <w:b/>
          <w:bCs/>
          <w:sz w:val="20"/>
          <w:szCs w:val="20"/>
        </w:rPr>
        <w:t>Danone (06-2021-08)</w:t>
      </w:r>
      <w:bookmarkEnd w:id="2"/>
      <w:r w:rsidRPr="001944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48C">
        <w:rPr>
          <w:rFonts w:ascii="Arial" w:hAnsi="Arial" w:cs="Arial"/>
          <w:sz w:val="20"/>
          <w:szCs w:val="20"/>
        </w:rPr>
        <w:t xml:space="preserve">The Panel considered the complaint in relation to Article 5.1. The Panel found that Danone had not breached Article 5.1 because of the </w:t>
      </w:r>
      <w:proofErr w:type="spellStart"/>
      <w:r w:rsidRPr="0019448C">
        <w:rPr>
          <w:rFonts w:ascii="Arial" w:hAnsi="Arial" w:cs="Arial"/>
          <w:sz w:val="20"/>
          <w:szCs w:val="20"/>
        </w:rPr>
        <w:t>Aptamil</w:t>
      </w:r>
      <w:proofErr w:type="spellEnd"/>
      <w:r w:rsidRPr="001944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48C">
        <w:rPr>
          <w:rFonts w:ascii="Arial" w:hAnsi="Arial" w:cs="Arial"/>
          <w:sz w:val="20"/>
          <w:szCs w:val="20"/>
        </w:rPr>
        <w:t>Profutura</w:t>
      </w:r>
      <w:proofErr w:type="spellEnd"/>
      <w:r w:rsidRPr="0019448C">
        <w:rPr>
          <w:rFonts w:ascii="Arial" w:hAnsi="Arial" w:cs="Arial"/>
          <w:sz w:val="20"/>
          <w:szCs w:val="20"/>
        </w:rPr>
        <w:t xml:space="preserve"> Toddler logo together with the visuals of Stage 3 products images</w:t>
      </w:r>
      <w:r w:rsidR="00CC2A2B" w:rsidRPr="0019448C">
        <w:rPr>
          <w:rFonts w:ascii="Arial" w:hAnsi="Arial" w:cs="Arial"/>
          <w:sz w:val="20"/>
          <w:szCs w:val="20"/>
        </w:rPr>
        <w:t>.</w:t>
      </w:r>
    </w:p>
    <w:p w14:paraId="5DD9F7F9" w14:textId="3CB4E89C" w:rsidR="00CC2A2B" w:rsidRPr="000B3CA4" w:rsidRDefault="00CC2A2B" w:rsidP="000B3CA4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rFonts w:ascii="Arial" w:hAnsi="Arial" w:cs="Arial"/>
          <w:sz w:val="20"/>
          <w:szCs w:val="20"/>
          <w:u w:val="single"/>
        </w:rPr>
      </w:pPr>
      <w:r w:rsidRPr="000B3CA4">
        <w:rPr>
          <w:rFonts w:ascii="Arial" w:hAnsi="Arial" w:cs="Arial"/>
          <w:b/>
          <w:bCs/>
          <w:sz w:val="20"/>
          <w:szCs w:val="20"/>
        </w:rPr>
        <w:t xml:space="preserve">Complaint against </w:t>
      </w:r>
      <w:bookmarkStart w:id="3" w:name="_Hlk85013876"/>
      <w:r w:rsidRPr="000B3CA4">
        <w:rPr>
          <w:rFonts w:ascii="Arial" w:hAnsi="Arial" w:cs="Arial"/>
          <w:b/>
          <w:bCs/>
          <w:sz w:val="20"/>
          <w:szCs w:val="20"/>
        </w:rPr>
        <w:t>Nestlé (06-2021-12)</w:t>
      </w:r>
      <w:bookmarkEnd w:id="3"/>
      <w:r w:rsidRPr="000B3C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3CA4">
        <w:rPr>
          <w:rFonts w:ascii="Arial" w:hAnsi="Arial" w:cs="Arial"/>
          <w:sz w:val="20"/>
          <w:szCs w:val="20"/>
        </w:rPr>
        <w:t xml:space="preserve">The Panel determined that </w:t>
      </w:r>
      <w:proofErr w:type="spellStart"/>
      <w:r w:rsidRPr="000B3CA4">
        <w:rPr>
          <w:rFonts w:ascii="Arial" w:hAnsi="Arial" w:cs="Arial"/>
          <w:sz w:val="20"/>
          <w:szCs w:val="20"/>
        </w:rPr>
        <w:t>Nestlè</w:t>
      </w:r>
      <w:proofErr w:type="spellEnd"/>
      <w:r w:rsidRPr="000B3CA4">
        <w:rPr>
          <w:rFonts w:ascii="Arial" w:hAnsi="Arial" w:cs="Arial"/>
          <w:sz w:val="20"/>
          <w:szCs w:val="20"/>
        </w:rPr>
        <w:t xml:space="preserve"> had not breached Article 5.5 as it had not sought direct or indirect contact with pregnant women or with parents of infants and young children. </w:t>
      </w:r>
    </w:p>
    <w:p w14:paraId="7B24F762" w14:textId="034C6B4A" w:rsidR="00476C6C" w:rsidRPr="0019448C" w:rsidRDefault="00476C6C" w:rsidP="00476C6C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b/>
          <w:bCs/>
          <w:sz w:val="20"/>
          <w:szCs w:val="20"/>
        </w:rPr>
        <w:t xml:space="preserve">Complaint against Philippa Murphy/Baby Cues (07-2021-01) </w:t>
      </w:r>
      <w:r w:rsidRPr="0019448C">
        <w:rPr>
          <w:rFonts w:ascii="Arial" w:hAnsi="Arial" w:cs="Arial"/>
          <w:sz w:val="20"/>
          <w:szCs w:val="20"/>
        </w:rPr>
        <w:t>The Panel decided to consider this complaint at a separate meeting, and requested that in advance of that meeting the following be circulated:</w:t>
      </w:r>
    </w:p>
    <w:p w14:paraId="54336449" w14:textId="77777777" w:rsidR="00476C6C" w:rsidRPr="0019448C" w:rsidRDefault="00476C6C" w:rsidP="00476C6C">
      <w:pPr>
        <w:pStyle w:val="BodyText"/>
        <w:numPr>
          <w:ilvl w:val="1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>The complaint (both current and prior)</w:t>
      </w:r>
    </w:p>
    <w:p w14:paraId="529B1DC2" w14:textId="77777777" w:rsidR="00476C6C" w:rsidRPr="0019448C" w:rsidRDefault="00476C6C" w:rsidP="00476C6C">
      <w:pPr>
        <w:pStyle w:val="BodyText"/>
        <w:numPr>
          <w:ilvl w:val="1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>Copy of the Panel’s first letter to Baby Cues</w:t>
      </w:r>
    </w:p>
    <w:p w14:paraId="23D18221" w14:textId="77777777" w:rsidR="00476C6C" w:rsidRPr="0019448C" w:rsidRDefault="00476C6C" w:rsidP="00476C6C">
      <w:pPr>
        <w:pStyle w:val="BodyText"/>
        <w:numPr>
          <w:ilvl w:val="1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>The appendices from the second complaint</w:t>
      </w:r>
    </w:p>
    <w:p w14:paraId="3779FFFC" w14:textId="77777777" w:rsidR="00476C6C" w:rsidRPr="0019448C" w:rsidRDefault="00476C6C" w:rsidP="00476C6C">
      <w:pPr>
        <w:pStyle w:val="BodyText"/>
        <w:numPr>
          <w:ilvl w:val="1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>Relevant extracts from the Code of Practice for Health Workers</w:t>
      </w:r>
    </w:p>
    <w:p w14:paraId="5E5E31C6" w14:textId="77777777" w:rsidR="00476C6C" w:rsidRPr="0019448C" w:rsidRDefault="00476C6C" w:rsidP="00476C6C">
      <w:pPr>
        <w:pStyle w:val="BodyText"/>
        <w:numPr>
          <w:ilvl w:val="1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19448C">
        <w:rPr>
          <w:rFonts w:ascii="Arial" w:hAnsi="Arial" w:cs="Arial"/>
          <w:sz w:val="20"/>
          <w:szCs w:val="20"/>
        </w:rPr>
        <w:t xml:space="preserve">A draft outline of a determination letter. </w:t>
      </w:r>
    </w:p>
    <w:p w14:paraId="69F7A94B" w14:textId="77777777" w:rsidR="00CC2A2B" w:rsidRPr="0019448C" w:rsidRDefault="00CC2A2B" w:rsidP="00476C6C">
      <w:pPr>
        <w:pStyle w:val="ListParagraph"/>
        <w:spacing w:after="120"/>
        <w:contextualSpacing w:val="0"/>
        <w:rPr>
          <w:rFonts w:ascii="Arial" w:hAnsi="Arial" w:cs="Arial"/>
          <w:sz w:val="20"/>
          <w:szCs w:val="20"/>
        </w:rPr>
      </w:pPr>
    </w:p>
    <w:p w14:paraId="4C1F7F3A" w14:textId="77777777" w:rsidR="007435BE" w:rsidRPr="0019448C" w:rsidRDefault="007435BE" w:rsidP="00561CFF">
      <w:pPr>
        <w:rPr>
          <w:rFonts w:ascii="Arial" w:hAnsi="Arial" w:cs="Arial"/>
          <w:sz w:val="20"/>
          <w:szCs w:val="20"/>
        </w:rPr>
      </w:pPr>
    </w:p>
    <w:sectPr w:rsidR="007435BE" w:rsidRPr="00194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453"/>
    <w:multiLevelType w:val="hybridMultilevel"/>
    <w:tmpl w:val="336870D6"/>
    <w:lvl w:ilvl="0" w:tplc="6004DA00">
      <w:start w:val="1"/>
      <w:numFmt w:val="bullet"/>
      <w:pStyle w:val="Tabl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EEB36">
      <w:numFmt w:val="bullet"/>
      <w:lvlText w:val="•"/>
      <w:lvlJc w:val="left"/>
      <w:pPr>
        <w:ind w:left="1800" w:hanging="72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443E"/>
    <w:multiLevelType w:val="hybridMultilevel"/>
    <w:tmpl w:val="87E4D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7A2F"/>
    <w:multiLevelType w:val="hybridMultilevel"/>
    <w:tmpl w:val="3ED86FF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92132"/>
    <w:multiLevelType w:val="hybridMultilevel"/>
    <w:tmpl w:val="25049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65B37"/>
    <w:multiLevelType w:val="hybridMultilevel"/>
    <w:tmpl w:val="36FE0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845A8"/>
    <w:multiLevelType w:val="hybridMultilevel"/>
    <w:tmpl w:val="1C786A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FF"/>
    <w:rsid w:val="00014A1F"/>
    <w:rsid w:val="000156AF"/>
    <w:rsid w:val="000B3CA4"/>
    <w:rsid w:val="0019448C"/>
    <w:rsid w:val="002E6AE0"/>
    <w:rsid w:val="002F1777"/>
    <w:rsid w:val="00422A64"/>
    <w:rsid w:val="00476C6C"/>
    <w:rsid w:val="0048042D"/>
    <w:rsid w:val="00561CFF"/>
    <w:rsid w:val="0068675B"/>
    <w:rsid w:val="006E5964"/>
    <w:rsid w:val="007435BE"/>
    <w:rsid w:val="00A85E30"/>
    <w:rsid w:val="00B47877"/>
    <w:rsid w:val="00B76F6E"/>
    <w:rsid w:val="00BD3E40"/>
    <w:rsid w:val="00C24432"/>
    <w:rsid w:val="00C258A8"/>
    <w:rsid w:val="00C7783E"/>
    <w:rsid w:val="00CC2A2B"/>
    <w:rsid w:val="00D35ACD"/>
    <w:rsid w:val="00E440AE"/>
    <w:rsid w:val="00E53EF0"/>
    <w:rsid w:val="00FD1A1A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459A"/>
  <w15:chartTrackingRefBased/>
  <w15:docId w15:val="{216EACAE-C67B-41CD-8A8C-1334561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30"/>
    <w:pPr>
      <w:ind w:left="720"/>
      <w:contextualSpacing/>
    </w:pPr>
  </w:style>
  <w:style w:type="paragraph" w:styleId="BodyText">
    <w:name w:val="Body Text"/>
    <w:link w:val="BodyTextChar"/>
    <w:qFormat/>
    <w:rsid w:val="00E440AE"/>
    <w:pPr>
      <w:spacing w:before="120" w:after="120" w:line="280" w:lineRule="exact"/>
      <w:jc w:val="both"/>
    </w:pPr>
  </w:style>
  <w:style w:type="character" w:customStyle="1" w:styleId="BodyTextChar">
    <w:name w:val="Body Text Char"/>
    <w:basedOn w:val="DefaultParagraphFont"/>
    <w:link w:val="BodyText"/>
    <w:rsid w:val="00E440AE"/>
  </w:style>
  <w:style w:type="paragraph" w:customStyle="1" w:styleId="Table-bullet">
    <w:name w:val="Table - bullet"/>
    <w:basedOn w:val="Normal"/>
    <w:uiPriority w:val="12"/>
    <w:rsid w:val="00B47877"/>
    <w:pPr>
      <w:numPr>
        <w:numId w:val="5"/>
      </w:numPr>
      <w:tabs>
        <w:tab w:val="left" w:pos="426"/>
      </w:tabs>
      <w:spacing w:after="40" w:line="259" w:lineRule="auto"/>
      <w:ind w:left="426"/>
    </w:pPr>
    <w:rPr>
      <w:rFonts w:asciiTheme="majorHAnsi" w:hAnsiTheme="maj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C0B61E77FB4794DB78E7976197F1" ma:contentTypeVersion="18" ma:contentTypeDescription="Create a new document." ma:contentTypeScope="" ma:versionID="639b1137924369b124a7412d7ba42861">
  <xsd:schema xmlns:xsd="http://www.w3.org/2001/XMLSchema" xmlns:xs="http://www.w3.org/2001/XMLSchema" xmlns:p="http://schemas.microsoft.com/office/2006/metadata/properties" xmlns:ns2="5f5abf06-34ba-4fcf-8754-5b64340556e4" xmlns:ns3="ea7a09f2-b8a1-4fbf-adfd-e286ce2b53cb" targetNamespace="http://schemas.microsoft.com/office/2006/metadata/properties" ma:root="true" ma:fieldsID="07c4d08b8962143c22d0e423d5a90462" ns2:_="" ns3:_="">
    <xsd:import namespace="5f5abf06-34ba-4fcf-8754-5b64340556e4"/>
    <xsd:import namespace="ea7a09f2-b8a1-4fbf-adfd-e286ce2b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Archive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bf06-34ba-4fcf-8754-5b6434055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09f2-b8a1-4fbf-adfd-e286ce2b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acad0-4e2b-4935-9afb-6cbf22aee123}" ma:internalName="TaxCatchAll" ma:showField="CatchAllData" ma:web="ea7a09f2-b8a1-4fbf-adfd-e286ce2b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Project" ma:index="24" nillable="true" ma:displayName="ArchiveProject" ma:default="no" ma:description="Set this to yes to Archive a Project" ma:format="Dropdown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abf06-34ba-4fcf-8754-5b64340556e4">
      <Terms xmlns="http://schemas.microsoft.com/office/infopath/2007/PartnerControls"/>
    </lcf76f155ced4ddcb4097134ff3c332f>
    <TaxCatchAll xmlns="ea7a09f2-b8a1-4fbf-adfd-e286ce2b53cb" xsi:nil="true"/>
    <ArchiveProject xmlns="ea7a09f2-b8a1-4fbf-adfd-e286ce2b53cb">no</ArchiveProject>
  </documentManagement>
</p:properties>
</file>

<file path=customXml/itemProps1.xml><?xml version="1.0" encoding="utf-8"?>
<ds:datastoreItem xmlns:ds="http://schemas.openxmlformats.org/officeDocument/2006/customXml" ds:itemID="{B2686FB6-2EC3-4367-A3E0-6E82450D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abf06-34ba-4fcf-8754-5b64340556e4"/>
    <ds:schemaRef ds:uri="ea7a09f2-b8a1-4fbf-adfd-e286ce2b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C2AFE-AA9E-4CC7-88AA-4AAA510A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987A1-2438-4104-8B5E-A2017B7ADCF3}">
  <ds:schemaRefs>
    <ds:schemaRef ds:uri="http://schemas.microsoft.com/office/2006/metadata/properties"/>
    <ds:schemaRef ds:uri="http://schemas.microsoft.com/office/infopath/2007/PartnerControls"/>
    <ds:schemaRef ds:uri="5f5abf06-34ba-4fcf-8754-5b64340556e4"/>
    <ds:schemaRef ds:uri="ea7a09f2-b8a1-4fbf-adfd-e286ce2b53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Bishop</dc:creator>
  <cp:keywords/>
  <dc:description/>
  <cp:lastModifiedBy>Kass Jane</cp:lastModifiedBy>
  <cp:revision>2</cp:revision>
  <dcterms:created xsi:type="dcterms:W3CDTF">2023-05-15T03:04:00Z</dcterms:created>
  <dcterms:modified xsi:type="dcterms:W3CDTF">2023-05-15T03:04:00Z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0x0101000175C0B61E77FB4794DB78E7976197F1</vt:lpwstr>
  </property>
  <property fmtid="{D5CDD505-2E9C-101B-9397-08002B2CF9AE}" pid="3" name="MediaServiceImageTags">
    <vt:lpwstr/>
  </property>
  <property fmtid="{D5CDD505-2E9C-101B-9397-08002B2CF9AE}" pid="4" name="Status">
    <vt:lpwstr>Active</vt:lpwstr>
  </property>
</Properties>
</file>