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57A8" w14:textId="1D1324CF" w:rsidR="004C3CF7" w:rsidRPr="00E04F02" w:rsidRDefault="004A3B4A" w:rsidP="004A3B4A">
      <w:pPr>
        <w:rPr>
          <w:rFonts w:ascii="Georgia" w:hAnsi="Georgia"/>
          <w:b/>
          <w:sz w:val="36"/>
          <w:szCs w:val="28"/>
        </w:rPr>
      </w:pPr>
      <w:r w:rsidRPr="004A3B4A">
        <w:rPr>
          <w:rFonts w:ascii="Georgia" w:hAnsi="Georgia"/>
          <w:b/>
          <w:sz w:val="40"/>
          <w:szCs w:val="40"/>
        </w:rPr>
        <w:t>Minutes</w:t>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Pr>
          <w:rFonts w:ascii="Georgia" w:hAnsi="Georgia"/>
          <w:b/>
          <w:sz w:val="36"/>
          <w:szCs w:val="28"/>
        </w:rPr>
        <w:tab/>
      </w:r>
      <w:r w:rsidR="004C3CF7" w:rsidRPr="00E04F02">
        <w:rPr>
          <w:noProof/>
          <w:sz w:val="36"/>
          <w:szCs w:val="28"/>
          <w:lang w:eastAsia="en-NZ"/>
        </w:rPr>
        <w:drawing>
          <wp:inline distT="0" distB="0" distL="0" distR="0" wp14:anchorId="41039F0C" wp14:editId="42F9677A">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10"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48B4ADDC" w14:textId="0277DB5D" w:rsidR="004C3CF7" w:rsidRPr="004A3B4A" w:rsidRDefault="004C3CF7" w:rsidP="005004AA">
      <w:pPr>
        <w:spacing w:after="240"/>
        <w:rPr>
          <w:rFonts w:ascii="Georgia" w:hAnsi="Georgia"/>
          <w:b/>
          <w:sz w:val="40"/>
          <w:szCs w:val="40"/>
        </w:rPr>
      </w:pPr>
      <w:r w:rsidRPr="004A3B4A">
        <w:rPr>
          <w:rFonts w:ascii="Georgia" w:hAnsi="Georgia"/>
          <w:b/>
          <w:sz w:val="40"/>
          <w:szCs w:val="40"/>
        </w:rPr>
        <w:t xml:space="preserve">Standards </w:t>
      </w:r>
      <w:r w:rsidR="00187AA9" w:rsidRPr="004A3B4A">
        <w:rPr>
          <w:rFonts w:ascii="Georgia" w:hAnsi="Georgia"/>
          <w:b/>
          <w:sz w:val="40"/>
          <w:szCs w:val="40"/>
        </w:rPr>
        <w:t xml:space="preserve">Review </w:t>
      </w:r>
      <w:r w:rsidRPr="004A3B4A">
        <w:rPr>
          <w:rFonts w:ascii="Georgia" w:hAnsi="Georgia"/>
          <w:b/>
          <w:sz w:val="40"/>
          <w:szCs w:val="40"/>
        </w:rPr>
        <w:t xml:space="preserve">Governance </w:t>
      </w:r>
      <w:r w:rsidR="00DA708A" w:rsidRPr="004A3B4A">
        <w:rPr>
          <w:rFonts w:ascii="Georgia" w:hAnsi="Georgia"/>
          <w:b/>
          <w:sz w:val="40"/>
          <w:szCs w:val="40"/>
        </w:rPr>
        <w:t>Group</w:t>
      </w:r>
      <w:r w:rsidR="004A3B4A" w:rsidRPr="004A3B4A">
        <w:rPr>
          <w:rFonts w:ascii="Georgia" w:hAnsi="Georgia"/>
          <w:b/>
          <w:sz w:val="40"/>
          <w:szCs w:val="40"/>
        </w:rPr>
        <w:t xml:space="preserve"> Meeting</w:t>
      </w:r>
    </w:p>
    <w:tbl>
      <w:tblPr>
        <w:tblStyle w:val="TableGrid"/>
        <w:tblW w:w="10008" w:type="dxa"/>
        <w:tblBorders>
          <w:left w:val="none" w:sz="0" w:space="0" w:color="auto"/>
          <w:right w:val="none" w:sz="0" w:space="0" w:color="auto"/>
        </w:tblBorders>
        <w:tblLayout w:type="fixed"/>
        <w:tblLook w:val="01E0" w:firstRow="1" w:lastRow="1" w:firstColumn="1" w:lastColumn="1" w:noHBand="0" w:noVBand="0"/>
      </w:tblPr>
      <w:tblGrid>
        <w:gridCol w:w="1548"/>
        <w:gridCol w:w="8460"/>
      </w:tblGrid>
      <w:tr w:rsidR="004C3CF7" w:rsidRPr="004A3B4A" w14:paraId="3CF0274A" w14:textId="77777777" w:rsidTr="004A3B4A">
        <w:trPr>
          <w:cantSplit/>
        </w:trPr>
        <w:tc>
          <w:tcPr>
            <w:tcW w:w="1548" w:type="dxa"/>
            <w:tcBorders>
              <w:top w:val="single" w:sz="12" w:space="0" w:color="auto"/>
              <w:bottom w:val="single" w:sz="2" w:space="0" w:color="auto"/>
              <w:right w:val="nil"/>
            </w:tcBorders>
          </w:tcPr>
          <w:p w14:paraId="567EA511" w14:textId="77777777" w:rsidR="004C3CF7" w:rsidRPr="004A3B4A" w:rsidRDefault="004C3CF7" w:rsidP="00483785">
            <w:pPr>
              <w:pStyle w:val="TableText"/>
              <w:rPr>
                <w:rFonts w:cs="Arial"/>
                <w:b/>
                <w:sz w:val="20"/>
                <w:szCs w:val="20"/>
              </w:rPr>
            </w:pPr>
            <w:r w:rsidRPr="004A3B4A">
              <w:rPr>
                <w:rFonts w:cs="Arial"/>
                <w:b/>
                <w:sz w:val="20"/>
                <w:szCs w:val="20"/>
              </w:rPr>
              <w:t>Date:</w:t>
            </w:r>
          </w:p>
        </w:tc>
        <w:tc>
          <w:tcPr>
            <w:tcW w:w="8460" w:type="dxa"/>
            <w:tcBorders>
              <w:top w:val="single" w:sz="12" w:space="0" w:color="auto"/>
              <w:left w:val="nil"/>
              <w:bottom w:val="single" w:sz="2" w:space="0" w:color="auto"/>
              <w:right w:val="nil"/>
            </w:tcBorders>
          </w:tcPr>
          <w:p w14:paraId="538F5657" w14:textId="7B56076A" w:rsidR="004C3CF7" w:rsidRPr="003156FC" w:rsidRDefault="00BA72DE" w:rsidP="00187AA9">
            <w:pPr>
              <w:pStyle w:val="TableText"/>
              <w:rPr>
                <w:rFonts w:cs="Arial"/>
                <w:sz w:val="22"/>
                <w:szCs w:val="22"/>
              </w:rPr>
            </w:pPr>
            <w:r w:rsidRPr="003156FC">
              <w:rPr>
                <w:rFonts w:cs="Arial"/>
                <w:sz w:val="22"/>
                <w:szCs w:val="22"/>
              </w:rPr>
              <w:t>1</w:t>
            </w:r>
            <w:r w:rsidR="007B0499" w:rsidRPr="003156FC">
              <w:rPr>
                <w:rFonts w:cs="Arial"/>
                <w:sz w:val="22"/>
                <w:szCs w:val="22"/>
              </w:rPr>
              <w:t>9</w:t>
            </w:r>
            <w:r w:rsidR="00EE49F4" w:rsidRPr="003156FC">
              <w:rPr>
                <w:rFonts w:cs="Arial"/>
                <w:sz w:val="22"/>
                <w:szCs w:val="22"/>
              </w:rPr>
              <w:t xml:space="preserve"> </w:t>
            </w:r>
            <w:r w:rsidR="007B0499" w:rsidRPr="003156FC">
              <w:rPr>
                <w:rFonts w:cs="Arial"/>
                <w:sz w:val="22"/>
                <w:szCs w:val="22"/>
              </w:rPr>
              <w:t>November</w:t>
            </w:r>
            <w:r w:rsidR="007D177B" w:rsidRPr="003156FC">
              <w:rPr>
                <w:rFonts w:cs="Arial"/>
                <w:sz w:val="22"/>
                <w:szCs w:val="22"/>
              </w:rPr>
              <w:t xml:space="preserve"> 2020</w:t>
            </w:r>
          </w:p>
        </w:tc>
      </w:tr>
      <w:tr w:rsidR="004C3CF7" w:rsidRPr="004A3B4A" w14:paraId="0B3562A5" w14:textId="77777777" w:rsidTr="004A3B4A">
        <w:trPr>
          <w:cantSplit/>
        </w:trPr>
        <w:tc>
          <w:tcPr>
            <w:tcW w:w="1548" w:type="dxa"/>
            <w:tcBorders>
              <w:top w:val="single" w:sz="12" w:space="0" w:color="auto"/>
              <w:bottom w:val="single" w:sz="2" w:space="0" w:color="auto"/>
              <w:right w:val="nil"/>
            </w:tcBorders>
          </w:tcPr>
          <w:p w14:paraId="642019FF" w14:textId="77777777" w:rsidR="004C3CF7" w:rsidRPr="004A3B4A" w:rsidRDefault="004C3CF7" w:rsidP="00483785">
            <w:pPr>
              <w:pStyle w:val="TableText"/>
              <w:rPr>
                <w:rFonts w:cs="Arial"/>
                <w:b/>
                <w:sz w:val="20"/>
                <w:szCs w:val="20"/>
              </w:rPr>
            </w:pPr>
            <w:r w:rsidRPr="004A3B4A">
              <w:rPr>
                <w:rFonts w:cs="Arial"/>
                <w:b/>
                <w:sz w:val="20"/>
                <w:szCs w:val="20"/>
              </w:rPr>
              <w:t>Time:</w:t>
            </w:r>
          </w:p>
        </w:tc>
        <w:tc>
          <w:tcPr>
            <w:tcW w:w="8460" w:type="dxa"/>
            <w:tcBorders>
              <w:top w:val="single" w:sz="12" w:space="0" w:color="auto"/>
              <w:left w:val="nil"/>
              <w:bottom w:val="single" w:sz="2" w:space="0" w:color="auto"/>
              <w:right w:val="nil"/>
            </w:tcBorders>
          </w:tcPr>
          <w:p w14:paraId="3E923CDB" w14:textId="1DEB69D9" w:rsidR="004C3CF7" w:rsidRPr="003156FC" w:rsidRDefault="007B0499" w:rsidP="00483785">
            <w:pPr>
              <w:pStyle w:val="TableText"/>
              <w:rPr>
                <w:rFonts w:cs="Arial"/>
                <w:sz w:val="22"/>
                <w:szCs w:val="22"/>
              </w:rPr>
            </w:pPr>
            <w:r w:rsidRPr="003156FC">
              <w:rPr>
                <w:rFonts w:cs="Arial"/>
                <w:sz w:val="22"/>
                <w:szCs w:val="22"/>
              </w:rPr>
              <w:t>2</w:t>
            </w:r>
            <w:r w:rsidR="00187AA9" w:rsidRPr="003156FC">
              <w:rPr>
                <w:rFonts w:cs="Arial"/>
                <w:sz w:val="22"/>
                <w:szCs w:val="22"/>
              </w:rPr>
              <w:t>.</w:t>
            </w:r>
            <w:r w:rsidR="00B75D43">
              <w:rPr>
                <w:rFonts w:cs="Arial"/>
                <w:sz w:val="22"/>
                <w:szCs w:val="22"/>
              </w:rPr>
              <w:t>45</w:t>
            </w:r>
            <w:r w:rsidRPr="003156FC">
              <w:rPr>
                <w:rFonts w:cs="Arial"/>
                <w:sz w:val="22"/>
                <w:szCs w:val="22"/>
              </w:rPr>
              <w:t>p</w:t>
            </w:r>
            <w:r w:rsidR="00187AA9" w:rsidRPr="003156FC">
              <w:rPr>
                <w:rFonts w:cs="Arial"/>
                <w:sz w:val="22"/>
                <w:szCs w:val="22"/>
              </w:rPr>
              <w:t>m</w:t>
            </w:r>
            <w:r w:rsidR="00B75D43">
              <w:rPr>
                <w:rFonts w:cs="Arial"/>
                <w:sz w:val="22"/>
                <w:szCs w:val="22"/>
              </w:rPr>
              <w:t xml:space="preserve"> </w:t>
            </w:r>
            <w:r w:rsidR="00187AA9" w:rsidRPr="003156FC">
              <w:rPr>
                <w:rFonts w:cs="Arial"/>
                <w:sz w:val="22"/>
                <w:szCs w:val="22"/>
              </w:rPr>
              <w:t>-</w:t>
            </w:r>
            <w:r w:rsidR="00B75D43">
              <w:rPr>
                <w:rFonts w:cs="Arial"/>
                <w:sz w:val="22"/>
                <w:szCs w:val="22"/>
              </w:rPr>
              <w:t xml:space="preserve"> </w:t>
            </w:r>
            <w:r w:rsidRPr="003156FC">
              <w:rPr>
                <w:rFonts w:cs="Arial"/>
                <w:sz w:val="22"/>
                <w:szCs w:val="22"/>
              </w:rPr>
              <w:t>3</w:t>
            </w:r>
            <w:r w:rsidR="00187AA9" w:rsidRPr="003156FC">
              <w:rPr>
                <w:rFonts w:cs="Arial"/>
                <w:sz w:val="22"/>
                <w:szCs w:val="22"/>
              </w:rPr>
              <w:t>.</w:t>
            </w:r>
            <w:r w:rsidR="00B75D43">
              <w:rPr>
                <w:rFonts w:cs="Arial"/>
                <w:sz w:val="22"/>
                <w:szCs w:val="22"/>
              </w:rPr>
              <w:t>2</w:t>
            </w:r>
            <w:r w:rsidR="00187AA9" w:rsidRPr="003156FC">
              <w:rPr>
                <w:rFonts w:cs="Arial"/>
                <w:sz w:val="22"/>
                <w:szCs w:val="22"/>
              </w:rPr>
              <w:t>0p</w:t>
            </w:r>
            <w:r w:rsidR="004C3CF7" w:rsidRPr="003156FC">
              <w:rPr>
                <w:rFonts w:cs="Arial"/>
                <w:sz w:val="22"/>
                <w:szCs w:val="22"/>
              </w:rPr>
              <w:t>m</w:t>
            </w:r>
          </w:p>
        </w:tc>
      </w:tr>
      <w:tr w:rsidR="004C3CF7" w:rsidRPr="004A3B4A" w14:paraId="72FF786C" w14:textId="77777777" w:rsidTr="004A3B4A">
        <w:trPr>
          <w:cantSplit/>
        </w:trPr>
        <w:tc>
          <w:tcPr>
            <w:tcW w:w="1548" w:type="dxa"/>
            <w:tcBorders>
              <w:top w:val="single" w:sz="12" w:space="0" w:color="auto"/>
              <w:bottom w:val="single" w:sz="2" w:space="0" w:color="auto"/>
              <w:right w:val="nil"/>
            </w:tcBorders>
          </w:tcPr>
          <w:p w14:paraId="1A16198D" w14:textId="77777777" w:rsidR="004C3CF7" w:rsidRPr="004A3B4A" w:rsidRDefault="004C3CF7" w:rsidP="00483785">
            <w:pPr>
              <w:pStyle w:val="TableText"/>
              <w:rPr>
                <w:rFonts w:cs="Arial"/>
                <w:b/>
                <w:sz w:val="20"/>
                <w:szCs w:val="20"/>
              </w:rPr>
            </w:pPr>
            <w:r w:rsidRPr="004A3B4A">
              <w:rPr>
                <w:rFonts w:cs="Arial"/>
                <w:b/>
                <w:sz w:val="20"/>
                <w:szCs w:val="20"/>
              </w:rPr>
              <w:t>Location:</w:t>
            </w:r>
          </w:p>
        </w:tc>
        <w:tc>
          <w:tcPr>
            <w:tcW w:w="8460" w:type="dxa"/>
            <w:tcBorders>
              <w:top w:val="single" w:sz="12" w:space="0" w:color="auto"/>
              <w:left w:val="nil"/>
              <w:bottom w:val="single" w:sz="2" w:space="0" w:color="auto"/>
              <w:right w:val="nil"/>
            </w:tcBorders>
          </w:tcPr>
          <w:p w14:paraId="5CDF063F" w14:textId="14A555D7" w:rsidR="007B0499" w:rsidRPr="003156FC" w:rsidRDefault="00187AA9" w:rsidP="00EE49F4">
            <w:pPr>
              <w:pStyle w:val="TableText"/>
              <w:rPr>
                <w:rFonts w:cs="Arial"/>
                <w:sz w:val="22"/>
                <w:szCs w:val="22"/>
              </w:rPr>
            </w:pPr>
            <w:r w:rsidRPr="003156FC">
              <w:rPr>
                <w:rFonts w:cs="Arial"/>
                <w:sz w:val="22"/>
                <w:szCs w:val="22"/>
              </w:rPr>
              <w:t>GN.</w:t>
            </w:r>
            <w:r w:rsidR="007B0499" w:rsidRPr="003156FC">
              <w:rPr>
                <w:rFonts w:cs="Arial"/>
                <w:sz w:val="22"/>
                <w:szCs w:val="22"/>
              </w:rPr>
              <w:t>9</w:t>
            </w:r>
            <w:r w:rsidR="00B75D43">
              <w:rPr>
                <w:rFonts w:cs="Arial"/>
                <w:sz w:val="22"/>
                <w:szCs w:val="22"/>
              </w:rPr>
              <w:t xml:space="preserve">, </w:t>
            </w:r>
            <w:r w:rsidR="004C3CF7" w:rsidRPr="003156FC">
              <w:rPr>
                <w:rFonts w:cs="Arial"/>
                <w:sz w:val="22"/>
                <w:szCs w:val="22"/>
              </w:rPr>
              <w:t>Ministry of Health, 133 Molesworth Street</w:t>
            </w:r>
            <w:r w:rsidR="00FB44A3" w:rsidRPr="003156FC">
              <w:rPr>
                <w:rFonts w:cs="Arial"/>
                <w:sz w:val="22"/>
                <w:szCs w:val="22"/>
              </w:rPr>
              <w:t>, Wellington</w:t>
            </w:r>
            <w:r w:rsidR="00DB56C3" w:rsidRPr="003156FC">
              <w:rPr>
                <w:rFonts w:cs="Arial"/>
                <w:sz w:val="22"/>
                <w:szCs w:val="22"/>
              </w:rPr>
              <w:t xml:space="preserve"> and Zoom</w:t>
            </w:r>
          </w:p>
        </w:tc>
      </w:tr>
      <w:tr w:rsidR="004C3CF7" w:rsidRPr="004A3B4A" w14:paraId="579E662A" w14:textId="77777777" w:rsidTr="004A3B4A">
        <w:trPr>
          <w:cantSplit/>
        </w:trPr>
        <w:tc>
          <w:tcPr>
            <w:tcW w:w="1548" w:type="dxa"/>
            <w:tcBorders>
              <w:top w:val="single" w:sz="12" w:space="0" w:color="auto"/>
              <w:bottom w:val="single" w:sz="2" w:space="0" w:color="auto"/>
              <w:right w:val="nil"/>
            </w:tcBorders>
          </w:tcPr>
          <w:p w14:paraId="4DBBC9C2" w14:textId="77777777" w:rsidR="004C3CF7" w:rsidRPr="004A3B4A" w:rsidRDefault="004C3CF7" w:rsidP="00483785">
            <w:pPr>
              <w:pStyle w:val="TableText"/>
              <w:rPr>
                <w:rFonts w:cs="Arial"/>
                <w:b/>
                <w:sz w:val="20"/>
                <w:szCs w:val="20"/>
              </w:rPr>
            </w:pPr>
            <w:r w:rsidRPr="004A3B4A">
              <w:rPr>
                <w:rFonts w:cs="Arial"/>
                <w:b/>
                <w:sz w:val="20"/>
                <w:szCs w:val="20"/>
              </w:rPr>
              <w:t>Chair:</w:t>
            </w:r>
          </w:p>
        </w:tc>
        <w:tc>
          <w:tcPr>
            <w:tcW w:w="8460" w:type="dxa"/>
            <w:tcBorders>
              <w:top w:val="single" w:sz="12" w:space="0" w:color="auto"/>
              <w:left w:val="nil"/>
              <w:bottom w:val="single" w:sz="2" w:space="0" w:color="auto"/>
              <w:right w:val="nil"/>
            </w:tcBorders>
          </w:tcPr>
          <w:p w14:paraId="38380180" w14:textId="77B88648" w:rsidR="004C3CF7" w:rsidRPr="003156FC" w:rsidRDefault="007B0499" w:rsidP="00483785">
            <w:pPr>
              <w:pStyle w:val="TableText"/>
              <w:rPr>
                <w:rFonts w:cs="Arial"/>
                <w:sz w:val="22"/>
                <w:szCs w:val="22"/>
              </w:rPr>
            </w:pPr>
            <w:r w:rsidRPr="003156FC">
              <w:rPr>
                <w:rFonts w:cs="Arial"/>
                <w:sz w:val="22"/>
                <w:szCs w:val="22"/>
              </w:rPr>
              <w:t>Clare Perry, Acting Deputy Director-General, Health System Improvement and Innovation, Ministry of Health</w:t>
            </w:r>
          </w:p>
        </w:tc>
      </w:tr>
      <w:tr w:rsidR="004C3CF7" w:rsidRPr="004A3B4A" w14:paraId="0A6DA089" w14:textId="77777777" w:rsidTr="004A3B4A">
        <w:trPr>
          <w:cantSplit/>
        </w:trPr>
        <w:tc>
          <w:tcPr>
            <w:tcW w:w="1548" w:type="dxa"/>
            <w:tcBorders>
              <w:top w:val="single" w:sz="12" w:space="0" w:color="auto"/>
              <w:bottom w:val="single" w:sz="2" w:space="0" w:color="auto"/>
              <w:right w:val="nil"/>
            </w:tcBorders>
          </w:tcPr>
          <w:p w14:paraId="72C22ADA" w14:textId="77777777" w:rsidR="004C3CF7" w:rsidRPr="004A3B4A" w:rsidRDefault="004C3CF7" w:rsidP="00483785">
            <w:pPr>
              <w:pStyle w:val="TableText"/>
              <w:rPr>
                <w:rFonts w:cs="Arial"/>
                <w:b/>
                <w:sz w:val="20"/>
                <w:szCs w:val="20"/>
              </w:rPr>
            </w:pPr>
            <w:r w:rsidRPr="004A3B4A">
              <w:rPr>
                <w:rFonts w:cs="Arial"/>
                <w:b/>
                <w:sz w:val="20"/>
                <w:szCs w:val="20"/>
              </w:rPr>
              <w:t>Attendees:</w:t>
            </w:r>
          </w:p>
        </w:tc>
        <w:tc>
          <w:tcPr>
            <w:tcW w:w="8460" w:type="dxa"/>
            <w:tcBorders>
              <w:top w:val="single" w:sz="12" w:space="0" w:color="auto"/>
              <w:left w:val="nil"/>
              <w:bottom w:val="single" w:sz="2" w:space="0" w:color="auto"/>
              <w:right w:val="nil"/>
            </w:tcBorders>
          </w:tcPr>
          <w:p w14:paraId="1DF2E5FB" w14:textId="4BA57C0C" w:rsidR="004C3CF7" w:rsidRPr="003156FC" w:rsidRDefault="004A3B4A" w:rsidP="004C7F24">
            <w:pPr>
              <w:pStyle w:val="TableText"/>
              <w:rPr>
                <w:rFonts w:cs="Arial"/>
                <w:sz w:val="22"/>
                <w:szCs w:val="22"/>
              </w:rPr>
            </w:pPr>
            <w:r w:rsidRPr="003156FC">
              <w:rPr>
                <w:rFonts w:cs="Arial"/>
                <w:sz w:val="22"/>
                <w:szCs w:val="22"/>
              </w:rPr>
              <w:t>D</w:t>
            </w:r>
            <w:r w:rsidR="006933D9" w:rsidRPr="003156FC">
              <w:rPr>
                <w:rFonts w:cs="Arial"/>
                <w:sz w:val="22"/>
                <w:szCs w:val="22"/>
              </w:rPr>
              <w:t>eputy Director-General</w:t>
            </w:r>
            <w:r w:rsidR="004C7F24" w:rsidRPr="003156FC">
              <w:rPr>
                <w:rFonts w:cs="Arial"/>
                <w:sz w:val="22"/>
                <w:szCs w:val="22"/>
              </w:rPr>
              <w:t>, Disability, Ministry of Health</w:t>
            </w:r>
            <w:r w:rsidR="006933D9" w:rsidRPr="003156FC">
              <w:rPr>
                <w:rFonts w:cs="Arial"/>
                <w:sz w:val="22"/>
                <w:szCs w:val="22"/>
              </w:rPr>
              <w:br/>
            </w:r>
            <w:r w:rsidR="007D177B" w:rsidRPr="003156FC">
              <w:rPr>
                <w:rFonts w:cs="Arial"/>
                <w:sz w:val="22"/>
                <w:szCs w:val="22"/>
              </w:rPr>
              <w:t>Senior Advisor</w:t>
            </w:r>
            <w:r w:rsidR="004C7F24" w:rsidRPr="003156FC">
              <w:rPr>
                <w:rFonts w:cs="Arial"/>
                <w:sz w:val="22"/>
                <w:szCs w:val="22"/>
              </w:rPr>
              <w:t xml:space="preserve">, DHB Performance, Support and Infrastructure, </w:t>
            </w:r>
            <w:r w:rsidR="00B75D43">
              <w:rPr>
                <w:rFonts w:cs="Arial"/>
                <w:sz w:val="22"/>
                <w:szCs w:val="22"/>
              </w:rPr>
              <w:t xml:space="preserve">Ministry of </w:t>
            </w:r>
            <w:r w:rsidR="004C7F24" w:rsidRPr="003156FC">
              <w:rPr>
                <w:rFonts w:cs="Arial"/>
                <w:sz w:val="22"/>
                <w:szCs w:val="22"/>
              </w:rPr>
              <w:t>Health</w:t>
            </w:r>
            <w:r w:rsidR="006933D9" w:rsidRPr="003156FC">
              <w:rPr>
                <w:rFonts w:cs="Arial"/>
                <w:sz w:val="22"/>
                <w:szCs w:val="22"/>
              </w:rPr>
              <w:br/>
            </w:r>
            <w:r w:rsidR="000E6598" w:rsidRPr="003156FC">
              <w:rPr>
                <w:rFonts w:cs="Arial"/>
                <w:sz w:val="22"/>
                <w:szCs w:val="22"/>
              </w:rPr>
              <w:t xml:space="preserve">Acting Manager, Mental Health and Addiction (on behalf of </w:t>
            </w:r>
            <w:r w:rsidR="007D177B" w:rsidRPr="003156FC">
              <w:rPr>
                <w:rFonts w:cs="Arial"/>
                <w:sz w:val="22"/>
                <w:szCs w:val="22"/>
              </w:rPr>
              <w:t>Group Manager</w:t>
            </w:r>
            <w:r w:rsidR="006933D9" w:rsidRPr="003156FC">
              <w:rPr>
                <w:rFonts w:cs="Arial"/>
                <w:sz w:val="22"/>
                <w:szCs w:val="22"/>
              </w:rPr>
              <w:t xml:space="preserve">, Mental Health and Addiction, </w:t>
            </w:r>
            <w:r w:rsidR="00B75D43">
              <w:rPr>
                <w:rFonts w:cs="Arial"/>
                <w:sz w:val="22"/>
                <w:szCs w:val="22"/>
              </w:rPr>
              <w:t xml:space="preserve">Ministry of </w:t>
            </w:r>
            <w:r w:rsidR="006933D9" w:rsidRPr="003156FC">
              <w:rPr>
                <w:rFonts w:cs="Arial"/>
                <w:sz w:val="22"/>
                <w:szCs w:val="22"/>
              </w:rPr>
              <w:t>Health</w:t>
            </w:r>
            <w:r w:rsidR="000E6598" w:rsidRPr="003156FC">
              <w:rPr>
                <w:rFonts w:cs="Arial"/>
                <w:sz w:val="22"/>
                <w:szCs w:val="22"/>
              </w:rPr>
              <w:t>)</w:t>
            </w:r>
            <w:r w:rsidR="00B276D1" w:rsidRPr="003156FC">
              <w:rPr>
                <w:rFonts w:cs="Arial"/>
                <w:sz w:val="22"/>
                <w:szCs w:val="22"/>
              </w:rPr>
              <w:br/>
              <w:t>Te Apārangi: Māori Alliance Standards Review</w:t>
            </w:r>
            <w:r w:rsidR="004C7F24" w:rsidRPr="003156FC">
              <w:rPr>
                <w:rFonts w:cs="Arial"/>
                <w:sz w:val="22"/>
                <w:szCs w:val="22"/>
              </w:rPr>
              <w:br/>
              <w:t>Standards New Zealand, Ministry of Business Innovation &amp; Employment</w:t>
            </w:r>
            <w:r w:rsidR="007D177B" w:rsidRPr="003156FC">
              <w:rPr>
                <w:rFonts w:cs="Arial"/>
                <w:sz w:val="22"/>
                <w:szCs w:val="22"/>
              </w:rPr>
              <w:t xml:space="preserve"> </w:t>
            </w:r>
            <w:r w:rsidR="007B0499" w:rsidRPr="003156FC">
              <w:rPr>
                <w:rFonts w:cs="Arial"/>
                <w:sz w:val="22"/>
                <w:szCs w:val="22"/>
              </w:rPr>
              <w:br/>
              <w:t>Group Manager, Quality Assurance and Safety</w:t>
            </w:r>
            <w:r w:rsidR="003156FC" w:rsidRPr="003156FC">
              <w:rPr>
                <w:rFonts w:cs="Arial"/>
                <w:sz w:val="22"/>
                <w:szCs w:val="22"/>
              </w:rPr>
              <w:t xml:space="preserve">, </w:t>
            </w:r>
            <w:r w:rsidR="00B75D43">
              <w:rPr>
                <w:rFonts w:cs="Arial"/>
                <w:sz w:val="22"/>
                <w:szCs w:val="22"/>
              </w:rPr>
              <w:t xml:space="preserve">Ministry of </w:t>
            </w:r>
            <w:r w:rsidR="003156FC" w:rsidRPr="003156FC">
              <w:rPr>
                <w:rFonts w:cs="Arial"/>
                <w:sz w:val="22"/>
                <w:szCs w:val="22"/>
              </w:rPr>
              <w:t>Health</w:t>
            </w:r>
            <w:r w:rsidR="005C0416" w:rsidRPr="003156FC">
              <w:rPr>
                <w:rFonts w:cs="Arial"/>
                <w:sz w:val="22"/>
                <w:szCs w:val="22"/>
              </w:rPr>
              <w:br/>
              <w:t xml:space="preserve">Manager, Regulatory Assurance, </w:t>
            </w:r>
            <w:r w:rsidR="00B75D43">
              <w:rPr>
                <w:rFonts w:cs="Arial"/>
                <w:sz w:val="22"/>
                <w:szCs w:val="22"/>
              </w:rPr>
              <w:t xml:space="preserve">Ministry of </w:t>
            </w:r>
            <w:r w:rsidR="005C0416" w:rsidRPr="003156FC">
              <w:rPr>
                <w:rFonts w:cs="Arial"/>
                <w:sz w:val="22"/>
                <w:szCs w:val="22"/>
              </w:rPr>
              <w:t>Health</w:t>
            </w:r>
            <w:r w:rsidR="007D177B" w:rsidRPr="003156FC">
              <w:rPr>
                <w:rFonts w:cs="Arial"/>
                <w:sz w:val="22"/>
                <w:szCs w:val="22"/>
              </w:rPr>
              <w:br/>
            </w:r>
            <w:r w:rsidR="004C7F24" w:rsidRPr="003156FC">
              <w:rPr>
                <w:rFonts w:cs="Arial"/>
                <w:sz w:val="22"/>
                <w:szCs w:val="22"/>
              </w:rPr>
              <w:t xml:space="preserve">Principal Advisor, HealthCERT, </w:t>
            </w:r>
            <w:r w:rsidR="00B75D43">
              <w:rPr>
                <w:rFonts w:cs="Arial"/>
                <w:sz w:val="22"/>
                <w:szCs w:val="22"/>
              </w:rPr>
              <w:t xml:space="preserve">Ministry of </w:t>
            </w:r>
            <w:r w:rsidR="004C7F24" w:rsidRPr="003156FC">
              <w:rPr>
                <w:rFonts w:cs="Arial"/>
                <w:sz w:val="22"/>
                <w:szCs w:val="22"/>
              </w:rPr>
              <w:t>Health</w:t>
            </w:r>
            <w:r w:rsidR="00F96A1A" w:rsidRPr="003156FC">
              <w:rPr>
                <w:rFonts w:cs="Arial"/>
                <w:sz w:val="22"/>
                <w:szCs w:val="22"/>
              </w:rPr>
              <w:br/>
            </w:r>
            <w:r w:rsidR="000E6598" w:rsidRPr="003156FC">
              <w:rPr>
                <w:rFonts w:cs="Arial"/>
                <w:sz w:val="22"/>
                <w:szCs w:val="22"/>
              </w:rPr>
              <w:t xml:space="preserve">Senior </w:t>
            </w:r>
            <w:r w:rsidR="00F96A1A" w:rsidRPr="003156FC">
              <w:rPr>
                <w:rFonts w:cs="Arial"/>
                <w:sz w:val="22"/>
                <w:szCs w:val="22"/>
              </w:rPr>
              <w:t xml:space="preserve">Advisor, HealthCERT, </w:t>
            </w:r>
            <w:r w:rsidR="00B75D43">
              <w:rPr>
                <w:rFonts w:cs="Arial"/>
                <w:sz w:val="22"/>
                <w:szCs w:val="22"/>
              </w:rPr>
              <w:t xml:space="preserve">Ministry of </w:t>
            </w:r>
            <w:r w:rsidR="00F96A1A" w:rsidRPr="003156FC">
              <w:rPr>
                <w:rFonts w:cs="Arial"/>
                <w:sz w:val="22"/>
                <w:szCs w:val="22"/>
              </w:rPr>
              <w:t xml:space="preserve">Health </w:t>
            </w:r>
            <w:r w:rsidR="004C7F24" w:rsidRPr="003156FC">
              <w:rPr>
                <w:rFonts w:cs="Arial"/>
                <w:sz w:val="22"/>
                <w:szCs w:val="22"/>
              </w:rPr>
              <w:br/>
              <w:t xml:space="preserve">Project Manager, HealthCERT, </w:t>
            </w:r>
            <w:r w:rsidR="00B75D43">
              <w:rPr>
                <w:rFonts w:cs="Arial"/>
                <w:sz w:val="22"/>
                <w:szCs w:val="22"/>
              </w:rPr>
              <w:t xml:space="preserve">Ministry of </w:t>
            </w:r>
            <w:r w:rsidR="004C7F24" w:rsidRPr="003156FC">
              <w:rPr>
                <w:rFonts w:cs="Arial"/>
                <w:sz w:val="22"/>
                <w:szCs w:val="22"/>
              </w:rPr>
              <w:t>Health (minutes)</w:t>
            </w:r>
          </w:p>
        </w:tc>
      </w:tr>
      <w:tr w:rsidR="004C3CF7" w:rsidRPr="004A3B4A" w14:paraId="30B8DF71" w14:textId="77777777" w:rsidTr="004A3B4A">
        <w:trPr>
          <w:cantSplit/>
        </w:trPr>
        <w:tc>
          <w:tcPr>
            <w:tcW w:w="1548" w:type="dxa"/>
            <w:tcBorders>
              <w:top w:val="single" w:sz="12" w:space="0" w:color="auto"/>
              <w:bottom w:val="single" w:sz="2" w:space="0" w:color="auto"/>
              <w:right w:val="nil"/>
            </w:tcBorders>
          </w:tcPr>
          <w:p w14:paraId="2AB44CC9" w14:textId="77777777" w:rsidR="004C3CF7" w:rsidRPr="004A3B4A" w:rsidRDefault="004C3CF7" w:rsidP="00483785">
            <w:pPr>
              <w:pStyle w:val="TableText"/>
              <w:rPr>
                <w:rFonts w:cs="Arial"/>
                <w:b/>
                <w:sz w:val="20"/>
                <w:szCs w:val="20"/>
              </w:rPr>
            </w:pPr>
            <w:r w:rsidRPr="004A3B4A">
              <w:rPr>
                <w:rFonts w:cs="Arial"/>
                <w:b/>
                <w:sz w:val="20"/>
                <w:szCs w:val="20"/>
              </w:rPr>
              <w:t>Apologies:</w:t>
            </w:r>
          </w:p>
        </w:tc>
        <w:tc>
          <w:tcPr>
            <w:tcW w:w="8460" w:type="dxa"/>
            <w:tcBorders>
              <w:top w:val="single" w:sz="12" w:space="0" w:color="auto"/>
              <w:left w:val="nil"/>
              <w:bottom w:val="single" w:sz="2" w:space="0" w:color="auto"/>
              <w:right w:val="nil"/>
            </w:tcBorders>
          </w:tcPr>
          <w:p w14:paraId="61F28A84" w14:textId="7A3566E0" w:rsidR="00B039DC" w:rsidRPr="003156FC" w:rsidRDefault="00B039DC" w:rsidP="00EE49F4">
            <w:pPr>
              <w:pStyle w:val="TableText"/>
              <w:rPr>
                <w:rFonts w:cs="Arial"/>
                <w:sz w:val="22"/>
                <w:szCs w:val="22"/>
              </w:rPr>
            </w:pPr>
            <w:r w:rsidRPr="003156FC">
              <w:rPr>
                <w:rFonts w:cs="Arial"/>
                <w:sz w:val="22"/>
                <w:szCs w:val="22"/>
              </w:rPr>
              <w:t>Māori Consumer representative</w:t>
            </w:r>
            <w:r w:rsidRPr="003156FC">
              <w:rPr>
                <w:rFonts w:cs="Arial"/>
                <w:sz w:val="22"/>
                <w:szCs w:val="22"/>
              </w:rPr>
              <w:br/>
            </w:r>
            <w:r w:rsidR="00107C0C" w:rsidRPr="003156FC">
              <w:rPr>
                <w:rFonts w:cs="Arial"/>
                <w:sz w:val="22"/>
                <w:szCs w:val="22"/>
              </w:rPr>
              <w:t xml:space="preserve">Chief Advisor, Nursing </w:t>
            </w:r>
            <w:r w:rsidRPr="003156FC">
              <w:rPr>
                <w:rFonts w:cs="Arial"/>
                <w:sz w:val="22"/>
                <w:szCs w:val="22"/>
              </w:rPr>
              <w:t xml:space="preserve">(on behalf of </w:t>
            </w:r>
            <w:r w:rsidR="007D177B" w:rsidRPr="003156FC">
              <w:rPr>
                <w:rFonts w:cs="Arial"/>
                <w:sz w:val="22"/>
                <w:szCs w:val="22"/>
              </w:rPr>
              <w:t xml:space="preserve">Chief Advisor, Pharmacy, </w:t>
            </w:r>
            <w:r w:rsidR="00B75D43">
              <w:rPr>
                <w:rFonts w:cs="Arial"/>
                <w:sz w:val="22"/>
                <w:szCs w:val="22"/>
              </w:rPr>
              <w:t xml:space="preserve">Ministry of </w:t>
            </w:r>
            <w:r w:rsidR="007D177B" w:rsidRPr="003156FC">
              <w:rPr>
                <w:rFonts w:cs="Arial"/>
                <w:sz w:val="22"/>
                <w:szCs w:val="22"/>
              </w:rPr>
              <w:t>Health</w:t>
            </w:r>
            <w:r w:rsidR="008B21E8">
              <w:rPr>
                <w:rFonts w:cs="Arial"/>
                <w:sz w:val="22"/>
                <w:szCs w:val="22"/>
              </w:rPr>
              <w:t>)</w:t>
            </w:r>
            <w:r w:rsidRPr="003156FC">
              <w:rPr>
                <w:rFonts w:cs="Arial"/>
                <w:sz w:val="22"/>
                <w:szCs w:val="22"/>
              </w:rPr>
              <w:br/>
              <w:t xml:space="preserve">Deputy Director-General, Māori Health, </w:t>
            </w:r>
            <w:r w:rsidR="00B75D43">
              <w:rPr>
                <w:rFonts w:cs="Arial"/>
                <w:sz w:val="22"/>
                <w:szCs w:val="22"/>
              </w:rPr>
              <w:t xml:space="preserve">Ministry of </w:t>
            </w:r>
            <w:r w:rsidR="005C0416" w:rsidRPr="003156FC">
              <w:rPr>
                <w:rFonts w:cs="Arial"/>
                <w:sz w:val="22"/>
                <w:szCs w:val="22"/>
              </w:rPr>
              <w:t>Health</w:t>
            </w:r>
            <w:r w:rsidRPr="003156FC">
              <w:rPr>
                <w:rFonts w:cs="Arial"/>
                <w:sz w:val="22"/>
                <w:szCs w:val="22"/>
              </w:rPr>
              <w:br/>
              <w:t xml:space="preserve">Group Manager, Family and Community Health Policy Section, </w:t>
            </w:r>
            <w:r w:rsidR="00B75D43">
              <w:rPr>
                <w:rFonts w:cs="Arial"/>
                <w:sz w:val="22"/>
                <w:szCs w:val="22"/>
              </w:rPr>
              <w:t>Ministry of</w:t>
            </w:r>
            <w:r w:rsidR="008B21E8">
              <w:rPr>
                <w:rFonts w:cs="Arial"/>
                <w:sz w:val="22"/>
                <w:szCs w:val="22"/>
              </w:rPr>
              <w:t xml:space="preserve"> </w:t>
            </w:r>
            <w:r w:rsidRPr="003156FC">
              <w:rPr>
                <w:rFonts w:cs="Arial"/>
                <w:sz w:val="22"/>
                <w:szCs w:val="22"/>
              </w:rPr>
              <w:t>Health</w:t>
            </w:r>
            <w:r w:rsidR="005C0416" w:rsidRPr="003156FC">
              <w:rPr>
                <w:rFonts w:cs="Arial"/>
                <w:sz w:val="22"/>
                <w:szCs w:val="22"/>
              </w:rPr>
              <w:br/>
              <w:t>Disabled person representative, Enabling Good Lives approach</w:t>
            </w:r>
          </w:p>
        </w:tc>
      </w:tr>
    </w:tbl>
    <w:p w14:paraId="7E66C7E9" w14:textId="77777777" w:rsidR="004C3CF7" w:rsidRPr="004A3B4A" w:rsidRDefault="004C3CF7" w:rsidP="004C3CF7"/>
    <w:tbl>
      <w:tblPr>
        <w:tblStyle w:val="TableGrid"/>
        <w:tblW w:w="5000" w:type="pct"/>
        <w:tblLayout w:type="fixed"/>
        <w:tblLook w:val="01E0" w:firstRow="1" w:lastRow="1" w:firstColumn="1" w:lastColumn="1" w:noHBand="0" w:noVBand="0"/>
      </w:tblPr>
      <w:tblGrid>
        <w:gridCol w:w="704"/>
        <w:gridCol w:w="9209"/>
      </w:tblGrid>
      <w:tr w:rsidR="004C7F24" w:rsidRPr="005C432E" w14:paraId="428C41DC" w14:textId="77777777" w:rsidTr="00D3423C">
        <w:tc>
          <w:tcPr>
            <w:tcW w:w="355" w:type="pct"/>
          </w:tcPr>
          <w:p w14:paraId="703F7260" w14:textId="428B324C" w:rsidR="004C7F24" w:rsidRPr="009F123F" w:rsidRDefault="004C7F24" w:rsidP="00483785">
            <w:pPr>
              <w:tabs>
                <w:tab w:val="right" w:leader="underscore" w:pos="5670"/>
                <w:tab w:val="left" w:pos="6237"/>
              </w:tabs>
              <w:spacing w:before="40" w:after="80"/>
              <w:rPr>
                <w:rFonts w:cs="Arial"/>
                <w:b/>
                <w:sz w:val="22"/>
                <w:szCs w:val="22"/>
              </w:rPr>
            </w:pPr>
            <w:r w:rsidRPr="009F123F">
              <w:rPr>
                <w:rFonts w:cs="Arial"/>
                <w:b/>
                <w:sz w:val="22"/>
                <w:szCs w:val="22"/>
              </w:rPr>
              <w:t>Item</w:t>
            </w:r>
          </w:p>
        </w:tc>
        <w:tc>
          <w:tcPr>
            <w:tcW w:w="4645" w:type="pct"/>
          </w:tcPr>
          <w:p w14:paraId="22959C4A" w14:textId="5B3D2ED2" w:rsidR="004C7F24" w:rsidRPr="009F123F" w:rsidRDefault="004C7F24" w:rsidP="00483785">
            <w:pPr>
              <w:tabs>
                <w:tab w:val="right" w:leader="underscore" w:pos="5670"/>
                <w:tab w:val="left" w:pos="6237"/>
              </w:tabs>
              <w:spacing w:before="40" w:after="80"/>
              <w:rPr>
                <w:sz w:val="22"/>
                <w:szCs w:val="22"/>
              </w:rPr>
            </w:pPr>
            <w:r w:rsidRPr="009F123F">
              <w:rPr>
                <w:rFonts w:cs="Arial"/>
                <w:b/>
                <w:sz w:val="22"/>
                <w:szCs w:val="22"/>
              </w:rPr>
              <w:t>Notes</w:t>
            </w:r>
          </w:p>
        </w:tc>
      </w:tr>
      <w:tr w:rsidR="004C7F24" w:rsidRPr="004C7F24" w14:paraId="4E392D7C" w14:textId="77777777" w:rsidTr="00D3423C">
        <w:tc>
          <w:tcPr>
            <w:tcW w:w="355" w:type="pct"/>
          </w:tcPr>
          <w:p w14:paraId="0A6D5880" w14:textId="77777777" w:rsidR="004C7F24" w:rsidRPr="004C7F24" w:rsidRDefault="004C7F24" w:rsidP="009F123F">
            <w:pPr>
              <w:tabs>
                <w:tab w:val="right" w:leader="underscore" w:pos="5670"/>
                <w:tab w:val="left" w:pos="6237"/>
              </w:tabs>
              <w:spacing w:before="120" w:after="80"/>
              <w:rPr>
                <w:sz w:val="22"/>
                <w:szCs w:val="22"/>
              </w:rPr>
            </w:pPr>
          </w:p>
        </w:tc>
        <w:tc>
          <w:tcPr>
            <w:tcW w:w="4645" w:type="pct"/>
          </w:tcPr>
          <w:p w14:paraId="4E550D93" w14:textId="4E4F50D2" w:rsidR="004C7F24" w:rsidRPr="004C7F24" w:rsidRDefault="004C7F24" w:rsidP="009F123F">
            <w:pPr>
              <w:tabs>
                <w:tab w:val="right" w:leader="underscore" w:pos="5670"/>
                <w:tab w:val="left" w:pos="6237"/>
              </w:tabs>
              <w:spacing w:before="120" w:after="80"/>
              <w:rPr>
                <w:sz w:val="22"/>
                <w:szCs w:val="22"/>
              </w:rPr>
            </w:pPr>
            <w:r>
              <w:rPr>
                <w:sz w:val="22"/>
                <w:szCs w:val="22"/>
              </w:rPr>
              <w:t xml:space="preserve">The </w:t>
            </w:r>
            <w:r w:rsidR="001D6E23">
              <w:rPr>
                <w:sz w:val="22"/>
                <w:szCs w:val="22"/>
              </w:rPr>
              <w:t>meeting opened at 2:45pm with a Karakia</w:t>
            </w:r>
            <w:r>
              <w:rPr>
                <w:sz w:val="22"/>
                <w:szCs w:val="22"/>
              </w:rPr>
              <w:t xml:space="preserve"> </w:t>
            </w:r>
          </w:p>
        </w:tc>
      </w:tr>
      <w:tr w:rsidR="004C7F24" w:rsidRPr="004C7F24" w14:paraId="1BED09AE" w14:textId="77777777" w:rsidTr="00D3423C">
        <w:tc>
          <w:tcPr>
            <w:tcW w:w="355" w:type="pct"/>
          </w:tcPr>
          <w:p w14:paraId="4427302C" w14:textId="47135996" w:rsidR="004C7F24" w:rsidRPr="004C7F24" w:rsidRDefault="004C7F24" w:rsidP="009F123F">
            <w:pPr>
              <w:tabs>
                <w:tab w:val="right" w:leader="underscore" w:pos="5670"/>
                <w:tab w:val="left" w:pos="6237"/>
              </w:tabs>
              <w:spacing w:before="120" w:after="80"/>
              <w:rPr>
                <w:sz w:val="22"/>
                <w:szCs w:val="22"/>
              </w:rPr>
            </w:pPr>
            <w:r w:rsidRPr="004C7F24">
              <w:rPr>
                <w:sz w:val="22"/>
                <w:szCs w:val="22"/>
              </w:rPr>
              <w:t>1</w:t>
            </w:r>
          </w:p>
        </w:tc>
        <w:tc>
          <w:tcPr>
            <w:tcW w:w="4645" w:type="pct"/>
          </w:tcPr>
          <w:p w14:paraId="37EC27AD" w14:textId="31A3C5A4" w:rsidR="004C7F24" w:rsidRPr="009F123F" w:rsidRDefault="004C7F24" w:rsidP="009F123F">
            <w:pPr>
              <w:tabs>
                <w:tab w:val="right" w:leader="underscore" w:pos="5670"/>
                <w:tab w:val="left" w:pos="6237"/>
              </w:tabs>
              <w:spacing w:before="120" w:after="80"/>
              <w:rPr>
                <w:b/>
                <w:sz w:val="22"/>
                <w:szCs w:val="22"/>
              </w:rPr>
            </w:pPr>
            <w:r w:rsidRPr="009F123F">
              <w:rPr>
                <w:b/>
                <w:sz w:val="22"/>
                <w:szCs w:val="22"/>
              </w:rPr>
              <w:t>Welcome</w:t>
            </w:r>
          </w:p>
          <w:p w14:paraId="79BAF9C7" w14:textId="7188154A" w:rsidR="004C7F24" w:rsidRPr="004C7F24" w:rsidRDefault="004C7F24" w:rsidP="009F123F">
            <w:pPr>
              <w:tabs>
                <w:tab w:val="right" w:leader="underscore" w:pos="5670"/>
                <w:tab w:val="left" w:pos="6237"/>
              </w:tabs>
              <w:spacing w:before="120" w:after="80"/>
              <w:rPr>
                <w:sz w:val="22"/>
                <w:szCs w:val="22"/>
              </w:rPr>
            </w:pPr>
            <w:r>
              <w:rPr>
                <w:sz w:val="22"/>
                <w:szCs w:val="22"/>
              </w:rPr>
              <w:t>The Chair</w:t>
            </w:r>
            <w:r w:rsidR="00D3423C">
              <w:rPr>
                <w:sz w:val="22"/>
                <w:szCs w:val="22"/>
              </w:rPr>
              <w:t>,</w:t>
            </w:r>
            <w:r>
              <w:rPr>
                <w:sz w:val="22"/>
                <w:szCs w:val="22"/>
              </w:rPr>
              <w:t xml:space="preserve"> </w:t>
            </w:r>
            <w:r w:rsidR="00D3423C">
              <w:rPr>
                <w:sz w:val="22"/>
                <w:szCs w:val="22"/>
              </w:rPr>
              <w:t xml:space="preserve">Clare Perry, </w:t>
            </w:r>
            <w:r>
              <w:rPr>
                <w:sz w:val="22"/>
                <w:szCs w:val="22"/>
              </w:rPr>
              <w:t xml:space="preserve">welcomed the Governance Group (the Group) to their </w:t>
            </w:r>
            <w:r w:rsidR="001D6E23">
              <w:rPr>
                <w:sz w:val="22"/>
                <w:szCs w:val="22"/>
              </w:rPr>
              <w:t>sixth</w:t>
            </w:r>
            <w:r>
              <w:rPr>
                <w:sz w:val="22"/>
                <w:szCs w:val="22"/>
              </w:rPr>
              <w:t xml:space="preserve"> meeting</w:t>
            </w:r>
            <w:r w:rsidR="000237F9">
              <w:rPr>
                <w:sz w:val="22"/>
                <w:szCs w:val="22"/>
              </w:rPr>
              <w:t xml:space="preserve">, noting it was </w:t>
            </w:r>
            <w:r w:rsidR="00D3423C">
              <w:rPr>
                <w:sz w:val="22"/>
                <w:szCs w:val="22"/>
              </w:rPr>
              <w:t>her</w:t>
            </w:r>
            <w:r w:rsidR="000237F9">
              <w:rPr>
                <w:sz w:val="22"/>
                <w:szCs w:val="22"/>
              </w:rPr>
              <w:t xml:space="preserve"> first</w:t>
            </w:r>
            <w:r w:rsidR="00D3423C">
              <w:rPr>
                <w:sz w:val="22"/>
                <w:szCs w:val="22"/>
              </w:rPr>
              <w:t xml:space="preserve"> </w:t>
            </w:r>
            <w:r w:rsidR="000237F9">
              <w:rPr>
                <w:sz w:val="22"/>
                <w:szCs w:val="22"/>
              </w:rPr>
              <w:t xml:space="preserve">meeting </w:t>
            </w:r>
            <w:r w:rsidR="00B75D43">
              <w:rPr>
                <w:sz w:val="22"/>
                <w:szCs w:val="22"/>
              </w:rPr>
              <w:t xml:space="preserve">with the Group </w:t>
            </w:r>
            <w:r w:rsidR="000237F9">
              <w:rPr>
                <w:sz w:val="22"/>
                <w:szCs w:val="22"/>
              </w:rPr>
              <w:t xml:space="preserve">as the Acting Deputy Director-General. </w:t>
            </w:r>
          </w:p>
        </w:tc>
      </w:tr>
      <w:tr w:rsidR="00F14B7C" w:rsidRPr="004C7F24" w14:paraId="34A9E769" w14:textId="77777777" w:rsidTr="00D3423C">
        <w:tc>
          <w:tcPr>
            <w:tcW w:w="355" w:type="pct"/>
          </w:tcPr>
          <w:p w14:paraId="741CAC78" w14:textId="00DE2264" w:rsidR="00F14B7C" w:rsidRPr="004C7F24" w:rsidRDefault="00F14B7C" w:rsidP="00F14B7C">
            <w:pPr>
              <w:tabs>
                <w:tab w:val="right" w:leader="underscore" w:pos="5670"/>
                <w:tab w:val="left" w:pos="6237"/>
              </w:tabs>
              <w:spacing w:before="120" w:after="80"/>
              <w:rPr>
                <w:sz w:val="22"/>
                <w:szCs w:val="22"/>
              </w:rPr>
            </w:pPr>
            <w:r>
              <w:rPr>
                <w:sz w:val="22"/>
                <w:szCs w:val="22"/>
              </w:rPr>
              <w:t>2</w:t>
            </w:r>
          </w:p>
        </w:tc>
        <w:tc>
          <w:tcPr>
            <w:tcW w:w="4645" w:type="pct"/>
          </w:tcPr>
          <w:p w14:paraId="3CD0C29D" w14:textId="77777777" w:rsidR="00F14B7C" w:rsidRPr="009F123F" w:rsidRDefault="00F14B7C" w:rsidP="00F14B7C">
            <w:pPr>
              <w:tabs>
                <w:tab w:val="right" w:leader="underscore" w:pos="5670"/>
                <w:tab w:val="left" w:pos="6237"/>
              </w:tabs>
              <w:spacing w:before="120" w:after="80"/>
              <w:rPr>
                <w:b/>
                <w:sz w:val="22"/>
                <w:szCs w:val="22"/>
              </w:rPr>
            </w:pPr>
            <w:r>
              <w:rPr>
                <w:b/>
                <w:sz w:val="22"/>
                <w:szCs w:val="22"/>
              </w:rPr>
              <w:t>Te Apārangi update</w:t>
            </w:r>
          </w:p>
          <w:p w14:paraId="2FC6DB7A" w14:textId="44E6051C" w:rsidR="00F14B7C" w:rsidRDefault="00F14B7C" w:rsidP="00F14B7C">
            <w:pPr>
              <w:tabs>
                <w:tab w:val="right" w:leader="underscore" w:pos="5670"/>
                <w:tab w:val="left" w:pos="6237"/>
              </w:tabs>
              <w:spacing w:before="120" w:after="80"/>
              <w:rPr>
                <w:sz w:val="22"/>
                <w:szCs w:val="22"/>
              </w:rPr>
            </w:pPr>
            <w:r>
              <w:rPr>
                <w:sz w:val="22"/>
                <w:szCs w:val="22"/>
              </w:rPr>
              <w:t>Te Apārangi reported progress to</w:t>
            </w:r>
            <w:r w:rsidR="00D3423C">
              <w:rPr>
                <w:sz w:val="22"/>
                <w:szCs w:val="22"/>
              </w:rPr>
              <w:t xml:space="preserve"> </w:t>
            </w:r>
            <w:r>
              <w:rPr>
                <w:sz w:val="22"/>
                <w:szCs w:val="22"/>
              </w:rPr>
              <w:t xml:space="preserve">date with applying a Te Tiriti lens to the review. Three workstreams are now completed: Assessing </w:t>
            </w:r>
            <w:r>
              <w:rPr>
                <w:i/>
                <w:sz w:val="22"/>
                <w:szCs w:val="22"/>
              </w:rPr>
              <w:t xml:space="preserve">Standard 1.4 Recognition of Māori Values and beliefs, </w:t>
            </w:r>
            <w:r>
              <w:rPr>
                <w:sz w:val="22"/>
                <w:szCs w:val="22"/>
              </w:rPr>
              <w:t xml:space="preserve">prioritising Māori participation in working groups, and ensuring partnership decision making in the Standards New Zealand (SNZ) process. </w:t>
            </w:r>
          </w:p>
          <w:p w14:paraId="7ADE9402" w14:textId="77376E05" w:rsidR="00F14B7C" w:rsidRDefault="00F14B7C" w:rsidP="00F14B7C">
            <w:pPr>
              <w:tabs>
                <w:tab w:val="right" w:leader="underscore" w:pos="5670"/>
                <w:tab w:val="left" w:pos="6237"/>
              </w:tabs>
              <w:spacing w:before="120" w:after="80"/>
              <w:rPr>
                <w:sz w:val="22"/>
                <w:szCs w:val="22"/>
              </w:rPr>
            </w:pPr>
            <w:r w:rsidRPr="00D4095A">
              <w:rPr>
                <w:sz w:val="22"/>
                <w:szCs w:val="22"/>
              </w:rPr>
              <w:t xml:space="preserve">The </w:t>
            </w:r>
            <w:r>
              <w:rPr>
                <w:sz w:val="22"/>
                <w:szCs w:val="22"/>
              </w:rPr>
              <w:t xml:space="preserve">Ministry </w:t>
            </w:r>
            <w:r w:rsidR="00D3423C">
              <w:rPr>
                <w:sz w:val="22"/>
                <w:szCs w:val="22"/>
              </w:rPr>
              <w:t xml:space="preserve">of Health </w:t>
            </w:r>
            <w:r>
              <w:rPr>
                <w:sz w:val="22"/>
                <w:szCs w:val="22"/>
              </w:rPr>
              <w:t>had recommended to SNZ that membership of the P8134 Standard Development Committee represent Māori, and for the</w:t>
            </w:r>
            <w:r w:rsidRPr="00D4095A">
              <w:rPr>
                <w:sz w:val="22"/>
                <w:szCs w:val="22"/>
              </w:rPr>
              <w:t xml:space="preserve"> Chair of the P8134 Committee </w:t>
            </w:r>
            <w:r w:rsidR="00777F3D">
              <w:rPr>
                <w:sz w:val="22"/>
                <w:szCs w:val="22"/>
              </w:rPr>
              <w:t xml:space="preserve">to </w:t>
            </w:r>
            <w:r w:rsidRPr="00D4095A">
              <w:rPr>
                <w:sz w:val="22"/>
                <w:szCs w:val="22"/>
              </w:rPr>
              <w:t>be Māori as well as a Lived Experience Advisor</w:t>
            </w:r>
            <w:r>
              <w:rPr>
                <w:sz w:val="22"/>
                <w:szCs w:val="22"/>
              </w:rPr>
              <w:t xml:space="preserve"> of mental health and addiction services (in recognition of He Ara Oranga). Recommendations were taken into consideration by SNZ and </w:t>
            </w:r>
            <w:r>
              <w:rPr>
                <w:rFonts w:cs="Arial"/>
                <w:color w:val="000000"/>
                <w:sz w:val="22"/>
                <w:lang w:val="en-US"/>
              </w:rPr>
              <w:t>the P8134 Committee membership included a diverse range of skills and expertise, although the 50</w:t>
            </w:r>
            <w:r w:rsidR="00777F3D">
              <w:rPr>
                <w:rFonts w:cs="Arial"/>
                <w:color w:val="000000"/>
                <w:sz w:val="22"/>
                <w:lang w:val="en-US"/>
              </w:rPr>
              <w:t xml:space="preserve"> percent</w:t>
            </w:r>
            <w:r>
              <w:rPr>
                <w:rFonts w:cs="Arial"/>
                <w:color w:val="000000"/>
                <w:sz w:val="22"/>
                <w:lang w:val="en-US"/>
              </w:rPr>
              <w:t xml:space="preserve"> recommendation was not met. The appointed membership was made up of 33</w:t>
            </w:r>
            <w:r w:rsidR="00777F3D">
              <w:rPr>
                <w:rFonts w:cs="Arial"/>
                <w:color w:val="000000"/>
                <w:sz w:val="22"/>
                <w:lang w:val="en-US"/>
              </w:rPr>
              <w:t xml:space="preserve"> percent</w:t>
            </w:r>
            <w:r>
              <w:rPr>
                <w:rFonts w:cs="Arial"/>
                <w:color w:val="000000"/>
                <w:sz w:val="22"/>
                <w:lang w:val="en-US"/>
              </w:rPr>
              <w:t xml:space="preserve"> Māori, 33</w:t>
            </w:r>
            <w:r w:rsidR="00777F3D">
              <w:rPr>
                <w:rFonts w:cs="Arial"/>
                <w:color w:val="000000"/>
                <w:sz w:val="22"/>
                <w:lang w:val="en-US"/>
              </w:rPr>
              <w:t xml:space="preserve"> percent</w:t>
            </w:r>
            <w:r>
              <w:rPr>
                <w:rFonts w:cs="Arial"/>
                <w:color w:val="000000"/>
                <w:sz w:val="22"/>
                <w:lang w:val="en-US"/>
              </w:rPr>
              <w:t xml:space="preserve"> Aotearoa New Zealand pakēha, and 33</w:t>
            </w:r>
            <w:r w:rsidR="00777F3D">
              <w:rPr>
                <w:rFonts w:cs="Arial"/>
                <w:color w:val="000000"/>
                <w:sz w:val="22"/>
                <w:lang w:val="en-US"/>
              </w:rPr>
              <w:t xml:space="preserve"> percent</w:t>
            </w:r>
            <w:r>
              <w:rPr>
                <w:rFonts w:cs="Arial"/>
                <w:color w:val="000000"/>
                <w:sz w:val="22"/>
                <w:lang w:val="en-US"/>
              </w:rPr>
              <w:t xml:space="preserve"> people who had chosen to make Aotearoa New Zealand their home.</w:t>
            </w:r>
          </w:p>
          <w:p w14:paraId="47E115E0" w14:textId="748A85EC" w:rsidR="00F14B7C" w:rsidRDefault="00F14B7C" w:rsidP="00F14B7C">
            <w:pPr>
              <w:tabs>
                <w:tab w:val="right" w:leader="underscore" w:pos="5670"/>
                <w:tab w:val="left" w:pos="6237"/>
              </w:tabs>
              <w:spacing w:before="120" w:after="80"/>
              <w:rPr>
                <w:sz w:val="22"/>
                <w:szCs w:val="22"/>
              </w:rPr>
            </w:pPr>
            <w:r>
              <w:rPr>
                <w:sz w:val="22"/>
                <w:szCs w:val="22"/>
              </w:rPr>
              <w:t>The final workstream</w:t>
            </w:r>
            <w:r w:rsidR="00F26771">
              <w:rPr>
                <w:sz w:val="22"/>
                <w:szCs w:val="22"/>
              </w:rPr>
              <w:t xml:space="preserve">, </w:t>
            </w:r>
            <w:r w:rsidR="00F26771" w:rsidRPr="006932D5">
              <w:rPr>
                <w:i/>
                <w:iCs/>
                <w:sz w:val="22"/>
                <w:szCs w:val="22"/>
              </w:rPr>
              <w:t>refining Te Tiriti o Waitangi approach</w:t>
            </w:r>
            <w:r w:rsidR="00F26771">
              <w:rPr>
                <w:sz w:val="22"/>
                <w:szCs w:val="22"/>
              </w:rPr>
              <w:t>,</w:t>
            </w:r>
            <w:r>
              <w:rPr>
                <w:sz w:val="22"/>
                <w:szCs w:val="22"/>
              </w:rPr>
              <w:t xml:space="preserve"> remains </w:t>
            </w:r>
            <w:r w:rsidR="00F26771">
              <w:rPr>
                <w:sz w:val="22"/>
                <w:szCs w:val="22"/>
              </w:rPr>
              <w:t>‘</w:t>
            </w:r>
            <w:r>
              <w:rPr>
                <w:sz w:val="22"/>
                <w:szCs w:val="22"/>
              </w:rPr>
              <w:t>in progress</w:t>
            </w:r>
            <w:r w:rsidR="00F26771">
              <w:rPr>
                <w:sz w:val="22"/>
                <w:szCs w:val="22"/>
              </w:rPr>
              <w:t>’</w:t>
            </w:r>
            <w:r>
              <w:rPr>
                <w:sz w:val="22"/>
                <w:szCs w:val="22"/>
              </w:rPr>
              <w:t xml:space="preserve"> which reflects Te Apārangi’s view </w:t>
            </w:r>
            <w:r w:rsidR="00F26771">
              <w:rPr>
                <w:sz w:val="22"/>
                <w:szCs w:val="22"/>
              </w:rPr>
              <w:t xml:space="preserve">that this workstream </w:t>
            </w:r>
            <w:r>
              <w:rPr>
                <w:sz w:val="22"/>
                <w:szCs w:val="22"/>
              </w:rPr>
              <w:t xml:space="preserve">should remain </w:t>
            </w:r>
            <w:r w:rsidR="00F26771">
              <w:rPr>
                <w:sz w:val="22"/>
                <w:szCs w:val="22"/>
              </w:rPr>
              <w:t>active</w:t>
            </w:r>
            <w:r>
              <w:rPr>
                <w:sz w:val="22"/>
                <w:szCs w:val="22"/>
              </w:rPr>
              <w:t xml:space="preserve"> until the end of the Standards Review, as is it will need to be continually assessed. </w:t>
            </w:r>
          </w:p>
          <w:p w14:paraId="211103AD" w14:textId="540B88CA" w:rsidR="00F14B7C" w:rsidRDefault="00F14B7C" w:rsidP="00F14B7C">
            <w:pPr>
              <w:tabs>
                <w:tab w:val="right" w:leader="underscore" w:pos="5670"/>
                <w:tab w:val="left" w:pos="6237"/>
              </w:tabs>
              <w:spacing w:before="120" w:after="80"/>
              <w:rPr>
                <w:sz w:val="22"/>
                <w:szCs w:val="22"/>
              </w:rPr>
            </w:pPr>
            <w:r>
              <w:rPr>
                <w:sz w:val="22"/>
                <w:szCs w:val="22"/>
              </w:rPr>
              <w:t>In particular</w:t>
            </w:r>
            <w:r w:rsidR="00D3423C">
              <w:rPr>
                <w:sz w:val="22"/>
                <w:szCs w:val="22"/>
              </w:rPr>
              <w:t>,</w:t>
            </w:r>
            <w:r>
              <w:rPr>
                <w:sz w:val="22"/>
                <w:szCs w:val="22"/>
              </w:rPr>
              <w:t xml:space="preserve"> Te Apārangi noted they will be contributing to the implementation of the revised standard. With possible inclusion for End of Life Care regulation and advice on home and community support service sector engagement with regulation</w:t>
            </w:r>
            <w:r w:rsidR="00D36613">
              <w:rPr>
                <w:sz w:val="22"/>
                <w:szCs w:val="22"/>
              </w:rPr>
              <w:t>, should this be mandated</w:t>
            </w:r>
            <w:r>
              <w:rPr>
                <w:sz w:val="22"/>
                <w:szCs w:val="22"/>
              </w:rPr>
              <w:t xml:space="preserve">. </w:t>
            </w:r>
          </w:p>
          <w:p w14:paraId="0B116059" w14:textId="2559EE5D" w:rsidR="00F14B7C" w:rsidRPr="00161A80" w:rsidRDefault="00F14B7C" w:rsidP="00F14B7C">
            <w:pPr>
              <w:tabs>
                <w:tab w:val="right" w:leader="underscore" w:pos="5670"/>
                <w:tab w:val="left" w:pos="6237"/>
              </w:tabs>
              <w:spacing w:before="120" w:after="80"/>
              <w:rPr>
                <w:sz w:val="22"/>
                <w:szCs w:val="22"/>
              </w:rPr>
            </w:pPr>
            <w:r>
              <w:rPr>
                <w:sz w:val="22"/>
                <w:szCs w:val="22"/>
              </w:rPr>
              <w:t>The Group thanked Te Apārangi for their high-quality work. The Group affirmed their support for Te Apārangi’s terms of reference to be extended for an additional year</w:t>
            </w:r>
            <w:r w:rsidR="00D3423C">
              <w:rPr>
                <w:sz w:val="22"/>
                <w:szCs w:val="22"/>
              </w:rPr>
              <w:t>, w</w:t>
            </w:r>
            <w:r>
              <w:rPr>
                <w:sz w:val="22"/>
                <w:szCs w:val="22"/>
              </w:rPr>
              <w:t>ith minor amendment</w:t>
            </w:r>
            <w:r w:rsidR="00D3423C">
              <w:rPr>
                <w:sz w:val="22"/>
                <w:szCs w:val="22"/>
              </w:rPr>
              <w:t>s</w:t>
            </w:r>
            <w:r>
              <w:rPr>
                <w:sz w:val="22"/>
                <w:szCs w:val="22"/>
              </w:rPr>
              <w:t xml:space="preserve"> to the key stak</w:t>
            </w:r>
            <w:r w:rsidR="00BD66A5">
              <w:rPr>
                <w:sz w:val="22"/>
                <w:szCs w:val="22"/>
              </w:rPr>
              <w:t>eholders</w:t>
            </w:r>
            <w:r w:rsidR="00D3423C">
              <w:rPr>
                <w:sz w:val="22"/>
                <w:szCs w:val="22"/>
              </w:rPr>
              <w:t>.</w:t>
            </w:r>
          </w:p>
        </w:tc>
      </w:tr>
      <w:tr w:rsidR="00F14B7C" w:rsidRPr="004C7F24" w14:paraId="5A7EEB2C" w14:textId="77777777" w:rsidTr="00D3423C">
        <w:tc>
          <w:tcPr>
            <w:tcW w:w="355" w:type="pct"/>
          </w:tcPr>
          <w:p w14:paraId="699CB61A" w14:textId="38C14C64" w:rsidR="00F14B7C" w:rsidRDefault="00F14B7C" w:rsidP="00F14B7C">
            <w:pPr>
              <w:tabs>
                <w:tab w:val="right" w:leader="underscore" w:pos="5670"/>
                <w:tab w:val="left" w:pos="6237"/>
              </w:tabs>
              <w:spacing w:before="120" w:after="80"/>
              <w:rPr>
                <w:sz w:val="22"/>
                <w:szCs w:val="22"/>
              </w:rPr>
            </w:pPr>
            <w:r>
              <w:rPr>
                <w:sz w:val="22"/>
                <w:szCs w:val="22"/>
              </w:rPr>
              <w:t>3</w:t>
            </w:r>
          </w:p>
        </w:tc>
        <w:tc>
          <w:tcPr>
            <w:tcW w:w="4645" w:type="pct"/>
          </w:tcPr>
          <w:p w14:paraId="79FC92D0" w14:textId="77777777" w:rsidR="00F14B7C" w:rsidRPr="009F123F" w:rsidRDefault="00F14B7C" w:rsidP="003156FC">
            <w:pPr>
              <w:tabs>
                <w:tab w:val="right" w:leader="underscore" w:pos="5670"/>
                <w:tab w:val="left" w:pos="6237"/>
              </w:tabs>
              <w:spacing w:before="120"/>
              <w:rPr>
                <w:b/>
                <w:sz w:val="22"/>
                <w:szCs w:val="22"/>
              </w:rPr>
            </w:pPr>
            <w:r>
              <w:rPr>
                <w:b/>
                <w:sz w:val="22"/>
                <w:szCs w:val="22"/>
              </w:rPr>
              <w:t>Terms of Reference - Review</w:t>
            </w:r>
          </w:p>
          <w:p w14:paraId="3C030260" w14:textId="08E0AECB" w:rsidR="00F14B7C" w:rsidRPr="009F123F" w:rsidRDefault="00F14B7C" w:rsidP="003156FC">
            <w:pPr>
              <w:tabs>
                <w:tab w:val="right" w:leader="underscore" w:pos="5670"/>
                <w:tab w:val="left" w:pos="6237"/>
              </w:tabs>
              <w:spacing w:after="80"/>
              <w:rPr>
                <w:b/>
                <w:sz w:val="22"/>
                <w:szCs w:val="22"/>
              </w:rPr>
            </w:pPr>
            <w:r w:rsidRPr="00BA3D89">
              <w:rPr>
                <w:sz w:val="22"/>
              </w:rPr>
              <w:t xml:space="preserve">The </w:t>
            </w:r>
            <w:r>
              <w:rPr>
                <w:sz w:val="22"/>
              </w:rPr>
              <w:t xml:space="preserve">amended Terms </w:t>
            </w:r>
            <w:r w:rsidRPr="00677212">
              <w:rPr>
                <w:sz w:val="22"/>
                <w:szCs w:val="22"/>
              </w:rPr>
              <w:t>of Reference were reviewed and</w:t>
            </w:r>
            <w:r w:rsidR="00BD66A5">
              <w:rPr>
                <w:sz w:val="22"/>
                <w:szCs w:val="22"/>
              </w:rPr>
              <w:t xml:space="preserve"> </w:t>
            </w:r>
            <w:r w:rsidRPr="00677212">
              <w:rPr>
                <w:sz w:val="22"/>
                <w:szCs w:val="22"/>
              </w:rPr>
              <w:t xml:space="preserve">accepted by the Group. </w:t>
            </w:r>
          </w:p>
        </w:tc>
      </w:tr>
      <w:tr w:rsidR="00F14B7C" w:rsidRPr="004C7F24" w14:paraId="2B21C510" w14:textId="77777777" w:rsidTr="00D3423C">
        <w:tc>
          <w:tcPr>
            <w:tcW w:w="355" w:type="pct"/>
          </w:tcPr>
          <w:p w14:paraId="14C7125F" w14:textId="11BB557A" w:rsidR="00F14B7C" w:rsidRPr="004C7F24" w:rsidRDefault="00F14B7C" w:rsidP="00F14B7C">
            <w:pPr>
              <w:tabs>
                <w:tab w:val="right" w:leader="underscore" w:pos="5670"/>
                <w:tab w:val="left" w:pos="6237"/>
              </w:tabs>
              <w:spacing w:before="120" w:after="80"/>
              <w:rPr>
                <w:sz w:val="22"/>
                <w:szCs w:val="22"/>
              </w:rPr>
            </w:pPr>
            <w:r>
              <w:rPr>
                <w:sz w:val="22"/>
                <w:szCs w:val="22"/>
              </w:rPr>
              <w:t>4</w:t>
            </w:r>
          </w:p>
        </w:tc>
        <w:tc>
          <w:tcPr>
            <w:tcW w:w="4645" w:type="pct"/>
          </w:tcPr>
          <w:p w14:paraId="4DFB9BD9" w14:textId="77777777" w:rsidR="00F14B7C" w:rsidRPr="009F123F" w:rsidRDefault="00F14B7C" w:rsidP="003156FC">
            <w:pPr>
              <w:tabs>
                <w:tab w:val="right" w:leader="underscore" w:pos="5670"/>
                <w:tab w:val="left" w:pos="6237"/>
              </w:tabs>
              <w:spacing w:before="120"/>
              <w:rPr>
                <w:b/>
                <w:sz w:val="22"/>
                <w:szCs w:val="22"/>
              </w:rPr>
            </w:pPr>
            <w:r w:rsidRPr="009F123F">
              <w:rPr>
                <w:b/>
                <w:sz w:val="22"/>
                <w:szCs w:val="22"/>
              </w:rPr>
              <w:t>Actions of the previous meeting</w:t>
            </w:r>
            <w:r>
              <w:rPr>
                <w:b/>
                <w:sz w:val="22"/>
                <w:szCs w:val="22"/>
              </w:rPr>
              <w:t xml:space="preserve"> update</w:t>
            </w:r>
          </w:p>
          <w:p w14:paraId="234F55DF" w14:textId="4896A295" w:rsidR="00F14B7C" w:rsidRPr="004C7F24" w:rsidRDefault="00F14B7C" w:rsidP="003156FC">
            <w:pPr>
              <w:tabs>
                <w:tab w:val="right" w:leader="underscore" w:pos="5670"/>
                <w:tab w:val="left" w:pos="6237"/>
              </w:tabs>
              <w:spacing w:after="80"/>
              <w:rPr>
                <w:sz w:val="22"/>
                <w:szCs w:val="22"/>
              </w:rPr>
            </w:pPr>
            <w:r>
              <w:rPr>
                <w:sz w:val="22"/>
                <w:szCs w:val="22"/>
              </w:rPr>
              <w:t>There were no outstanding actions.</w:t>
            </w:r>
          </w:p>
        </w:tc>
      </w:tr>
      <w:tr w:rsidR="004C7F24" w:rsidRPr="004C7F24" w14:paraId="3DB8087D" w14:textId="77777777" w:rsidTr="00D3423C">
        <w:tc>
          <w:tcPr>
            <w:tcW w:w="355" w:type="pct"/>
          </w:tcPr>
          <w:p w14:paraId="2B1244D1" w14:textId="362311A6" w:rsidR="004C7F24" w:rsidRPr="004C7F24" w:rsidRDefault="00F14B7C" w:rsidP="009F123F">
            <w:pPr>
              <w:tabs>
                <w:tab w:val="right" w:leader="underscore" w:pos="5670"/>
                <w:tab w:val="left" w:pos="6237"/>
              </w:tabs>
              <w:spacing w:before="120" w:after="80"/>
              <w:rPr>
                <w:sz w:val="22"/>
                <w:szCs w:val="22"/>
              </w:rPr>
            </w:pPr>
            <w:r>
              <w:rPr>
                <w:sz w:val="22"/>
                <w:szCs w:val="22"/>
              </w:rPr>
              <w:t>5</w:t>
            </w:r>
          </w:p>
        </w:tc>
        <w:tc>
          <w:tcPr>
            <w:tcW w:w="4645" w:type="pct"/>
          </w:tcPr>
          <w:p w14:paraId="3D366333" w14:textId="36BD5F4B" w:rsidR="004C7F24" w:rsidRPr="009F123F" w:rsidRDefault="005F5D07" w:rsidP="009F123F">
            <w:pPr>
              <w:tabs>
                <w:tab w:val="right" w:leader="underscore" w:pos="5670"/>
                <w:tab w:val="left" w:pos="6237"/>
              </w:tabs>
              <w:spacing w:before="120" w:after="80"/>
              <w:rPr>
                <w:b/>
                <w:sz w:val="22"/>
                <w:szCs w:val="22"/>
              </w:rPr>
            </w:pPr>
            <w:r>
              <w:rPr>
                <w:b/>
                <w:sz w:val="22"/>
                <w:szCs w:val="22"/>
              </w:rPr>
              <w:t>Project</w:t>
            </w:r>
            <w:r w:rsidR="00353EBC">
              <w:rPr>
                <w:b/>
                <w:sz w:val="22"/>
                <w:szCs w:val="22"/>
              </w:rPr>
              <w:t xml:space="preserve"> Update</w:t>
            </w:r>
            <w:r w:rsidR="00F14B7C">
              <w:rPr>
                <w:b/>
                <w:sz w:val="22"/>
                <w:szCs w:val="22"/>
              </w:rPr>
              <w:t xml:space="preserve"> and Risk Register Review</w:t>
            </w:r>
          </w:p>
          <w:p w14:paraId="2D0EE8FD" w14:textId="6FF4E98C" w:rsidR="00810430" w:rsidRDefault="00810430" w:rsidP="008779E8">
            <w:pPr>
              <w:tabs>
                <w:tab w:val="right" w:leader="underscore" w:pos="5670"/>
                <w:tab w:val="left" w:pos="6237"/>
              </w:tabs>
              <w:spacing w:before="120" w:after="80"/>
              <w:rPr>
                <w:sz w:val="22"/>
                <w:szCs w:val="22"/>
              </w:rPr>
            </w:pPr>
            <w:r>
              <w:rPr>
                <w:sz w:val="22"/>
                <w:szCs w:val="22"/>
              </w:rPr>
              <w:t xml:space="preserve">Phase 4: Standards New Zealand has commenced. </w:t>
            </w:r>
            <w:r w:rsidR="00DD5F25" w:rsidRPr="00DD5F25">
              <w:rPr>
                <w:sz w:val="22"/>
                <w:szCs w:val="22"/>
              </w:rPr>
              <w:t xml:space="preserve">Membership of P8134 Standard Development Committee confirmed by </w:t>
            </w:r>
            <w:r w:rsidR="00DD5F25">
              <w:rPr>
                <w:sz w:val="22"/>
                <w:szCs w:val="22"/>
              </w:rPr>
              <w:t>SNZ</w:t>
            </w:r>
            <w:r w:rsidR="00DD5F25" w:rsidRPr="00DD5F25">
              <w:rPr>
                <w:sz w:val="22"/>
                <w:szCs w:val="22"/>
              </w:rPr>
              <w:t xml:space="preserve"> Board Executive signed off on the membership of the P8134 Standard Development Committee in April 2020.</w:t>
            </w:r>
            <w:r w:rsidR="009C7551">
              <w:t xml:space="preserve"> The </w:t>
            </w:r>
            <w:r w:rsidR="009C7551" w:rsidRPr="009C7551">
              <w:rPr>
                <w:sz w:val="22"/>
                <w:szCs w:val="22"/>
              </w:rPr>
              <w:t xml:space="preserve">P8134 Committee work programme </w:t>
            </w:r>
            <w:r w:rsidR="00D36613">
              <w:rPr>
                <w:sz w:val="22"/>
                <w:szCs w:val="22"/>
              </w:rPr>
              <w:t xml:space="preserve">was </w:t>
            </w:r>
            <w:r w:rsidR="00F26771">
              <w:rPr>
                <w:sz w:val="22"/>
                <w:szCs w:val="22"/>
              </w:rPr>
              <w:t xml:space="preserve">put on hold. The work programme recommenced on 2 June 2020, with all meetings held </w:t>
            </w:r>
            <w:r w:rsidR="008779E8" w:rsidRPr="008779E8">
              <w:rPr>
                <w:sz w:val="22"/>
                <w:szCs w:val="22"/>
              </w:rPr>
              <w:t>over twenty-three, four</w:t>
            </w:r>
            <w:r w:rsidR="00F26771">
              <w:rPr>
                <w:sz w:val="22"/>
                <w:szCs w:val="22"/>
              </w:rPr>
              <w:t>-</w:t>
            </w:r>
            <w:r w:rsidR="008779E8" w:rsidRPr="008779E8">
              <w:rPr>
                <w:sz w:val="22"/>
                <w:szCs w:val="22"/>
              </w:rPr>
              <w:t>hour zoom sessions.</w:t>
            </w:r>
          </w:p>
          <w:p w14:paraId="6F3C037D" w14:textId="48482AF6" w:rsidR="00CD7082" w:rsidRDefault="0012356B" w:rsidP="008779E8">
            <w:pPr>
              <w:tabs>
                <w:tab w:val="right" w:leader="underscore" w:pos="5670"/>
                <w:tab w:val="left" w:pos="6237"/>
              </w:tabs>
              <w:spacing w:before="120" w:after="80"/>
              <w:rPr>
                <w:sz w:val="22"/>
                <w:szCs w:val="22"/>
              </w:rPr>
            </w:pPr>
            <w:r w:rsidRPr="0012356B">
              <w:rPr>
                <w:sz w:val="22"/>
                <w:szCs w:val="22"/>
              </w:rPr>
              <w:t>A Pacific Health Expert standard working group was established by the P8134 Committee to refresh the Pacific Health Standard, who took significant inspiration from the work complete</w:t>
            </w:r>
            <w:r w:rsidR="00D36613">
              <w:rPr>
                <w:sz w:val="22"/>
                <w:szCs w:val="22"/>
              </w:rPr>
              <w:t>d</w:t>
            </w:r>
            <w:r w:rsidRPr="0012356B">
              <w:rPr>
                <w:sz w:val="22"/>
                <w:szCs w:val="22"/>
              </w:rPr>
              <w:t xml:space="preserve"> on 1.1 Pae Ora.</w:t>
            </w:r>
          </w:p>
          <w:p w14:paraId="0C9A6499" w14:textId="07277073" w:rsidR="00CD7082" w:rsidRDefault="00E10F1D" w:rsidP="008779E8">
            <w:pPr>
              <w:tabs>
                <w:tab w:val="right" w:leader="underscore" w:pos="5670"/>
                <w:tab w:val="left" w:pos="6237"/>
              </w:tabs>
              <w:spacing w:before="120" w:after="80"/>
              <w:rPr>
                <w:sz w:val="22"/>
                <w:szCs w:val="22"/>
              </w:rPr>
            </w:pPr>
            <w:r w:rsidRPr="00E10F1D">
              <w:rPr>
                <w:sz w:val="22"/>
                <w:szCs w:val="22"/>
              </w:rPr>
              <w:t xml:space="preserve">The P8134 Committee representative from the New Zealand Nurses Organisation College of Infection Prevention and Control (IPC) Nurses undertook significant work with IPC stakeholders to update the IPC and Antimicrobial stewardship (AMS) section of DZ 8134:2021. This was done with the specific intention to incorporate what was learned during the initial outbreaks of COVID-19 in New Zealand. </w:t>
            </w:r>
          </w:p>
          <w:p w14:paraId="0F118DCD" w14:textId="4DFAEC20" w:rsidR="00CD6676" w:rsidRDefault="00CD6676" w:rsidP="008779E8">
            <w:pPr>
              <w:tabs>
                <w:tab w:val="right" w:leader="underscore" w:pos="5670"/>
                <w:tab w:val="left" w:pos="6237"/>
              </w:tabs>
              <w:spacing w:before="120" w:after="80"/>
              <w:rPr>
                <w:sz w:val="22"/>
                <w:szCs w:val="22"/>
              </w:rPr>
            </w:pPr>
            <w:r w:rsidRPr="00CD6676">
              <w:rPr>
                <w:sz w:val="22"/>
                <w:szCs w:val="22"/>
              </w:rPr>
              <w:tab/>
              <w:t>Abortion sector solutions were incorporated into DZ 8134:2021</w:t>
            </w:r>
            <w:r w:rsidR="006617C4">
              <w:rPr>
                <w:sz w:val="22"/>
                <w:szCs w:val="22"/>
              </w:rPr>
              <w:t xml:space="preserve">. </w:t>
            </w:r>
          </w:p>
          <w:p w14:paraId="51B982D7" w14:textId="5A9664CD" w:rsidR="006617C4" w:rsidRDefault="006617C4" w:rsidP="008779E8">
            <w:pPr>
              <w:tabs>
                <w:tab w:val="right" w:leader="underscore" w:pos="5670"/>
                <w:tab w:val="left" w:pos="6237"/>
              </w:tabs>
              <w:spacing w:before="120" w:after="80"/>
              <w:rPr>
                <w:sz w:val="22"/>
                <w:szCs w:val="22"/>
              </w:rPr>
            </w:pPr>
            <w:r w:rsidRPr="006617C4">
              <w:rPr>
                <w:sz w:val="22"/>
                <w:szCs w:val="22"/>
              </w:rPr>
              <w:t xml:space="preserve">The delay </w:t>
            </w:r>
            <w:r>
              <w:rPr>
                <w:sz w:val="22"/>
                <w:szCs w:val="22"/>
              </w:rPr>
              <w:t xml:space="preserve">caused by </w:t>
            </w:r>
            <w:r w:rsidR="00777F3D">
              <w:rPr>
                <w:sz w:val="22"/>
                <w:szCs w:val="22"/>
              </w:rPr>
              <w:t xml:space="preserve">the COVID-19 </w:t>
            </w:r>
            <w:r>
              <w:rPr>
                <w:sz w:val="22"/>
                <w:szCs w:val="22"/>
              </w:rPr>
              <w:t xml:space="preserve">Alert Level 4 Lockdown </w:t>
            </w:r>
            <w:r w:rsidRPr="006617C4">
              <w:rPr>
                <w:sz w:val="22"/>
                <w:szCs w:val="22"/>
              </w:rPr>
              <w:t xml:space="preserve">resulted in public consultation spanning the </w:t>
            </w:r>
            <w:r w:rsidR="00D36613">
              <w:rPr>
                <w:sz w:val="22"/>
                <w:szCs w:val="22"/>
              </w:rPr>
              <w:t xml:space="preserve">summer </w:t>
            </w:r>
            <w:r w:rsidRPr="006617C4">
              <w:rPr>
                <w:sz w:val="22"/>
                <w:szCs w:val="22"/>
              </w:rPr>
              <w:t>holiday period. Therefore, it was agreed to extend the period of consultation (minimum of 8 weeks) by an additional 2.5 weeks.</w:t>
            </w:r>
            <w:r>
              <w:rPr>
                <w:sz w:val="22"/>
                <w:szCs w:val="22"/>
              </w:rPr>
              <w:t xml:space="preserve"> </w:t>
            </w:r>
          </w:p>
          <w:p w14:paraId="63E33B72" w14:textId="092843FF" w:rsidR="008059DA" w:rsidRPr="008059DA" w:rsidRDefault="006617C4" w:rsidP="008059DA">
            <w:pPr>
              <w:tabs>
                <w:tab w:val="right" w:leader="underscore" w:pos="5670"/>
                <w:tab w:val="left" w:pos="6237"/>
              </w:tabs>
              <w:spacing w:before="120" w:after="80"/>
              <w:rPr>
                <w:sz w:val="22"/>
                <w:szCs w:val="22"/>
              </w:rPr>
            </w:pPr>
            <w:r>
              <w:rPr>
                <w:sz w:val="22"/>
                <w:szCs w:val="22"/>
              </w:rPr>
              <w:t xml:space="preserve">Public consultation commenced on 2 November 2020 and will run through until 13 January 2021. </w:t>
            </w:r>
          </w:p>
        </w:tc>
      </w:tr>
      <w:tr w:rsidR="004C7F24" w:rsidRPr="004C7F24" w14:paraId="5D44B2D9" w14:textId="77777777" w:rsidTr="00D3423C">
        <w:tc>
          <w:tcPr>
            <w:tcW w:w="355" w:type="pct"/>
          </w:tcPr>
          <w:p w14:paraId="0D9CC7FF" w14:textId="253BEAD5" w:rsidR="004C7F24" w:rsidRPr="004C7F24" w:rsidRDefault="00F14B7C" w:rsidP="00FB44A3">
            <w:pPr>
              <w:tabs>
                <w:tab w:val="right" w:leader="underscore" w:pos="5670"/>
                <w:tab w:val="left" w:pos="6237"/>
              </w:tabs>
              <w:spacing w:before="120" w:after="80"/>
              <w:rPr>
                <w:sz w:val="22"/>
                <w:szCs w:val="22"/>
              </w:rPr>
            </w:pPr>
            <w:r>
              <w:rPr>
                <w:sz w:val="22"/>
                <w:szCs w:val="22"/>
              </w:rPr>
              <w:t>6</w:t>
            </w:r>
          </w:p>
        </w:tc>
        <w:tc>
          <w:tcPr>
            <w:tcW w:w="4645" w:type="pct"/>
          </w:tcPr>
          <w:p w14:paraId="655405A4" w14:textId="790B2854" w:rsidR="004C7F24" w:rsidRPr="009F123F" w:rsidRDefault="00224FC6" w:rsidP="009F123F">
            <w:pPr>
              <w:tabs>
                <w:tab w:val="right" w:leader="underscore" w:pos="5670"/>
                <w:tab w:val="left" w:pos="6237"/>
              </w:tabs>
              <w:spacing w:before="120" w:after="80"/>
              <w:rPr>
                <w:b/>
                <w:sz w:val="22"/>
                <w:szCs w:val="22"/>
              </w:rPr>
            </w:pPr>
            <w:r>
              <w:rPr>
                <w:b/>
                <w:sz w:val="22"/>
                <w:szCs w:val="22"/>
              </w:rPr>
              <w:t>Draft Amended Standards Update</w:t>
            </w:r>
          </w:p>
          <w:p w14:paraId="32EB2DA4" w14:textId="51493795" w:rsidR="0099153B" w:rsidRPr="0099153B" w:rsidRDefault="00B627B3" w:rsidP="0099153B">
            <w:pPr>
              <w:tabs>
                <w:tab w:val="right" w:leader="underscore" w:pos="5670"/>
                <w:tab w:val="left" w:pos="6237"/>
              </w:tabs>
              <w:spacing w:after="80"/>
              <w:rPr>
                <w:sz w:val="22"/>
                <w:szCs w:val="22"/>
              </w:rPr>
            </w:pPr>
            <w:r>
              <w:rPr>
                <w:sz w:val="22"/>
                <w:szCs w:val="22"/>
              </w:rPr>
              <w:t xml:space="preserve">The </w:t>
            </w:r>
            <w:r w:rsidR="005C0C24">
              <w:rPr>
                <w:sz w:val="22"/>
                <w:szCs w:val="22"/>
              </w:rPr>
              <w:t>Abortion Legislation Act passed in</w:t>
            </w:r>
            <w:r w:rsidR="00F423BB">
              <w:rPr>
                <w:sz w:val="22"/>
                <w:szCs w:val="22"/>
              </w:rPr>
              <w:t>to law on 23 March</w:t>
            </w:r>
            <w:r w:rsidR="0099153B" w:rsidRPr="0099153B">
              <w:rPr>
                <w:sz w:val="22"/>
                <w:szCs w:val="22"/>
              </w:rPr>
              <w:t xml:space="preserve"> 2020</w:t>
            </w:r>
            <w:r w:rsidR="00F423BB">
              <w:rPr>
                <w:sz w:val="22"/>
                <w:szCs w:val="22"/>
              </w:rPr>
              <w:t xml:space="preserve">. </w:t>
            </w:r>
            <w:r w:rsidR="0099153B" w:rsidRPr="0099153B">
              <w:rPr>
                <w:sz w:val="22"/>
                <w:szCs w:val="22"/>
              </w:rPr>
              <w:t>While this work was led by the Ministry of Justice, the Ministry of Health provided information throughout the process and was a joint advisor (with Justice) to the Select Committee for the Abortion Legislation Bill.</w:t>
            </w:r>
          </w:p>
          <w:p w14:paraId="0342BC28" w14:textId="4E52C85C" w:rsidR="0099153B" w:rsidRPr="0099153B" w:rsidRDefault="0099153B" w:rsidP="0099153B">
            <w:pPr>
              <w:tabs>
                <w:tab w:val="right" w:leader="underscore" w:pos="5670"/>
                <w:tab w:val="left" w:pos="6237"/>
              </w:tabs>
              <w:spacing w:after="80"/>
              <w:rPr>
                <w:sz w:val="22"/>
                <w:szCs w:val="22"/>
              </w:rPr>
            </w:pPr>
            <w:r w:rsidRPr="0099153B">
              <w:rPr>
                <w:sz w:val="22"/>
                <w:szCs w:val="22"/>
              </w:rPr>
              <w:t xml:space="preserve">The passing of the Act decriminalised abortion services and shifted oversight responsibilities from the Ministry of Justice’s Abortion Supervisory Committee (ASC) to the Ministry of Health. </w:t>
            </w:r>
            <w:r w:rsidR="007E2DB0">
              <w:rPr>
                <w:sz w:val="22"/>
                <w:szCs w:val="22"/>
              </w:rPr>
              <w:t xml:space="preserve">Other changes impacted </w:t>
            </w:r>
            <w:r w:rsidRPr="0099153B">
              <w:rPr>
                <w:sz w:val="22"/>
                <w:szCs w:val="22"/>
              </w:rPr>
              <w:t xml:space="preserve">service provision, </w:t>
            </w:r>
            <w:r w:rsidR="007E2DB0">
              <w:rPr>
                <w:sz w:val="22"/>
                <w:szCs w:val="22"/>
              </w:rPr>
              <w:t xml:space="preserve">health practitioners, and </w:t>
            </w:r>
            <w:r w:rsidRPr="0099153B">
              <w:rPr>
                <w:sz w:val="22"/>
                <w:szCs w:val="22"/>
              </w:rPr>
              <w:t>allowed for self-referral</w:t>
            </w:r>
            <w:r w:rsidR="007E2DB0">
              <w:rPr>
                <w:sz w:val="22"/>
                <w:szCs w:val="22"/>
              </w:rPr>
              <w:t xml:space="preserve"> and more. </w:t>
            </w:r>
          </w:p>
          <w:p w14:paraId="5EC35748" w14:textId="061A288D" w:rsidR="007E2DB0" w:rsidRDefault="0099153B" w:rsidP="0099153B">
            <w:pPr>
              <w:tabs>
                <w:tab w:val="right" w:leader="underscore" w:pos="5670"/>
                <w:tab w:val="left" w:pos="6237"/>
              </w:tabs>
              <w:spacing w:after="80"/>
              <w:rPr>
                <w:sz w:val="22"/>
                <w:szCs w:val="22"/>
              </w:rPr>
            </w:pPr>
            <w:r w:rsidRPr="0099153B">
              <w:rPr>
                <w:sz w:val="22"/>
                <w:szCs w:val="22"/>
              </w:rPr>
              <w:t>As a result of these changes, work is now underway to update the abortion service standards and integrate them with the Health and Disability Service</w:t>
            </w:r>
            <w:r w:rsidR="00D3423C">
              <w:rPr>
                <w:sz w:val="22"/>
                <w:szCs w:val="22"/>
              </w:rPr>
              <w:t>s</w:t>
            </w:r>
            <w:r w:rsidRPr="0099153B">
              <w:rPr>
                <w:sz w:val="22"/>
                <w:szCs w:val="22"/>
              </w:rPr>
              <w:t xml:space="preserve"> Standards (HDSS). </w:t>
            </w:r>
          </w:p>
          <w:p w14:paraId="3E21298E" w14:textId="1943F2B9" w:rsidR="007E2DB0" w:rsidRDefault="0099153B" w:rsidP="0099153B">
            <w:pPr>
              <w:tabs>
                <w:tab w:val="right" w:leader="underscore" w:pos="5670"/>
                <w:tab w:val="left" w:pos="6237"/>
              </w:tabs>
              <w:spacing w:after="80"/>
              <w:rPr>
                <w:sz w:val="22"/>
                <w:szCs w:val="22"/>
              </w:rPr>
            </w:pPr>
            <w:r w:rsidRPr="0099153B">
              <w:rPr>
                <w:sz w:val="22"/>
                <w:szCs w:val="22"/>
              </w:rPr>
              <w:t xml:space="preserve">Prior to the passing of the Act, the ASC published a standards of care document for abortion services. In April this year, the Ministry of Health published a set of interim standards for abortion services to align with the new law and the current HDSS. These interim abortion standards were then reviewed and updated by a sector and stakeholder working group. </w:t>
            </w:r>
          </w:p>
          <w:p w14:paraId="4A0A20B0" w14:textId="58DD5560" w:rsidR="00C44E6B" w:rsidRPr="004346BC" w:rsidRDefault="0099153B" w:rsidP="0099153B">
            <w:pPr>
              <w:tabs>
                <w:tab w:val="right" w:leader="underscore" w:pos="5670"/>
                <w:tab w:val="left" w:pos="6237"/>
              </w:tabs>
              <w:spacing w:after="80"/>
              <w:rPr>
                <w:sz w:val="22"/>
                <w:szCs w:val="22"/>
              </w:rPr>
            </w:pPr>
            <w:r w:rsidRPr="0099153B">
              <w:rPr>
                <w:sz w:val="22"/>
                <w:szCs w:val="22"/>
              </w:rPr>
              <w:t xml:space="preserve">The core purpose of this working group was to move the interim standards into the HDSS, as part of the larger HDSS review. </w:t>
            </w:r>
            <w:r w:rsidR="00F532DB">
              <w:rPr>
                <w:sz w:val="22"/>
                <w:szCs w:val="22"/>
              </w:rPr>
              <w:t xml:space="preserve">Following the completion of this additional work, the Group agreed that the Document be approved and progressed to MBIE’s Standard Development Committee. </w:t>
            </w:r>
          </w:p>
        </w:tc>
      </w:tr>
      <w:tr w:rsidR="00F14B7C" w:rsidRPr="004C7F24" w14:paraId="065D62C7" w14:textId="77777777" w:rsidTr="00D3423C">
        <w:tc>
          <w:tcPr>
            <w:tcW w:w="355" w:type="pct"/>
          </w:tcPr>
          <w:p w14:paraId="2CED7946" w14:textId="77777777" w:rsidR="00F14B7C" w:rsidRPr="004C7F24" w:rsidRDefault="00F14B7C" w:rsidP="00F14B7C">
            <w:pPr>
              <w:tabs>
                <w:tab w:val="right" w:leader="underscore" w:pos="5670"/>
                <w:tab w:val="left" w:pos="6237"/>
              </w:tabs>
              <w:spacing w:before="40" w:after="80"/>
              <w:rPr>
                <w:sz w:val="22"/>
                <w:szCs w:val="22"/>
              </w:rPr>
            </w:pPr>
          </w:p>
        </w:tc>
        <w:tc>
          <w:tcPr>
            <w:tcW w:w="4645" w:type="pct"/>
          </w:tcPr>
          <w:p w14:paraId="77287625" w14:textId="77777777" w:rsidR="00F14B7C" w:rsidRDefault="00F14B7C" w:rsidP="003156FC">
            <w:pPr>
              <w:spacing w:before="80"/>
              <w:rPr>
                <w:b/>
                <w:sz w:val="22"/>
                <w:szCs w:val="22"/>
              </w:rPr>
            </w:pPr>
            <w:r w:rsidRPr="009F123F">
              <w:rPr>
                <w:b/>
                <w:sz w:val="22"/>
                <w:szCs w:val="22"/>
              </w:rPr>
              <w:t>Closing comments</w:t>
            </w:r>
          </w:p>
          <w:p w14:paraId="2292E71C" w14:textId="6D123B2C" w:rsidR="00F14B7C" w:rsidRPr="00557327" w:rsidRDefault="00F14B7C" w:rsidP="003156FC">
            <w:pPr>
              <w:spacing w:after="120"/>
              <w:rPr>
                <w:sz w:val="22"/>
              </w:rPr>
            </w:pPr>
            <w:r w:rsidRPr="00557327">
              <w:rPr>
                <w:sz w:val="22"/>
                <w:szCs w:val="22"/>
              </w:rPr>
              <w:t xml:space="preserve">The Chair thanked the Group for their time. The meeting closed </w:t>
            </w:r>
            <w:r w:rsidR="00DB56C3">
              <w:rPr>
                <w:sz w:val="22"/>
                <w:szCs w:val="22"/>
              </w:rPr>
              <w:t xml:space="preserve">with a </w:t>
            </w:r>
            <w:r w:rsidR="00D3423C">
              <w:rPr>
                <w:sz w:val="22"/>
                <w:szCs w:val="22"/>
              </w:rPr>
              <w:t>K</w:t>
            </w:r>
            <w:r w:rsidR="00DB56C3">
              <w:rPr>
                <w:sz w:val="22"/>
                <w:szCs w:val="22"/>
              </w:rPr>
              <w:t xml:space="preserve">arakia </w:t>
            </w:r>
            <w:r w:rsidRPr="00557327">
              <w:rPr>
                <w:sz w:val="22"/>
                <w:szCs w:val="22"/>
              </w:rPr>
              <w:t xml:space="preserve">at </w:t>
            </w:r>
            <w:r w:rsidR="006C4D7F">
              <w:rPr>
                <w:sz w:val="22"/>
                <w:szCs w:val="22"/>
              </w:rPr>
              <w:t>3</w:t>
            </w:r>
            <w:r w:rsidRPr="00557327">
              <w:rPr>
                <w:sz w:val="22"/>
                <w:szCs w:val="22"/>
              </w:rPr>
              <w:t>:</w:t>
            </w:r>
            <w:r w:rsidR="006C4D7F">
              <w:rPr>
                <w:sz w:val="22"/>
                <w:szCs w:val="22"/>
              </w:rPr>
              <w:t>20p</w:t>
            </w:r>
            <w:r w:rsidRPr="00557327">
              <w:rPr>
                <w:sz w:val="22"/>
                <w:szCs w:val="22"/>
              </w:rPr>
              <w:t>m.</w:t>
            </w:r>
          </w:p>
        </w:tc>
      </w:tr>
    </w:tbl>
    <w:p w14:paraId="30156D01" w14:textId="77777777" w:rsidR="00DD1246" w:rsidRPr="004C7F24" w:rsidRDefault="00DD1246" w:rsidP="00DB56C3">
      <w:pPr>
        <w:rPr>
          <w:sz w:val="22"/>
          <w:szCs w:val="22"/>
        </w:rPr>
      </w:pPr>
    </w:p>
    <w:sectPr w:rsidR="00DD1246" w:rsidRPr="004C7F24" w:rsidSect="00AF3E7C">
      <w:footerReference w:type="default" r:id="rId11"/>
      <w:pgSz w:w="11907" w:h="16840" w:code="9"/>
      <w:pgMar w:top="567" w:right="992" w:bottom="624" w:left="992" w:header="567" w:footer="11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57111" w14:textId="77777777" w:rsidR="002D2F92" w:rsidRDefault="002D2F92">
      <w:r>
        <w:separator/>
      </w:r>
    </w:p>
  </w:endnote>
  <w:endnote w:type="continuationSeparator" w:id="0">
    <w:p w14:paraId="2EA69C12" w14:textId="77777777" w:rsidR="002D2F92" w:rsidRDefault="002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szCs w:val="20"/>
      </w:rPr>
      <w:id w:val="-477297122"/>
      <w:docPartObj>
        <w:docPartGallery w:val="Page Numbers (Bottom of Page)"/>
        <w:docPartUnique/>
      </w:docPartObj>
    </w:sdtPr>
    <w:sdtEndPr/>
    <w:sdtContent>
      <w:sdt>
        <w:sdtPr>
          <w:rPr>
            <w:rFonts w:ascii="Arial" w:hAnsi="Arial" w:cs="Arial"/>
            <w:b w:val="0"/>
            <w:szCs w:val="20"/>
          </w:rPr>
          <w:id w:val="-1769616900"/>
          <w:docPartObj>
            <w:docPartGallery w:val="Page Numbers (Top of Page)"/>
            <w:docPartUnique/>
          </w:docPartObj>
        </w:sdtPr>
        <w:sdtEndPr/>
        <w:sdtContent>
          <w:p w14:paraId="024F8964" w14:textId="4E0B68AF" w:rsidR="00516146" w:rsidRPr="00AF3E7C" w:rsidRDefault="00516146">
            <w:pPr>
              <w:pStyle w:val="Footer"/>
              <w:jc w:val="right"/>
              <w:rPr>
                <w:rFonts w:ascii="Arial" w:hAnsi="Arial" w:cs="Arial"/>
                <w:b w:val="0"/>
                <w:szCs w:val="20"/>
              </w:rPr>
            </w:pPr>
            <w:r w:rsidRPr="00AF3E7C">
              <w:rPr>
                <w:rFonts w:ascii="Arial" w:hAnsi="Arial" w:cs="Arial"/>
                <w:b w:val="0"/>
                <w:szCs w:val="20"/>
              </w:rPr>
              <w:t xml:space="preserve">Page </w:t>
            </w:r>
            <w:r w:rsidRPr="00AF3E7C">
              <w:rPr>
                <w:rFonts w:ascii="Arial" w:hAnsi="Arial" w:cs="Arial"/>
                <w:b w:val="0"/>
                <w:bCs/>
                <w:szCs w:val="20"/>
              </w:rPr>
              <w:fldChar w:fldCharType="begin"/>
            </w:r>
            <w:r w:rsidRPr="00AF3E7C">
              <w:rPr>
                <w:rFonts w:ascii="Arial" w:hAnsi="Arial" w:cs="Arial"/>
                <w:b w:val="0"/>
                <w:bCs/>
                <w:szCs w:val="20"/>
              </w:rPr>
              <w:instrText xml:space="preserve"> PAGE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r w:rsidRPr="00AF3E7C">
              <w:rPr>
                <w:rFonts w:ascii="Arial" w:hAnsi="Arial" w:cs="Arial"/>
                <w:b w:val="0"/>
                <w:szCs w:val="20"/>
              </w:rPr>
              <w:t xml:space="preserve"> of </w:t>
            </w:r>
            <w:r w:rsidRPr="00AF3E7C">
              <w:rPr>
                <w:rFonts w:ascii="Arial" w:hAnsi="Arial" w:cs="Arial"/>
                <w:b w:val="0"/>
                <w:bCs/>
                <w:szCs w:val="20"/>
              </w:rPr>
              <w:fldChar w:fldCharType="begin"/>
            </w:r>
            <w:r w:rsidRPr="00AF3E7C">
              <w:rPr>
                <w:rFonts w:ascii="Arial" w:hAnsi="Arial" w:cs="Arial"/>
                <w:b w:val="0"/>
                <w:bCs/>
                <w:szCs w:val="20"/>
              </w:rPr>
              <w:instrText xml:space="preserve"> NUMPAGES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p>
        </w:sdtContent>
      </w:sdt>
    </w:sdtContent>
  </w:sdt>
  <w:p w14:paraId="03803A3B" w14:textId="77777777" w:rsidR="00516146" w:rsidRDefault="0051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5571" w14:textId="77777777" w:rsidR="002D2F92" w:rsidRDefault="002D2F92">
      <w:r>
        <w:separator/>
      </w:r>
    </w:p>
  </w:footnote>
  <w:footnote w:type="continuationSeparator" w:id="0">
    <w:p w14:paraId="0667B35A" w14:textId="77777777" w:rsidR="002D2F92" w:rsidRDefault="002D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B79"/>
    <w:multiLevelType w:val="hybridMultilevel"/>
    <w:tmpl w:val="47DC58DC"/>
    <w:lvl w:ilvl="0" w:tplc="0B702D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AA616F"/>
    <w:multiLevelType w:val="hybridMultilevel"/>
    <w:tmpl w:val="ECF64CA4"/>
    <w:lvl w:ilvl="0" w:tplc="C9B01668">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A3545"/>
    <w:multiLevelType w:val="hybridMultilevel"/>
    <w:tmpl w:val="D70EF748"/>
    <w:lvl w:ilvl="0" w:tplc="68F02A4A">
      <w:start w:val="1"/>
      <w:numFmt w:val="bullet"/>
      <w:lvlText w:val=""/>
      <w:lvlJc w:val="left"/>
      <w:pPr>
        <w:ind w:left="720" w:hanging="360"/>
      </w:pPr>
      <w:rPr>
        <w:rFonts w:ascii="Symbol" w:eastAsiaTheme="minorHAns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971A92"/>
    <w:multiLevelType w:val="hybridMultilevel"/>
    <w:tmpl w:val="37DAFACA"/>
    <w:lvl w:ilvl="0" w:tplc="7F569240">
      <w:start w:val="1"/>
      <w:numFmt w:val="bullet"/>
      <w:lvlText w:val="-"/>
      <w:lvlJc w:val="left"/>
      <w:pPr>
        <w:ind w:left="927" w:hanging="360"/>
      </w:pPr>
      <w:rPr>
        <w:rFonts w:ascii="Arial" w:eastAsia="Times New Roman" w:hAnsi="Arial" w:cs="Aria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714ADE"/>
    <w:multiLevelType w:val="hybridMultilevel"/>
    <w:tmpl w:val="B600A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885E63"/>
    <w:multiLevelType w:val="hybridMultilevel"/>
    <w:tmpl w:val="A4EC7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52544A"/>
    <w:multiLevelType w:val="hybridMultilevel"/>
    <w:tmpl w:val="A1F81D1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30532F18"/>
    <w:multiLevelType w:val="hybridMultilevel"/>
    <w:tmpl w:val="C07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6C60BF"/>
    <w:multiLevelType w:val="hybridMultilevel"/>
    <w:tmpl w:val="A0FED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4C45F4"/>
    <w:multiLevelType w:val="hybridMultilevel"/>
    <w:tmpl w:val="DC8EB8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BAA4D72"/>
    <w:multiLevelType w:val="hybridMultilevel"/>
    <w:tmpl w:val="1BEEE4E8"/>
    <w:lvl w:ilvl="0" w:tplc="E4A647F0">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A810E5"/>
    <w:multiLevelType w:val="hybridMultilevel"/>
    <w:tmpl w:val="9D7E7DB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13A46A9"/>
    <w:multiLevelType w:val="hybridMultilevel"/>
    <w:tmpl w:val="186AF2B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A0C0983"/>
    <w:multiLevelType w:val="hybridMultilevel"/>
    <w:tmpl w:val="1248C714"/>
    <w:lvl w:ilvl="0" w:tplc="DC1EF192">
      <w:start w:val="1"/>
      <w:numFmt w:val="decimal"/>
      <w:lvlText w:val="%1."/>
      <w:lvlJc w:val="left"/>
      <w:pPr>
        <w:ind w:left="360" w:hanging="360"/>
      </w:pPr>
      <w:rPr>
        <w:rFonts w:ascii="Arial" w:eastAsia="Times New Roman" w:hAnsi="Arial" w:cs="Time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17" w15:restartNumberingAfterBreak="0">
    <w:nsid w:val="73D469EE"/>
    <w:multiLevelType w:val="hybridMultilevel"/>
    <w:tmpl w:val="551459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16"/>
  </w:num>
  <w:num w:numId="4">
    <w:abstractNumId w:val="10"/>
  </w:num>
  <w:num w:numId="5">
    <w:abstractNumId w:val="3"/>
  </w:num>
  <w:num w:numId="6">
    <w:abstractNumId w:val="14"/>
  </w:num>
  <w:num w:numId="7">
    <w:abstractNumId w:val="1"/>
  </w:num>
  <w:num w:numId="8">
    <w:abstractNumId w:val="6"/>
  </w:num>
  <w:num w:numId="9">
    <w:abstractNumId w:val="12"/>
  </w:num>
  <w:num w:numId="10">
    <w:abstractNumId w:val="0"/>
  </w:num>
  <w:num w:numId="11">
    <w:abstractNumId w:val="11"/>
  </w:num>
  <w:num w:numId="12">
    <w:abstractNumId w:val="7"/>
  </w:num>
  <w:num w:numId="13">
    <w:abstractNumId w:val="2"/>
  </w:num>
  <w:num w:numId="14">
    <w:abstractNumId w:val="13"/>
  </w:num>
  <w:num w:numId="15">
    <w:abstractNumId w:val="15"/>
  </w:num>
  <w:num w:numId="16">
    <w:abstractNumId w:val="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n-NZ" w:vendorID="64" w:dllVersion="6" w:nlCheck="1" w:checkStyle="1"/>
  <w:activeWritingStyle w:appName="MSWord" w:lang="en-NZ"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6665"/>
    <w:rsid w:val="0001369A"/>
    <w:rsid w:val="000237F9"/>
    <w:rsid w:val="00027E40"/>
    <w:rsid w:val="0003710F"/>
    <w:rsid w:val="00043324"/>
    <w:rsid w:val="00044B48"/>
    <w:rsid w:val="00050697"/>
    <w:rsid w:val="00053CDB"/>
    <w:rsid w:val="0005435B"/>
    <w:rsid w:val="000649D6"/>
    <w:rsid w:val="000675CB"/>
    <w:rsid w:val="00074790"/>
    <w:rsid w:val="00084C18"/>
    <w:rsid w:val="0009709A"/>
    <w:rsid w:val="000A009F"/>
    <w:rsid w:val="000A1F16"/>
    <w:rsid w:val="000A2F23"/>
    <w:rsid w:val="000C37B8"/>
    <w:rsid w:val="000E6598"/>
    <w:rsid w:val="000F5040"/>
    <w:rsid w:val="000F76E7"/>
    <w:rsid w:val="000F77AF"/>
    <w:rsid w:val="0010759F"/>
    <w:rsid w:val="00107C0C"/>
    <w:rsid w:val="001139F6"/>
    <w:rsid w:val="00114D52"/>
    <w:rsid w:val="0012356B"/>
    <w:rsid w:val="0012724C"/>
    <w:rsid w:val="00134BBB"/>
    <w:rsid w:val="00136519"/>
    <w:rsid w:val="00137C9A"/>
    <w:rsid w:val="00155A41"/>
    <w:rsid w:val="00156293"/>
    <w:rsid w:val="00161A80"/>
    <w:rsid w:val="00162F43"/>
    <w:rsid w:val="00170111"/>
    <w:rsid w:val="00175201"/>
    <w:rsid w:val="00181ABF"/>
    <w:rsid w:val="001828E9"/>
    <w:rsid w:val="001834D3"/>
    <w:rsid w:val="0018640A"/>
    <w:rsid w:val="00187AA9"/>
    <w:rsid w:val="00190D84"/>
    <w:rsid w:val="00194D60"/>
    <w:rsid w:val="001C162E"/>
    <w:rsid w:val="001C27C0"/>
    <w:rsid w:val="001D52A9"/>
    <w:rsid w:val="001D6742"/>
    <w:rsid w:val="001D6E23"/>
    <w:rsid w:val="001E1822"/>
    <w:rsid w:val="001E2DCC"/>
    <w:rsid w:val="001F292F"/>
    <w:rsid w:val="00210921"/>
    <w:rsid w:val="00213BBD"/>
    <w:rsid w:val="00214ABA"/>
    <w:rsid w:val="002174BC"/>
    <w:rsid w:val="00224FC6"/>
    <w:rsid w:val="00231C91"/>
    <w:rsid w:val="002345F1"/>
    <w:rsid w:val="002376A2"/>
    <w:rsid w:val="00243C6E"/>
    <w:rsid w:val="00244B13"/>
    <w:rsid w:val="00245E7A"/>
    <w:rsid w:val="00246A53"/>
    <w:rsid w:val="002676D6"/>
    <w:rsid w:val="0027447E"/>
    <w:rsid w:val="00274BFF"/>
    <w:rsid w:val="00275C37"/>
    <w:rsid w:val="00280A23"/>
    <w:rsid w:val="00283DA9"/>
    <w:rsid w:val="0029295D"/>
    <w:rsid w:val="002A1D05"/>
    <w:rsid w:val="002A3B9B"/>
    <w:rsid w:val="002A4D54"/>
    <w:rsid w:val="002B49E8"/>
    <w:rsid w:val="002C2E04"/>
    <w:rsid w:val="002C681A"/>
    <w:rsid w:val="002C7CF5"/>
    <w:rsid w:val="002D2F92"/>
    <w:rsid w:val="002D679B"/>
    <w:rsid w:val="002E1713"/>
    <w:rsid w:val="002E5769"/>
    <w:rsid w:val="002F0FB6"/>
    <w:rsid w:val="002F0FD0"/>
    <w:rsid w:val="00304CDA"/>
    <w:rsid w:val="0030645C"/>
    <w:rsid w:val="003103A6"/>
    <w:rsid w:val="003156FC"/>
    <w:rsid w:val="00325F29"/>
    <w:rsid w:val="00326F50"/>
    <w:rsid w:val="0034743A"/>
    <w:rsid w:val="00351003"/>
    <w:rsid w:val="003515BE"/>
    <w:rsid w:val="00353EBC"/>
    <w:rsid w:val="00361521"/>
    <w:rsid w:val="0036733A"/>
    <w:rsid w:val="00371693"/>
    <w:rsid w:val="00371B64"/>
    <w:rsid w:val="00373666"/>
    <w:rsid w:val="00373F4D"/>
    <w:rsid w:val="00377068"/>
    <w:rsid w:val="003814B1"/>
    <w:rsid w:val="00390833"/>
    <w:rsid w:val="00392D1D"/>
    <w:rsid w:val="003A169D"/>
    <w:rsid w:val="003B13E6"/>
    <w:rsid w:val="003C0969"/>
    <w:rsid w:val="003C1E37"/>
    <w:rsid w:val="003C531B"/>
    <w:rsid w:val="003D11AC"/>
    <w:rsid w:val="003D2E99"/>
    <w:rsid w:val="003D6376"/>
    <w:rsid w:val="003E0E31"/>
    <w:rsid w:val="003E1D0C"/>
    <w:rsid w:val="003E206A"/>
    <w:rsid w:val="003E2A56"/>
    <w:rsid w:val="003E3955"/>
    <w:rsid w:val="003F0AD4"/>
    <w:rsid w:val="003F585B"/>
    <w:rsid w:val="003F6444"/>
    <w:rsid w:val="00407082"/>
    <w:rsid w:val="00410045"/>
    <w:rsid w:val="0041163D"/>
    <w:rsid w:val="0041254F"/>
    <w:rsid w:val="00413102"/>
    <w:rsid w:val="00416C24"/>
    <w:rsid w:val="004175B2"/>
    <w:rsid w:val="00421973"/>
    <w:rsid w:val="00426D0D"/>
    <w:rsid w:val="0043156E"/>
    <w:rsid w:val="00433AD2"/>
    <w:rsid w:val="004346BC"/>
    <w:rsid w:val="00436844"/>
    <w:rsid w:val="00436A4D"/>
    <w:rsid w:val="00441FBC"/>
    <w:rsid w:val="00462189"/>
    <w:rsid w:val="00466ACA"/>
    <w:rsid w:val="00471F6E"/>
    <w:rsid w:val="00473625"/>
    <w:rsid w:val="004757F3"/>
    <w:rsid w:val="00475F7B"/>
    <w:rsid w:val="004769A4"/>
    <w:rsid w:val="00480C49"/>
    <w:rsid w:val="00482FA0"/>
    <w:rsid w:val="00483785"/>
    <w:rsid w:val="00487546"/>
    <w:rsid w:val="004877A2"/>
    <w:rsid w:val="004958DC"/>
    <w:rsid w:val="004A21C2"/>
    <w:rsid w:val="004A3B4A"/>
    <w:rsid w:val="004A455E"/>
    <w:rsid w:val="004A6BAA"/>
    <w:rsid w:val="004B36FA"/>
    <w:rsid w:val="004C3CF7"/>
    <w:rsid w:val="004C53DB"/>
    <w:rsid w:val="004C7F24"/>
    <w:rsid w:val="004D05F3"/>
    <w:rsid w:val="004D3AF8"/>
    <w:rsid w:val="004D4F5A"/>
    <w:rsid w:val="004D55C3"/>
    <w:rsid w:val="004D5848"/>
    <w:rsid w:val="004D655C"/>
    <w:rsid w:val="004E46A2"/>
    <w:rsid w:val="004E6AAC"/>
    <w:rsid w:val="004F4883"/>
    <w:rsid w:val="004F5F3A"/>
    <w:rsid w:val="005004AA"/>
    <w:rsid w:val="00502507"/>
    <w:rsid w:val="00510544"/>
    <w:rsid w:val="005136D4"/>
    <w:rsid w:val="00516146"/>
    <w:rsid w:val="00520F46"/>
    <w:rsid w:val="005337E7"/>
    <w:rsid w:val="00533C44"/>
    <w:rsid w:val="00535566"/>
    <w:rsid w:val="005373EC"/>
    <w:rsid w:val="0055326D"/>
    <w:rsid w:val="00553E57"/>
    <w:rsid w:val="00554245"/>
    <w:rsid w:val="005546D4"/>
    <w:rsid w:val="00557327"/>
    <w:rsid w:val="00562D6B"/>
    <w:rsid w:val="005633F3"/>
    <w:rsid w:val="0056515C"/>
    <w:rsid w:val="00567E7B"/>
    <w:rsid w:val="0057482E"/>
    <w:rsid w:val="00575136"/>
    <w:rsid w:val="00577B82"/>
    <w:rsid w:val="00581AB1"/>
    <w:rsid w:val="00581B6F"/>
    <w:rsid w:val="0058687A"/>
    <w:rsid w:val="005A176E"/>
    <w:rsid w:val="005A44BA"/>
    <w:rsid w:val="005B4AB1"/>
    <w:rsid w:val="005C0416"/>
    <w:rsid w:val="005C09F1"/>
    <w:rsid w:val="005C0C24"/>
    <w:rsid w:val="005C2CF3"/>
    <w:rsid w:val="005C432E"/>
    <w:rsid w:val="005D32F4"/>
    <w:rsid w:val="005D4953"/>
    <w:rsid w:val="005E5964"/>
    <w:rsid w:val="005F1099"/>
    <w:rsid w:val="005F5D07"/>
    <w:rsid w:val="00601D9C"/>
    <w:rsid w:val="00606E7D"/>
    <w:rsid w:val="0061210F"/>
    <w:rsid w:val="006163EA"/>
    <w:rsid w:val="00616DD5"/>
    <w:rsid w:val="006226B0"/>
    <w:rsid w:val="00625A66"/>
    <w:rsid w:val="00627CDC"/>
    <w:rsid w:val="0063125F"/>
    <w:rsid w:val="006343A9"/>
    <w:rsid w:val="00634A6C"/>
    <w:rsid w:val="0064168B"/>
    <w:rsid w:val="006442A5"/>
    <w:rsid w:val="00645201"/>
    <w:rsid w:val="006514B1"/>
    <w:rsid w:val="00651830"/>
    <w:rsid w:val="00653FA6"/>
    <w:rsid w:val="006617C4"/>
    <w:rsid w:val="00666014"/>
    <w:rsid w:val="00666D36"/>
    <w:rsid w:val="00677212"/>
    <w:rsid w:val="00681615"/>
    <w:rsid w:val="0068302E"/>
    <w:rsid w:val="00686182"/>
    <w:rsid w:val="00691636"/>
    <w:rsid w:val="006932D5"/>
    <w:rsid w:val="006933D9"/>
    <w:rsid w:val="006935EC"/>
    <w:rsid w:val="006A694A"/>
    <w:rsid w:val="006A6DFF"/>
    <w:rsid w:val="006C3AB4"/>
    <w:rsid w:val="006C4D7F"/>
    <w:rsid w:val="006C5BCD"/>
    <w:rsid w:val="006D1070"/>
    <w:rsid w:val="006E0737"/>
    <w:rsid w:val="006E372E"/>
    <w:rsid w:val="006E599F"/>
    <w:rsid w:val="006F68D0"/>
    <w:rsid w:val="00712950"/>
    <w:rsid w:val="0072546C"/>
    <w:rsid w:val="00725D0A"/>
    <w:rsid w:val="00727192"/>
    <w:rsid w:val="00740288"/>
    <w:rsid w:val="007434C3"/>
    <w:rsid w:val="00744CA6"/>
    <w:rsid w:val="00747BC2"/>
    <w:rsid w:val="0075272A"/>
    <w:rsid w:val="007749A4"/>
    <w:rsid w:val="00777F3D"/>
    <w:rsid w:val="00794FF7"/>
    <w:rsid w:val="007A0120"/>
    <w:rsid w:val="007B0499"/>
    <w:rsid w:val="007B0E83"/>
    <w:rsid w:val="007B414E"/>
    <w:rsid w:val="007B79CE"/>
    <w:rsid w:val="007C4C36"/>
    <w:rsid w:val="007D017B"/>
    <w:rsid w:val="007D0BE4"/>
    <w:rsid w:val="007D177B"/>
    <w:rsid w:val="007D697E"/>
    <w:rsid w:val="007D7E2D"/>
    <w:rsid w:val="007E2DB0"/>
    <w:rsid w:val="007E492D"/>
    <w:rsid w:val="007F5AF2"/>
    <w:rsid w:val="007F65D4"/>
    <w:rsid w:val="007F6A46"/>
    <w:rsid w:val="007F6CED"/>
    <w:rsid w:val="00802041"/>
    <w:rsid w:val="00802389"/>
    <w:rsid w:val="0080314D"/>
    <w:rsid w:val="008059DA"/>
    <w:rsid w:val="00810430"/>
    <w:rsid w:val="00812043"/>
    <w:rsid w:val="00813768"/>
    <w:rsid w:val="00813D47"/>
    <w:rsid w:val="00824003"/>
    <w:rsid w:val="008329AF"/>
    <w:rsid w:val="008367FE"/>
    <w:rsid w:val="0083691F"/>
    <w:rsid w:val="00847100"/>
    <w:rsid w:val="008559D7"/>
    <w:rsid w:val="00863FE4"/>
    <w:rsid w:val="00870E6F"/>
    <w:rsid w:val="00873D65"/>
    <w:rsid w:val="00874C30"/>
    <w:rsid w:val="008757C9"/>
    <w:rsid w:val="008779E8"/>
    <w:rsid w:val="008847A2"/>
    <w:rsid w:val="00884B15"/>
    <w:rsid w:val="008A0619"/>
    <w:rsid w:val="008A1AA5"/>
    <w:rsid w:val="008A3320"/>
    <w:rsid w:val="008B21E8"/>
    <w:rsid w:val="008C00A2"/>
    <w:rsid w:val="008C3902"/>
    <w:rsid w:val="008D7E6A"/>
    <w:rsid w:val="008E43A2"/>
    <w:rsid w:val="008E4BAE"/>
    <w:rsid w:val="008E6D42"/>
    <w:rsid w:val="008F0EBF"/>
    <w:rsid w:val="008F1BBC"/>
    <w:rsid w:val="008F5297"/>
    <w:rsid w:val="008F58CD"/>
    <w:rsid w:val="008F7957"/>
    <w:rsid w:val="009008E5"/>
    <w:rsid w:val="0090647B"/>
    <w:rsid w:val="009068E2"/>
    <w:rsid w:val="00916A47"/>
    <w:rsid w:val="00916D08"/>
    <w:rsid w:val="009253BF"/>
    <w:rsid w:val="0092561B"/>
    <w:rsid w:val="00931A22"/>
    <w:rsid w:val="00932FE0"/>
    <w:rsid w:val="009401BB"/>
    <w:rsid w:val="009429D0"/>
    <w:rsid w:val="0094471B"/>
    <w:rsid w:val="00951CF9"/>
    <w:rsid w:val="00963BE2"/>
    <w:rsid w:val="009645B6"/>
    <w:rsid w:val="00967B4E"/>
    <w:rsid w:val="0097142E"/>
    <w:rsid w:val="0097163F"/>
    <w:rsid w:val="009842FE"/>
    <w:rsid w:val="0099153B"/>
    <w:rsid w:val="0099548D"/>
    <w:rsid w:val="009A0965"/>
    <w:rsid w:val="009A38BD"/>
    <w:rsid w:val="009B3639"/>
    <w:rsid w:val="009B3A23"/>
    <w:rsid w:val="009B4781"/>
    <w:rsid w:val="009C7551"/>
    <w:rsid w:val="009D0671"/>
    <w:rsid w:val="009D2DA4"/>
    <w:rsid w:val="009D3761"/>
    <w:rsid w:val="009F123F"/>
    <w:rsid w:val="009F2E59"/>
    <w:rsid w:val="009F43C2"/>
    <w:rsid w:val="00A006DA"/>
    <w:rsid w:val="00A02A0B"/>
    <w:rsid w:val="00A02DF8"/>
    <w:rsid w:val="00A07939"/>
    <w:rsid w:val="00A24B3C"/>
    <w:rsid w:val="00A34CFF"/>
    <w:rsid w:val="00A41109"/>
    <w:rsid w:val="00A42800"/>
    <w:rsid w:val="00A47BF8"/>
    <w:rsid w:val="00A502BC"/>
    <w:rsid w:val="00A54328"/>
    <w:rsid w:val="00A54D8A"/>
    <w:rsid w:val="00A555BA"/>
    <w:rsid w:val="00A57CEB"/>
    <w:rsid w:val="00A57E27"/>
    <w:rsid w:val="00A63E3A"/>
    <w:rsid w:val="00A64804"/>
    <w:rsid w:val="00A64C01"/>
    <w:rsid w:val="00A659D5"/>
    <w:rsid w:val="00A6734A"/>
    <w:rsid w:val="00A6770C"/>
    <w:rsid w:val="00A74F07"/>
    <w:rsid w:val="00A8192B"/>
    <w:rsid w:val="00A9045F"/>
    <w:rsid w:val="00A967C2"/>
    <w:rsid w:val="00AA0A39"/>
    <w:rsid w:val="00AA14D3"/>
    <w:rsid w:val="00AC2FC2"/>
    <w:rsid w:val="00AD59BA"/>
    <w:rsid w:val="00AE3ABC"/>
    <w:rsid w:val="00AE47D8"/>
    <w:rsid w:val="00AF3E7C"/>
    <w:rsid w:val="00AF6857"/>
    <w:rsid w:val="00AF7A3A"/>
    <w:rsid w:val="00B039DC"/>
    <w:rsid w:val="00B03B94"/>
    <w:rsid w:val="00B11156"/>
    <w:rsid w:val="00B14C13"/>
    <w:rsid w:val="00B161E6"/>
    <w:rsid w:val="00B276D1"/>
    <w:rsid w:val="00B318E6"/>
    <w:rsid w:val="00B433E3"/>
    <w:rsid w:val="00B5413F"/>
    <w:rsid w:val="00B6099E"/>
    <w:rsid w:val="00B627B3"/>
    <w:rsid w:val="00B63FEE"/>
    <w:rsid w:val="00B75982"/>
    <w:rsid w:val="00B75D43"/>
    <w:rsid w:val="00B768CC"/>
    <w:rsid w:val="00B823CC"/>
    <w:rsid w:val="00B85735"/>
    <w:rsid w:val="00B8784F"/>
    <w:rsid w:val="00B90CA5"/>
    <w:rsid w:val="00B940A8"/>
    <w:rsid w:val="00BA28A7"/>
    <w:rsid w:val="00BA4BCE"/>
    <w:rsid w:val="00BA6B98"/>
    <w:rsid w:val="00BA6BDA"/>
    <w:rsid w:val="00BA72DE"/>
    <w:rsid w:val="00BB0404"/>
    <w:rsid w:val="00BB1E3F"/>
    <w:rsid w:val="00BC36EC"/>
    <w:rsid w:val="00BD130D"/>
    <w:rsid w:val="00BD66A5"/>
    <w:rsid w:val="00BE4F5C"/>
    <w:rsid w:val="00BE5394"/>
    <w:rsid w:val="00BF0FD1"/>
    <w:rsid w:val="00BF4AF3"/>
    <w:rsid w:val="00C00AD6"/>
    <w:rsid w:val="00C01E4A"/>
    <w:rsid w:val="00C05EAD"/>
    <w:rsid w:val="00C1487C"/>
    <w:rsid w:val="00C17199"/>
    <w:rsid w:val="00C34497"/>
    <w:rsid w:val="00C44E6B"/>
    <w:rsid w:val="00C54068"/>
    <w:rsid w:val="00C609B5"/>
    <w:rsid w:val="00C74480"/>
    <w:rsid w:val="00C755A4"/>
    <w:rsid w:val="00C75BEF"/>
    <w:rsid w:val="00C8137F"/>
    <w:rsid w:val="00C86776"/>
    <w:rsid w:val="00C9518B"/>
    <w:rsid w:val="00CA4834"/>
    <w:rsid w:val="00CA5F5D"/>
    <w:rsid w:val="00CB2656"/>
    <w:rsid w:val="00CB282F"/>
    <w:rsid w:val="00CB4602"/>
    <w:rsid w:val="00CB7AC2"/>
    <w:rsid w:val="00CC244D"/>
    <w:rsid w:val="00CC5D65"/>
    <w:rsid w:val="00CC7779"/>
    <w:rsid w:val="00CD1119"/>
    <w:rsid w:val="00CD227E"/>
    <w:rsid w:val="00CD5019"/>
    <w:rsid w:val="00CD6676"/>
    <w:rsid w:val="00CD7082"/>
    <w:rsid w:val="00CE1BCC"/>
    <w:rsid w:val="00CE1ED2"/>
    <w:rsid w:val="00CE4FF8"/>
    <w:rsid w:val="00CE716A"/>
    <w:rsid w:val="00CF4D1A"/>
    <w:rsid w:val="00CF705E"/>
    <w:rsid w:val="00D13B77"/>
    <w:rsid w:val="00D15710"/>
    <w:rsid w:val="00D16DCE"/>
    <w:rsid w:val="00D2061C"/>
    <w:rsid w:val="00D218B2"/>
    <w:rsid w:val="00D2492C"/>
    <w:rsid w:val="00D3423C"/>
    <w:rsid w:val="00D36613"/>
    <w:rsid w:val="00D36767"/>
    <w:rsid w:val="00D37280"/>
    <w:rsid w:val="00D3787F"/>
    <w:rsid w:val="00D4095A"/>
    <w:rsid w:val="00D4139C"/>
    <w:rsid w:val="00D50193"/>
    <w:rsid w:val="00D54A27"/>
    <w:rsid w:val="00D5598B"/>
    <w:rsid w:val="00D66607"/>
    <w:rsid w:val="00D92447"/>
    <w:rsid w:val="00D94C9D"/>
    <w:rsid w:val="00DA035C"/>
    <w:rsid w:val="00DA17A5"/>
    <w:rsid w:val="00DA708A"/>
    <w:rsid w:val="00DB02DB"/>
    <w:rsid w:val="00DB56C3"/>
    <w:rsid w:val="00DB795F"/>
    <w:rsid w:val="00DC3ADF"/>
    <w:rsid w:val="00DC3CD1"/>
    <w:rsid w:val="00DC45FE"/>
    <w:rsid w:val="00DC6BFC"/>
    <w:rsid w:val="00DD1246"/>
    <w:rsid w:val="00DD5F25"/>
    <w:rsid w:val="00DF2246"/>
    <w:rsid w:val="00E01440"/>
    <w:rsid w:val="00E04F02"/>
    <w:rsid w:val="00E07366"/>
    <w:rsid w:val="00E10F1D"/>
    <w:rsid w:val="00E1361F"/>
    <w:rsid w:val="00E140F9"/>
    <w:rsid w:val="00E142D7"/>
    <w:rsid w:val="00E14955"/>
    <w:rsid w:val="00E17012"/>
    <w:rsid w:val="00E17548"/>
    <w:rsid w:val="00E22861"/>
    <w:rsid w:val="00E26FD7"/>
    <w:rsid w:val="00E33ACC"/>
    <w:rsid w:val="00E33B77"/>
    <w:rsid w:val="00E34420"/>
    <w:rsid w:val="00E426F6"/>
    <w:rsid w:val="00E44267"/>
    <w:rsid w:val="00E4647E"/>
    <w:rsid w:val="00E505C5"/>
    <w:rsid w:val="00E50D90"/>
    <w:rsid w:val="00E52C3E"/>
    <w:rsid w:val="00E52EC6"/>
    <w:rsid w:val="00E611F1"/>
    <w:rsid w:val="00E66C53"/>
    <w:rsid w:val="00E72109"/>
    <w:rsid w:val="00E75521"/>
    <w:rsid w:val="00E80A14"/>
    <w:rsid w:val="00E81B2E"/>
    <w:rsid w:val="00E87725"/>
    <w:rsid w:val="00E94374"/>
    <w:rsid w:val="00EA69C2"/>
    <w:rsid w:val="00EB0B44"/>
    <w:rsid w:val="00EB3A1C"/>
    <w:rsid w:val="00EB5EDE"/>
    <w:rsid w:val="00EC0A56"/>
    <w:rsid w:val="00EC5359"/>
    <w:rsid w:val="00EC7E9A"/>
    <w:rsid w:val="00ED0D03"/>
    <w:rsid w:val="00ED51FE"/>
    <w:rsid w:val="00ED693D"/>
    <w:rsid w:val="00EE49F4"/>
    <w:rsid w:val="00EF0B2D"/>
    <w:rsid w:val="00EF3E1E"/>
    <w:rsid w:val="00EF7471"/>
    <w:rsid w:val="00F03EF9"/>
    <w:rsid w:val="00F05BB3"/>
    <w:rsid w:val="00F14B7C"/>
    <w:rsid w:val="00F26771"/>
    <w:rsid w:val="00F33421"/>
    <w:rsid w:val="00F40834"/>
    <w:rsid w:val="00F4105B"/>
    <w:rsid w:val="00F41229"/>
    <w:rsid w:val="00F423BB"/>
    <w:rsid w:val="00F430C6"/>
    <w:rsid w:val="00F47568"/>
    <w:rsid w:val="00F51D8A"/>
    <w:rsid w:val="00F526DB"/>
    <w:rsid w:val="00F532DB"/>
    <w:rsid w:val="00F64B1D"/>
    <w:rsid w:val="00F67AFA"/>
    <w:rsid w:val="00F75AFC"/>
    <w:rsid w:val="00F8537A"/>
    <w:rsid w:val="00F91541"/>
    <w:rsid w:val="00F93B3A"/>
    <w:rsid w:val="00F96A1A"/>
    <w:rsid w:val="00FA404F"/>
    <w:rsid w:val="00FA514B"/>
    <w:rsid w:val="00FB44A3"/>
    <w:rsid w:val="00FC1D66"/>
    <w:rsid w:val="00FC49D1"/>
    <w:rsid w:val="00FC6B7B"/>
    <w:rsid w:val="00FC7263"/>
    <w:rsid w:val="00FD081E"/>
    <w:rsid w:val="00FD3320"/>
    <w:rsid w:val="00FD6ABC"/>
    <w:rsid w:val="00FE110D"/>
    <w:rsid w:val="00FE78AC"/>
    <w:rsid w:val="00FF1404"/>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1CDDA3"/>
  <w15:docId w15:val="{B1A203BB-6FE5-4776-8D2F-FF461034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tabs>
        <w:tab w:val="clear" w:pos="567"/>
        <w:tab w:val="num" w:pos="360"/>
      </w:tabs>
      <w:spacing w:before="120"/>
      <w:ind w:left="0" w:firstLine="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DD1246"/>
  </w:style>
  <w:style w:type="paragraph" w:styleId="ListParagraph">
    <w:name w:val="List Paragraph"/>
    <w:basedOn w:val="Normal"/>
    <w:uiPriority w:val="34"/>
    <w:qFormat/>
    <w:rsid w:val="004175B2"/>
    <w:pPr>
      <w:ind w:left="720"/>
      <w:contextualSpacing/>
    </w:pPr>
  </w:style>
  <w:style w:type="paragraph" w:styleId="BalloonText">
    <w:name w:val="Balloon Text"/>
    <w:basedOn w:val="Normal"/>
    <w:link w:val="BalloonTextChar"/>
    <w:semiHidden/>
    <w:unhideWhenUsed/>
    <w:rsid w:val="00562D6B"/>
    <w:rPr>
      <w:rFonts w:ascii="Segoe UI" w:hAnsi="Segoe UI" w:cs="Segoe UI"/>
      <w:sz w:val="18"/>
      <w:szCs w:val="18"/>
    </w:rPr>
  </w:style>
  <w:style w:type="character" w:customStyle="1" w:styleId="BalloonTextChar">
    <w:name w:val="Balloon Text Char"/>
    <w:basedOn w:val="DefaultParagraphFont"/>
    <w:link w:val="BalloonText"/>
    <w:semiHidden/>
    <w:rsid w:val="00562D6B"/>
    <w:rPr>
      <w:rFonts w:ascii="Segoe UI" w:hAnsi="Segoe UI" w:cs="Segoe UI"/>
      <w:sz w:val="18"/>
      <w:szCs w:val="18"/>
      <w:lang w:eastAsia="en-GB"/>
    </w:rPr>
  </w:style>
  <w:style w:type="character" w:styleId="CommentReference">
    <w:name w:val="annotation reference"/>
    <w:basedOn w:val="DefaultParagraphFont"/>
    <w:semiHidden/>
    <w:unhideWhenUsed/>
    <w:rsid w:val="00BA6BDA"/>
    <w:rPr>
      <w:sz w:val="16"/>
      <w:szCs w:val="16"/>
    </w:rPr>
  </w:style>
  <w:style w:type="paragraph" w:styleId="CommentText">
    <w:name w:val="annotation text"/>
    <w:basedOn w:val="Normal"/>
    <w:link w:val="CommentTextChar"/>
    <w:semiHidden/>
    <w:unhideWhenUsed/>
    <w:rsid w:val="00BA6BDA"/>
    <w:rPr>
      <w:sz w:val="20"/>
      <w:szCs w:val="20"/>
    </w:rPr>
  </w:style>
  <w:style w:type="character" w:customStyle="1" w:styleId="CommentTextChar">
    <w:name w:val="Comment Text Char"/>
    <w:basedOn w:val="DefaultParagraphFont"/>
    <w:link w:val="CommentText"/>
    <w:semiHidden/>
    <w:rsid w:val="00BA6BDA"/>
    <w:rPr>
      <w:rFonts w:ascii="Arial" w:hAnsi="Arial" w:cs="Times"/>
      <w:lang w:eastAsia="en-GB"/>
    </w:rPr>
  </w:style>
  <w:style w:type="paragraph" w:styleId="CommentSubject">
    <w:name w:val="annotation subject"/>
    <w:basedOn w:val="CommentText"/>
    <w:next w:val="CommentText"/>
    <w:link w:val="CommentSubjectChar"/>
    <w:semiHidden/>
    <w:unhideWhenUsed/>
    <w:rsid w:val="00BA6BDA"/>
    <w:rPr>
      <w:b/>
      <w:bCs/>
    </w:rPr>
  </w:style>
  <w:style w:type="character" w:customStyle="1" w:styleId="CommentSubjectChar">
    <w:name w:val="Comment Subject Char"/>
    <w:basedOn w:val="CommentTextChar"/>
    <w:link w:val="CommentSubject"/>
    <w:semiHidden/>
    <w:rsid w:val="00BA6BDA"/>
    <w:rPr>
      <w:rFonts w:ascii="Arial" w:hAnsi="Arial" w:cs="Times"/>
      <w:b/>
      <w:bCs/>
      <w:lang w:eastAsia="en-GB"/>
    </w:rPr>
  </w:style>
  <w:style w:type="character" w:styleId="Hyperlink">
    <w:name w:val="Hyperlink"/>
    <w:basedOn w:val="DefaultParagraphFont"/>
    <w:unhideWhenUsed/>
    <w:rsid w:val="00616DD5"/>
    <w:rPr>
      <w:color w:val="0000FF" w:themeColor="hyperlink"/>
      <w:u w:val="single"/>
    </w:rPr>
  </w:style>
  <w:style w:type="character" w:styleId="UnresolvedMention">
    <w:name w:val="Unresolved Mention"/>
    <w:basedOn w:val="DefaultParagraphFont"/>
    <w:uiPriority w:val="99"/>
    <w:semiHidden/>
    <w:unhideWhenUsed/>
    <w:rsid w:val="00616DD5"/>
    <w:rPr>
      <w:color w:val="605E5C"/>
      <w:shd w:val="clear" w:color="auto" w:fill="E1DFDD"/>
    </w:rPr>
  </w:style>
  <w:style w:type="character" w:customStyle="1" w:styleId="FooterChar">
    <w:name w:val="Footer Char"/>
    <w:basedOn w:val="DefaultParagraphFont"/>
    <w:link w:val="Footer"/>
    <w:uiPriority w:val="99"/>
    <w:rsid w:val="00A24B3C"/>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4d2278145f69b04a6aa354373f576254">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d505c652c9c26ea470dd0569b63a41f"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0013-5BEB-4ACF-B7DD-26F697A98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ADF36-0672-4023-9450-09416BB0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9D1CE-C086-407E-BC63-96F8E52B0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Grain</dc:creator>
  <cp:keywords/>
  <dc:description/>
  <cp:lastModifiedBy>Andrea Seymour</cp:lastModifiedBy>
  <cp:revision>11</cp:revision>
  <cp:lastPrinted>2019-09-02T22:15:00Z</cp:lastPrinted>
  <dcterms:created xsi:type="dcterms:W3CDTF">2020-11-24T03:07:00Z</dcterms:created>
  <dcterms:modified xsi:type="dcterms:W3CDTF">2020-11-25T03:19:00Z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1070422574</vt:i4>
  </property>
  <property fmtid="{D5CDD505-2E9C-101B-9397-08002B2CF9AE}" pid="3" name="_EmailSubject">
    <vt:lpwstr>Fax and memo templates</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1070422574</vt:i4>
  </property>
  <property fmtid="{D5CDD505-2E9C-101B-9397-08002B2CF9AE}" pid="7" name="_ReviewingToolsShownOnce">
    <vt:lpwstr/>
  </property>
  <property fmtid="{D5CDD505-2E9C-101B-9397-08002B2CF9AE}" pid="8" name="ContentTypeId">
    <vt:lpwstr>0x010100FA4F869651CBED4AB058FE7F9F3ED0A7</vt:lpwstr>
  </property>
</Properties>
</file>