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8047B" w14:textId="77777777" w:rsidR="004C36DD" w:rsidRPr="00B0041E" w:rsidRDefault="009B0D92">
      <w:pPr>
        <w:rPr>
          <w:rFonts w:ascii="Tahoma" w:hAnsi="Tahoma" w:cs="Tahoma"/>
          <w:b/>
          <w:sz w:val="22"/>
          <w:szCs w:val="22"/>
        </w:rPr>
      </w:pPr>
      <w:r w:rsidRPr="00B0041E">
        <w:rPr>
          <w:rFonts w:ascii="Tahoma" w:hAnsi="Tahoma" w:cs="Tahoma"/>
          <w:b/>
          <w:sz w:val="22"/>
          <w:szCs w:val="22"/>
        </w:rPr>
        <w:t xml:space="preserve">PSYCHOACTIVE SUBSTANCES </w:t>
      </w:r>
    </w:p>
    <w:p w14:paraId="4740AB97" w14:textId="77777777" w:rsidR="009B0D92" w:rsidRPr="00B0041E" w:rsidRDefault="009B0D92">
      <w:pPr>
        <w:rPr>
          <w:rFonts w:ascii="Tahoma" w:hAnsi="Tahoma" w:cs="Tahoma"/>
          <w:b/>
          <w:sz w:val="22"/>
          <w:szCs w:val="22"/>
        </w:rPr>
      </w:pPr>
      <w:r w:rsidRPr="00B0041E">
        <w:rPr>
          <w:rFonts w:ascii="Tahoma" w:hAnsi="Tahoma" w:cs="Tahoma"/>
          <w:b/>
          <w:sz w:val="22"/>
          <w:szCs w:val="22"/>
        </w:rPr>
        <w:t>APPEALS COMMITTEE</w:t>
      </w:r>
    </w:p>
    <w:p w14:paraId="17038F95" w14:textId="77777777" w:rsidR="00D1789D" w:rsidRPr="00B0041E" w:rsidRDefault="00D1789D">
      <w:pPr>
        <w:rPr>
          <w:rFonts w:ascii="Tahoma" w:hAnsi="Tahoma" w:cs="Tahoma"/>
          <w:b/>
          <w:sz w:val="22"/>
          <w:szCs w:val="22"/>
          <w:u w:val="single"/>
        </w:rPr>
      </w:pPr>
    </w:p>
    <w:p w14:paraId="7EA804CB" w14:textId="77777777" w:rsidR="009B0D92" w:rsidRPr="00B0041E" w:rsidRDefault="009B0D92" w:rsidP="009B0D92">
      <w:pPr>
        <w:ind w:left="4320" w:hanging="2335"/>
        <w:rPr>
          <w:rFonts w:ascii="Tahoma" w:hAnsi="Tahoma" w:cs="Tahoma"/>
          <w:b/>
          <w:noProof/>
          <w:sz w:val="22"/>
          <w:szCs w:val="22"/>
        </w:rPr>
      </w:pPr>
    </w:p>
    <w:p w14:paraId="0ECCCC65" w14:textId="77777777" w:rsidR="002400F9" w:rsidRPr="00B0041E" w:rsidRDefault="004C36DD" w:rsidP="004C36DD">
      <w:pPr>
        <w:ind w:left="4320" w:hanging="2335"/>
        <w:jc w:val="right"/>
        <w:rPr>
          <w:rFonts w:ascii="Tahoma" w:hAnsi="Tahoma" w:cs="Tahoma"/>
          <w:b/>
          <w:noProof/>
          <w:sz w:val="22"/>
          <w:szCs w:val="22"/>
        </w:rPr>
      </w:pPr>
      <w:r w:rsidRPr="00B0041E">
        <w:rPr>
          <w:rFonts w:ascii="Tahoma" w:hAnsi="Tahoma" w:cs="Tahoma"/>
          <w:b/>
          <w:noProof/>
          <w:sz w:val="22"/>
          <w:szCs w:val="22"/>
        </w:rPr>
        <w:t>PSA 201</w:t>
      </w:r>
      <w:r w:rsidR="000B08C0">
        <w:rPr>
          <w:rFonts w:ascii="Tahoma" w:hAnsi="Tahoma" w:cs="Tahoma"/>
          <w:b/>
          <w:noProof/>
          <w:sz w:val="22"/>
          <w:szCs w:val="22"/>
        </w:rPr>
        <w:t>3</w:t>
      </w:r>
      <w:r w:rsidRPr="00B0041E">
        <w:rPr>
          <w:rFonts w:ascii="Tahoma" w:hAnsi="Tahoma" w:cs="Tahoma"/>
          <w:b/>
          <w:noProof/>
          <w:sz w:val="22"/>
          <w:szCs w:val="22"/>
        </w:rPr>
        <w:t>/00</w:t>
      </w:r>
      <w:r w:rsidR="000B08C0">
        <w:rPr>
          <w:rFonts w:ascii="Tahoma" w:hAnsi="Tahoma" w:cs="Tahoma"/>
          <w:b/>
          <w:noProof/>
          <w:sz w:val="22"/>
          <w:szCs w:val="22"/>
        </w:rPr>
        <w:t>3</w:t>
      </w:r>
    </w:p>
    <w:p w14:paraId="61CA00DA" w14:textId="77777777" w:rsidR="002400F9" w:rsidRPr="00B0041E" w:rsidRDefault="002400F9" w:rsidP="009B0D92">
      <w:pPr>
        <w:ind w:left="4320" w:hanging="2335"/>
        <w:rPr>
          <w:rFonts w:ascii="Tahoma" w:hAnsi="Tahoma" w:cs="Tahoma"/>
          <w:b/>
          <w:noProof/>
          <w:sz w:val="22"/>
          <w:szCs w:val="22"/>
        </w:rPr>
      </w:pPr>
    </w:p>
    <w:p w14:paraId="1D8F93F3" w14:textId="77777777" w:rsidR="004C36DD" w:rsidRPr="00B0041E" w:rsidRDefault="004C36DD" w:rsidP="009B0D92">
      <w:pPr>
        <w:ind w:left="4320" w:hanging="2335"/>
        <w:rPr>
          <w:rFonts w:ascii="Tahoma" w:hAnsi="Tahoma" w:cs="Tahoma"/>
          <w:b/>
          <w:noProof/>
          <w:sz w:val="22"/>
          <w:szCs w:val="22"/>
        </w:rPr>
      </w:pPr>
    </w:p>
    <w:p w14:paraId="282B8235" w14:textId="77777777" w:rsidR="009B0D92" w:rsidRPr="00B0041E" w:rsidRDefault="009B0D92" w:rsidP="0039576F">
      <w:pPr>
        <w:ind w:left="4320" w:hanging="2335"/>
        <w:rPr>
          <w:rFonts w:ascii="Tahoma" w:hAnsi="Tahoma" w:cs="Tahoma"/>
          <w:noProof/>
          <w:sz w:val="22"/>
          <w:szCs w:val="22"/>
        </w:rPr>
      </w:pPr>
      <w:r w:rsidRPr="00B0041E">
        <w:rPr>
          <w:rFonts w:ascii="Tahoma" w:hAnsi="Tahoma" w:cs="Tahoma"/>
          <w:b/>
          <w:noProof/>
          <w:sz w:val="22"/>
          <w:szCs w:val="22"/>
        </w:rPr>
        <w:t>IN THE MATTER OF</w:t>
      </w:r>
      <w:r w:rsidRPr="00B0041E">
        <w:rPr>
          <w:rFonts w:ascii="Tahoma" w:hAnsi="Tahoma" w:cs="Tahoma"/>
          <w:b/>
          <w:noProof/>
          <w:sz w:val="22"/>
          <w:szCs w:val="22"/>
        </w:rPr>
        <w:tab/>
      </w:r>
      <w:r w:rsidRPr="00B0041E">
        <w:rPr>
          <w:rFonts w:ascii="Tahoma" w:hAnsi="Tahoma" w:cs="Tahoma"/>
          <w:noProof/>
          <w:sz w:val="22"/>
          <w:szCs w:val="22"/>
        </w:rPr>
        <w:t>An appeal against the Psychoactive Substances Regulatory Authority’s decision</w:t>
      </w:r>
    </w:p>
    <w:p w14:paraId="282EF62F" w14:textId="77777777" w:rsidR="009B0D92" w:rsidRPr="00B0041E" w:rsidRDefault="009B0D92" w:rsidP="009B0D92">
      <w:pPr>
        <w:ind w:left="4320" w:hanging="2335"/>
        <w:rPr>
          <w:rFonts w:ascii="Tahoma" w:hAnsi="Tahoma" w:cs="Tahoma"/>
          <w:noProof/>
          <w:sz w:val="22"/>
          <w:szCs w:val="22"/>
        </w:rPr>
      </w:pPr>
    </w:p>
    <w:p w14:paraId="2CA73521" w14:textId="77777777" w:rsidR="009B0D92" w:rsidRPr="00B0041E" w:rsidRDefault="009B0D92" w:rsidP="009B0D92">
      <w:pPr>
        <w:ind w:left="4320" w:hanging="2335"/>
        <w:rPr>
          <w:rFonts w:ascii="Tahoma" w:hAnsi="Tahoma" w:cs="Tahoma"/>
          <w:noProof/>
          <w:sz w:val="22"/>
          <w:szCs w:val="22"/>
        </w:rPr>
      </w:pPr>
    </w:p>
    <w:p w14:paraId="25ADF47A" w14:textId="77777777" w:rsidR="009B0D92" w:rsidRPr="00B0041E" w:rsidRDefault="009B0D92" w:rsidP="009B0D92">
      <w:pPr>
        <w:ind w:left="4320" w:hanging="2335"/>
        <w:rPr>
          <w:rFonts w:ascii="Tahoma" w:hAnsi="Tahoma" w:cs="Tahoma"/>
          <w:noProof/>
          <w:sz w:val="22"/>
          <w:szCs w:val="22"/>
        </w:rPr>
      </w:pPr>
    </w:p>
    <w:p w14:paraId="1D88BCB9" w14:textId="03230D2D" w:rsidR="00D1789D" w:rsidRPr="00B0041E" w:rsidRDefault="00D1789D" w:rsidP="0039576F">
      <w:pPr>
        <w:ind w:left="4320" w:hanging="2335"/>
        <w:rPr>
          <w:rFonts w:ascii="Tahoma" w:hAnsi="Tahoma" w:cs="Tahoma"/>
          <w:noProof/>
          <w:sz w:val="22"/>
          <w:szCs w:val="22"/>
        </w:rPr>
      </w:pPr>
      <w:r w:rsidRPr="00B0041E">
        <w:rPr>
          <w:rFonts w:ascii="Tahoma" w:hAnsi="Tahoma" w:cs="Tahoma"/>
          <w:b/>
          <w:sz w:val="22"/>
          <w:szCs w:val="22"/>
        </w:rPr>
        <w:t>BETWEEN</w:t>
      </w:r>
      <w:r w:rsidRPr="00B0041E">
        <w:rPr>
          <w:rFonts w:ascii="Tahoma" w:hAnsi="Tahoma" w:cs="Tahoma"/>
          <w:noProof/>
          <w:sz w:val="22"/>
          <w:szCs w:val="22"/>
        </w:rPr>
        <w:tab/>
      </w:r>
      <w:bookmarkStart w:id="0" w:name="_GoBack"/>
      <w:r w:rsidR="0082421F">
        <w:rPr>
          <w:rFonts w:ascii="Tahoma" w:hAnsi="Tahoma" w:cs="Tahoma"/>
          <w:b/>
          <w:noProof/>
          <w:sz w:val="22"/>
          <w:szCs w:val="22"/>
        </w:rPr>
        <w:t>AJ</w:t>
      </w:r>
      <w:r w:rsidR="000B08C0">
        <w:rPr>
          <w:rFonts w:ascii="Tahoma" w:hAnsi="Tahoma" w:cs="Tahoma"/>
          <w:b/>
          <w:noProof/>
          <w:sz w:val="22"/>
          <w:szCs w:val="22"/>
        </w:rPr>
        <w:t xml:space="preserve"> SHIPLEY/SNITCHELL HOLDINGS LIMITED</w:t>
      </w:r>
    </w:p>
    <w:bookmarkEnd w:id="0"/>
    <w:p w14:paraId="21BCB4DD" w14:textId="77777777" w:rsidR="00D1789D" w:rsidRPr="00B0041E" w:rsidRDefault="00D1789D" w:rsidP="009B0D92">
      <w:pPr>
        <w:ind w:left="4320" w:hanging="2335"/>
        <w:rPr>
          <w:rFonts w:ascii="Tahoma" w:hAnsi="Tahoma" w:cs="Tahoma"/>
          <w:noProof/>
          <w:sz w:val="22"/>
          <w:szCs w:val="22"/>
        </w:rPr>
      </w:pPr>
    </w:p>
    <w:p w14:paraId="5F7349D7" w14:textId="77777777" w:rsidR="00D1789D" w:rsidRPr="00B0041E" w:rsidRDefault="009B0D92" w:rsidP="009B0D92">
      <w:pPr>
        <w:ind w:left="4320" w:hanging="2335"/>
        <w:rPr>
          <w:rFonts w:ascii="Tahoma" w:hAnsi="Tahoma" w:cs="Tahoma"/>
          <w:noProof/>
          <w:sz w:val="22"/>
          <w:szCs w:val="22"/>
        </w:rPr>
      </w:pPr>
      <w:r w:rsidRPr="00B0041E">
        <w:rPr>
          <w:rFonts w:ascii="Tahoma" w:hAnsi="Tahoma" w:cs="Tahoma"/>
          <w:noProof/>
          <w:sz w:val="22"/>
          <w:szCs w:val="22"/>
        </w:rPr>
        <w:tab/>
        <w:t>Appellant</w:t>
      </w:r>
      <w:r w:rsidR="00056DEF" w:rsidRPr="00B0041E">
        <w:rPr>
          <w:rFonts w:ascii="Tahoma" w:hAnsi="Tahoma" w:cs="Tahoma"/>
          <w:noProof/>
          <w:sz w:val="22"/>
          <w:szCs w:val="22"/>
        </w:rPr>
        <w:t>s</w:t>
      </w:r>
      <w:r w:rsidRPr="00B0041E">
        <w:rPr>
          <w:rFonts w:ascii="Tahoma" w:hAnsi="Tahoma" w:cs="Tahoma"/>
          <w:noProof/>
          <w:sz w:val="22"/>
          <w:szCs w:val="22"/>
        </w:rPr>
        <w:t xml:space="preserve"> </w:t>
      </w:r>
    </w:p>
    <w:p w14:paraId="64E4A8DA" w14:textId="77777777" w:rsidR="00D1789D" w:rsidRPr="00B0041E" w:rsidRDefault="00D1789D" w:rsidP="009B0D92">
      <w:pPr>
        <w:ind w:left="4320" w:hanging="2335"/>
        <w:rPr>
          <w:rFonts w:ascii="Tahoma" w:hAnsi="Tahoma" w:cs="Tahoma"/>
          <w:noProof/>
          <w:sz w:val="22"/>
          <w:szCs w:val="22"/>
        </w:rPr>
      </w:pPr>
      <w:r w:rsidRPr="00B0041E">
        <w:rPr>
          <w:rFonts w:ascii="Tahoma" w:hAnsi="Tahoma" w:cs="Tahoma"/>
          <w:noProof/>
          <w:sz w:val="22"/>
          <w:szCs w:val="22"/>
        </w:rPr>
        <w:tab/>
      </w:r>
    </w:p>
    <w:p w14:paraId="332E94AE" w14:textId="77777777" w:rsidR="00D1789D" w:rsidRPr="00B0041E" w:rsidRDefault="00D1789D" w:rsidP="009B0D92">
      <w:pPr>
        <w:ind w:left="4320" w:hanging="2335"/>
        <w:rPr>
          <w:rFonts w:ascii="Tahoma" w:hAnsi="Tahoma" w:cs="Tahoma"/>
          <w:sz w:val="22"/>
          <w:szCs w:val="22"/>
        </w:rPr>
      </w:pPr>
    </w:p>
    <w:p w14:paraId="1D0A96C1" w14:textId="77777777" w:rsidR="00D1789D" w:rsidRPr="00B0041E" w:rsidRDefault="00D1789D" w:rsidP="009B0D92">
      <w:pPr>
        <w:ind w:left="4320" w:hanging="2335"/>
        <w:rPr>
          <w:rFonts w:ascii="Tahoma" w:hAnsi="Tahoma" w:cs="Tahoma"/>
          <w:b/>
          <w:noProof/>
          <w:sz w:val="22"/>
          <w:szCs w:val="22"/>
        </w:rPr>
      </w:pPr>
      <w:r w:rsidRPr="00B0041E">
        <w:rPr>
          <w:rFonts w:ascii="Tahoma" w:hAnsi="Tahoma" w:cs="Tahoma"/>
          <w:b/>
          <w:noProof/>
          <w:sz w:val="22"/>
          <w:szCs w:val="22"/>
        </w:rPr>
        <w:t>AND</w:t>
      </w:r>
      <w:r w:rsidRPr="00B0041E">
        <w:rPr>
          <w:rFonts w:ascii="Tahoma" w:hAnsi="Tahoma" w:cs="Tahoma"/>
          <w:b/>
          <w:noProof/>
          <w:sz w:val="22"/>
          <w:szCs w:val="22"/>
        </w:rPr>
        <w:tab/>
      </w:r>
      <w:r w:rsidR="009B0D92" w:rsidRPr="00B0041E">
        <w:rPr>
          <w:rFonts w:ascii="Tahoma" w:hAnsi="Tahoma" w:cs="Tahoma"/>
          <w:b/>
          <w:noProof/>
          <w:sz w:val="22"/>
          <w:szCs w:val="22"/>
        </w:rPr>
        <w:t>PSYCHOACTIVE SUBSTANCES REGULATORY AUTHORITY</w:t>
      </w:r>
    </w:p>
    <w:p w14:paraId="3A461ECA" w14:textId="77777777" w:rsidR="00C33414" w:rsidRPr="00B0041E" w:rsidRDefault="00C33414" w:rsidP="009B0D92">
      <w:pPr>
        <w:ind w:left="4320" w:hanging="2335"/>
        <w:rPr>
          <w:rFonts w:ascii="Tahoma" w:hAnsi="Tahoma" w:cs="Tahoma"/>
          <w:b/>
          <w:noProof/>
          <w:sz w:val="22"/>
          <w:szCs w:val="22"/>
        </w:rPr>
      </w:pPr>
    </w:p>
    <w:p w14:paraId="2F17F976" w14:textId="77777777" w:rsidR="00C33414" w:rsidRPr="00B0041E" w:rsidRDefault="009B0D92" w:rsidP="009B0D92">
      <w:pPr>
        <w:ind w:left="4320" w:hanging="2335"/>
        <w:rPr>
          <w:rFonts w:ascii="Tahoma" w:hAnsi="Tahoma" w:cs="Tahoma"/>
          <w:noProof/>
          <w:sz w:val="22"/>
          <w:szCs w:val="22"/>
        </w:rPr>
      </w:pPr>
      <w:r w:rsidRPr="00B0041E">
        <w:rPr>
          <w:rFonts w:ascii="Tahoma" w:hAnsi="Tahoma" w:cs="Tahoma"/>
          <w:noProof/>
          <w:sz w:val="22"/>
          <w:szCs w:val="22"/>
        </w:rPr>
        <w:tab/>
        <w:t xml:space="preserve">Respondent </w:t>
      </w:r>
    </w:p>
    <w:p w14:paraId="45C9E1AF" w14:textId="77777777" w:rsidR="009B0D92" w:rsidRPr="00B0041E" w:rsidRDefault="009B0D92" w:rsidP="009B0D92">
      <w:pPr>
        <w:ind w:left="4320" w:hanging="2335"/>
        <w:rPr>
          <w:rFonts w:ascii="Tahoma" w:hAnsi="Tahoma" w:cs="Tahoma"/>
          <w:noProof/>
          <w:sz w:val="22"/>
          <w:szCs w:val="22"/>
        </w:rPr>
      </w:pPr>
    </w:p>
    <w:p w14:paraId="6CE3CACB" w14:textId="77777777" w:rsidR="00D1789D" w:rsidRPr="00B0041E" w:rsidRDefault="00D1789D">
      <w:pPr>
        <w:ind w:left="4320" w:hanging="2160"/>
        <w:rPr>
          <w:rFonts w:ascii="Tahoma" w:hAnsi="Tahoma" w:cs="Tahoma"/>
          <w:noProof/>
          <w:sz w:val="22"/>
          <w:szCs w:val="22"/>
          <w:u w:val="single"/>
        </w:rPr>
      </w:pPr>
    </w:p>
    <w:p w14:paraId="79E7ADE0" w14:textId="77777777" w:rsidR="00D1789D" w:rsidRPr="00B0041E" w:rsidRDefault="00D1789D">
      <w:pPr>
        <w:ind w:left="4320" w:hanging="2160"/>
        <w:rPr>
          <w:rFonts w:ascii="Tahoma" w:hAnsi="Tahoma" w:cs="Tahoma"/>
          <w:sz w:val="22"/>
          <w:szCs w:val="22"/>
        </w:rPr>
      </w:pPr>
    </w:p>
    <w:p w14:paraId="48066C60" w14:textId="77777777" w:rsidR="00D1789D" w:rsidRPr="00B0041E" w:rsidRDefault="00D1789D">
      <w:pPr>
        <w:ind w:left="2268" w:hanging="2268"/>
        <w:rPr>
          <w:rFonts w:ascii="Tahoma" w:hAnsi="Tahoma" w:cs="Tahoma"/>
          <w:sz w:val="22"/>
          <w:szCs w:val="22"/>
        </w:rPr>
      </w:pPr>
      <w:bookmarkStart w:id="1" w:name="FirstPgEntry"/>
      <w:bookmarkEnd w:id="1"/>
    </w:p>
    <w:p w14:paraId="39787E69" w14:textId="77777777" w:rsidR="00D1789D" w:rsidRPr="00B0041E" w:rsidRDefault="00D1789D">
      <w:pPr>
        <w:rPr>
          <w:rFonts w:ascii="Tahoma" w:hAnsi="Tahoma" w:cs="Tahoma"/>
          <w:sz w:val="22"/>
          <w:szCs w:val="22"/>
        </w:rPr>
      </w:pPr>
    </w:p>
    <w:p w14:paraId="5E964C52" w14:textId="77777777" w:rsidR="00D1789D" w:rsidRPr="00B0041E" w:rsidRDefault="00D1789D" w:rsidP="00F11A1C">
      <w:pPr>
        <w:pBdr>
          <w:top w:val="single" w:sz="4" w:space="1" w:color="auto"/>
        </w:pBdr>
        <w:rPr>
          <w:rFonts w:ascii="Tahoma" w:hAnsi="Tahoma" w:cs="Tahoma"/>
          <w:sz w:val="22"/>
          <w:szCs w:val="22"/>
        </w:rPr>
      </w:pPr>
    </w:p>
    <w:p w14:paraId="46FADF3F" w14:textId="77777777" w:rsidR="00EB32D7" w:rsidRPr="00B0041E" w:rsidRDefault="008F31A5">
      <w:pPr>
        <w:jc w:val="center"/>
        <w:rPr>
          <w:rFonts w:ascii="Tahoma" w:hAnsi="Tahoma" w:cs="Tahoma"/>
          <w:b/>
          <w:sz w:val="22"/>
          <w:szCs w:val="22"/>
        </w:rPr>
      </w:pPr>
      <w:r>
        <w:rPr>
          <w:rFonts w:ascii="Tahoma" w:hAnsi="Tahoma" w:cs="Tahoma"/>
          <w:b/>
          <w:sz w:val="22"/>
          <w:szCs w:val="22"/>
        </w:rPr>
        <w:t xml:space="preserve">DECISION </w:t>
      </w:r>
      <w:r w:rsidR="009B0D92" w:rsidRPr="00B0041E">
        <w:rPr>
          <w:rFonts w:ascii="Tahoma" w:hAnsi="Tahoma" w:cs="Tahoma"/>
          <w:b/>
          <w:sz w:val="22"/>
          <w:szCs w:val="22"/>
        </w:rPr>
        <w:t xml:space="preserve">OF </w:t>
      </w:r>
      <w:r>
        <w:rPr>
          <w:rFonts w:ascii="Tahoma" w:hAnsi="Tahoma" w:cs="Tahoma"/>
          <w:b/>
          <w:sz w:val="22"/>
          <w:szCs w:val="22"/>
        </w:rPr>
        <w:t xml:space="preserve">THE </w:t>
      </w:r>
      <w:r w:rsidR="009B0D92" w:rsidRPr="00B0041E">
        <w:rPr>
          <w:rFonts w:ascii="Tahoma" w:hAnsi="Tahoma" w:cs="Tahoma"/>
          <w:b/>
          <w:sz w:val="22"/>
          <w:szCs w:val="22"/>
        </w:rPr>
        <w:t>APPEALS COMMITTEE</w:t>
      </w:r>
    </w:p>
    <w:p w14:paraId="21535E96" w14:textId="77777777" w:rsidR="00D1789D" w:rsidRPr="00B0041E" w:rsidRDefault="00D1789D" w:rsidP="00474A5B">
      <w:pPr>
        <w:pBdr>
          <w:bottom w:val="single" w:sz="4" w:space="1" w:color="auto"/>
        </w:pBdr>
        <w:tabs>
          <w:tab w:val="right" w:leader="underscore" w:pos="7655"/>
        </w:tabs>
        <w:rPr>
          <w:rFonts w:ascii="Tahoma" w:hAnsi="Tahoma" w:cs="Tahoma"/>
          <w:sz w:val="22"/>
          <w:szCs w:val="22"/>
        </w:rPr>
      </w:pPr>
    </w:p>
    <w:p w14:paraId="16606D26" w14:textId="77777777" w:rsidR="00D1789D" w:rsidRPr="00B0041E" w:rsidRDefault="00D1789D">
      <w:pPr>
        <w:rPr>
          <w:rFonts w:ascii="Tahoma" w:hAnsi="Tahoma" w:cs="Tahoma"/>
          <w:sz w:val="22"/>
          <w:szCs w:val="22"/>
        </w:rPr>
      </w:pPr>
    </w:p>
    <w:p w14:paraId="0C47F751" w14:textId="77777777" w:rsidR="00D1789D" w:rsidRPr="00B0041E" w:rsidRDefault="00D1789D">
      <w:pPr>
        <w:rPr>
          <w:rFonts w:ascii="Tahoma" w:hAnsi="Tahoma" w:cs="Tahoma"/>
          <w:sz w:val="22"/>
          <w:szCs w:val="22"/>
        </w:rPr>
      </w:pPr>
    </w:p>
    <w:p w14:paraId="3FE78DDB" w14:textId="77777777" w:rsidR="00D1789D" w:rsidRPr="00B0041E" w:rsidRDefault="00D1789D">
      <w:pPr>
        <w:rPr>
          <w:rFonts w:ascii="Tahoma" w:hAnsi="Tahoma" w:cs="Tahoma"/>
          <w:sz w:val="22"/>
          <w:szCs w:val="22"/>
        </w:rPr>
      </w:pPr>
    </w:p>
    <w:p w14:paraId="3139E393" w14:textId="77777777" w:rsidR="00D1789D" w:rsidRPr="00B0041E" w:rsidRDefault="00D1789D">
      <w:pPr>
        <w:rPr>
          <w:rFonts w:ascii="Tahoma" w:hAnsi="Tahoma" w:cs="Tahoma"/>
          <w:sz w:val="22"/>
          <w:szCs w:val="22"/>
        </w:rPr>
      </w:pPr>
    </w:p>
    <w:p w14:paraId="14DC5027" w14:textId="77777777" w:rsidR="00D1789D" w:rsidRPr="00B0041E" w:rsidRDefault="00D1789D">
      <w:pPr>
        <w:rPr>
          <w:rFonts w:ascii="Tahoma" w:hAnsi="Tahoma" w:cs="Tahoma"/>
          <w:sz w:val="22"/>
          <w:szCs w:val="22"/>
        </w:rPr>
      </w:pPr>
    </w:p>
    <w:p w14:paraId="62FBA229" w14:textId="77777777" w:rsidR="00D1789D" w:rsidRPr="00B0041E" w:rsidRDefault="00D1789D">
      <w:pPr>
        <w:rPr>
          <w:rFonts w:ascii="Tahoma" w:hAnsi="Tahoma" w:cs="Tahoma"/>
          <w:sz w:val="22"/>
          <w:szCs w:val="22"/>
        </w:rPr>
      </w:pPr>
    </w:p>
    <w:p w14:paraId="6A88EF5C" w14:textId="77777777" w:rsidR="00D1789D" w:rsidRPr="00B0041E" w:rsidRDefault="00D1789D">
      <w:pPr>
        <w:rPr>
          <w:rFonts w:ascii="Tahoma" w:hAnsi="Tahoma" w:cs="Tahoma"/>
          <w:sz w:val="22"/>
          <w:szCs w:val="22"/>
        </w:rPr>
      </w:pPr>
    </w:p>
    <w:p w14:paraId="22538EEA" w14:textId="77777777" w:rsidR="00D1789D" w:rsidRPr="00B0041E" w:rsidRDefault="00D1789D">
      <w:pPr>
        <w:rPr>
          <w:rFonts w:ascii="Tahoma" w:hAnsi="Tahoma" w:cs="Tahoma"/>
          <w:sz w:val="22"/>
          <w:szCs w:val="22"/>
        </w:rPr>
      </w:pPr>
    </w:p>
    <w:p w14:paraId="7A9E6F76" w14:textId="77777777" w:rsidR="00D1789D" w:rsidRPr="00B0041E" w:rsidRDefault="00D1789D">
      <w:pPr>
        <w:rPr>
          <w:rFonts w:ascii="Tahoma" w:hAnsi="Tahoma" w:cs="Tahoma"/>
          <w:sz w:val="22"/>
          <w:szCs w:val="22"/>
        </w:rPr>
      </w:pPr>
    </w:p>
    <w:p w14:paraId="2B26F482" w14:textId="77777777" w:rsidR="00D1789D" w:rsidRPr="00B0041E" w:rsidRDefault="00D1789D">
      <w:pPr>
        <w:rPr>
          <w:rFonts w:ascii="Tahoma" w:hAnsi="Tahoma" w:cs="Tahoma"/>
          <w:sz w:val="22"/>
          <w:szCs w:val="22"/>
        </w:rPr>
      </w:pPr>
    </w:p>
    <w:p w14:paraId="107EF5C6" w14:textId="77777777" w:rsidR="00D1789D" w:rsidRPr="00B0041E" w:rsidRDefault="00D1789D">
      <w:pPr>
        <w:rPr>
          <w:rFonts w:ascii="Tahoma" w:hAnsi="Tahoma" w:cs="Tahoma"/>
          <w:sz w:val="22"/>
          <w:szCs w:val="22"/>
        </w:rPr>
      </w:pPr>
    </w:p>
    <w:p w14:paraId="71A75889" w14:textId="77777777" w:rsidR="00D1789D" w:rsidRPr="00B0041E" w:rsidRDefault="00D1789D">
      <w:pPr>
        <w:rPr>
          <w:rFonts w:ascii="Tahoma" w:hAnsi="Tahoma" w:cs="Tahoma"/>
          <w:sz w:val="22"/>
          <w:szCs w:val="22"/>
        </w:rPr>
      </w:pPr>
    </w:p>
    <w:p w14:paraId="3BFC7508" w14:textId="19B7F6B8" w:rsidR="001D3E7E" w:rsidRDefault="00D1789D">
      <w:pPr>
        <w:tabs>
          <w:tab w:val="right" w:leader="underscore" w:pos="7655"/>
        </w:tabs>
        <w:rPr>
          <w:rFonts w:ascii="Tahoma" w:hAnsi="Tahoma" w:cs="Tahoma"/>
          <w:sz w:val="22"/>
          <w:szCs w:val="22"/>
        </w:rPr>
      </w:pPr>
      <w:r w:rsidRPr="00B0041E">
        <w:rPr>
          <w:rFonts w:ascii="Tahoma" w:hAnsi="Tahoma" w:cs="Tahoma"/>
          <w:sz w:val="22"/>
          <w:szCs w:val="22"/>
        </w:rPr>
        <w:t>_</w:t>
      </w:r>
      <w:r w:rsidR="00635B70" w:rsidRPr="00B0041E">
        <w:rPr>
          <w:rFonts w:ascii="Tahoma" w:hAnsi="Tahoma" w:cs="Tahoma"/>
          <w:sz w:val="22"/>
          <w:szCs w:val="22"/>
        </w:rPr>
        <w:t>___</w:t>
      </w:r>
      <w:r w:rsidRPr="00B0041E">
        <w:rPr>
          <w:rFonts w:ascii="Tahoma" w:hAnsi="Tahoma" w:cs="Tahoma"/>
          <w:sz w:val="22"/>
          <w:szCs w:val="22"/>
        </w:rPr>
        <w:t>_____________________________________________________________</w:t>
      </w:r>
    </w:p>
    <w:p w14:paraId="52F2F28D" w14:textId="77777777" w:rsidR="001D3E7E" w:rsidRPr="001D3E7E" w:rsidRDefault="001D3E7E" w:rsidP="001D3E7E">
      <w:pPr>
        <w:rPr>
          <w:rFonts w:ascii="Tahoma" w:hAnsi="Tahoma" w:cs="Tahoma"/>
          <w:sz w:val="22"/>
          <w:szCs w:val="22"/>
        </w:rPr>
      </w:pPr>
    </w:p>
    <w:p w14:paraId="41809DF3" w14:textId="4D4FDFF7" w:rsidR="001D3E7E" w:rsidRDefault="001D3E7E" w:rsidP="001D3E7E">
      <w:pPr>
        <w:rPr>
          <w:rFonts w:ascii="Tahoma" w:hAnsi="Tahoma" w:cs="Tahoma"/>
          <w:sz w:val="22"/>
          <w:szCs w:val="22"/>
        </w:rPr>
      </w:pPr>
    </w:p>
    <w:p w14:paraId="0C4FF148" w14:textId="28C0B5DD" w:rsidR="001D3E7E" w:rsidRDefault="001D3E7E" w:rsidP="001D3E7E">
      <w:pPr>
        <w:rPr>
          <w:rFonts w:ascii="Tahoma" w:hAnsi="Tahoma" w:cs="Tahoma"/>
          <w:sz w:val="20"/>
          <w:szCs w:val="20"/>
        </w:rPr>
      </w:pPr>
      <w:r>
        <w:rPr>
          <w:rFonts w:ascii="Tahoma" w:hAnsi="Tahoma" w:cs="Tahoma"/>
          <w:sz w:val="20"/>
          <w:szCs w:val="20"/>
        </w:rPr>
        <w:t>Appellant:</w:t>
      </w:r>
      <w:r w:rsidRPr="001D3E7E">
        <w:rPr>
          <w:rFonts w:ascii="Tahoma" w:hAnsi="Tahoma" w:cs="Tahoma"/>
          <w:sz w:val="20"/>
          <w:szCs w:val="20"/>
        </w:rPr>
        <w:t xml:space="preserve"> </w:t>
      </w:r>
      <w:r w:rsidR="00E071B9">
        <w:rPr>
          <w:rFonts w:ascii="Tahoma" w:hAnsi="Tahoma" w:cs="Tahoma"/>
          <w:sz w:val="20"/>
          <w:szCs w:val="20"/>
        </w:rPr>
        <w:tab/>
      </w:r>
      <w:r w:rsidRPr="001D3E7E">
        <w:rPr>
          <w:rFonts w:ascii="Tahoma" w:hAnsi="Tahoma" w:cs="Tahoma"/>
          <w:sz w:val="20"/>
          <w:szCs w:val="20"/>
        </w:rPr>
        <w:t>in person</w:t>
      </w:r>
    </w:p>
    <w:p w14:paraId="6B8EBDF3" w14:textId="0C8E1B4A" w:rsidR="001D3E7E" w:rsidRDefault="001D3E7E" w:rsidP="001D3E7E">
      <w:pPr>
        <w:rPr>
          <w:rFonts w:ascii="Tahoma" w:hAnsi="Tahoma" w:cs="Tahoma"/>
          <w:sz w:val="20"/>
          <w:szCs w:val="20"/>
        </w:rPr>
      </w:pPr>
      <w:r>
        <w:rPr>
          <w:rFonts w:ascii="Tahoma" w:hAnsi="Tahoma" w:cs="Tahoma"/>
          <w:sz w:val="20"/>
          <w:szCs w:val="20"/>
        </w:rPr>
        <w:t xml:space="preserve">Respondent: </w:t>
      </w:r>
      <w:r w:rsidR="00E071B9">
        <w:rPr>
          <w:rFonts w:ascii="Tahoma" w:hAnsi="Tahoma" w:cs="Tahoma"/>
          <w:sz w:val="20"/>
          <w:szCs w:val="20"/>
        </w:rPr>
        <w:tab/>
      </w:r>
      <w:r>
        <w:rPr>
          <w:rFonts w:ascii="Tahoma" w:hAnsi="Tahoma" w:cs="Tahoma"/>
          <w:sz w:val="20"/>
          <w:szCs w:val="20"/>
        </w:rPr>
        <w:t xml:space="preserve">Anita Miller, </w:t>
      </w:r>
      <w:r w:rsidR="00826E4A">
        <w:rPr>
          <w:rFonts w:ascii="Tahoma" w:hAnsi="Tahoma" w:cs="Tahoma"/>
          <w:sz w:val="20"/>
          <w:szCs w:val="20"/>
        </w:rPr>
        <w:t>Claro, PO Box 11-455, WELLINGTON 6142</w:t>
      </w:r>
    </w:p>
    <w:p w14:paraId="6291C060" w14:textId="67EA4412" w:rsidR="00E071B9" w:rsidRPr="001D3E7E" w:rsidRDefault="00E071B9" w:rsidP="001D3E7E">
      <w:pPr>
        <w:rPr>
          <w:rFonts w:ascii="Tahoma" w:hAnsi="Tahoma" w:cs="Tahoma"/>
          <w:sz w:val="20"/>
          <w:szCs w:val="20"/>
        </w:rPr>
      </w:pPr>
      <w:r>
        <w:rPr>
          <w:rFonts w:ascii="Tahoma" w:hAnsi="Tahoma" w:cs="Tahoma"/>
          <w:sz w:val="20"/>
          <w:szCs w:val="20"/>
        </w:rPr>
        <w:tab/>
      </w:r>
      <w:r>
        <w:rPr>
          <w:rFonts w:ascii="Tahoma" w:hAnsi="Tahoma" w:cs="Tahoma"/>
          <w:sz w:val="20"/>
          <w:szCs w:val="20"/>
        </w:rPr>
        <w:tab/>
        <w:t>Anita.miller@claro.co.nz</w:t>
      </w:r>
    </w:p>
    <w:p w14:paraId="2240FF42" w14:textId="13BE9971" w:rsidR="001D3E7E" w:rsidRPr="001D3E7E" w:rsidRDefault="001D3E7E" w:rsidP="001D3E7E">
      <w:pPr>
        <w:rPr>
          <w:rFonts w:ascii="Tahoma" w:hAnsi="Tahoma" w:cs="Tahoma"/>
          <w:sz w:val="20"/>
          <w:szCs w:val="20"/>
        </w:rPr>
      </w:pPr>
    </w:p>
    <w:p w14:paraId="12113488" w14:textId="77777777" w:rsidR="008D4461" w:rsidRPr="001D3E7E" w:rsidRDefault="008D4461" w:rsidP="001D3E7E">
      <w:pPr>
        <w:rPr>
          <w:rFonts w:ascii="Tahoma" w:hAnsi="Tahoma" w:cs="Tahoma"/>
          <w:sz w:val="20"/>
          <w:szCs w:val="20"/>
        </w:rPr>
        <w:sectPr w:rsidR="008D4461" w:rsidRPr="001D3E7E" w:rsidSect="008D4461">
          <w:headerReference w:type="even" r:id="rId12"/>
          <w:headerReference w:type="default" r:id="rId13"/>
          <w:pgSz w:w="11907" w:h="16839" w:code="9"/>
          <w:pgMar w:top="1440" w:right="1800" w:bottom="1440" w:left="2268" w:header="708" w:footer="708" w:gutter="0"/>
          <w:pgNumType w:start="2"/>
          <w:cols w:space="708"/>
          <w:titlePg/>
          <w:docGrid w:linePitch="360"/>
        </w:sectPr>
      </w:pPr>
    </w:p>
    <w:p w14:paraId="5F229815" w14:textId="77777777" w:rsidR="008F31A5" w:rsidRPr="008F31A5" w:rsidRDefault="008F31A5" w:rsidP="00791DF6">
      <w:pPr>
        <w:spacing w:line="360" w:lineRule="auto"/>
        <w:ind w:left="720"/>
        <w:jc w:val="both"/>
        <w:rPr>
          <w:rFonts w:ascii="Tahoma" w:hAnsi="Tahoma" w:cs="Tahoma"/>
          <w:b/>
          <w:sz w:val="22"/>
          <w:szCs w:val="22"/>
        </w:rPr>
      </w:pPr>
      <w:r w:rsidRPr="008F31A5">
        <w:rPr>
          <w:rFonts w:ascii="Tahoma" w:hAnsi="Tahoma" w:cs="Tahoma"/>
          <w:b/>
          <w:sz w:val="22"/>
          <w:szCs w:val="22"/>
        </w:rPr>
        <w:lastRenderedPageBreak/>
        <w:t>Introduction</w:t>
      </w:r>
    </w:p>
    <w:p w14:paraId="4D315836" w14:textId="77777777" w:rsidR="008F31A5" w:rsidRDefault="008F31A5" w:rsidP="00791DF6">
      <w:pPr>
        <w:spacing w:line="360" w:lineRule="auto"/>
        <w:ind w:left="720"/>
        <w:jc w:val="both"/>
        <w:rPr>
          <w:rFonts w:ascii="Tahoma" w:hAnsi="Tahoma" w:cs="Tahoma"/>
          <w:sz w:val="22"/>
          <w:szCs w:val="22"/>
        </w:rPr>
      </w:pPr>
    </w:p>
    <w:p w14:paraId="7911EFBF" w14:textId="0963CD39" w:rsidR="00CA05A9" w:rsidRPr="008F31A5" w:rsidRDefault="008F31A5" w:rsidP="00791DF6">
      <w:pPr>
        <w:numPr>
          <w:ilvl w:val="0"/>
          <w:numId w:val="2"/>
        </w:numPr>
        <w:spacing w:line="360" w:lineRule="auto"/>
        <w:ind w:hanging="720"/>
        <w:jc w:val="both"/>
        <w:rPr>
          <w:rFonts w:ascii="Tahoma" w:hAnsi="Tahoma" w:cs="Tahoma"/>
          <w:sz w:val="22"/>
          <w:szCs w:val="22"/>
        </w:rPr>
      </w:pPr>
      <w:r w:rsidRPr="008F31A5">
        <w:rPr>
          <w:rFonts w:ascii="Tahoma" w:hAnsi="Tahoma" w:cs="Tahoma"/>
          <w:sz w:val="22"/>
          <w:szCs w:val="22"/>
        </w:rPr>
        <w:t>On 12 October 2013, the appellant filed a notice of appeal against the decision of the</w:t>
      </w:r>
      <w:r w:rsidR="0082421F">
        <w:rPr>
          <w:rFonts w:ascii="Tahoma" w:hAnsi="Tahoma" w:cs="Tahoma"/>
          <w:sz w:val="22"/>
          <w:szCs w:val="22"/>
        </w:rPr>
        <w:t xml:space="preserve"> respondent, the</w:t>
      </w:r>
      <w:r w:rsidRPr="008F31A5">
        <w:rPr>
          <w:rFonts w:ascii="Tahoma" w:hAnsi="Tahoma" w:cs="Tahoma"/>
          <w:sz w:val="22"/>
          <w:szCs w:val="22"/>
        </w:rPr>
        <w:t xml:space="preserve"> Psychoactive Substances Regulat</w:t>
      </w:r>
      <w:r w:rsidR="0082421F">
        <w:rPr>
          <w:rFonts w:ascii="Tahoma" w:hAnsi="Tahoma" w:cs="Tahoma"/>
          <w:sz w:val="22"/>
          <w:szCs w:val="22"/>
        </w:rPr>
        <w:t xml:space="preserve">ory Authority, </w:t>
      </w:r>
      <w:r w:rsidRPr="008F31A5">
        <w:rPr>
          <w:rFonts w:ascii="Tahoma" w:hAnsi="Tahoma" w:cs="Tahoma"/>
          <w:sz w:val="22"/>
          <w:szCs w:val="22"/>
        </w:rPr>
        <w:t>refusing to grant an interim product approval for a psychoactive product called “</w:t>
      </w:r>
      <w:r w:rsidR="00497D94">
        <w:rPr>
          <w:rFonts w:ascii="Tahoma" w:hAnsi="Tahoma" w:cs="Tahoma"/>
          <w:sz w:val="22"/>
          <w:szCs w:val="22"/>
        </w:rPr>
        <w:t>G13” (“the P</w:t>
      </w:r>
      <w:r>
        <w:rPr>
          <w:rFonts w:ascii="Tahoma" w:hAnsi="Tahoma" w:cs="Tahoma"/>
          <w:sz w:val="22"/>
          <w:szCs w:val="22"/>
        </w:rPr>
        <w:t>roduct”).</w:t>
      </w:r>
      <w:r w:rsidR="006321A9">
        <w:rPr>
          <w:rFonts w:ascii="Tahoma" w:hAnsi="Tahoma" w:cs="Tahoma"/>
          <w:sz w:val="22"/>
          <w:szCs w:val="22"/>
        </w:rPr>
        <w:t xml:space="preserve">  The appellant operates a shop from which psychoactive products were sold.  The Product was one that the appellant made and sold from his retail outlet.</w:t>
      </w:r>
    </w:p>
    <w:p w14:paraId="40277450" w14:textId="77777777" w:rsidR="00C13A3D" w:rsidRPr="00B0041E" w:rsidRDefault="00C13A3D" w:rsidP="00791DF6">
      <w:pPr>
        <w:pStyle w:val="ListParagraph"/>
        <w:spacing w:line="360" w:lineRule="auto"/>
        <w:jc w:val="both"/>
        <w:rPr>
          <w:rFonts w:ascii="Tahoma" w:hAnsi="Tahoma" w:cs="Tahoma"/>
          <w:sz w:val="22"/>
          <w:szCs w:val="22"/>
        </w:rPr>
      </w:pPr>
    </w:p>
    <w:p w14:paraId="0C09186B" w14:textId="77777777" w:rsidR="0082421F" w:rsidRDefault="00C13A3D" w:rsidP="0082421F">
      <w:pPr>
        <w:numPr>
          <w:ilvl w:val="0"/>
          <w:numId w:val="2"/>
        </w:numPr>
        <w:spacing w:line="360" w:lineRule="auto"/>
        <w:ind w:hanging="720"/>
        <w:jc w:val="both"/>
        <w:rPr>
          <w:rFonts w:ascii="Tahoma" w:hAnsi="Tahoma" w:cs="Tahoma"/>
          <w:sz w:val="22"/>
          <w:szCs w:val="22"/>
        </w:rPr>
      </w:pPr>
      <w:r w:rsidRPr="00B0041E">
        <w:rPr>
          <w:rFonts w:ascii="Tahoma" w:hAnsi="Tahoma" w:cs="Tahoma"/>
          <w:sz w:val="22"/>
          <w:szCs w:val="22"/>
        </w:rPr>
        <w:t xml:space="preserve">The </w:t>
      </w:r>
      <w:r w:rsidR="008F31A5">
        <w:rPr>
          <w:rFonts w:ascii="Tahoma" w:hAnsi="Tahoma" w:cs="Tahoma"/>
          <w:sz w:val="22"/>
          <w:szCs w:val="22"/>
        </w:rPr>
        <w:t>respondent’s decision to decline interim approval was made under Subpart 2 of the Psychoactive Substances Act 2013 (“the Act”), in conjunction with Schedul</w:t>
      </w:r>
      <w:r w:rsidR="0082421F">
        <w:rPr>
          <w:rFonts w:ascii="Tahoma" w:hAnsi="Tahoma" w:cs="Tahoma"/>
          <w:sz w:val="22"/>
          <w:szCs w:val="22"/>
        </w:rPr>
        <w:t xml:space="preserve">e 1 of that Act which provides </w:t>
      </w:r>
      <w:r w:rsidR="008F31A5">
        <w:rPr>
          <w:rFonts w:ascii="Tahoma" w:hAnsi="Tahoma" w:cs="Tahoma"/>
          <w:sz w:val="22"/>
          <w:szCs w:val="22"/>
        </w:rPr>
        <w:t xml:space="preserve">transitional provisions.  </w:t>
      </w:r>
    </w:p>
    <w:p w14:paraId="4ACFA62F" w14:textId="77777777" w:rsidR="0082421F" w:rsidRDefault="0082421F" w:rsidP="0082421F">
      <w:pPr>
        <w:pStyle w:val="ListParagraph"/>
        <w:rPr>
          <w:rFonts w:ascii="Tahoma" w:hAnsi="Tahoma" w:cs="Tahoma"/>
          <w:sz w:val="22"/>
          <w:szCs w:val="22"/>
        </w:rPr>
      </w:pPr>
    </w:p>
    <w:p w14:paraId="543B9DB1" w14:textId="3FD63801" w:rsidR="0082421F" w:rsidRPr="0082421F" w:rsidRDefault="0082421F" w:rsidP="0082421F">
      <w:pPr>
        <w:numPr>
          <w:ilvl w:val="0"/>
          <w:numId w:val="2"/>
        </w:numPr>
        <w:spacing w:line="360" w:lineRule="auto"/>
        <w:ind w:hanging="720"/>
        <w:jc w:val="both"/>
        <w:rPr>
          <w:rFonts w:ascii="Tahoma" w:hAnsi="Tahoma" w:cs="Tahoma"/>
          <w:sz w:val="22"/>
          <w:szCs w:val="22"/>
        </w:rPr>
      </w:pPr>
      <w:r w:rsidRPr="0082421F">
        <w:rPr>
          <w:rFonts w:ascii="Tahoma" w:hAnsi="Tahoma" w:cs="Tahoma"/>
          <w:sz w:val="22"/>
          <w:szCs w:val="22"/>
        </w:rPr>
        <w:t>The Act came into force on 18 July 2013 and is intended to regulate the availability of psychoactive substances in New Zealand in order to protect the health of, and minimise harm to, individuals</w:t>
      </w:r>
      <w:r w:rsidR="00497D94">
        <w:rPr>
          <w:rStyle w:val="FootnoteReference"/>
          <w:rFonts w:ascii="Tahoma" w:hAnsi="Tahoma" w:cs="Tahoma"/>
          <w:sz w:val="22"/>
          <w:szCs w:val="22"/>
        </w:rPr>
        <w:footnoteReference w:id="2"/>
      </w:r>
      <w:r w:rsidRPr="0082421F">
        <w:rPr>
          <w:rFonts w:ascii="Tahoma" w:hAnsi="Tahoma" w:cs="Tahoma"/>
          <w:sz w:val="22"/>
          <w:szCs w:val="22"/>
        </w:rPr>
        <w:t xml:space="preserve"> who use psychoactive products</w:t>
      </w:r>
      <w:r w:rsidR="00C43DAE">
        <w:rPr>
          <w:rFonts w:ascii="Tahoma" w:hAnsi="Tahoma" w:cs="Tahoma"/>
          <w:sz w:val="22"/>
          <w:szCs w:val="22"/>
        </w:rPr>
        <w:t>.</w:t>
      </w:r>
      <w:r w:rsidRPr="0082421F">
        <w:rPr>
          <w:rStyle w:val="FootnoteReference"/>
          <w:rFonts w:ascii="Tahoma" w:hAnsi="Tahoma" w:cs="Tahoma"/>
          <w:sz w:val="22"/>
          <w:szCs w:val="22"/>
        </w:rPr>
        <w:footnoteReference w:id="3"/>
      </w:r>
      <w:r w:rsidRPr="0082421F">
        <w:rPr>
          <w:rFonts w:ascii="Tahoma" w:hAnsi="Tahoma" w:cs="Tahoma"/>
          <w:sz w:val="22"/>
          <w:szCs w:val="22"/>
        </w:rPr>
        <w:t xml:space="preserve">  It is apparent that the Act was created to regulate a pre-existing market engaged in the importation, distribution, and sale of psychoactive substances and products.  </w:t>
      </w:r>
    </w:p>
    <w:p w14:paraId="35CC0918" w14:textId="77777777" w:rsidR="0082421F" w:rsidRDefault="0082421F" w:rsidP="0082421F">
      <w:pPr>
        <w:pStyle w:val="ListParagraph"/>
        <w:rPr>
          <w:rFonts w:ascii="Tahoma" w:hAnsi="Tahoma" w:cs="Tahoma"/>
          <w:sz w:val="22"/>
          <w:szCs w:val="22"/>
        </w:rPr>
      </w:pPr>
    </w:p>
    <w:p w14:paraId="13042D0B" w14:textId="31C068FA" w:rsidR="0082421F" w:rsidRDefault="0082421F" w:rsidP="0082421F">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Act establishes the Psychoactive Substances Regulatory Authority which is taxed with determining whether, among other things, </w:t>
      </w:r>
      <w:r w:rsidR="00B0676E">
        <w:rPr>
          <w:rFonts w:ascii="Tahoma" w:hAnsi="Tahoma" w:cs="Tahoma"/>
          <w:sz w:val="22"/>
          <w:szCs w:val="22"/>
        </w:rPr>
        <w:t xml:space="preserve">particular </w:t>
      </w:r>
      <w:r>
        <w:rPr>
          <w:rFonts w:ascii="Tahoma" w:hAnsi="Tahoma" w:cs="Tahoma"/>
          <w:sz w:val="22"/>
          <w:szCs w:val="22"/>
        </w:rPr>
        <w:t>psychoactive products should be approved for sale to the public.</w:t>
      </w:r>
    </w:p>
    <w:p w14:paraId="3A6A020E" w14:textId="77777777" w:rsidR="00186ACD" w:rsidRDefault="00186ACD" w:rsidP="00186ACD">
      <w:pPr>
        <w:pStyle w:val="ListParagraph"/>
        <w:rPr>
          <w:rFonts w:ascii="Tahoma" w:hAnsi="Tahoma" w:cs="Tahoma"/>
          <w:sz w:val="22"/>
          <w:szCs w:val="22"/>
        </w:rPr>
      </w:pPr>
    </w:p>
    <w:p w14:paraId="1C9CDBF7" w14:textId="77777777" w:rsidR="00497D94" w:rsidRDefault="00186ACD" w:rsidP="00497D94">
      <w:pPr>
        <w:numPr>
          <w:ilvl w:val="0"/>
          <w:numId w:val="2"/>
        </w:numPr>
        <w:spacing w:line="360" w:lineRule="auto"/>
        <w:ind w:hanging="720"/>
        <w:jc w:val="both"/>
        <w:rPr>
          <w:rFonts w:ascii="Tahoma" w:hAnsi="Tahoma" w:cs="Tahoma"/>
          <w:sz w:val="22"/>
          <w:szCs w:val="22"/>
        </w:rPr>
      </w:pPr>
      <w:r w:rsidRPr="00497D94">
        <w:rPr>
          <w:rFonts w:ascii="Tahoma" w:hAnsi="Tahoma" w:cs="Tahoma"/>
          <w:sz w:val="22"/>
          <w:szCs w:val="22"/>
        </w:rPr>
        <w:t xml:space="preserve">In relation to psychoactive products, the </w:t>
      </w:r>
      <w:r w:rsidR="00497D94" w:rsidRPr="00497D94">
        <w:rPr>
          <w:rFonts w:ascii="Tahoma" w:hAnsi="Tahoma" w:cs="Tahoma"/>
          <w:sz w:val="22"/>
          <w:szCs w:val="22"/>
        </w:rPr>
        <w:t xml:space="preserve">relevant </w:t>
      </w:r>
      <w:r w:rsidRPr="00497D94">
        <w:rPr>
          <w:rFonts w:ascii="Tahoma" w:hAnsi="Tahoma" w:cs="Tahoma"/>
          <w:sz w:val="22"/>
          <w:szCs w:val="22"/>
        </w:rPr>
        <w:t>principle is that products approved for use by i</w:t>
      </w:r>
      <w:r w:rsidR="00B96BE2" w:rsidRPr="00497D94">
        <w:rPr>
          <w:rFonts w:ascii="Tahoma" w:hAnsi="Tahoma" w:cs="Tahoma"/>
          <w:sz w:val="22"/>
          <w:szCs w:val="22"/>
        </w:rPr>
        <w:t>ndividuals should</w:t>
      </w:r>
      <w:r w:rsidR="00497D94" w:rsidRPr="00497D94">
        <w:rPr>
          <w:rFonts w:ascii="Tahoma" w:hAnsi="Tahoma" w:cs="Tahoma"/>
          <w:sz w:val="22"/>
          <w:szCs w:val="22"/>
        </w:rPr>
        <w:t xml:space="preserve"> pose</w:t>
      </w:r>
      <w:r w:rsidR="00B96BE2" w:rsidRPr="00497D94">
        <w:rPr>
          <w:rFonts w:ascii="Tahoma" w:hAnsi="Tahoma" w:cs="Tahoma"/>
          <w:sz w:val="22"/>
          <w:szCs w:val="22"/>
        </w:rPr>
        <w:t xml:space="preserve"> </w:t>
      </w:r>
      <w:r w:rsidR="00497D94" w:rsidRPr="00497D94">
        <w:rPr>
          <w:rFonts w:ascii="Tahoma" w:hAnsi="Tahoma" w:cs="Tahoma"/>
          <w:sz w:val="22"/>
          <w:szCs w:val="22"/>
        </w:rPr>
        <w:t>“</w:t>
      </w:r>
      <w:r w:rsidR="00B96BE2" w:rsidRPr="00497D94">
        <w:rPr>
          <w:rFonts w:ascii="Tahoma" w:hAnsi="Tahoma" w:cs="Tahoma"/>
          <w:sz w:val="22"/>
          <w:szCs w:val="22"/>
        </w:rPr>
        <w:t>no more than a low risk of harm</w:t>
      </w:r>
      <w:r w:rsidR="00497D94" w:rsidRPr="00497D94">
        <w:rPr>
          <w:rFonts w:ascii="Tahoma" w:hAnsi="Tahoma" w:cs="Tahoma"/>
          <w:sz w:val="22"/>
          <w:szCs w:val="22"/>
        </w:rPr>
        <w:t>”</w:t>
      </w:r>
      <w:r w:rsidR="00B96BE2" w:rsidRPr="00497D94">
        <w:rPr>
          <w:rFonts w:ascii="Tahoma" w:hAnsi="Tahoma" w:cs="Tahoma"/>
          <w:sz w:val="22"/>
          <w:szCs w:val="22"/>
        </w:rPr>
        <w:t xml:space="preserve"> to individuals consuming the product</w:t>
      </w:r>
      <w:r w:rsidR="00B96BE2">
        <w:rPr>
          <w:rStyle w:val="FootnoteReference"/>
          <w:rFonts w:ascii="Tahoma" w:hAnsi="Tahoma" w:cs="Tahoma"/>
          <w:sz w:val="22"/>
          <w:szCs w:val="22"/>
        </w:rPr>
        <w:footnoteReference w:id="4"/>
      </w:r>
      <w:r w:rsidR="00497D94">
        <w:rPr>
          <w:rFonts w:ascii="Tahoma" w:hAnsi="Tahoma" w:cs="Tahoma"/>
          <w:sz w:val="22"/>
          <w:szCs w:val="22"/>
        </w:rPr>
        <w:t>.</w:t>
      </w:r>
    </w:p>
    <w:p w14:paraId="06FFD29C" w14:textId="77777777" w:rsidR="00497D94" w:rsidRDefault="00497D94" w:rsidP="00497D94">
      <w:pPr>
        <w:pStyle w:val="ListParagraph"/>
        <w:rPr>
          <w:rFonts w:ascii="Tahoma" w:hAnsi="Tahoma" w:cs="Tahoma"/>
          <w:sz w:val="22"/>
          <w:szCs w:val="22"/>
        </w:rPr>
      </w:pPr>
    </w:p>
    <w:p w14:paraId="5F41EFFF" w14:textId="3E83A07F" w:rsidR="00497D94" w:rsidRDefault="00497D94" w:rsidP="00497D94">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Act also provides for the creation of regulations that will provide guidance on how psychoactive substances, psychoactive products, retail </w:t>
      </w:r>
      <w:r>
        <w:rPr>
          <w:rFonts w:ascii="Tahoma" w:hAnsi="Tahoma" w:cs="Tahoma"/>
          <w:sz w:val="22"/>
          <w:szCs w:val="22"/>
        </w:rPr>
        <w:lastRenderedPageBreak/>
        <w:t>licences, and other approvals under the Act will be considered (ss 99-101).  The Regulations are not in force at the present time.</w:t>
      </w:r>
    </w:p>
    <w:p w14:paraId="7FA1032B" w14:textId="77777777" w:rsidR="00497D94" w:rsidRDefault="00497D94" w:rsidP="00497D94">
      <w:pPr>
        <w:pStyle w:val="ListParagraph"/>
        <w:rPr>
          <w:rFonts w:ascii="Tahoma" w:hAnsi="Tahoma" w:cs="Tahoma"/>
          <w:sz w:val="22"/>
          <w:szCs w:val="22"/>
        </w:rPr>
      </w:pPr>
    </w:p>
    <w:p w14:paraId="179DCC89" w14:textId="7A791205" w:rsidR="0082421F" w:rsidRPr="00497D94" w:rsidRDefault="00497D94" w:rsidP="00497D94">
      <w:pPr>
        <w:numPr>
          <w:ilvl w:val="0"/>
          <w:numId w:val="2"/>
        </w:numPr>
        <w:spacing w:line="360" w:lineRule="auto"/>
        <w:ind w:hanging="720"/>
        <w:jc w:val="both"/>
        <w:rPr>
          <w:rFonts w:ascii="Tahoma" w:hAnsi="Tahoma" w:cs="Tahoma"/>
          <w:sz w:val="22"/>
          <w:szCs w:val="22"/>
        </w:rPr>
      </w:pPr>
      <w:r w:rsidRPr="00497D94">
        <w:rPr>
          <w:rFonts w:ascii="Tahoma" w:hAnsi="Tahoma" w:cs="Tahoma"/>
          <w:sz w:val="22"/>
          <w:szCs w:val="22"/>
        </w:rPr>
        <w:t xml:space="preserve">As a result, </w:t>
      </w:r>
      <w:r w:rsidR="0082421F" w:rsidRPr="00497D94">
        <w:rPr>
          <w:rFonts w:ascii="Tahoma" w:hAnsi="Tahoma" w:cs="Tahoma"/>
          <w:sz w:val="22"/>
          <w:szCs w:val="22"/>
        </w:rPr>
        <w:t>Schedule 1 to the Act</w:t>
      </w:r>
      <w:r w:rsidRPr="00497D94">
        <w:rPr>
          <w:rFonts w:ascii="Tahoma" w:hAnsi="Tahoma" w:cs="Tahoma"/>
          <w:sz w:val="22"/>
          <w:szCs w:val="22"/>
        </w:rPr>
        <w:t xml:space="preserve"> was</w:t>
      </w:r>
      <w:r w:rsidR="0082421F" w:rsidRPr="00497D94">
        <w:rPr>
          <w:rFonts w:ascii="Tahoma" w:hAnsi="Tahoma" w:cs="Tahoma"/>
          <w:sz w:val="22"/>
          <w:szCs w:val="22"/>
        </w:rPr>
        <w:t xml:space="preserve"> introduced</w:t>
      </w:r>
      <w:r w:rsidRPr="00497D94">
        <w:rPr>
          <w:rFonts w:ascii="Tahoma" w:hAnsi="Tahoma" w:cs="Tahoma"/>
          <w:sz w:val="22"/>
          <w:szCs w:val="22"/>
        </w:rPr>
        <w:t xml:space="preserve"> to provide transitional provisions that has</w:t>
      </w:r>
      <w:r w:rsidR="0082421F" w:rsidRPr="00497D94">
        <w:rPr>
          <w:rFonts w:ascii="Tahoma" w:hAnsi="Tahoma" w:cs="Tahoma"/>
          <w:sz w:val="22"/>
          <w:szCs w:val="22"/>
        </w:rPr>
        <w:t xml:space="preserve"> enable</w:t>
      </w:r>
      <w:r w:rsidRPr="00497D94">
        <w:rPr>
          <w:rFonts w:ascii="Tahoma" w:hAnsi="Tahoma" w:cs="Tahoma"/>
          <w:sz w:val="22"/>
          <w:szCs w:val="22"/>
        </w:rPr>
        <w:t>d</w:t>
      </w:r>
      <w:r w:rsidR="0082421F" w:rsidRPr="00497D94">
        <w:rPr>
          <w:rFonts w:ascii="Tahoma" w:hAnsi="Tahoma" w:cs="Tahoma"/>
          <w:sz w:val="22"/>
          <w:szCs w:val="22"/>
        </w:rPr>
        <w:t xml:space="preserve"> people in this market to apply for interim licences</w:t>
      </w:r>
      <w:r w:rsidR="00186ACD" w:rsidRPr="00497D94">
        <w:rPr>
          <w:rFonts w:ascii="Tahoma" w:hAnsi="Tahoma" w:cs="Tahoma"/>
          <w:sz w:val="22"/>
          <w:szCs w:val="22"/>
        </w:rPr>
        <w:t xml:space="preserve"> </w:t>
      </w:r>
      <w:r w:rsidRPr="00497D94">
        <w:rPr>
          <w:rFonts w:ascii="Tahoma" w:hAnsi="Tahoma" w:cs="Tahoma"/>
          <w:sz w:val="22"/>
          <w:szCs w:val="22"/>
        </w:rPr>
        <w:t>p</w:t>
      </w:r>
      <w:r>
        <w:rPr>
          <w:rFonts w:ascii="Tahoma" w:hAnsi="Tahoma" w:cs="Tahoma"/>
          <w:sz w:val="22"/>
          <w:szCs w:val="22"/>
        </w:rPr>
        <w:t>ending the R</w:t>
      </w:r>
      <w:r w:rsidRPr="00497D94">
        <w:rPr>
          <w:rFonts w:ascii="Tahoma" w:hAnsi="Tahoma" w:cs="Tahoma"/>
          <w:sz w:val="22"/>
          <w:szCs w:val="22"/>
        </w:rPr>
        <w:t>egulations coming into force</w:t>
      </w:r>
      <w:r w:rsidR="0082421F" w:rsidRPr="00497D94">
        <w:rPr>
          <w:rFonts w:ascii="Tahoma" w:hAnsi="Tahoma" w:cs="Tahoma"/>
          <w:sz w:val="22"/>
          <w:szCs w:val="22"/>
        </w:rPr>
        <w:t xml:space="preserve">.   </w:t>
      </w:r>
    </w:p>
    <w:p w14:paraId="22FEA27A" w14:textId="77777777" w:rsidR="0082421F" w:rsidRDefault="0082421F" w:rsidP="0082421F">
      <w:pPr>
        <w:pStyle w:val="ListParagraph"/>
        <w:rPr>
          <w:rFonts w:ascii="Tahoma" w:hAnsi="Tahoma" w:cs="Tahoma"/>
          <w:sz w:val="22"/>
          <w:szCs w:val="22"/>
        </w:rPr>
      </w:pPr>
    </w:p>
    <w:p w14:paraId="5AB1032C" w14:textId="182F4F4A" w:rsidR="00497D94" w:rsidRDefault="00497D94" w:rsidP="0082421F">
      <w:pPr>
        <w:numPr>
          <w:ilvl w:val="0"/>
          <w:numId w:val="2"/>
        </w:numPr>
        <w:spacing w:line="360" w:lineRule="auto"/>
        <w:ind w:hanging="720"/>
        <w:jc w:val="both"/>
        <w:rPr>
          <w:rFonts w:ascii="Tahoma" w:hAnsi="Tahoma" w:cs="Tahoma"/>
          <w:sz w:val="22"/>
          <w:szCs w:val="22"/>
        </w:rPr>
      </w:pPr>
      <w:r>
        <w:rPr>
          <w:rFonts w:ascii="Tahoma" w:hAnsi="Tahoma" w:cs="Tahoma"/>
          <w:sz w:val="22"/>
          <w:szCs w:val="22"/>
        </w:rPr>
        <w:t>An interim product approval</w:t>
      </w:r>
      <w:r w:rsidR="0082421F" w:rsidRPr="0082421F">
        <w:rPr>
          <w:rFonts w:ascii="Tahoma" w:hAnsi="Tahoma" w:cs="Tahoma"/>
          <w:sz w:val="22"/>
          <w:szCs w:val="22"/>
        </w:rPr>
        <w:t xml:space="preserve"> is deemed to be c</w:t>
      </w:r>
      <w:r>
        <w:rPr>
          <w:rFonts w:ascii="Tahoma" w:hAnsi="Tahoma" w:cs="Tahoma"/>
          <w:sz w:val="22"/>
          <w:szCs w:val="22"/>
        </w:rPr>
        <w:t>ancelled within 28 days of the R</w:t>
      </w:r>
      <w:r w:rsidR="0082421F" w:rsidRPr="0082421F">
        <w:rPr>
          <w:rFonts w:ascii="Tahoma" w:hAnsi="Tahoma" w:cs="Tahoma"/>
          <w:sz w:val="22"/>
          <w:szCs w:val="22"/>
        </w:rPr>
        <w:t>egulations coming into force unless the holder makes a “full application” under the Act for a licence to carry out the activity to which the interim licence relates.  In that case the interim licence will continue until the date on which the full application is determined (cl 9)</w:t>
      </w:r>
      <w:r w:rsidR="00C43DAE">
        <w:rPr>
          <w:rFonts w:ascii="Tahoma" w:hAnsi="Tahoma" w:cs="Tahoma"/>
          <w:sz w:val="22"/>
          <w:szCs w:val="22"/>
        </w:rPr>
        <w:t>.</w:t>
      </w:r>
    </w:p>
    <w:p w14:paraId="12A0AAED" w14:textId="77777777" w:rsidR="00497D94" w:rsidRDefault="00497D94" w:rsidP="00497D94">
      <w:pPr>
        <w:pStyle w:val="ListParagraph"/>
        <w:rPr>
          <w:rFonts w:ascii="Tahoma" w:hAnsi="Tahoma" w:cs="Tahoma"/>
          <w:sz w:val="22"/>
          <w:szCs w:val="22"/>
        </w:rPr>
      </w:pPr>
    </w:p>
    <w:p w14:paraId="28FE9008" w14:textId="38CA12C0" w:rsidR="00497D94" w:rsidRDefault="00497D94" w:rsidP="0082421F">
      <w:pPr>
        <w:numPr>
          <w:ilvl w:val="0"/>
          <w:numId w:val="2"/>
        </w:numPr>
        <w:spacing w:line="360" w:lineRule="auto"/>
        <w:ind w:hanging="720"/>
        <w:jc w:val="both"/>
        <w:rPr>
          <w:rFonts w:ascii="Tahoma" w:hAnsi="Tahoma" w:cs="Tahoma"/>
          <w:sz w:val="22"/>
          <w:szCs w:val="22"/>
        </w:rPr>
      </w:pPr>
      <w:r>
        <w:rPr>
          <w:rFonts w:ascii="Tahoma" w:hAnsi="Tahoma" w:cs="Tahoma"/>
          <w:sz w:val="22"/>
          <w:szCs w:val="22"/>
        </w:rPr>
        <w:t>The full license application will then be determined by reference to the Regulations.</w:t>
      </w:r>
    </w:p>
    <w:p w14:paraId="450F96DE" w14:textId="33F64BF5" w:rsidR="00C25C94" w:rsidRPr="00497D94" w:rsidRDefault="00C25C94" w:rsidP="00497D94">
      <w:pPr>
        <w:pStyle w:val="ListParagraph"/>
        <w:rPr>
          <w:rFonts w:cs="Arial"/>
          <w:szCs w:val="22"/>
        </w:rPr>
      </w:pPr>
    </w:p>
    <w:p w14:paraId="021BA063" w14:textId="47082067" w:rsidR="00C25C94" w:rsidRDefault="00C25C94"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w:t>
      </w:r>
      <w:r w:rsidR="00497D94">
        <w:rPr>
          <w:rFonts w:ascii="Tahoma" w:hAnsi="Tahoma" w:cs="Tahoma"/>
          <w:sz w:val="22"/>
          <w:szCs w:val="22"/>
        </w:rPr>
        <w:t>Product</w:t>
      </w:r>
      <w:r>
        <w:rPr>
          <w:rFonts w:ascii="Tahoma" w:hAnsi="Tahoma" w:cs="Tahoma"/>
          <w:sz w:val="22"/>
          <w:szCs w:val="22"/>
        </w:rPr>
        <w:t xml:space="preserve"> was the subject of an interim</w:t>
      </w:r>
      <w:r w:rsidR="00497D94">
        <w:rPr>
          <w:rFonts w:ascii="Tahoma" w:hAnsi="Tahoma" w:cs="Tahoma"/>
          <w:sz w:val="22"/>
          <w:szCs w:val="22"/>
        </w:rPr>
        <w:t xml:space="preserve"> psychoactive product</w:t>
      </w:r>
      <w:r>
        <w:rPr>
          <w:rFonts w:ascii="Tahoma" w:hAnsi="Tahoma" w:cs="Tahoma"/>
          <w:sz w:val="22"/>
          <w:szCs w:val="22"/>
        </w:rPr>
        <w:t xml:space="preserve"> </w:t>
      </w:r>
      <w:r w:rsidR="003E1D76">
        <w:rPr>
          <w:rFonts w:ascii="Tahoma" w:hAnsi="Tahoma" w:cs="Tahoma"/>
          <w:sz w:val="22"/>
          <w:szCs w:val="22"/>
        </w:rPr>
        <w:t xml:space="preserve">approval application by the appellant which was declined by the </w:t>
      </w:r>
      <w:r w:rsidR="00497D94">
        <w:rPr>
          <w:rFonts w:ascii="Tahoma" w:hAnsi="Tahoma" w:cs="Tahoma"/>
          <w:sz w:val="22"/>
          <w:szCs w:val="22"/>
        </w:rPr>
        <w:t>respondent</w:t>
      </w:r>
      <w:r w:rsidR="003E1D76">
        <w:rPr>
          <w:rFonts w:ascii="Tahoma" w:hAnsi="Tahoma" w:cs="Tahoma"/>
          <w:sz w:val="22"/>
          <w:szCs w:val="22"/>
        </w:rPr>
        <w:t xml:space="preserve"> on the grounds that the product posed a degree of harm to individuals that was more than a low risk of harm</w:t>
      </w:r>
      <w:r w:rsidR="00C43DAE">
        <w:rPr>
          <w:rFonts w:ascii="Tahoma" w:hAnsi="Tahoma" w:cs="Tahoma"/>
          <w:sz w:val="22"/>
          <w:szCs w:val="22"/>
        </w:rPr>
        <w:t>.</w:t>
      </w:r>
      <w:r w:rsidR="00497D94">
        <w:rPr>
          <w:rStyle w:val="FootnoteReference"/>
          <w:rFonts w:ascii="Tahoma" w:hAnsi="Tahoma" w:cs="Tahoma"/>
          <w:sz w:val="22"/>
          <w:szCs w:val="22"/>
        </w:rPr>
        <w:footnoteReference w:id="5"/>
      </w:r>
      <w:r w:rsidR="00C43DAE">
        <w:rPr>
          <w:rFonts w:ascii="Tahoma" w:hAnsi="Tahoma" w:cs="Tahoma"/>
          <w:sz w:val="22"/>
          <w:szCs w:val="22"/>
        </w:rPr>
        <w:t xml:space="preserve"> </w:t>
      </w:r>
      <w:r w:rsidR="003C5B94">
        <w:rPr>
          <w:rFonts w:ascii="Tahoma" w:hAnsi="Tahoma" w:cs="Tahoma"/>
          <w:sz w:val="22"/>
          <w:szCs w:val="22"/>
        </w:rPr>
        <w:t xml:space="preserve"> </w:t>
      </w:r>
    </w:p>
    <w:p w14:paraId="78E4B25B" w14:textId="77777777" w:rsidR="003C5B94" w:rsidRDefault="003C5B94" w:rsidP="00791DF6">
      <w:pPr>
        <w:pStyle w:val="ListParagraph"/>
        <w:spacing w:line="360" w:lineRule="auto"/>
        <w:rPr>
          <w:rFonts w:ascii="Tahoma" w:hAnsi="Tahoma" w:cs="Tahoma"/>
          <w:sz w:val="22"/>
          <w:szCs w:val="22"/>
        </w:rPr>
      </w:pPr>
    </w:p>
    <w:p w14:paraId="789B3655" w14:textId="33F41312" w:rsidR="003C5B94" w:rsidRDefault="00A3694B" w:rsidP="00791DF6">
      <w:pPr>
        <w:pStyle w:val="ListParagraph"/>
        <w:spacing w:line="360" w:lineRule="auto"/>
        <w:rPr>
          <w:rFonts w:ascii="Tahoma" w:hAnsi="Tahoma" w:cs="Tahoma"/>
          <w:b/>
          <w:sz w:val="22"/>
          <w:szCs w:val="22"/>
        </w:rPr>
      </w:pPr>
      <w:r>
        <w:rPr>
          <w:rFonts w:ascii="Tahoma" w:hAnsi="Tahoma" w:cs="Tahoma"/>
          <w:b/>
          <w:sz w:val="22"/>
          <w:szCs w:val="22"/>
        </w:rPr>
        <w:t>The A</w:t>
      </w:r>
      <w:r w:rsidR="003C5B94" w:rsidRPr="003C5B94">
        <w:rPr>
          <w:rFonts w:ascii="Tahoma" w:hAnsi="Tahoma" w:cs="Tahoma"/>
          <w:b/>
          <w:sz w:val="22"/>
          <w:szCs w:val="22"/>
        </w:rPr>
        <w:t>ppeal</w:t>
      </w:r>
    </w:p>
    <w:p w14:paraId="75805396" w14:textId="77777777" w:rsidR="003C5B94" w:rsidRDefault="003C5B94" w:rsidP="00791DF6">
      <w:pPr>
        <w:pStyle w:val="ListParagraph"/>
        <w:spacing w:line="360" w:lineRule="auto"/>
        <w:rPr>
          <w:rFonts w:ascii="Tahoma" w:hAnsi="Tahoma" w:cs="Tahoma"/>
          <w:sz w:val="22"/>
          <w:szCs w:val="22"/>
        </w:rPr>
      </w:pPr>
    </w:p>
    <w:p w14:paraId="5713934F" w14:textId="6C59359D" w:rsidR="003C5B94" w:rsidRDefault="003C5B94"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The appellant</w:t>
      </w:r>
      <w:r w:rsidR="00497D94">
        <w:rPr>
          <w:rFonts w:ascii="Tahoma" w:hAnsi="Tahoma" w:cs="Tahoma"/>
          <w:sz w:val="22"/>
          <w:szCs w:val="22"/>
        </w:rPr>
        <w:t>, who</w:t>
      </w:r>
      <w:r>
        <w:rPr>
          <w:rFonts w:ascii="Tahoma" w:hAnsi="Tahoma" w:cs="Tahoma"/>
          <w:sz w:val="22"/>
          <w:szCs w:val="22"/>
        </w:rPr>
        <w:t xml:space="preserve"> was not represented </w:t>
      </w:r>
      <w:r w:rsidR="00497D94">
        <w:rPr>
          <w:rFonts w:ascii="Tahoma" w:hAnsi="Tahoma" w:cs="Tahoma"/>
          <w:sz w:val="22"/>
          <w:szCs w:val="22"/>
        </w:rPr>
        <w:t xml:space="preserve">by counsel, </w:t>
      </w:r>
      <w:r w:rsidR="002872C1">
        <w:rPr>
          <w:rFonts w:ascii="Tahoma" w:hAnsi="Tahoma" w:cs="Tahoma"/>
          <w:sz w:val="22"/>
          <w:szCs w:val="22"/>
        </w:rPr>
        <w:t xml:space="preserve">provided a detailed notice of appeal setting out nine grounds in support of the appeal.  In essence, the appellant contended that the respondent had an insufficient evidential foundation </w:t>
      </w:r>
      <w:r w:rsidR="00E4437B">
        <w:rPr>
          <w:rFonts w:ascii="Tahoma" w:hAnsi="Tahoma" w:cs="Tahoma"/>
          <w:sz w:val="22"/>
          <w:szCs w:val="22"/>
        </w:rPr>
        <w:t>to conclude</w:t>
      </w:r>
      <w:r w:rsidR="00497D94">
        <w:rPr>
          <w:rFonts w:ascii="Tahoma" w:hAnsi="Tahoma" w:cs="Tahoma"/>
          <w:sz w:val="22"/>
          <w:szCs w:val="22"/>
        </w:rPr>
        <w:t xml:space="preserve"> that the P</w:t>
      </w:r>
      <w:r w:rsidR="002872C1">
        <w:rPr>
          <w:rFonts w:ascii="Tahoma" w:hAnsi="Tahoma" w:cs="Tahoma"/>
          <w:sz w:val="22"/>
          <w:szCs w:val="22"/>
        </w:rPr>
        <w:t>roduct posed more than a low risk of harm to individuals.</w:t>
      </w:r>
    </w:p>
    <w:p w14:paraId="2507143E" w14:textId="77777777" w:rsidR="002872C1" w:rsidRDefault="002872C1" w:rsidP="00791DF6">
      <w:pPr>
        <w:spacing w:line="360" w:lineRule="auto"/>
        <w:ind w:left="720"/>
        <w:jc w:val="both"/>
        <w:rPr>
          <w:rFonts w:ascii="Tahoma" w:hAnsi="Tahoma" w:cs="Tahoma"/>
          <w:sz w:val="22"/>
          <w:szCs w:val="22"/>
        </w:rPr>
      </w:pPr>
    </w:p>
    <w:p w14:paraId="1BA0607F" w14:textId="3EC26D31" w:rsidR="002872C1" w:rsidRDefault="002872C1"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The respondent in this and othe</w:t>
      </w:r>
      <w:r w:rsidR="005A44B8">
        <w:rPr>
          <w:rFonts w:ascii="Tahoma" w:hAnsi="Tahoma" w:cs="Tahoma"/>
          <w:sz w:val="22"/>
          <w:szCs w:val="22"/>
        </w:rPr>
        <w:t>r interim product approval appl</w:t>
      </w:r>
      <w:r>
        <w:rPr>
          <w:rFonts w:ascii="Tahoma" w:hAnsi="Tahoma" w:cs="Tahoma"/>
          <w:sz w:val="22"/>
          <w:szCs w:val="22"/>
        </w:rPr>
        <w:t>i</w:t>
      </w:r>
      <w:r w:rsidR="005A44B8">
        <w:rPr>
          <w:rFonts w:ascii="Tahoma" w:hAnsi="Tahoma" w:cs="Tahoma"/>
          <w:sz w:val="22"/>
          <w:szCs w:val="22"/>
        </w:rPr>
        <w:t>c</w:t>
      </w:r>
      <w:r>
        <w:rPr>
          <w:rFonts w:ascii="Tahoma" w:hAnsi="Tahoma" w:cs="Tahoma"/>
          <w:sz w:val="22"/>
          <w:szCs w:val="22"/>
        </w:rPr>
        <w:t xml:space="preserve">ations has relied on information </w:t>
      </w:r>
      <w:r w:rsidR="005A44B8">
        <w:rPr>
          <w:rFonts w:ascii="Tahoma" w:hAnsi="Tahoma" w:cs="Tahoma"/>
          <w:sz w:val="22"/>
          <w:szCs w:val="22"/>
        </w:rPr>
        <w:t>derived from a number of sources, including a register kept by the New Zealand</w:t>
      </w:r>
      <w:r w:rsidR="00E4437B">
        <w:rPr>
          <w:rFonts w:ascii="Tahoma" w:hAnsi="Tahoma" w:cs="Tahoma"/>
          <w:sz w:val="22"/>
          <w:szCs w:val="22"/>
        </w:rPr>
        <w:t xml:space="preserve"> National</w:t>
      </w:r>
      <w:r w:rsidR="005A44B8">
        <w:rPr>
          <w:rFonts w:ascii="Tahoma" w:hAnsi="Tahoma" w:cs="Tahoma"/>
          <w:sz w:val="22"/>
          <w:szCs w:val="22"/>
        </w:rPr>
        <w:t xml:space="preserve"> Poisons Centre.  The respondent has developed </w:t>
      </w:r>
      <w:r w:rsidR="00D467E5">
        <w:rPr>
          <w:rFonts w:ascii="Tahoma" w:hAnsi="Tahoma" w:cs="Tahoma"/>
          <w:sz w:val="22"/>
          <w:szCs w:val="22"/>
        </w:rPr>
        <w:t xml:space="preserve">a scoring system based on the number and </w:t>
      </w:r>
      <w:r w:rsidR="00D467E5">
        <w:rPr>
          <w:rFonts w:ascii="Tahoma" w:hAnsi="Tahoma" w:cs="Tahoma"/>
          <w:sz w:val="22"/>
          <w:szCs w:val="22"/>
        </w:rPr>
        <w:lastRenderedPageBreak/>
        <w:t xml:space="preserve">type of reports made to </w:t>
      </w:r>
      <w:r w:rsidR="00E4437B">
        <w:rPr>
          <w:rFonts w:ascii="Tahoma" w:hAnsi="Tahoma" w:cs="Tahoma"/>
          <w:sz w:val="22"/>
          <w:szCs w:val="22"/>
        </w:rPr>
        <w:t>that</w:t>
      </w:r>
      <w:r w:rsidR="00D467E5">
        <w:rPr>
          <w:rFonts w:ascii="Tahoma" w:hAnsi="Tahoma" w:cs="Tahoma"/>
          <w:sz w:val="22"/>
          <w:szCs w:val="22"/>
        </w:rPr>
        <w:t xml:space="preserve"> Centre from which the </w:t>
      </w:r>
      <w:r w:rsidR="00791DF6">
        <w:rPr>
          <w:rFonts w:ascii="Tahoma" w:hAnsi="Tahoma" w:cs="Tahoma"/>
          <w:sz w:val="22"/>
          <w:szCs w:val="22"/>
        </w:rPr>
        <w:t>respondent</w:t>
      </w:r>
      <w:r w:rsidR="00D467E5">
        <w:rPr>
          <w:rFonts w:ascii="Tahoma" w:hAnsi="Tahoma" w:cs="Tahoma"/>
          <w:sz w:val="22"/>
          <w:szCs w:val="22"/>
        </w:rPr>
        <w:t xml:space="preserve"> has determine</w:t>
      </w:r>
      <w:r w:rsidR="00E4437B">
        <w:rPr>
          <w:rFonts w:ascii="Tahoma" w:hAnsi="Tahoma" w:cs="Tahoma"/>
          <w:sz w:val="22"/>
          <w:szCs w:val="22"/>
        </w:rPr>
        <w:t>d a</w:t>
      </w:r>
      <w:r w:rsidR="00D467E5">
        <w:rPr>
          <w:rFonts w:ascii="Tahoma" w:hAnsi="Tahoma" w:cs="Tahoma"/>
          <w:sz w:val="22"/>
          <w:szCs w:val="22"/>
        </w:rPr>
        <w:t xml:space="preserve"> level of risk posed by a particular product to individuals</w:t>
      </w:r>
      <w:r w:rsidR="008B00FB">
        <w:rPr>
          <w:rFonts w:ascii="Tahoma" w:hAnsi="Tahoma" w:cs="Tahoma"/>
          <w:sz w:val="22"/>
          <w:szCs w:val="22"/>
        </w:rPr>
        <w:t xml:space="preserve">. </w:t>
      </w:r>
    </w:p>
    <w:p w14:paraId="72A2B709" w14:textId="77777777" w:rsidR="008B00FB" w:rsidRDefault="008B00FB" w:rsidP="00791DF6">
      <w:pPr>
        <w:pStyle w:val="ListParagraph"/>
        <w:spacing w:line="360" w:lineRule="auto"/>
        <w:rPr>
          <w:rFonts w:ascii="Tahoma" w:hAnsi="Tahoma" w:cs="Tahoma"/>
          <w:sz w:val="22"/>
          <w:szCs w:val="22"/>
        </w:rPr>
      </w:pPr>
    </w:p>
    <w:p w14:paraId="56ED471B" w14:textId="77EDBDAA" w:rsidR="00262466" w:rsidRDefault="00E4437B"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In the case of the P</w:t>
      </w:r>
      <w:r w:rsidR="008B00FB">
        <w:rPr>
          <w:rFonts w:ascii="Tahoma" w:hAnsi="Tahoma" w:cs="Tahoma"/>
          <w:sz w:val="22"/>
          <w:szCs w:val="22"/>
        </w:rPr>
        <w:t>roduct, the respondent</w:t>
      </w:r>
      <w:r>
        <w:rPr>
          <w:rFonts w:ascii="Tahoma" w:hAnsi="Tahoma" w:cs="Tahoma"/>
          <w:sz w:val="22"/>
          <w:szCs w:val="22"/>
        </w:rPr>
        <w:t xml:space="preserve"> had</w:t>
      </w:r>
      <w:r w:rsidR="008B00FB">
        <w:rPr>
          <w:rFonts w:ascii="Tahoma" w:hAnsi="Tahoma" w:cs="Tahoma"/>
          <w:sz w:val="22"/>
          <w:szCs w:val="22"/>
        </w:rPr>
        <w:t xml:space="preserve"> identified two adverse reports in the register from which it determined a risk</w:t>
      </w:r>
      <w:r>
        <w:rPr>
          <w:rFonts w:ascii="Tahoma" w:hAnsi="Tahoma" w:cs="Tahoma"/>
          <w:sz w:val="22"/>
          <w:szCs w:val="22"/>
        </w:rPr>
        <w:t xml:space="preserve"> score for the P</w:t>
      </w:r>
      <w:r w:rsidR="008B00FB">
        <w:rPr>
          <w:rFonts w:ascii="Tahoma" w:hAnsi="Tahoma" w:cs="Tahoma"/>
          <w:sz w:val="22"/>
          <w:szCs w:val="22"/>
        </w:rPr>
        <w:t>roduct</w:t>
      </w:r>
      <w:r>
        <w:rPr>
          <w:rFonts w:ascii="Tahoma" w:hAnsi="Tahoma" w:cs="Tahoma"/>
          <w:sz w:val="22"/>
          <w:szCs w:val="22"/>
        </w:rPr>
        <w:t>.  From that t</w:t>
      </w:r>
      <w:r w:rsidR="00256F3B">
        <w:rPr>
          <w:rFonts w:ascii="Tahoma" w:hAnsi="Tahoma" w:cs="Tahoma"/>
          <w:sz w:val="22"/>
          <w:szCs w:val="22"/>
        </w:rPr>
        <w:t>he respondent determined that</w:t>
      </w:r>
      <w:r>
        <w:rPr>
          <w:rFonts w:ascii="Tahoma" w:hAnsi="Tahoma" w:cs="Tahoma"/>
          <w:sz w:val="22"/>
          <w:szCs w:val="22"/>
        </w:rPr>
        <w:t xml:space="preserve"> </w:t>
      </w:r>
      <w:r w:rsidR="002B4E96">
        <w:rPr>
          <w:rFonts w:ascii="Tahoma" w:hAnsi="Tahoma" w:cs="Tahoma"/>
          <w:sz w:val="22"/>
          <w:szCs w:val="22"/>
        </w:rPr>
        <w:t xml:space="preserve">the degree of harm </w:t>
      </w:r>
      <w:r>
        <w:rPr>
          <w:rFonts w:ascii="Tahoma" w:hAnsi="Tahoma" w:cs="Tahoma"/>
          <w:sz w:val="22"/>
          <w:szCs w:val="22"/>
        </w:rPr>
        <w:t>posed to individuals by the P</w:t>
      </w:r>
      <w:r w:rsidR="00E46352">
        <w:rPr>
          <w:rFonts w:ascii="Tahoma" w:hAnsi="Tahoma" w:cs="Tahoma"/>
          <w:sz w:val="22"/>
          <w:szCs w:val="22"/>
        </w:rPr>
        <w:t>roduct was higher than</w:t>
      </w:r>
      <w:r>
        <w:rPr>
          <w:rFonts w:ascii="Tahoma" w:hAnsi="Tahoma" w:cs="Tahoma"/>
          <w:sz w:val="22"/>
          <w:szCs w:val="22"/>
        </w:rPr>
        <w:t xml:space="preserve"> the “low risk of harm”</w:t>
      </w:r>
      <w:r w:rsidR="00E46352">
        <w:rPr>
          <w:rFonts w:ascii="Tahoma" w:hAnsi="Tahoma" w:cs="Tahoma"/>
          <w:sz w:val="22"/>
          <w:szCs w:val="22"/>
        </w:rPr>
        <w:t xml:space="preserve"> </w:t>
      </w:r>
      <w:r>
        <w:rPr>
          <w:rFonts w:ascii="Tahoma" w:hAnsi="Tahoma" w:cs="Tahoma"/>
          <w:sz w:val="22"/>
          <w:szCs w:val="22"/>
        </w:rPr>
        <w:t>threshold prescribed in s37</w:t>
      </w:r>
      <w:r w:rsidR="00262466">
        <w:rPr>
          <w:rFonts w:ascii="Tahoma" w:hAnsi="Tahoma" w:cs="Tahoma"/>
          <w:sz w:val="22"/>
          <w:szCs w:val="22"/>
        </w:rPr>
        <w:t>(b)</w:t>
      </w:r>
      <w:r w:rsidR="00E46352">
        <w:rPr>
          <w:rFonts w:ascii="Tahoma" w:hAnsi="Tahoma" w:cs="Tahoma"/>
          <w:sz w:val="22"/>
          <w:szCs w:val="22"/>
        </w:rPr>
        <w:t xml:space="preserve">. </w:t>
      </w:r>
    </w:p>
    <w:p w14:paraId="5C3A7CBB" w14:textId="77777777" w:rsidR="00262466" w:rsidRDefault="00262466" w:rsidP="00262466">
      <w:pPr>
        <w:pStyle w:val="ListParagraph"/>
        <w:rPr>
          <w:rFonts w:ascii="Tahoma" w:hAnsi="Tahoma" w:cs="Tahoma"/>
          <w:sz w:val="22"/>
          <w:szCs w:val="22"/>
        </w:rPr>
      </w:pPr>
    </w:p>
    <w:p w14:paraId="6754B85F" w14:textId="72ED5A99" w:rsidR="008B00FB" w:rsidRDefault="00262466"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We do not traverse the detail of the respondent’s risk scoring methodology in this decision because ultimately it has been unnecessary for us to do so.  Accordingly we have reached no view, generally, on that methodology and the utility of that methodology in light of the statutory test.</w:t>
      </w:r>
    </w:p>
    <w:p w14:paraId="38320820" w14:textId="77777777" w:rsidR="00E46352" w:rsidRDefault="00E46352" w:rsidP="00791DF6">
      <w:pPr>
        <w:pStyle w:val="ListParagraph"/>
        <w:spacing w:line="360" w:lineRule="auto"/>
        <w:rPr>
          <w:rFonts w:ascii="Tahoma" w:hAnsi="Tahoma" w:cs="Tahoma"/>
          <w:sz w:val="22"/>
          <w:szCs w:val="22"/>
        </w:rPr>
      </w:pPr>
    </w:p>
    <w:p w14:paraId="726E97E0" w14:textId="7EBAB4DF" w:rsidR="00E46352" w:rsidRDefault="00E46352"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a telephone conference convened on 22 January 2014, the appellant indicated that there was information </w:t>
      </w:r>
      <w:r w:rsidR="00B8094C">
        <w:rPr>
          <w:rFonts w:ascii="Tahoma" w:hAnsi="Tahoma" w:cs="Tahoma"/>
          <w:sz w:val="22"/>
          <w:szCs w:val="22"/>
        </w:rPr>
        <w:t>available to him which would be relevant to the appeal</w:t>
      </w:r>
      <w:r w:rsidR="00E46103">
        <w:rPr>
          <w:rFonts w:ascii="Tahoma" w:hAnsi="Tahoma" w:cs="Tahoma"/>
          <w:sz w:val="22"/>
          <w:szCs w:val="22"/>
        </w:rPr>
        <w:t>.  We gave leave for the appellant to file this additional material</w:t>
      </w:r>
      <w:r w:rsidR="00A60B03">
        <w:rPr>
          <w:rFonts w:ascii="Tahoma" w:hAnsi="Tahoma" w:cs="Tahoma"/>
          <w:sz w:val="22"/>
          <w:szCs w:val="22"/>
        </w:rPr>
        <w:t xml:space="preserve">, with leave also </w:t>
      </w:r>
      <w:r w:rsidR="00E26692">
        <w:rPr>
          <w:rFonts w:ascii="Tahoma" w:hAnsi="Tahoma" w:cs="Tahoma"/>
          <w:sz w:val="22"/>
          <w:szCs w:val="22"/>
        </w:rPr>
        <w:t>being granted to the respondent to file additional information</w:t>
      </w:r>
      <w:r w:rsidR="00D536D8">
        <w:rPr>
          <w:rFonts w:ascii="Tahoma" w:hAnsi="Tahoma" w:cs="Tahoma"/>
          <w:sz w:val="22"/>
          <w:szCs w:val="22"/>
        </w:rPr>
        <w:t xml:space="preserve"> in response, if required.  </w:t>
      </w:r>
    </w:p>
    <w:p w14:paraId="17C56DEE" w14:textId="77777777" w:rsidR="00227C92" w:rsidRDefault="00227C92" w:rsidP="00791DF6">
      <w:pPr>
        <w:pStyle w:val="ListParagraph"/>
        <w:spacing w:line="360" w:lineRule="auto"/>
        <w:rPr>
          <w:rFonts w:ascii="Tahoma" w:hAnsi="Tahoma" w:cs="Tahoma"/>
          <w:sz w:val="22"/>
          <w:szCs w:val="22"/>
        </w:rPr>
      </w:pPr>
    </w:p>
    <w:p w14:paraId="0C16F930" w14:textId="4AF641EA" w:rsidR="00227C92" w:rsidRDefault="00227C92"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As a consequence of </w:t>
      </w:r>
      <w:r w:rsidR="003F1E46">
        <w:rPr>
          <w:rFonts w:ascii="Tahoma" w:hAnsi="Tahoma" w:cs="Tahoma"/>
          <w:sz w:val="22"/>
          <w:szCs w:val="22"/>
        </w:rPr>
        <w:t xml:space="preserve">the exercise of exchanging additional material, it became apparent </w:t>
      </w:r>
      <w:r w:rsidR="00377561">
        <w:rPr>
          <w:rFonts w:ascii="Tahoma" w:hAnsi="Tahoma" w:cs="Tahoma"/>
          <w:sz w:val="22"/>
          <w:szCs w:val="22"/>
        </w:rPr>
        <w:t xml:space="preserve">to the respondent that the two adverse reports </w:t>
      </w:r>
      <w:r w:rsidR="00791DF6">
        <w:rPr>
          <w:rFonts w:ascii="Tahoma" w:hAnsi="Tahoma" w:cs="Tahoma"/>
          <w:sz w:val="22"/>
          <w:szCs w:val="22"/>
        </w:rPr>
        <w:t>it</w:t>
      </w:r>
      <w:r w:rsidR="00A60B03">
        <w:rPr>
          <w:rFonts w:ascii="Tahoma" w:hAnsi="Tahoma" w:cs="Tahoma"/>
          <w:sz w:val="22"/>
          <w:szCs w:val="22"/>
        </w:rPr>
        <w:t xml:space="preserve"> had</w:t>
      </w:r>
      <w:r w:rsidR="00377561">
        <w:rPr>
          <w:rFonts w:ascii="Tahoma" w:hAnsi="Tahoma" w:cs="Tahoma"/>
          <w:sz w:val="22"/>
          <w:szCs w:val="22"/>
        </w:rPr>
        <w:t xml:space="preserve"> relied on to determine the risk</w:t>
      </w:r>
      <w:r w:rsidR="00A60B03">
        <w:rPr>
          <w:rFonts w:ascii="Tahoma" w:hAnsi="Tahoma" w:cs="Tahoma"/>
          <w:sz w:val="22"/>
          <w:szCs w:val="22"/>
        </w:rPr>
        <w:t xml:space="preserve"> sc</w:t>
      </w:r>
      <w:r w:rsidR="00377561">
        <w:rPr>
          <w:rFonts w:ascii="Tahoma" w:hAnsi="Tahoma" w:cs="Tahoma"/>
          <w:sz w:val="22"/>
          <w:szCs w:val="22"/>
        </w:rPr>
        <w:t>or</w:t>
      </w:r>
      <w:r w:rsidR="00A60B03">
        <w:rPr>
          <w:rFonts w:ascii="Tahoma" w:hAnsi="Tahoma" w:cs="Tahoma"/>
          <w:sz w:val="22"/>
          <w:szCs w:val="22"/>
        </w:rPr>
        <w:t>e</w:t>
      </w:r>
      <w:r w:rsidR="00377561">
        <w:rPr>
          <w:rFonts w:ascii="Tahoma" w:hAnsi="Tahoma" w:cs="Tahoma"/>
          <w:sz w:val="22"/>
          <w:szCs w:val="22"/>
        </w:rPr>
        <w:t xml:space="preserve"> for the product related to </w:t>
      </w:r>
      <w:r w:rsidR="00090F8E">
        <w:rPr>
          <w:rFonts w:ascii="Tahoma" w:hAnsi="Tahoma" w:cs="Tahoma"/>
          <w:sz w:val="22"/>
          <w:szCs w:val="22"/>
        </w:rPr>
        <w:t xml:space="preserve">the same </w:t>
      </w:r>
      <w:r w:rsidR="00C93B9D">
        <w:rPr>
          <w:rFonts w:ascii="Tahoma" w:hAnsi="Tahoma" w:cs="Tahoma"/>
          <w:sz w:val="22"/>
          <w:szCs w:val="22"/>
        </w:rPr>
        <w:t>adverse event</w:t>
      </w:r>
      <w:r w:rsidR="00256F3B">
        <w:rPr>
          <w:rFonts w:ascii="Tahoma" w:hAnsi="Tahoma" w:cs="Tahoma"/>
          <w:sz w:val="22"/>
          <w:szCs w:val="22"/>
        </w:rPr>
        <w:t xml:space="preserve">.  </w:t>
      </w:r>
      <w:r w:rsidR="00A60B03">
        <w:rPr>
          <w:rFonts w:ascii="Tahoma" w:hAnsi="Tahoma" w:cs="Tahoma"/>
          <w:sz w:val="22"/>
          <w:szCs w:val="22"/>
        </w:rPr>
        <w:t>We were advised by the respondent that this could affect the risk score applied to the Product.</w:t>
      </w:r>
    </w:p>
    <w:p w14:paraId="686262FA" w14:textId="77777777" w:rsidR="00A77ACD" w:rsidRDefault="00A77ACD" w:rsidP="00791DF6">
      <w:pPr>
        <w:pStyle w:val="ListParagraph"/>
        <w:spacing w:line="360" w:lineRule="auto"/>
        <w:rPr>
          <w:rFonts w:ascii="Tahoma" w:hAnsi="Tahoma" w:cs="Tahoma"/>
          <w:sz w:val="22"/>
          <w:szCs w:val="22"/>
        </w:rPr>
      </w:pPr>
    </w:p>
    <w:p w14:paraId="217C0809" w14:textId="5DE25D22" w:rsidR="00A77ACD" w:rsidRDefault="00B768F1"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As a consequence the appellant and respondent filed</w:t>
      </w:r>
      <w:r w:rsidR="00A77ACD">
        <w:rPr>
          <w:rFonts w:ascii="Tahoma" w:hAnsi="Tahoma" w:cs="Tahoma"/>
          <w:sz w:val="22"/>
          <w:szCs w:val="22"/>
        </w:rPr>
        <w:t xml:space="preserve"> a joint memorandum dated 19 March 2014</w:t>
      </w:r>
      <w:r>
        <w:rPr>
          <w:rFonts w:ascii="Tahoma" w:hAnsi="Tahoma" w:cs="Tahoma"/>
          <w:sz w:val="22"/>
          <w:szCs w:val="22"/>
        </w:rPr>
        <w:t>.  The parties requested that</w:t>
      </w:r>
      <w:r w:rsidR="00A77ACD">
        <w:rPr>
          <w:rFonts w:ascii="Tahoma" w:hAnsi="Tahoma" w:cs="Tahoma"/>
          <w:sz w:val="22"/>
          <w:szCs w:val="22"/>
        </w:rPr>
        <w:t xml:space="preserve"> </w:t>
      </w:r>
      <w:r w:rsidR="00F338D0">
        <w:rPr>
          <w:rFonts w:ascii="Tahoma" w:hAnsi="Tahoma" w:cs="Tahoma"/>
          <w:sz w:val="22"/>
          <w:szCs w:val="22"/>
        </w:rPr>
        <w:t xml:space="preserve">instead of determining the appeal under s45 of the Act, the Appeals Committee </w:t>
      </w:r>
      <w:r>
        <w:rPr>
          <w:rFonts w:ascii="Tahoma" w:hAnsi="Tahoma" w:cs="Tahoma"/>
          <w:sz w:val="22"/>
          <w:szCs w:val="22"/>
        </w:rPr>
        <w:t>should instead make an order under s46(1) referring</w:t>
      </w:r>
      <w:r w:rsidR="00F338D0">
        <w:rPr>
          <w:rFonts w:ascii="Tahoma" w:hAnsi="Tahoma" w:cs="Tahoma"/>
          <w:sz w:val="22"/>
          <w:szCs w:val="22"/>
        </w:rPr>
        <w:t xml:space="preserve"> the </w:t>
      </w:r>
      <w:r>
        <w:rPr>
          <w:rFonts w:ascii="Tahoma" w:hAnsi="Tahoma" w:cs="Tahoma"/>
          <w:sz w:val="22"/>
          <w:szCs w:val="22"/>
        </w:rPr>
        <w:t>decision back to the respondent for reconsideration.</w:t>
      </w:r>
      <w:r w:rsidR="00F338D0">
        <w:rPr>
          <w:rFonts w:ascii="Tahoma" w:hAnsi="Tahoma" w:cs="Tahoma"/>
          <w:sz w:val="22"/>
          <w:szCs w:val="22"/>
        </w:rPr>
        <w:t xml:space="preserve">  </w:t>
      </w:r>
      <w:r>
        <w:rPr>
          <w:rFonts w:ascii="Tahoma" w:hAnsi="Tahoma" w:cs="Tahoma"/>
          <w:sz w:val="22"/>
          <w:szCs w:val="22"/>
        </w:rPr>
        <w:t>This would</w:t>
      </w:r>
      <w:r w:rsidR="00F338D0">
        <w:rPr>
          <w:rFonts w:ascii="Tahoma" w:hAnsi="Tahoma" w:cs="Tahoma"/>
          <w:sz w:val="22"/>
          <w:szCs w:val="22"/>
        </w:rPr>
        <w:t xml:space="preserve"> </w:t>
      </w:r>
      <w:r>
        <w:rPr>
          <w:rFonts w:ascii="Tahoma" w:hAnsi="Tahoma" w:cs="Tahoma"/>
          <w:sz w:val="22"/>
          <w:szCs w:val="22"/>
        </w:rPr>
        <w:t>then enable the</w:t>
      </w:r>
      <w:r w:rsidR="00F338D0">
        <w:rPr>
          <w:rFonts w:ascii="Tahoma" w:hAnsi="Tahoma" w:cs="Tahoma"/>
          <w:sz w:val="22"/>
          <w:szCs w:val="22"/>
        </w:rPr>
        <w:t xml:space="preserve"> respondent to reconsider the application for i</w:t>
      </w:r>
      <w:r>
        <w:rPr>
          <w:rFonts w:ascii="Tahoma" w:hAnsi="Tahoma" w:cs="Tahoma"/>
          <w:sz w:val="22"/>
          <w:szCs w:val="22"/>
        </w:rPr>
        <w:t>nterim approval of the P</w:t>
      </w:r>
      <w:r w:rsidR="00F338D0">
        <w:rPr>
          <w:rFonts w:ascii="Tahoma" w:hAnsi="Tahoma" w:cs="Tahoma"/>
          <w:sz w:val="22"/>
          <w:szCs w:val="22"/>
        </w:rPr>
        <w:t xml:space="preserve">roduct on the basis </w:t>
      </w:r>
      <w:r>
        <w:rPr>
          <w:rFonts w:ascii="Tahoma" w:hAnsi="Tahoma" w:cs="Tahoma"/>
          <w:sz w:val="22"/>
          <w:szCs w:val="22"/>
        </w:rPr>
        <w:t>its present understanding of the National Poisons Centre data</w:t>
      </w:r>
      <w:r w:rsidR="00F338D0">
        <w:rPr>
          <w:rFonts w:ascii="Tahoma" w:hAnsi="Tahoma" w:cs="Tahoma"/>
          <w:sz w:val="22"/>
          <w:szCs w:val="22"/>
        </w:rPr>
        <w:t xml:space="preserve">.  </w:t>
      </w:r>
    </w:p>
    <w:p w14:paraId="2E4CF45F" w14:textId="77777777" w:rsidR="00F338D0" w:rsidRDefault="00F338D0" w:rsidP="00791DF6">
      <w:pPr>
        <w:pStyle w:val="ListParagraph"/>
        <w:spacing w:line="360" w:lineRule="auto"/>
        <w:rPr>
          <w:rFonts w:ascii="Tahoma" w:hAnsi="Tahoma" w:cs="Tahoma"/>
          <w:sz w:val="22"/>
          <w:szCs w:val="22"/>
        </w:rPr>
      </w:pPr>
    </w:p>
    <w:p w14:paraId="5947B5B4" w14:textId="55A0949E" w:rsidR="00F338D0" w:rsidRDefault="00B768F1"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light of this the parties </w:t>
      </w:r>
      <w:r w:rsidR="00F338D0">
        <w:rPr>
          <w:rFonts w:ascii="Tahoma" w:hAnsi="Tahoma" w:cs="Tahoma"/>
          <w:sz w:val="22"/>
          <w:szCs w:val="22"/>
        </w:rPr>
        <w:t xml:space="preserve">agreed that the hearing that </w:t>
      </w:r>
      <w:r>
        <w:rPr>
          <w:rFonts w:ascii="Tahoma" w:hAnsi="Tahoma" w:cs="Tahoma"/>
          <w:sz w:val="22"/>
          <w:szCs w:val="22"/>
        </w:rPr>
        <w:t>was scheduled to occur</w:t>
      </w:r>
      <w:r w:rsidR="00F338D0">
        <w:rPr>
          <w:rFonts w:ascii="Tahoma" w:hAnsi="Tahoma" w:cs="Tahoma"/>
          <w:sz w:val="22"/>
          <w:szCs w:val="22"/>
        </w:rPr>
        <w:t xml:space="preserve"> on 1 April 2014 could be commuted to a telephone conference.  </w:t>
      </w:r>
    </w:p>
    <w:p w14:paraId="2F12A863" w14:textId="77777777" w:rsidR="00F338D0" w:rsidRDefault="00F338D0" w:rsidP="00791DF6">
      <w:pPr>
        <w:pStyle w:val="ListParagraph"/>
        <w:spacing w:line="360" w:lineRule="auto"/>
        <w:rPr>
          <w:rFonts w:ascii="Tahoma" w:hAnsi="Tahoma" w:cs="Tahoma"/>
          <w:sz w:val="22"/>
          <w:szCs w:val="22"/>
        </w:rPr>
      </w:pPr>
    </w:p>
    <w:p w14:paraId="79D2AA50" w14:textId="77777777" w:rsidR="00F338D0" w:rsidRDefault="00F338D0"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At that telephone conference, the appellant again represented himself with the respondent being represented by Ms Miller.  </w:t>
      </w:r>
    </w:p>
    <w:p w14:paraId="21DCC2CA" w14:textId="77777777" w:rsidR="00F338D0" w:rsidRDefault="00F338D0" w:rsidP="00791DF6">
      <w:pPr>
        <w:pStyle w:val="ListParagraph"/>
        <w:spacing w:line="360" w:lineRule="auto"/>
        <w:rPr>
          <w:rFonts w:ascii="Tahoma" w:hAnsi="Tahoma" w:cs="Tahoma"/>
          <w:sz w:val="22"/>
          <w:szCs w:val="22"/>
        </w:rPr>
      </w:pPr>
    </w:p>
    <w:p w14:paraId="2D297F73" w14:textId="73CA280F" w:rsidR="00F63ED9" w:rsidRDefault="006F0AF1"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We</w:t>
      </w:r>
      <w:r w:rsidR="00C14AAF">
        <w:rPr>
          <w:rFonts w:ascii="Tahoma" w:hAnsi="Tahoma" w:cs="Tahoma"/>
          <w:sz w:val="22"/>
          <w:szCs w:val="22"/>
        </w:rPr>
        <w:t xml:space="preserve"> record that we</w:t>
      </w:r>
      <w:r>
        <w:rPr>
          <w:rFonts w:ascii="Tahoma" w:hAnsi="Tahoma" w:cs="Tahoma"/>
          <w:sz w:val="22"/>
          <w:szCs w:val="22"/>
        </w:rPr>
        <w:t xml:space="preserve"> confirmed with the appellant that he consented to the appeal being dealt with by </w:t>
      </w:r>
      <w:r w:rsidR="00C14AAF">
        <w:rPr>
          <w:rFonts w:ascii="Tahoma" w:hAnsi="Tahoma" w:cs="Tahoma"/>
          <w:sz w:val="22"/>
          <w:szCs w:val="22"/>
        </w:rPr>
        <w:t>t</w:t>
      </w:r>
      <w:r w:rsidR="00B768F1">
        <w:rPr>
          <w:rFonts w:ascii="Tahoma" w:hAnsi="Tahoma" w:cs="Tahoma"/>
          <w:sz w:val="22"/>
          <w:szCs w:val="22"/>
        </w:rPr>
        <w:t>he matter being referred</w:t>
      </w:r>
      <w:r>
        <w:rPr>
          <w:rFonts w:ascii="Tahoma" w:hAnsi="Tahoma" w:cs="Tahoma"/>
          <w:sz w:val="22"/>
          <w:szCs w:val="22"/>
        </w:rPr>
        <w:t xml:space="preserve"> back to the respondent for reconsideration.  The appellant expressed dissatisfaction with the delay that had arisen</w:t>
      </w:r>
      <w:r w:rsidR="00F63ED9">
        <w:rPr>
          <w:rFonts w:ascii="Tahoma" w:hAnsi="Tahoma" w:cs="Tahoma"/>
          <w:sz w:val="22"/>
          <w:szCs w:val="22"/>
        </w:rPr>
        <w:t xml:space="preserve"> as a consequence of </w:t>
      </w:r>
      <w:r w:rsidR="00C14AAF">
        <w:rPr>
          <w:rFonts w:ascii="Tahoma" w:hAnsi="Tahoma" w:cs="Tahoma"/>
          <w:sz w:val="22"/>
          <w:szCs w:val="22"/>
        </w:rPr>
        <w:t>this,</w:t>
      </w:r>
      <w:r w:rsidR="00F63ED9">
        <w:rPr>
          <w:rFonts w:ascii="Tahoma" w:hAnsi="Tahoma" w:cs="Tahoma"/>
          <w:sz w:val="22"/>
          <w:szCs w:val="22"/>
        </w:rPr>
        <w:t xml:space="preserve"> and also voiced opposition to the use by the respondent of the National Poisons Centre data</w:t>
      </w:r>
      <w:r w:rsidR="00B768F1">
        <w:rPr>
          <w:rFonts w:ascii="Tahoma" w:hAnsi="Tahoma" w:cs="Tahoma"/>
          <w:sz w:val="22"/>
          <w:szCs w:val="22"/>
        </w:rPr>
        <w:t>.  The appellant did, however, confirm that this was the remedy sought, consistent with the joint memorandum of 19 March 2014</w:t>
      </w:r>
      <w:r w:rsidR="00F63ED9">
        <w:rPr>
          <w:rFonts w:ascii="Tahoma" w:hAnsi="Tahoma" w:cs="Tahoma"/>
          <w:sz w:val="22"/>
          <w:szCs w:val="22"/>
        </w:rPr>
        <w:t xml:space="preserve">.  </w:t>
      </w:r>
    </w:p>
    <w:p w14:paraId="2C0B1DDE" w14:textId="77777777" w:rsidR="00F63ED9" w:rsidRDefault="00F63ED9" w:rsidP="00791DF6">
      <w:pPr>
        <w:pStyle w:val="ListParagraph"/>
        <w:spacing w:line="360" w:lineRule="auto"/>
        <w:rPr>
          <w:rFonts w:ascii="Tahoma" w:hAnsi="Tahoma" w:cs="Tahoma"/>
          <w:sz w:val="22"/>
          <w:szCs w:val="22"/>
        </w:rPr>
      </w:pPr>
    </w:p>
    <w:p w14:paraId="4185A53D" w14:textId="3288AF94" w:rsidR="00F338D0" w:rsidRDefault="00371C28"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The C</w:t>
      </w:r>
      <w:r w:rsidR="00F63ED9">
        <w:rPr>
          <w:rFonts w:ascii="Tahoma" w:hAnsi="Tahoma" w:cs="Tahoma"/>
          <w:sz w:val="22"/>
          <w:szCs w:val="22"/>
        </w:rPr>
        <w:t xml:space="preserve">ommittee indicated to the appellant that although the delay was frustrating his application and subsequent appeal, </w:t>
      </w:r>
      <w:r w:rsidR="0026766A">
        <w:rPr>
          <w:rFonts w:ascii="Tahoma" w:hAnsi="Tahoma" w:cs="Tahoma"/>
          <w:sz w:val="22"/>
          <w:szCs w:val="22"/>
        </w:rPr>
        <w:t xml:space="preserve">had been addressed as soon as reasonably possible.  </w:t>
      </w:r>
    </w:p>
    <w:p w14:paraId="3F20FBF6" w14:textId="77777777" w:rsidR="0026766A" w:rsidRDefault="0026766A" w:rsidP="00791DF6">
      <w:pPr>
        <w:pStyle w:val="ListParagraph"/>
        <w:spacing w:line="360" w:lineRule="auto"/>
        <w:rPr>
          <w:rFonts w:ascii="Tahoma" w:hAnsi="Tahoma" w:cs="Tahoma"/>
          <w:sz w:val="22"/>
          <w:szCs w:val="22"/>
        </w:rPr>
      </w:pPr>
    </w:p>
    <w:p w14:paraId="6F6EEE4C" w14:textId="2D6FBE23" w:rsidR="0026766A" w:rsidRDefault="0026766A"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With respect to the appellant’s submission that, generally, </w:t>
      </w:r>
      <w:r w:rsidR="004668EB">
        <w:rPr>
          <w:rFonts w:ascii="Tahoma" w:hAnsi="Tahoma" w:cs="Tahoma"/>
          <w:sz w:val="22"/>
          <w:szCs w:val="22"/>
        </w:rPr>
        <w:t>the National Poisons Centre data was not reliable, we indicated that if we granted the appeal on the basis that it was sought, then the Committee woul</w:t>
      </w:r>
      <w:r w:rsidR="00371C28">
        <w:rPr>
          <w:rFonts w:ascii="Tahoma" w:hAnsi="Tahoma" w:cs="Tahoma"/>
          <w:sz w:val="22"/>
          <w:szCs w:val="22"/>
        </w:rPr>
        <w:t>d not be considering that issue further.</w:t>
      </w:r>
      <w:r w:rsidR="004668EB">
        <w:rPr>
          <w:rFonts w:ascii="Tahoma" w:hAnsi="Tahoma" w:cs="Tahoma"/>
          <w:sz w:val="22"/>
          <w:szCs w:val="22"/>
        </w:rPr>
        <w:t xml:space="preserve"> </w:t>
      </w:r>
    </w:p>
    <w:p w14:paraId="0DB8C2F6" w14:textId="77777777" w:rsidR="004668EB" w:rsidRDefault="004668EB" w:rsidP="00791DF6">
      <w:pPr>
        <w:pStyle w:val="ListParagraph"/>
        <w:spacing w:line="360" w:lineRule="auto"/>
        <w:rPr>
          <w:rFonts w:ascii="Tahoma" w:hAnsi="Tahoma" w:cs="Tahoma"/>
          <w:sz w:val="22"/>
          <w:szCs w:val="22"/>
        </w:rPr>
      </w:pPr>
    </w:p>
    <w:p w14:paraId="041C19D5" w14:textId="584102B0" w:rsidR="004668EB" w:rsidRDefault="004668EB"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We also indicated</w:t>
      </w:r>
      <w:r w:rsidR="00371C28">
        <w:rPr>
          <w:rFonts w:ascii="Tahoma" w:hAnsi="Tahoma" w:cs="Tahoma"/>
          <w:sz w:val="22"/>
          <w:szCs w:val="22"/>
        </w:rPr>
        <w:t xml:space="preserve"> to the appellant</w:t>
      </w:r>
      <w:r>
        <w:rPr>
          <w:rFonts w:ascii="Tahoma" w:hAnsi="Tahoma" w:cs="Tahoma"/>
          <w:sz w:val="22"/>
          <w:szCs w:val="22"/>
        </w:rPr>
        <w:t xml:space="preserve"> that if the appeal was dealt with in the manner sought by both the appellant and the respondent, then this would bring the appellant’s appeal to</w:t>
      </w:r>
      <w:r w:rsidR="00371C28">
        <w:rPr>
          <w:rFonts w:ascii="Tahoma" w:hAnsi="Tahoma" w:cs="Tahoma"/>
          <w:sz w:val="22"/>
          <w:szCs w:val="22"/>
        </w:rPr>
        <w:t xml:space="preserve"> an end.  </w:t>
      </w:r>
      <w:r>
        <w:rPr>
          <w:rFonts w:ascii="Tahoma" w:hAnsi="Tahoma" w:cs="Tahoma"/>
          <w:sz w:val="22"/>
          <w:szCs w:val="22"/>
        </w:rPr>
        <w:t xml:space="preserve">If the appellant was dissatisfied by any future decision of the respondent, it would then have to </w:t>
      </w:r>
      <w:r w:rsidR="00226BFF">
        <w:rPr>
          <w:rFonts w:ascii="Tahoma" w:hAnsi="Tahoma" w:cs="Tahoma"/>
          <w:sz w:val="22"/>
          <w:szCs w:val="22"/>
        </w:rPr>
        <w:t xml:space="preserve">file a fresh appeal. </w:t>
      </w:r>
    </w:p>
    <w:p w14:paraId="4517B847" w14:textId="77777777" w:rsidR="004668EB" w:rsidRDefault="004668EB" w:rsidP="00791DF6">
      <w:pPr>
        <w:pStyle w:val="ListParagraph"/>
        <w:spacing w:line="360" w:lineRule="auto"/>
        <w:rPr>
          <w:rFonts w:ascii="Tahoma" w:hAnsi="Tahoma" w:cs="Tahoma"/>
          <w:sz w:val="22"/>
          <w:szCs w:val="22"/>
        </w:rPr>
      </w:pPr>
    </w:p>
    <w:p w14:paraId="3A05429A" w14:textId="77777777" w:rsidR="004668EB" w:rsidRDefault="00226BFF"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The appellant indicated </w:t>
      </w:r>
      <w:r w:rsidR="00344163">
        <w:rPr>
          <w:rFonts w:ascii="Tahoma" w:hAnsi="Tahoma" w:cs="Tahoma"/>
          <w:sz w:val="22"/>
          <w:szCs w:val="22"/>
        </w:rPr>
        <w:t xml:space="preserve">that he understood this.  </w:t>
      </w:r>
    </w:p>
    <w:p w14:paraId="45B0CCA2" w14:textId="77777777" w:rsidR="00451506" w:rsidRDefault="00451506" w:rsidP="00451506">
      <w:pPr>
        <w:pStyle w:val="ListParagraph"/>
        <w:rPr>
          <w:rFonts w:ascii="Tahoma" w:hAnsi="Tahoma" w:cs="Tahoma"/>
          <w:sz w:val="22"/>
          <w:szCs w:val="22"/>
        </w:rPr>
      </w:pPr>
    </w:p>
    <w:p w14:paraId="5EA39C52" w14:textId="0A10E9EF" w:rsidR="00451506" w:rsidRPr="00B0041E" w:rsidRDefault="00451506"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On 1 April 2014 we indicated the Committee’s result decision, namely that the matter would be referred back to the respondent for </w:t>
      </w:r>
      <w:r>
        <w:rPr>
          <w:rFonts w:ascii="Tahoma" w:hAnsi="Tahoma" w:cs="Tahoma"/>
          <w:sz w:val="22"/>
          <w:szCs w:val="22"/>
        </w:rPr>
        <w:lastRenderedPageBreak/>
        <w:t xml:space="preserve">reconsideration.  As this is consistent with the remedy eventually sought by both parties, we note our reasons, </w:t>
      </w:r>
      <w:r w:rsidR="00C14AAF">
        <w:rPr>
          <w:rFonts w:ascii="Tahoma" w:hAnsi="Tahoma" w:cs="Tahoma"/>
          <w:sz w:val="22"/>
          <w:szCs w:val="22"/>
        </w:rPr>
        <w:t xml:space="preserve">only </w:t>
      </w:r>
      <w:r>
        <w:rPr>
          <w:rFonts w:ascii="Tahoma" w:hAnsi="Tahoma" w:cs="Tahoma"/>
          <w:sz w:val="22"/>
          <w:szCs w:val="22"/>
        </w:rPr>
        <w:t>briefly, below.</w:t>
      </w:r>
    </w:p>
    <w:p w14:paraId="76D8DA5F" w14:textId="77777777" w:rsidR="00CA05A9" w:rsidRPr="00B0041E" w:rsidRDefault="00CA05A9" w:rsidP="00791DF6">
      <w:pPr>
        <w:spacing w:line="360" w:lineRule="auto"/>
        <w:ind w:left="720"/>
        <w:jc w:val="both"/>
        <w:rPr>
          <w:rFonts w:ascii="Tahoma" w:hAnsi="Tahoma" w:cs="Tahoma"/>
          <w:sz w:val="22"/>
          <w:szCs w:val="22"/>
        </w:rPr>
      </w:pPr>
    </w:p>
    <w:p w14:paraId="4D1FD01C" w14:textId="77777777" w:rsidR="00C14AAF" w:rsidRDefault="00C14AAF" w:rsidP="00791DF6">
      <w:pPr>
        <w:spacing w:line="360" w:lineRule="auto"/>
        <w:ind w:left="720"/>
        <w:jc w:val="both"/>
        <w:rPr>
          <w:rFonts w:ascii="Tahoma" w:hAnsi="Tahoma" w:cs="Tahoma"/>
          <w:b/>
          <w:sz w:val="22"/>
          <w:szCs w:val="22"/>
        </w:rPr>
      </w:pPr>
    </w:p>
    <w:p w14:paraId="2C6CE3F1" w14:textId="77777777" w:rsidR="00C14AAF" w:rsidRDefault="00C14AAF" w:rsidP="00791DF6">
      <w:pPr>
        <w:spacing w:line="360" w:lineRule="auto"/>
        <w:ind w:left="720"/>
        <w:jc w:val="both"/>
        <w:rPr>
          <w:rFonts w:ascii="Tahoma" w:hAnsi="Tahoma" w:cs="Tahoma"/>
          <w:b/>
          <w:sz w:val="22"/>
          <w:szCs w:val="22"/>
        </w:rPr>
      </w:pPr>
    </w:p>
    <w:p w14:paraId="783E52D6" w14:textId="688D14C5" w:rsidR="00EC2D40" w:rsidRDefault="006E1EE4" w:rsidP="00791DF6">
      <w:pPr>
        <w:spacing w:line="360" w:lineRule="auto"/>
        <w:ind w:left="720"/>
        <w:jc w:val="both"/>
        <w:rPr>
          <w:rFonts w:ascii="Tahoma" w:hAnsi="Tahoma" w:cs="Tahoma"/>
          <w:b/>
          <w:sz w:val="22"/>
          <w:szCs w:val="22"/>
        </w:rPr>
      </w:pPr>
      <w:r w:rsidRPr="006E1EE4">
        <w:rPr>
          <w:rFonts w:ascii="Tahoma" w:hAnsi="Tahoma" w:cs="Tahoma"/>
          <w:b/>
          <w:sz w:val="22"/>
          <w:szCs w:val="22"/>
        </w:rPr>
        <w:t xml:space="preserve">Decision </w:t>
      </w:r>
    </w:p>
    <w:p w14:paraId="09FCE457" w14:textId="77777777" w:rsidR="006E1EE4" w:rsidRDefault="006E1EE4" w:rsidP="00791DF6">
      <w:pPr>
        <w:spacing w:line="360" w:lineRule="auto"/>
        <w:ind w:left="720"/>
        <w:jc w:val="both"/>
        <w:rPr>
          <w:rFonts w:ascii="Tahoma" w:hAnsi="Tahoma" w:cs="Tahoma"/>
          <w:b/>
          <w:sz w:val="22"/>
          <w:szCs w:val="22"/>
        </w:rPr>
      </w:pPr>
    </w:p>
    <w:p w14:paraId="45D0962D" w14:textId="66D2FC4F" w:rsidR="001537E9" w:rsidRDefault="006E1EE4"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Appeals against the decision </w:t>
      </w:r>
      <w:r w:rsidR="001537E9">
        <w:rPr>
          <w:rFonts w:ascii="Tahoma" w:hAnsi="Tahoma" w:cs="Tahoma"/>
          <w:sz w:val="22"/>
          <w:szCs w:val="22"/>
        </w:rPr>
        <w:t>of the respondent are heard by the Appeals Committee pu</w:t>
      </w:r>
      <w:r w:rsidR="00371C28">
        <w:rPr>
          <w:rFonts w:ascii="Tahoma" w:hAnsi="Tahoma" w:cs="Tahoma"/>
          <w:sz w:val="22"/>
          <w:szCs w:val="22"/>
        </w:rPr>
        <w:t xml:space="preserve">rsuant to subpart 3 of the Act.  </w:t>
      </w:r>
      <w:r w:rsidR="001537E9">
        <w:rPr>
          <w:rFonts w:ascii="Tahoma" w:hAnsi="Tahoma" w:cs="Tahoma"/>
          <w:sz w:val="22"/>
          <w:szCs w:val="22"/>
        </w:rPr>
        <w:t>Section 45(6) outlines the remedies the Appeals Committee may grant by way of confirming, reversing, or modifying the decision appealed against, or making any other deci</w:t>
      </w:r>
      <w:r w:rsidR="000D1A84">
        <w:rPr>
          <w:rFonts w:ascii="Tahoma" w:hAnsi="Tahoma" w:cs="Tahoma"/>
          <w:sz w:val="22"/>
          <w:szCs w:val="22"/>
        </w:rPr>
        <w:t>sion that the Regulatory A</w:t>
      </w:r>
      <w:r w:rsidR="001537E9">
        <w:rPr>
          <w:rFonts w:ascii="Tahoma" w:hAnsi="Tahoma" w:cs="Tahoma"/>
          <w:sz w:val="22"/>
          <w:szCs w:val="22"/>
        </w:rPr>
        <w:t xml:space="preserve">uthority could have made.  </w:t>
      </w:r>
    </w:p>
    <w:p w14:paraId="6E1E1B81" w14:textId="77777777" w:rsidR="001537E9" w:rsidRDefault="001537E9" w:rsidP="00791DF6">
      <w:pPr>
        <w:spacing w:line="360" w:lineRule="auto"/>
        <w:ind w:left="720"/>
        <w:jc w:val="both"/>
        <w:rPr>
          <w:rFonts w:ascii="Tahoma" w:hAnsi="Tahoma" w:cs="Tahoma"/>
          <w:sz w:val="22"/>
          <w:szCs w:val="22"/>
        </w:rPr>
      </w:pPr>
    </w:p>
    <w:p w14:paraId="141217EE" w14:textId="79732FAA" w:rsidR="006E1EE4" w:rsidRPr="001537E9" w:rsidRDefault="001537E9" w:rsidP="00791DF6">
      <w:pPr>
        <w:numPr>
          <w:ilvl w:val="0"/>
          <w:numId w:val="2"/>
        </w:numPr>
        <w:spacing w:line="360" w:lineRule="auto"/>
        <w:ind w:hanging="720"/>
        <w:jc w:val="both"/>
        <w:rPr>
          <w:rFonts w:ascii="Tahoma" w:hAnsi="Tahoma" w:cs="Tahoma"/>
          <w:b/>
          <w:sz w:val="22"/>
          <w:szCs w:val="22"/>
        </w:rPr>
      </w:pPr>
      <w:r w:rsidRPr="001537E9">
        <w:rPr>
          <w:rFonts w:ascii="Tahoma" w:hAnsi="Tahoma" w:cs="Tahoma"/>
          <w:sz w:val="22"/>
          <w:szCs w:val="22"/>
        </w:rPr>
        <w:t>In addition, s</w:t>
      </w:r>
      <w:r>
        <w:rPr>
          <w:rFonts w:ascii="Tahoma" w:hAnsi="Tahoma" w:cs="Tahoma"/>
          <w:sz w:val="22"/>
          <w:szCs w:val="22"/>
        </w:rPr>
        <w:t>46 permits the Committee t</w:t>
      </w:r>
      <w:r w:rsidR="000D1A84">
        <w:rPr>
          <w:rFonts w:ascii="Tahoma" w:hAnsi="Tahoma" w:cs="Tahoma"/>
          <w:sz w:val="22"/>
          <w:szCs w:val="22"/>
        </w:rPr>
        <w:t>o refer the appeal back to the Regulatory A</w:t>
      </w:r>
      <w:r>
        <w:rPr>
          <w:rFonts w:ascii="Tahoma" w:hAnsi="Tahoma" w:cs="Tahoma"/>
          <w:sz w:val="22"/>
          <w:szCs w:val="22"/>
        </w:rPr>
        <w:t>uthority for reconsideration and in doing so, the Appeal Committee</w:t>
      </w:r>
      <w:r w:rsidR="000D1A84">
        <w:rPr>
          <w:rFonts w:ascii="Tahoma" w:hAnsi="Tahoma" w:cs="Tahoma"/>
          <w:sz w:val="22"/>
          <w:szCs w:val="22"/>
        </w:rPr>
        <w:t xml:space="preserve"> may give a direction that the Regulatory A</w:t>
      </w:r>
      <w:r>
        <w:rPr>
          <w:rFonts w:ascii="Tahoma" w:hAnsi="Tahoma" w:cs="Tahoma"/>
          <w:sz w:val="22"/>
          <w:szCs w:val="22"/>
        </w:rPr>
        <w:t xml:space="preserve">uthority reconsider any specific matter.  </w:t>
      </w:r>
    </w:p>
    <w:p w14:paraId="152CC6E0" w14:textId="77777777" w:rsidR="001537E9" w:rsidRDefault="001537E9" w:rsidP="00791DF6">
      <w:pPr>
        <w:pStyle w:val="ListParagraph"/>
        <w:spacing w:line="360" w:lineRule="auto"/>
        <w:rPr>
          <w:rFonts w:ascii="Tahoma" w:hAnsi="Tahoma" w:cs="Tahoma"/>
          <w:b/>
          <w:sz w:val="22"/>
          <w:szCs w:val="22"/>
        </w:rPr>
      </w:pPr>
    </w:p>
    <w:p w14:paraId="71D648CD" w14:textId="52F88AF0" w:rsidR="00635B70" w:rsidRDefault="001537E9" w:rsidP="00791DF6">
      <w:pPr>
        <w:numPr>
          <w:ilvl w:val="0"/>
          <w:numId w:val="2"/>
        </w:numPr>
        <w:spacing w:line="360" w:lineRule="auto"/>
        <w:ind w:hanging="720"/>
        <w:jc w:val="both"/>
        <w:rPr>
          <w:rFonts w:ascii="Tahoma" w:hAnsi="Tahoma" w:cs="Tahoma"/>
          <w:sz w:val="22"/>
          <w:szCs w:val="22"/>
        </w:rPr>
      </w:pPr>
      <w:r w:rsidRPr="001537E9">
        <w:rPr>
          <w:rFonts w:ascii="Tahoma" w:hAnsi="Tahoma" w:cs="Tahoma"/>
          <w:sz w:val="22"/>
          <w:szCs w:val="22"/>
        </w:rPr>
        <w:t xml:space="preserve">We have </w:t>
      </w:r>
      <w:r>
        <w:rPr>
          <w:rFonts w:ascii="Tahoma" w:hAnsi="Tahoma" w:cs="Tahoma"/>
          <w:sz w:val="22"/>
          <w:szCs w:val="22"/>
        </w:rPr>
        <w:t xml:space="preserve">considered the </w:t>
      </w:r>
      <w:r w:rsidR="00A13CD2">
        <w:rPr>
          <w:rFonts w:ascii="Tahoma" w:hAnsi="Tahoma" w:cs="Tahoma"/>
          <w:sz w:val="22"/>
          <w:szCs w:val="22"/>
        </w:rPr>
        <w:t xml:space="preserve">points on appeal raised by the appellant, and the concession made by the </w:t>
      </w:r>
      <w:r w:rsidR="00EC316C">
        <w:rPr>
          <w:rFonts w:ascii="Tahoma" w:hAnsi="Tahoma" w:cs="Tahoma"/>
          <w:sz w:val="22"/>
          <w:szCs w:val="22"/>
        </w:rPr>
        <w:t>respondent that in making the decision, it relied on two adverse reports in the National Poisons Centre data</w:t>
      </w:r>
      <w:r w:rsidR="00191311">
        <w:rPr>
          <w:rFonts w:ascii="Tahoma" w:hAnsi="Tahoma" w:cs="Tahoma"/>
          <w:sz w:val="22"/>
          <w:szCs w:val="22"/>
        </w:rPr>
        <w:t xml:space="preserve"> which it now appears</w:t>
      </w:r>
      <w:r w:rsidR="00371C28">
        <w:rPr>
          <w:rFonts w:ascii="Tahoma" w:hAnsi="Tahoma" w:cs="Tahoma"/>
          <w:sz w:val="22"/>
          <w:szCs w:val="22"/>
        </w:rPr>
        <w:t xml:space="preserve"> were</w:t>
      </w:r>
      <w:r w:rsidR="00191311">
        <w:rPr>
          <w:rFonts w:ascii="Tahoma" w:hAnsi="Tahoma" w:cs="Tahoma"/>
          <w:sz w:val="22"/>
          <w:szCs w:val="22"/>
        </w:rPr>
        <w:t xml:space="preserve"> a single event.  </w:t>
      </w:r>
    </w:p>
    <w:p w14:paraId="44B3E0FA" w14:textId="77777777" w:rsidR="00191311" w:rsidRDefault="00191311" w:rsidP="00791DF6">
      <w:pPr>
        <w:pStyle w:val="ListParagraph"/>
        <w:spacing w:line="360" w:lineRule="auto"/>
        <w:rPr>
          <w:rFonts w:ascii="Tahoma" w:hAnsi="Tahoma" w:cs="Tahoma"/>
          <w:sz w:val="22"/>
          <w:szCs w:val="22"/>
        </w:rPr>
      </w:pPr>
    </w:p>
    <w:p w14:paraId="43CA9E14" w14:textId="1B09AC0B" w:rsidR="00191311" w:rsidRDefault="00191311"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Because the respondent’s risk assessment scoring system is predicated both on the number and nature of adverse reports, we conclude, as the respondent responsibly accepted, that treating a single adverse event as two could </w:t>
      </w:r>
      <w:r w:rsidR="00BB1B94">
        <w:rPr>
          <w:rFonts w:ascii="Tahoma" w:hAnsi="Tahoma" w:cs="Tahoma"/>
          <w:sz w:val="22"/>
          <w:szCs w:val="22"/>
        </w:rPr>
        <w:t xml:space="preserve">materially affect </w:t>
      </w:r>
      <w:r w:rsidR="00371C28">
        <w:rPr>
          <w:rFonts w:ascii="Tahoma" w:hAnsi="Tahoma" w:cs="Tahoma"/>
          <w:sz w:val="22"/>
          <w:szCs w:val="22"/>
        </w:rPr>
        <w:t>the risk assessment.  This may also make a difference to whether the P</w:t>
      </w:r>
      <w:r w:rsidR="00547A52">
        <w:rPr>
          <w:rFonts w:ascii="Tahoma" w:hAnsi="Tahoma" w:cs="Tahoma"/>
          <w:sz w:val="22"/>
          <w:szCs w:val="22"/>
        </w:rPr>
        <w:t>roduct posed a degree of harm to individuals that was more than a low risk of harm (s37)</w:t>
      </w:r>
      <w:r w:rsidR="00791DF6">
        <w:rPr>
          <w:rFonts w:ascii="Tahoma" w:hAnsi="Tahoma" w:cs="Tahoma"/>
          <w:sz w:val="22"/>
          <w:szCs w:val="22"/>
        </w:rPr>
        <w:t xml:space="preserve">.  </w:t>
      </w:r>
    </w:p>
    <w:p w14:paraId="4F1F3523" w14:textId="77777777" w:rsidR="00791DF6" w:rsidRDefault="00791DF6" w:rsidP="00791DF6">
      <w:pPr>
        <w:pStyle w:val="ListParagraph"/>
        <w:spacing w:line="360" w:lineRule="auto"/>
        <w:rPr>
          <w:rFonts w:ascii="Tahoma" w:hAnsi="Tahoma" w:cs="Tahoma"/>
          <w:sz w:val="22"/>
          <w:szCs w:val="22"/>
        </w:rPr>
      </w:pPr>
    </w:p>
    <w:p w14:paraId="43DC8B70" w14:textId="751A07DD" w:rsidR="0085655E" w:rsidRDefault="00371C28"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F</w:t>
      </w:r>
      <w:r w:rsidR="0085655E">
        <w:rPr>
          <w:rFonts w:ascii="Tahoma" w:hAnsi="Tahoma" w:cs="Tahoma"/>
          <w:sz w:val="22"/>
          <w:szCs w:val="22"/>
        </w:rPr>
        <w:t xml:space="preserve">or these reasons </w:t>
      </w:r>
      <w:r w:rsidR="00791DF6">
        <w:rPr>
          <w:rFonts w:ascii="Tahoma" w:hAnsi="Tahoma" w:cs="Tahoma"/>
          <w:sz w:val="22"/>
          <w:szCs w:val="22"/>
        </w:rPr>
        <w:t xml:space="preserve">we </w:t>
      </w:r>
      <w:r w:rsidR="0085655E">
        <w:rPr>
          <w:rFonts w:ascii="Tahoma" w:hAnsi="Tahoma" w:cs="Tahoma"/>
          <w:sz w:val="22"/>
          <w:szCs w:val="22"/>
        </w:rPr>
        <w:t>agree</w:t>
      </w:r>
      <w:r w:rsidR="00791DF6">
        <w:rPr>
          <w:rFonts w:ascii="Tahoma" w:hAnsi="Tahoma" w:cs="Tahoma"/>
          <w:sz w:val="22"/>
          <w:szCs w:val="22"/>
        </w:rPr>
        <w:t xml:space="preserve"> that this </w:t>
      </w:r>
      <w:r>
        <w:rPr>
          <w:rFonts w:ascii="Tahoma" w:hAnsi="Tahoma" w:cs="Tahoma"/>
          <w:sz w:val="22"/>
          <w:szCs w:val="22"/>
        </w:rPr>
        <w:t>matter should be referred</w:t>
      </w:r>
      <w:r w:rsidR="00791DF6">
        <w:rPr>
          <w:rFonts w:ascii="Tahoma" w:hAnsi="Tahoma" w:cs="Tahoma"/>
          <w:sz w:val="22"/>
          <w:szCs w:val="22"/>
        </w:rPr>
        <w:t xml:space="preserve"> back to the respondent under s46(1) of the Act.</w:t>
      </w:r>
      <w:r w:rsidR="00451506">
        <w:rPr>
          <w:rFonts w:ascii="Tahoma" w:hAnsi="Tahoma" w:cs="Tahoma"/>
          <w:sz w:val="22"/>
          <w:szCs w:val="22"/>
        </w:rPr>
        <w:t xml:space="preserve">  The decision of the respondent to decline interim approval of the Product was predicated on an erroneous </w:t>
      </w:r>
      <w:r w:rsidR="000D1A84">
        <w:rPr>
          <w:rFonts w:ascii="Tahoma" w:hAnsi="Tahoma" w:cs="Tahoma"/>
          <w:sz w:val="22"/>
          <w:szCs w:val="22"/>
        </w:rPr>
        <w:t>understanding</w:t>
      </w:r>
      <w:r w:rsidR="00451506">
        <w:rPr>
          <w:rFonts w:ascii="Tahoma" w:hAnsi="Tahoma" w:cs="Tahoma"/>
          <w:sz w:val="22"/>
          <w:szCs w:val="22"/>
        </w:rPr>
        <w:t xml:space="preserve"> of th</w:t>
      </w:r>
      <w:r w:rsidR="0085655E">
        <w:rPr>
          <w:rFonts w:ascii="Tahoma" w:hAnsi="Tahoma" w:cs="Tahoma"/>
          <w:sz w:val="22"/>
          <w:szCs w:val="22"/>
        </w:rPr>
        <w:t xml:space="preserve">e National Poisons Centre data.  Now that this has been appreciated by the respondent it follows that the </w:t>
      </w:r>
      <w:r w:rsidR="0085655E">
        <w:rPr>
          <w:rFonts w:ascii="Tahoma" w:hAnsi="Tahoma" w:cs="Tahoma"/>
          <w:sz w:val="22"/>
          <w:szCs w:val="22"/>
        </w:rPr>
        <w:lastRenderedPageBreak/>
        <w:t>respondent should be permitted to reconsider the application.</w:t>
      </w:r>
      <w:r w:rsidR="00AA509C">
        <w:rPr>
          <w:rFonts w:ascii="Tahoma" w:hAnsi="Tahoma" w:cs="Tahoma"/>
          <w:sz w:val="22"/>
          <w:szCs w:val="22"/>
        </w:rPr>
        <w:t xml:space="preserve">  Given that the respondent has developed the risk scoring methodology, in the circumstances of this case it is appropriate that the respondent be given the opportunity to make the assessment afresh.</w:t>
      </w:r>
      <w:r w:rsidR="0085655E">
        <w:rPr>
          <w:rFonts w:ascii="Tahoma" w:hAnsi="Tahoma" w:cs="Tahoma"/>
          <w:sz w:val="22"/>
          <w:szCs w:val="22"/>
        </w:rPr>
        <w:t xml:space="preserve">  </w:t>
      </w:r>
    </w:p>
    <w:p w14:paraId="2A7F8C4E" w14:textId="77777777" w:rsidR="0085655E" w:rsidRDefault="0085655E" w:rsidP="0085655E">
      <w:pPr>
        <w:pStyle w:val="ListParagraph"/>
        <w:rPr>
          <w:rFonts w:ascii="Tahoma" w:hAnsi="Tahoma" w:cs="Tahoma"/>
          <w:sz w:val="22"/>
          <w:szCs w:val="22"/>
        </w:rPr>
      </w:pPr>
    </w:p>
    <w:p w14:paraId="5884049D" w14:textId="77777777" w:rsidR="00791DF6" w:rsidRDefault="00791DF6" w:rsidP="00791DF6">
      <w:pPr>
        <w:pStyle w:val="ListParagraph"/>
        <w:spacing w:line="360" w:lineRule="auto"/>
        <w:rPr>
          <w:rFonts w:ascii="Tahoma" w:hAnsi="Tahoma" w:cs="Tahoma"/>
          <w:sz w:val="22"/>
          <w:szCs w:val="22"/>
        </w:rPr>
      </w:pPr>
    </w:p>
    <w:p w14:paraId="5BB1E428" w14:textId="763DDED6" w:rsidR="00791DF6" w:rsidRDefault="00791DF6"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 xml:space="preserve">In referring the matter back to the </w:t>
      </w:r>
      <w:r w:rsidR="00371C28">
        <w:rPr>
          <w:rFonts w:ascii="Tahoma" w:hAnsi="Tahoma" w:cs="Tahoma"/>
          <w:sz w:val="22"/>
          <w:szCs w:val="22"/>
        </w:rPr>
        <w:t>respondent</w:t>
      </w:r>
      <w:r>
        <w:rPr>
          <w:rFonts w:ascii="Tahoma" w:hAnsi="Tahoma" w:cs="Tahoma"/>
          <w:sz w:val="22"/>
          <w:szCs w:val="22"/>
        </w:rPr>
        <w:t xml:space="preserve"> for reconsideration, we direct that the respondent reconsi</w:t>
      </w:r>
      <w:r w:rsidR="00371C28">
        <w:rPr>
          <w:rFonts w:ascii="Tahoma" w:hAnsi="Tahoma" w:cs="Tahoma"/>
          <w:sz w:val="22"/>
          <w:szCs w:val="22"/>
        </w:rPr>
        <w:t>der the risk assessment of the P</w:t>
      </w:r>
      <w:r>
        <w:rPr>
          <w:rFonts w:ascii="Tahoma" w:hAnsi="Tahoma" w:cs="Tahoma"/>
          <w:sz w:val="22"/>
          <w:szCs w:val="22"/>
        </w:rPr>
        <w:t>roduct in light of what is now understood about the National Poisons Centre data</w:t>
      </w:r>
      <w:r w:rsidR="00371C28">
        <w:rPr>
          <w:rFonts w:ascii="Tahoma" w:hAnsi="Tahoma" w:cs="Tahoma"/>
          <w:sz w:val="22"/>
          <w:szCs w:val="22"/>
        </w:rPr>
        <w:t xml:space="preserve"> pertaining to the Product</w:t>
      </w:r>
      <w:r>
        <w:rPr>
          <w:rFonts w:ascii="Tahoma" w:hAnsi="Tahoma" w:cs="Tahoma"/>
          <w:sz w:val="22"/>
          <w:szCs w:val="22"/>
        </w:rPr>
        <w:t>.</w:t>
      </w:r>
    </w:p>
    <w:p w14:paraId="528ACCAA" w14:textId="77777777" w:rsidR="00791DF6" w:rsidRDefault="00791DF6" w:rsidP="00791DF6">
      <w:pPr>
        <w:pStyle w:val="ListParagraph"/>
        <w:spacing w:line="360" w:lineRule="auto"/>
        <w:rPr>
          <w:rFonts w:ascii="Tahoma" w:hAnsi="Tahoma" w:cs="Tahoma"/>
          <w:sz w:val="22"/>
          <w:szCs w:val="22"/>
        </w:rPr>
      </w:pPr>
    </w:p>
    <w:p w14:paraId="31DA7272" w14:textId="6FA82683" w:rsidR="00791DF6" w:rsidRDefault="00791DF6"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In making this decision, we express no view, o</w:t>
      </w:r>
      <w:r w:rsidR="00451506">
        <w:rPr>
          <w:rFonts w:ascii="Tahoma" w:hAnsi="Tahoma" w:cs="Tahoma"/>
          <w:sz w:val="22"/>
          <w:szCs w:val="22"/>
        </w:rPr>
        <w:t>ne way or the other, as to the P</w:t>
      </w:r>
      <w:r>
        <w:rPr>
          <w:rFonts w:ascii="Tahoma" w:hAnsi="Tahoma" w:cs="Tahoma"/>
          <w:sz w:val="22"/>
          <w:szCs w:val="22"/>
        </w:rPr>
        <w:t xml:space="preserve">roduct’s risk in light of what it may score on the revised </w:t>
      </w:r>
      <w:r w:rsidR="00451506">
        <w:rPr>
          <w:rFonts w:ascii="Tahoma" w:hAnsi="Tahoma" w:cs="Tahoma"/>
          <w:sz w:val="22"/>
          <w:szCs w:val="22"/>
        </w:rPr>
        <w:t>assessment</w:t>
      </w:r>
      <w:r>
        <w:rPr>
          <w:rFonts w:ascii="Tahoma" w:hAnsi="Tahoma" w:cs="Tahoma"/>
          <w:sz w:val="22"/>
          <w:szCs w:val="22"/>
        </w:rPr>
        <w:t>.  We express no view on whether the product should be approved, or dis</w:t>
      </w:r>
      <w:r w:rsidR="00AA509C">
        <w:rPr>
          <w:rFonts w:ascii="Tahoma" w:hAnsi="Tahoma" w:cs="Tahoma"/>
          <w:sz w:val="22"/>
          <w:szCs w:val="22"/>
        </w:rPr>
        <w:t xml:space="preserve">approved, under s37 of the Act.  </w:t>
      </w:r>
      <w:r>
        <w:rPr>
          <w:rFonts w:ascii="Tahoma" w:hAnsi="Tahoma" w:cs="Tahoma"/>
          <w:sz w:val="22"/>
          <w:szCs w:val="22"/>
        </w:rPr>
        <w:t>We explain</w:t>
      </w:r>
      <w:r w:rsidR="00AA509C">
        <w:rPr>
          <w:rFonts w:ascii="Tahoma" w:hAnsi="Tahoma" w:cs="Tahoma"/>
          <w:sz w:val="22"/>
          <w:szCs w:val="22"/>
        </w:rPr>
        <w:t>ed</w:t>
      </w:r>
      <w:r>
        <w:rPr>
          <w:rFonts w:ascii="Tahoma" w:hAnsi="Tahoma" w:cs="Tahoma"/>
          <w:sz w:val="22"/>
          <w:szCs w:val="22"/>
        </w:rPr>
        <w:t xml:space="preserve"> this to the appellant during the telephone conference on 1 April 2014.  </w:t>
      </w:r>
    </w:p>
    <w:p w14:paraId="24654D57" w14:textId="77777777" w:rsidR="00791DF6" w:rsidRDefault="00791DF6" w:rsidP="00791DF6">
      <w:pPr>
        <w:pStyle w:val="ListParagraph"/>
        <w:spacing w:line="360" w:lineRule="auto"/>
        <w:rPr>
          <w:rFonts w:ascii="Tahoma" w:hAnsi="Tahoma" w:cs="Tahoma"/>
          <w:sz w:val="22"/>
          <w:szCs w:val="22"/>
        </w:rPr>
      </w:pPr>
    </w:p>
    <w:p w14:paraId="5D54D8D9" w14:textId="1F1FCFFE" w:rsidR="00791DF6" w:rsidRDefault="00AA509C" w:rsidP="00791DF6">
      <w:pPr>
        <w:numPr>
          <w:ilvl w:val="0"/>
          <w:numId w:val="2"/>
        </w:numPr>
        <w:spacing w:line="360" w:lineRule="auto"/>
        <w:ind w:hanging="720"/>
        <w:jc w:val="both"/>
        <w:rPr>
          <w:rFonts w:ascii="Tahoma" w:hAnsi="Tahoma" w:cs="Tahoma"/>
          <w:sz w:val="22"/>
          <w:szCs w:val="22"/>
        </w:rPr>
      </w:pPr>
      <w:r>
        <w:rPr>
          <w:rFonts w:ascii="Tahoma" w:hAnsi="Tahoma" w:cs="Tahoma"/>
          <w:sz w:val="22"/>
          <w:szCs w:val="22"/>
        </w:rPr>
        <w:t>Therefore we direct that the matter be</w:t>
      </w:r>
      <w:r w:rsidR="00791DF6">
        <w:rPr>
          <w:rFonts w:ascii="Tahoma" w:hAnsi="Tahoma" w:cs="Tahoma"/>
          <w:sz w:val="22"/>
          <w:szCs w:val="22"/>
        </w:rPr>
        <w:t xml:space="preserve"> referred back to the </w:t>
      </w:r>
      <w:r>
        <w:rPr>
          <w:rFonts w:ascii="Tahoma" w:hAnsi="Tahoma" w:cs="Tahoma"/>
          <w:sz w:val="22"/>
          <w:szCs w:val="22"/>
        </w:rPr>
        <w:t>respondent</w:t>
      </w:r>
      <w:r w:rsidR="00791DF6">
        <w:rPr>
          <w:rFonts w:ascii="Tahoma" w:hAnsi="Tahoma" w:cs="Tahoma"/>
          <w:sz w:val="22"/>
          <w:szCs w:val="22"/>
        </w:rPr>
        <w:t xml:space="preserve"> for reconsideration of the decision in light of what is now understood about the National Poison</w:t>
      </w:r>
      <w:r>
        <w:rPr>
          <w:rFonts w:ascii="Tahoma" w:hAnsi="Tahoma" w:cs="Tahoma"/>
          <w:sz w:val="22"/>
          <w:szCs w:val="22"/>
        </w:rPr>
        <w:t>s Centre data relating to the P</w:t>
      </w:r>
      <w:r w:rsidR="00791DF6">
        <w:rPr>
          <w:rFonts w:ascii="Tahoma" w:hAnsi="Tahoma" w:cs="Tahoma"/>
          <w:sz w:val="22"/>
          <w:szCs w:val="22"/>
        </w:rPr>
        <w:t xml:space="preserve">roduct.  </w:t>
      </w:r>
    </w:p>
    <w:p w14:paraId="1B0FD94C" w14:textId="77777777" w:rsidR="00791DF6" w:rsidRDefault="00791DF6" w:rsidP="00791DF6">
      <w:pPr>
        <w:pStyle w:val="ListParagraph"/>
        <w:spacing w:line="360" w:lineRule="auto"/>
        <w:rPr>
          <w:rFonts w:ascii="Tahoma" w:hAnsi="Tahoma" w:cs="Tahoma"/>
          <w:sz w:val="22"/>
          <w:szCs w:val="22"/>
        </w:rPr>
      </w:pPr>
    </w:p>
    <w:p w14:paraId="4A0FF1A1" w14:textId="77777777" w:rsidR="00191311" w:rsidRPr="00791DF6" w:rsidRDefault="00791DF6" w:rsidP="00791DF6">
      <w:pPr>
        <w:numPr>
          <w:ilvl w:val="0"/>
          <w:numId w:val="2"/>
        </w:numPr>
        <w:spacing w:line="360" w:lineRule="auto"/>
        <w:ind w:hanging="720"/>
        <w:jc w:val="both"/>
        <w:rPr>
          <w:rFonts w:ascii="Tahoma" w:hAnsi="Tahoma" w:cs="Tahoma"/>
          <w:sz w:val="22"/>
          <w:szCs w:val="22"/>
        </w:rPr>
      </w:pPr>
      <w:r w:rsidRPr="00791DF6">
        <w:rPr>
          <w:rFonts w:ascii="Tahoma" w:hAnsi="Tahoma" w:cs="Tahoma"/>
          <w:sz w:val="22"/>
          <w:szCs w:val="22"/>
        </w:rPr>
        <w:t>This brings this appeal to an end.</w:t>
      </w:r>
    </w:p>
    <w:p w14:paraId="60B59018" w14:textId="77777777" w:rsidR="00EC316C" w:rsidRDefault="00EC316C" w:rsidP="00791DF6">
      <w:pPr>
        <w:pStyle w:val="ListParagraph"/>
        <w:spacing w:line="360" w:lineRule="auto"/>
        <w:rPr>
          <w:rFonts w:ascii="Tahoma" w:hAnsi="Tahoma" w:cs="Tahoma"/>
          <w:sz w:val="22"/>
          <w:szCs w:val="22"/>
        </w:rPr>
      </w:pPr>
    </w:p>
    <w:p w14:paraId="3065C40F" w14:textId="77777777" w:rsidR="00EC316C" w:rsidRPr="00EC316C" w:rsidRDefault="00EC316C" w:rsidP="00791DF6">
      <w:pPr>
        <w:spacing w:line="360" w:lineRule="auto"/>
        <w:jc w:val="both"/>
        <w:rPr>
          <w:rFonts w:ascii="Tahoma" w:hAnsi="Tahoma" w:cs="Tahoma"/>
          <w:sz w:val="22"/>
          <w:szCs w:val="22"/>
        </w:rPr>
      </w:pPr>
    </w:p>
    <w:p w14:paraId="4B1F3709" w14:textId="77777777" w:rsidR="00791DF6" w:rsidRDefault="00791DF6">
      <w:pPr>
        <w:rPr>
          <w:rFonts w:ascii="Tahoma" w:hAnsi="Tahoma" w:cs="Tahoma"/>
          <w:sz w:val="22"/>
          <w:szCs w:val="22"/>
        </w:rPr>
      </w:pPr>
    </w:p>
    <w:p w14:paraId="078F27F8" w14:textId="50AB6ACF" w:rsidR="006A29B0" w:rsidRDefault="00664EB1" w:rsidP="0039576F">
      <w:pPr>
        <w:spacing w:line="360" w:lineRule="auto"/>
        <w:jc w:val="both"/>
        <w:rPr>
          <w:rFonts w:ascii="Tahoma" w:hAnsi="Tahoma" w:cs="Tahoma"/>
          <w:sz w:val="22"/>
          <w:szCs w:val="22"/>
        </w:rPr>
      </w:pPr>
      <w:r>
        <w:rPr>
          <w:rFonts w:ascii="Tahoma" w:hAnsi="Tahoma" w:cs="Tahoma"/>
          <w:sz w:val="22"/>
          <w:szCs w:val="22"/>
        </w:rPr>
        <w:t xml:space="preserve">Dated: 20 </w:t>
      </w:r>
      <w:r w:rsidR="00C43DAE">
        <w:rPr>
          <w:rFonts w:ascii="Tahoma" w:hAnsi="Tahoma" w:cs="Tahoma"/>
          <w:sz w:val="22"/>
          <w:szCs w:val="22"/>
        </w:rPr>
        <w:t>May</w:t>
      </w:r>
      <w:r w:rsidR="008D4461" w:rsidRPr="00B0041E">
        <w:rPr>
          <w:rFonts w:ascii="Tahoma" w:hAnsi="Tahoma" w:cs="Tahoma"/>
          <w:sz w:val="22"/>
          <w:szCs w:val="22"/>
        </w:rPr>
        <w:t xml:space="preserve"> </w:t>
      </w:r>
      <w:r w:rsidR="00A9391F" w:rsidRPr="00B0041E">
        <w:rPr>
          <w:rFonts w:ascii="Tahoma" w:hAnsi="Tahoma" w:cs="Tahoma"/>
          <w:sz w:val="22"/>
          <w:szCs w:val="22"/>
        </w:rPr>
        <w:t>2014</w:t>
      </w:r>
    </w:p>
    <w:p w14:paraId="06DC68C1" w14:textId="77777777" w:rsidR="00664EB1" w:rsidRDefault="00664EB1" w:rsidP="0039576F">
      <w:pPr>
        <w:spacing w:line="360" w:lineRule="auto"/>
        <w:jc w:val="both"/>
        <w:rPr>
          <w:rFonts w:ascii="Tahoma" w:hAnsi="Tahoma" w:cs="Tahoma"/>
          <w:sz w:val="22"/>
          <w:szCs w:val="22"/>
        </w:rPr>
      </w:pPr>
    </w:p>
    <w:p w14:paraId="450CC699" w14:textId="4196E34F" w:rsidR="006A29B0" w:rsidRPr="00843B3B" w:rsidRDefault="006A29B0" w:rsidP="00843B3B">
      <w:pPr>
        <w:spacing w:line="360" w:lineRule="auto"/>
        <w:jc w:val="both"/>
        <w:rPr>
          <w:rFonts w:ascii="Tahoma" w:hAnsi="Tahoma" w:cs="Tahoma"/>
          <w:sz w:val="22"/>
          <w:szCs w:val="22"/>
        </w:rPr>
      </w:pPr>
      <w:r w:rsidRPr="00B0041E">
        <w:rPr>
          <w:rFonts w:ascii="Tahoma" w:hAnsi="Tahoma" w:cs="Tahoma"/>
          <w:b/>
          <w:sz w:val="22"/>
          <w:szCs w:val="22"/>
        </w:rPr>
        <w:t>FLETCHER PILDITCH</w:t>
      </w:r>
    </w:p>
    <w:p w14:paraId="162BBC51" w14:textId="77777777" w:rsidR="006A29B0" w:rsidRPr="00B0041E" w:rsidRDefault="006A29B0" w:rsidP="00664EB1">
      <w:pPr>
        <w:spacing w:line="360" w:lineRule="auto"/>
        <w:rPr>
          <w:rFonts w:ascii="Tahoma" w:hAnsi="Tahoma" w:cs="Tahoma"/>
          <w:sz w:val="22"/>
          <w:szCs w:val="22"/>
        </w:rPr>
      </w:pPr>
      <w:r w:rsidRPr="00B0041E">
        <w:rPr>
          <w:rFonts w:ascii="Tahoma" w:hAnsi="Tahoma" w:cs="Tahoma"/>
          <w:sz w:val="22"/>
          <w:szCs w:val="22"/>
        </w:rPr>
        <w:t>Chair</w:t>
      </w:r>
      <w:r w:rsidR="0020003E" w:rsidRPr="00B0041E">
        <w:rPr>
          <w:rFonts w:ascii="Tahoma" w:hAnsi="Tahoma" w:cs="Tahoma"/>
          <w:sz w:val="22"/>
          <w:szCs w:val="22"/>
        </w:rPr>
        <w:t>man</w:t>
      </w:r>
      <w:r w:rsidRPr="00B0041E">
        <w:rPr>
          <w:rFonts w:ascii="Tahoma" w:hAnsi="Tahoma" w:cs="Tahoma"/>
          <w:sz w:val="22"/>
          <w:szCs w:val="22"/>
        </w:rPr>
        <w:t xml:space="preserve"> </w:t>
      </w:r>
    </w:p>
    <w:p w14:paraId="26E43603" w14:textId="77777777" w:rsidR="00D1789D" w:rsidRPr="00B0041E" w:rsidRDefault="006A29B0" w:rsidP="00664EB1">
      <w:pPr>
        <w:spacing w:line="360" w:lineRule="auto"/>
        <w:rPr>
          <w:rFonts w:ascii="Tahoma" w:hAnsi="Tahoma" w:cs="Tahoma"/>
          <w:sz w:val="22"/>
          <w:szCs w:val="22"/>
        </w:rPr>
      </w:pPr>
      <w:r w:rsidRPr="00B0041E">
        <w:rPr>
          <w:rFonts w:ascii="Tahoma" w:hAnsi="Tahoma" w:cs="Tahoma"/>
          <w:sz w:val="22"/>
          <w:szCs w:val="22"/>
        </w:rPr>
        <w:t>Psychoactive Substances Appeals Committee</w:t>
      </w:r>
    </w:p>
    <w:sectPr w:rsidR="00D1789D" w:rsidRPr="00B0041E" w:rsidSect="008D4461">
      <w:pgSz w:w="11907" w:h="16839" w:code="9"/>
      <w:pgMar w:top="1440" w:right="1800" w:bottom="1440"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94C49" w14:textId="77777777" w:rsidR="00664EB1" w:rsidRDefault="00664EB1">
      <w:r>
        <w:separator/>
      </w:r>
    </w:p>
  </w:endnote>
  <w:endnote w:type="continuationSeparator" w:id="0">
    <w:p w14:paraId="3BF7A715" w14:textId="77777777" w:rsidR="00664EB1" w:rsidRDefault="00664EB1">
      <w:r>
        <w:continuationSeparator/>
      </w:r>
    </w:p>
  </w:endnote>
  <w:endnote w:type="continuationNotice" w:id="1">
    <w:p w14:paraId="3ACEEC01" w14:textId="77777777" w:rsidR="00A22CD3" w:rsidRDefault="00A22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0AAF1" w14:textId="77777777" w:rsidR="00664EB1" w:rsidRDefault="00664EB1">
      <w:r>
        <w:separator/>
      </w:r>
    </w:p>
  </w:footnote>
  <w:footnote w:type="continuationSeparator" w:id="0">
    <w:p w14:paraId="72504EC0" w14:textId="77777777" w:rsidR="00664EB1" w:rsidRDefault="00664EB1">
      <w:r>
        <w:continuationSeparator/>
      </w:r>
    </w:p>
  </w:footnote>
  <w:footnote w:type="continuationNotice" w:id="1">
    <w:p w14:paraId="1EFF3E96" w14:textId="77777777" w:rsidR="00A22CD3" w:rsidRDefault="00A22CD3"/>
  </w:footnote>
  <w:footnote w:id="2">
    <w:p w14:paraId="7B00CC85" w14:textId="4DA4D480" w:rsidR="00664EB1" w:rsidRPr="00497D94" w:rsidRDefault="00664EB1">
      <w:pPr>
        <w:pStyle w:val="FootnoteText"/>
        <w:rPr>
          <w:rFonts w:ascii="Tahoma" w:hAnsi="Tahoma" w:cs="Tahoma"/>
        </w:rPr>
      </w:pPr>
      <w:r w:rsidRPr="00497D94">
        <w:rPr>
          <w:rStyle w:val="FootnoteReference"/>
          <w:rFonts w:ascii="Tahoma" w:hAnsi="Tahoma" w:cs="Tahoma"/>
        </w:rPr>
        <w:footnoteRef/>
      </w:r>
      <w:r w:rsidRPr="00497D94">
        <w:rPr>
          <w:rFonts w:ascii="Tahoma" w:hAnsi="Tahoma" w:cs="Tahoma"/>
        </w:rPr>
        <w:t xml:space="preserve"> s3</w:t>
      </w:r>
    </w:p>
  </w:footnote>
  <w:footnote w:id="3">
    <w:p w14:paraId="77BA5403" w14:textId="77777777" w:rsidR="00664EB1" w:rsidRPr="00B96BE2" w:rsidRDefault="00664EB1" w:rsidP="0082421F">
      <w:pPr>
        <w:pStyle w:val="FootnoteText"/>
        <w:rPr>
          <w:rFonts w:ascii="Tahoma" w:hAnsi="Tahoma" w:cs="Tahoma"/>
        </w:rPr>
      </w:pPr>
      <w:r w:rsidRPr="00B96BE2">
        <w:rPr>
          <w:rStyle w:val="FootnoteReference"/>
          <w:rFonts w:ascii="Tahoma" w:hAnsi="Tahoma" w:cs="Tahoma"/>
        </w:rPr>
        <w:footnoteRef/>
      </w:r>
      <w:r w:rsidRPr="00B96BE2">
        <w:rPr>
          <w:rFonts w:ascii="Tahoma" w:hAnsi="Tahoma" w:cs="Tahoma"/>
        </w:rPr>
        <w:t xml:space="preserve"> A “psychoactive product” is a finished product containing a “psychoactive substance” ready for retail sale; s8.</w:t>
      </w:r>
    </w:p>
  </w:footnote>
  <w:footnote w:id="4">
    <w:p w14:paraId="1BA8F9A5" w14:textId="57A6BE1A" w:rsidR="00664EB1" w:rsidRDefault="00664EB1">
      <w:pPr>
        <w:pStyle w:val="FootnoteText"/>
      </w:pPr>
      <w:r w:rsidRPr="00B96BE2">
        <w:rPr>
          <w:rStyle w:val="FootnoteReference"/>
          <w:rFonts w:ascii="Tahoma" w:hAnsi="Tahoma" w:cs="Tahoma"/>
        </w:rPr>
        <w:footnoteRef/>
      </w:r>
      <w:r w:rsidRPr="00B96BE2">
        <w:rPr>
          <w:rFonts w:ascii="Tahoma" w:hAnsi="Tahoma" w:cs="Tahoma"/>
        </w:rPr>
        <w:t xml:space="preserve"> s4(a)</w:t>
      </w:r>
    </w:p>
  </w:footnote>
  <w:footnote w:id="5">
    <w:p w14:paraId="204D926E" w14:textId="2AA48B75" w:rsidR="00664EB1" w:rsidRPr="00497D94" w:rsidRDefault="00664EB1">
      <w:pPr>
        <w:pStyle w:val="FootnoteText"/>
        <w:rPr>
          <w:rFonts w:ascii="Tahoma" w:hAnsi="Tahoma" w:cs="Tahoma"/>
        </w:rPr>
      </w:pPr>
      <w:r w:rsidRPr="00497D94">
        <w:rPr>
          <w:rStyle w:val="FootnoteReference"/>
          <w:rFonts w:ascii="Tahoma" w:hAnsi="Tahoma" w:cs="Tahoma"/>
        </w:rPr>
        <w:footnoteRef/>
      </w:r>
      <w:r w:rsidRPr="00497D94">
        <w:rPr>
          <w:rFonts w:ascii="Tahoma" w:hAnsi="Tahoma" w:cs="Tahoma"/>
        </w:rPr>
        <w:t xml:space="preserve"> s37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48926" w14:textId="77777777" w:rsidR="00664EB1" w:rsidRDefault="00664EB1">
    <w:pPr>
      <w:framePr w:wrap="around" w:vAnchor="text" w:hAnchor="margin" w:xAlign="right" w:y="1"/>
    </w:pPr>
    <w:r>
      <w:fldChar w:fldCharType="begin"/>
    </w:r>
    <w:r>
      <w:instrText xml:space="preserve">PAGE  </w:instrText>
    </w:r>
    <w:r>
      <w:fldChar w:fldCharType="end"/>
    </w:r>
  </w:p>
  <w:p w14:paraId="1A2E53A5" w14:textId="77777777" w:rsidR="00664EB1" w:rsidRDefault="00664EB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rPr>
      <w:id w:val="-2038421643"/>
      <w:docPartObj>
        <w:docPartGallery w:val="Page Numbers (Top of Page)"/>
        <w:docPartUnique/>
      </w:docPartObj>
    </w:sdtPr>
    <w:sdtEndPr>
      <w:rPr>
        <w:noProof/>
      </w:rPr>
    </w:sdtEndPr>
    <w:sdtContent>
      <w:p w14:paraId="34D73B0D" w14:textId="77777777" w:rsidR="00664EB1" w:rsidRPr="008D4461" w:rsidRDefault="00664EB1">
        <w:pPr>
          <w:pStyle w:val="Header"/>
          <w:jc w:val="center"/>
          <w:rPr>
            <w:rFonts w:ascii="Tahoma" w:hAnsi="Tahoma" w:cs="Tahoma"/>
          </w:rPr>
        </w:pPr>
        <w:r w:rsidRPr="008D4461">
          <w:rPr>
            <w:rFonts w:ascii="Tahoma" w:hAnsi="Tahoma" w:cs="Tahoma"/>
          </w:rPr>
          <w:fldChar w:fldCharType="begin"/>
        </w:r>
        <w:r w:rsidRPr="008D4461">
          <w:rPr>
            <w:rFonts w:ascii="Tahoma" w:hAnsi="Tahoma" w:cs="Tahoma"/>
          </w:rPr>
          <w:instrText xml:space="preserve"> PAGE   \* MERGEFORMAT </w:instrText>
        </w:r>
        <w:r w:rsidRPr="008D4461">
          <w:rPr>
            <w:rFonts w:ascii="Tahoma" w:hAnsi="Tahoma" w:cs="Tahoma"/>
          </w:rPr>
          <w:fldChar w:fldCharType="separate"/>
        </w:r>
        <w:r w:rsidR="00A608E6">
          <w:rPr>
            <w:rFonts w:ascii="Tahoma" w:hAnsi="Tahoma" w:cs="Tahoma"/>
            <w:noProof/>
          </w:rPr>
          <w:t>6</w:t>
        </w:r>
        <w:r w:rsidRPr="008D4461">
          <w:rPr>
            <w:rFonts w:ascii="Tahoma" w:hAnsi="Tahoma" w:cs="Tahoma"/>
            <w:noProof/>
          </w:rPr>
          <w:fldChar w:fldCharType="end"/>
        </w:r>
      </w:p>
    </w:sdtContent>
  </w:sdt>
  <w:p w14:paraId="40013F02" w14:textId="77777777" w:rsidR="00664EB1" w:rsidRDefault="00664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73B2"/>
    <w:multiLevelType w:val="singleLevel"/>
    <w:tmpl w:val="50FA1D4A"/>
    <w:lvl w:ilvl="0">
      <w:start w:val="1"/>
      <w:numFmt w:val="decimal"/>
      <w:lvlText w:val="%1."/>
      <w:lvlJc w:val="left"/>
      <w:pPr>
        <w:tabs>
          <w:tab w:val="num" w:pos="720"/>
        </w:tabs>
        <w:ind w:left="720" w:hanging="720"/>
      </w:pPr>
      <w:rPr>
        <w:rFonts w:hint="default"/>
      </w:rPr>
    </w:lvl>
  </w:abstractNum>
  <w:abstractNum w:abstractNumId="1">
    <w:nsid w:val="165B5AB4"/>
    <w:multiLevelType w:val="hybridMultilevel"/>
    <w:tmpl w:val="FEA49758"/>
    <w:lvl w:ilvl="0" w:tplc="5A1415DC">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1ECF1AEF"/>
    <w:multiLevelType w:val="hybridMultilevel"/>
    <w:tmpl w:val="BEDA45C2"/>
    <w:lvl w:ilvl="0" w:tplc="BCDE2474">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4376536D"/>
    <w:multiLevelType w:val="multilevel"/>
    <w:tmpl w:val="95D47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58E24F2"/>
    <w:multiLevelType w:val="hybridMultilevel"/>
    <w:tmpl w:val="A90800DA"/>
    <w:lvl w:ilvl="0" w:tplc="C5AAB2BE">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nsid w:val="4A990475"/>
    <w:multiLevelType w:val="hybridMultilevel"/>
    <w:tmpl w:val="F978218C"/>
    <w:lvl w:ilvl="0" w:tplc="F496E23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55B01146"/>
    <w:multiLevelType w:val="hybridMultilevel"/>
    <w:tmpl w:val="1FD23F3C"/>
    <w:lvl w:ilvl="0" w:tplc="2EA6FD34">
      <w:start w:val="1"/>
      <w:numFmt w:val="decimal"/>
      <w:lvlText w:val="%1."/>
      <w:lvlJc w:val="left"/>
      <w:pPr>
        <w:tabs>
          <w:tab w:val="num" w:pos="720"/>
        </w:tabs>
        <w:ind w:left="720" w:hanging="360"/>
      </w:pPr>
      <w:rPr>
        <w:b w:val="0"/>
      </w:rPr>
    </w:lvl>
    <w:lvl w:ilvl="1" w:tplc="1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47284F"/>
    <w:multiLevelType w:val="hybridMultilevel"/>
    <w:tmpl w:val="47E0B3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5D3F7C14"/>
    <w:multiLevelType w:val="hybridMultilevel"/>
    <w:tmpl w:val="BAAAB7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8"/>
  </w:num>
  <w:num w:numId="5">
    <w:abstractNumId w:val="7"/>
  </w:num>
  <w:num w:numId="6">
    <w:abstractNumId w:val="2"/>
  </w:num>
  <w:num w:numId="7">
    <w:abstractNumId w:val="1"/>
  </w:num>
  <w:num w:numId="8">
    <w:abstractNumId w:val="4"/>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92"/>
    <w:rsid w:val="000424A7"/>
    <w:rsid w:val="00052890"/>
    <w:rsid w:val="00056DEF"/>
    <w:rsid w:val="00090F8E"/>
    <w:rsid w:val="000A1E2B"/>
    <w:rsid w:val="000A4090"/>
    <w:rsid w:val="000B08C0"/>
    <w:rsid w:val="000D0E8A"/>
    <w:rsid w:val="000D1A84"/>
    <w:rsid w:val="000E236D"/>
    <w:rsid w:val="000F651C"/>
    <w:rsid w:val="001224FF"/>
    <w:rsid w:val="001451A7"/>
    <w:rsid w:val="001537E9"/>
    <w:rsid w:val="00166D59"/>
    <w:rsid w:val="00167AB1"/>
    <w:rsid w:val="00186ACD"/>
    <w:rsid w:val="00191311"/>
    <w:rsid w:val="00194D11"/>
    <w:rsid w:val="00197385"/>
    <w:rsid w:val="001A0866"/>
    <w:rsid w:val="001A392F"/>
    <w:rsid w:val="001D1552"/>
    <w:rsid w:val="001D3E7E"/>
    <w:rsid w:val="001E452F"/>
    <w:rsid w:val="001F6028"/>
    <w:rsid w:val="0020003E"/>
    <w:rsid w:val="0021086C"/>
    <w:rsid w:val="0021261F"/>
    <w:rsid w:val="00226BFF"/>
    <w:rsid w:val="00227C92"/>
    <w:rsid w:val="00232911"/>
    <w:rsid w:val="002400F9"/>
    <w:rsid w:val="0025001E"/>
    <w:rsid w:val="00253FF4"/>
    <w:rsid w:val="00256F3B"/>
    <w:rsid w:val="00262466"/>
    <w:rsid w:val="0026766A"/>
    <w:rsid w:val="0028438F"/>
    <w:rsid w:val="002872C1"/>
    <w:rsid w:val="002A1845"/>
    <w:rsid w:val="002A5817"/>
    <w:rsid w:val="002A70CB"/>
    <w:rsid w:val="002B4E96"/>
    <w:rsid w:val="00334E1D"/>
    <w:rsid w:val="00344163"/>
    <w:rsid w:val="00371C28"/>
    <w:rsid w:val="00377561"/>
    <w:rsid w:val="00386F72"/>
    <w:rsid w:val="0039576F"/>
    <w:rsid w:val="003B3E79"/>
    <w:rsid w:val="003B5D4B"/>
    <w:rsid w:val="003B6A80"/>
    <w:rsid w:val="003C5B94"/>
    <w:rsid w:val="003E1D76"/>
    <w:rsid w:val="003F1E46"/>
    <w:rsid w:val="0042701C"/>
    <w:rsid w:val="00451506"/>
    <w:rsid w:val="00456DCC"/>
    <w:rsid w:val="004632B0"/>
    <w:rsid w:val="004668EB"/>
    <w:rsid w:val="00474A5B"/>
    <w:rsid w:val="00497D94"/>
    <w:rsid w:val="004A59E4"/>
    <w:rsid w:val="004C36DD"/>
    <w:rsid w:val="004C683B"/>
    <w:rsid w:val="00513FBB"/>
    <w:rsid w:val="00531007"/>
    <w:rsid w:val="00547A52"/>
    <w:rsid w:val="00581B8F"/>
    <w:rsid w:val="00585024"/>
    <w:rsid w:val="005A44B8"/>
    <w:rsid w:val="005A6A03"/>
    <w:rsid w:val="005B054D"/>
    <w:rsid w:val="005D2FC9"/>
    <w:rsid w:val="00603E01"/>
    <w:rsid w:val="006321A9"/>
    <w:rsid w:val="00635B70"/>
    <w:rsid w:val="00646FDD"/>
    <w:rsid w:val="00664EB1"/>
    <w:rsid w:val="00665F6B"/>
    <w:rsid w:val="00670578"/>
    <w:rsid w:val="00697D54"/>
    <w:rsid w:val="006A29B0"/>
    <w:rsid w:val="006A7482"/>
    <w:rsid w:val="006E1EE4"/>
    <w:rsid w:val="006F0AF1"/>
    <w:rsid w:val="006F7C31"/>
    <w:rsid w:val="0070510F"/>
    <w:rsid w:val="00727D2F"/>
    <w:rsid w:val="00741604"/>
    <w:rsid w:val="00741D92"/>
    <w:rsid w:val="00746C9D"/>
    <w:rsid w:val="00766E4A"/>
    <w:rsid w:val="00771CAA"/>
    <w:rsid w:val="00791DF6"/>
    <w:rsid w:val="00795917"/>
    <w:rsid w:val="007A0F88"/>
    <w:rsid w:val="007D07C5"/>
    <w:rsid w:val="007E414B"/>
    <w:rsid w:val="0082421F"/>
    <w:rsid w:val="00826E4A"/>
    <w:rsid w:val="00843B3B"/>
    <w:rsid w:val="00851FA1"/>
    <w:rsid w:val="0085655E"/>
    <w:rsid w:val="008A549B"/>
    <w:rsid w:val="008B00FB"/>
    <w:rsid w:val="008D4461"/>
    <w:rsid w:val="008F31A5"/>
    <w:rsid w:val="00931637"/>
    <w:rsid w:val="0095424A"/>
    <w:rsid w:val="009804A9"/>
    <w:rsid w:val="009B0D92"/>
    <w:rsid w:val="009C1A95"/>
    <w:rsid w:val="009F0DA8"/>
    <w:rsid w:val="00A137F8"/>
    <w:rsid w:val="00A13CD2"/>
    <w:rsid w:val="00A226A9"/>
    <w:rsid w:val="00A22CD3"/>
    <w:rsid w:val="00A3694B"/>
    <w:rsid w:val="00A47C48"/>
    <w:rsid w:val="00A608E6"/>
    <w:rsid w:val="00A60B03"/>
    <w:rsid w:val="00A62C6E"/>
    <w:rsid w:val="00A77ACD"/>
    <w:rsid w:val="00A80944"/>
    <w:rsid w:val="00A9391F"/>
    <w:rsid w:val="00A948A0"/>
    <w:rsid w:val="00AA509C"/>
    <w:rsid w:val="00AC78B7"/>
    <w:rsid w:val="00AD2978"/>
    <w:rsid w:val="00AD3D5E"/>
    <w:rsid w:val="00B0041E"/>
    <w:rsid w:val="00B0676E"/>
    <w:rsid w:val="00B303FE"/>
    <w:rsid w:val="00B340D6"/>
    <w:rsid w:val="00B768F1"/>
    <w:rsid w:val="00B8094C"/>
    <w:rsid w:val="00B94B62"/>
    <w:rsid w:val="00B96BE2"/>
    <w:rsid w:val="00BA6033"/>
    <w:rsid w:val="00BB1B94"/>
    <w:rsid w:val="00BC6F15"/>
    <w:rsid w:val="00C13A3D"/>
    <w:rsid w:val="00C14AAF"/>
    <w:rsid w:val="00C15EC8"/>
    <w:rsid w:val="00C25C94"/>
    <w:rsid w:val="00C33414"/>
    <w:rsid w:val="00C43DAE"/>
    <w:rsid w:val="00C525ED"/>
    <w:rsid w:val="00C93B9D"/>
    <w:rsid w:val="00CA05A9"/>
    <w:rsid w:val="00CA4321"/>
    <w:rsid w:val="00D05AAD"/>
    <w:rsid w:val="00D1789D"/>
    <w:rsid w:val="00D467E5"/>
    <w:rsid w:val="00D536D8"/>
    <w:rsid w:val="00D55EB2"/>
    <w:rsid w:val="00D87836"/>
    <w:rsid w:val="00D90DDD"/>
    <w:rsid w:val="00DD03B9"/>
    <w:rsid w:val="00DD712F"/>
    <w:rsid w:val="00DE12FB"/>
    <w:rsid w:val="00DF51B9"/>
    <w:rsid w:val="00E071B9"/>
    <w:rsid w:val="00E14262"/>
    <w:rsid w:val="00E26692"/>
    <w:rsid w:val="00E4437B"/>
    <w:rsid w:val="00E45E89"/>
    <w:rsid w:val="00E46103"/>
    <w:rsid w:val="00E46172"/>
    <w:rsid w:val="00E46352"/>
    <w:rsid w:val="00E876B3"/>
    <w:rsid w:val="00E94708"/>
    <w:rsid w:val="00E964CF"/>
    <w:rsid w:val="00EA46FC"/>
    <w:rsid w:val="00EA7E88"/>
    <w:rsid w:val="00EB32D7"/>
    <w:rsid w:val="00EC2D40"/>
    <w:rsid w:val="00EC316C"/>
    <w:rsid w:val="00EE0F46"/>
    <w:rsid w:val="00EE27F8"/>
    <w:rsid w:val="00EF7F91"/>
    <w:rsid w:val="00F11A1C"/>
    <w:rsid w:val="00F17103"/>
    <w:rsid w:val="00F20591"/>
    <w:rsid w:val="00F26AA2"/>
    <w:rsid w:val="00F338D0"/>
    <w:rsid w:val="00F343D1"/>
    <w:rsid w:val="00F63ED9"/>
    <w:rsid w:val="00F740E7"/>
    <w:rsid w:val="00F76B77"/>
    <w:rsid w:val="00F91545"/>
    <w:rsid w:val="00FA1625"/>
    <w:rsid w:val="00FA16C4"/>
    <w:rsid w:val="00FB3D80"/>
    <w:rsid w:val="00FF42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33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ituling">
    <w:name w:val="Intituling"/>
    <w:rsid w:val="002A1845"/>
    <w:pPr>
      <w:tabs>
        <w:tab w:val="left" w:pos="1728"/>
        <w:tab w:val="left" w:pos="4032"/>
      </w:tabs>
      <w:suppressAutoHyphens/>
    </w:pPr>
    <w:rPr>
      <w:rFonts w:ascii="TmsRmn 12pt" w:hAnsi="TmsRmn 12pt"/>
      <w:sz w:val="24"/>
      <w:lang w:val="en-US" w:eastAsia="en-AU"/>
    </w:rPr>
  </w:style>
  <w:style w:type="paragraph" w:styleId="Footer">
    <w:name w:val="footer"/>
    <w:basedOn w:val="Normal"/>
    <w:rsid w:val="002A1845"/>
    <w:pPr>
      <w:tabs>
        <w:tab w:val="center" w:pos="4153"/>
        <w:tab w:val="right" w:pos="8306"/>
      </w:tabs>
      <w:jc w:val="both"/>
    </w:pPr>
    <w:rPr>
      <w:szCs w:val="20"/>
      <w:lang w:val="en-GB" w:eastAsia="en-AU"/>
    </w:rPr>
  </w:style>
  <w:style w:type="paragraph" w:styleId="Header">
    <w:name w:val="header"/>
    <w:basedOn w:val="Normal"/>
    <w:link w:val="HeaderChar"/>
    <w:uiPriority w:val="99"/>
    <w:rsid w:val="002A1845"/>
    <w:pPr>
      <w:tabs>
        <w:tab w:val="center" w:pos="4320"/>
        <w:tab w:val="right" w:pos="8640"/>
      </w:tabs>
    </w:pPr>
  </w:style>
  <w:style w:type="table" w:styleId="TableGrid">
    <w:name w:val="Table Grid"/>
    <w:basedOn w:val="TableNormal"/>
    <w:rsid w:val="000D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D92"/>
    <w:pPr>
      <w:ind w:left="720"/>
      <w:contextualSpacing/>
    </w:pPr>
  </w:style>
  <w:style w:type="paragraph" w:styleId="FootnoteText">
    <w:name w:val="footnote text"/>
    <w:basedOn w:val="Normal"/>
    <w:link w:val="FootnoteTextChar"/>
    <w:semiHidden/>
    <w:unhideWhenUsed/>
    <w:rsid w:val="0025001E"/>
    <w:rPr>
      <w:sz w:val="20"/>
      <w:szCs w:val="20"/>
    </w:rPr>
  </w:style>
  <w:style w:type="character" w:customStyle="1" w:styleId="FootnoteTextChar">
    <w:name w:val="Footnote Text Char"/>
    <w:basedOn w:val="DefaultParagraphFont"/>
    <w:link w:val="FootnoteText"/>
    <w:semiHidden/>
    <w:rsid w:val="0025001E"/>
    <w:rPr>
      <w:lang w:eastAsia="en-US"/>
    </w:rPr>
  </w:style>
  <w:style w:type="character" w:styleId="FootnoteReference">
    <w:name w:val="footnote reference"/>
    <w:basedOn w:val="DefaultParagraphFont"/>
    <w:semiHidden/>
    <w:unhideWhenUsed/>
    <w:rsid w:val="0025001E"/>
    <w:rPr>
      <w:vertAlign w:val="superscript"/>
    </w:rPr>
  </w:style>
  <w:style w:type="character" w:customStyle="1" w:styleId="HeaderChar">
    <w:name w:val="Header Char"/>
    <w:basedOn w:val="DefaultParagraphFont"/>
    <w:link w:val="Header"/>
    <w:uiPriority w:val="99"/>
    <w:rsid w:val="008D4461"/>
    <w:rPr>
      <w:sz w:val="24"/>
      <w:szCs w:val="24"/>
      <w:lang w:eastAsia="en-US"/>
    </w:rPr>
  </w:style>
  <w:style w:type="paragraph" w:styleId="EndnoteText">
    <w:name w:val="endnote text"/>
    <w:basedOn w:val="Normal"/>
    <w:link w:val="EndnoteTextChar"/>
    <w:semiHidden/>
    <w:unhideWhenUsed/>
    <w:rsid w:val="00497D94"/>
    <w:rPr>
      <w:sz w:val="20"/>
      <w:szCs w:val="20"/>
    </w:rPr>
  </w:style>
  <w:style w:type="character" w:customStyle="1" w:styleId="EndnoteTextChar">
    <w:name w:val="Endnote Text Char"/>
    <w:basedOn w:val="DefaultParagraphFont"/>
    <w:link w:val="EndnoteText"/>
    <w:semiHidden/>
    <w:rsid w:val="00497D94"/>
    <w:rPr>
      <w:lang w:eastAsia="en-US"/>
    </w:rPr>
  </w:style>
  <w:style w:type="character" w:styleId="EndnoteReference">
    <w:name w:val="endnote reference"/>
    <w:basedOn w:val="DefaultParagraphFont"/>
    <w:semiHidden/>
    <w:unhideWhenUsed/>
    <w:rsid w:val="00497D94"/>
    <w:rPr>
      <w:vertAlign w:val="superscript"/>
    </w:rPr>
  </w:style>
  <w:style w:type="paragraph" w:styleId="BalloonText">
    <w:name w:val="Balloon Text"/>
    <w:basedOn w:val="Normal"/>
    <w:link w:val="BalloonTextChar"/>
    <w:semiHidden/>
    <w:unhideWhenUsed/>
    <w:rsid w:val="00843B3B"/>
    <w:rPr>
      <w:rFonts w:ascii="Tahoma" w:hAnsi="Tahoma" w:cs="Tahoma"/>
      <w:sz w:val="16"/>
      <w:szCs w:val="16"/>
    </w:rPr>
  </w:style>
  <w:style w:type="character" w:customStyle="1" w:styleId="BalloonTextChar">
    <w:name w:val="Balloon Text Char"/>
    <w:basedOn w:val="DefaultParagraphFont"/>
    <w:link w:val="BalloonText"/>
    <w:semiHidden/>
    <w:rsid w:val="00843B3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ituling">
    <w:name w:val="Intituling"/>
    <w:rsid w:val="002A1845"/>
    <w:pPr>
      <w:tabs>
        <w:tab w:val="left" w:pos="1728"/>
        <w:tab w:val="left" w:pos="4032"/>
      </w:tabs>
      <w:suppressAutoHyphens/>
    </w:pPr>
    <w:rPr>
      <w:rFonts w:ascii="TmsRmn 12pt" w:hAnsi="TmsRmn 12pt"/>
      <w:sz w:val="24"/>
      <w:lang w:val="en-US" w:eastAsia="en-AU"/>
    </w:rPr>
  </w:style>
  <w:style w:type="paragraph" w:styleId="Footer">
    <w:name w:val="footer"/>
    <w:basedOn w:val="Normal"/>
    <w:rsid w:val="002A1845"/>
    <w:pPr>
      <w:tabs>
        <w:tab w:val="center" w:pos="4153"/>
        <w:tab w:val="right" w:pos="8306"/>
      </w:tabs>
      <w:jc w:val="both"/>
    </w:pPr>
    <w:rPr>
      <w:szCs w:val="20"/>
      <w:lang w:val="en-GB" w:eastAsia="en-AU"/>
    </w:rPr>
  </w:style>
  <w:style w:type="paragraph" w:styleId="Header">
    <w:name w:val="header"/>
    <w:basedOn w:val="Normal"/>
    <w:link w:val="HeaderChar"/>
    <w:uiPriority w:val="99"/>
    <w:rsid w:val="002A1845"/>
    <w:pPr>
      <w:tabs>
        <w:tab w:val="center" w:pos="4320"/>
        <w:tab w:val="right" w:pos="8640"/>
      </w:tabs>
    </w:pPr>
  </w:style>
  <w:style w:type="table" w:styleId="TableGrid">
    <w:name w:val="Table Grid"/>
    <w:basedOn w:val="TableNormal"/>
    <w:rsid w:val="000D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D92"/>
    <w:pPr>
      <w:ind w:left="720"/>
      <w:contextualSpacing/>
    </w:pPr>
  </w:style>
  <w:style w:type="paragraph" w:styleId="FootnoteText">
    <w:name w:val="footnote text"/>
    <w:basedOn w:val="Normal"/>
    <w:link w:val="FootnoteTextChar"/>
    <w:semiHidden/>
    <w:unhideWhenUsed/>
    <w:rsid w:val="0025001E"/>
    <w:rPr>
      <w:sz w:val="20"/>
      <w:szCs w:val="20"/>
    </w:rPr>
  </w:style>
  <w:style w:type="character" w:customStyle="1" w:styleId="FootnoteTextChar">
    <w:name w:val="Footnote Text Char"/>
    <w:basedOn w:val="DefaultParagraphFont"/>
    <w:link w:val="FootnoteText"/>
    <w:semiHidden/>
    <w:rsid w:val="0025001E"/>
    <w:rPr>
      <w:lang w:eastAsia="en-US"/>
    </w:rPr>
  </w:style>
  <w:style w:type="character" w:styleId="FootnoteReference">
    <w:name w:val="footnote reference"/>
    <w:basedOn w:val="DefaultParagraphFont"/>
    <w:semiHidden/>
    <w:unhideWhenUsed/>
    <w:rsid w:val="0025001E"/>
    <w:rPr>
      <w:vertAlign w:val="superscript"/>
    </w:rPr>
  </w:style>
  <w:style w:type="character" w:customStyle="1" w:styleId="HeaderChar">
    <w:name w:val="Header Char"/>
    <w:basedOn w:val="DefaultParagraphFont"/>
    <w:link w:val="Header"/>
    <w:uiPriority w:val="99"/>
    <w:rsid w:val="008D4461"/>
    <w:rPr>
      <w:sz w:val="24"/>
      <w:szCs w:val="24"/>
      <w:lang w:eastAsia="en-US"/>
    </w:rPr>
  </w:style>
  <w:style w:type="paragraph" w:styleId="EndnoteText">
    <w:name w:val="endnote text"/>
    <w:basedOn w:val="Normal"/>
    <w:link w:val="EndnoteTextChar"/>
    <w:semiHidden/>
    <w:unhideWhenUsed/>
    <w:rsid w:val="00497D94"/>
    <w:rPr>
      <w:sz w:val="20"/>
      <w:szCs w:val="20"/>
    </w:rPr>
  </w:style>
  <w:style w:type="character" w:customStyle="1" w:styleId="EndnoteTextChar">
    <w:name w:val="Endnote Text Char"/>
    <w:basedOn w:val="DefaultParagraphFont"/>
    <w:link w:val="EndnoteText"/>
    <w:semiHidden/>
    <w:rsid w:val="00497D94"/>
    <w:rPr>
      <w:lang w:eastAsia="en-US"/>
    </w:rPr>
  </w:style>
  <w:style w:type="character" w:styleId="EndnoteReference">
    <w:name w:val="endnote reference"/>
    <w:basedOn w:val="DefaultParagraphFont"/>
    <w:semiHidden/>
    <w:unhideWhenUsed/>
    <w:rsid w:val="00497D94"/>
    <w:rPr>
      <w:vertAlign w:val="superscript"/>
    </w:rPr>
  </w:style>
  <w:style w:type="paragraph" w:styleId="BalloonText">
    <w:name w:val="Balloon Text"/>
    <w:basedOn w:val="Normal"/>
    <w:link w:val="BalloonTextChar"/>
    <w:semiHidden/>
    <w:unhideWhenUsed/>
    <w:rsid w:val="00843B3B"/>
    <w:rPr>
      <w:rFonts w:ascii="Tahoma" w:hAnsi="Tahoma" w:cs="Tahoma"/>
      <w:sz w:val="16"/>
      <w:szCs w:val="16"/>
    </w:rPr>
  </w:style>
  <w:style w:type="character" w:customStyle="1" w:styleId="BalloonTextChar">
    <w:name w:val="Balloon Text Char"/>
    <w:basedOn w:val="DefaultParagraphFont"/>
    <w:link w:val="BalloonText"/>
    <w:semiHidden/>
    <w:rsid w:val="00843B3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DISTRICT%20COURT%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6C28C272EDE41984D67F2A8F689F6" ma:contentTypeVersion="1" ma:contentTypeDescription="Create a new document." ma:contentTypeScope="" ma:versionID="020e513422b7cebece18c6a85092d1df">
  <xsd:schema xmlns:xsd="http://www.w3.org/2001/XMLSchema" xmlns:xs="http://www.w3.org/2001/XMLSchema" xmlns:p="http://schemas.microsoft.com/office/2006/metadata/properties" xmlns:ns3="8013bbe8-17fd-4fce-9896-91ccafb96a88" targetNamespace="http://schemas.microsoft.com/office/2006/metadata/properties" ma:root="true" ma:fieldsID="850800ec6ca00910cffdadbaadf4bd44" ns3:_="">
    <xsd:import namespace="8013bbe8-17fd-4fce-9896-91ccafb96a8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bbe8-17fd-4fce-9896-91ccafb96a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848D-10CF-4BDF-AAD5-62A28331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bbe8-17fd-4fce-9896-91ccafb96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3AEA8-B472-4F01-9274-B51B3E7A0BCD}">
  <ds:schemaRefs>
    <ds:schemaRef ds:uri="http://schemas.microsoft.com/sharepoint/v3/contenttype/forms"/>
  </ds:schemaRefs>
</ds:datastoreItem>
</file>

<file path=customXml/itemProps3.xml><?xml version="1.0" encoding="utf-8"?>
<ds:datastoreItem xmlns:ds="http://schemas.openxmlformats.org/officeDocument/2006/customXml" ds:itemID="{492D8D32-0935-4E77-A415-9E578A04136D}">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 ds:uri="8013bbe8-17fd-4fce-9896-91ccafb96a88"/>
    <ds:schemaRef ds:uri="http://purl.org/dc/elements/1.1/"/>
  </ds:schemaRefs>
</ds:datastoreItem>
</file>

<file path=customXml/itemProps4.xml><?xml version="1.0" encoding="utf-8"?>
<ds:datastoreItem xmlns:ds="http://schemas.openxmlformats.org/officeDocument/2006/customXml" ds:itemID="{1C467FD2-37C5-452D-88C4-5E2C91E6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DISTRICT COURT FORMAT</Template>
  <TotalTime>65</TotalTime>
  <Pages>7</Pages>
  <Words>1640</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 THE HIGH COURT OF NEW ZEALAND</vt:lpstr>
    </vt:vector>
  </TitlesOfParts>
  <Company>Gordon Pilditch</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 SHIPLEY/SNITCHELL HOLDINGS LIMITED: An appeal against the Psychoactive Substances Regulatory Authority’s decision</dc:title>
  <dc:creator/>
  <cp:lastModifiedBy>Ministry of Health</cp:lastModifiedBy>
  <cp:revision>23</cp:revision>
  <cp:lastPrinted>2013-10-22T02:53:00Z</cp:lastPrinted>
  <dcterms:created xsi:type="dcterms:W3CDTF">2014-04-14T03:02:00Z</dcterms:created>
  <dcterms:modified xsi:type="dcterms:W3CDTF">2014-11-13T20:53:00Z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0x010100A356C28C272EDE41984D67F2A8F689F6</vt:lpwstr>
  </property>
  <property fmtid="{D5CDD505-2E9C-101B-9397-08002B2CF9AE}" pid="3" name="IsMyDocuments">
    <vt:bool>true</vt:bool>
  </property>
</Properties>
</file>