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9E" w:rsidRPr="0019479E" w:rsidRDefault="0019479E" w:rsidP="0019479E">
      <w:pPr>
        <w:pStyle w:val="Heading1"/>
        <w:rPr>
          <w:sz w:val="48"/>
          <w:szCs w:val="48"/>
        </w:rPr>
      </w:pPr>
      <w:bookmarkStart w:id="0" w:name="_GoBack"/>
      <w:bookmarkEnd w:id="0"/>
      <w:r w:rsidRPr="0019479E">
        <w:rPr>
          <w:sz w:val="48"/>
          <w:szCs w:val="48"/>
        </w:rPr>
        <w:t>Substance Addiction (Compulsory Assessment and Treatment) Act 2017</w:t>
      </w:r>
    </w:p>
    <w:p w:rsidR="00E24785" w:rsidRDefault="0019479E" w:rsidP="0019479E">
      <w:pPr>
        <w:pStyle w:val="Heading1"/>
      </w:pPr>
      <w:r>
        <w:t>Prescribing Guideline</w:t>
      </w:r>
      <w:r w:rsidR="00467A6C">
        <w:t>s</w:t>
      </w:r>
      <w:r>
        <w:rPr>
          <w:rStyle w:val="FootnoteReference"/>
        </w:rPr>
        <w:footnoteReference w:id="1"/>
      </w:r>
    </w:p>
    <w:p w:rsidR="00BC7D65" w:rsidRDefault="00BC7D65" w:rsidP="00BC7D65">
      <w:r w:rsidRPr="009A5BF2">
        <w:t xml:space="preserve">This guide has been developed to support the appropriate use of medication </w:t>
      </w:r>
      <w:r w:rsidR="005E7DF7">
        <w:t>for a person</w:t>
      </w:r>
      <w:r>
        <w:t xml:space="preserve"> subject to compulsory treatment</w:t>
      </w:r>
      <w:r w:rsidRPr="009A5BF2">
        <w:t xml:space="preserve"> </w:t>
      </w:r>
      <w:r>
        <w:t>under</w:t>
      </w:r>
      <w:r w:rsidRPr="009A5BF2">
        <w:t xml:space="preserve"> the </w:t>
      </w:r>
      <w:r w:rsidRPr="00771A82">
        <w:t>Substance Addiction (Compulsory Assessment and Treatment) Act 2017</w:t>
      </w:r>
      <w:r>
        <w:t xml:space="preserve"> (the </w:t>
      </w:r>
      <w:r w:rsidRPr="009A5BF2">
        <w:t>Act</w:t>
      </w:r>
      <w:r>
        <w:t>)</w:t>
      </w:r>
      <w:r w:rsidRPr="009A5BF2">
        <w:t>.</w:t>
      </w:r>
    </w:p>
    <w:p w:rsidR="00BE4A0B" w:rsidRDefault="0019479E" w:rsidP="0019479E">
      <w:r>
        <w:t>The purpose</w:t>
      </w:r>
      <w:r>
        <w:rPr>
          <w:rStyle w:val="FootnoteReference"/>
          <w:sz w:val="24"/>
          <w:szCs w:val="24"/>
        </w:rPr>
        <w:footnoteReference w:id="2"/>
      </w:r>
      <w:r>
        <w:t xml:space="preserve"> of </w:t>
      </w:r>
      <w:r w:rsidRPr="00771A82">
        <w:t xml:space="preserve">the Act </w:t>
      </w:r>
      <w:r>
        <w:t>should be considered when a person is subject to compulsory treatment</w:t>
      </w:r>
      <w:r w:rsidR="002435E9">
        <w:t>,</w:t>
      </w:r>
      <w:r w:rsidR="00467A6C">
        <w:t xml:space="preserve"> </w:t>
      </w:r>
      <w:r w:rsidR="00B6330E">
        <w:t xml:space="preserve">and </w:t>
      </w:r>
      <w:r w:rsidR="002435E9">
        <w:t xml:space="preserve">who </w:t>
      </w:r>
      <w:r w:rsidR="00467A6C">
        <w:t xml:space="preserve">may need to be prescribed medication. </w:t>
      </w:r>
      <w:r>
        <w:t>Included in the purpose is</w:t>
      </w:r>
      <w:r w:rsidR="00BE4A0B">
        <w:t>:</w:t>
      </w:r>
      <w:r>
        <w:t xml:space="preserve"> </w:t>
      </w:r>
    </w:p>
    <w:p w:rsidR="00BE4A0B" w:rsidRDefault="00BE4A0B" w:rsidP="004F783F">
      <w:pPr>
        <w:pStyle w:val="Bullet"/>
      </w:pPr>
      <w:r>
        <w:t xml:space="preserve">the </w:t>
      </w:r>
      <w:r w:rsidR="0019479E">
        <w:t xml:space="preserve">need to protect and enhance a person’s </w:t>
      </w:r>
      <w:proofErr w:type="spellStart"/>
      <w:r w:rsidR="0019479E">
        <w:t>mana</w:t>
      </w:r>
      <w:proofErr w:type="spellEnd"/>
      <w:r w:rsidR="0019479E">
        <w:t xml:space="preserve"> and dignity</w:t>
      </w:r>
    </w:p>
    <w:p w:rsidR="00BE4A0B" w:rsidRDefault="00BE4A0B" w:rsidP="004F783F">
      <w:pPr>
        <w:pStyle w:val="Bullet"/>
      </w:pPr>
      <w:r>
        <w:t xml:space="preserve">to </w:t>
      </w:r>
      <w:r w:rsidR="0019479E">
        <w:t>restore their capacity to make decisions about treatment and substance use</w:t>
      </w:r>
    </w:p>
    <w:p w:rsidR="00BE4A0B" w:rsidRDefault="00BE4A0B" w:rsidP="004F783F">
      <w:pPr>
        <w:pStyle w:val="Bullet"/>
      </w:pPr>
      <w:proofErr w:type="gramStart"/>
      <w:r>
        <w:t>to</w:t>
      </w:r>
      <w:proofErr w:type="gramEnd"/>
      <w:r>
        <w:t xml:space="preserve"> </w:t>
      </w:r>
      <w:r w:rsidR="0019479E">
        <w:t xml:space="preserve">give them an opportunity to engage in treatment voluntarily. </w:t>
      </w:r>
    </w:p>
    <w:p w:rsidR="0019479E" w:rsidRDefault="0019479E" w:rsidP="0019479E">
      <w:r>
        <w:t>The Act further identifies general principles when exercising power over ‘patients’</w:t>
      </w:r>
      <w:r w:rsidR="00BE4A0B">
        <w:t>. Their</w:t>
      </w:r>
      <w:r>
        <w:t xml:space="preserve"> interests should remain at the centre of any decision</w:t>
      </w:r>
      <w:r w:rsidR="00BE4A0B">
        <w:t>-</w:t>
      </w:r>
      <w:r>
        <w:t>making</w:t>
      </w:r>
      <w:r w:rsidR="00BF1890">
        <w:t>;</w:t>
      </w:r>
      <w:r>
        <w:t xml:space="preserve"> the level of coercion used should be the least restrictive possible</w:t>
      </w:r>
      <w:r w:rsidR="00BF1890">
        <w:t>;</w:t>
      </w:r>
      <w:r>
        <w:t xml:space="preserve"> and the views of the person and their princip</w:t>
      </w:r>
      <w:r w:rsidR="00BE4A0B">
        <w:t>a</w:t>
      </w:r>
      <w:r>
        <w:t xml:space="preserve">l caregiver, welfare guardian and nominated person </w:t>
      </w:r>
      <w:r w:rsidR="00BE4A0B">
        <w:t>is</w:t>
      </w:r>
      <w:r>
        <w:t xml:space="preserve"> taken into account</w:t>
      </w:r>
      <w:r>
        <w:rPr>
          <w:rStyle w:val="FootnoteReference"/>
          <w:sz w:val="24"/>
          <w:szCs w:val="24"/>
        </w:rPr>
        <w:footnoteReference w:id="3"/>
      </w:r>
      <w:r>
        <w:t>.</w:t>
      </w:r>
    </w:p>
    <w:p w:rsidR="00BE4A0B" w:rsidRDefault="0019479E" w:rsidP="002339A4">
      <w:r>
        <w:t xml:space="preserve">In general, this means that </w:t>
      </w:r>
      <w:r w:rsidR="00BE4A0B">
        <w:t xml:space="preserve">prescribed </w:t>
      </w:r>
      <w:r>
        <w:t xml:space="preserve">medication </w:t>
      </w:r>
      <w:r w:rsidR="00BE4A0B">
        <w:t>is given</w:t>
      </w:r>
      <w:r>
        <w:t xml:space="preserve"> with the person’s consent</w:t>
      </w:r>
      <w:r w:rsidR="00BF1890">
        <w:t>,</w:t>
      </w:r>
      <w:r>
        <w:t xml:space="preserve"> and if informed consent is not immediately possible due to impaired capacity, then </w:t>
      </w:r>
      <w:r w:rsidR="00BE4A0B">
        <w:t>it is given</w:t>
      </w:r>
      <w:r>
        <w:t xml:space="preserve"> in the least restrictive (of dignity and cognition) way possible. </w:t>
      </w:r>
      <w:r w:rsidR="00BE4A0B">
        <w:t>Where m</w:t>
      </w:r>
      <w:r>
        <w:t xml:space="preserve">edication is prescribed </w:t>
      </w:r>
      <w:r w:rsidR="00BC7D65">
        <w:t>without informed consent, e</w:t>
      </w:r>
      <w:r>
        <w:t xml:space="preserve">fforts </w:t>
      </w:r>
      <w:r w:rsidR="00BC7D65">
        <w:t xml:space="preserve">should first be made </w:t>
      </w:r>
      <w:r>
        <w:t xml:space="preserve">to support the person to make informed decisions and </w:t>
      </w:r>
      <w:r w:rsidR="00BC7D65">
        <w:t xml:space="preserve">that </w:t>
      </w:r>
      <w:r>
        <w:t xml:space="preserve">their support </w:t>
      </w:r>
      <w:r w:rsidRPr="00C72270">
        <w:t>people</w:t>
      </w:r>
      <w:r w:rsidR="00710925">
        <w:t>’</w:t>
      </w:r>
      <w:r w:rsidRPr="00C72270">
        <w:t>s wishes have been taken into account</w:t>
      </w:r>
      <w:r>
        <w:t xml:space="preserve">. </w:t>
      </w:r>
    </w:p>
    <w:p w:rsidR="0019479E" w:rsidRDefault="0019479E" w:rsidP="000110F1">
      <w:r>
        <w:t>Where possible</w:t>
      </w:r>
      <w:r w:rsidR="00BE4A0B">
        <w:t>,</w:t>
      </w:r>
      <w:r>
        <w:t xml:space="preserve"> </w:t>
      </w:r>
      <w:r w:rsidR="00BC7D65">
        <w:t xml:space="preserve">make </w:t>
      </w:r>
      <w:r>
        <w:t xml:space="preserve">decisions </w:t>
      </w:r>
      <w:r w:rsidR="00467A6C">
        <w:t xml:space="preserve">for prescribing medication </w:t>
      </w:r>
      <w:r>
        <w:t>in consultation with members of a multi-disciplinary team as part of treatment planning.</w:t>
      </w:r>
    </w:p>
    <w:p w:rsidR="0019479E" w:rsidRDefault="00BC7D65">
      <w:r>
        <w:t>W</w:t>
      </w:r>
      <w:r w:rsidR="0019479E">
        <w:t>here a person under 18 is subject to a Compulsory Treatment Certificate</w:t>
      </w:r>
      <w:r w:rsidR="00467A6C">
        <w:t>,</w:t>
      </w:r>
      <w:r w:rsidR="0019479E">
        <w:t xml:space="preserve"> it is strongly recommended that specialist advice is sought from a </w:t>
      </w:r>
      <w:r>
        <w:t>c</w:t>
      </w:r>
      <w:r w:rsidR="0019479E">
        <w:t xml:space="preserve">hild and </w:t>
      </w:r>
      <w:r>
        <w:t>a</w:t>
      </w:r>
      <w:r w:rsidR="0019479E">
        <w:t xml:space="preserve">dolescent </w:t>
      </w:r>
      <w:r>
        <w:t>p</w:t>
      </w:r>
      <w:r w:rsidR="0019479E">
        <w:t xml:space="preserve">sychiatrist </w:t>
      </w:r>
      <w:r>
        <w:t>before</w:t>
      </w:r>
      <w:r w:rsidR="0019479E">
        <w:t xml:space="preserve"> medication</w:t>
      </w:r>
      <w:r>
        <w:t xml:space="preserve"> is prescribed</w:t>
      </w:r>
      <w:r w:rsidR="0019479E">
        <w:t xml:space="preserve">. </w:t>
      </w:r>
    </w:p>
    <w:p w:rsidR="0019479E" w:rsidRPr="00771A82" w:rsidRDefault="0019479E" w:rsidP="0019479E">
      <w:pPr>
        <w:pStyle w:val="Heading2"/>
        <w:rPr>
          <w:b w:val="0"/>
        </w:rPr>
      </w:pPr>
      <w:r w:rsidRPr="00771A82">
        <w:t>Treatment</w:t>
      </w:r>
    </w:p>
    <w:p w:rsidR="0019479E" w:rsidRDefault="0019479E" w:rsidP="002339A4">
      <w:r>
        <w:t>In the Act</w:t>
      </w:r>
      <w:r w:rsidR="00467A6C">
        <w:t>,</w:t>
      </w:r>
      <w:r>
        <w:t xml:space="preserve"> ‘treatment’ is defined as including:</w:t>
      </w:r>
      <w:r w:rsidRPr="00594671">
        <w:t xml:space="preserve"> </w:t>
      </w:r>
    </w:p>
    <w:p w:rsidR="0019479E" w:rsidRDefault="00467A6C" w:rsidP="00BF1890">
      <w:pPr>
        <w:ind w:left="567"/>
      </w:pPr>
      <w:r>
        <w:t>‘</w:t>
      </w:r>
      <w:proofErr w:type="gramStart"/>
      <w:r w:rsidR="0019479E" w:rsidRPr="00594671">
        <w:t>detoxification</w:t>
      </w:r>
      <w:proofErr w:type="gramEnd"/>
      <w:r w:rsidR="0019479E" w:rsidRPr="00594671">
        <w:t>, care, counselling, rehabilitation, and interventions to alleviate or prevent the worsening of the symptoms or manifestations of severe substance addictio</w:t>
      </w:r>
      <w:r w:rsidR="0019479E">
        <w:t>n</w:t>
      </w:r>
      <w:r>
        <w:t>’</w:t>
      </w:r>
      <w:r w:rsidR="0019479E">
        <w:rPr>
          <w:rStyle w:val="FootnoteReference"/>
          <w:sz w:val="24"/>
          <w:szCs w:val="24"/>
        </w:rPr>
        <w:footnoteReference w:id="4"/>
      </w:r>
      <w:r w:rsidR="0019479E">
        <w:t xml:space="preserve">. </w:t>
      </w:r>
    </w:p>
    <w:p w:rsidR="0019479E" w:rsidRDefault="00467A6C" w:rsidP="002339A4">
      <w:r>
        <w:lastRenderedPageBreak/>
        <w:t>Prescribing</w:t>
      </w:r>
      <w:r w:rsidR="0019479E">
        <w:t xml:space="preserve"> medication may be required to facilitate; ‘detoxification’ and ‘care’ and to ‘alleviate or prevent the worsening of symptoms’. </w:t>
      </w:r>
    </w:p>
    <w:p w:rsidR="0019479E" w:rsidRPr="00C852FD" w:rsidRDefault="0019479E" w:rsidP="0019479E">
      <w:pPr>
        <w:pStyle w:val="Heading2"/>
        <w:rPr>
          <w:b w:val="0"/>
        </w:rPr>
      </w:pPr>
      <w:r w:rsidRPr="00C852FD">
        <w:t>Withdrawal management</w:t>
      </w:r>
    </w:p>
    <w:p w:rsidR="0019479E" w:rsidRDefault="0019479E" w:rsidP="00BF1890">
      <w:pPr>
        <w:ind w:left="567" w:hanging="567"/>
      </w:pPr>
      <w:r>
        <w:t>One of the primary objectives of compulsory treatment is to:</w:t>
      </w:r>
    </w:p>
    <w:p w:rsidR="0019479E" w:rsidRDefault="00467A6C" w:rsidP="00BF1890">
      <w:pPr>
        <w:ind w:left="567"/>
      </w:pPr>
      <w:r>
        <w:t>‘</w:t>
      </w:r>
      <w:proofErr w:type="gramStart"/>
      <w:r w:rsidR="0019479E" w:rsidRPr="00CD5A6A">
        <w:t>facilitate</w:t>
      </w:r>
      <w:proofErr w:type="gramEnd"/>
      <w:r w:rsidR="0019479E" w:rsidRPr="00CD5A6A">
        <w:t xml:space="preserve"> the stabilisation of the patient through medical treatment, including medically managed withdrawal</w:t>
      </w:r>
      <w:r>
        <w:t>’</w:t>
      </w:r>
      <w:r w:rsidR="0019479E">
        <w:rPr>
          <w:rStyle w:val="FootnoteReference"/>
          <w:sz w:val="24"/>
          <w:szCs w:val="24"/>
        </w:rPr>
        <w:footnoteReference w:id="5"/>
      </w:r>
    </w:p>
    <w:p w:rsidR="0019479E" w:rsidRPr="000D2755" w:rsidRDefault="00467A6C" w:rsidP="000110F1">
      <w:r>
        <w:t>Provide d</w:t>
      </w:r>
      <w:r w:rsidR="0019479E">
        <w:t>etoxification or withdrawal management medications as described in the Substance Withdrawal Management Guidelines</w:t>
      </w:r>
      <w:r w:rsidR="0019479E">
        <w:rPr>
          <w:rStyle w:val="FootnoteReference"/>
          <w:sz w:val="24"/>
          <w:szCs w:val="24"/>
        </w:rPr>
        <w:footnoteReference w:id="6"/>
      </w:r>
      <w:r w:rsidR="0019479E">
        <w:t xml:space="preserve">, based on responses to objective withdrawal assessment tools, where available, and clinical judgement. As the majority of people who </w:t>
      </w:r>
      <w:r w:rsidR="005E7DF7">
        <w:t xml:space="preserve">are </w:t>
      </w:r>
      <w:r w:rsidR="0019479E">
        <w:t xml:space="preserve">subject to the Act are likely be in acute alcohol withdrawal, familiarity with page 19 of the guidelines is recommended. </w:t>
      </w:r>
    </w:p>
    <w:p w:rsidR="0019479E" w:rsidRDefault="0019479E">
      <w:r>
        <w:t>A</w:t>
      </w:r>
      <w:r w:rsidRPr="00304546">
        <w:t xml:space="preserve"> proportion of people will be in withdrawal from methamphetamine</w:t>
      </w:r>
      <w:r>
        <w:t xml:space="preserve"> and or other amphetamine type substances</w:t>
      </w:r>
      <w:r w:rsidRPr="00304546">
        <w:t xml:space="preserve">. </w:t>
      </w:r>
      <w:r>
        <w:t>While amphetamine type withdrawal symptoms are not life threatening</w:t>
      </w:r>
      <w:r w:rsidR="00467A6C">
        <w:t>,</w:t>
      </w:r>
      <w:r>
        <w:t xml:space="preserve"> they are very distressing. </w:t>
      </w:r>
      <w:r w:rsidRPr="00304546">
        <w:t>Medications can help to manage severe agitation, irritability and anxiety</w:t>
      </w:r>
      <w:r>
        <w:t>.</w:t>
      </w:r>
      <w:r w:rsidRPr="00304546">
        <w:t xml:space="preserve"> </w:t>
      </w:r>
    </w:p>
    <w:p w:rsidR="0019479E" w:rsidRDefault="0019479E">
      <w:r>
        <w:t xml:space="preserve">Other substances that a person may be addicted to include GHB, benzodiazepines, inhalants, novel psychoactive substances, primarily synthetic cannabinoids, and opioids. </w:t>
      </w:r>
    </w:p>
    <w:p w:rsidR="0019479E" w:rsidRDefault="0019479E">
      <w:r>
        <w:t xml:space="preserve">Medication for GHB and benzodiazepine withdrawal management is generally the same as for alcohol withdrawal as the risks are similar. </w:t>
      </w:r>
    </w:p>
    <w:p w:rsidR="0019479E" w:rsidRDefault="0019479E">
      <w:r>
        <w:t>Novel psychoactive withdrawal management is an evolving area of knowledge</w:t>
      </w:r>
      <w:r w:rsidR="00BF1890">
        <w:t>,</w:t>
      </w:r>
      <w:r>
        <w:t xml:space="preserve"> and what medications </w:t>
      </w:r>
      <w:r w:rsidR="00467A6C">
        <w:t>to use</w:t>
      </w:r>
      <w:r>
        <w:t xml:space="preserve"> very much depends on the presentation and apparent symptoms of the person and what category of substance they have possibly been using. </w:t>
      </w:r>
    </w:p>
    <w:p w:rsidR="0019479E" w:rsidRDefault="0019479E">
      <w:pPr>
        <w:rPr>
          <w:b/>
        </w:rPr>
      </w:pPr>
      <w:r w:rsidRPr="002F7F92">
        <w:rPr>
          <w:b/>
        </w:rPr>
        <w:t xml:space="preserve">Be aware that what people think they have been using may not be accurate and conservative symptom management is recommended to reduce the risk of potentially lethal interactions and or serotonin syndrome. </w:t>
      </w:r>
    </w:p>
    <w:p w:rsidR="0019479E" w:rsidRDefault="0019479E">
      <w:r>
        <w:t>While the Act is rarely likely to be applicable to someone with solely an opioid use disorder</w:t>
      </w:r>
      <w:r w:rsidR="006D3A05">
        <w:t>,</w:t>
      </w:r>
      <w:r>
        <w:t xml:space="preserve"> some people may present with coexisting opioid use disorders. Opioid withdrawal management is usually best managed through opioid substitution, using either buprenorphine or methadone. </w:t>
      </w:r>
    </w:p>
    <w:p w:rsidR="0019479E" w:rsidRPr="00B47E54" w:rsidRDefault="0019479E">
      <w:r>
        <w:t>As the Act only applies to people with severe substance addiction it is likely that many will be subject to protracted withdrawal symptoms. Primary among these are likely to be sleep disturbances, anxiety, low mood, agitation and cravings. Long</w:t>
      </w:r>
      <w:r w:rsidR="002534DA">
        <w:t>-</w:t>
      </w:r>
      <w:r>
        <w:t xml:space="preserve">term prescribing of benzodiazepines or </w:t>
      </w:r>
      <w:proofErr w:type="spellStart"/>
      <w:r>
        <w:t>zopiclone</w:t>
      </w:r>
      <w:proofErr w:type="spellEnd"/>
      <w:r>
        <w:t xml:space="preserve"> to manage sleep disturbances is contraindicated. </w:t>
      </w:r>
      <w:r w:rsidR="002534DA">
        <w:t>Explore a</w:t>
      </w:r>
      <w:r>
        <w:t xml:space="preserve">lternative strategies and or medications including low dose </w:t>
      </w:r>
      <w:proofErr w:type="spellStart"/>
      <w:r>
        <w:t>quetiapine</w:t>
      </w:r>
      <w:proofErr w:type="spellEnd"/>
      <w:r>
        <w:t xml:space="preserve">, melatonin and or tricyclic antidepressants. Medical management of other symptoms are discussed below as part of general management of physical and mental health needs and of addiction specific treatment. </w:t>
      </w:r>
    </w:p>
    <w:p w:rsidR="0019479E" w:rsidRPr="00C852FD" w:rsidRDefault="0019479E" w:rsidP="0019479E">
      <w:pPr>
        <w:pStyle w:val="Heading2"/>
        <w:rPr>
          <w:b w:val="0"/>
        </w:rPr>
      </w:pPr>
      <w:r w:rsidRPr="00C852FD">
        <w:t xml:space="preserve">Physical and mental health treatment </w:t>
      </w:r>
    </w:p>
    <w:p w:rsidR="0019479E" w:rsidRDefault="0019479E" w:rsidP="002339A4">
      <w:r>
        <w:t>The Act states that every ‘patient’ is entitled to:</w:t>
      </w:r>
    </w:p>
    <w:p w:rsidR="0019479E" w:rsidRPr="00A42522" w:rsidRDefault="002534DA" w:rsidP="00BF1890">
      <w:pPr>
        <w:ind w:left="567"/>
      </w:pPr>
      <w:r>
        <w:t>‘</w:t>
      </w:r>
      <w:r w:rsidR="0019479E">
        <w:t xml:space="preserve">(a) </w:t>
      </w:r>
      <w:r w:rsidR="0019479E" w:rsidRPr="00A42522">
        <w:t>medical treatment and other health care appropriate to his or her condition; and</w:t>
      </w:r>
    </w:p>
    <w:p w:rsidR="0019479E" w:rsidRDefault="0019479E" w:rsidP="00BF1890">
      <w:pPr>
        <w:ind w:left="567"/>
      </w:pPr>
      <w:r w:rsidRPr="00A42522">
        <w:lastRenderedPageBreak/>
        <w:t>(b)</w:t>
      </w:r>
      <w:r>
        <w:t xml:space="preserve"> </w:t>
      </w:r>
      <w:proofErr w:type="gramStart"/>
      <w:r w:rsidRPr="00A42522">
        <w:t>the</w:t>
      </w:r>
      <w:proofErr w:type="gramEnd"/>
      <w:r w:rsidRPr="00A42522">
        <w:t xml:space="preserve"> general treatment and care that the patient would be entitled to receive if he or</w:t>
      </w:r>
      <w:r>
        <w:t xml:space="preserve"> </w:t>
      </w:r>
      <w:r w:rsidRPr="00A42522">
        <w:t>she were not subject to compulsory status</w:t>
      </w:r>
      <w:r w:rsidR="002534DA">
        <w:t>’</w:t>
      </w:r>
      <w:r w:rsidRPr="00A42522">
        <w:t>.</w:t>
      </w:r>
      <w:r>
        <w:rPr>
          <w:rStyle w:val="FootnoteReference"/>
          <w:sz w:val="24"/>
          <w:szCs w:val="24"/>
        </w:rPr>
        <w:footnoteReference w:id="7"/>
      </w:r>
      <w:r>
        <w:t xml:space="preserve"> </w:t>
      </w:r>
    </w:p>
    <w:p w:rsidR="0019479E" w:rsidRDefault="0019479E" w:rsidP="002339A4">
      <w:r>
        <w:t xml:space="preserve">This places the onus on responsible clinicians and treatment centres to ensure that </w:t>
      </w:r>
      <w:r w:rsidR="006D3A05">
        <w:t>a person has</w:t>
      </w:r>
      <w:r>
        <w:t xml:space="preserve"> their general health care</w:t>
      </w:r>
      <w:r w:rsidR="002534DA">
        <w:t xml:space="preserve"> met, whether </w:t>
      </w:r>
      <w:r w:rsidR="002534DA" w:rsidRPr="00BF1890">
        <w:t>related to their substance addiction</w:t>
      </w:r>
      <w:r w:rsidR="002534DA">
        <w:t xml:space="preserve"> or not</w:t>
      </w:r>
      <w:r>
        <w:t xml:space="preserve">. It is probable that </w:t>
      </w:r>
      <w:r w:rsidR="002534DA">
        <w:t>they will</w:t>
      </w:r>
      <w:r>
        <w:t xml:space="preserve"> have a range of unmet, undiagnosed and or poorly treated health conditions. </w:t>
      </w:r>
    </w:p>
    <w:p w:rsidR="0019479E" w:rsidRDefault="0019479E" w:rsidP="000110F1">
      <w:r>
        <w:t xml:space="preserve">For many people ‘stabilisation’ and withdrawal management </w:t>
      </w:r>
      <w:r w:rsidR="005E7DF7">
        <w:t>pro</w:t>
      </w:r>
      <w:r w:rsidR="002339A4">
        <w:t>vides</w:t>
      </w:r>
      <w:r>
        <w:t xml:space="preserve"> a unique opportunity for a full medical assessment that is not dominated by either intoxication and or withdrawal symptoms. While the assessment </w:t>
      </w:r>
      <w:r w:rsidR="002339A4">
        <w:t>begins</w:t>
      </w:r>
      <w:r>
        <w:t xml:space="preserve"> in the acute phase of withdrawal management</w:t>
      </w:r>
      <w:r w:rsidR="002534DA">
        <w:t>,</w:t>
      </w:r>
      <w:r>
        <w:t xml:space="preserve"> it will need to continue </w:t>
      </w:r>
      <w:r w:rsidR="005E7DF7">
        <w:t>while</w:t>
      </w:r>
      <w:r>
        <w:t xml:space="preserve"> the person is subject to compulsory status. This includes review</w:t>
      </w:r>
      <w:r w:rsidR="002534DA">
        <w:t xml:space="preserve">ing </w:t>
      </w:r>
      <w:r>
        <w:t>the need</w:t>
      </w:r>
      <w:r w:rsidR="002339A4">
        <w:t xml:space="preserve"> for</w:t>
      </w:r>
      <w:r>
        <w:t xml:space="preserve"> and or impact of </w:t>
      </w:r>
      <w:r w:rsidR="005E7DF7">
        <w:t xml:space="preserve">any </w:t>
      </w:r>
      <w:r>
        <w:t xml:space="preserve">medication that the person </w:t>
      </w:r>
      <w:r w:rsidR="002534DA">
        <w:t>ha</w:t>
      </w:r>
      <w:r w:rsidR="002339A4">
        <w:t>s</w:t>
      </w:r>
      <w:r w:rsidR="002534DA">
        <w:t xml:space="preserve"> </w:t>
      </w:r>
      <w:r>
        <w:t>previously been prescribed</w:t>
      </w:r>
      <w:r w:rsidR="002534DA">
        <w:t>.</w:t>
      </w:r>
      <w:r>
        <w:t xml:space="preserve"> </w:t>
      </w:r>
    </w:p>
    <w:p w:rsidR="0019479E" w:rsidRDefault="002339A4">
      <w:r>
        <w:t xml:space="preserve">It </w:t>
      </w:r>
      <w:r w:rsidR="005E7DF7">
        <w:t xml:space="preserve">must be assumed </w:t>
      </w:r>
      <w:r w:rsidR="0019479E">
        <w:t xml:space="preserve">that a person </w:t>
      </w:r>
      <w:r w:rsidR="005E7DF7">
        <w:t>can</w:t>
      </w:r>
      <w:r w:rsidR="0019479E">
        <w:t xml:space="preserve"> </w:t>
      </w:r>
      <w:r w:rsidR="006D3A05">
        <w:t xml:space="preserve">make </w:t>
      </w:r>
      <w:r w:rsidR="0019479E">
        <w:t>informed decisions about other aspects of their lives and decisions about accepting or refusing treatment for other issues</w:t>
      </w:r>
      <w:r w:rsidR="002534DA">
        <w:t>.</w:t>
      </w:r>
      <w:r w:rsidR="0019479E">
        <w:t xml:space="preserve"> </w:t>
      </w:r>
      <w:r w:rsidR="005E7DF7">
        <w:t xml:space="preserve">It must be clearly documented where </w:t>
      </w:r>
      <w:r w:rsidR="0019479E">
        <w:t>people clearly lack capacity to make decisions about medical treatment and</w:t>
      </w:r>
      <w:r w:rsidR="005E7DF7">
        <w:t>,</w:t>
      </w:r>
      <w:r w:rsidR="0019479E">
        <w:t xml:space="preserve"> if treatment is provided</w:t>
      </w:r>
      <w:r w:rsidR="005E7DF7">
        <w:t>,</w:t>
      </w:r>
      <w:r w:rsidR="0019479E">
        <w:t xml:space="preserve"> this must be justified</w:t>
      </w:r>
      <w:r w:rsidR="0019479E">
        <w:rPr>
          <w:rStyle w:val="FootnoteReference"/>
          <w:sz w:val="24"/>
          <w:szCs w:val="24"/>
        </w:rPr>
        <w:footnoteReference w:id="8"/>
      </w:r>
      <w:r w:rsidR="0019479E">
        <w:t xml:space="preserve">. </w:t>
      </w:r>
      <w:r w:rsidR="005E7DF7">
        <w:t xml:space="preserve">Treatment </w:t>
      </w:r>
      <w:r w:rsidR="0019479E">
        <w:t>must be carried out in the least restrictive and safest way possible</w:t>
      </w:r>
      <w:r w:rsidR="0019479E">
        <w:rPr>
          <w:rStyle w:val="FootnoteReference"/>
          <w:sz w:val="24"/>
          <w:szCs w:val="24"/>
        </w:rPr>
        <w:footnoteReference w:id="9"/>
      </w:r>
      <w:r w:rsidR="0019479E">
        <w:t xml:space="preserve">. </w:t>
      </w:r>
    </w:p>
    <w:p w:rsidR="0019479E" w:rsidRPr="00C852FD" w:rsidRDefault="0019479E" w:rsidP="0019479E">
      <w:pPr>
        <w:pStyle w:val="Heading2"/>
        <w:rPr>
          <w:b w:val="0"/>
        </w:rPr>
      </w:pPr>
      <w:r w:rsidRPr="00C852FD">
        <w:t>Addiction treatment</w:t>
      </w:r>
    </w:p>
    <w:p w:rsidR="0019479E" w:rsidRDefault="0019479E" w:rsidP="000110F1">
      <w:r>
        <w:t xml:space="preserve">The responsible clinician appointed to develop a treatment plan is authorised to: </w:t>
      </w:r>
    </w:p>
    <w:p w:rsidR="0019479E" w:rsidRDefault="005E7DF7" w:rsidP="00BF1890">
      <w:pPr>
        <w:ind w:left="567"/>
      </w:pPr>
      <w:r>
        <w:t>‘</w:t>
      </w:r>
      <w:r w:rsidR="0019479E">
        <w:t>…</w:t>
      </w:r>
      <w:r w:rsidR="0019479E" w:rsidRPr="00CD5A6A">
        <w:t>the giving of, any treatment (including any medication) that the responsible clinician thinks fit for the treatment of the patient’s severe substance addiction</w:t>
      </w:r>
      <w:r>
        <w:t>’</w:t>
      </w:r>
      <w:r w:rsidR="0019479E">
        <w:t xml:space="preserve"> (if they are normally authorised to prescribe that treatment)</w:t>
      </w:r>
      <w:r w:rsidR="0019479E" w:rsidRPr="00CD5A6A">
        <w:t>.</w:t>
      </w:r>
      <w:r w:rsidR="0019479E">
        <w:rPr>
          <w:rStyle w:val="FootnoteReference"/>
          <w:sz w:val="24"/>
          <w:szCs w:val="24"/>
        </w:rPr>
        <w:footnoteReference w:id="10"/>
      </w:r>
      <w:r w:rsidR="0019479E">
        <w:t xml:space="preserve"> </w:t>
      </w:r>
    </w:p>
    <w:p w:rsidR="0019479E" w:rsidRDefault="0019479E" w:rsidP="000110F1">
      <w:r>
        <w:t xml:space="preserve">The Act further states that due regard must be given to possible effects of medication and the responsible clinician must authorise/give the </w:t>
      </w:r>
      <w:r w:rsidR="005E7DF7">
        <w:t>‘</w:t>
      </w:r>
      <w:r>
        <w:t>minimum medication, consistent with proper care</w:t>
      </w:r>
      <w:r w:rsidR="005E7DF7">
        <w:t>’</w:t>
      </w:r>
      <w:r>
        <w:t xml:space="preserve"> so that the person </w:t>
      </w:r>
      <w:r w:rsidR="005E7DF7">
        <w:t>can</w:t>
      </w:r>
      <w:r>
        <w:t xml:space="preserve"> communicate with any other person representing them. </w:t>
      </w:r>
      <w:r>
        <w:rPr>
          <w:rStyle w:val="FootnoteReference"/>
          <w:sz w:val="24"/>
          <w:szCs w:val="24"/>
        </w:rPr>
        <w:footnoteReference w:id="11"/>
      </w:r>
    </w:p>
    <w:p w:rsidR="0019479E" w:rsidRDefault="0019479E" w:rsidP="000110F1">
      <w:r>
        <w:t>Taken together</w:t>
      </w:r>
      <w:r w:rsidR="00011D2E">
        <w:t>,</w:t>
      </w:r>
      <w:r>
        <w:t xml:space="preserve"> the parts of section 37 of the Act indicate any medication provided must not impair the person</w:t>
      </w:r>
      <w:r w:rsidR="00011D2E">
        <w:t>’</w:t>
      </w:r>
      <w:r>
        <w:t xml:space="preserve">s ability to communicate and potentially regain capacity. Unless therapeutically indicated, such as briefly managing intense anxiety, keeping someone medicated, </w:t>
      </w:r>
      <w:r w:rsidR="00011D2E">
        <w:t xml:space="preserve">for example, </w:t>
      </w:r>
      <w:r>
        <w:t>on high</w:t>
      </w:r>
      <w:r w:rsidR="00011D2E">
        <w:t>-</w:t>
      </w:r>
      <w:r>
        <w:t>dose benzodiazepines or antipsychotic medication, to manage their behaviour post-acute withdrawal would be considered extreme and unacceptable practice</w:t>
      </w:r>
      <w:r>
        <w:rPr>
          <w:rStyle w:val="FootnoteReference"/>
          <w:sz w:val="24"/>
          <w:szCs w:val="24"/>
        </w:rPr>
        <w:footnoteReference w:id="12"/>
      </w:r>
      <w:r>
        <w:t>. As well as being a breach of the person’s rights</w:t>
      </w:r>
      <w:r w:rsidR="00011D2E">
        <w:t>,</w:t>
      </w:r>
      <w:r>
        <w:t xml:space="preserve"> excessive use of medications is counterproductive to one of the primary goals of compulsory treatment</w:t>
      </w:r>
      <w:r w:rsidR="00011D2E">
        <w:t>. That is,</w:t>
      </w:r>
      <w:r>
        <w:t xml:space="preserve"> to restore the person’s capacity to make decisions about addiction treatment. </w:t>
      </w:r>
    </w:p>
    <w:p w:rsidR="00011D2E" w:rsidRDefault="0019479E" w:rsidP="000110F1">
      <w:r w:rsidRPr="00BF1890">
        <w:t>Medications that have an evidence base for ongoing addiction treatment may be considered as appropriate to prescribe over the course of treatment under the Act. These include naltrexone to help manage ‘cravings’ for alcohol, and nutritional supplements such as thiamine, magnesium and zinc, to address some of the physical risks associated with long</w:t>
      </w:r>
      <w:r w:rsidR="00011D2E">
        <w:t>-</w:t>
      </w:r>
      <w:r w:rsidRPr="00BF1890">
        <w:t xml:space="preserve">term heavy alcohol use. </w:t>
      </w:r>
    </w:p>
    <w:p w:rsidR="0019479E" w:rsidRDefault="0019479E" w:rsidP="000110F1">
      <w:proofErr w:type="spellStart"/>
      <w:r w:rsidRPr="00BF1890">
        <w:t>Disulfiram</w:t>
      </w:r>
      <w:proofErr w:type="spellEnd"/>
      <w:r w:rsidRPr="00BF1890">
        <w:t xml:space="preserve"> should not be prescribed without the person’s permission and informed consent. As the expectation is that the person will be detained in a treatment centre without access to alcohol</w:t>
      </w:r>
      <w:r w:rsidR="00011D2E">
        <w:t>, using</w:t>
      </w:r>
      <w:r w:rsidRPr="00BF1890">
        <w:t xml:space="preserve"> an aversive medication is inappropriate</w:t>
      </w:r>
      <w:r w:rsidR="00011D2E">
        <w:t>.</w:t>
      </w:r>
      <w:r w:rsidRPr="00BF1890">
        <w:t xml:space="preserve"> </w:t>
      </w:r>
      <w:proofErr w:type="spellStart"/>
      <w:r w:rsidRPr="00BF1890">
        <w:t>Disulfiram</w:t>
      </w:r>
      <w:proofErr w:type="spellEnd"/>
      <w:r w:rsidRPr="00BF1890">
        <w:t xml:space="preserve"> could be appropriate to prescribe to manage possible</w:t>
      </w:r>
      <w:r>
        <w:t xml:space="preserve"> </w:t>
      </w:r>
      <w:r w:rsidRPr="00BF1890">
        <w:t>alcohol use if on leave from the treatment centre. However, as the interaction</w:t>
      </w:r>
      <w:r>
        <w:t xml:space="preserve"> between alcohol and </w:t>
      </w:r>
      <w:proofErr w:type="spellStart"/>
      <w:r>
        <w:t>disulfiram</w:t>
      </w:r>
      <w:proofErr w:type="spellEnd"/>
      <w:r>
        <w:t xml:space="preserve"> can be so extreme, this would need to be with the fully informed consent of the person.</w:t>
      </w:r>
    </w:p>
    <w:p w:rsidR="0019479E" w:rsidRDefault="0019479E">
      <w:r>
        <w:t xml:space="preserve">The evidence base for other potential addiction treatment medications, apart from the opioid substitution medications, methadone and buprenorphine, is limited. Due to the risk of iatrogenic addiction to opioid substitution medications, prescribing either of these, apart from as opioid withdrawal management medications, without fully informed consent </w:t>
      </w:r>
      <w:r w:rsidR="00011D2E">
        <w:t>is</w:t>
      </w:r>
      <w:r>
        <w:t xml:space="preserve"> inadvisable. The use of naltrexone as an opioid antagonist while on leave from a treatment centre without fully informed consent </w:t>
      </w:r>
      <w:r w:rsidR="00011D2E">
        <w:t>is also</w:t>
      </w:r>
      <w:r>
        <w:t xml:space="preserve"> inappropriate.</w:t>
      </w:r>
    </w:p>
    <w:p w:rsidR="000110F1" w:rsidRDefault="00011D2E">
      <w:r>
        <w:t>Make s</w:t>
      </w:r>
      <w:r w:rsidR="0019479E">
        <w:t>moking cessation therapies available to all tobacco and e-cigarette smokers from the signing of the Compulsory Treatment Certificate to the person</w:t>
      </w:r>
      <w:r>
        <w:t>’</w:t>
      </w:r>
      <w:r w:rsidR="0019479E">
        <w:t>s discharge, and beyond</w:t>
      </w:r>
      <w:r>
        <w:t>.</w:t>
      </w:r>
      <w:r w:rsidR="0019479E">
        <w:t xml:space="preserve"> </w:t>
      </w:r>
      <w:r>
        <w:t>Get t</w:t>
      </w:r>
      <w:r w:rsidR="0019479E">
        <w:t>he person</w:t>
      </w:r>
      <w:r>
        <w:t>’</w:t>
      </w:r>
      <w:r w:rsidR="0019479E">
        <w:t xml:space="preserve">s preferences in type or form of therapy, including </w:t>
      </w:r>
      <w:r>
        <w:t>n</w:t>
      </w:r>
      <w:r w:rsidR="0019479E">
        <w:t xml:space="preserve">icotine </w:t>
      </w:r>
      <w:r>
        <w:t>r</w:t>
      </w:r>
      <w:r w:rsidR="0019479E">
        <w:t xml:space="preserve">eplacement </w:t>
      </w:r>
      <w:r>
        <w:t>t</w:t>
      </w:r>
      <w:r w:rsidR="0019479E">
        <w:t>herapy where possible</w:t>
      </w:r>
      <w:r>
        <w:t>.</w:t>
      </w:r>
      <w:r w:rsidR="0019479E">
        <w:t xml:space="preserve"> </w:t>
      </w:r>
      <w:r>
        <w:t xml:space="preserve">They </w:t>
      </w:r>
      <w:r w:rsidR="0019479E">
        <w:t xml:space="preserve">have the right to decline treatment. </w:t>
      </w:r>
      <w:r>
        <w:t>Prescribe s</w:t>
      </w:r>
      <w:r w:rsidR="0019479E">
        <w:t>ymptomatic relief if people choose to abstain from tobacco and have nicotine withdrawal symptoms while subject to the Act.</w:t>
      </w:r>
    </w:p>
    <w:p w:rsidR="000110F1" w:rsidRDefault="000110F1" w:rsidP="000110F1">
      <w:pPr>
        <w:jc w:val="center"/>
      </w:pPr>
      <w:r>
        <w:rPr>
          <w:noProof/>
          <w:lang w:eastAsia="en-NZ"/>
        </w:rPr>
        <w:drawing>
          <wp:inline distT="0" distB="0" distL="0" distR="0" wp14:anchorId="308D3BE2" wp14:editId="353F0ED1">
            <wp:extent cx="1666800" cy="82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bwlogo.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666800" cy="828000"/>
                    </a:xfrm>
                    <a:prstGeom prst="rect">
                      <a:avLst/>
                    </a:prstGeom>
                  </pic:spPr>
                </pic:pic>
              </a:graphicData>
            </a:graphic>
          </wp:inline>
        </w:drawing>
      </w:r>
    </w:p>
    <w:p w:rsidR="000110F1" w:rsidRDefault="000110F1" w:rsidP="000110F1">
      <w:pPr>
        <w:spacing w:before="60"/>
        <w:jc w:val="center"/>
      </w:pPr>
      <w:r>
        <w:t>HP6797</w:t>
      </w:r>
    </w:p>
    <w:p w:rsidR="000110F1" w:rsidRPr="00B553B5" w:rsidRDefault="00D26941" w:rsidP="000110F1">
      <w:pPr>
        <w:spacing w:before="60"/>
        <w:jc w:val="center"/>
      </w:pPr>
      <w:r>
        <w:t xml:space="preserve">June </w:t>
      </w:r>
      <w:r w:rsidR="000110F1">
        <w:t>2018</w:t>
      </w:r>
    </w:p>
    <w:p w:rsidR="0019479E" w:rsidRPr="007A4610" w:rsidRDefault="0019479E" w:rsidP="000110F1">
      <w:pPr>
        <w:rPr>
          <w:b/>
        </w:rPr>
      </w:pPr>
      <w:r>
        <w:t xml:space="preserve"> </w:t>
      </w:r>
    </w:p>
    <w:sectPr w:rsidR="0019479E" w:rsidRPr="007A4610" w:rsidSect="00BD5945">
      <w:headerReference w:type="default" r:id="rId9"/>
      <w:footerReference w:type="default" r:id="rId10"/>
      <w:headerReference w:type="first" r:id="rId11"/>
      <w:footerReference w:type="first" r:id="rId12"/>
      <w:pgSz w:w="11907" w:h="16834" w:code="9"/>
      <w:pgMar w:top="720" w:right="720" w:bottom="720" w:left="720" w:header="284"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30E" w:rsidRDefault="00B6330E">
      <w:pPr>
        <w:spacing w:line="240" w:lineRule="auto"/>
      </w:pPr>
      <w:r>
        <w:separator/>
      </w:r>
    </w:p>
  </w:endnote>
  <w:endnote w:type="continuationSeparator" w:id="0">
    <w:p w:rsidR="00B6330E" w:rsidRDefault="00B6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empos Text Regular">
    <w:altName w:val="Tiempos Text 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0E" w:rsidRDefault="00B6330E" w:rsidP="00D1193B">
    <w:pPr>
      <w:pStyle w:val="RectoFooter"/>
    </w:pPr>
    <w:r>
      <w:tab/>
      <w:t>SACAT Prescribing Guidelines</w:t>
    </w:r>
    <w:r>
      <w:tab/>
    </w:r>
    <w:r>
      <w:rPr>
        <w:rStyle w:val="PageNumber"/>
      </w:rPr>
      <w:fldChar w:fldCharType="begin"/>
    </w:r>
    <w:r>
      <w:rPr>
        <w:rStyle w:val="PageNumber"/>
      </w:rPr>
      <w:instrText xml:space="preserve"> PAGE </w:instrText>
    </w:r>
    <w:r>
      <w:rPr>
        <w:rStyle w:val="PageNumber"/>
      </w:rPr>
      <w:fldChar w:fldCharType="separate"/>
    </w:r>
    <w:r w:rsidR="00146F06">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0E" w:rsidRDefault="00B6330E" w:rsidP="00D1193B">
    <w:pPr>
      <w:pStyle w:val="RectoFooter"/>
    </w:pPr>
    <w:r>
      <w:tab/>
      <w:t>SACAT Prescribing Guidelines</w:t>
    </w:r>
    <w:r>
      <w:tab/>
    </w:r>
    <w:r>
      <w:rPr>
        <w:rStyle w:val="PageNumber"/>
      </w:rPr>
      <w:fldChar w:fldCharType="begin"/>
    </w:r>
    <w:r>
      <w:rPr>
        <w:rStyle w:val="PageNumber"/>
      </w:rPr>
      <w:instrText xml:space="preserve"> PAGE </w:instrText>
    </w:r>
    <w:r>
      <w:rPr>
        <w:rStyle w:val="PageNumber"/>
      </w:rPr>
      <w:fldChar w:fldCharType="separate"/>
    </w:r>
    <w:r w:rsidR="00146F0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30E" w:rsidRPr="00E460B6" w:rsidRDefault="00B6330E" w:rsidP="00E460B6">
      <w:pPr>
        <w:pBdr>
          <w:top w:val="single" w:sz="4" w:space="1" w:color="auto"/>
        </w:pBdr>
        <w:spacing w:line="240" w:lineRule="auto"/>
        <w:ind w:right="4820"/>
        <w:rPr>
          <w:color w:val="D9D9D9"/>
          <w:sz w:val="6"/>
          <w:szCs w:val="6"/>
        </w:rPr>
      </w:pPr>
    </w:p>
  </w:footnote>
  <w:footnote w:type="continuationSeparator" w:id="0">
    <w:p w:rsidR="00B6330E" w:rsidRDefault="00B6330E">
      <w:pPr>
        <w:spacing w:line="240" w:lineRule="auto"/>
      </w:pPr>
      <w:r>
        <w:continuationSeparator/>
      </w:r>
    </w:p>
  </w:footnote>
  <w:footnote w:id="1">
    <w:p w:rsidR="00B6330E" w:rsidRDefault="00B6330E">
      <w:pPr>
        <w:pStyle w:val="FootnoteText"/>
      </w:pPr>
      <w:r>
        <w:rPr>
          <w:rStyle w:val="FootnoteReference"/>
        </w:rPr>
        <w:footnoteRef/>
      </w:r>
      <w:r>
        <w:t xml:space="preserve"> SA(CAT) Act 2017 s116(2)</w:t>
      </w:r>
    </w:p>
  </w:footnote>
  <w:footnote w:id="2">
    <w:p w:rsidR="00B6330E" w:rsidRDefault="00B6330E" w:rsidP="0019479E">
      <w:pPr>
        <w:pStyle w:val="FootnoteText"/>
      </w:pPr>
      <w:r>
        <w:rPr>
          <w:rStyle w:val="FootnoteReference"/>
        </w:rPr>
        <w:footnoteRef/>
      </w:r>
      <w:r>
        <w:t xml:space="preserve"> SA(CAT) Act 2017 s3</w:t>
      </w:r>
    </w:p>
  </w:footnote>
  <w:footnote w:id="3">
    <w:p w:rsidR="00B6330E" w:rsidRDefault="00B6330E" w:rsidP="0019479E">
      <w:pPr>
        <w:pStyle w:val="FootnoteText"/>
      </w:pPr>
      <w:r>
        <w:rPr>
          <w:rStyle w:val="FootnoteReference"/>
        </w:rPr>
        <w:footnoteRef/>
      </w:r>
      <w:r>
        <w:t xml:space="preserve"> SA(CAT) Act 2017 s11</w:t>
      </w:r>
    </w:p>
  </w:footnote>
  <w:footnote w:id="4">
    <w:p w:rsidR="00B6330E" w:rsidRDefault="00B6330E" w:rsidP="0019479E">
      <w:pPr>
        <w:pStyle w:val="FootnoteText"/>
      </w:pPr>
      <w:r>
        <w:rPr>
          <w:rStyle w:val="FootnoteReference"/>
        </w:rPr>
        <w:footnoteRef/>
      </w:r>
      <w:r>
        <w:t xml:space="preserve"> SA(CAT) Act 2017 s4</w:t>
      </w:r>
    </w:p>
  </w:footnote>
  <w:footnote w:id="5">
    <w:p w:rsidR="00B6330E" w:rsidRDefault="00B6330E" w:rsidP="0019479E">
      <w:pPr>
        <w:pStyle w:val="FootnoteText"/>
      </w:pPr>
      <w:r>
        <w:rPr>
          <w:rStyle w:val="FootnoteReference"/>
        </w:rPr>
        <w:footnoteRef/>
      </w:r>
      <w:r>
        <w:t xml:space="preserve"> SA(CAT) Act 2017 s35(a)</w:t>
      </w:r>
    </w:p>
  </w:footnote>
  <w:footnote w:id="6">
    <w:p w:rsidR="00B6330E" w:rsidRDefault="00B6330E" w:rsidP="0019479E">
      <w:pPr>
        <w:pStyle w:val="FootnoteText"/>
      </w:pPr>
      <w:r>
        <w:rPr>
          <w:rStyle w:val="FootnoteReference"/>
        </w:rPr>
        <w:footnoteRef/>
      </w:r>
      <w:r>
        <w:t xml:space="preserve"> </w:t>
      </w:r>
      <w:r w:rsidRPr="00A13B2F">
        <w:t>Substance Withdrawal Management: Guidelines for Medical and Nursing Practitioners in Primary Health, Specialist Addiction, Custodial and General Hospital Settings</w:t>
      </w:r>
      <w:r>
        <w:t xml:space="preserve">, </w:t>
      </w:r>
      <w:proofErr w:type="spellStart"/>
      <w:r>
        <w:t>Matua</w:t>
      </w:r>
      <w:proofErr w:type="spellEnd"/>
      <w:r>
        <w:t xml:space="preserve"> </w:t>
      </w:r>
      <w:proofErr w:type="spellStart"/>
      <w:r>
        <w:t>Ra</w:t>
      </w:r>
      <w:r w:rsidRPr="00A13B2F">
        <w:rPr>
          <w:u w:val="single"/>
        </w:rPr>
        <w:t>k</w:t>
      </w:r>
      <w:r>
        <w:t>i</w:t>
      </w:r>
      <w:proofErr w:type="spellEnd"/>
      <w:r>
        <w:t>, 2015</w:t>
      </w:r>
    </w:p>
  </w:footnote>
  <w:footnote w:id="7">
    <w:p w:rsidR="00B6330E" w:rsidRDefault="00B6330E" w:rsidP="0019479E">
      <w:pPr>
        <w:pStyle w:val="FootnoteText"/>
      </w:pPr>
      <w:r>
        <w:rPr>
          <w:rStyle w:val="FootnoteReference"/>
        </w:rPr>
        <w:footnoteRef/>
      </w:r>
      <w:r>
        <w:t xml:space="preserve"> SA(CAT) Act 2017 s53</w:t>
      </w:r>
    </w:p>
  </w:footnote>
  <w:footnote w:id="8">
    <w:p w:rsidR="00B6330E" w:rsidRDefault="00B6330E" w:rsidP="0019479E">
      <w:pPr>
        <w:pStyle w:val="FootnoteText"/>
      </w:pPr>
      <w:r>
        <w:rPr>
          <w:rStyle w:val="FootnoteReference"/>
        </w:rPr>
        <w:footnoteRef/>
      </w:r>
      <w:r>
        <w:t xml:space="preserve"> HDCA Act 1994, Code of Rights, Right 7(4)</w:t>
      </w:r>
    </w:p>
  </w:footnote>
  <w:footnote w:id="9">
    <w:p w:rsidR="00B6330E" w:rsidRDefault="00B6330E" w:rsidP="0019479E">
      <w:pPr>
        <w:pStyle w:val="FootnoteText"/>
      </w:pPr>
      <w:r>
        <w:rPr>
          <w:rStyle w:val="FootnoteReference"/>
        </w:rPr>
        <w:footnoteRef/>
      </w:r>
      <w:r>
        <w:t xml:space="preserve"> SA(CAT) Act 2017 s12</w:t>
      </w:r>
    </w:p>
  </w:footnote>
  <w:footnote w:id="10">
    <w:p w:rsidR="00B6330E" w:rsidRDefault="00B6330E" w:rsidP="0019479E">
      <w:pPr>
        <w:pStyle w:val="FootnoteText"/>
      </w:pPr>
      <w:r>
        <w:rPr>
          <w:rStyle w:val="FootnoteReference"/>
        </w:rPr>
        <w:footnoteRef/>
      </w:r>
      <w:r>
        <w:t xml:space="preserve"> SA(CAT) Act2017 s37(1),(3)</w:t>
      </w:r>
    </w:p>
  </w:footnote>
  <w:footnote w:id="11">
    <w:p w:rsidR="00B6330E" w:rsidRDefault="00B6330E" w:rsidP="0019479E">
      <w:pPr>
        <w:pStyle w:val="FootnoteText"/>
      </w:pPr>
      <w:r>
        <w:rPr>
          <w:rStyle w:val="FootnoteReference"/>
        </w:rPr>
        <w:footnoteRef/>
      </w:r>
      <w:r>
        <w:t xml:space="preserve"> SA(CAT) Act s37(2)</w:t>
      </w:r>
    </w:p>
  </w:footnote>
  <w:footnote w:id="12">
    <w:p w:rsidR="00B6330E" w:rsidRDefault="00B6330E" w:rsidP="0019479E">
      <w:pPr>
        <w:pStyle w:val="FootnoteText"/>
      </w:pPr>
      <w:r>
        <w:rPr>
          <w:rStyle w:val="FootnoteReference"/>
        </w:rPr>
        <w:footnoteRef/>
      </w:r>
      <w:r>
        <w:t xml:space="preserve"> NZS 8134.2:2008 New Zealand Standard Health and Disability Services (Restraint Minimisation and Safe Practice)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0E" w:rsidRDefault="00B6330E" w:rsidP="00C41BEC">
    <w:pPr>
      <w:pStyle w:val="Header"/>
      <w:ind w:left="-1559"/>
    </w:pPr>
  </w:p>
  <w:p w:rsidR="00B6330E" w:rsidRDefault="00B6330E" w:rsidP="003A2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0E" w:rsidRDefault="00B6330E" w:rsidP="00D1193B">
    <w:pPr>
      <w:pStyle w:val="Header"/>
    </w:pPr>
    <w:r>
      <w:rPr>
        <w:noProof/>
        <w:lang w:eastAsia="en-NZ"/>
      </w:rPr>
      <w:drawing>
        <wp:inline distT="0" distB="0" distL="0" distR="0" wp14:anchorId="3BBDF968" wp14:editId="0215E7B2">
          <wp:extent cx="6120765" cy="578614"/>
          <wp:effectExtent l="0" t="0" r="0" b="0"/>
          <wp:docPr id="2" name="Picture 2"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786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62E2FF1"/>
    <w:multiLevelType w:val="hybridMultilevel"/>
    <w:tmpl w:val="F4504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8637B93"/>
    <w:multiLevelType w:val="multilevel"/>
    <w:tmpl w:val="BFE09B6A"/>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3">
    <w:nsid w:val="194B096D"/>
    <w:multiLevelType w:val="hybridMultilevel"/>
    <w:tmpl w:val="A89CE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DD7046F"/>
    <w:multiLevelType w:val="hybridMultilevel"/>
    <w:tmpl w:val="7B3C0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39B1AE6"/>
    <w:multiLevelType w:val="hybridMultilevel"/>
    <w:tmpl w:val="3E36E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A054F23"/>
    <w:multiLevelType w:val="hybridMultilevel"/>
    <w:tmpl w:val="7A826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80F67A8"/>
    <w:multiLevelType w:val="hybridMultilevel"/>
    <w:tmpl w:val="E0C0B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EDF273A"/>
    <w:multiLevelType w:val="hybridMultilevel"/>
    <w:tmpl w:val="4A60A888"/>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0">
    <w:nsid w:val="3F3E6485"/>
    <w:multiLevelType w:val="hybridMultilevel"/>
    <w:tmpl w:val="24C4D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15945FF"/>
    <w:multiLevelType w:val="hybridMultilevel"/>
    <w:tmpl w:val="13109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AFA1339"/>
    <w:multiLevelType w:val="hybridMultilevel"/>
    <w:tmpl w:val="47B09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FB224E7"/>
    <w:multiLevelType w:val="hybridMultilevel"/>
    <w:tmpl w:val="D8CEF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0E76556"/>
    <w:multiLevelType w:val="hybridMultilevel"/>
    <w:tmpl w:val="B7D27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2C5056B"/>
    <w:multiLevelType w:val="hybridMultilevel"/>
    <w:tmpl w:val="F51A6D88"/>
    <w:lvl w:ilvl="0" w:tplc="08090001">
      <w:start w:val="1"/>
      <w:numFmt w:val="bullet"/>
      <w:lvlText w:val=""/>
      <w:lvlJc w:val="left"/>
      <w:pPr>
        <w:tabs>
          <w:tab w:val="num" w:pos="1799"/>
        </w:tabs>
        <w:ind w:left="1799" w:hanging="360"/>
      </w:pPr>
      <w:rPr>
        <w:rFonts w:ascii="Symbol" w:hAnsi="Symbol" w:hint="default"/>
      </w:rPr>
    </w:lvl>
    <w:lvl w:ilvl="1" w:tplc="08090003" w:tentative="1">
      <w:start w:val="1"/>
      <w:numFmt w:val="bullet"/>
      <w:lvlText w:val="o"/>
      <w:lvlJc w:val="left"/>
      <w:pPr>
        <w:tabs>
          <w:tab w:val="num" w:pos="2519"/>
        </w:tabs>
        <w:ind w:left="2519" w:hanging="360"/>
      </w:pPr>
      <w:rPr>
        <w:rFonts w:ascii="Courier New" w:hAnsi="Courier New" w:hint="default"/>
      </w:rPr>
    </w:lvl>
    <w:lvl w:ilvl="2" w:tplc="08090005" w:tentative="1">
      <w:start w:val="1"/>
      <w:numFmt w:val="bullet"/>
      <w:lvlText w:val=""/>
      <w:lvlJc w:val="left"/>
      <w:pPr>
        <w:tabs>
          <w:tab w:val="num" w:pos="3239"/>
        </w:tabs>
        <w:ind w:left="3239" w:hanging="360"/>
      </w:pPr>
      <w:rPr>
        <w:rFonts w:ascii="Wingdings" w:hAnsi="Wingdings" w:hint="default"/>
      </w:rPr>
    </w:lvl>
    <w:lvl w:ilvl="3" w:tplc="08090001" w:tentative="1">
      <w:start w:val="1"/>
      <w:numFmt w:val="bullet"/>
      <w:lvlText w:val=""/>
      <w:lvlJc w:val="left"/>
      <w:pPr>
        <w:tabs>
          <w:tab w:val="num" w:pos="3959"/>
        </w:tabs>
        <w:ind w:left="3959" w:hanging="360"/>
      </w:pPr>
      <w:rPr>
        <w:rFonts w:ascii="Symbol" w:hAnsi="Symbol" w:hint="default"/>
      </w:rPr>
    </w:lvl>
    <w:lvl w:ilvl="4" w:tplc="08090003" w:tentative="1">
      <w:start w:val="1"/>
      <w:numFmt w:val="bullet"/>
      <w:lvlText w:val="o"/>
      <w:lvlJc w:val="left"/>
      <w:pPr>
        <w:tabs>
          <w:tab w:val="num" w:pos="4679"/>
        </w:tabs>
        <w:ind w:left="4679" w:hanging="360"/>
      </w:pPr>
      <w:rPr>
        <w:rFonts w:ascii="Courier New" w:hAnsi="Courier New" w:hint="default"/>
      </w:rPr>
    </w:lvl>
    <w:lvl w:ilvl="5" w:tplc="08090005" w:tentative="1">
      <w:start w:val="1"/>
      <w:numFmt w:val="bullet"/>
      <w:lvlText w:val=""/>
      <w:lvlJc w:val="left"/>
      <w:pPr>
        <w:tabs>
          <w:tab w:val="num" w:pos="5399"/>
        </w:tabs>
        <w:ind w:left="5399" w:hanging="360"/>
      </w:pPr>
      <w:rPr>
        <w:rFonts w:ascii="Wingdings" w:hAnsi="Wingdings" w:hint="default"/>
      </w:rPr>
    </w:lvl>
    <w:lvl w:ilvl="6" w:tplc="08090001" w:tentative="1">
      <w:start w:val="1"/>
      <w:numFmt w:val="bullet"/>
      <w:lvlText w:val=""/>
      <w:lvlJc w:val="left"/>
      <w:pPr>
        <w:tabs>
          <w:tab w:val="num" w:pos="6119"/>
        </w:tabs>
        <w:ind w:left="6119" w:hanging="360"/>
      </w:pPr>
      <w:rPr>
        <w:rFonts w:ascii="Symbol" w:hAnsi="Symbol" w:hint="default"/>
      </w:rPr>
    </w:lvl>
    <w:lvl w:ilvl="7" w:tplc="08090003" w:tentative="1">
      <w:start w:val="1"/>
      <w:numFmt w:val="bullet"/>
      <w:lvlText w:val="o"/>
      <w:lvlJc w:val="left"/>
      <w:pPr>
        <w:tabs>
          <w:tab w:val="num" w:pos="6839"/>
        </w:tabs>
        <w:ind w:left="6839" w:hanging="360"/>
      </w:pPr>
      <w:rPr>
        <w:rFonts w:ascii="Courier New" w:hAnsi="Courier New" w:hint="default"/>
      </w:rPr>
    </w:lvl>
    <w:lvl w:ilvl="8" w:tplc="08090005" w:tentative="1">
      <w:start w:val="1"/>
      <w:numFmt w:val="bullet"/>
      <w:lvlText w:val=""/>
      <w:lvlJc w:val="left"/>
      <w:pPr>
        <w:tabs>
          <w:tab w:val="num" w:pos="7559"/>
        </w:tabs>
        <w:ind w:left="7559" w:hanging="360"/>
      </w:pPr>
      <w:rPr>
        <w:rFonts w:ascii="Wingdings" w:hAnsi="Wingdings" w:hint="default"/>
      </w:rPr>
    </w:lvl>
  </w:abstractNum>
  <w:abstractNum w:abstractNumId="17">
    <w:nsid w:val="535A75BA"/>
    <w:multiLevelType w:val="hybridMultilevel"/>
    <w:tmpl w:val="6362235C"/>
    <w:styleLink w:val="ImportedStyle2"/>
    <w:lvl w:ilvl="0" w:tplc="06CE753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96CA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609C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AE5DF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7C6E6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894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0EBB4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60CE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5279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A5F32D0"/>
    <w:multiLevelType w:val="hybridMultilevel"/>
    <w:tmpl w:val="472CF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0D336D2"/>
    <w:multiLevelType w:val="hybridMultilevel"/>
    <w:tmpl w:val="C2F0F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4CC3D70"/>
    <w:multiLevelType w:val="hybridMultilevel"/>
    <w:tmpl w:val="6362235C"/>
    <w:numStyleLink w:val="ImportedStyle2"/>
  </w:abstractNum>
  <w:abstractNum w:abstractNumId="21">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2">
    <w:nsid w:val="69A701F1"/>
    <w:multiLevelType w:val="hybridMultilevel"/>
    <w:tmpl w:val="32D45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C3F6EF2"/>
    <w:multiLevelType w:val="hybridMultilevel"/>
    <w:tmpl w:val="EE3AACC2"/>
    <w:styleLink w:val="ImportedStyle1"/>
    <w:lvl w:ilvl="0" w:tplc="31A6F2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28E4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2AF1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441E9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8EDA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226E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4EDE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D61C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9C91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FD47743"/>
    <w:multiLevelType w:val="hybridMultilevel"/>
    <w:tmpl w:val="45ECBD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1AF26BA"/>
    <w:multiLevelType w:val="hybridMultilevel"/>
    <w:tmpl w:val="D3A62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8B634B5"/>
    <w:multiLevelType w:val="hybridMultilevel"/>
    <w:tmpl w:val="EE3AACC2"/>
    <w:numStyleLink w:val="ImportedStyle1"/>
  </w:abstractNum>
  <w:abstractNum w:abstractNumId="27">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7"/>
  </w:num>
  <w:num w:numId="2">
    <w:abstractNumId w:val="21"/>
  </w:num>
  <w:num w:numId="3">
    <w:abstractNumId w:val="8"/>
  </w:num>
  <w:num w:numId="4">
    <w:abstractNumId w:val="11"/>
  </w:num>
  <w:num w:numId="5">
    <w:abstractNumId w:val="0"/>
  </w:num>
  <w:num w:numId="6">
    <w:abstractNumId w:val="13"/>
  </w:num>
  <w:num w:numId="7">
    <w:abstractNumId w:val="4"/>
  </w:num>
  <w:num w:numId="8">
    <w:abstractNumId w:val="6"/>
  </w:num>
  <w:num w:numId="9">
    <w:abstractNumId w:val="10"/>
  </w:num>
  <w:num w:numId="10">
    <w:abstractNumId w:val="14"/>
  </w:num>
  <w:num w:numId="11">
    <w:abstractNumId w:val="15"/>
  </w:num>
  <w:num w:numId="12">
    <w:abstractNumId w:val="16"/>
  </w:num>
  <w:num w:numId="13">
    <w:abstractNumId w:val="9"/>
  </w:num>
  <w:num w:numId="14">
    <w:abstractNumId w:val="22"/>
  </w:num>
  <w:num w:numId="15">
    <w:abstractNumId w:val="18"/>
  </w:num>
  <w:num w:numId="16">
    <w:abstractNumId w:val="7"/>
  </w:num>
  <w:num w:numId="17">
    <w:abstractNumId w:val="24"/>
  </w:num>
  <w:num w:numId="18">
    <w:abstractNumId w:val="25"/>
  </w:num>
  <w:num w:numId="19">
    <w:abstractNumId w:val="27"/>
  </w:num>
  <w:num w:numId="20">
    <w:abstractNumId w:val="8"/>
  </w:num>
  <w:num w:numId="21">
    <w:abstractNumId w:val="0"/>
  </w:num>
  <w:num w:numId="22">
    <w:abstractNumId w:val="21"/>
  </w:num>
  <w:num w:numId="23">
    <w:abstractNumId w:val="11"/>
  </w:num>
  <w:num w:numId="24">
    <w:abstractNumId w:val="19"/>
  </w:num>
  <w:num w:numId="25">
    <w:abstractNumId w:val="5"/>
  </w:num>
  <w:num w:numId="26">
    <w:abstractNumId w:val="12"/>
  </w:num>
  <w:num w:numId="27">
    <w:abstractNumId w:val="3"/>
  </w:num>
  <w:num w:numId="28">
    <w:abstractNumId w:val="1"/>
  </w:num>
  <w:num w:numId="29">
    <w:abstractNumId w:val="23"/>
  </w:num>
  <w:num w:numId="30">
    <w:abstractNumId w:val="26"/>
  </w:num>
  <w:num w:numId="31">
    <w:abstractNumId w:val="17"/>
  </w:num>
  <w:num w:numId="32">
    <w:abstractNumId w:val="20"/>
  </w:num>
  <w:num w:numId="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6EA9"/>
    <w:rsid w:val="000110F1"/>
    <w:rsid w:val="00011D2E"/>
    <w:rsid w:val="00030B26"/>
    <w:rsid w:val="000376FF"/>
    <w:rsid w:val="0006228D"/>
    <w:rsid w:val="00072BD6"/>
    <w:rsid w:val="00075B78"/>
    <w:rsid w:val="00076D89"/>
    <w:rsid w:val="00082CD6"/>
    <w:rsid w:val="00085AFE"/>
    <w:rsid w:val="00094E83"/>
    <w:rsid w:val="000B0730"/>
    <w:rsid w:val="000C534A"/>
    <w:rsid w:val="000D3D5F"/>
    <w:rsid w:val="000D5439"/>
    <w:rsid w:val="000D7D73"/>
    <w:rsid w:val="000E19F8"/>
    <w:rsid w:val="000F2AE2"/>
    <w:rsid w:val="00102063"/>
    <w:rsid w:val="0010541C"/>
    <w:rsid w:val="00106F93"/>
    <w:rsid w:val="00110F70"/>
    <w:rsid w:val="00111D50"/>
    <w:rsid w:val="00113B8E"/>
    <w:rsid w:val="00130BAC"/>
    <w:rsid w:val="0013585C"/>
    <w:rsid w:val="00142954"/>
    <w:rsid w:val="001460E0"/>
    <w:rsid w:val="00146F06"/>
    <w:rsid w:val="00147F71"/>
    <w:rsid w:val="00150A6E"/>
    <w:rsid w:val="0016468A"/>
    <w:rsid w:val="00170BCC"/>
    <w:rsid w:val="00173016"/>
    <w:rsid w:val="00191F1D"/>
    <w:rsid w:val="0019479E"/>
    <w:rsid w:val="001A0E5A"/>
    <w:rsid w:val="001A5CF5"/>
    <w:rsid w:val="001A627D"/>
    <w:rsid w:val="001B39D2"/>
    <w:rsid w:val="001C4326"/>
    <w:rsid w:val="001D243F"/>
    <w:rsid w:val="001D3541"/>
    <w:rsid w:val="00201A01"/>
    <w:rsid w:val="00206976"/>
    <w:rsid w:val="0020760A"/>
    <w:rsid w:val="002104D3"/>
    <w:rsid w:val="00213A33"/>
    <w:rsid w:val="00223530"/>
    <w:rsid w:val="00225052"/>
    <w:rsid w:val="002339A4"/>
    <w:rsid w:val="002435E9"/>
    <w:rsid w:val="00246DB1"/>
    <w:rsid w:val="002534DA"/>
    <w:rsid w:val="00253ECF"/>
    <w:rsid w:val="002546A1"/>
    <w:rsid w:val="002607BB"/>
    <w:rsid w:val="00264958"/>
    <w:rsid w:val="00271538"/>
    <w:rsid w:val="00275D08"/>
    <w:rsid w:val="002771F0"/>
    <w:rsid w:val="00284C8D"/>
    <w:rsid w:val="002858E3"/>
    <w:rsid w:val="0029190A"/>
    <w:rsid w:val="00292C5A"/>
    <w:rsid w:val="002B047D"/>
    <w:rsid w:val="002B732B"/>
    <w:rsid w:val="002C2219"/>
    <w:rsid w:val="002D0DF2"/>
    <w:rsid w:val="002D23BD"/>
    <w:rsid w:val="002D2631"/>
    <w:rsid w:val="002E0B47"/>
    <w:rsid w:val="002E2E99"/>
    <w:rsid w:val="002F7213"/>
    <w:rsid w:val="003012A0"/>
    <w:rsid w:val="00303281"/>
    <w:rsid w:val="0030382F"/>
    <w:rsid w:val="003060E4"/>
    <w:rsid w:val="003127CE"/>
    <w:rsid w:val="00315AC9"/>
    <w:rsid w:val="003160E7"/>
    <w:rsid w:val="0031739E"/>
    <w:rsid w:val="00317B23"/>
    <w:rsid w:val="003325AB"/>
    <w:rsid w:val="0033412B"/>
    <w:rsid w:val="00343365"/>
    <w:rsid w:val="00353501"/>
    <w:rsid w:val="003579ED"/>
    <w:rsid w:val="003606F8"/>
    <w:rsid w:val="003648EF"/>
    <w:rsid w:val="003673E6"/>
    <w:rsid w:val="00370DA1"/>
    <w:rsid w:val="00373B60"/>
    <w:rsid w:val="00377264"/>
    <w:rsid w:val="003853BB"/>
    <w:rsid w:val="003A26A5"/>
    <w:rsid w:val="003A3761"/>
    <w:rsid w:val="003A5FEA"/>
    <w:rsid w:val="003A7030"/>
    <w:rsid w:val="003A7318"/>
    <w:rsid w:val="003B1D10"/>
    <w:rsid w:val="003B4DCB"/>
    <w:rsid w:val="003C76D4"/>
    <w:rsid w:val="003D3F31"/>
    <w:rsid w:val="003E7C46"/>
    <w:rsid w:val="003F52A7"/>
    <w:rsid w:val="0040240C"/>
    <w:rsid w:val="00404C21"/>
    <w:rsid w:val="00413021"/>
    <w:rsid w:val="00435699"/>
    <w:rsid w:val="00440BE0"/>
    <w:rsid w:val="0044584B"/>
    <w:rsid w:val="00447CB7"/>
    <w:rsid w:val="00460826"/>
    <w:rsid w:val="00460EA7"/>
    <w:rsid w:val="0046195B"/>
    <w:rsid w:val="0046596D"/>
    <w:rsid w:val="00467A6C"/>
    <w:rsid w:val="00487C04"/>
    <w:rsid w:val="004A035B"/>
    <w:rsid w:val="004A778C"/>
    <w:rsid w:val="004C2E6A"/>
    <w:rsid w:val="004D2A2D"/>
    <w:rsid w:val="004D2BCD"/>
    <w:rsid w:val="004D6689"/>
    <w:rsid w:val="004E1D1D"/>
    <w:rsid w:val="004E7AC8"/>
    <w:rsid w:val="004F0C94"/>
    <w:rsid w:val="004F745A"/>
    <w:rsid w:val="004F783F"/>
    <w:rsid w:val="005019AE"/>
    <w:rsid w:val="00503749"/>
    <w:rsid w:val="00504CF4"/>
    <w:rsid w:val="0050635B"/>
    <w:rsid w:val="0051244C"/>
    <w:rsid w:val="005160F8"/>
    <w:rsid w:val="00516677"/>
    <w:rsid w:val="00517A60"/>
    <w:rsid w:val="0052561A"/>
    <w:rsid w:val="0053199F"/>
    <w:rsid w:val="00533B90"/>
    <w:rsid w:val="005410F8"/>
    <w:rsid w:val="005448EC"/>
    <w:rsid w:val="00545963"/>
    <w:rsid w:val="00550256"/>
    <w:rsid w:val="00553958"/>
    <w:rsid w:val="0055763D"/>
    <w:rsid w:val="0056664E"/>
    <w:rsid w:val="00567B58"/>
    <w:rsid w:val="005763E0"/>
    <w:rsid w:val="005A43BD"/>
    <w:rsid w:val="005B3B86"/>
    <w:rsid w:val="005C26E3"/>
    <w:rsid w:val="005C3D40"/>
    <w:rsid w:val="005E226E"/>
    <w:rsid w:val="005E7DF7"/>
    <w:rsid w:val="006015D7"/>
    <w:rsid w:val="00601B21"/>
    <w:rsid w:val="00612421"/>
    <w:rsid w:val="00617835"/>
    <w:rsid w:val="00624D18"/>
    <w:rsid w:val="00626CF8"/>
    <w:rsid w:val="00637ABF"/>
    <w:rsid w:val="006402A1"/>
    <w:rsid w:val="00642868"/>
    <w:rsid w:val="006512BC"/>
    <w:rsid w:val="00653A5A"/>
    <w:rsid w:val="006575F4"/>
    <w:rsid w:val="006579E6"/>
    <w:rsid w:val="0066083C"/>
    <w:rsid w:val="00661147"/>
    <w:rsid w:val="00663EDC"/>
    <w:rsid w:val="00680A04"/>
    <w:rsid w:val="00686D80"/>
    <w:rsid w:val="00687643"/>
    <w:rsid w:val="00694895"/>
    <w:rsid w:val="00694D79"/>
    <w:rsid w:val="00697E2E"/>
    <w:rsid w:val="006B0701"/>
    <w:rsid w:val="006B0E73"/>
    <w:rsid w:val="006B4A4D"/>
    <w:rsid w:val="006B5695"/>
    <w:rsid w:val="006C78EB"/>
    <w:rsid w:val="006D1660"/>
    <w:rsid w:val="006D3A05"/>
    <w:rsid w:val="006F1B67"/>
    <w:rsid w:val="0070091D"/>
    <w:rsid w:val="00702854"/>
    <w:rsid w:val="00705AB0"/>
    <w:rsid w:val="00710925"/>
    <w:rsid w:val="0071741C"/>
    <w:rsid w:val="00742B90"/>
    <w:rsid w:val="0074434D"/>
    <w:rsid w:val="007603FA"/>
    <w:rsid w:val="0076420C"/>
    <w:rsid w:val="0076484F"/>
    <w:rsid w:val="00771B1E"/>
    <w:rsid w:val="00773C95"/>
    <w:rsid w:val="007763DD"/>
    <w:rsid w:val="0078171E"/>
    <w:rsid w:val="00793914"/>
    <w:rsid w:val="00794E85"/>
    <w:rsid w:val="00795B34"/>
    <w:rsid w:val="007B1770"/>
    <w:rsid w:val="007B76E0"/>
    <w:rsid w:val="007B7C70"/>
    <w:rsid w:val="007C3096"/>
    <w:rsid w:val="007D2151"/>
    <w:rsid w:val="007D42CC"/>
    <w:rsid w:val="007D5DE4"/>
    <w:rsid w:val="007D6E1B"/>
    <w:rsid w:val="007E1341"/>
    <w:rsid w:val="007E1B41"/>
    <w:rsid w:val="007E30B9"/>
    <w:rsid w:val="007E3A31"/>
    <w:rsid w:val="007F0F0C"/>
    <w:rsid w:val="007F1288"/>
    <w:rsid w:val="00800A8A"/>
    <w:rsid w:val="0080155C"/>
    <w:rsid w:val="008052E1"/>
    <w:rsid w:val="00806ADE"/>
    <w:rsid w:val="00822F2C"/>
    <w:rsid w:val="008305E8"/>
    <w:rsid w:val="0083404C"/>
    <w:rsid w:val="008535DE"/>
    <w:rsid w:val="00860E21"/>
    <w:rsid w:val="0086332A"/>
    <w:rsid w:val="008642E5"/>
    <w:rsid w:val="00872D93"/>
    <w:rsid w:val="00874627"/>
    <w:rsid w:val="00880470"/>
    <w:rsid w:val="00880D7D"/>
    <w:rsid w:val="00880D94"/>
    <w:rsid w:val="0089662C"/>
    <w:rsid w:val="008A1F34"/>
    <w:rsid w:val="008A3755"/>
    <w:rsid w:val="008B264F"/>
    <w:rsid w:val="008B5A2A"/>
    <w:rsid w:val="008B6F83"/>
    <w:rsid w:val="008C2973"/>
    <w:rsid w:val="008C3DF0"/>
    <w:rsid w:val="008C3F88"/>
    <w:rsid w:val="008D0868"/>
    <w:rsid w:val="008D74D5"/>
    <w:rsid w:val="008F29BE"/>
    <w:rsid w:val="008F51EB"/>
    <w:rsid w:val="00900197"/>
    <w:rsid w:val="00902F55"/>
    <w:rsid w:val="0090582B"/>
    <w:rsid w:val="009060C0"/>
    <w:rsid w:val="00913188"/>
    <w:rsid w:val="009133F5"/>
    <w:rsid w:val="00920A27"/>
    <w:rsid w:val="00921216"/>
    <w:rsid w:val="00931466"/>
    <w:rsid w:val="00932D69"/>
    <w:rsid w:val="00944647"/>
    <w:rsid w:val="0097255E"/>
    <w:rsid w:val="00977B8A"/>
    <w:rsid w:val="00982971"/>
    <w:rsid w:val="0098354A"/>
    <w:rsid w:val="00983E1E"/>
    <w:rsid w:val="009845AD"/>
    <w:rsid w:val="0099613F"/>
    <w:rsid w:val="00996F84"/>
    <w:rsid w:val="009A418B"/>
    <w:rsid w:val="009A4473"/>
    <w:rsid w:val="009C151C"/>
    <w:rsid w:val="009D11A4"/>
    <w:rsid w:val="009D5125"/>
    <w:rsid w:val="009D60B8"/>
    <w:rsid w:val="009D72C8"/>
    <w:rsid w:val="009D7D4B"/>
    <w:rsid w:val="009E36ED"/>
    <w:rsid w:val="009F460A"/>
    <w:rsid w:val="009F4F3D"/>
    <w:rsid w:val="009F6029"/>
    <w:rsid w:val="00A043FB"/>
    <w:rsid w:val="00A06A75"/>
    <w:rsid w:val="00A0729C"/>
    <w:rsid w:val="00A07779"/>
    <w:rsid w:val="00A20B2E"/>
    <w:rsid w:val="00A20DDC"/>
    <w:rsid w:val="00A3145B"/>
    <w:rsid w:val="00A339D0"/>
    <w:rsid w:val="00A4201A"/>
    <w:rsid w:val="00A51D30"/>
    <w:rsid w:val="00A553CE"/>
    <w:rsid w:val="00A5677A"/>
    <w:rsid w:val="00A6490D"/>
    <w:rsid w:val="00A65867"/>
    <w:rsid w:val="00A75FF2"/>
    <w:rsid w:val="00A80363"/>
    <w:rsid w:val="00A82A2A"/>
    <w:rsid w:val="00A9169D"/>
    <w:rsid w:val="00A92DC6"/>
    <w:rsid w:val="00AA222E"/>
    <w:rsid w:val="00AC0E19"/>
    <w:rsid w:val="00AD4CF1"/>
    <w:rsid w:val="00AD5988"/>
    <w:rsid w:val="00AD78F8"/>
    <w:rsid w:val="00AF7800"/>
    <w:rsid w:val="00B072E0"/>
    <w:rsid w:val="00B17D7F"/>
    <w:rsid w:val="00B23D62"/>
    <w:rsid w:val="00B253F6"/>
    <w:rsid w:val="00B271BB"/>
    <w:rsid w:val="00B332F8"/>
    <w:rsid w:val="00B3492B"/>
    <w:rsid w:val="00B4646F"/>
    <w:rsid w:val="00B523D9"/>
    <w:rsid w:val="00B553B5"/>
    <w:rsid w:val="00B55C7D"/>
    <w:rsid w:val="00B63038"/>
    <w:rsid w:val="00B6310A"/>
    <w:rsid w:val="00B6330E"/>
    <w:rsid w:val="00B64BD8"/>
    <w:rsid w:val="00B701D1"/>
    <w:rsid w:val="00B73AF2"/>
    <w:rsid w:val="00B74846"/>
    <w:rsid w:val="00B7551A"/>
    <w:rsid w:val="00BA3DB4"/>
    <w:rsid w:val="00BB0B6D"/>
    <w:rsid w:val="00BC594D"/>
    <w:rsid w:val="00BC59F1"/>
    <w:rsid w:val="00BC6F8A"/>
    <w:rsid w:val="00BC7D65"/>
    <w:rsid w:val="00BD3BCA"/>
    <w:rsid w:val="00BD5347"/>
    <w:rsid w:val="00BD5945"/>
    <w:rsid w:val="00BE4A0B"/>
    <w:rsid w:val="00BF1890"/>
    <w:rsid w:val="00BF3DE1"/>
    <w:rsid w:val="00BF4843"/>
    <w:rsid w:val="00BF5205"/>
    <w:rsid w:val="00BF5BCC"/>
    <w:rsid w:val="00C12508"/>
    <w:rsid w:val="00C13140"/>
    <w:rsid w:val="00C41BEC"/>
    <w:rsid w:val="00C45AA2"/>
    <w:rsid w:val="00C70606"/>
    <w:rsid w:val="00C739F7"/>
    <w:rsid w:val="00C77282"/>
    <w:rsid w:val="00C77EED"/>
    <w:rsid w:val="00C84DE5"/>
    <w:rsid w:val="00C85CDB"/>
    <w:rsid w:val="00C86248"/>
    <w:rsid w:val="00CA4C33"/>
    <w:rsid w:val="00CA6F62"/>
    <w:rsid w:val="00CB5CD0"/>
    <w:rsid w:val="00CB60E9"/>
    <w:rsid w:val="00CD2119"/>
    <w:rsid w:val="00CD36AC"/>
    <w:rsid w:val="00CF1747"/>
    <w:rsid w:val="00CF55FA"/>
    <w:rsid w:val="00CF684B"/>
    <w:rsid w:val="00D1193B"/>
    <w:rsid w:val="00D2392A"/>
    <w:rsid w:val="00D25FFE"/>
    <w:rsid w:val="00D26941"/>
    <w:rsid w:val="00D4476F"/>
    <w:rsid w:val="00D54D50"/>
    <w:rsid w:val="00D66797"/>
    <w:rsid w:val="00D7087C"/>
    <w:rsid w:val="00D70C3C"/>
    <w:rsid w:val="00D72BE5"/>
    <w:rsid w:val="00D82F26"/>
    <w:rsid w:val="00D83D1A"/>
    <w:rsid w:val="00D863D0"/>
    <w:rsid w:val="00D87C87"/>
    <w:rsid w:val="00DB0CB4"/>
    <w:rsid w:val="00DB0FDA"/>
    <w:rsid w:val="00DB39CF"/>
    <w:rsid w:val="00DD447A"/>
    <w:rsid w:val="00DD5939"/>
    <w:rsid w:val="00DE5185"/>
    <w:rsid w:val="00DE6C94"/>
    <w:rsid w:val="00DE6FD7"/>
    <w:rsid w:val="00DF40AC"/>
    <w:rsid w:val="00E1271B"/>
    <w:rsid w:val="00E13EE3"/>
    <w:rsid w:val="00E1756D"/>
    <w:rsid w:val="00E23271"/>
    <w:rsid w:val="00E24785"/>
    <w:rsid w:val="00E24F80"/>
    <w:rsid w:val="00E4213D"/>
    <w:rsid w:val="00E4486C"/>
    <w:rsid w:val="00E460B6"/>
    <w:rsid w:val="00E511D5"/>
    <w:rsid w:val="00E56FEE"/>
    <w:rsid w:val="00E65269"/>
    <w:rsid w:val="00E72078"/>
    <w:rsid w:val="00E917C0"/>
    <w:rsid w:val="00E92BD5"/>
    <w:rsid w:val="00EB1856"/>
    <w:rsid w:val="00EC2C5A"/>
    <w:rsid w:val="00EC50CE"/>
    <w:rsid w:val="00EC5B34"/>
    <w:rsid w:val="00EC5FD1"/>
    <w:rsid w:val="00EE4ADE"/>
    <w:rsid w:val="00EE5CB7"/>
    <w:rsid w:val="00F024FE"/>
    <w:rsid w:val="00F0527D"/>
    <w:rsid w:val="00F05AD4"/>
    <w:rsid w:val="00F4584B"/>
    <w:rsid w:val="00F46526"/>
    <w:rsid w:val="00F478A7"/>
    <w:rsid w:val="00F540C4"/>
    <w:rsid w:val="00F544C8"/>
    <w:rsid w:val="00F55F8C"/>
    <w:rsid w:val="00F67496"/>
    <w:rsid w:val="00F800DA"/>
    <w:rsid w:val="00F801BA"/>
    <w:rsid w:val="00F86805"/>
    <w:rsid w:val="00F93D0E"/>
    <w:rsid w:val="00F946C9"/>
    <w:rsid w:val="00FA74EE"/>
    <w:rsid w:val="00FB1B8E"/>
    <w:rsid w:val="00FB4A73"/>
    <w:rsid w:val="00FC39AA"/>
    <w:rsid w:val="00FC46E7"/>
    <w:rsid w:val="00FC5340"/>
    <w:rsid w:val="00FC5D25"/>
    <w:rsid w:val="00FD0D7E"/>
    <w:rsid w:val="00FD55BE"/>
    <w:rsid w:val="00FE3A46"/>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46876515-7547-4850-96F6-D8FB57C1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qFormat="1"/>
    <w:lsdException w:name="footer" w:locked="1" w:semiHidden="1" w:uiPriority="0" w:unhideWhenUsed="1" w:qFormat="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9F8"/>
    <w:pPr>
      <w:spacing w:before="120" w:after="120" w:line="264" w:lineRule="auto"/>
    </w:pPr>
    <w:rPr>
      <w:rFonts w:ascii="Georgia" w:hAnsi="Georgia"/>
      <w:sz w:val="22"/>
      <w:lang w:eastAsia="en-GB"/>
    </w:rPr>
  </w:style>
  <w:style w:type="paragraph" w:styleId="Heading1">
    <w:name w:val="heading 1"/>
    <w:basedOn w:val="Normal"/>
    <w:next w:val="Normal"/>
    <w:link w:val="Heading1Char"/>
    <w:qFormat/>
    <w:rsid w:val="000E19F8"/>
    <w:pPr>
      <w:pBdr>
        <w:bottom w:val="single" w:sz="48" w:space="1" w:color="auto"/>
      </w:pBdr>
      <w:spacing w:after="360"/>
      <w:outlineLvl w:val="0"/>
    </w:pPr>
    <w:rPr>
      <w:b/>
      <w:sz w:val="60"/>
    </w:rPr>
  </w:style>
  <w:style w:type="paragraph" w:styleId="Heading2">
    <w:name w:val="heading 2"/>
    <w:basedOn w:val="Normal"/>
    <w:next w:val="Normal"/>
    <w:link w:val="Heading2Char"/>
    <w:qFormat/>
    <w:rsid w:val="000E19F8"/>
    <w:pPr>
      <w:keepNext/>
      <w:spacing w:before="360"/>
      <w:outlineLvl w:val="1"/>
    </w:pPr>
    <w:rPr>
      <w:b/>
      <w:sz w:val="40"/>
    </w:rPr>
  </w:style>
  <w:style w:type="paragraph" w:styleId="Heading3">
    <w:name w:val="heading 3"/>
    <w:basedOn w:val="Normal"/>
    <w:next w:val="Normal"/>
    <w:link w:val="Heading3Char"/>
    <w:qFormat/>
    <w:rsid w:val="000E19F8"/>
    <w:pPr>
      <w:keepNext/>
      <w:outlineLvl w:val="2"/>
    </w:pPr>
    <w:rPr>
      <w:b/>
      <w:sz w:val="28"/>
    </w:rPr>
  </w:style>
  <w:style w:type="paragraph" w:styleId="Heading4">
    <w:name w:val="heading 4"/>
    <w:basedOn w:val="Normal"/>
    <w:next w:val="Normal"/>
    <w:link w:val="Heading4Char"/>
    <w:qFormat/>
    <w:rsid w:val="000E19F8"/>
    <w:pPr>
      <w:keepNext/>
      <w:outlineLvl w:val="3"/>
    </w:pPr>
    <w:rPr>
      <w:b/>
    </w:rPr>
  </w:style>
  <w:style w:type="paragraph" w:styleId="Heading5">
    <w:name w:val="heading 5"/>
    <w:basedOn w:val="Normal"/>
    <w:next w:val="Normal"/>
    <w:link w:val="Heading5Char"/>
    <w:qFormat/>
    <w:rsid w:val="000E19F8"/>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Georgia" w:hAnsi="Georgia"/>
      <w:b/>
      <w:sz w:val="60"/>
      <w:lang w:eastAsia="en-GB"/>
    </w:rPr>
  </w:style>
  <w:style w:type="character" w:customStyle="1" w:styleId="Heading2Char">
    <w:name w:val="Heading 2 Char"/>
    <w:basedOn w:val="DefaultParagraphFont"/>
    <w:link w:val="Heading2"/>
    <w:locked/>
    <w:rPr>
      <w:rFonts w:ascii="Georgia" w:hAnsi="Georgia"/>
      <w:b/>
      <w:sz w:val="40"/>
      <w:lang w:eastAsia="en-GB"/>
    </w:rPr>
  </w:style>
  <w:style w:type="character" w:customStyle="1" w:styleId="Heading3Char">
    <w:name w:val="Heading 3 Char"/>
    <w:basedOn w:val="DefaultParagraphFont"/>
    <w:link w:val="Heading3"/>
    <w:locked/>
    <w:rPr>
      <w:rFonts w:ascii="Georgia" w:hAnsi="Georgia"/>
      <w:b/>
      <w:sz w:val="28"/>
      <w:lang w:eastAsia="en-GB"/>
    </w:rPr>
  </w:style>
  <w:style w:type="character" w:customStyle="1" w:styleId="Heading4Char">
    <w:name w:val="Heading 4 Char"/>
    <w:basedOn w:val="DefaultParagraphFont"/>
    <w:link w:val="Heading4"/>
    <w:locked/>
    <w:rPr>
      <w:rFonts w:ascii="Georgia" w:hAnsi="Georgia"/>
      <w:b/>
      <w:sz w:val="22"/>
      <w:lang w:eastAsia="en-GB"/>
    </w:rPr>
  </w:style>
  <w:style w:type="character" w:customStyle="1" w:styleId="Heading5Char">
    <w:name w:val="Heading 5 Char"/>
    <w:basedOn w:val="DefaultParagraphFont"/>
    <w:link w:val="Heading5"/>
    <w:locked/>
    <w:rPr>
      <w:rFonts w:ascii="Georgia" w:hAnsi="Georgia"/>
      <w:sz w:val="22"/>
      <w:u w:val="single"/>
      <w:lang w:eastAsia="en-GB"/>
    </w:rPr>
  </w:style>
  <w:style w:type="paragraph" w:styleId="TOC1">
    <w:name w:val="toc 1"/>
    <w:basedOn w:val="Normal"/>
    <w:next w:val="Normal"/>
    <w:uiPriority w:val="99"/>
    <w:rsid w:val="0006228D"/>
    <w:pPr>
      <w:tabs>
        <w:tab w:val="right" w:pos="9356"/>
      </w:tabs>
      <w:spacing w:before="300"/>
      <w:ind w:right="567"/>
    </w:pPr>
    <w:rPr>
      <w:b/>
    </w:rPr>
  </w:style>
  <w:style w:type="paragraph" w:styleId="TOC2">
    <w:name w:val="toc 2"/>
    <w:basedOn w:val="Normal"/>
    <w:next w:val="Normal"/>
    <w:uiPriority w:val="99"/>
    <w:rsid w:val="0006228D"/>
    <w:pPr>
      <w:tabs>
        <w:tab w:val="left" w:pos="284"/>
        <w:tab w:val="right" w:pos="9356"/>
      </w:tabs>
      <w:spacing w:before="60"/>
      <w:ind w:left="284" w:right="567"/>
    </w:pPr>
  </w:style>
  <w:style w:type="paragraph" w:styleId="TOC3">
    <w:name w:val="toc 3"/>
    <w:basedOn w:val="Normal"/>
    <w:next w:val="Normal"/>
    <w:uiPriority w:val="99"/>
    <w:rsid w:val="00A5677A"/>
    <w:pPr>
      <w:tabs>
        <w:tab w:val="right" w:pos="9356"/>
      </w:tabs>
      <w:ind w:left="1276" w:right="567" w:hanging="1276"/>
    </w:pPr>
  </w:style>
  <w:style w:type="paragraph" w:customStyle="1" w:styleId="Bullet">
    <w:name w:val="Bullet"/>
    <w:basedOn w:val="Normal"/>
    <w:link w:val="BulletChar"/>
    <w:qFormat/>
    <w:rsid w:val="00130BAC"/>
    <w:pPr>
      <w:numPr>
        <w:numId w:val="1"/>
      </w:numPr>
    </w:pPr>
  </w:style>
  <w:style w:type="character" w:customStyle="1" w:styleId="BulletChar">
    <w:name w:val="Bullet Char"/>
    <w:link w:val="Bullet"/>
    <w:locked/>
    <w:rsid w:val="00130BAC"/>
    <w:rPr>
      <w:rFonts w:ascii="Georgia" w:hAnsi="Georgia"/>
      <w:sz w:val="22"/>
      <w:lang w:eastAsia="en-GB"/>
    </w:rPr>
  </w:style>
  <w:style w:type="paragraph" w:styleId="Quote">
    <w:name w:val="Quote"/>
    <w:basedOn w:val="Normal"/>
    <w:next w:val="Normal"/>
    <w:link w:val="QuoteChar"/>
    <w:qFormat/>
    <w:rsid w:val="000E19F8"/>
    <w:pPr>
      <w:ind w:left="284" w:right="284"/>
    </w:pPr>
  </w:style>
  <w:style w:type="character" w:customStyle="1" w:styleId="QuoteChar">
    <w:name w:val="Quote Char"/>
    <w:basedOn w:val="DefaultParagraphFont"/>
    <w:link w:val="Quote"/>
    <w:locked/>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basedOn w:val="DefaultParagraphFont"/>
    <w:link w:val="FootnoteText"/>
    <w:uiPriority w:val="99"/>
    <w:semiHidden/>
    <w:locked/>
    <w:rsid w:val="003060E4"/>
    <w:rPr>
      <w:rFonts w:ascii="Georgia" w:hAnsi="Georgia" w:cs="Times New Roman"/>
      <w:sz w:val="18"/>
      <w:lang w:eastAsia="en-GB"/>
    </w:rPr>
  </w:style>
  <w:style w:type="paragraph" w:styleId="Header">
    <w:name w:val="header"/>
    <w:basedOn w:val="Normal"/>
    <w:link w:val="HeaderChar"/>
    <w:qFormat/>
    <w:rsid w:val="000E19F8"/>
  </w:style>
  <w:style w:type="character" w:customStyle="1" w:styleId="HeaderChar">
    <w:name w:val="Header Char"/>
    <w:basedOn w:val="DefaultParagraphFont"/>
    <w:link w:val="Header"/>
    <w:locked/>
    <w:rPr>
      <w:rFonts w:ascii="Georgia" w:hAnsi="Georgia"/>
      <w:sz w:val="22"/>
      <w:lang w:eastAsia="en-GB"/>
    </w:rPr>
  </w:style>
  <w:style w:type="paragraph" w:styleId="Title">
    <w:name w:val="Title"/>
    <w:basedOn w:val="Normal"/>
    <w:next w:val="Normal"/>
    <w:link w:val="TitleChar"/>
    <w:qFormat/>
    <w:rsid w:val="000E19F8"/>
    <w:pPr>
      <w:pBdr>
        <w:bottom w:val="single" w:sz="48" w:space="1" w:color="auto"/>
      </w:pBdr>
      <w:ind w:right="1701"/>
    </w:pPr>
    <w:rPr>
      <w:b/>
      <w:sz w:val="80"/>
    </w:rPr>
  </w:style>
  <w:style w:type="character" w:customStyle="1" w:styleId="TitleChar">
    <w:name w:val="Title Char"/>
    <w:basedOn w:val="DefaultParagraphFont"/>
    <w:link w:val="Title"/>
    <w:locked/>
    <w:rPr>
      <w:rFonts w:ascii="Georgia" w:hAnsi="Georgia"/>
      <w:b/>
      <w:sz w:val="80"/>
      <w:lang w:eastAsia="en-GB"/>
    </w:rPr>
  </w:style>
  <w:style w:type="paragraph" w:customStyle="1" w:styleId="Imprint">
    <w:name w:val="Imprint"/>
    <w:basedOn w:val="Normal"/>
    <w:next w:val="Normal"/>
    <w:qFormat/>
    <w:rsid w:val="000E19F8"/>
    <w:pPr>
      <w:spacing w:after="240"/>
      <w:jc w:val="center"/>
    </w:pPr>
  </w:style>
  <w:style w:type="paragraph" w:styleId="Footer">
    <w:name w:val="footer"/>
    <w:basedOn w:val="Normal"/>
    <w:link w:val="FooterChar"/>
    <w:qFormat/>
    <w:rsid w:val="000E19F8"/>
    <w:pPr>
      <w:pBdr>
        <w:bottom w:val="single" w:sz="4" w:space="4" w:color="auto"/>
      </w:pBdr>
    </w:pPr>
  </w:style>
  <w:style w:type="character" w:customStyle="1" w:styleId="FooterChar">
    <w:name w:val="Footer Char"/>
    <w:basedOn w:val="DefaultParagraphFont"/>
    <w:link w:val="Footer"/>
    <w:locked/>
    <w:rPr>
      <w:rFonts w:ascii="Georgia" w:hAnsi="Georgia"/>
      <w:sz w:val="22"/>
      <w:lang w:eastAsia="en-GB"/>
    </w:rPr>
  </w:style>
  <w:style w:type="character" w:styleId="PageNumber">
    <w:name w:val="page number"/>
    <w:basedOn w:val="DefaultParagraphFont"/>
    <w:uiPriority w:val="99"/>
    <w:rsid w:val="008D74D5"/>
    <w:rPr>
      <w:rFonts w:ascii="Georgia" w:hAnsi="Georgia" w:cs="Times New Roman"/>
      <w:b/>
      <w:sz w:val="22"/>
    </w:rPr>
  </w:style>
  <w:style w:type="paragraph" w:customStyle="1" w:styleId="VersoFooter">
    <w:name w:val="Verso Footer"/>
    <w:basedOn w:val="Footer"/>
    <w:uiPriority w:val="99"/>
    <w:rsid w:val="002546A1"/>
    <w:pPr>
      <w:pBdr>
        <w:top w:val="single" w:sz="4" w:space="4" w:color="auto"/>
        <w:bottom w:val="none" w:sz="0" w:space="0" w:color="auto"/>
      </w:pBdr>
      <w:ind w:left="709" w:hanging="709"/>
    </w:pPr>
    <w:rPr>
      <w:sz w:val="20"/>
    </w:rPr>
  </w:style>
  <w:style w:type="paragraph" w:customStyle="1" w:styleId="RectoFooter">
    <w:name w:val="Recto Footer"/>
    <w:basedOn w:val="Footer"/>
    <w:uiPriority w:val="99"/>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0E19F8"/>
    <w:pPr>
      <w:keepNext/>
    </w:pPr>
    <w:rPr>
      <w:b/>
      <w:sz w:val="20"/>
    </w:rPr>
  </w:style>
  <w:style w:type="character" w:styleId="FootnoteReference">
    <w:name w:val="footnote reference"/>
    <w:basedOn w:val="DefaultParagraphFont"/>
    <w:uiPriority w:val="99"/>
    <w:semiHidden/>
    <w:rsid w:val="002607BB"/>
    <w:rPr>
      <w:rFonts w:cs="Times New Roman"/>
      <w:vertAlign w:val="superscript"/>
    </w:rPr>
  </w:style>
  <w:style w:type="paragraph" w:customStyle="1" w:styleId="Table">
    <w:name w:val="Table"/>
    <w:basedOn w:val="Figure"/>
    <w:qFormat/>
    <w:rsid w:val="000E19F8"/>
  </w:style>
  <w:style w:type="paragraph" w:customStyle="1" w:styleId="Dash">
    <w:name w:val="Dash"/>
    <w:basedOn w:val="Bullet"/>
    <w:qFormat/>
    <w:rsid w:val="000E19F8"/>
    <w:pPr>
      <w:numPr>
        <w:numId w:val="20"/>
      </w:numPr>
      <w:spacing w:before="60"/>
    </w:pPr>
  </w:style>
  <w:style w:type="paragraph" w:customStyle="1" w:styleId="TableText">
    <w:name w:val="TableText"/>
    <w:basedOn w:val="Normal"/>
    <w:qFormat/>
    <w:rsid w:val="000E19F8"/>
    <w:pPr>
      <w:spacing w:before="60" w:after="60" w:line="240" w:lineRule="auto"/>
    </w:pPr>
    <w:rPr>
      <w:rFonts w:ascii="Arial" w:hAnsi="Arial"/>
      <w:sz w:val="18"/>
    </w:rPr>
  </w:style>
  <w:style w:type="paragraph" w:customStyle="1" w:styleId="TableBullet">
    <w:name w:val="TableBullet"/>
    <w:basedOn w:val="TableText"/>
    <w:qFormat/>
    <w:rsid w:val="000E19F8"/>
    <w:pPr>
      <w:numPr>
        <w:numId w:val="21"/>
      </w:numPr>
      <w:spacing w:before="0"/>
    </w:pPr>
  </w:style>
  <w:style w:type="paragraph" w:customStyle="1" w:styleId="Box">
    <w:name w:val="Box"/>
    <w:basedOn w:val="Normal"/>
    <w:qFormat/>
    <w:rsid w:val="000E19F8"/>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Box"/>
    <w:qFormat/>
    <w:rsid w:val="000E19F8"/>
    <w:rPr>
      <w:b/>
      <w:sz w:val="24"/>
    </w:rPr>
  </w:style>
  <w:style w:type="paragraph" w:customStyle="1" w:styleId="BoxBullet">
    <w:name w:val="BoxBullet"/>
    <w:basedOn w:val="Box"/>
    <w:qFormat/>
    <w:rsid w:val="00130BAC"/>
    <w:pPr>
      <w:numPr>
        <w:numId w:val="22"/>
      </w:numPr>
      <w:tabs>
        <w:tab w:val="clear" w:pos="360"/>
        <w:tab w:val="num" w:pos="567"/>
      </w:tabs>
      <w:ind w:left="567" w:hanging="283"/>
    </w:pPr>
  </w:style>
  <w:style w:type="paragraph" w:customStyle="1" w:styleId="IntroHead">
    <w:name w:val="IntroHead"/>
    <w:basedOn w:val="Heading1"/>
    <w:next w:val="Normal"/>
    <w:qFormat/>
    <w:rsid w:val="000E19F8"/>
    <w:pPr>
      <w:outlineLvl w:val="9"/>
    </w:pPr>
  </w:style>
  <w:style w:type="paragraph" w:customStyle="1" w:styleId="Source">
    <w:name w:val="Source"/>
    <w:basedOn w:val="Note"/>
    <w:next w:val="Normal"/>
    <w:qFormat/>
    <w:rsid w:val="000E19F8"/>
  </w:style>
  <w:style w:type="paragraph" w:customStyle="1" w:styleId="Note">
    <w:name w:val="Note"/>
    <w:basedOn w:val="Normal"/>
    <w:next w:val="Normal"/>
    <w:link w:val="NoteChar"/>
    <w:qFormat/>
    <w:rsid w:val="000E19F8"/>
    <w:pPr>
      <w:pBdr>
        <w:bottom w:val="single" w:sz="4" w:space="6" w:color="auto"/>
      </w:pBdr>
      <w:spacing w:before="80"/>
      <w:ind w:left="284" w:right="2552" w:hanging="284"/>
    </w:pPr>
    <w:rPr>
      <w:rFonts w:ascii="Arial" w:hAnsi="Arial"/>
      <w:sz w:val="18"/>
    </w:rPr>
  </w:style>
  <w:style w:type="character" w:customStyle="1" w:styleId="NoteChar">
    <w:name w:val="Note Char"/>
    <w:link w:val="Note"/>
    <w:locked/>
    <w:rsid w:val="000E19F8"/>
    <w:rPr>
      <w:rFonts w:ascii="Arial" w:hAnsi="Arial"/>
      <w:sz w:val="18"/>
      <w:lang w:eastAsia="en-GB"/>
    </w:rPr>
  </w:style>
  <w:style w:type="paragraph" w:customStyle="1" w:styleId="Subhead">
    <w:name w:val="Subhead"/>
    <w:basedOn w:val="Normal"/>
    <w:next w:val="Normal"/>
    <w:qFormat/>
    <w:rsid w:val="00E917C0"/>
    <w:pPr>
      <w:spacing w:before="180"/>
    </w:pPr>
    <w:rPr>
      <w:sz w:val="48"/>
    </w:rPr>
  </w:style>
  <w:style w:type="character" w:styleId="Hyperlink">
    <w:name w:val="Hyperlink"/>
    <w:basedOn w:val="DefaultParagraphFont"/>
    <w:uiPriority w:val="99"/>
    <w:rsid w:val="002607BB"/>
    <w:rPr>
      <w:rFonts w:cs="Times New Roman"/>
      <w:color w:val="auto"/>
      <w:u w:val="none"/>
    </w:rPr>
  </w:style>
  <w:style w:type="paragraph" w:customStyle="1" w:styleId="References">
    <w:name w:val="References"/>
    <w:basedOn w:val="Normal"/>
    <w:qFormat/>
    <w:rsid w:val="000E19F8"/>
    <w:pPr>
      <w:spacing w:after="180"/>
    </w:pPr>
    <w:rPr>
      <w:sz w:val="21"/>
    </w:rPr>
  </w:style>
  <w:style w:type="paragraph" w:customStyle="1" w:styleId="TableDash">
    <w:name w:val="TableDash"/>
    <w:basedOn w:val="TableText"/>
    <w:qFormat/>
    <w:rsid w:val="000E19F8"/>
    <w:pPr>
      <w:numPr>
        <w:numId w:val="23"/>
      </w:numPr>
      <w:spacing w:before="40" w:after="0"/>
    </w:pPr>
    <w:rPr>
      <w:szCs w:val="22"/>
    </w:rPr>
  </w:style>
  <w:style w:type="paragraph" w:customStyle="1" w:styleId="Year">
    <w:name w:val="Year"/>
    <w:basedOn w:val="Subhead"/>
    <w:next w:val="Subhead"/>
    <w:qFormat/>
    <w:rsid w:val="000E19F8"/>
    <w:pPr>
      <w:pBdr>
        <w:bottom w:val="single" w:sz="48" w:space="6" w:color="auto"/>
      </w:pBdr>
    </w:pPr>
    <w:rPr>
      <w:sz w:val="56"/>
    </w:rPr>
  </w:style>
  <w:style w:type="table" w:styleId="TableGrid">
    <w:name w:val="Table Grid"/>
    <w:basedOn w:val="TableNormal"/>
    <w:uiPriority w:val="9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93914"/>
    <w:rPr>
      <w:rFonts w:cs="Times New Roman"/>
      <w:sz w:val="16"/>
    </w:rPr>
  </w:style>
  <w:style w:type="paragraph" w:styleId="CommentText">
    <w:name w:val="annotation text"/>
    <w:basedOn w:val="Normal"/>
    <w:link w:val="CommentTextChar"/>
    <w:uiPriority w:val="99"/>
    <w:semiHidden/>
    <w:rsid w:val="00793914"/>
    <w:rPr>
      <w:sz w:val="20"/>
    </w:rPr>
  </w:style>
  <w:style w:type="character" w:customStyle="1" w:styleId="CommentTextChar">
    <w:name w:val="Comment Text Char"/>
    <w:basedOn w:val="DefaultParagraphFont"/>
    <w:link w:val="CommentText"/>
    <w:uiPriority w:val="99"/>
    <w:semiHidden/>
    <w:locked/>
    <w:rsid w:val="00793914"/>
    <w:rPr>
      <w:rFonts w:ascii="Georgia" w:hAnsi="Georgia" w:cs="Times New Roman"/>
      <w:lang w:eastAsia="en-GB"/>
    </w:rPr>
  </w:style>
  <w:style w:type="paragraph" w:styleId="CommentSubject">
    <w:name w:val="annotation subject"/>
    <w:basedOn w:val="CommentText"/>
    <w:next w:val="CommentText"/>
    <w:link w:val="CommentSubjectChar"/>
    <w:uiPriority w:val="99"/>
    <w:semiHidden/>
    <w:rsid w:val="00793914"/>
    <w:rPr>
      <w:b/>
      <w:bCs/>
    </w:rPr>
  </w:style>
  <w:style w:type="character" w:customStyle="1" w:styleId="CommentSubjectChar">
    <w:name w:val="Comment Subject Char"/>
    <w:basedOn w:val="CommentTextChar"/>
    <w:link w:val="CommentSubject"/>
    <w:uiPriority w:val="99"/>
    <w:semiHidden/>
    <w:locked/>
    <w:rsid w:val="00793914"/>
    <w:rPr>
      <w:rFonts w:ascii="Georgia" w:hAnsi="Georgia" w:cs="Times New Roman"/>
      <w:b/>
      <w:lang w:eastAsia="en-GB"/>
    </w:rPr>
  </w:style>
  <w:style w:type="paragraph" w:styleId="BalloonText">
    <w:name w:val="Balloon Text"/>
    <w:basedOn w:val="Normal"/>
    <w:link w:val="BalloonTextChar"/>
    <w:uiPriority w:val="99"/>
    <w:semiHidden/>
    <w:rsid w:val="0079391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93914"/>
    <w:rPr>
      <w:rFonts w:ascii="Tahoma" w:hAnsi="Tahoma" w:cs="Times New Roman"/>
      <w:sz w:val="16"/>
      <w:lang w:eastAsia="en-GB"/>
    </w:rPr>
  </w:style>
  <w:style w:type="paragraph" w:styleId="Revision">
    <w:name w:val="Revision"/>
    <w:hidden/>
    <w:uiPriority w:val="99"/>
    <w:semiHidden/>
    <w:rsid w:val="008535DE"/>
    <w:rPr>
      <w:rFonts w:ascii="Georgia" w:hAnsi="Georgia"/>
      <w:lang w:eastAsia="en-GB"/>
    </w:rPr>
  </w:style>
  <w:style w:type="character" w:styleId="Strong">
    <w:name w:val="Strong"/>
    <w:basedOn w:val="DefaultParagraphFont"/>
    <w:uiPriority w:val="22"/>
    <w:qFormat/>
    <w:rsid w:val="000E19F8"/>
    <w:rPr>
      <w:b/>
      <w:bCs/>
    </w:rPr>
  </w:style>
  <w:style w:type="paragraph" w:styleId="ListParagraph">
    <w:name w:val="List Paragraph"/>
    <w:basedOn w:val="Normal"/>
    <w:qFormat/>
    <w:rsid w:val="000E19F8"/>
    <w:pPr>
      <w:spacing w:after="200" w:line="276" w:lineRule="auto"/>
      <w:ind w:left="720"/>
      <w:contextualSpacing/>
    </w:pPr>
    <w:rPr>
      <w:rFonts w:asciiTheme="minorHAnsi" w:eastAsiaTheme="minorEastAsia" w:hAnsiTheme="minorHAnsi" w:cstheme="minorBidi"/>
      <w:szCs w:val="22"/>
      <w:lang w:eastAsia="en-US"/>
    </w:rPr>
  </w:style>
  <w:style w:type="paragraph" w:customStyle="1" w:styleId="Default">
    <w:name w:val="Default"/>
    <w:rsid w:val="008C3F88"/>
    <w:pPr>
      <w:autoSpaceDE w:val="0"/>
      <w:autoSpaceDN w:val="0"/>
      <w:adjustRightInd w:val="0"/>
    </w:pPr>
    <w:rPr>
      <w:rFonts w:ascii="Tiempos Text Regular" w:eastAsia="Calibri" w:hAnsi="Tiempos Text Regular" w:cs="Tiempos Text Regular"/>
      <w:color w:val="000000"/>
      <w:sz w:val="24"/>
      <w:szCs w:val="24"/>
    </w:rPr>
  </w:style>
  <w:style w:type="paragraph" w:styleId="Bibliography">
    <w:name w:val="Bibliography"/>
    <w:basedOn w:val="Normal"/>
    <w:next w:val="Normal"/>
    <w:uiPriority w:val="37"/>
    <w:semiHidden/>
    <w:unhideWhenUsed/>
    <w:rsid w:val="00F800DA"/>
  </w:style>
  <w:style w:type="paragraph" w:customStyle="1" w:styleId="Body">
    <w:name w:val="Body"/>
    <w:rsid w:val="00F800DA"/>
    <w:pPr>
      <w:pBdr>
        <w:top w:val="nil"/>
        <w:left w:val="nil"/>
        <w:bottom w:val="nil"/>
        <w:right w:val="nil"/>
        <w:between w:val="nil"/>
        <w:bar w:val="nil"/>
      </w:pBdr>
      <w:spacing w:after="120" w:line="360" w:lineRule="auto"/>
    </w:pPr>
    <w:rPr>
      <w:rFonts w:ascii="Georgia" w:eastAsia="Arial Unicode MS" w:hAnsi="Georgia" w:cs="Arial Unicode MS"/>
      <w:color w:val="000000"/>
      <w:sz w:val="24"/>
      <w:szCs w:val="24"/>
      <w:u w:color="000000"/>
      <w:bdr w:val="nil"/>
      <w:lang w:val="en-US" w:eastAsia="en-US"/>
    </w:rPr>
  </w:style>
  <w:style w:type="numbering" w:customStyle="1" w:styleId="ImportedStyle1">
    <w:name w:val="Imported Style 1"/>
    <w:rsid w:val="00F800DA"/>
    <w:pPr>
      <w:numPr>
        <w:numId w:val="29"/>
      </w:numPr>
    </w:pPr>
  </w:style>
  <w:style w:type="character" w:customStyle="1" w:styleId="Link">
    <w:name w:val="Link"/>
    <w:rsid w:val="00F800DA"/>
    <w:rPr>
      <w:color w:val="0000FF"/>
      <w:u w:val="single" w:color="0000FF"/>
    </w:rPr>
  </w:style>
  <w:style w:type="character" w:customStyle="1" w:styleId="Hyperlink0">
    <w:name w:val="Hyperlink.0"/>
    <w:basedOn w:val="Link"/>
    <w:rsid w:val="00F800DA"/>
    <w:rPr>
      <w:rFonts w:ascii="Georgia" w:eastAsia="Georgia" w:hAnsi="Georgia" w:cs="Georgia"/>
      <w:i/>
      <w:iCs/>
      <w:color w:val="0000FF"/>
      <w:u w:val="single" w:color="0000FF"/>
      <w:lang w:val="en-US"/>
    </w:rPr>
  </w:style>
  <w:style w:type="numbering" w:customStyle="1" w:styleId="ImportedStyle2">
    <w:name w:val="Imported Style 2"/>
    <w:rsid w:val="00F800DA"/>
    <w:pPr>
      <w:numPr>
        <w:numId w:val="31"/>
      </w:numPr>
    </w:pPr>
  </w:style>
  <w:style w:type="character" w:customStyle="1" w:styleId="Hyperlink1">
    <w:name w:val="Hyperlink.1"/>
    <w:basedOn w:val="Link"/>
    <w:rsid w:val="00F800DA"/>
    <w:rPr>
      <w:color w:val="0000FF"/>
      <w:u w:val="single" w:color="0000FF"/>
      <w:lang w:val="en-US"/>
    </w:rPr>
  </w:style>
  <w:style w:type="paragraph" w:styleId="Subtitle">
    <w:name w:val="Subtitle"/>
    <w:basedOn w:val="Year"/>
    <w:next w:val="Normal"/>
    <w:link w:val="SubtitleChar"/>
    <w:uiPriority w:val="11"/>
    <w:qFormat/>
    <w:locked/>
    <w:rsid w:val="00F800DA"/>
    <w:pPr>
      <w:numPr>
        <w:ilvl w:val="1"/>
      </w:numPr>
      <w:spacing w:after="360"/>
      <w:ind w:right="1701"/>
    </w:pPr>
    <w:rPr>
      <w:rFonts w:eastAsiaTheme="minorEastAsia" w:cstheme="minorBidi"/>
      <w:spacing w:val="15"/>
      <w:szCs w:val="22"/>
    </w:rPr>
  </w:style>
  <w:style w:type="character" w:customStyle="1" w:styleId="SubtitleChar">
    <w:name w:val="Subtitle Char"/>
    <w:basedOn w:val="DefaultParagraphFont"/>
    <w:link w:val="Subtitle"/>
    <w:uiPriority w:val="11"/>
    <w:rsid w:val="00F800DA"/>
    <w:rPr>
      <w:rFonts w:ascii="Georgia" w:eastAsiaTheme="minorEastAsia" w:hAnsi="Georgia" w:cstheme="minorBidi"/>
      <w:spacing w:val="15"/>
      <w:sz w:val="56"/>
      <w:szCs w:val="22"/>
      <w:lang w:eastAsia="en-GB"/>
    </w:rPr>
  </w:style>
  <w:style w:type="paragraph" w:styleId="EndnoteText">
    <w:name w:val="endnote text"/>
    <w:basedOn w:val="Normal"/>
    <w:link w:val="EndnoteTextChar"/>
    <w:uiPriority w:val="99"/>
    <w:semiHidden/>
    <w:unhideWhenUsed/>
    <w:locked/>
    <w:rsid w:val="00F800DA"/>
    <w:pPr>
      <w:pBdr>
        <w:top w:val="nil"/>
        <w:left w:val="nil"/>
        <w:bottom w:val="nil"/>
        <w:right w:val="nil"/>
        <w:between w:val="nil"/>
        <w:bar w:val="nil"/>
      </w:pBdr>
      <w:spacing w:before="0" w:after="0" w:line="240" w:lineRule="auto"/>
    </w:pPr>
    <w:rPr>
      <w:rFonts w:ascii="Times New Roman" w:eastAsia="Arial Unicode MS" w:hAnsi="Times New Roman"/>
      <w:sz w:val="20"/>
      <w:bdr w:val="nil"/>
      <w:lang w:val="en-US" w:eastAsia="en-US"/>
    </w:rPr>
  </w:style>
  <w:style w:type="character" w:customStyle="1" w:styleId="EndnoteTextChar">
    <w:name w:val="Endnote Text Char"/>
    <w:basedOn w:val="DefaultParagraphFont"/>
    <w:link w:val="EndnoteText"/>
    <w:uiPriority w:val="99"/>
    <w:semiHidden/>
    <w:rsid w:val="00F800DA"/>
    <w:rPr>
      <w:rFonts w:eastAsia="Arial Unicode MS"/>
      <w:bdr w:val="nil"/>
      <w:lang w:val="en-US" w:eastAsia="en-US"/>
    </w:rPr>
  </w:style>
  <w:style w:type="character" w:styleId="EndnoteReference">
    <w:name w:val="endnote reference"/>
    <w:basedOn w:val="DefaultParagraphFont"/>
    <w:uiPriority w:val="99"/>
    <w:semiHidden/>
    <w:unhideWhenUsed/>
    <w:locked/>
    <w:rsid w:val="00F800DA"/>
    <w:rPr>
      <w:vertAlign w:val="superscript"/>
    </w:rPr>
  </w:style>
  <w:style w:type="paragraph" w:customStyle="1" w:styleId="Differentfont">
    <w:name w:val="Different font"/>
    <w:basedOn w:val="Normal"/>
    <w:rsid w:val="00E24785"/>
    <w:pPr>
      <w:spacing w:before="30" w:after="0"/>
      <w:ind w:left="567"/>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03187">
      <w:marLeft w:val="0"/>
      <w:marRight w:val="0"/>
      <w:marTop w:val="0"/>
      <w:marBottom w:val="0"/>
      <w:divBdr>
        <w:top w:val="none" w:sz="0" w:space="0" w:color="auto"/>
        <w:left w:val="none" w:sz="0" w:space="0" w:color="auto"/>
        <w:bottom w:val="none" w:sz="0" w:space="0" w:color="auto"/>
        <w:right w:val="none" w:sz="0" w:space="0" w:color="auto"/>
      </w:divBdr>
      <w:divsChild>
        <w:div w:id="1135103183">
          <w:marLeft w:val="0"/>
          <w:marRight w:val="0"/>
          <w:marTop w:val="0"/>
          <w:marBottom w:val="0"/>
          <w:divBdr>
            <w:top w:val="none" w:sz="0" w:space="0" w:color="auto"/>
            <w:left w:val="none" w:sz="0" w:space="0" w:color="auto"/>
            <w:bottom w:val="none" w:sz="0" w:space="0" w:color="auto"/>
            <w:right w:val="none" w:sz="0" w:space="0" w:color="auto"/>
          </w:divBdr>
          <w:divsChild>
            <w:div w:id="1135103184">
              <w:marLeft w:val="0"/>
              <w:marRight w:val="0"/>
              <w:marTop w:val="0"/>
              <w:marBottom w:val="0"/>
              <w:divBdr>
                <w:top w:val="none" w:sz="0" w:space="0" w:color="auto"/>
                <w:left w:val="none" w:sz="0" w:space="0" w:color="auto"/>
                <w:bottom w:val="none" w:sz="0" w:space="0" w:color="auto"/>
                <w:right w:val="none" w:sz="0" w:space="0" w:color="auto"/>
              </w:divBdr>
              <w:divsChild>
                <w:div w:id="1135103186">
                  <w:marLeft w:val="0"/>
                  <w:marRight w:val="0"/>
                  <w:marTop w:val="0"/>
                  <w:marBottom w:val="0"/>
                  <w:divBdr>
                    <w:top w:val="none" w:sz="0" w:space="0" w:color="auto"/>
                    <w:left w:val="none" w:sz="0" w:space="0" w:color="auto"/>
                    <w:bottom w:val="none" w:sz="0" w:space="0" w:color="auto"/>
                    <w:right w:val="none" w:sz="0" w:space="0" w:color="auto"/>
                  </w:divBdr>
                  <w:divsChild>
                    <w:div w:id="1135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8AD4-B143-4390-8E36-1E5DC370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15</TotalTime>
  <Pages>4</Pages>
  <Words>1381</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Completing the Medical Certificate of Causes of Fetal and Neonatal Death</vt:lpstr>
    </vt:vector>
  </TitlesOfParts>
  <Company>Ministry of Health</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Guidelines</dc:title>
  <dc:creator>Ministry of Health</dc:creator>
  <cp:lastModifiedBy>Jane Adam</cp:lastModifiedBy>
  <cp:revision>5</cp:revision>
  <cp:lastPrinted>2018-06-06T02:34:00Z</cp:lastPrinted>
  <dcterms:created xsi:type="dcterms:W3CDTF">2018-06-06T01:44:00Z</dcterms:created>
  <dcterms:modified xsi:type="dcterms:W3CDTF">2018-06-06T02:35:00Z</dcterms:modified>
</cp:coreProperties>
</file>