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740" w:type="dxa"/>
        <w:tblLook w:val="04A0" w:firstRow="1" w:lastRow="0" w:firstColumn="1" w:lastColumn="0" w:noHBand="0" w:noVBand="1"/>
      </w:tblPr>
      <w:tblGrid>
        <w:gridCol w:w="960"/>
        <w:gridCol w:w="8340"/>
        <w:gridCol w:w="1900"/>
        <w:gridCol w:w="10540"/>
      </w:tblGrid>
      <w:tr w:rsidR="009A160A" w:rsidRPr="009A160A" w14:paraId="05656734" w14:textId="77777777" w:rsidTr="009A160A">
        <w:trPr>
          <w:trHeight w:val="375"/>
        </w:trPr>
        <w:tc>
          <w:tcPr>
            <w:tcW w:w="21740" w:type="dxa"/>
            <w:gridSpan w:val="4"/>
            <w:tcBorders>
              <w:top w:val="nil"/>
              <w:left w:val="nil"/>
              <w:bottom w:val="nil"/>
              <w:right w:val="nil"/>
            </w:tcBorders>
            <w:shd w:val="clear" w:color="auto" w:fill="auto"/>
            <w:noWrap/>
            <w:vAlign w:val="bottom"/>
            <w:hideMark/>
          </w:tcPr>
          <w:p w14:paraId="3F6E4BF9" w14:textId="77777777" w:rsidR="009A160A" w:rsidRPr="00E92D65" w:rsidRDefault="009A160A" w:rsidP="00E92D65">
            <w:pPr>
              <w:pStyle w:val="Heading1"/>
            </w:pPr>
            <w:r w:rsidRPr="00E92D65">
              <w:t>PROGRESS TRACKER: ACTIONS AGREED IN HEARING AND RESPONDING TO THE STORIES OF SURVIVORS OF SURGICAL MESH</w:t>
            </w:r>
          </w:p>
        </w:tc>
      </w:tr>
      <w:tr w:rsidR="009A160A" w:rsidRPr="009A160A" w14:paraId="480AEEFC" w14:textId="77777777" w:rsidTr="009A160A">
        <w:trPr>
          <w:trHeight w:val="315"/>
        </w:trPr>
        <w:tc>
          <w:tcPr>
            <w:tcW w:w="960" w:type="dxa"/>
            <w:tcBorders>
              <w:top w:val="nil"/>
              <w:left w:val="nil"/>
              <w:bottom w:val="nil"/>
              <w:right w:val="nil"/>
            </w:tcBorders>
            <w:shd w:val="clear" w:color="auto" w:fill="auto"/>
            <w:noWrap/>
            <w:vAlign w:val="bottom"/>
            <w:hideMark/>
          </w:tcPr>
          <w:p w14:paraId="1E34DDE8" w14:textId="77777777" w:rsidR="009A160A" w:rsidRPr="009A160A" w:rsidRDefault="009A160A" w:rsidP="009A160A">
            <w:pPr>
              <w:spacing w:after="0" w:line="240" w:lineRule="auto"/>
              <w:rPr>
                <w:rFonts w:ascii="Calibri" w:eastAsia="Times New Roman" w:hAnsi="Calibri" w:cs="Calibri"/>
                <w:b/>
                <w:bCs/>
                <w:color w:val="000000"/>
                <w:sz w:val="28"/>
                <w:szCs w:val="28"/>
                <w:lang w:eastAsia="en-NZ"/>
              </w:rPr>
            </w:pPr>
          </w:p>
        </w:tc>
        <w:tc>
          <w:tcPr>
            <w:tcW w:w="8340" w:type="dxa"/>
            <w:tcBorders>
              <w:top w:val="nil"/>
              <w:left w:val="nil"/>
              <w:bottom w:val="nil"/>
              <w:right w:val="nil"/>
            </w:tcBorders>
            <w:shd w:val="clear" w:color="auto" w:fill="auto"/>
            <w:noWrap/>
            <w:vAlign w:val="bottom"/>
            <w:hideMark/>
          </w:tcPr>
          <w:p w14:paraId="6D31C09B" w14:textId="77777777" w:rsidR="009A160A" w:rsidRPr="009A160A" w:rsidRDefault="009A160A" w:rsidP="009A160A">
            <w:pPr>
              <w:spacing w:after="0" w:line="240" w:lineRule="auto"/>
              <w:rPr>
                <w:rFonts w:ascii="Times New Roman" w:eastAsia="Times New Roman" w:hAnsi="Times New Roman" w:cs="Times New Roman"/>
                <w:sz w:val="20"/>
                <w:szCs w:val="20"/>
                <w:lang w:eastAsia="en-NZ"/>
              </w:rPr>
            </w:pPr>
          </w:p>
        </w:tc>
        <w:tc>
          <w:tcPr>
            <w:tcW w:w="1900" w:type="dxa"/>
            <w:tcBorders>
              <w:top w:val="nil"/>
              <w:left w:val="nil"/>
              <w:bottom w:val="nil"/>
              <w:right w:val="nil"/>
            </w:tcBorders>
            <w:shd w:val="clear" w:color="auto" w:fill="auto"/>
            <w:noWrap/>
            <w:vAlign w:val="bottom"/>
            <w:hideMark/>
          </w:tcPr>
          <w:p w14:paraId="28B6E469" w14:textId="77777777" w:rsidR="009A160A" w:rsidRPr="009A160A" w:rsidRDefault="009A160A" w:rsidP="009A160A">
            <w:pPr>
              <w:spacing w:after="0" w:line="240" w:lineRule="auto"/>
              <w:rPr>
                <w:rFonts w:ascii="Times New Roman" w:eastAsia="Times New Roman" w:hAnsi="Times New Roman" w:cs="Times New Roman"/>
                <w:sz w:val="20"/>
                <w:szCs w:val="20"/>
                <w:lang w:eastAsia="en-NZ"/>
              </w:rPr>
            </w:pPr>
          </w:p>
        </w:tc>
        <w:tc>
          <w:tcPr>
            <w:tcW w:w="10540" w:type="dxa"/>
            <w:tcBorders>
              <w:top w:val="nil"/>
              <w:left w:val="nil"/>
              <w:bottom w:val="nil"/>
              <w:right w:val="nil"/>
            </w:tcBorders>
            <w:shd w:val="clear" w:color="auto" w:fill="auto"/>
            <w:noWrap/>
            <w:vAlign w:val="bottom"/>
            <w:hideMark/>
          </w:tcPr>
          <w:p w14:paraId="0B654B6B" w14:textId="77777777" w:rsidR="009A160A" w:rsidRPr="009A160A" w:rsidRDefault="009A160A" w:rsidP="009A160A">
            <w:pPr>
              <w:spacing w:after="0" w:line="240" w:lineRule="auto"/>
              <w:rPr>
                <w:rFonts w:ascii="Times New Roman" w:eastAsia="Times New Roman" w:hAnsi="Times New Roman" w:cs="Times New Roman"/>
                <w:sz w:val="20"/>
                <w:szCs w:val="20"/>
                <w:lang w:eastAsia="en-NZ"/>
              </w:rPr>
            </w:pPr>
          </w:p>
        </w:tc>
      </w:tr>
      <w:tr w:rsidR="009A160A" w:rsidRPr="009A160A" w14:paraId="33095ACB" w14:textId="77777777" w:rsidTr="009A160A">
        <w:trPr>
          <w:trHeight w:val="630"/>
        </w:trPr>
        <w:tc>
          <w:tcPr>
            <w:tcW w:w="21740" w:type="dxa"/>
            <w:gridSpan w:val="4"/>
            <w:tcBorders>
              <w:top w:val="nil"/>
              <w:left w:val="nil"/>
              <w:bottom w:val="nil"/>
              <w:right w:val="nil"/>
            </w:tcBorders>
            <w:shd w:val="clear" w:color="auto" w:fill="auto"/>
            <w:hideMark/>
          </w:tcPr>
          <w:p w14:paraId="667F0C57"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 xml:space="preserve">The report </w:t>
            </w:r>
            <w:r w:rsidRPr="009A160A">
              <w:rPr>
                <w:rFonts w:ascii="Calibri" w:eastAsia="Times New Roman" w:hAnsi="Calibri" w:cs="Calibri"/>
                <w:i/>
                <w:iCs/>
                <w:color w:val="000000"/>
                <w:sz w:val="24"/>
                <w:szCs w:val="24"/>
                <w:lang w:eastAsia="en-NZ"/>
              </w:rPr>
              <w:t xml:space="preserve">Hearing and Responding to the Stories of Survivors of Surgical Mesh | </w:t>
            </w:r>
            <w:proofErr w:type="spellStart"/>
            <w:r w:rsidRPr="009A160A">
              <w:rPr>
                <w:rFonts w:ascii="Calibri" w:eastAsia="Times New Roman" w:hAnsi="Calibri" w:cs="Calibri"/>
                <w:i/>
                <w:iCs/>
                <w:color w:val="000000"/>
                <w:sz w:val="24"/>
                <w:szCs w:val="24"/>
                <w:lang w:eastAsia="en-NZ"/>
              </w:rPr>
              <w:t>Ngā</w:t>
            </w:r>
            <w:proofErr w:type="spellEnd"/>
            <w:r w:rsidRPr="009A160A">
              <w:rPr>
                <w:rFonts w:ascii="Calibri" w:eastAsia="Times New Roman" w:hAnsi="Calibri" w:cs="Calibri"/>
                <w:i/>
                <w:iCs/>
                <w:color w:val="000000"/>
                <w:sz w:val="24"/>
                <w:szCs w:val="24"/>
                <w:lang w:eastAsia="en-NZ"/>
              </w:rPr>
              <w:t xml:space="preserve"> korero a </w:t>
            </w:r>
            <w:proofErr w:type="spellStart"/>
            <w:r w:rsidRPr="009A160A">
              <w:rPr>
                <w:rFonts w:ascii="Calibri" w:eastAsia="Times New Roman" w:hAnsi="Calibri" w:cs="Calibri"/>
                <w:i/>
                <w:iCs/>
                <w:color w:val="000000"/>
                <w:sz w:val="24"/>
                <w:szCs w:val="24"/>
                <w:lang w:eastAsia="en-NZ"/>
              </w:rPr>
              <w:t>ngā</w:t>
            </w:r>
            <w:proofErr w:type="spellEnd"/>
            <w:r w:rsidRPr="009A160A">
              <w:rPr>
                <w:rFonts w:ascii="Calibri" w:eastAsia="Times New Roman" w:hAnsi="Calibri" w:cs="Calibri"/>
                <w:i/>
                <w:iCs/>
                <w:color w:val="000000"/>
                <w:sz w:val="24"/>
                <w:szCs w:val="24"/>
                <w:lang w:eastAsia="en-NZ"/>
              </w:rPr>
              <w:t xml:space="preserve"> </w:t>
            </w:r>
            <w:proofErr w:type="spellStart"/>
            <w:r w:rsidRPr="009A160A">
              <w:rPr>
                <w:rFonts w:ascii="Calibri" w:eastAsia="Times New Roman" w:hAnsi="Calibri" w:cs="Calibri"/>
                <w:i/>
                <w:iCs/>
                <w:color w:val="000000"/>
                <w:sz w:val="24"/>
                <w:szCs w:val="24"/>
                <w:lang w:eastAsia="en-NZ"/>
              </w:rPr>
              <w:t>mōrehu</w:t>
            </w:r>
            <w:proofErr w:type="spellEnd"/>
            <w:r w:rsidRPr="009A160A">
              <w:rPr>
                <w:rFonts w:ascii="Calibri" w:eastAsia="Times New Roman" w:hAnsi="Calibri" w:cs="Calibri"/>
                <w:i/>
                <w:iCs/>
                <w:color w:val="000000"/>
                <w:sz w:val="24"/>
                <w:szCs w:val="24"/>
                <w:lang w:eastAsia="en-NZ"/>
              </w:rPr>
              <w:t xml:space="preserve"> - he </w:t>
            </w:r>
            <w:proofErr w:type="spellStart"/>
            <w:r w:rsidRPr="009A160A">
              <w:rPr>
                <w:rFonts w:ascii="Calibri" w:eastAsia="Times New Roman" w:hAnsi="Calibri" w:cs="Calibri"/>
                <w:i/>
                <w:iCs/>
                <w:color w:val="000000"/>
                <w:sz w:val="24"/>
                <w:szCs w:val="24"/>
                <w:lang w:eastAsia="en-NZ"/>
              </w:rPr>
              <w:t>urupare</w:t>
            </w:r>
            <w:proofErr w:type="spellEnd"/>
            <w:r w:rsidRPr="009A160A">
              <w:rPr>
                <w:rFonts w:ascii="Calibri" w:eastAsia="Times New Roman" w:hAnsi="Calibri" w:cs="Calibri"/>
                <w:color w:val="000000"/>
                <w:sz w:val="24"/>
                <w:szCs w:val="24"/>
                <w:lang w:eastAsia="en-NZ"/>
              </w:rPr>
              <w:t xml:space="preserve"> contained nineteen actions agreed by stakeholder representatives to respond to the needs identified through the restorative process and address surgical mesh harm. </w:t>
            </w:r>
          </w:p>
        </w:tc>
      </w:tr>
      <w:tr w:rsidR="009A160A" w:rsidRPr="009A160A" w14:paraId="32CCCE65" w14:textId="77777777" w:rsidTr="009A160A">
        <w:trPr>
          <w:trHeight w:val="315"/>
        </w:trPr>
        <w:tc>
          <w:tcPr>
            <w:tcW w:w="960" w:type="dxa"/>
            <w:tcBorders>
              <w:top w:val="nil"/>
              <w:left w:val="nil"/>
              <w:bottom w:val="nil"/>
              <w:right w:val="nil"/>
            </w:tcBorders>
            <w:shd w:val="clear" w:color="auto" w:fill="auto"/>
            <w:noWrap/>
            <w:vAlign w:val="bottom"/>
            <w:hideMark/>
          </w:tcPr>
          <w:p w14:paraId="08ECFAE3"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p>
        </w:tc>
        <w:tc>
          <w:tcPr>
            <w:tcW w:w="8340" w:type="dxa"/>
            <w:tcBorders>
              <w:top w:val="nil"/>
              <w:left w:val="nil"/>
              <w:bottom w:val="nil"/>
              <w:right w:val="nil"/>
            </w:tcBorders>
            <w:shd w:val="clear" w:color="auto" w:fill="auto"/>
            <w:noWrap/>
            <w:vAlign w:val="bottom"/>
            <w:hideMark/>
          </w:tcPr>
          <w:p w14:paraId="0661817A" w14:textId="77777777" w:rsidR="009A160A" w:rsidRPr="009A160A" w:rsidRDefault="009A160A" w:rsidP="009A160A">
            <w:pPr>
              <w:spacing w:after="0" w:line="240" w:lineRule="auto"/>
              <w:rPr>
                <w:rFonts w:ascii="Times New Roman" w:eastAsia="Times New Roman" w:hAnsi="Times New Roman" w:cs="Times New Roman"/>
                <w:sz w:val="20"/>
                <w:szCs w:val="20"/>
                <w:lang w:eastAsia="en-NZ"/>
              </w:rPr>
            </w:pPr>
          </w:p>
        </w:tc>
        <w:tc>
          <w:tcPr>
            <w:tcW w:w="1900" w:type="dxa"/>
            <w:tcBorders>
              <w:top w:val="nil"/>
              <w:left w:val="nil"/>
              <w:bottom w:val="nil"/>
              <w:right w:val="nil"/>
            </w:tcBorders>
            <w:shd w:val="clear" w:color="auto" w:fill="auto"/>
            <w:noWrap/>
            <w:vAlign w:val="bottom"/>
            <w:hideMark/>
          </w:tcPr>
          <w:p w14:paraId="65B0E2D6" w14:textId="77777777" w:rsidR="009A160A" w:rsidRPr="009A160A" w:rsidRDefault="009A160A" w:rsidP="009A160A">
            <w:pPr>
              <w:spacing w:after="0" w:line="240" w:lineRule="auto"/>
              <w:rPr>
                <w:rFonts w:ascii="Times New Roman" w:eastAsia="Times New Roman" w:hAnsi="Times New Roman" w:cs="Times New Roman"/>
                <w:sz w:val="20"/>
                <w:szCs w:val="20"/>
                <w:lang w:eastAsia="en-NZ"/>
              </w:rPr>
            </w:pPr>
          </w:p>
        </w:tc>
        <w:tc>
          <w:tcPr>
            <w:tcW w:w="10540" w:type="dxa"/>
            <w:tcBorders>
              <w:top w:val="nil"/>
              <w:left w:val="nil"/>
              <w:bottom w:val="nil"/>
              <w:right w:val="nil"/>
            </w:tcBorders>
            <w:shd w:val="clear" w:color="auto" w:fill="auto"/>
            <w:noWrap/>
            <w:vAlign w:val="bottom"/>
            <w:hideMark/>
          </w:tcPr>
          <w:p w14:paraId="4DFB0A73" w14:textId="77777777" w:rsidR="009A160A" w:rsidRPr="009A160A" w:rsidRDefault="009A160A" w:rsidP="009A160A">
            <w:pPr>
              <w:spacing w:after="0" w:line="240" w:lineRule="auto"/>
              <w:rPr>
                <w:rFonts w:ascii="Times New Roman" w:eastAsia="Times New Roman" w:hAnsi="Times New Roman" w:cs="Times New Roman"/>
                <w:sz w:val="20"/>
                <w:szCs w:val="20"/>
                <w:lang w:eastAsia="en-NZ"/>
              </w:rPr>
            </w:pPr>
          </w:p>
        </w:tc>
      </w:tr>
      <w:tr w:rsidR="009A160A" w:rsidRPr="009A160A" w14:paraId="64A01CB0" w14:textId="77777777" w:rsidTr="009A160A">
        <w:trPr>
          <w:trHeight w:val="675"/>
        </w:trPr>
        <w:tc>
          <w:tcPr>
            <w:tcW w:w="21740" w:type="dxa"/>
            <w:gridSpan w:val="4"/>
            <w:tcBorders>
              <w:top w:val="nil"/>
              <w:left w:val="nil"/>
              <w:bottom w:val="nil"/>
              <w:right w:val="nil"/>
            </w:tcBorders>
            <w:shd w:val="clear" w:color="auto" w:fill="auto"/>
            <w:hideMark/>
          </w:tcPr>
          <w:p w14:paraId="7616D2C1"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The table below tracks progress in delivering these actions. Actions identified as COMPLETED are those where the action has been delivered and no further activity is required/expected. Actions identified as ONGOING are those that have been delivered but some level of ongoing implementation is required and will occur. Actions identified as IN PROGRESS are those that are underway and not yet delivered.</w:t>
            </w:r>
          </w:p>
        </w:tc>
      </w:tr>
      <w:tr w:rsidR="009A160A" w:rsidRPr="009A160A" w14:paraId="77A32F5B" w14:textId="77777777" w:rsidTr="009A160A">
        <w:trPr>
          <w:trHeight w:val="300"/>
        </w:trPr>
        <w:tc>
          <w:tcPr>
            <w:tcW w:w="960" w:type="dxa"/>
            <w:tcBorders>
              <w:top w:val="nil"/>
              <w:left w:val="nil"/>
              <w:bottom w:val="nil"/>
              <w:right w:val="nil"/>
            </w:tcBorders>
            <w:shd w:val="clear" w:color="auto" w:fill="auto"/>
            <w:hideMark/>
          </w:tcPr>
          <w:p w14:paraId="6D797F66"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p>
        </w:tc>
        <w:tc>
          <w:tcPr>
            <w:tcW w:w="8340" w:type="dxa"/>
            <w:tcBorders>
              <w:top w:val="nil"/>
              <w:left w:val="nil"/>
              <w:bottom w:val="nil"/>
              <w:right w:val="nil"/>
            </w:tcBorders>
            <w:shd w:val="clear" w:color="auto" w:fill="auto"/>
            <w:hideMark/>
          </w:tcPr>
          <w:p w14:paraId="691968BC" w14:textId="77777777" w:rsidR="009A160A" w:rsidRPr="009A160A" w:rsidRDefault="009A160A" w:rsidP="009A160A">
            <w:pPr>
              <w:spacing w:after="0" w:line="240" w:lineRule="auto"/>
              <w:rPr>
                <w:rFonts w:ascii="Times New Roman" w:eastAsia="Times New Roman" w:hAnsi="Times New Roman" w:cs="Times New Roman"/>
                <w:sz w:val="20"/>
                <w:szCs w:val="20"/>
                <w:lang w:eastAsia="en-NZ"/>
              </w:rPr>
            </w:pPr>
          </w:p>
        </w:tc>
        <w:tc>
          <w:tcPr>
            <w:tcW w:w="1900" w:type="dxa"/>
            <w:tcBorders>
              <w:top w:val="nil"/>
              <w:left w:val="nil"/>
              <w:bottom w:val="nil"/>
              <w:right w:val="nil"/>
            </w:tcBorders>
            <w:shd w:val="clear" w:color="auto" w:fill="auto"/>
            <w:hideMark/>
          </w:tcPr>
          <w:p w14:paraId="0ED3D7BB" w14:textId="77777777" w:rsidR="009A160A" w:rsidRPr="009A160A" w:rsidRDefault="009A160A" w:rsidP="009A160A">
            <w:pPr>
              <w:spacing w:after="0" w:line="240" w:lineRule="auto"/>
              <w:rPr>
                <w:rFonts w:ascii="Times New Roman" w:eastAsia="Times New Roman" w:hAnsi="Times New Roman" w:cs="Times New Roman"/>
                <w:sz w:val="20"/>
                <w:szCs w:val="20"/>
                <w:lang w:eastAsia="en-NZ"/>
              </w:rPr>
            </w:pPr>
          </w:p>
        </w:tc>
        <w:tc>
          <w:tcPr>
            <w:tcW w:w="10540" w:type="dxa"/>
            <w:tcBorders>
              <w:top w:val="nil"/>
              <w:left w:val="nil"/>
              <w:bottom w:val="nil"/>
              <w:right w:val="nil"/>
            </w:tcBorders>
            <w:shd w:val="clear" w:color="auto" w:fill="auto"/>
            <w:hideMark/>
          </w:tcPr>
          <w:p w14:paraId="7007D5D5" w14:textId="77777777" w:rsidR="009A160A" w:rsidRPr="009A160A" w:rsidRDefault="009A160A" w:rsidP="009A160A">
            <w:pPr>
              <w:spacing w:after="0" w:line="240" w:lineRule="auto"/>
              <w:rPr>
                <w:rFonts w:ascii="Times New Roman" w:eastAsia="Times New Roman" w:hAnsi="Times New Roman" w:cs="Times New Roman"/>
                <w:sz w:val="20"/>
                <w:szCs w:val="20"/>
                <w:lang w:eastAsia="en-NZ"/>
              </w:rPr>
            </w:pPr>
          </w:p>
        </w:tc>
      </w:tr>
      <w:tr w:rsidR="009A160A" w:rsidRPr="009A160A" w14:paraId="617E3D73" w14:textId="77777777" w:rsidTr="009A160A">
        <w:trPr>
          <w:trHeight w:val="645"/>
        </w:trPr>
        <w:tc>
          <w:tcPr>
            <w:tcW w:w="21740" w:type="dxa"/>
            <w:gridSpan w:val="4"/>
            <w:tcBorders>
              <w:top w:val="nil"/>
              <w:left w:val="nil"/>
              <w:bottom w:val="nil"/>
              <w:right w:val="nil"/>
            </w:tcBorders>
            <w:shd w:val="clear" w:color="auto" w:fill="auto"/>
            <w:hideMark/>
          </w:tcPr>
          <w:p w14:paraId="4A5CB450"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 xml:space="preserve">Where status is coloured </w:t>
            </w:r>
            <w:r w:rsidRPr="009A160A">
              <w:rPr>
                <w:rFonts w:ascii="Calibri" w:eastAsia="Times New Roman" w:hAnsi="Calibri" w:cs="Calibri"/>
                <w:color w:val="70AD47"/>
                <w:sz w:val="24"/>
                <w:szCs w:val="24"/>
                <w:lang w:eastAsia="en-NZ"/>
              </w:rPr>
              <w:t>GREEN</w:t>
            </w:r>
            <w:r w:rsidRPr="009A160A">
              <w:rPr>
                <w:rFonts w:ascii="Calibri" w:eastAsia="Times New Roman" w:hAnsi="Calibri" w:cs="Calibri"/>
                <w:color w:val="000000"/>
                <w:sz w:val="24"/>
                <w:szCs w:val="24"/>
                <w:lang w:eastAsia="en-NZ"/>
              </w:rPr>
              <w:t xml:space="preserve"> this means the action is on track. </w:t>
            </w:r>
            <w:r w:rsidRPr="009A160A">
              <w:rPr>
                <w:rFonts w:ascii="Calibri" w:eastAsia="Times New Roman" w:hAnsi="Calibri" w:cs="Calibri"/>
                <w:color w:val="FFC000"/>
                <w:sz w:val="24"/>
                <w:szCs w:val="24"/>
                <w:lang w:eastAsia="en-NZ"/>
              </w:rPr>
              <w:t>AMBER</w:t>
            </w:r>
            <w:r w:rsidRPr="009A160A">
              <w:rPr>
                <w:rFonts w:ascii="Calibri" w:eastAsia="Times New Roman" w:hAnsi="Calibri" w:cs="Calibri"/>
                <w:color w:val="000000"/>
                <w:sz w:val="24"/>
                <w:szCs w:val="24"/>
                <w:lang w:eastAsia="en-NZ"/>
              </w:rPr>
              <w:t xml:space="preserve"> means there are some delays and/or issues impacting delivery. </w:t>
            </w:r>
            <w:r w:rsidRPr="009A160A">
              <w:rPr>
                <w:rFonts w:ascii="Calibri" w:eastAsia="Times New Roman" w:hAnsi="Calibri" w:cs="Calibri"/>
                <w:color w:val="FF0000"/>
                <w:sz w:val="24"/>
                <w:szCs w:val="24"/>
                <w:lang w:eastAsia="en-NZ"/>
              </w:rPr>
              <w:t>RED</w:t>
            </w:r>
            <w:r w:rsidRPr="009A160A">
              <w:rPr>
                <w:rFonts w:ascii="Calibri" w:eastAsia="Times New Roman" w:hAnsi="Calibri" w:cs="Calibri"/>
                <w:color w:val="000000"/>
                <w:sz w:val="24"/>
                <w:szCs w:val="24"/>
                <w:lang w:eastAsia="en-NZ"/>
              </w:rPr>
              <w:t xml:space="preserve"> means the action is off track and/or experiencing significant issues impacting delivery.</w:t>
            </w:r>
          </w:p>
        </w:tc>
      </w:tr>
      <w:tr w:rsidR="009A160A" w:rsidRPr="009A160A" w14:paraId="201103AE" w14:textId="77777777" w:rsidTr="009A160A">
        <w:trPr>
          <w:trHeight w:val="300"/>
        </w:trPr>
        <w:tc>
          <w:tcPr>
            <w:tcW w:w="960" w:type="dxa"/>
            <w:tcBorders>
              <w:top w:val="nil"/>
              <w:left w:val="nil"/>
              <w:bottom w:val="nil"/>
              <w:right w:val="nil"/>
            </w:tcBorders>
            <w:shd w:val="clear" w:color="auto" w:fill="auto"/>
            <w:noWrap/>
            <w:vAlign w:val="bottom"/>
            <w:hideMark/>
          </w:tcPr>
          <w:p w14:paraId="43083D31"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p>
        </w:tc>
        <w:tc>
          <w:tcPr>
            <w:tcW w:w="8340" w:type="dxa"/>
            <w:tcBorders>
              <w:top w:val="nil"/>
              <w:left w:val="nil"/>
              <w:bottom w:val="nil"/>
              <w:right w:val="nil"/>
            </w:tcBorders>
            <w:shd w:val="clear" w:color="auto" w:fill="auto"/>
            <w:noWrap/>
            <w:vAlign w:val="bottom"/>
            <w:hideMark/>
          </w:tcPr>
          <w:p w14:paraId="2E206787" w14:textId="77777777" w:rsidR="009A160A" w:rsidRPr="009A160A" w:rsidRDefault="009A160A" w:rsidP="009A160A">
            <w:pPr>
              <w:spacing w:after="0" w:line="240" w:lineRule="auto"/>
              <w:rPr>
                <w:rFonts w:ascii="Times New Roman" w:eastAsia="Times New Roman" w:hAnsi="Times New Roman" w:cs="Times New Roman"/>
                <w:sz w:val="20"/>
                <w:szCs w:val="20"/>
                <w:lang w:eastAsia="en-NZ"/>
              </w:rPr>
            </w:pPr>
          </w:p>
        </w:tc>
        <w:tc>
          <w:tcPr>
            <w:tcW w:w="1900" w:type="dxa"/>
            <w:tcBorders>
              <w:top w:val="nil"/>
              <w:left w:val="nil"/>
              <w:bottom w:val="nil"/>
              <w:right w:val="nil"/>
            </w:tcBorders>
            <w:shd w:val="clear" w:color="auto" w:fill="auto"/>
            <w:noWrap/>
            <w:vAlign w:val="bottom"/>
            <w:hideMark/>
          </w:tcPr>
          <w:p w14:paraId="2C308102" w14:textId="77777777" w:rsidR="009A160A" w:rsidRPr="009A160A" w:rsidRDefault="009A160A" w:rsidP="009A160A">
            <w:pPr>
              <w:spacing w:after="0" w:line="240" w:lineRule="auto"/>
              <w:rPr>
                <w:rFonts w:ascii="Times New Roman" w:eastAsia="Times New Roman" w:hAnsi="Times New Roman" w:cs="Times New Roman"/>
                <w:sz w:val="20"/>
                <w:szCs w:val="20"/>
                <w:lang w:eastAsia="en-NZ"/>
              </w:rPr>
            </w:pPr>
          </w:p>
        </w:tc>
        <w:tc>
          <w:tcPr>
            <w:tcW w:w="10540" w:type="dxa"/>
            <w:tcBorders>
              <w:top w:val="nil"/>
              <w:left w:val="nil"/>
              <w:bottom w:val="nil"/>
              <w:right w:val="nil"/>
            </w:tcBorders>
            <w:shd w:val="clear" w:color="auto" w:fill="auto"/>
            <w:noWrap/>
            <w:vAlign w:val="bottom"/>
            <w:hideMark/>
          </w:tcPr>
          <w:p w14:paraId="5BD1F0D5" w14:textId="77777777" w:rsidR="009A160A" w:rsidRPr="009A160A" w:rsidRDefault="009A160A" w:rsidP="009A160A">
            <w:pPr>
              <w:spacing w:after="0" w:line="240" w:lineRule="auto"/>
              <w:rPr>
                <w:rFonts w:ascii="Times New Roman" w:eastAsia="Times New Roman" w:hAnsi="Times New Roman" w:cs="Times New Roman"/>
                <w:sz w:val="20"/>
                <w:szCs w:val="20"/>
                <w:lang w:eastAsia="en-NZ"/>
              </w:rPr>
            </w:pPr>
          </w:p>
        </w:tc>
      </w:tr>
      <w:tr w:rsidR="009A160A" w:rsidRPr="009A160A" w14:paraId="7A4C8ACA" w14:textId="77777777" w:rsidTr="009A160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7C6FE0E" w14:textId="77777777" w:rsidR="009A160A" w:rsidRPr="009A160A" w:rsidRDefault="009A160A" w:rsidP="009A160A">
            <w:pPr>
              <w:spacing w:after="0" w:line="240" w:lineRule="auto"/>
              <w:rPr>
                <w:rFonts w:ascii="Calibri" w:eastAsia="Times New Roman" w:hAnsi="Calibri" w:cs="Calibri"/>
                <w:b/>
                <w:bCs/>
                <w:color w:val="000000"/>
                <w:sz w:val="24"/>
                <w:szCs w:val="24"/>
                <w:lang w:eastAsia="en-NZ"/>
              </w:rPr>
            </w:pPr>
            <w:r w:rsidRPr="009A160A">
              <w:rPr>
                <w:rFonts w:ascii="Calibri" w:eastAsia="Times New Roman" w:hAnsi="Calibri" w:cs="Calibri"/>
                <w:b/>
                <w:bCs/>
                <w:color w:val="000000"/>
                <w:sz w:val="24"/>
                <w:szCs w:val="24"/>
                <w:lang w:eastAsia="en-NZ"/>
              </w:rPr>
              <w:t>Action</w:t>
            </w:r>
          </w:p>
        </w:tc>
        <w:tc>
          <w:tcPr>
            <w:tcW w:w="8340" w:type="dxa"/>
            <w:tcBorders>
              <w:top w:val="single" w:sz="4" w:space="0" w:color="auto"/>
              <w:left w:val="nil"/>
              <w:bottom w:val="single" w:sz="4" w:space="0" w:color="auto"/>
              <w:right w:val="single" w:sz="4" w:space="0" w:color="auto"/>
            </w:tcBorders>
            <w:shd w:val="clear" w:color="auto" w:fill="auto"/>
            <w:noWrap/>
            <w:hideMark/>
          </w:tcPr>
          <w:p w14:paraId="380D42BE" w14:textId="77777777" w:rsidR="009A160A" w:rsidRPr="009A160A" w:rsidRDefault="009A160A" w:rsidP="009A160A">
            <w:pPr>
              <w:spacing w:after="0" w:line="240" w:lineRule="auto"/>
              <w:rPr>
                <w:rFonts w:ascii="Calibri" w:eastAsia="Times New Roman" w:hAnsi="Calibri" w:cs="Calibri"/>
                <w:b/>
                <w:bCs/>
                <w:color w:val="000000"/>
                <w:sz w:val="24"/>
                <w:szCs w:val="24"/>
                <w:lang w:eastAsia="en-NZ"/>
              </w:rPr>
            </w:pPr>
            <w:r w:rsidRPr="009A160A">
              <w:rPr>
                <w:rFonts w:ascii="Calibri" w:eastAsia="Times New Roman" w:hAnsi="Calibri" w:cs="Calibri"/>
                <w:b/>
                <w:bCs/>
                <w:color w:val="000000"/>
                <w:sz w:val="24"/>
                <w:szCs w:val="24"/>
                <w:lang w:eastAsia="en-NZ"/>
              </w:rPr>
              <w:t>Description</w:t>
            </w:r>
          </w:p>
        </w:tc>
        <w:tc>
          <w:tcPr>
            <w:tcW w:w="1900" w:type="dxa"/>
            <w:tcBorders>
              <w:top w:val="single" w:sz="4" w:space="0" w:color="auto"/>
              <w:left w:val="nil"/>
              <w:bottom w:val="single" w:sz="4" w:space="0" w:color="auto"/>
              <w:right w:val="single" w:sz="4" w:space="0" w:color="auto"/>
            </w:tcBorders>
            <w:shd w:val="clear" w:color="auto" w:fill="auto"/>
            <w:noWrap/>
            <w:hideMark/>
          </w:tcPr>
          <w:p w14:paraId="6FC63CD3" w14:textId="77777777" w:rsidR="009A160A" w:rsidRPr="009A160A" w:rsidRDefault="009A160A" w:rsidP="009A160A">
            <w:pPr>
              <w:spacing w:after="0" w:line="240" w:lineRule="auto"/>
              <w:rPr>
                <w:rFonts w:ascii="Calibri" w:eastAsia="Times New Roman" w:hAnsi="Calibri" w:cs="Calibri"/>
                <w:b/>
                <w:bCs/>
                <w:color w:val="000000"/>
                <w:sz w:val="24"/>
                <w:szCs w:val="24"/>
                <w:lang w:eastAsia="en-NZ"/>
              </w:rPr>
            </w:pPr>
            <w:r w:rsidRPr="009A160A">
              <w:rPr>
                <w:rFonts w:ascii="Calibri" w:eastAsia="Times New Roman" w:hAnsi="Calibri" w:cs="Calibri"/>
                <w:b/>
                <w:bCs/>
                <w:color w:val="000000"/>
                <w:sz w:val="24"/>
                <w:szCs w:val="24"/>
                <w:lang w:eastAsia="en-NZ"/>
              </w:rPr>
              <w:t>Status</w:t>
            </w:r>
          </w:p>
        </w:tc>
        <w:tc>
          <w:tcPr>
            <w:tcW w:w="10540" w:type="dxa"/>
            <w:tcBorders>
              <w:top w:val="single" w:sz="4" w:space="0" w:color="auto"/>
              <w:left w:val="nil"/>
              <w:bottom w:val="single" w:sz="4" w:space="0" w:color="auto"/>
              <w:right w:val="single" w:sz="4" w:space="0" w:color="auto"/>
            </w:tcBorders>
            <w:shd w:val="clear" w:color="auto" w:fill="auto"/>
            <w:noWrap/>
            <w:hideMark/>
          </w:tcPr>
          <w:p w14:paraId="231867A3" w14:textId="77777777" w:rsidR="009A160A" w:rsidRPr="009A160A" w:rsidRDefault="009A160A" w:rsidP="009A160A">
            <w:pPr>
              <w:spacing w:after="0" w:line="240" w:lineRule="auto"/>
              <w:rPr>
                <w:rFonts w:ascii="Calibri" w:eastAsia="Times New Roman" w:hAnsi="Calibri" w:cs="Calibri"/>
                <w:b/>
                <w:bCs/>
                <w:color w:val="000000"/>
                <w:sz w:val="24"/>
                <w:szCs w:val="24"/>
                <w:lang w:eastAsia="en-NZ"/>
              </w:rPr>
            </w:pPr>
            <w:r w:rsidRPr="009A160A">
              <w:rPr>
                <w:rFonts w:ascii="Calibri" w:eastAsia="Times New Roman" w:hAnsi="Calibri" w:cs="Calibri"/>
                <w:b/>
                <w:bCs/>
                <w:color w:val="000000"/>
                <w:sz w:val="24"/>
                <w:szCs w:val="24"/>
                <w:lang w:eastAsia="en-NZ"/>
              </w:rPr>
              <w:t>Comment</w:t>
            </w:r>
          </w:p>
        </w:tc>
      </w:tr>
      <w:tr w:rsidR="00E42849" w:rsidRPr="009A160A" w14:paraId="51EAC165" w14:textId="77777777" w:rsidTr="44CC1582">
        <w:trPr>
          <w:trHeight w:val="1575"/>
        </w:trPr>
        <w:tc>
          <w:tcPr>
            <w:tcW w:w="960" w:type="dxa"/>
            <w:tcBorders>
              <w:top w:val="nil"/>
              <w:left w:val="single" w:sz="4" w:space="0" w:color="auto"/>
              <w:bottom w:val="single" w:sz="4" w:space="0" w:color="auto"/>
              <w:right w:val="single" w:sz="4" w:space="0" w:color="auto"/>
            </w:tcBorders>
            <w:shd w:val="clear" w:color="auto" w:fill="FFFFFF" w:themeFill="background1"/>
            <w:noWrap/>
            <w:hideMark/>
          </w:tcPr>
          <w:p w14:paraId="65755886"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1</w:t>
            </w:r>
          </w:p>
        </w:tc>
        <w:tc>
          <w:tcPr>
            <w:tcW w:w="8340" w:type="dxa"/>
            <w:tcBorders>
              <w:top w:val="nil"/>
              <w:left w:val="nil"/>
              <w:bottom w:val="single" w:sz="4" w:space="0" w:color="auto"/>
              <w:right w:val="single" w:sz="4" w:space="0" w:color="auto"/>
            </w:tcBorders>
            <w:shd w:val="clear" w:color="auto" w:fill="FFFFFF" w:themeFill="background1"/>
            <w:hideMark/>
          </w:tcPr>
          <w:p w14:paraId="61D1F14F"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The severity of the harm from surgical mesh should be acknowledged when the report is released publicly.</w:t>
            </w:r>
          </w:p>
        </w:tc>
        <w:tc>
          <w:tcPr>
            <w:tcW w:w="1900" w:type="dxa"/>
            <w:tcBorders>
              <w:top w:val="nil"/>
              <w:left w:val="nil"/>
              <w:bottom w:val="single" w:sz="4" w:space="0" w:color="auto"/>
              <w:right w:val="single" w:sz="4" w:space="0" w:color="auto"/>
            </w:tcBorders>
            <w:shd w:val="clear" w:color="auto" w:fill="A9D08E"/>
            <w:noWrap/>
            <w:hideMark/>
          </w:tcPr>
          <w:p w14:paraId="4E233B5D"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COMPLETED</w:t>
            </w:r>
          </w:p>
        </w:tc>
        <w:tc>
          <w:tcPr>
            <w:tcW w:w="10540" w:type="dxa"/>
            <w:tcBorders>
              <w:top w:val="nil"/>
              <w:left w:val="nil"/>
              <w:bottom w:val="single" w:sz="4" w:space="0" w:color="auto"/>
              <w:right w:val="single" w:sz="4" w:space="0" w:color="auto"/>
            </w:tcBorders>
            <w:shd w:val="clear" w:color="auto" w:fill="FFFFFF" w:themeFill="background1"/>
            <w:hideMark/>
          </w:tcPr>
          <w:p w14:paraId="109CF6C7" w14:textId="283C606C" w:rsid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b/>
                <w:bCs/>
                <w:color w:val="000000"/>
                <w:sz w:val="24"/>
                <w:szCs w:val="24"/>
                <w:lang w:eastAsia="en-NZ"/>
              </w:rPr>
              <w:t>December 2021</w:t>
            </w:r>
            <w:r w:rsidRPr="009A160A">
              <w:rPr>
                <w:rFonts w:ascii="Calibri" w:eastAsia="Times New Roman" w:hAnsi="Calibri" w:cs="Calibri"/>
                <w:color w:val="000000"/>
                <w:sz w:val="24"/>
                <w:szCs w:val="24"/>
                <w:lang w:eastAsia="en-NZ"/>
              </w:rPr>
              <w:t xml:space="preserve"> - The Ministry of Health is working with the Minister's Office to release the evaluation of the Restorative Justice process.                                                                                                          </w:t>
            </w:r>
          </w:p>
          <w:p w14:paraId="38A94C8E" w14:textId="529DF3C0"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b/>
                <w:bCs/>
                <w:color w:val="000000"/>
                <w:sz w:val="24"/>
                <w:szCs w:val="24"/>
                <w:lang w:eastAsia="en-NZ"/>
              </w:rPr>
              <w:t>March 2022</w:t>
            </w:r>
            <w:r w:rsidRPr="009A160A">
              <w:rPr>
                <w:rFonts w:ascii="Calibri" w:eastAsia="Times New Roman" w:hAnsi="Calibri" w:cs="Calibri"/>
                <w:color w:val="000000"/>
                <w:sz w:val="24"/>
                <w:szCs w:val="24"/>
                <w:lang w:eastAsia="en-NZ"/>
              </w:rPr>
              <w:t xml:space="preserve"> - Minister Verrall agreed on 16 March 2021 to go ahead with publishing the report. A meeting is being scheduled with Carmel Berry and Jo Wailing (VUW) to discuss the comms approach and agree the key messages.                                                                              </w:t>
            </w:r>
            <w:r w:rsidRPr="009A160A">
              <w:rPr>
                <w:rFonts w:ascii="Calibri" w:eastAsia="Times New Roman" w:hAnsi="Calibri" w:cs="Calibri"/>
                <w:color w:val="000000"/>
                <w:sz w:val="24"/>
                <w:szCs w:val="24"/>
                <w:lang w:eastAsia="en-NZ"/>
              </w:rPr>
              <w:br/>
            </w:r>
            <w:r w:rsidRPr="009A160A">
              <w:rPr>
                <w:rFonts w:ascii="Calibri" w:eastAsia="Times New Roman" w:hAnsi="Calibri" w:cs="Calibri"/>
                <w:b/>
                <w:bCs/>
                <w:color w:val="000000"/>
                <w:sz w:val="24"/>
                <w:szCs w:val="24"/>
                <w:lang w:eastAsia="en-NZ"/>
              </w:rPr>
              <w:t xml:space="preserve">May 2022 </w:t>
            </w:r>
            <w:r w:rsidRPr="009A160A">
              <w:rPr>
                <w:rFonts w:ascii="Calibri" w:eastAsia="Times New Roman" w:hAnsi="Calibri" w:cs="Calibri"/>
                <w:color w:val="000000"/>
                <w:sz w:val="24"/>
                <w:szCs w:val="24"/>
                <w:lang w:eastAsia="en-NZ"/>
              </w:rPr>
              <w:t>- The report was published by the MoH.</w:t>
            </w:r>
          </w:p>
        </w:tc>
      </w:tr>
      <w:tr w:rsidR="00E42849" w:rsidRPr="009A160A" w14:paraId="010B38F6" w14:textId="77777777" w:rsidTr="44CC1582">
        <w:trPr>
          <w:trHeight w:val="945"/>
        </w:trPr>
        <w:tc>
          <w:tcPr>
            <w:tcW w:w="960" w:type="dxa"/>
            <w:tcBorders>
              <w:top w:val="nil"/>
              <w:left w:val="single" w:sz="4" w:space="0" w:color="auto"/>
              <w:bottom w:val="single" w:sz="4" w:space="0" w:color="auto"/>
              <w:right w:val="single" w:sz="4" w:space="0" w:color="auto"/>
            </w:tcBorders>
            <w:shd w:val="clear" w:color="auto" w:fill="FFFFFF" w:themeFill="background1"/>
            <w:noWrap/>
            <w:hideMark/>
          </w:tcPr>
          <w:p w14:paraId="360A296B"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2</w:t>
            </w:r>
          </w:p>
        </w:tc>
        <w:tc>
          <w:tcPr>
            <w:tcW w:w="8340" w:type="dxa"/>
            <w:tcBorders>
              <w:top w:val="nil"/>
              <w:left w:val="nil"/>
              <w:bottom w:val="single" w:sz="4" w:space="0" w:color="auto"/>
              <w:right w:val="single" w:sz="4" w:space="0" w:color="auto"/>
            </w:tcBorders>
            <w:shd w:val="clear" w:color="auto" w:fill="FFFFFF" w:themeFill="background1"/>
            <w:hideMark/>
          </w:tcPr>
          <w:p w14:paraId="3EE3ACA9"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The Ministry of Health was identified as the coordinating agency for each workstream.</w:t>
            </w:r>
          </w:p>
        </w:tc>
        <w:tc>
          <w:tcPr>
            <w:tcW w:w="1900" w:type="dxa"/>
            <w:tcBorders>
              <w:top w:val="nil"/>
              <w:left w:val="nil"/>
              <w:bottom w:val="single" w:sz="4" w:space="0" w:color="auto"/>
              <w:right w:val="single" w:sz="4" w:space="0" w:color="auto"/>
            </w:tcBorders>
            <w:shd w:val="clear" w:color="auto" w:fill="A9D08E"/>
            <w:hideMark/>
          </w:tcPr>
          <w:p w14:paraId="3F63B17A"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ONGOING</w:t>
            </w:r>
          </w:p>
        </w:tc>
        <w:tc>
          <w:tcPr>
            <w:tcW w:w="10540" w:type="dxa"/>
            <w:tcBorders>
              <w:top w:val="nil"/>
              <w:left w:val="nil"/>
              <w:bottom w:val="single" w:sz="4" w:space="0" w:color="auto"/>
              <w:right w:val="single" w:sz="4" w:space="0" w:color="auto"/>
            </w:tcBorders>
            <w:shd w:val="clear" w:color="auto" w:fill="FFFFFF" w:themeFill="background1"/>
            <w:hideMark/>
          </w:tcPr>
          <w:p w14:paraId="6E9C663E" w14:textId="6643D061"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 xml:space="preserve">The Ministry of Health handed over responsibility of implementation of the specialist service to Te Whatu Ora in 2022. The Ministry will oversee the 2024 credentialling rounds and from 2025, Te Whatu Ora will assume the responsibility for this or its equivalent in quality and safety. </w:t>
            </w:r>
          </w:p>
        </w:tc>
      </w:tr>
      <w:tr w:rsidR="00E42849" w:rsidRPr="009A160A" w14:paraId="6EEDA663" w14:textId="77777777" w:rsidTr="44CC1582">
        <w:trPr>
          <w:trHeight w:val="630"/>
        </w:trPr>
        <w:tc>
          <w:tcPr>
            <w:tcW w:w="960" w:type="dxa"/>
            <w:tcBorders>
              <w:top w:val="nil"/>
              <w:left w:val="single" w:sz="4" w:space="0" w:color="auto"/>
              <w:bottom w:val="single" w:sz="4" w:space="0" w:color="auto"/>
              <w:right w:val="single" w:sz="4" w:space="0" w:color="auto"/>
            </w:tcBorders>
            <w:shd w:val="clear" w:color="auto" w:fill="FFFFFF" w:themeFill="background1"/>
            <w:noWrap/>
            <w:hideMark/>
          </w:tcPr>
          <w:p w14:paraId="2694E027"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3</w:t>
            </w:r>
          </w:p>
        </w:tc>
        <w:tc>
          <w:tcPr>
            <w:tcW w:w="8340" w:type="dxa"/>
            <w:tcBorders>
              <w:top w:val="nil"/>
              <w:left w:val="nil"/>
              <w:bottom w:val="single" w:sz="4" w:space="0" w:color="auto"/>
              <w:right w:val="single" w:sz="4" w:space="0" w:color="auto"/>
            </w:tcBorders>
            <w:shd w:val="clear" w:color="auto" w:fill="FFFFFF" w:themeFill="background1"/>
            <w:hideMark/>
          </w:tcPr>
          <w:p w14:paraId="38680725"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A collaborative approach is required to respond to harm from surgical mesh, and groups that should collaborate were identified for each workstream.</w:t>
            </w:r>
          </w:p>
        </w:tc>
        <w:tc>
          <w:tcPr>
            <w:tcW w:w="1900" w:type="dxa"/>
            <w:tcBorders>
              <w:top w:val="nil"/>
              <w:left w:val="nil"/>
              <w:bottom w:val="single" w:sz="4" w:space="0" w:color="auto"/>
              <w:right w:val="single" w:sz="4" w:space="0" w:color="auto"/>
            </w:tcBorders>
            <w:shd w:val="clear" w:color="auto" w:fill="A9D08E"/>
            <w:hideMark/>
          </w:tcPr>
          <w:p w14:paraId="09E6E6A8"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ONGOING</w:t>
            </w:r>
          </w:p>
        </w:tc>
        <w:tc>
          <w:tcPr>
            <w:tcW w:w="10540" w:type="dxa"/>
            <w:tcBorders>
              <w:top w:val="nil"/>
              <w:left w:val="nil"/>
              <w:bottom w:val="single" w:sz="4" w:space="0" w:color="auto"/>
              <w:right w:val="single" w:sz="4" w:space="0" w:color="auto"/>
            </w:tcBorders>
            <w:shd w:val="clear" w:color="auto" w:fill="FFFFFF" w:themeFill="background1"/>
            <w:hideMark/>
          </w:tcPr>
          <w:p w14:paraId="7A2B6C7B"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A collaborative approach is being taken with broad representation involved in each workstream.</w:t>
            </w:r>
          </w:p>
        </w:tc>
      </w:tr>
      <w:tr w:rsidR="00E42849" w:rsidRPr="009A160A" w14:paraId="74271615" w14:textId="77777777" w:rsidTr="44CC1582">
        <w:trPr>
          <w:trHeight w:val="645"/>
        </w:trPr>
        <w:tc>
          <w:tcPr>
            <w:tcW w:w="960" w:type="dxa"/>
            <w:tcBorders>
              <w:top w:val="nil"/>
              <w:left w:val="single" w:sz="4" w:space="0" w:color="auto"/>
              <w:bottom w:val="single" w:sz="4" w:space="0" w:color="auto"/>
              <w:right w:val="single" w:sz="4" w:space="0" w:color="auto"/>
            </w:tcBorders>
            <w:shd w:val="clear" w:color="auto" w:fill="FFFFFF" w:themeFill="background1"/>
            <w:noWrap/>
            <w:hideMark/>
          </w:tcPr>
          <w:p w14:paraId="2E151FF9"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4</w:t>
            </w:r>
          </w:p>
        </w:tc>
        <w:tc>
          <w:tcPr>
            <w:tcW w:w="8340" w:type="dxa"/>
            <w:tcBorders>
              <w:top w:val="nil"/>
              <w:left w:val="nil"/>
              <w:bottom w:val="single" w:sz="4" w:space="0" w:color="auto"/>
              <w:right w:val="single" w:sz="4" w:space="0" w:color="auto"/>
            </w:tcBorders>
            <w:shd w:val="clear" w:color="auto" w:fill="FFFFFF" w:themeFill="background1"/>
            <w:hideMark/>
          </w:tcPr>
          <w:p w14:paraId="7B785E9B"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The Health and Disability Commission will promote the visibility of their national advocacy service.</w:t>
            </w:r>
          </w:p>
        </w:tc>
        <w:tc>
          <w:tcPr>
            <w:tcW w:w="1900" w:type="dxa"/>
            <w:tcBorders>
              <w:top w:val="nil"/>
              <w:left w:val="nil"/>
              <w:bottom w:val="single" w:sz="4" w:space="0" w:color="auto"/>
              <w:right w:val="single" w:sz="4" w:space="0" w:color="auto"/>
            </w:tcBorders>
            <w:shd w:val="clear" w:color="auto" w:fill="A9D08E"/>
            <w:hideMark/>
          </w:tcPr>
          <w:p w14:paraId="53D267A1"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ONGOING</w:t>
            </w:r>
          </w:p>
        </w:tc>
        <w:tc>
          <w:tcPr>
            <w:tcW w:w="10540" w:type="dxa"/>
            <w:tcBorders>
              <w:top w:val="nil"/>
              <w:left w:val="nil"/>
              <w:bottom w:val="single" w:sz="4" w:space="0" w:color="auto"/>
              <w:right w:val="single" w:sz="4" w:space="0" w:color="auto"/>
            </w:tcBorders>
            <w:shd w:val="clear" w:color="auto" w:fill="FFFFFF" w:themeFill="background1"/>
            <w:hideMark/>
          </w:tcPr>
          <w:p w14:paraId="49DE6720"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The Nationwide Health and Disability Advocacy Service is a free service that operates independently from all health and disability service providers and agencies. They have a freephone 0800 555 050 and website.</w:t>
            </w:r>
          </w:p>
        </w:tc>
      </w:tr>
      <w:tr w:rsidR="009A160A" w:rsidRPr="009A160A" w14:paraId="36C1815C" w14:textId="77777777" w:rsidTr="44CC1582">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14:paraId="1A870D35"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5</w:t>
            </w:r>
          </w:p>
        </w:tc>
        <w:tc>
          <w:tcPr>
            <w:tcW w:w="8340" w:type="dxa"/>
            <w:tcBorders>
              <w:top w:val="nil"/>
              <w:left w:val="nil"/>
              <w:bottom w:val="single" w:sz="4" w:space="0" w:color="auto"/>
              <w:right w:val="single" w:sz="4" w:space="0" w:color="auto"/>
            </w:tcBorders>
            <w:shd w:val="clear" w:color="auto" w:fill="auto"/>
            <w:hideMark/>
          </w:tcPr>
          <w:p w14:paraId="4A125B2F"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Attendees will share the final report with their professional members/within agencies.</w:t>
            </w:r>
          </w:p>
        </w:tc>
        <w:tc>
          <w:tcPr>
            <w:tcW w:w="1900" w:type="dxa"/>
            <w:tcBorders>
              <w:top w:val="nil"/>
              <w:left w:val="nil"/>
              <w:bottom w:val="nil"/>
              <w:right w:val="nil"/>
            </w:tcBorders>
            <w:shd w:val="clear" w:color="auto" w:fill="A9D08E"/>
            <w:noWrap/>
            <w:hideMark/>
          </w:tcPr>
          <w:p w14:paraId="3D40E501"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COMPLETED</w:t>
            </w:r>
          </w:p>
        </w:tc>
        <w:tc>
          <w:tcPr>
            <w:tcW w:w="10540" w:type="dxa"/>
            <w:tcBorders>
              <w:top w:val="nil"/>
              <w:left w:val="single" w:sz="4" w:space="0" w:color="auto"/>
              <w:bottom w:val="single" w:sz="4" w:space="0" w:color="auto"/>
              <w:right w:val="single" w:sz="4" w:space="0" w:color="auto"/>
            </w:tcBorders>
            <w:shd w:val="clear" w:color="auto" w:fill="auto"/>
            <w:hideMark/>
          </w:tcPr>
          <w:p w14:paraId="7D9E2369"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The report has been widely shared across the health sector by health professionals, including medical colleges, and health organisations.</w:t>
            </w:r>
          </w:p>
        </w:tc>
      </w:tr>
      <w:tr w:rsidR="00955EC8" w:rsidRPr="009A160A" w14:paraId="0E9E8884" w14:textId="77777777" w:rsidTr="44CC1582">
        <w:trPr>
          <w:trHeight w:val="2205"/>
        </w:trPr>
        <w:tc>
          <w:tcPr>
            <w:tcW w:w="960" w:type="dxa"/>
            <w:tcBorders>
              <w:top w:val="nil"/>
              <w:left w:val="single" w:sz="4" w:space="0" w:color="auto"/>
              <w:bottom w:val="single" w:sz="4" w:space="0" w:color="auto"/>
              <w:right w:val="single" w:sz="4" w:space="0" w:color="auto"/>
            </w:tcBorders>
            <w:shd w:val="clear" w:color="auto" w:fill="auto"/>
            <w:noWrap/>
            <w:hideMark/>
          </w:tcPr>
          <w:p w14:paraId="388C76F8"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6</w:t>
            </w:r>
          </w:p>
        </w:tc>
        <w:tc>
          <w:tcPr>
            <w:tcW w:w="8340" w:type="dxa"/>
            <w:tcBorders>
              <w:top w:val="nil"/>
              <w:left w:val="nil"/>
              <w:bottom w:val="single" w:sz="4" w:space="0" w:color="auto"/>
              <w:right w:val="single" w:sz="4" w:space="0" w:color="auto"/>
            </w:tcBorders>
            <w:shd w:val="clear" w:color="auto" w:fill="auto"/>
            <w:hideMark/>
          </w:tcPr>
          <w:p w14:paraId="7FBCEC0B"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The surgical mesh round table is considered an appropriate group to oversee the delivery of the workstreams. To restore trust, there was an expectation of transparent reporting and regular public updates to communicate progress.</w:t>
            </w:r>
          </w:p>
        </w:tc>
        <w:tc>
          <w:tcPr>
            <w:tcW w:w="1900" w:type="dxa"/>
            <w:tcBorders>
              <w:top w:val="single" w:sz="4" w:space="0" w:color="auto"/>
              <w:left w:val="nil"/>
              <w:bottom w:val="single" w:sz="4" w:space="0" w:color="auto"/>
              <w:right w:val="single" w:sz="4" w:space="0" w:color="auto"/>
            </w:tcBorders>
            <w:shd w:val="clear" w:color="auto" w:fill="A9D08E"/>
            <w:hideMark/>
          </w:tcPr>
          <w:p w14:paraId="0DB86E0A"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ONGOING</w:t>
            </w:r>
          </w:p>
        </w:tc>
        <w:tc>
          <w:tcPr>
            <w:tcW w:w="10540" w:type="dxa"/>
            <w:tcBorders>
              <w:top w:val="nil"/>
              <w:left w:val="nil"/>
              <w:bottom w:val="single" w:sz="4" w:space="0" w:color="auto"/>
              <w:right w:val="single" w:sz="4" w:space="0" w:color="auto"/>
            </w:tcBorders>
            <w:shd w:val="clear" w:color="auto" w:fill="auto"/>
            <w:hideMark/>
          </w:tcPr>
          <w:p w14:paraId="77623BD6" w14:textId="48F3E6AE" w:rsidR="009A160A" w:rsidRPr="009A160A" w:rsidRDefault="00981655" w:rsidP="009A160A">
            <w:pPr>
              <w:spacing w:after="0" w:line="240" w:lineRule="auto"/>
              <w:rPr>
                <w:rFonts w:ascii="Calibri" w:eastAsia="Times New Roman" w:hAnsi="Calibri" w:cs="Calibri"/>
                <w:color w:val="000000"/>
                <w:sz w:val="24"/>
                <w:szCs w:val="24"/>
                <w:lang w:eastAsia="en-NZ"/>
              </w:rPr>
            </w:pPr>
            <w:hyperlink r:id="rId4" w:history="1">
              <w:r w:rsidR="009A160A" w:rsidRPr="00981655">
                <w:rPr>
                  <w:rStyle w:val="Hyperlink"/>
                  <w:rFonts w:ascii="Calibri" w:eastAsia="Times New Roman" w:hAnsi="Calibri" w:cs="Calibri"/>
                  <w:sz w:val="24"/>
                  <w:szCs w:val="24"/>
                  <w:lang w:eastAsia="en-NZ"/>
                </w:rPr>
                <w:t>Terms of Reference for the Surgical Mesh Roundtable</w:t>
              </w:r>
            </w:hyperlink>
            <w:r w:rsidR="009A160A" w:rsidRPr="009A160A">
              <w:rPr>
                <w:rFonts w:ascii="Calibri" w:eastAsia="Times New Roman" w:hAnsi="Calibri" w:cs="Calibri"/>
                <w:color w:val="000000" w:themeColor="text1"/>
                <w:sz w:val="24"/>
                <w:szCs w:val="24"/>
                <w:lang w:eastAsia="en-NZ"/>
              </w:rPr>
              <w:t xml:space="preserve"> have been published establishing that it is responsible for providing oversight and monitoring of the surgical mesh work programme, including the actions and recommendations arising from the Health Committee and Restorative Justice reports. The group also provides advice and recommendations to the Ministry of Health. </w:t>
            </w:r>
            <w:r w:rsidR="009A160A" w:rsidRPr="009A160A">
              <w:br/>
            </w:r>
            <w:r w:rsidR="009A160A" w:rsidRPr="009A160A">
              <w:br/>
            </w:r>
            <w:r w:rsidR="009A160A" w:rsidRPr="009A160A">
              <w:rPr>
                <w:rFonts w:ascii="Calibri" w:eastAsia="Times New Roman" w:hAnsi="Calibri" w:cs="Calibri"/>
                <w:sz w:val="24"/>
                <w:szCs w:val="24"/>
                <w:lang w:eastAsia="en-NZ"/>
              </w:rPr>
              <w:t>Public updates to communicate progress on the surgical mesh programme and workstreams</w:t>
            </w:r>
            <w:r w:rsidR="009A160A" w:rsidRPr="009A160A">
              <w:rPr>
                <w:rFonts w:ascii="Calibri" w:eastAsia="Times New Roman" w:hAnsi="Calibri" w:cs="Calibri"/>
                <w:color w:val="000000" w:themeColor="text1"/>
                <w:sz w:val="24"/>
                <w:szCs w:val="24"/>
                <w:lang w:eastAsia="en-NZ"/>
              </w:rPr>
              <w:t xml:space="preserve"> have so far been published on the Ministry website in May and September 2020. </w:t>
            </w:r>
            <w:r w:rsidR="009A160A" w:rsidRPr="009A160A">
              <w:rPr>
                <w:rFonts w:ascii="Calibri" w:eastAsia="Times New Roman" w:hAnsi="Calibri" w:cs="Calibri"/>
                <w:sz w:val="24"/>
                <w:szCs w:val="24"/>
                <w:lang w:eastAsia="en-NZ"/>
              </w:rPr>
              <w:t>This requires ongoing action.</w:t>
            </w:r>
            <w:r w:rsidR="009A160A" w:rsidRPr="009A160A">
              <w:br/>
            </w:r>
            <w:r w:rsidR="009A160A" w:rsidRPr="009A160A">
              <w:br/>
            </w:r>
            <w:r w:rsidR="009A160A" w:rsidRPr="009A160A">
              <w:rPr>
                <w:rFonts w:ascii="Calibri" w:eastAsia="Times New Roman" w:hAnsi="Calibri" w:cs="Calibri"/>
                <w:b/>
                <w:bCs/>
                <w:sz w:val="24"/>
                <w:szCs w:val="24"/>
                <w:lang w:eastAsia="en-NZ"/>
              </w:rPr>
              <w:t xml:space="preserve">October 2023 </w:t>
            </w:r>
            <w:proofErr w:type="gramStart"/>
            <w:r w:rsidR="009A160A" w:rsidRPr="009A160A">
              <w:rPr>
                <w:rFonts w:ascii="Calibri" w:eastAsia="Times New Roman" w:hAnsi="Calibri" w:cs="Calibri"/>
                <w:sz w:val="24"/>
                <w:szCs w:val="24"/>
                <w:lang w:eastAsia="en-NZ"/>
              </w:rPr>
              <w:t>The</w:t>
            </w:r>
            <w:proofErr w:type="gramEnd"/>
            <w:r w:rsidR="009A160A" w:rsidRPr="009A160A">
              <w:rPr>
                <w:rFonts w:ascii="Calibri" w:eastAsia="Times New Roman" w:hAnsi="Calibri" w:cs="Calibri"/>
                <w:sz w:val="24"/>
                <w:szCs w:val="24"/>
                <w:lang w:eastAsia="en-NZ"/>
              </w:rPr>
              <w:t xml:space="preserve"> terms of reference for the mesh round table were reviewed in October and the updated version can be found online</w:t>
            </w:r>
            <w:r w:rsidR="69848C36" w:rsidRPr="055CFEE2">
              <w:rPr>
                <w:rFonts w:ascii="Calibri" w:eastAsia="Times New Roman" w:hAnsi="Calibri" w:cs="Calibri"/>
                <w:sz w:val="24"/>
                <w:szCs w:val="24"/>
                <w:lang w:eastAsia="en-NZ"/>
              </w:rPr>
              <w:t>.</w:t>
            </w:r>
          </w:p>
        </w:tc>
      </w:tr>
      <w:tr w:rsidR="009A160A" w:rsidRPr="009A160A" w14:paraId="502C4660" w14:textId="77777777" w:rsidTr="44CC1582">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14:paraId="72E7E885"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7</w:t>
            </w:r>
          </w:p>
        </w:tc>
        <w:tc>
          <w:tcPr>
            <w:tcW w:w="8340" w:type="dxa"/>
            <w:tcBorders>
              <w:top w:val="nil"/>
              <w:left w:val="nil"/>
              <w:bottom w:val="single" w:sz="4" w:space="0" w:color="auto"/>
              <w:right w:val="single" w:sz="4" w:space="0" w:color="auto"/>
            </w:tcBorders>
            <w:shd w:val="clear" w:color="auto" w:fill="auto"/>
            <w:hideMark/>
          </w:tcPr>
          <w:p w14:paraId="45D03BD7"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Consumers will be reimbursed when participating in the co-design of each workstream.</w:t>
            </w:r>
          </w:p>
        </w:tc>
        <w:tc>
          <w:tcPr>
            <w:tcW w:w="1900" w:type="dxa"/>
            <w:tcBorders>
              <w:top w:val="nil"/>
              <w:left w:val="nil"/>
              <w:bottom w:val="single" w:sz="4" w:space="0" w:color="auto"/>
              <w:right w:val="single" w:sz="4" w:space="0" w:color="auto"/>
            </w:tcBorders>
            <w:shd w:val="clear" w:color="auto" w:fill="A9D08E"/>
            <w:hideMark/>
          </w:tcPr>
          <w:p w14:paraId="609474F4"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ONGOING</w:t>
            </w:r>
          </w:p>
        </w:tc>
        <w:tc>
          <w:tcPr>
            <w:tcW w:w="10540" w:type="dxa"/>
            <w:tcBorders>
              <w:top w:val="nil"/>
              <w:left w:val="nil"/>
              <w:bottom w:val="single" w:sz="4" w:space="0" w:color="auto"/>
              <w:right w:val="single" w:sz="4" w:space="0" w:color="auto"/>
            </w:tcBorders>
            <w:shd w:val="clear" w:color="auto" w:fill="auto"/>
            <w:hideMark/>
          </w:tcPr>
          <w:p w14:paraId="3A57AA47"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This principle has been established and is clear in the Terms of Reference of the groups established to date.</w:t>
            </w:r>
          </w:p>
        </w:tc>
      </w:tr>
      <w:tr w:rsidR="009A160A" w:rsidRPr="009A160A" w14:paraId="6B1D5B8F" w14:textId="77777777" w:rsidTr="009B1B8D">
        <w:trPr>
          <w:trHeight w:val="3534"/>
        </w:trPr>
        <w:tc>
          <w:tcPr>
            <w:tcW w:w="960" w:type="dxa"/>
            <w:tcBorders>
              <w:top w:val="nil"/>
              <w:left w:val="single" w:sz="4" w:space="0" w:color="auto"/>
              <w:bottom w:val="single" w:sz="4" w:space="0" w:color="auto"/>
              <w:right w:val="single" w:sz="4" w:space="0" w:color="auto"/>
            </w:tcBorders>
            <w:shd w:val="clear" w:color="auto" w:fill="auto"/>
            <w:noWrap/>
            <w:hideMark/>
          </w:tcPr>
          <w:p w14:paraId="4D94AFE2"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lastRenderedPageBreak/>
              <w:t>8</w:t>
            </w:r>
          </w:p>
        </w:tc>
        <w:tc>
          <w:tcPr>
            <w:tcW w:w="8340" w:type="dxa"/>
            <w:tcBorders>
              <w:top w:val="nil"/>
              <w:left w:val="nil"/>
              <w:bottom w:val="single" w:sz="4" w:space="0" w:color="auto"/>
              <w:right w:val="single" w:sz="4" w:space="0" w:color="auto"/>
            </w:tcBorders>
            <w:shd w:val="clear" w:color="auto" w:fill="auto"/>
            <w:hideMark/>
          </w:tcPr>
          <w:p w14:paraId="5C2C573A"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Specialist multi-disciplinary centre(s) are required. A group will meet in January 2020 to advise: the number of specialist centres required to ensure equity of access, the model of care and team required. This may be informed by learning from successful models elsewhere.</w:t>
            </w:r>
          </w:p>
        </w:tc>
        <w:tc>
          <w:tcPr>
            <w:tcW w:w="1900" w:type="dxa"/>
            <w:tcBorders>
              <w:top w:val="nil"/>
              <w:left w:val="nil"/>
              <w:bottom w:val="single" w:sz="4" w:space="0" w:color="auto"/>
              <w:right w:val="single" w:sz="4" w:space="0" w:color="auto"/>
            </w:tcBorders>
            <w:shd w:val="clear" w:color="auto" w:fill="FFD966" w:themeFill="accent4" w:themeFillTint="99"/>
            <w:noWrap/>
            <w:hideMark/>
          </w:tcPr>
          <w:p w14:paraId="2C1B3C04"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IN PROGRESS</w:t>
            </w:r>
          </w:p>
        </w:tc>
        <w:tc>
          <w:tcPr>
            <w:tcW w:w="10540" w:type="dxa"/>
            <w:tcBorders>
              <w:top w:val="nil"/>
              <w:left w:val="nil"/>
              <w:bottom w:val="single" w:sz="4" w:space="0" w:color="auto"/>
              <w:right w:val="single" w:sz="4" w:space="0" w:color="auto"/>
            </w:tcBorders>
            <w:shd w:val="clear" w:color="auto" w:fill="auto"/>
            <w:hideMark/>
          </w:tcPr>
          <w:p w14:paraId="2BDA272B" w14:textId="344465E9" w:rsidR="009A160A" w:rsidRPr="009A160A" w:rsidRDefault="00EB5DD5" w:rsidP="009A160A">
            <w:pPr>
              <w:spacing w:after="0" w:line="240" w:lineRule="auto"/>
              <w:rPr>
                <w:rFonts w:ascii="Calibri" w:eastAsia="Times New Roman" w:hAnsi="Calibri" w:cs="Calibri"/>
                <w:color w:val="000000"/>
                <w:sz w:val="24"/>
                <w:szCs w:val="24"/>
                <w:lang w:eastAsia="en-NZ"/>
              </w:rPr>
            </w:pPr>
            <w:r w:rsidRPr="009B1B8D">
              <w:rPr>
                <w:rFonts w:ascii="Calibri" w:eastAsia="Times New Roman" w:hAnsi="Calibri" w:cs="Calibri"/>
                <w:b/>
                <w:bCs/>
                <w:sz w:val="24"/>
                <w:szCs w:val="24"/>
                <w:lang w:eastAsia="en-NZ"/>
              </w:rPr>
              <w:t xml:space="preserve">November </w:t>
            </w:r>
            <w:r w:rsidR="00DC19C2" w:rsidRPr="009B1B8D">
              <w:rPr>
                <w:rFonts w:ascii="Calibri" w:eastAsia="Times New Roman" w:hAnsi="Calibri" w:cs="Calibri"/>
                <w:b/>
                <w:bCs/>
                <w:sz w:val="24"/>
                <w:szCs w:val="24"/>
                <w:lang w:eastAsia="en-NZ"/>
              </w:rPr>
              <w:t>20</w:t>
            </w:r>
            <w:r w:rsidR="009A160A" w:rsidRPr="009A160A">
              <w:rPr>
                <w:rFonts w:ascii="Calibri" w:eastAsia="Times New Roman" w:hAnsi="Calibri" w:cs="Calibri"/>
                <w:b/>
                <w:sz w:val="24"/>
                <w:szCs w:val="24"/>
                <w:lang w:eastAsia="en-NZ"/>
              </w:rPr>
              <w:t>23</w:t>
            </w:r>
            <w:r w:rsidR="009A160A" w:rsidRPr="009A160A">
              <w:br/>
            </w:r>
            <w:r w:rsidR="009A160A" w:rsidRPr="009A160A">
              <w:rPr>
                <w:rFonts w:ascii="Calibri" w:eastAsia="Times New Roman" w:hAnsi="Calibri" w:cs="Calibri"/>
                <w:sz w:val="24"/>
                <w:szCs w:val="24"/>
                <w:lang w:eastAsia="en-NZ"/>
              </w:rPr>
              <w:t xml:space="preserve">In January 2023 a team of 54 stakeholders from a wide range of discipline, </w:t>
            </w:r>
            <w:proofErr w:type="gramStart"/>
            <w:r w:rsidR="009A160A" w:rsidRPr="009A160A">
              <w:rPr>
                <w:rFonts w:ascii="Calibri" w:eastAsia="Times New Roman" w:hAnsi="Calibri" w:cs="Calibri"/>
                <w:sz w:val="24"/>
                <w:szCs w:val="24"/>
                <w:lang w:eastAsia="en-NZ"/>
              </w:rPr>
              <w:t>agencies</w:t>
            </w:r>
            <w:proofErr w:type="gramEnd"/>
            <w:r w:rsidR="009A160A" w:rsidRPr="009A160A">
              <w:rPr>
                <w:rFonts w:ascii="Calibri" w:eastAsia="Times New Roman" w:hAnsi="Calibri" w:cs="Calibri"/>
                <w:sz w:val="24"/>
                <w:szCs w:val="24"/>
                <w:lang w:eastAsia="en-NZ"/>
              </w:rPr>
              <w:t xml:space="preserve"> and services, including six mesh injured consumer advisors undertook to plan and facilitate the operationalisation of the Ministry of Health Model of Care document (2022).  The team continued to meet and work on aspects of the Service until late June 2023.  </w:t>
            </w:r>
            <w:r w:rsidR="009A160A" w:rsidRPr="009A160A">
              <w:br/>
            </w:r>
            <w:r w:rsidR="009A160A" w:rsidRPr="009A160A">
              <w:rPr>
                <w:rFonts w:ascii="Calibri" w:eastAsia="Times New Roman" w:hAnsi="Calibri" w:cs="Calibri"/>
                <w:sz w:val="24"/>
                <w:szCs w:val="24"/>
                <w:lang w:eastAsia="en-NZ"/>
              </w:rPr>
              <w:t xml:space="preserve">The New Zealand Female Pelvic Mesh Service opened to referrals in late April 2023, with a northern hub in </w:t>
            </w:r>
            <w:proofErr w:type="spellStart"/>
            <w:r w:rsidR="009A160A" w:rsidRPr="009A160A">
              <w:rPr>
                <w:rFonts w:ascii="Calibri" w:eastAsia="Times New Roman" w:hAnsi="Calibri" w:cs="Calibri"/>
                <w:sz w:val="24"/>
                <w:szCs w:val="24"/>
                <w:lang w:eastAsia="en-NZ"/>
              </w:rPr>
              <w:t>Tāmaki</w:t>
            </w:r>
            <w:proofErr w:type="spellEnd"/>
            <w:r w:rsidR="009A160A" w:rsidRPr="009A160A">
              <w:rPr>
                <w:rFonts w:ascii="Calibri" w:eastAsia="Times New Roman" w:hAnsi="Calibri" w:cs="Calibri"/>
                <w:sz w:val="24"/>
                <w:szCs w:val="24"/>
                <w:lang w:eastAsia="en-NZ"/>
              </w:rPr>
              <w:t xml:space="preserve"> Makaurau (Auckland) and southern hub in </w:t>
            </w:r>
            <w:proofErr w:type="spellStart"/>
            <w:r w:rsidR="00E969F7" w:rsidRPr="009A160A">
              <w:rPr>
                <w:rFonts w:ascii="Calibri" w:eastAsia="Times New Roman" w:hAnsi="Calibri" w:cs="Calibri"/>
                <w:sz w:val="24"/>
                <w:szCs w:val="24"/>
                <w:lang w:eastAsia="en-NZ"/>
              </w:rPr>
              <w:t>Ōtautahi</w:t>
            </w:r>
            <w:proofErr w:type="spellEnd"/>
            <w:r w:rsidR="00E969F7" w:rsidRPr="009A160A">
              <w:rPr>
                <w:rFonts w:ascii="Calibri" w:eastAsia="Times New Roman" w:hAnsi="Calibri" w:cs="Calibri"/>
                <w:sz w:val="24"/>
                <w:szCs w:val="24"/>
                <w:lang w:eastAsia="en-NZ"/>
              </w:rPr>
              <w:t xml:space="preserve"> (</w:t>
            </w:r>
            <w:r w:rsidR="009A160A" w:rsidRPr="009A160A">
              <w:rPr>
                <w:rFonts w:ascii="Calibri" w:eastAsia="Times New Roman" w:hAnsi="Calibri" w:cs="Calibri"/>
                <w:sz w:val="24"/>
                <w:szCs w:val="24"/>
                <w:lang w:eastAsia="en-NZ"/>
              </w:rPr>
              <w:t xml:space="preserve">Christchurch).  The Service opened with Health Navigators, specialist nurses, service coordinators and surgeons.  </w:t>
            </w:r>
            <w:r w:rsidR="009A160A" w:rsidRPr="009A160A">
              <w:br/>
            </w:r>
            <w:r w:rsidR="3171E25B" w:rsidRPr="6F84F521">
              <w:rPr>
                <w:rFonts w:ascii="Calibri" w:eastAsia="Times New Roman" w:hAnsi="Calibri" w:cs="Calibri"/>
                <w:sz w:val="24"/>
                <w:szCs w:val="24"/>
                <w:lang w:eastAsia="en-NZ"/>
              </w:rPr>
              <w:t>As of November 2023</w:t>
            </w:r>
            <w:r w:rsidR="009A160A" w:rsidRPr="009A160A">
              <w:rPr>
                <w:rFonts w:ascii="Calibri" w:eastAsia="Times New Roman" w:hAnsi="Calibri" w:cs="Calibri"/>
                <w:sz w:val="24"/>
                <w:szCs w:val="24"/>
                <w:lang w:eastAsia="en-NZ"/>
              </w:rPr>
              <w:t>, there have been 210 referrals</w:t>
            </w:r>
            <w:r w:rsidR="7FEDF617" w:rsidRPr="6F84F521">
              <w:rPr>
                <w:rFonts w:ascii="Calibri" w:eastAsia="Times New Roman" w:hAnsi="Calibri" w:cs="Calibri"/>
                <w:sz w:val="24"/>
                <w:szCs w:val="24"/>
                <w:lang w:eastAsia="en-NZ"/>
              </w:rPr>
              <w:t xml:space="preserve"> to the service</w:t>
            </w:r>
            <w:r w:rsidR="009A160A" w:rsidRPr="009A160A">
              <w:rPr>
                <w:rFonts w:ascii="Calibri" w:eastAsia="Times New Roman" w:hAnsi="Calibri" w:cs="Calibri"/>
                <w:sz w:val="24"/>
                <w:szCs w:val="24"/>
                <w:lang w:eastAsia="en-NZ"/>
              </w:rPr>
              <w:t xml:space="preserve">.  </w:t>
            </w:r>
            <w:r w:rsidR="009A160A" w:rsidRPr="009A160A">
              <w:br/>
            </w:r>
            <w:r w:rsidR="009A160A" w:rsidRPr="009A160A">
              <w:br/>
            </w:r>
            <w:r w:rsidR="009A160A" w:rsidRPr="009A160A">
              <w:rPr>
                <w:rFonts w:ascii="Calibri" w:eastAsia="Times New Roman" w:hAnsi="Calibri" w:cs="Calibri"/>
                <w:sz w:val="24"/>
                <w:szCs w:val="24"/>
                <w:lang w:eastAsia="en-NZ"/>
              </w:rPr>
              <w:t xml:space="preserve">The national co-leads and booking and scheduling administrators’ roles are currently being recruited to. All other foundation roles are in place.  </w:t>
            </w:r>
          </w:p>
        </w:tc>
      </w:tr>
      <w:tr w:rsidR="009A160A" w:rsidRPr="009A160A" w14:paraId="20B9C51D" w14:textId="77777777" w:rsidTr="44CC1582">
        <w:trPr>
          <w:trHeight w:val="1260"/>
        </w:trPr>
        <w:tc>
          <w:tcPr>
            <w:tcW w:w="960" w:type="dxa"/>
            <w:tcBorders>
              <w:top w:val="nil"/>
              <w:left w:val="single" w:sz="4" w:space="0" w:color="auto"/>
              <w:bottom w:val="single" w:sz="4" w:space="0" w:color="auto"/>
              <w:right w:val="single" w:sz="4" w:space="0" w:color="auto"/>
            </w:tcBorders>
            <w:shd w:val="clear" w:color="auto" w:fill="auto"/>
            <w:noWrap/>
            <w:hideMark/>
          </w:tcPr>
          <w:p w14:paraId="604E6CF7"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9</w:t>
            </w:r>
          </w:p>
        </w:tc>
        <w:tc>
          <w:tcPr>
            <w:tcW w:w="8340" w:type="dxa"/>
            <w:tcBorders>
              <w:top w:val="nil"/>
              <w:left w:val="nil"/>
              <w:bottom w:val="single" w:sz="4" w:space="0" w:color="auto"/>
              <w:right w:val="single" w:sz="4" w:space="0" w:color="auto"/>
            </w:tcBorders>
            <w:shd w:val="clear" w:color="auto" w:fill="auto"/>
            <w:hideMark/>
          </w:tcPr>
          <w:p w14:paraId="3BB72EDA" w14:textId="5055C2E0"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Establish a credentialing committee by the end of January 2020 to recommend national standards for individual practitioners and services commencing with urogynaecology procedures. Minimum standards for insertion, renewal, repair and removal surgery and native tissue repair will be included.</w:t>
            </w:r>
          </w:p>
        </w:tc>
        <w:tc>
          <w:tcPr>
            <w:tcW w:w="1900" w:type="dxa"/>
            <w:tcBorders>
              <w:top w:val="nil"/>
              <w:left w:val="nil"/>
              <w:bottom w:val="single" w:sz="4" w:space="0" w:color="auto"/>
              <w:right w:val="single" w:sz="4" w:space="0" w:color="auto"/>
            </w:tcBorders>
            <w:shd w:val="clear" w:color="auto" w:fill="A9D08E"/>
            <w:hideMark/>
          </w:tcPr>
          <w:p w14:paraId="7D8D22FB"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IN PROGRESS</w:t>
            </w:r>
          </w:p>
        </w:tc>
        <w:tc>
          <w:tcPr>
            <w:tcW w:w="10540" w:type="dxa"/>
            <w:tcBorders>
              <w:top w:val="nil"/>
              <w:left w:val="nil"/>
              <w:bottom w:val="single" w:sz="4" w:space="0" w:color="auto"/>
              <w:right w:val="single" w:sz="4" w:space="0" w:color="auto"/>
            </w:tcBorders>
            <w:shd w:val="clear" w:color="auto" w:fill="FFFFFF" w:themeFill="background1"/>
            <w:hideMark/>
          </w:tcPr>
          <w:p w14:paraId="7B307992" w14:textId="6F2D4CA5" w:rsidR="0F175939" w:rsidRDefault="0F175939" w:rsidP="055CFEE2">
            <w:pPr>
              <w:spacing w:after="0" w:line="240" w:lineRule="auto"/>
              <w:rPr>
                <w:rFonts w:ascii="Calibri" w:eastAsia="Times New Roman" w:hAnsi="Calibri" w:cs="Calibri"/>
                <w:color w:val="000000" w:themeColor="text1"/>
                <w:sz w:val="24"/>
                <w:szCs w:val="24"/>
                <w:lang w:eastAsia="en-NZ"/>
              </w:rPr>
            </w:pPr>
            <w:r w:rsidRPr="055CFEE2">
              <w:rPr>
                <w:rFonts w:ascii="Calibri" w:eastAsia="Times New Roman" w:hAnsi="Calibri" w:cs="Calibri"/>
                <w:color w:val="000000" w:themeColor="text1"/>
                <w:sz w:val="24"/>
                <w:szCs w:val="24"/>
                <w:lang w:eastAsia="en-NZ"/>
              </w:rPr>
              <w:t xml:space="preserve">The first round of national credentialling of surgeons against the National Framework, focused on credentialling clinicians for Tier 3 procedures. </w:t>
            </w:r>
            <w:r w:rsidR="5B43EBA8" w:rsidRPr="055CFEE2">
              <w:rPr>
                <w:rFonts w:ascii="Calibri" w:eastAsia="Times New Roman" w:hAnsi="Calibri" w:cs="Calibri"/>
                <w:color w:val="000000" w:themeColor="text1"/>
                <w:sz w:val="24"/>
                <w:szCs w:val="24"/>
                <w:lang w:eastAsia="en-NZ"/>
              </w:rPr>
              <w:t>The first round, including appeal assessments was completed June 2023</w:t>
            </w:r>
            <w:r w:rsidR="0B8E9D1B" w:rsidRPr="055CFEE2">
              <w:rPr>
                <w:rFonts w:ascii="Calibri" w:eastAsia="Times New Roman" w:hAnsi="Calibri" w:cs="Calibri"/>
                <w:color w:val="000000" w:themeColor="text1"/>
                <w:sz w:val="24"/>
                <w:szCs w:val="24"/>
                <w:lang w:eastAsia="en-NZ"/>
              </w:rPr>
              <w:t xml:space="preserve">. </w:t>
            </w:r>
          </w:p>
          <w:p w14:paraId="2A83E375" w14:textId="5C7BCB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themeColor="text1"/>
                <w:sz w:val="24"/>
                <w:szCs w:val="24"/>
                <w:lang w:eastAsia="en-NZ"/>
              </w:rPr>
              <w:t xml:space="preserve">Manatū Hauora have opened </w:t>
            </w:r>
            <w:r w:rsidR="0CB1191C" w:rsidRPr="055CFEE2">
              <w:rPr>
                <w:rFonts w:ascii="Calibri" w:eastAsia="Times New Roman" w:hAnsi="Calibri" w:cs="Calibri"/>
                <w:color w:val="000000" w:themeColor="text1"/>
                <w:sz w:val="24"/>
                <w:szCs w:val="24"/>
                <w:lang w:eastAsia="en-NZ"/>
              </w:rPr>
              <w:t>and</w:t>
            </w:r>
            <w:r w:rsidRPr="055CFEE2">
              <w:rPr>
                <w:rFonts w:ascii="Calibri" w:eastAsia="Times New Roman" w:hAnsi="Calibri" w:cs="Calibri"/>
                <w:color w:val="000000" w:themeColor="text1"/>
                <w:sz w:val="24"/>
                <w:szCs w:val="24"/>
                <w:lang w:eastAsia="en-NZ"/>
              </w:rPr>
              <w:t xml:space="preserve"> </w:t>
            </w:r>
            <w:r w:rsidRPr="009A160A">
              <w:rPr>
                <w:rFonts w:ascii="Calibri" w:eastAsia="Times New Roman" w:hAnsi="Calibri" w:cs="Calibri"/>
                <w:color w:val="000000" w:themeColor="text1"/>
                <w:sz w:val="24"/>
                <w:szCs w:val="24"/>
                <w:lang w:eastAsia="en-NZ"/>
              </w:rPr>
              <w:t xml:space="preserve">received over 70 expressions of interest for the three panel sittings </w:t>
            </w:r>
            <w:r w:rsidRPr="055CFEE2">
              <w:rPr>
                <w:rFonts w:ascii="Calibri" w:eastAsia="Times New Roman" w:hAnsi="Calibri" w:cs="Calibri"/>
                <w:color w:val="000000" w:themeColor="text1"/>
                <w:sz w:val="24"/>
                <w:szCs w:val="24"/>
                <w:lang w:eastAsia="en-NZ"/>
              </w:rPr>
              <w:t>current</w:t>
            </w:r>
            <w:r w:rsidR="35521C3C" w:rsidRPr="055CFEE2">
              <w:rPr>
                <w:rFonts w:ascii="Calibri" w:eastAsia="Times New Roman" w:hAnsi="Calibri" w:cs="Calibri"/>
                <w:color w:val="000000" w:themeColor="text1"/>
                <w:sz w:val="24"/>
                <w:szCs w:val="24"/>
                <w:lang w:eastAsia="en-NZ"/>
              </w:rPr>
              <w:t>ly</w:t>
            </w:r>
            <w:r w:rsidRPr="009A160A">
              <w:rPr>
                <w:rFonts w:ascii="Calibri" w:eastAsia="Times New Roman" w:hAnsi="Calibri" w:cs="Calibri"/>
                <w:color w:val="000000" w:themeColor="text1"/>
                <w:sz w:val="24"/>
                <w:szCs w:val="24"/>
                <w:lang w:eastAsia="en-NZ"/>
              </w:rPr>
              <w:t xml:space="preserve"> planned </w:t>
            </w:r>
            <w:r w:rsidR="4434067B" w:rsidRPr="055CFEE2">
              <w:rPr>
                <w:rFonts w:ascii="Calibri" w:eastAsia="Times New Roman" w:hAnsi="Calibri" w:cs="Calibri"/>
                <w:color w:val="000000" w:themeColor="text1"/>
                <w:sz w:val="24"/>
                <w:szCs w:val="24"/>
                <w:lang w:eastAsia="en-NZ"/>
              </w:rPr>
              <w:t>f</w:t>
            </w:r>
            <w:r w:rsidRPr="055CFEE2">
              <w:rPr>
                <w:rFonts w:ascii="Calibri" w:eastAsia="Times New Roman" w:hAnsi="Calibri" w:cs="Calibri"/>
                <w:color w:val="000000" w:themeColor="text1"/>
                <w:sz w:val="24"/>
                <w:szCs w:val="24"/>
                <w:lang w:eastAsia="en-NZ"/>
              </w:rPr>
              <w:t>or</w:t>
            </w:r>
            <w:r w:rsidRPr="009A160A">
              <w:rPr>
                <w:rFonts w:ascii="Calibri" w:eastAsia="Times New Roman" w:hAnsi="Calibri" w:cs="Calibri"/>
                <w:color w:val="000000" w:themeColor="text1"/>
                <w:sz w:val="24"/>
                <w:szCs w:val="24"/>
                <w:lang w:eastAsia="en-NZ"/>
              </w:rPr>
              <w:t xml:space="preserve"> 2024 which will see candidates credentialled for Tier 1 and 2 procedures. The current panel sittings are planned for February, </w:t>
            </w:r>
            <w:proofErr w:type="gramStart"/>
            <w:r w:rsidRPr="009A160A">
              <w:rPr>
                <w:rFonts w:ascii="Calibri" w:eastAsia="Times New Roman" w:hAnsi="Calibri" w:cs="Calibri"/>
                <w:color w:val="000000" w:themeColor="text1"/>
                <w:sz w:val="24"/>
                <w:szCs w:val="24"/>
                <w:lang w:eastAsia="en-NZ"/>
              </w:rPr>
              <w:t>May</w:t>
            </w:r>
            <w:proofErr w:type="gramEnd"/>
            <w:r w:rsidRPr="009A160A">
              <w:rPr>
                <w:rFonts w:ascii="Calibri" w:eastAsia="Times New Roman" w:hAnsi="Calibri" w:cs="Calibri"/>
                <w:color w:val="000000" w:themeColor="text1"/>
                <w:sz w:val="24"/>
                <w:szCs w:val="24"/>
                <w:lang w:eastAsia="en-NZ"/>
              </w:rPr>
              <w:t xml:space="preserve"> and September 2024. The Credentialling Committee is </w:t>
            </w:r>
            <w:r w:rsidRPr="055CFEE2">
              <w:rPr>
                <w:rFonts w:ascii="Calibri" w:eastAsia="Times New Roman" w:hAnsi="Calibri" w:cs="Calibri"/>
                <w:color w:val="000000" w:themeColor="text1"/>
                <w:sz w:val="24"/>
                <w:szCs w:val="24"/>
                <w:lang w:eastAsia="en-NZ"/>
              </w:rPr>
              <w:t>continuously</w:t>
            </w:r>
            <w:r w:rsidRPr="009A160A">
              <w:rPr>
                <w:rFonts w:ascii="Calibri" w:eastAsia="Times New Roman" w:hAnsi="Calibri" w:cs="Calibri"/>
                <w:color w:val="000000" w:themeColor="text1"/>
                <w:sz w:val="24"/>
                <w:szCs w:val="24"/>
                <w:lang w:eastAsia="en-NZ"/>
              </w:rPr>
              <w:t xml:space="preserve"> reviewing credentialling to further </w:t>
            </w:r>
            <w:r w:rsidRPr="055CFEE2">
              <w:rPr>
                <w:rFonts w:ascii="Calibri" w:eastAsia="Times New Roman" w:hAnsi="Calibri" w:cs="Calibri"/>
                <w:color w:val="000000" w:themeColor="text1"/>
                <w:sz w:val="24"/>
                <w:szCs w:val="24"/>
                <w:lang w:eastAsia="en-NZ"/>
              </w:rPr>
              <w:t>strengthen</w:t>
            </w:r>
            <w:r w:rsidRPr="009A160A">
              <w:rPr>
                <w:rFonts w:ascii="Calibri" w:eastAsia="Times New Roman" w:hAnsi="Calibri" w:cs="Calibri"/>
                <w:color w:val="000000" w:themeColor="text1"/>
                <w:sz w:val="24"/>
                <w:szCs w:val="24"/>
                <w:lang w:eastAsia="en-NZ"/>
              </w:rPr>
              <w:t xml:space="preserve"> and streamline this process.                                                                                                                                                                                                                                                                                      </w:t>
            </w:r>
          </w:p>
        </w:tc>
      </w:tr>
      <w:tr w:rsidR="009A160A" w:rsidRPr="009A160A" w14:paraId="5AFC3ACF" w14:textId="77777777" w:rsidTr="44CC1582">
        <w:trPr>
          <w:trHeight w:val="1575"/>
        </w:trPr>
        <w:tc>
          <w:tcPr>
            <w:tcW w:w="960" w:type="dxa"/>
            <w:tcBorders>
              <w:top w:val="nil"/>
              <w:left w:val="single" w:sz="4" w:space="0" w:color="auto"/>
              <w:bottom w:val="single" w:sz="4" w:space="0" w:color="auto"/>
              <w:right w:val="single" w:sz="4" w:space="0" w:color="auto"/>
            </w:tcBorders>
            <w:shd w:val="clear" w:color="auto" w:fill="auto"/>
            <w:noWrap/>
            <w:hideMark/>
          </w:tcPr>
          <w:p w14:paraId="11CBB990"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10</w:t>
            </w:r>
          </w:p>
        </w:tc>
        <w:tc>
          <w:tcPr>
            <w:tcW w:w="8340" w:type="dxa"/>
            <w:tcBorders>
              <w:top w:val="nil"/>
              <w:left w:val="nil"/>
              <w:bottom w:val="single" w:sz="4" w:space="0" w:color="auto"/>
              <w:right w:val="single" w:sz="4" w:space="0" w:color="auto"/>
            </w:tcBorders>
            <w:shd w:val="clear" w:color="auto" w:fill="auto"/>
            <w:hideMark/>
          </w:tcPr>
          <w:p w14:paraId="4F9A7C7D"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 xml:space="preserve">The Ministry of Health will lead, supported by ACC, interdisciplinary education and build the capability of the required technical skills to prevent future harm and reduce the severity of existing harm. This action intends to also support the provision of removal surgery.                                                                                                                                                                                                                                                                                                                                                                                   </w:t>
            </w:r>
          </w:p>
        </w:tc>
        <w:tc>
          <w:tcPr>
            <w:tcW w:w="1900" w:type="dxa"/>
            <w:tcBorders>
              <w:top w:val="nil"/>
              <w:left w:val="nil"/>
              <w:bottom w:val="single" w:sz="4" w:space="0" w:color="auto"/>
              <w:right w:val="single" w:sz="4" w:space="0" w:color="auto"/>
            </w:tcBorders>
            <w:shd w:val="clear" w:color="auto" w:fill="A9D08E"/>
            <w:hideMark/>
          </w:tcPr>
          <w:p w14:paraId="74A6A392"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IN PROGRESS</w:t>
            </w:r>
          </w:p>
        </w:tc>
        <w:tc>
          <w:tcPr>
            <w:tcW w:w="10540" w:type="dxa"/>
            <w:tcBorders>
              <w:top w:val="nil"/>
              <w:left w:val="nil"/>
              <w:bottom w:val="single" w:sz="4" w:space="0" w:color="auto"/>
              <w:right w:val="single" w:sz="4" w:space="0" w:color="auto"/>
            </w:tcBorders>
            <w:shd w:val="clear" w:color="auto" w:fill="FFFFFF" w:themeFill="background1"/>
            <w:hideMark/>
          </w:tcPr>
          <w:p w14:paraId="37DE01EA" w14:textId="7A5F5651" w:rsidR="009A160A" w:rsidRPr="009A160A" w:rsidRDefault="009A160A" w:rsidP="009A160A">
            <w:pPr>
              <w:spacing w:after="0" w:line="240" w:lineRule="auto"/>
              <w:rPr>
                <w:rFonts w:ascii="Calibri" w:eastAsia="Times New Roman" w:hAnsi="Calibri" w:cs="Calibri"/>
                <w:sz w:val="24"/>
                <w:szCs w:val="24"/>
                <w:lang w:eastAsia="en-NZ"/>
              </w:rPr>
            </w:pPr>
            <w:r w:rsidRPr="009A160A">
              <w:rPr>
                <w:rFonts w:ascii="Calibri" w:eastAsia="Times New Roman" w:hAnsi="Calibri" w:cs="Calibri"/>
                <w:sz w:val="24"/>
                <w:szCs w:val="24"/>
                <w:lang w:eastAsia="en-NZ"/>
              </w:rPr>
              <w:t>Two documents, one for non-surgical management and one for surgical management</w:t>
            </w:r>
            <w:r w:rsidR="63C7ADC3" w:rsidRPr="055CFEE2">
              <w:rPr>
                <w:rFonts w:ascii="Calibri" w:eastAsia="Times New Roman" w:hAnsi="Calibri" w:cs="Calibri"/>
                <w:sz w:val="24"/>
                <w:szCs w:val="24"/>
                <w:lang w:eastAsia="en-NZ"/>
              </w:rPr>
              <w:t>,</w:t>
            </w:r>
            <w:r w:rsidRPr="009A160A">
              <w:rPr>
                <w:rFonts w:ascii="Calibri" w:eastAsia="Times New Roman" w:hAnsi="Calibri" w:cs="Calibri"/>
                <w:sz w:val="24"/>
                <w:szCs w:val="24"/>
                <w:lang w:eastAsia="en-NZ"/>
              </w:rPr>
              <w:t xml:space="preserve"> are close to being finalised and will shortly go out for consultation with consumers, Te Whatu </w:t>
            </w:r>
            <w:proofErr w:type="gramStart"/>
            <w:r w:rsidRPr="009A160A">
              <w:rPr>
                <w:rFonts w:ascii="Calibri" w:eastAsia="Times New Roman" w:hAnsi="Calibri" w:cs="Calibri"/>
                <w:sz w:val="24"/>
                <w:szCs w:val="24"/>
                <w:lang w:eastAsia="en-NZ"/>
              </w:rPr>
              <w:t>Ora</w:t>
            </w:r>
            <w:proofErr w:type="gramEnd"/>
            <w:r w:rsidRPr="009A160A">
              <w:rPr>
                <w:rFonts w:ascii="Calibri" w:eastAsia="Times New Roman" w:hAnsi="Calibri" w:cs="Calibri"/>
                <w:sz w:val="24"/>
                <w:szCs w:val="24"/>
                <w:lang w:eastAsia="en-NZ"/>
              </w:rPr>
              <w:t xml:space="preserve"> and the </w:t>
            </w:r>
            <w:r w:rsidR="753F5954" w:rsidRPr="055CFEE2">
              <w:rPr>
                <w:rFonts w:ascii="Calibri" w:eastAsia="Times New Roman" w:hAnsi="Calibri" w:cs="Calibri"/>
                <w:sz w:val="24"/>
                <w:szCs w:val="24"/>
                <w:lang w:eastAsia="en-NZ"/>
              </w:rPr>
              <w:t>Professional</w:t>
            </w:r>
            <w:r w:rsidRPr="055CFEE2">
              <w:rPr>
                <w:rFonts w:ascii="Calibri" w:eastAsia="Times New Roman" w:hAnsi="Calibri" w:cs="Calibri"/>
                <w:sz w:val="24"/>
                <w:szCs w:val="24"/>
                <w:lang w:eastAsia="en-NZ"/>
              </w:rPr>
              <w:t xml:space="preserve"> Colleges</w:t>
            </w:r>
            <w:r w:rsidR="35FC2A44" w:rsidRPr="055CFEE2">
              <w:rPr>
                <w:rFonts w:ascii="Calibri" w:eastAsia="Times New Roman" w:hAnsi="Calibri" w:cs="Calibri"/>
                <w:sz w:val="24"/>
                <w:szCs w:val="24"/>
                <w:lang w:eastAsia="en-NZ"/>
              </w:rPr>
              <w:t xml:space="preserve"> (RACS, RANZCOG)</w:t>
            </w:r>
            <w:r w:rsidRPr="055CFEE2">
              <w:rPr>
                <w:rFonts w:ascii="Calibri" w:eastAsia="Times New Roman" w:hAnsi="Calibri" w:cs="Calibri"/>
                <w:sz w:val="24"/>
                <w:szCs w:val="24"/>
                <w:lang w:eastAsia="en-NZ"/>
              </w:rPr>
              <w:t>.</w:t>
            </w:r>
            <w:r w:rsidRPr="009A160A">
              <w:rPr>
                <w:rFonts w:ascii="Calibri" w:eastAsia="Times New Roman" w:hAnsi="Calibri" w:cs="Calibri"/>
                <w:sz w:val="24"/>
                <w:szCs w:val="24"/>
                <w:lang w:eastAsia="en-NZ"/>
              </w:rPr>
              <w:t xml:space="preserve"> Te </w:t>
            </w:r>
            <w:proofErr w:type="spellStart"/>
            <w:r w:rsidRPr="009A160A">
              <w:rPr>
                <w:rFonts w:ascii="Calibri" w:eastAsia="Times New Roman" w:hAnsi="Calibri" w:cs="Calibri"/>
                <w:sz w:val="24"/>
                <w:szCs w:val="24"/>
                <w:lang w:eastAsia="en-NZ"/>
              </w:rPr>
              <w:t>Tāhū</w:t>
            </w:r>
            <w:proofErr w:type="spellEnd"/>
            <w:r w:rsidRPr="009A160A">
              <w:rPr>
                <w:rFonts w:ascii="Calibri" w:eastAsia="Times New Roman" w:hAnsi="Calibri" w:cs="Calibri"/>
                <w:sz w:val="24"/>
                <w:szCs w:val="24"/>
                <w:lang w:eastAsia="en-NZ"/>
              </w:rPr>
              <w:t xml:space="preserve"> Hauora (HQSC) will lead the publication of the document and translation into </w:t>
            </w:r>
            <w:proofErr w:type="spellStart"/>
            <w:r w:rsidRPr="009A160A">
              <w:rPr>
                <w:rFonts w:ascii="Calibri" w:eastAsia="Times New Roman" w:hAnsi="Calibri" w:cs="Calibri"/>
                <w:sz w:val="24"/>
                <w:szCs w:val="24"/>
                <w:lang w:eastAsia="en-NZ"/>
              </w:rPr>
              <w:t>te</w:t>
            </w:r>
            <w:proofErr w:type="spellEnd"/>
            <w:r w:rsidRPr="009A160A">
              <w:rPr>
                <w:rFonts w:ascii="Calibri" w:eastAsia="Times New Roman" w:hAnsi="Calibri" w:cs="Calibri"/>
                <w:sz w:val="24"/>
                <w:szCs w:val="24"/>
                <w:lang w:eastAsia="en-NZ"/>
              </w:rPr>
              <w:t xml:space="preserve"> </w:t>
            </w:r>
            <w:proofErr w:type="spellStart"/>
            <w:r w:rsidRPr="009A160A">
              <w:rPr>
                <w:rFonts w:ascii="Calibri" w:eastAsia="Times New Roman" w:hAnsi="Calibri" w:cs="Calibri"/>
                <w:sz w:val="24"/>
                <w:szCs w:val="24"/>
                <w:lang w:eastAsia="en-NZ"/>
              </w:rPr>
              <w:t>reo</w:t>
            </w:r>
            <w:proofErr w:type="spellEnd"/>
            <w:r w:rsidRPr="009A160A">
              <w:rPr>
                <w:rFonts w:ascii="Calibri" w:eastAsia="Times New Roman" w:hAnsi="Calibri" w:cs="Calibri"/>
                <w:sz w:val="24"/>
                <w:szCs w:val="24"/>
                <w:lang w:eastAsia="en-NZ"/>
              </w:rPr>
              <w:t xml:space="preserve">, some Pasifika languages, Chinese, </w:t>
            </w:r>
            <w:r w:rsidR="3116BC34" w:rsidRPr="055CFEE2">
              <w:rPr>
                <w:rFonts w:ascii="Calibri" w:eastAsia="Times New Roman" w:hAnsi="Calibri" w:cs="Calibri"/>
                <w:sz w:val="24"/>
                <w:szCs w:val="24"/>
                <w:lang w:eastAsia="en-NZ"/>
              </w:rPr>
              <w:t>as well as versions accessible</w:t>
            </w:r>
            <w:r w:rsidRPr="009A160A">
              <w:rPr>
                <w:rFonts w:ascii="Calibri" w:eastAsia="Times New Roman" w:hAnsi="Calibri" w:cs="Calibri"/>
                <w:sz w:val="24"/>
                <w:szCs w:val="24"/>
                <w:lang w:eastAsia="en-NZ"/>
              </w:rPr>
              <w:t xml:space="preserve"> for the blind, large print, easy read (with MSD) and ensure it is also web-based and downloadable.</w:t>
            </w:r>
          </w:p>
        </w:tc>
      </w:tr>
      <w:tr w:rsidR="009A160A" w:rsidRPr="009A160A" w14:paraId="16B01AEC" w14:textId="77777777" w:rsidTr="44CC1582">
        <w:trPr>
          <w:trHeight w:val="945"/>
        </w:trPr>
        <w:tc>
          <w:tcPr>
            <w:tcW w:w="960" w:type="dxa"/>
            <w:tcBorders>
              <w:top w:val="nil"/>
              <w:left w:val="single" w:sz="4" w:space="0" w:color="auto"/>
              <w:bottom w:val="single" w:sz="4" w:space="0" w:color="auto"/>
              <w:right w:val="single" w:sz="4" w:space="0" w:color="auto"/>
            </w:tcBorders>
            <w:shd w:val="clear" w:color="auto" w:fill="auto"/>
            <w:noWrap/>
            <w:hideMark/>
          </w:tcPr>
          <w:p w14:paraId="1968F802"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11</w:t>
            </w:r>
          </w:p>
        </w:tc>
        <w:tc>
          <w:tcPr>
            <w:tcW w:w="8340" w:type="dxa"/>
            <w:tcBorders>
              <w:top w:val="nil"/>
              <w:left w:val="nil"/>
              <w:bottom w:val="single" w:sz="4" w:space="0" w:color="auto"/>
              <w:right w:val="single" w:sz="4" w:space="0" w:color="auto"/>
            </w:tcBorders>
            <w:shd w:val="clear" w:color="auto" w:fill="auto"/>
            <w:hideMark/>
          </w:tcPr>
          <w:p w14:paraId="6AFF3246"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Professional colleges will inform and educate their members about their role in preventing and reducing harm from surgical mesh.</w:t>
            </w:r>
          </w:p>
        </w:tc>
        <w:tc>
          <w:tcPr>
            <w:tcW w:w="1900" w:type="dxa"/>
            <w:tcBorders>
              <w:top w:val="nil"/>
              <w:left w:val="nil"/>
              <w:bottom w:val="single" w:sz="4" w:space="0" w:color="auto"/>
              <w:right w:val="single" w:sz="4" w:space="0" w:color="auto"/>
            </w:tcBorders>
            <w:shd w:val="clear" w:color="auto" w:fill="A9D08E"/>
            <w:hideMark/>
          </w:tcPr>
          <w:p w14:paraId="5B38A78E"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ONGOING</w:t>
            </w:r>
          </w:p>
        </w:tc>
        <w:tc>
          <w:tcPr>
            <w:tcW w:w="10540" w:type="dxa"/>
            <w:tcBorders>
              <w:top w:val="nil"/>
              <w:left w:val="nil"/>
              <w:bottom w:val="single" w:sz="4" w:space="0" w:color="auto"/>
              <w:right w:val="single" w:sz="4" w:space="0" w:color="auto"/>
            </w:tcBorders>
            <w:shd w:val="clear" w:color="auto" w:fill="auto"/>
            <w:hideMark/>
          </w:tcPr>
          <w:p w14:paraId="2780E3CE"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The professional colleges are involved in all work to date with representatives on each of the groups as well as the Surgical Mesh Roundtable. They are expected to keep their college members up to date and informed on all work being undertaken.</w:t>
            </w:r>
          </w:p>
        </w:tc>
      </w:tr>
      <w:tr w:rsidR="009A160A" w:rsidRPr="009A160A" w14:paraId="3F6ABF15" w14:textId="77777777" w:rsidTr="44CC1582">
        <w:trPr>
          <w:trHeight w:val="1260"/>
        </w:trPr>
        <w:tc>
          <w:tcPr>
            <w:tcW w:w="960" w:type="dxa"/>
            <w:tcBorders>
              <w:top w:val="nil"/>
              <w:left w:val="single" w:sz="4" w:space="0" w:color="auto"/>
              <w:bottom w:val="single" w:sz="4" w:space="0" w:color="auto"/>
              <w:right w:val="single" w:sz="4" w:space="0" w:color="auto"/>
            </w:tcBorders>
            <w:shd w:val="clear" w:color="auto" w:fill="auto"/>
            <w:noWrap/>
            <w:hideMark/>
          </w:tcPr>
          <w:p w14:paraId="7D059557"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12</w:t>
            </w:r>
          </w:p>
        </w:tc>
        <w:tc>
          <w:tcPr>
            <w:tcW w:w="8340" w:type="dxa"/>
            <w:tcBorders>
              <w:top w:val="nil"/>
              <w:left w:val="nil"/>
              <w:bottom w:val="single" w:sz="4" w:space="0" w:color="auto"/>
              <w:right w:val="single" w:sz="4" w:space="0" w:color="auto"/>
            </w:tcBorders>
            <w:shd w:val="clear" w:color="auto" w:fill="auto"/>
            <w:hideMark/>
          </w:tcPr>
          <w:p w14:paraId="5A3F20FE"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ACC will partner with consumer representatives to design an approach for looking back through declined mesh-related treatment injury claims. Recognising those claim outcomes may not change; the process will also aim to learn where improvements can be made to the consumer experience.</w:t>
            </w:r>
          </w:p>
        </w:tc>
        <w:tc>
          <w:tcPr>
            <w:tcW w:w="1900" w:type="dxa"/>
            <w:tcBorders>
              <w:top w:val="nil"/>
              <w:left w:val="nil"/>
              <w:bottom w:val="single" w:sz="4" w:space="0" w:color="auto"/>
              <w:right w:val="single" w:sz="4" w:space="0" w:color="auto"/>
            </w:tcBorders>
            <w:shd w:val="clear" w:color="auto" w:fill="A9D08E"/>
            <w:noWrap/>
            <w:hideMark/>
          </w:tcPr>
          <w:p w14:paraId="42E189D0"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COMPLETED</w:t>
            </w:r>
          </w:p>
        </w:tc>
        <w:tc>
          <w:tcPr>
            <w:tcW w:w="10540" w:type="dxa"/>
            <w:tcBorders>
              <w:top w:val="nil"/>
              <w:left w:val="nil"/>
              <w:bottom w:val="single" w:sz="4" w:space="0" w:color="auto"/>
              <w:right w:val="single" w:sz="4" w:space="0" w:color="auto"/>
            </w:tcBorders>
            <w:shd w:val="clear" w:color="auto" w:fill="auto"/>
            <w:hideMark/>
          </w:tcPr>
          <w:p w14:paraId="6170CCB9" w14:textId="638118C9"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 xml:space="preserve">On 30 October 2020 ACC announced the opportunity for people with declined surgical mesh claims to have these reassessed based on new cover guidance. (Refer: https://www.acc.co.nz/surgical-mesh/).  More recently ACC updated their website </w:t>
            </w:r>
            <w:proofErr w:type="gramStart"/>
            <w:r w:rsidRPr="009A160A">
              <w:rPr>
                <w:rFonts w:ascii="Calibri" w:eastAsia="Times New Roman" w:hAnsi="Calibri" w:cs="Calibri"/>
                <w:color w:val="000000"/>
                <w:sz w:val="24"/>
                <w:szCs w:val="24"/>
                <w:lang w:eastAsia="en-NZ"/>
              </w:rPr>
              <w:t>in regard to</w:t>
            </w:r>
            <w:proofErr w:type="gramEnd"/>
            <w:r w:rsidRPr="009A160A">
              <w:rPr>
                <w:rFonts w:ascii="Calibri" w:eastAsia="Times New Roman" w:hAnsi="Calibri" w:cs="Calibri"/>
                <w:color w:val="000000"/>
                <w:sz w:val="24"/>
                <w:szCs w:val="24"/>
                <w:lang w:eastAsia="en-NZ"/>
              </w:rPr>
              <w:t xml:space="preserve"> reassessing declined surgical mesh claims - https://www.acc.co.nz/surgical-mesh.  ACC</w:t>
            </w:r>
            <w:r w:rsidRPr="009A160A">
              <w:rPr>
                <w:rFonts w:ascii="Calibri" w:eastAsia="Times New Roman" w:hAnsi="Calibri" w:cs="Calibri"/>
                <w:sz w:val="24"/>
                <w:szCs w:val="24"/>
                <w:lang w:eastAsia="en-NZ"/>
              </w:rPr>
              <w:t xml:space="preserve"> provides regular updates on mesh claims to the Mesh Roundtable and other stakeholders on a two monthly basis.</w:t>
            </w:r>
          </w:p>
        </w:tc>
      </w:tr>
      <w:tr w:rsidR="009A160A" w:rsidRPr="009A160A" w14:paraId="65972AFB" w14:textId="77777777" w:rsidTr="44CC1582">
        <w:trPr>
          <w:trHeight w:val="945"/>
        </w:trPr>
        <w:tc>
          <w:tcPr>
            <w:tcW w:w="960" w:type="dxa"/>
            <w:tcBorders>
              <w:top w:val="nil"/>
              <w:left w:val="single" w:sz="4" w:space="0" w:color="auto"/>
              <w:bottom w:val="single" w:sz="4" w:space="0" w:color="auto"/>
              <w:right w:val="single" w:sz="4" w:space="0" w:color="auto"/>
            </w:tcBorders>
            <w:shd w:val="clear" w:color="auto" w:fill="auto"/>
            <w:noWrap/>
            <w:hideMark/>
          </w:tcPr>
          <w:p w14:paraId="7D31555A"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13</w:t>
            </w:r>
          </w:p>
        </w:tc>
        <w:tc>
          <w:tcPr>
            <w:tcW w:w="8340" w:type="dxa"/>
            <w:tcBorders>
              <w:top w:val="nil"/>
              <w:left w:val="nil"/>
              <w:bottom w:val="single" w:sz="4" w:space="0" w:color="auto"/>
              <w:right w:val="single" w:sz="4" w:space="0" w:color="auto"/>
            </w:tcBorders>
            <w:shd w:val="clear" w:color="auto" w:fill="auto"/>
            <w:hideMark/>
          </w:tcPr>
          <w:p w14:paraId="68A45DE5"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ACC will explore the potential to provide support services, such as counselling, while cover decisions are pending.</w:t>
            </w:r>
          </w:p>
        </w:tc>
        <w:tc>
          <w:tcPr>
            <w:tcW w:w="1900" w:type="dxa"/>
            <w:tcBorders>
              <w:top w:val="nil"/>
              <w:left w:val="nil"/>
              <w:bottom w:val="single" w:sz="4" w:space="0" w:color="auto"/>
              <w:right w:val="single" w:sz="4" w:space="0" w:color="auto"/>
            </w:tcBorders>
            <w:shd w:val="clear" w:color="auto" w:fill="A9D08E"/>
            <w:noWrap/>
            <w:hideMark/>
          </w:tcPr>
          <w:p w14:paraId="04B3124E"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COMPLETED</w:t>
            </w:r>
          </w:p>
        </w:tc>
        <w:tc>
          <w:tcPr>
            <w:tcW w:w="10540" w:type="dxa"/>
            <w:tcBorders>
              <w:top w:val="nil"/>
              <w:left w:val="nil"/>
              <w:bottom w:val="single" w:sz="4" w:space="0" w:color="auto"/>
              <w:right w:val="single" w:sz="4" w:space="0" w:color="auto"/>
            </w:tcBorders>
            <w:shd w:val="clear" w:color="auto" w:fill="auto"/>
            <w:hideMark/>
          </w:tcPr>
          <w:p w14:paraId="64D1F454"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 xml:space="preserve">ACC is unable to provide support services while cover decisions are pending.  ACC has commissioned explorative customer insight research to identify further improvements throughout the cover process, and these will be applied as appropriate.  </w:t>
            </w:r>
          </w:p>
        </w:tc>
      </w:tr>
      <w:tr w:rsidR="009A160A" w:rsidRPr="009A160A" w14:paraId="24EFF8E3" w14:textId="77777777" w:rsidTr="44CC1582">
        <w:trPr>
          <w:trHeight w:val="2520"/>
        </w:trPr>
        <w:tc>
          <w:tcPr>
            <w:tcW w:w="960" w:type="dxa"/>
            <w:tcBorders>
              <w:top w:val="nil"/>
              <w:left w:val="single" w:sz="4" w:space="0" w:color="auto"/>
              <w:bottom w:val="single" w:sz="4" w:space="0" w:color="auto"/>
              <w:right w:val="single" w:sz="4" w:space="0" w:color="auto"/>
            </w:tcBorders>
            <w:shd w:val="clear" w:color="auto" w:fill="auto"/>
            <w:noWrap/>
            <w:hideMark/>
          </w:tcPr>
          <w:p w14:paraId="7358D1AC"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14</w:t>
            </w:r>
          </w:p>
        </w:tc>
        <w:tc>
          <w:tcPr>
            <w:tcW w:w="8340" w:type="dxa"/>
            <w:tcBorders>
              <w:top w:val="nil"/>
              <w:left w:val="nil"/>
              <w:bottom w:val="single" w:sz="4" w:space="0" w:color="auto"/>
              <w:right w:val="single" w:sz="4" w:space="0" w:color="auto"/>
            </w:tcBorders>
            <w:shd w:val="clear" w:color="auto" w:fill="auto"/>
            <w:hideMark/>
          </w:tcPr>
          <w:p w14:paraId="3170A24E"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ACC recognises the complex and sensitive nature of mesh claims and intends to use an approach that ensures mesh injured clients are matched to case owners with an appropriate background, experience, and skills.</w:t>
            </w:r>
          </w:p>
        </w:tc>
        <w:tc>
          <w:tcPr>
            <w:tcW w:w="1900" w:type="dxa"/>
            <w:tcBorders>
              <w:top w:val="nil"/>
              <w:left w:val="nil"/>
              <w:bottom w:val="single" w:sz="4" w:space="0" w:color="auto"/>
              <w:right w:val="single" w:sz="4" w:space="0" w:color="auto"/>
            </w:tcBorders>
            <w:shd w:val="clear" w:color="auto" w:fill="A9D08E"/>
            <w:noWrap/>
            <w:hideMark/>
          </w:tcPr>
          <w:p w14:paraId="490F56B0"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ONGOING</w:t>
            </w:r>
          </w:p>
        </w:tc>
        <w:tc>
          <w:tcPr>
            <w:tcW w:w="10540" w:type="dxa"/>
            <w:tcBorders>
              <w:top w:val="nil"/>
              <w:left w:val="nil"/>
              <w:bottom w:val="single" w:sz="4" w:space="0" w:color="auto"/>
              <w:right w:val="single" w:sz="4" w:space="0" w:color="auto"/>
            </w:tcBorders>
            <w:shd w:val="clear" w:color="auto" w:fill="auto"/>
            <w:hideMark/>
          </w:tcPr>
          <w:p w14:paraId="6C7D7B4C"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ACC recognises the complex and sensitive nature of mesh claims and ensures clients with mesh injuries are supported by people with appropriate experience and skills.  Accepted mesh claims are initially matched to a dedicated ACC case owner who will work with the client to manage their injury. The dedicated cover assessor will manage the transition of the claim to the case owner. Clients can choose if the case owner is male or female.</w:t>
            </w:r>
            <w:r w:rsidRPr="009A160A">
              <w:rPr>
                <w:rFonts w:ascii="Calibri" w:eastAsia="Times New Roman" w:hAnsi="Calibri" w:cs="Calibri"/>
                <w:color w:val="000000"/>
                <w:sz w:val="24"/>
                <w:szCs w:val="24"/>
                <w:lang w:eastAsia="en-NZ"/>
              </w:rPr>
              <w:br/>
              <w:t>For clients with ongoing complex needs, they’ll stay with their dedicated case owner who will coordinate their support. If needs have stabilised and supports established, and the client is confident in their recovery, the ACC case owner will discuss with the client about whether it is appropriate to transfer them to ACC’s team management approach.</w:t>
            </w:r>
          </w:p>
        </w:tc>
      </w:tr>
      <w:tr w:rsidR="009A160A" w:rsidRPr="009A160A" w14:paraId="2338894F" w14:textId="77777777" w:rsidTr="44CC1582">
        <w:trPr>
          <w:trHeight w:val="1890"/>
        </w:trPr>
        <w:tc>
          <w:tcPr>
            <w:tcW w:w="960" w:type="dxa"/>
            <w:tcBorders>
              <w:top w:val="nil"/>
              <w:left w:val="single" w:sz="4" w:space="0" w:color="auto"/>
              <w:bottom w:val="single" w:sz="4" w:space="0" w:color="auto"/>
              <w:right w:val="single" w:sz="4" w:space="0" w:color="auto"/>
            </w:tcBorders>
            <w:shd w:val="clear" w:color="auto" w:fill="auto"/>
            <w:noWrap/>
            <w:hideMark/>
          </w:tcPr>
          <w:p w14:paraId="252BF40F"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lastRenderedPageBreak/>
              <w:t>15</w:t>
            </w:r>
          </w:p>
        </w:tc>
        <w:tc>
          <w:tcPr>
            <w:tcW w:w="8340" w:type="dxa"/>
            <w:tcBorders>
              <w:top w:val="nil"/>
              <w:left w:val="nil"/>
              <w:bottom w:val="single" w:sz="4" w:space="0" w:color="auto"/>
              <w:right w:val="single" w:sz="4" w:space="0" w:color="auto"/>
            </w:tcBorders>
            <w:shd w:val="clear" w:color="auto" w:fill="auto"/>
            <w:hideMark/>
          </w:tcPr>
          <w:p w14:paraId="223EA3E4"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ACC will continuously improve the collation and sharing of information on injuries caused by surgical mesh with key stakeholders and agencies under its Risk of Harm reporting framework to support prevention of future harm.</w:t>
            </w:r>
          </w:p>
        </w:tc>
        <w:tc>
          <w:tcPr>
            <w:tcW w:w="1900" w:type="dxa"/>
            <w:tcBorders>
              <w:top w:val="nil"/>
              <w:left w:val="nil"/>
              <w:bottom w:val="single" w:sz="4" w:space="0" w:color="auto"/>
              <w:right w:val="single" w:sz="4" w:space="0" w:color="auto"/>
            </w:tcBorders>
            <w:shd w:val="clear" w:color="auto" w:fill="A9D08E"/>
            <w:noWrap/>
            <w:hideMark/>
          </w:tcPr>
          <w:p w14:paraId="58221D65"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COMPLETED</w:t>
            </w:r>
          </w:p>
        </w:tc>
        <w:tc>
          <w:tcPr>
            <w:tcW w:w="10540" w:type="dxa"/>
            <w:tcBorders>
              <w:top w:val="nil"/>
              <w:left w:val="nil"/>
              <w:bottom w:val="single" w:sz="4" w:space="0" w:color="auto"/>
              <w:right w:val="single" w:sz="4" w:space="0" w:color="auto"/>
            </w:tcBorders>
            <w:shd w:val="clear" w:color="auto" w:fill="auto"/>
            <w:hideMark/>
          </w:tcPr>
          <w:p w14:paraId="2FCE950B"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ACC is currently refreshing its risk of harm reporting process and is working alongside the Ministry of Health, DHBs and registration authorities to make sure the information gathered through the claim decision process is provided to the authority responsible for patient safety for that treatment.</w:t>
            </w:r>
            <w:r w:rsidRPr="009A160A">
              <w:rPr>
                <w:rFonts w:ascii="Calibri" w:eastAsia="Times New Roman" w:hAnsi="Calibri" w:cs="Calibri"/>
                <w:color w:val="000000"/>
                <w:sz w:val="24"/>
                <w:szCs w:val="24"/>
                <w:lang w:eastAsia="en-NZ"/>
              </w:rPr>
              <w:br/>
              <w:t>From 1 March 2020 ACC started capturing data in a new way and are working on how to provide this information to the right parts of the health sector to promote a learning culture and support safer treatment.</w:t>
            </w:r>
          </w:p>
        </w:tc>
      </w:tr>
      <w:tr w:rsidR="009A160A" w:rsidRPr="009A160A" w14:paraId="68EBF27F" w14:textId="77777777" w:rsidTr="44CC1582">
        <w:trPr>
          <w:trHeight w:val="1260"/>
        </w:trPr>
        <w:tc>
          <w:tcPr>
            <w:tcW w:w="960" w:type="dxa"/>
            <w:tcBorders>
              <w:top w:val="nil"/>
              <w:left w:val="single" w:sz="4" w:space="0" w:color="auto"/>
              <w:bottom w:val="single" w:sz="4" w:space="0" w:color="auto"/>
              <w:right w:val="single" w:sz="4" w:space="0" w:color="auto"/>
            </w:tcBorders>
            <w:shd w:val="clear" w:color="auto" w:fill="auto"/>
            <w:noWrap/>
            <w:hideMark/>
          </w:tcPr>
          <w:p w14:paraId="4AF86C06"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16</w:t>
            </w:r>
          </w:p>
        </w:tc>
        <w:tc>
          <w:tcPr>
            <w:tcW w:w="8340" w:type="dxa"/>
            <w:tcBorders>
              <w:top w:val="nil"/>
              <w:left w:val="nil"/>
              <w:bottom w:val="single" w:sz="4" w:space="0" w:color="auto"/>
              <w:right w:val="single" w:sz="4" w:space="0" w:color="auto"/>
            </w:tcBorders>
            <w:shd w:val="clear" w:color="auto" w:fill="auto"/>
            <w:hideMark/>
          </w:tcPr>
          <w:p w14:paraId="3754F13B"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National standards of practice and the code of rights for informed consent are already in place. Credentialing and training will support these to be embedded in everyday clinical work.</w:t>
            </w:r>
          </w:p>
        </w:tc>
        <w:tc>
          <w:tcPr>
            <w:tcW w:w="1900" w:type="dxa"/>
            <w:tcBorders>
              <w:top w:val="nil"/>
              <w:left w:val="nil"/>
              <w:bottom w:val="single" w:sz="4" w:space="0" w:color="auto"/>
              <w:right w:val="single" w:sz="4" w:space="0" w:color="auto"/>
            </w:tcBorders>
            <w:shd w:val="clear" w:color="auto" w:fill="A9D08E"/>
            <w:noWrap/>
            <w:hideMark/>
          </w:tcPr>
          <w:p w14:paraId="50B7301C"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ONGOING</w:t>
            </w:r>
          </w:p>
        </w:tc>
        <w:tc>
          <w:tcPr>
            <w:tcW w:w="10540" w:type="dxa"/>
            <w:tcBorders>
              <w:top w:val="nil"/>
              <w:left w:val="nil"/>
              <w:bottom w:val="single" w:sz="4" w:space="0" w:color="auto"/>
              <w:right w:val="single" w:sz="4" w:space="0" w:color="auto"/>
            </w:tcBorders>
            <w:shd w:val="clear" w:color="auto" w:fill="auto"/>
            <w:hideMark/>
          </w:tcPr>
          <w:p w14:paraId="1EBD8D8C"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This is clearly outlined in the draft framework for all procedures.</w:t>
            </w:r>
          </w:p>
        </w:tc>
      </w:tr>
      <w:tr w:rsidR="009A160A" w:rsidRPr="009A160A" w14:paraId="739D38AE" w14:textId="77777777" w:rsidTr="009B1B8D">
        <w:trPr>
          <w:trHeight w:val="1368"/>
        </w:trPr>
        <w:tc>
          <w:tcPr>
            <w:tcW w:w="960" w:type="dxa"/>
            <w:tcBorders>
              <w:top w:val="nil"/>
              <w:left w:val="single" w:sz="4" w:space="0" w:color="auto"/>
              <w:bottom w:val="single" w:sz="4" w:space="0" w:color="auto"/>
              <w:right w:val="single" w:sz="4" w:space="0" w:color="auto"/>
            </w:tcBorders>
            <w:shd w:val="clear" w:color="auto" w:fill="auto"/>
            <w:noWrap/>
            <w:hideMark/>
          </w:tcPr>
          <w:p w14:paraId="3EC2ECA5"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17</w:t>
            </w:r>
          </w:p>
        </w:tc>
        <w:tc>
          <w:tcPr>
            <w:tcW w:w="8340" w:type="dxa"/>
            <w:tcBorders>
              <w:top w:val="nil"/>
              <w:left w:val="nil"/>
              <w:bottom w:val="single" w:sz="4" w:space="0" w:color="auto"/>
              <w:right w:val="single" w:sz="4" w:space="0" w:color="auto"/>
            </w:tcBorders>
            <w:shd w:val="clear" w:color="auto" w:fill="auto"/>
            <w:hideMark/>
          </w:tcPr>
          <w:p w14:paraId="56FD4F1B"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National information resources for mesh-related procedures should be created with consumers and include informed consent processes. Information should incorporate the product safety profile, outcomes and risks, alternative treatments available, and the informed consent process.</w:t>
            </w:r>
          </w:p>
        </w:tc>
        <w:tc>
          <w:tcPr>
            <w:tcW w:w="1900" w:type="dxa"/>
            <w:tcBorders>
              <w:top w:val="nil"/>
              <w:left w:val="nil"/>
              <w:bottom w:val="single" w:sz="4" w:space="0" w:color="auto"/>
              <w:right w:val="single" w:sz="4" w:space="0" w:color="auto"/>
            </w:tcBorders>
            <w:shd w:val="clear" w:color="auto" w:fill="A9D08E"/>
            <w:noWrap/>
            <w:hideMark/>
          </w:tcPr>
          <w:p w14:paraId="4ED09E7E"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ONGOING</w:t>
            </w:r>
          </w:p>
        </w:tc>
        <w:tc>
          <w:tcPr>
            <w:tcW w:w="10540" w:type="dxa"/>
            <w:tcBorders>
              <w:top w:val="nil"/>
              <w:left w:val="nil"/>
              <w:bottom w:val="single" w:sz="4" w:space="0" w:color="auto"/>
              <w:right w:val="single" w:sz="4" w:space="0" w:color="auto"/>
            </w:tcBorders>
            <w:shd w:val="clear" w:color="auto" w:fill="auto"/>
            <w:hideMark/>
          </w:tcPr>
          <w:p w14:paraId="345D1FE4"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As per action 10 above</w:t>
            </w:r>
          </w:p>
        </w:tc>
      </w:tr>
      <w:tr w:rsidR="009A160A" w:rsidRPr="009A160A" w14:paraId="6CCDA778" w14:textId="77777777" w:rsidTr="44CC1582">
        <w:trPr>
          <w:trHeight w:val="4095"/>
        </w:trPr>
        <w:tc>
          <w:tcPr>
            <w:tcW w:w="960" w:type="dxa"/>
            <w:tcBorders>
              <w:top w:val="nil"/>
              <w:left w:val="single" w:sz="4" w:space="0" w:color="auto"/>
              <w:bottom w:val="single" w:sz="4" w:space="0" w:color="auto"/>
              <w:right w:val="single" w:sz="4" w:space="0" w:color="auto"/>
            </w:tcBorders>
            <w:shd w:val="clear" w:color="auto" w:fill="auto"/>
            <w:noWrap/>
            <w:hideMark/>
          </w:tcPr>
          <w:p w14:paraId="719456A8"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18</w:t>
            </w:r>
          </w:p>
        </w:tc>
        <w:tc>
          <w:tcPr>
            <w:tcW w:w="8340" w:type="dxa"/>
            <w:tcBorders>
              <w:top w:val="nil"/>
              <w:left w:val="nil"/>
              <w:bottom w:val="single" w:sz="4" w:space="0" w:color="auto"/>
              <w:right w:val="single" w:sz="4" w:space="0" w:color="auto"/>
            </w:tcBorders>
            <w:shd w:val="clear" w:color="auto" w:fill="auto"/>
            <w:hideMark/>
          </w:tcPr>
          <w:p w14:paraId="62CD5727"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The Ministry of Health and Medsafe will support the Government in modernising the regulation of medical devices in New Zealand, including the development of new legislation (Therapeutic Products Bill) to improve device safety.</w:t>
            </w:r>
          </w:p>
        </w:tc>
        <w:tc>
          <w:tcPr>
            <w:tcW w:w="1900" w:type="dxa"/>
            <w:tcBorders>
              <w:top w:val="nil"/>
              <w:left w:val="nil"/>
              <w:bottom w:val="single" w:sz="4" w:space="0" w:color="auto"/>
              <w:right w:val="single" w:sz="4" w:space="0" w:color="auto"/>
            </w:tcBorders>
            <w:shd w:val="clear" w:color="auto" w:fill="A9D08E"/>
            <w:noWrap/>
            <w:hideMark/>
          </w:tcPr>
          <w:p w14:paraId="7A955133"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COMPLETED</w:t>
            </w:r>
          </w:p>
        </w:tc>
        <w:tc>
          <w:tcPr>
            <w:tcW w:w="10540" w:type="dxa"/>
            <w:tcBorders>
              <w:top w:val="nil"/>
              <w:left w:val="nil"/>
              <w:bottom w:val="single" w:sz="4" w:space="0" w:color="auto"/>
              <w:right w:val="single" w:sz="4" w:space="0" w:color="auto"/>
            </w:tcBorders>
            <w:shd w:val="clear" w:color="auto" w:fill="FFFFFF" w:themeFill="background1"/>
            <w:vAlign w:val="bottom"/>
            <w:hideMark/>
          </w:tcPr>
          <w:p w14:paraId="4D591028"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On 26 July 2023 the Therapeutic Products Bill received Royal assent, becoming the Therapeutic Products Act (2023).</w:t>
            </w:r>
            <w:r w:rsidRPr="009A160A">
              <w:rPr>
                <w:rFonts w:ascii="Calibri" w:eastAsia="Times New Roman" w:hAnsi="Calibri" w:cs="Calibri"/>
                <w:color w:val="000000"/>
                <w:sz w:val="24"/>
                <w:szCs w:val="24"/>
                <w:lang w:eastAsia="en-NZ"/>
              </w:rPr>
              <w:br/>
              <w:t>Most provisions in the Act will not commence (come into effect) until mid-2026. Until then, Manatū Hauora (the Ministry) will be busy developing the necessary rules and regulations to support the new therapeutic products regulatory regime. The Ministry will also be establishing the Regulator to administer the Act.</w:t>
            </w:r>
            <w:r w:rsidRPr="009A160A">
              <w:rPr>
                <w:rFonts w:ascii="Calibri" w:eastAsia="Times New Roman" w:hAnsi="Calibri" w:cs="Calibri"/>
                <w:color w:val="000000"/>
                <w:sz w:val="24"/>
                <w:szCs w:val="24"/>
                <w:lang w:eastAsia="en-NZ"/>
              </w:rPr>
              <w:br/>
              <w:t>The new regime will be flexible enough to support innovation, while ensuring effective control over quickly evolving health technologies. It will also align with international standards and uphold the quality of regulation currently carried out by the Ministry.</w:t>
            </w:r>
            <w:r w:rsidRPr="009A160A">
              <w:rPr>
                <w:rFonts w:ascii="Calibri" w:eastAsia="Times New Roman" w:hAnsi="Calibri" w:cs="Calibri"/>
                <w:color w:val="000000"/>
                <w:sz w:val="24"/>
                <w:szCs w:val="24"/>
                <w:lang w:eastAsia="en-NZ"/>
              </w:rPr>
              <w:br/>
              <w:t xml:space="preserve">As well as replacing and modernising the regulatory arrangements for medicines, the Act provides fit-for-purpose regulation of medical devices, and cell, </w:t>
            </w:r>
            <w:proofErr w:type="gramStart"/>
            <w:r w:rsidRPr="009A160A">
              <w:rPr>
                <w:rFonts w:ascii="Calibri" w:eastAsia="Times New Roman" w:hAnsi="Calibri" w:cs="Calibri"/>
                <w:color w:val="000000"/>
                <w:sz w:val="24"/>
                <w:szCs w:val="24"/>
                <w:lang w:eastAsia="en-NZ"/>
              </w:rPr>
              <w:t>gene</w:t>
            </w:r>
            <w:proofErr w:type="gramEnd"/>
            <w:r w:rsidRPr="009A160A">
              <w:rPr>
                <w:rFonts w:ascii="Calibri" w:eastAsia="Times New Roman" w:hAnsi="Calibri" w:cs="Calibri"/>
                <w:color w:val="000000"/>
                <w:sz w:val="24"/>
                <w:szCs w:val="24"/>
                <w:lang w:eastAsia="en-NZ"/>
              </w:rPr>
              <w:t xml:space="preserve"> and tissue therapies, which are currently not fully regulated. </w:t>
            </w:r>
            <w:r w:rsidRPr="009A160A">
              <w:rPr>
                <w:rFonts w:ascii="Calibri" w:eastAsia="Times New Roman" w:hAnsi="Calibri" w:cs="Calibri"/>
                <w:color w:val="000000"/>
                <w:sz w:val="24"/>
                <w:szCs w:val="24"/>
                <w:lang w:eastAsia="en-NZ"/>
              </w:rPr>
              <w:br/>
              <w:t xml:space="preserve">The Act also covers natural health products. These will have their own regulations under the Act.  </w:t>
            </w:r>
          </w:p>
        </w:tc>
      </w:tr>
      <w:tr w:rsidR="009A160A" w:rsidRPr="009A160A" w14:paraId="50C6167B" w14:textId="77777777" w:rsidTr="44CC1582">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14:paraId="289E97BD" w14:textId="77777777" w:rsidR="009A160A" w:rsidRPr="009A160A" w:rsidRDefault="009A160A" w:rsidP="009A160A">
            <w:pPr>
              <w:spacing w:after="0" w:line="240" w:lineRule="auto"/>
              <w:jc w:val="center"/>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19</w:t>
            </w:r>
          </w:p>
        </w:tc>
        <w:tc>
          <w:tcPr>
            <w:tcW w:w="8340" w:type="dxa"/>
            <w:tcBorders>
              <w:top w:val="nil"/>
              <w:left w:val="nil"/>
              <w:bottom w:val="single" w:sz="4" w:space="0" w:color="auto"/>
              <w:right w:val="single" w:sz="4" w:space="0" w:color="auto"/>
            </w:tcBorders>
            <w:shd w:val="clear" w:color="auto" w:fill="auto"/>
            <w:hideMark/>
          </w:tcPr>
          <w:p w14:paraId="672FEBEC"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The Ministry of Health will identify the actions and supports required to meet the need for a collaborative approach to safety systems and culture.</w:t>
            </w:r>
          </w:p>
        </w:tc>
        <w:tc>
          <w:tcPr>
            <w:tcW w:w="1900" w:type="dxa"/>
            <w:tcBorders>
              <w:top w:val="nil"/>
              <w:left w:val="nil"/>
              <w:bottom w:val="single" w:sz="4" w:space="0" w:color="auto"/>
              <w:right w:val="single" w:sz="4" w:space="0" w:color="auto"/>
            </w:tcBorders>
            <w:shd w:val="clear" w:color="auto" w:fill="FFD966" w:themeFill="accent4" w:themeFillTint="99"/>
            <w:noWrap/>
            <w:hideMark/>
          </w:tcPr>
          <w:p w14:paraId="347ABAC4" w14:textId="77777777" w:rsidR="009A160A" w:rsidRPr="009A160A" w:rsidRDefault="009A160A" w:rsidP="009A160A">
            <w:pPr>
              <w:spacing w:after="0" w:line="240" w:lineRule="auto"/>
              <w:rPr>
                <w:rFonts w:ascii="Calibri" w:eastAsia="Times New Roman" w:hAnsi="Calibri" w:cs="Calibri"/>
                <w:color w:val="000000"/>
                <w:lang w:eastAsia="en-NZ"/>
              </w:rPr>
            </w:pPr>
            <w:r w:rsidRPr="009A160A">
              <w:rPr>
                <w:rFonts w:ascii="Calibri" w:eastAsia="Times New Roman" w:hAnsi="Calibri" w:cs="Calibri"/>
                <w:color w:val="000000"/>
                <w:lang w:eastAsia="en-NZ"/>
              </w:rPr>
              <w:t>IN PROGRESS</w:t>
            </w:r>
          </w:p>
        </w:tc>
        <w:tc>
          <w:tcPr>
            <w:tcW w:w="10540" w:type="dxa"/>
            <w:tcBorders>
              <w:top w:val="nil"/>
              <w:left w:val="nil"/>
              <w:bottom w:val="single" w:sz="4" w:space="0" w:color="auto"/>
              <w:right w:val="single" w:sz="4" w:space="0" w:color="auto"/>
            </w:tcBorders>
            <w:shd w:val="clear" w:color="auto" w:fill="auto"/>
            <w:vAlign w:val="bottom"/>
            <w:hideMark/>
          </w:tcPr>
          <w:p w14:paraId="635BB89C" w14:textId="77777777" w:rsidR="009A160A" w:rsidRPr="009A160A" w:rsidRDefault="009A160A" w:rsidP="009A160A">
            <w:pPr>
              <w:spacing w:after="0" w:line="240" w:lineRule="auto"/>
              <w:rPr>
                <w:rFonts w:ascii="Calibri" w:eastAsia="Times New Roman" w:hAnsi="Calibri" w:cs="Calibri"/>
                <w:color w:val="000000"/>
                <w:sz w:val="24"/>
                <w:szCs w:val="24"/>
                <w:lang w:eastAsia="en-NZ"/>
              </w:rPr>
            </w:pPr>
            <w:r w:rsidRPr="009A160A">
              <w:rPr>
                <w:rFonts w:ascii="Calibri" w:eastAsia="Times New Roman" w:hAnsi="Calibri" w:cs="Calibri"/>
                <w:color w:val="000000"/>
                <w:sz w:val="24"/>
                <w:szCs w:val="24"/>
                <w:lang w:eastAsia="en-NZ"/>
              </w:rPr>
              <w:t>The Ministry is collaborating with other health sector agencies to ensure that the lessons from surgical mesh inform wider improvements to safety systems and culture.</w:t>
            </w:r>
          </w:p>
        </w:tc>
      </w:tr>
    </w:tbl>
    <w:p w14:paraId="3F4888EE" w14:textId="77777777" w:rsidR="009A160A" w:rsidRDefault="009A160A"/>
    <w:sectPr w:rsidR="009A160A" w:rsidSect="009A160A">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0A"/>
    <w:rsid w:val="000652BC"/>
    <w:rsid w:val="00084B56"/>
    <w:rsid w:val="000F3FBD"/>
    <w:rsid w:val="001C0EF6"/>
    <w:rsid w:val="00272EE6"/>
    <w:rsid w:val="002D47D7"/>
    <w:rsid w:val="003E127A"/>
    <w:rsid w:val="00424EEB"/>
    <w:rsid w:val="004B1E5A"/>
    <w:rsid w:val="004B3BBC"/>
    <w:rsid w:val="00664710"/>
    <w:rsid w:val="00955EC8"/>
    <w:rsid w:val="00981655"/>
    <w:rsid w:val="00994A69"/>
    <w:rsid w:val="009A160A"/>
    <w:rsid w:val="009B1B8D"/>
    <w:rsid w:val="00A54F79"/>
    <w:rsid w:val="00AA4D50"/>
    <w:rsid w:val="00B172AE"/>
    <w:rsid w:val="00C3000B"/>
    <w:rsid w:val="00DC19C2"/>
    <w:rsid w:val="00E42849"/>
    <w:rsid w:val="00E92D65"/>
    <w:rsid w:val="00E969F7"/>
    <w:rsid w:val="00EB5DD5"/>
    <w:rsid w:val="00F7142F"/>
    <w:rsid w:val="00FC6383"/>
    <w:rsid w:val="017CC108"/>
    <w:rsid w:val="055CFEE2"/>
    <w:rsid w:val="0B8E9D1B"/>
    <w:rsid w:val="0CB1191C"/>
    <w:rsid w:val="0F175939"/>
    <w:rsid w:val="1862688D"/>
    <w:rsid w:val="2135088C"/>
    <w:rsid w:val="2E0FFBA2"/>
    <w:rsid w:val="3116BC34"/>
    <w:rsid w:val="3171E25B"/>
    <w:rsid w:val="35521C3C"/>
    <w:rsid w:val="35FC2A44"/>
    <w:rsid w:val="386CE9D5"/>
    <w:rsid w:val="3EBCF203"/>
    <w:rsid w:val="4434067B"/>
    <w:rsid w:val="44CC1582"/>
    <w:rsid w:val="5908AF6B"/>
    <w:rsid w:val="5963977A"/>
    <w:rsid w:val="5B43EBA8"/>
    <w:rsid w:val="5FAE3CBD"/>
    <w:rsid w:val="63C7ADC3"/>
    <w:rsid w:val="64B01B75"/>
    <w:rsid w:val="69848C36"/>
    <w:rsid w:val="6F84F521"/>
    <w:rsid w:val="753F5954"/>
    <w:rsid w:val="7FEDF61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B30F"/>
  <w15:chartTrackingRefBased/>
  <w15:docId w15:val="{AC35ED7F-78DA-41BC-8E0E-015B3A6E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D65"/>
    <w:pPr>
      <w:spacing w:after="0" w:line="240" w:lineRule="auto"/>
      <w:outlineLvl w:val="0"/>
    </w:pPr>
    <w:rPr>
      <w:rFonts w:ascii="Calibri" w:eastAsia="Times New Roman" w:hAnsi="Calibri" w:cs="Calibri"/>
      <w:b/>
      <w:bCs/>
      <w:color w:val="000000"/>
      <w:sz w:val="28"/>
      <w:szCs w:val="2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42849"/>
    <w:pPr>
      <w:spacing w:line="240" w:lineRule="auto"/>
    </w:pPr>
    <w:rPr>
      <w:sz w:val="20"/>
      <w:szCs w:val="20"/>
    </w:rPr>
  </w:style>
  <w:style w:type="character" w:customStyle="1" w:styleId="CommentTextChar">
    <w:name w:val="Comment Text Char"/>
    <w:basedOn w:val="DefaultParagraphFont"/>
    <w:link w:val="CommentText"/>
    <w:uiPriority w:val="99"/>
    <w:rsid w:val="00E42849"/>
    <w:rPr>
      <w:sz w:val="20"/>
      <w:szCs w:val="20"/>
    </w:rPr>
  </w:style>
  <w:style w:type="character" w:styleId="CommentReference">
    <w:name w:val="annotation reference"/>
    <w:basedOn w:val="DefaultParagraphFont"/>
    <w:uiPriority w:val="99"/>
    <w:semiHidden/>
    <w:unhideWhenUsed/>
    <w:rsid w:val="00E42849"/>
    <w:rPr>
      <w:sz w:val="16"/>
      <w:szCs w:val="16"/>
    </w:rPr>
  </w:style>
  <w:style w:type="paragraph" w:styleId="CommentSubject">
    <w:name w:val="annotation subject"/>
    <w:basedOn w:val="CommentText"/>
    <w:next w:val="CommentText"/>
    <w:link w:val="CommentSubjectChar"/>
    <w:uiPriority w:val="99"/>
    <w:semiHidden/>
    <w:unhideWhenUsed/>
    <w:rsid w:val="002D47D7"/>
    <w:rPr>
      <w:b/>
      <w:bCs/>
    </w:rPr>
  </w:style>
  <w:style w:type="character" w:customStyle="1" w:styleId="CommentSubjectChar">
    <w:name w:val="Comment Subject Char"/>
    <w:basedOn w:val="CommentTextChar"/>
    <w:link w:val="CommentSubject"/>
    <w:uiPriority w:val="99"/>
    <w:semiHidden/>
    <w:rsid w:val="002D47D7"/>
    <w:rPr>
      <w:b/>
      <w:bCs/>
      <w:sz w:val="20"/>
      <w:szCs w:val="20"/>
    </w:rPr>
  </w:style>
  <w:style w:type="character" w:styleId="Hyperlink">
    <w:name w:val="Hyperlink"/>
    <w:basedOn w:val="DefaultParagraphFont"/>
    <w:uiPriority w:val="99"/>
    <w:unhideWhenUsed/>
    <w:rsid w:val="00981655"/>
    <w:rPr>
      <w:color w:val="0563C1" w:themeColor="hyperlink"/>
      <w:u w:val="single"/>
    </w:rPr>
  </w:style>
  <w:style w:type="character" w:styleId="UnresolvedMention">
    <w:name w:val="Unresolved Mention"/>
    <w:basedOn w:val="DefaultParagraphFont"/>
    <w:uiPriority w:val="99"/>
    <w:semiHidden/>
    <w:unhideWhenUsed/>
    <w:rsid w:val="00981655"/>
    <w:rPr>
      <w:color w:val="605E5C"/>
      <w:shd w:val="clear" w:color="auto" w:fill="E1DFDD"/>
    </w:rPr>
  </w:style>
  <w:style w:type="character" w:customStyle="1" w:styleId="Heading1Char">
    <w:name w:val="Heading 1 Char"/>
    <w:basedOn w:val="DefaultParagraphFont"/>
    <w:link w:val="Heading1"/>
    <w:uiPriority w:val="9"/>
    <w:rsid w:val="00E92D65"/>
    <w:rPr>
      <w:rFonts w:ascii="Calibri" w:eastAsia="Times New Roman" w:hAnsi="Calibri" w:cs="Calibri"/>
      <w:b/>
      <w:bCs/>
      <w:color w:val="000000"/>
      <w:sz w:val="28"/>
      <w:szCs w:val="2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7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alth.govt.nz/our-work/hospitals-and-specialist-care/surgical-mesh/surgical-mesh-terms-re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Tracker: Actions Agreed in Hearing and Responding to the Stories of Survivors of Surgical Mesh</dc:title>
  <dc:subject/>
  <dc:creator>Ministry of Health</dc:creator>
  <cp:keywords/>
  <dc:description/>
  <cp:lastModifiedBy>Ministry of Health</cp:lastModifiedBy>
  <cp:revision>2</cp:revision>
  <dcterms:created xsi:type="dcterms:W3CDTF">2023-11-22T22:56:00Z</dcterms:created>
  <dcterms:modified xsi:type="dcterms:W3CDTF">2023-11-22T22:56:00Z</dcterms:modified>
</cp:coreProperties>
</file>