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47827" w14:textId="67E2E746" w:rsidR="001800FE" w:rsidRPr="00DA035C" w:rsidRDefault="001800FE" w:rsidP="001800FE">
      <w:pPr>
        <w:spacing w:before="240" w:after="360"/>
        <w:rPr>
          <w:rFonts w:ascii="Georgia" w:hAnsi="Georgia"/>
          <w:b/>
          <w:sz w:val="48"/>
          <w:szCs w:val="48"/>
        </w:rPr>
      </w:pPr>
      <w:r>
        <w:rPr>
          <w:rFonts w:ascii="Georgia" w:hAnsi="Georgia"/>
          <w:b/>
          <w:sz w:val="48"/>
          <w:szCs w:val="48"/>
        </w:rPr>
        <w:t>Minutes</w:t>
      </w:r>
      <w:r w:rsidR="00CA3380">
        <w:rPr>
          <w:rFonts w:ascii="Georgia" w:hAnsi="Georgia"/>
          <w:b/>
          <w:sz w:val="48"/>
          <w:szCs w:val="48"/>
        </w:rPr>
        <w:tab/>
      </w:r>
      <w:r w:rsidR="00CA3380">
        <w:rPr>
          <w:rFonts w:ascii="Georgia" w:hAnsi="Georgia"/>
          <w:b/>
          <w:sz w:val="48"/>
          <w:szCs w:val="48"/>
        </w:rPr>
        <w:tab/>
      </w:r>
      <w:r w:rsidR="00CA3380">
        <w:rPr>
          <w:rFonts w:ascii="Georgia" w:hAnsi="Georgia"/>
          <w:b/>
          <w:sz w:val="48"/>
          <w:szCs w:val="48"/>
        </w:rPr>
        <w:tab/>
      </w:r>
      <w:r w:rsidR="00CA3380">
        <w:rPr>
          <w:rFonts w:ascii="Georgia" w:hAnsi="Georgia"/>
          <w:b/>
          <w:sz w:val="48"/>
          <w:szCs w:val="48"/>
        </w:rPr>
        <w:tab/>
      </w:r>
      <w:r w:rsidR="00CA3380">
        <w:rPr>
          <w:rFonts w:ascii="Georgia" w:hAnsi="Georgia"/>
          <w:b/>
          <w:sz w:val="48"/>
          <w:szCs w:val="48"/>
        </w:rPr>
        <w:tab/>
      </w:r>
      <w:r w:rsidR="00CA3380">
        <w:rPr>
          <w:rFonts w:ascii="Georgia" w:hAnsi="Georgia"/>
          <w:b/>
          <w:sz w:val="48"/>
          <w:szCs w:val="48"/>
        </w:rPr>
        <w:tab/>
      </w:r>
      <w:r w:rsidR="00CA3380">
        <w:rPr>
          <w:rFonts w:ascii="Georgia" w:hAnsi="Georgia"/>
          <w:b/>
          <w:sz w:val="48"/>
          <w:szCs w:val="48"/>
        </w:rPr>
        <w:tab/>
      </w:r>
      <w:r w:rsidR="00CA3380">
        <w:rPr>
          <w:rFonts w:ascii="Georgia" w:hAnsi="Georgia"/>
          <w:b/>
          <w:sz w:val="48"/>
          <w:szCs w:val="48"/>
        </w:rPr>
        <w:tab/>
      </w:r>
      <w:r w:rsidR="00CA3380">
        <w:rPr>
          <w:rFonts w:ascii="Georgia" w:hAnsi="Georgia"/>
          <w:b/>
          <w:sz w:val="48"/>
          <w:szCs w:val="48"/>
        </w:rPr>
        <w:tab/>
      </w:r>
      <w:r w:rsidR="00F50FA6">
        <w:rPr>
          <w:noProof/>
          <w:lang w:eastAsia="en-NZ"/>
        </w:rPr>
        <w:drawing>
          <wp:inline distT="0" distB="0" distL="0" distR="0" wp14:anchorId="0D2C0A1A" wp14:editId="6D8C4675">
            <wp:extent cx="990600" cy="485775"/>
            <wp:effectExtent l="0" t="0" r="0" b="9525"/>
            <wp:docPr id="1" name="Picture 1" descr="27510 MOH word template 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510 MOH word template mast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0" t="43289" r="79724" b="11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52C">
        <w:rPr>
          <w:rFonts w:ascii="Georgia" w:hAnsi="Georgia"/>
          <w:b/>
          <w:sz w:val="48"/>
          <w:szCs w:val="48"/>
        </w:rPr>
        <w:t>Operative Alliance</w:t>
      </w:r>
    </w:p>
    <w:tbl>
      <w:tblPr>
        <w:tblStyle w:val="TableGrid"/>
        <w:tblW w:w="9900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460"/>
      </w:tblGrid>
      <w:tr w:rsidR="001800FE" w:rsidRPr="00006665" w14:paraId="44E3F199" w14:textId="77777777" w:rsidTr="001800FE">
        <w:trPr>
          <w:cantSplit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69B2425D" w14:textId="77777777" w:rsidR="001800FE" w:rsidRPr="00EF0B2D" w:rsidRDefault="001800FE" w:rsidP="001800FE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Date: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6A8CD96" w14:textId="64F57011" w:rsidR="001800FE" w:rsidRPr="00006665" w:rsidRDefault="00322F81" w:rsidP="001800FE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C0764A">
              <w:rPr>
                <w:rFonts w:cs="Arial"/>
                <w:sz w:val="22"/>
                <w:szCs w:val="22"/>
              </w:rPr>
              <w:t xml:space="preserve"> July</w:t>
            </w:r>
            <w:r w:rsidR="006C5D61">
              <w:rPr>
                <w:rFonts w:cs="Arial"/>
                <w:sz w:val="22"/>
                <w:szCs w:val="22"/>
              </w:rPr>
              <w:t xml:space="preserve"> 2019</w:t>
            </w:r>
          </w:p>
        </w:tc>
      </w:tr>
      <w:tr w:rsidR="001800FE" w:rsidRPr="00006665" w14:paraId="0AA7B271" w14:textId="77777777" w:rsidTr="001800FE">
        <w:trPr>
          <w:cantSplit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77B84907" w14:textId="77777777" w:rsidR="001800FE" w:rsidRPr="00EF0B2D" w:rsidRDefault="001800FE" w:rsidP="001800FE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Time: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3D69890" w14:textId="57259571" w:rsidR="001800FE" w:rsidRPr="00006665" w:rsidRDefault="00322F81" w:rsidP="001800FE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1.00pm – 2.30p</w:t>
            </w:r>
            <w:r w:rsidR="006C5D61">
              <w:rPr>
                <w:rFonts w:cs="Arial"/>
                <w:sz w:val="22"/>
                <w:szCs w:val="22"/>
              </w:rPr>
              <w:t>m</w:t>
            </w:r>
          </w:p>
        </w:tc>
      </w:tr>
      <w:tr w:rsidR="001800FE" w:rsidRPr="00006665" w14:paraId="5690BD81" w14:textId="77777777" w:rsidTr="001800FE">
        <w:trPr>
          <w:cantSplit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5E7562B4" w14:textId="77777777" w:rsidR="001800FE" w:rsidRPr="00EF0B2D" w:rsidRDefault="001800FE" w:rsidP="001800FE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Location: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5858826F" w14:textId="0032FB2D" w:rsidR="001800FE" w:rsidRPr="00006665" w:rsidRDefault="00322F81" w:rsidP="001800FE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GN.8</w:t>
            </w:r>
            <w:r w:rsidR="006C5D61">
              <w:rPr>
                <w:rFonts w:cs="Arial"/>
                <w:sz w:val="22"/>
                <w:szCs w:val="22"/>
              </w:rPr>
              <w:t>, 133 Molesworth Street, Ministry of Health</w:t>
            </w:r>
          </w:p>
        </w:tc>
      </w:tr>
      <w:tr w:rsidR="001800FE" w:rsidRPr="00006665" w14:paraId="75264E4A" w14:textId="77777777" w:rsidTr="001800FE">
        <w:trPr>
          <w:cantSplit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09C2EE42" w14:textId="77777777" w:rsidR="001800FE" w:rsidRPr="00EF0B2D" w:rsidRDefault="001800FE" w:rsidP="001800FE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Chair: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163B1F23" w14:textId="77777777" w:rsidR="001800FE" w:rsidRPr="00006665" w:rsidRDefault="006C5D61" w:rsidP="001800FE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Group Manager, Quality Assurance and Safety</w:t>
            </w:r>
            <w:bookmarkStart w:id="0" w:name="_GoBack"/>
            <w:bookmarkEnd w:id="0"/>
          </w:p>
        </w:tc>
      </w:tr>
      <w:tr w:rsidR="001800FE" w:rsidRPr="00006665" w14:paraId="6DBD615A" w14:textId="77777777" w:rsidTr="001800FE">
        <w:trPr>
          <w:cantSplit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59965F26" w14:textId="77777777" w:rsidR="001800FE" w:rsidRPr="00EF0B2D" w:rsidRDefault="001800FE" w:rsidP="001800FE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Attendees: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8CD0ECA" w14:textId="6E62666C" w:rsidR="001800FE" w:rsidRPr="00006665" w:rsidRDefault="006C5D61" w:rsidP="00322F81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Care Association New Zealand, New Zealand Aged Care Association, New Zealand Disability Support Network, Platform Trusts, National Committee for Addiction Treatment, </w:t>
            </w:r>
            <w:r w:rsidR="001F6278">
              <w:rPr>
                <w:rFonts w:cs="Arial"/>
                <w:sz w:val="22"/>
                <w:szCs w:val="22"/>
              </w:rPr>
              <w:t xml:space="preserve">Health Navigator Consumer Advisor, </w:t>
            </w:r>
            <w:r>
              <w:rPr>
                <w:rFonts w:cs="Arial"/>
                <w:sz w:val="22"/>
                <w:szCs w:val="22"/>
              </w:rPr>
              <w:t>Disabled Persons Assembly New Zealand, Standards New Zealand, Designated Auditing Agencies</w:t>
            </w:r>
            <w:r w:rsidR="00322F81">
              <w:rPr>
                <w:rFonts w:cs="Arial"/>
                <w:sz w:val="22"/>
                <w:szCs w:val="22"/>
              </w:rPr>
              <w:t xml:space="preserve"> representative</w:t>
            </w:r>
            <w:r>
              <w:rPr>
                <w:rFonts w:cs="Arial"/>
                <w:sz w:val="22"/>
                <w:szCs w:val="22"/>
              </w:rPr>
              <w:t>, New Zealand Nurses Organisation, Ministry of Health – HealthCERT and Ministry of Health – Data Strategy and Investment</w:t>
            </w:r>
            <w:r w:rsidR="001F6278">
              <w:rPr>
                <w:rFonts w:cs="Arial"/>
                <w:sz w:val="22"/>
                <w:szCs w:val="22"/>
              </w:rPr>
              <w:t xml:space="preserve">, Fertility </w:t>
            </w:r>
            <w:r w:rsidR="00322F81">
              <w:rPr>
                <w:rFonts w:cs="Arial"/>
                <w:sz w:val="22"/>
                <w:szCs w:val="22"/>
              </w:rPr>
              <w:t>Providers representative</w:t>
            </w:r>
            <w:r w:rsidR="001F6278">
              <w:rPr>
                <w:rFonts w:cs="Arial"/>
                <w:sz w:val="22"/>
                <w:szCs w:val="22"/>
              </w:rPr>
              <w:t>, District Health Board – Directors of Allied Health</w:t>
            </w:r>
          </w:p>
        </w:tc>
      </w:tr>
      <w:tr w:rsidR="001800FE" w:rsidRPr="00006665" w14:paraId="6D063503" w14:textId="77777777" w:rsidTr="001800FE">
        <w:trPr>
          <w:cantSplit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154CB135" w14:textId="77777777" w:rsidR="001800FE" w:rsidRPr="00EF0B2D" w:rsidRDefault="001800FE" w:rsidP="001800FE">
            <w:pPr>
              <w:pStyle w:val="TableText"/>
              <w:rPr>
                <w:rFonts w:cs="Arial"/>
                <w:b/>
                <w:sz w:val="22"/>
                <w:szCs w:val="22"/>
              </w:rPr>
            </w:pPr>
            <w:r w:rsidRPr="00EF0B2D">
              <w:rPr>
                <w:rFonts w:cs="Arial"/>
                <w:b/>
                <w:sz w:val="22"/>
                <w:szCs w:val="22"/>
              </w:rPr>
              <w:t>Apologies:</w:t>
            </w:r>
          </w:p>
        </w:tc>
        <w:tc>
          <w:tcPr>
            <w:tcW w:w="84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A370D4E" w14:textId="014B9921" w:rsidR="001800FE" w:rsidRPr="00006665" w:rsidRDefault="007C752C" w:rsidP="001F6278">
            <w:pPr>
              <w:pStyle w:val="Table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District Health Board – </w:t>
            </w:r>
            <w:r w:rsidR="001F6278">
              <w:rPr>
                <w:rFonts w:cs="Arial"/>
                <w:sz w:val="22"/>
                <w:szCs w:val="22"/>
              </w:rPr>
              <w:t>Health of Older People Portfolio Manage</w:t>
            </w:r>
            <w:r w:rsidR="00322F81">
              <w:rPr>
                <w:rFonts w:cs="Arial"/>
                <w:sz w:val="22"/>
                <w:szCs w:val="22"/>
              </w:rPr>
              <w:t>r, Ministry of Health – Data Strategy and Investment</w:t>
            </w:r>
          </w:p>
        </w:tc>
      </w:tr>
    </w:tbl>
    <w:p w14:paraId="222C9F77" w14:textId="77777777" w:rsidR="001800FE" w:rsidRPr="00006665" w:rsidRDefault="001800FE" w:rsidP="00845DC8">
      <w:pPr>
        <w:rPr>
          <w:sz w:val="22"/>
          <w:szCs w:val="22"/>
        </w:rPr>
      </w:pPr>
    </w:p>
    <w:p w14:paraId="24EE56F3" w14:textId="77777777" w:rsidR="001800FE" w:rsidRPr="00006665" w:rsidRDefault="001800FE" w:rsidP="001800FE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719"/>
        <w:gridCol w:w="9086"/>
      </w:tblGrid>
      <w:tr w:rsidR="00D31CFA" w14:paraId="0AE01C8E" w14:textId="77777777" w:rsidTr="001C0D84">
        <w:tc>
          <w:tcPr>
            <w:tcW w:w="719" w:type="dxa"/>
          </w:tcPr>
          <w:p w14:paraId="668A5D06" w14:textId="77777777" w:rsidR="00D31CFA" w:rsidRPr="00D31CFA" w:rsidRDefault="00D31CFA" w:rsidP="00D31CFA">
            <w:pPr>
              <w:tabs>
                <w:tab w:val="right" w:leader="underscore" w:pos="5670"/>
                <w:tab w:val="left" w:pos="6237"/>
              </w:tabs>
              <w:rPr>
                <w:b/>
                <w:sz w:val="22"/>
                <w:szCs w:val="22"/>
              </w:rPr>
            </w:pPr>
            <w:r w:rsidRPr="00D31CFA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9086" w:type="dxa"/>
          </w:tcPr>
          <w:p w14:paraId="651FAA96" w14:textId="77777777" w:rsidR="00D31CFA" w:rsidRPr="00D31CFA" w:rsidRDefault="00D31CFA" w:rsidP="00D31CFA">
            <w:pPr>
              <w:tabs>
                <w:tab w:val="right" w:leader="underscore" w:pos="5670"/>
                <w:tab w:val="left" w:pos="6237"/>
              </w:tabs>
              <w:rPr>
                <w:b/>
                <w:sz w:val="22"/>
                <w:szCs w:val="22"/>
              </w:rPr>
            </w:pPr>
            <w:r w:rsidRPr="00D31CFA">
              <w:rPr>
                <w:b/>
                <w:sz w:val="22"/>
                <w:szCs w:val="22"/>
              </w:rPr>
              <w:t>Notes</w:t>
            </w:r>
          </w:p>
        </w:tc>
      </w:tr>
      <w:tr w:rsidR="00D31CFA" w14:paraId="13CD1418" w14:textId="77777777" w:rsidTr="001C0D84">
        <w:tc>
          <w:tcPr>
            <w:tcW w:w="719" w:type="dxa"/>
          </w:tcPr>
          <w:p w14:paraId="52B421D1" w14:textId="77777777" w:rsidR="00D31CFA" w:rsidRDefault="00D31CFA" w:rsidP="00651A75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>1</w:t>
            </w:r>
          </w:p>
        </w:tc>
        <w:tc>
          <w:tcPr>
            <w:tcW w:w="9086" w:type="dxa"/>
          </w:tcPr>
          <w:p w14:paraId="63822B89" w14:textId="06AC0694" w:rsidR="00651A75" w:rsidRDefault="00651A75" w:rsidP="001F6278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 xml:space="preserve">The Chair of the Operative Alliance welcomed members to the </w:t>
            </w:r>
            <w:r w:rsidR="001F6278">
              <w:t>second</w:t>
            </w:r>
            <w:r>
              <w:t xml:space="preserve"> meeting. Introductions were made by </w:t>
            </w:r>
            <w:r w:rsidR="001F6278">
              <w:t>the new members of the Operative Alliance</w:t>
            </w:r>
            <w:r w:rsidR="00322F81">
              <w:t xml:space="preserve">: the Fertility provider representative, </w:t>
            </w:r>
            <w:r w:rsidR="007F3160">
              <w:t xml:space="preserve">District Health Board (DHB) </w:t>
            </w:r>
            <w:r w:rsidR="00322F81">
              <w:t>Directors of Allied Health representative and the Mental Health Consumer Advisor.</w:t>
            </w:r>
            <w:r>
              <w:br/>
            </w:r>
          </w:p>
        </w:tc>
      </w:tr>
      <w:tr w:rsidR="00D31CFA" w14:paraId="4C7C091A" w14:textId="77777777" w:rsidTr="001C0D84">
        <w:tc>
          <w:tcPr>
            <w:tcW w:w="719" w:type="dxa"/>
          </w:tcPr>
          <w:p w14:paraId="3D8890B8" w14:textId="77777777" w:rsidR="00D31CFA" w:rsidRDefault="00D31CFA" w:rsidP="00651A75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>2</w:t>
            </w:r>
          </w:p>
        </w:tc>
        <w:tc>
          <w:tcPr>
            <w:tcW w:w="9086" w:type="dxa"/>
          </w:tcPr>
          <w:p w14:paraId="02CB4E00" w14:textId="791DB5D6" w:rsidR="00322F81" w:rsidRDefault="00903C33" w:rsidP="00903C33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>The</w:t>
            </w:r>
            <w:r w:rsidR="00322F81">
              <w:t xml:space="preserve"> minutes</w:t>
            </w:r>
            <w:r w:rsidR="001F6278">
              <w:t xml:space="preserve"> of the </w:t>
            </w:r>
            <w:r w:rsidR="00322F81">
              <w:t>Operative Alliance</w:t>
            </w:r>
            <w:r>
              <w:t xml:space="preserve"> meeting on 3 May 2019 have</w:t>
            </w:r>
            <w:r w:rsidR="001F6278">
              <w:t xml:space="preserve"> been published </w:t>
            </w:r>
            <w:r w:rsidR="00322F81">
              <w:t>on the Ministry of Health (the Ministry) website</w:t>
            </w:r>
            <w:r w:rsidR="001F6278">
              <w:t>.</w:t>
            </w:r>
            <w:r w:rsidR="00322F81">
              <w:t xml:space="preserve"> All actions have been completed. </w:t>
            </w:r>
            <w:r w:rsidR="00322F81">
              <w:br/>
            </w:r>
          </w:p>
        </w:tc>
      </w:tr>
      <w:tr w:rsidR="00D31CFA" w14:paraId="4258D2C7" w14:textId="77777777" w:rsidTr="001C0D84">
        <w:tc>
          <w:tcPr>
            <w:tcW w:w="719" w:type="dxa"/>
          </w:tcPr>
          <w:p w14:paraId="4D75FFA4" w14:textId="1F680248" w:rsidR="00D31CFA" w:rsidRDefault="00D31CFA" w:rsidP="00651A75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>3</w:t>
            </w:r>
          </w:p>
        </w:tc>
        <w:tc>
          <w:tcPr>
            <w:tcW w:w="9086" w:type="dxa"/>
          </w:tcPr>
          <w:p w14:paraId="2A8EC643" w14:textId="28597F53" w:rsidR="001F6278" w:rsidRDefault="00322F81" w:rsidP="001F00CE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 xml:space="preserve">The Chair introduced the members of the Operative Alliance to the newly appointed Specialist Māori Advisor. </w:t>
            </w:r>
            <w:r w:rsidR="001F00CE">
              <w:t>This role sits within</w:t>
            </w:r>
            <w:r>
              <w:t xml:space="preserve"> the Standards Review project team and</w:t>
            </w:r>
            <w:r w:rsidR="001F00CE">
              <w:t xml:space="preserve"> will</w:t>
            </w:r>
            <w:r>
              <w:t xml:space="preserve"> focus specifically on equity, Māori health and the Treaty of </w:t>
            </w:r>
            <w:r w:rsidR="007C1D53">
              <w:t>Waitangi</w:t>
            </w:r>
            <w:r w:rsidR="004B6CA1">
              <w:t xml:space="preserve"> (the Treaty)</w:t>
            </w:r>
            <w:r w:rsidR="007C1D53">
              <w:t xml:space="preserve"> as </w:t>
            </w:r>
            <w:r w:rsidR="00402831">
              <w:t xml:space="preserve">it </w:t>
            </w:r>
            <w:r w:rsidR="007C1D53">
              <w:t>relate</w:t>
            </w:r>
            <w:r w:rsidR="00402831">
              <w:t>s</w:t>
            </w:r>
            <w:r w:rsidR="007C1D53">
              <w:t xml:space="preserve"> to this review</w:t>
            </w:r>
            <w:r>
              <w:t xml:space="preserve">. </w:t>
            </w:r>
            <w:r>
              <w:br/>
            </w:r>
          </w:p>
        </w:tc>
      </w:tr>
      <w:tr w:rsidR="00D31CFA" w14:paraId="0022F1BE" w14:textId="77777777" w:rsidTr="001C0D84">
        <w:tc>
          <w:tcPr>
            <w:tcW w:w="719" w:type="dxa"/>
          </w:tcPr>
          <w:p w14:paraId="649AFF59" w14:textId="48A7E16E" w:rsidR="00D31CFA" w:rsidRDefault="00D31CFA" w:rsidP="003430F7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>4</w:t>
            </w:r>
          </w:p>
        </w:tc>
        <w:tc>
          <w:tcPr>
            <w:tcW w:w="9086" w:type="dxa"/>
          </w:tcPr>
          <w:p w14:paraId="08745591" w14:textId="77777777" w:rsidR="00903C33" w:rsidRDefault="001F00CE" w:rsidP="001F6278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 xml:space="preserve">The reports from the three scoping workshops </w:t>
            </w:r>
            <w:r w:rsidR="00E0478B">
              <w:t xml:space="preserve">which have been </w:t>
            </w:r>
            <w:r>
              <w:t>held were discussed.</w:t>
            </w:r>
            <w:r w:rsidR="00E0478B">
              <w:t xml:space="preserve"> </w:t>
            </w:r>
          </w:p>
          <w:p w14:paraId="58353069" w14:textId="1DFA3A17" w:rsidR="00A62444" w:rsidRDefault="00903C33" w:rsidP="001F6278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 xml:space="preserve">The </w:t>
            </w:r>
            <w:r w:rsidR="007F3160">
              <w:t>Fertility s</w:t>
            </w:r>
            <w:r w:rsidR="00E0478B">
              <w:t>ervices</w:t>
            </w:r>
            <w:r w:rsidR="007F3160">
              <w:t xml:space="preserve"> scoping workshop</w:t>
            </w:r>
            <w:r w:rsidR="00E0478B">
              <w:t xml:space="preserve"> (</w:t>
            </w:r>
            <w:r>
              <w:t xml:space="preserve">held </w:t>
            </w:r>
            <w:r w:rsidR="00E0478B">
              <w:t>15 April 2019)</w:t>
            </w:r>
            <w:r w:rsidR="007F3160">
              <w:t xml:space="preserve"> focussed on</w:t>
            </w:r>
            <w:r>
              <w:t xml:space="preserve"> the Fertility Services Standard,</w:t>
            </w:r>
            <w:r w:rsidR="007F3160">
              <w:t xml:space="preserve"> the</w:t>
            </w:r>
            <w:r>
              <w:t xml:space="preserve"> current</w:t>
            </w:r>
            <w:r w:rsidR="007F3160">
              <w:t xml:space="preserve"> framework of the standards</w:t>
            </w:r>
            <w:r>
              <w:t xml:space="preserve"> and </w:t>
            </w:r>
            <w:r w:rsidR="00A62444">
              <w:t xml:space="preserve">whether or not the fertility services sector could be </w:t>
            </w:r>
            <w:r w:rsidR="007F3160">
              <w:t xml:space="preserve">better </w:t>
            </w:r>
            <w:r w:rsidR="00A62444">
              <w:t>served by a</w:t>
            </w:r>
            <w:r w:rsidR="007F3160">
              <w:t xml:space="preserve"> modular</w:t>
            </w:r>
            <w:r w:rsidR="00A62444">
              <w:t xml:space="preserve"> framework.</w:t>
            </w:r>
            <w:r>
              <w:t xml:space="preserve"> </w:t>
            </w:r>
            <w:r w:rsidR="00A62444">
              <w:t xml:space="preserve"> </w:t>
            </w:r>
          </w:p>
          <w:p w14:paraId="086DCC72" w14:textId="1D3D7488" w:rsidR="000245DC" w:rsidRDefault="00903C33" w:rsidP="000245DC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 xml:space="preserve">The </w:t>
            </w:r>
            <w:r w:rsidR="007F3160">
              <w:t>DHB Inpatient Hospital, Private Hospital, Birthing Unit and Hospices services (held 20 May 2019)</w:t>
            </w:r>
            <w:r>
              <w:t xml:space="preserve"> scoping workshop and the Residential Mental Health and Residential Alcohol and Other Drug Addiction (held 31 May) both focussed in detail on the Health &amp; Disability Services Standards (the Standards) and on which </w:t>
            </w:r>
            <w:r>
              <w:lastRenderedPageBreak/>
              <w:t>standards required amending. Similar points were made at both scoping workshops.</w:t>
            </w:r>
            <w:r w:rsidR="000245DC">
              <w:t xml:space="preserve"> </w:t>
            </w:r>
            <w:r w:rsidR="002C4DB0">
              <w:t>Highlights from the discussion are noted below.</w:t>
            </w:r>
          </w:p>
          <w:p w14:paraId="378814C2" w14:textId="1330FD22" w:rsidR="00E72D70" w:rsidRDefault="00E72D70" w:rsidP="00E72D70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>Practices around seclusion are the focus of several health and disability sector organisations, in particular the work of the Health Quality &amp; Safety Commis</w:t>
            </w:r>
            <w:r w:rsidR="004B6CA1">
              <w:t>sion</w:t>
            </w:r>
            <w:r w:rsidR="000245DC">
              <w:t xml:space="preserve"> (HQSC)</w:t>
            </w:r>
            <w:r w:rsidR="004B6CA1">
              <w:t xml:space="preserve"> and Te Pou</w:t>
            </w:r>
            <w:r>
              <w:t xml:space="preserve">. </w:t>
            </w:r>
            <w:r w:rsidR="00111908">
              <w:t>The</w:t>
            </w:r>
            <w:r>
              <w:t xml:space="preserve"> standards surrounding seclusions will need to be able to adapt to such a changing landscape. </w:t>
            </w:r>
            <w:r w:rsidR="00A62872">
              <w:t xml:space="preserve">New </w:t>
            </w:r>
            <w:r w:rsidR="00AC2863">
              <w:t xml:space="preserve">Safe Practice Effective (SPEC) </w:t>
            </w:r>
            <w:r w:rsidR="00A62872">
              <w:t>training in the DHBs was discussed</w:t>
            </w:r>
            <w:r w:rsidR="00AC2863">
              <w:t>, particularly surrounding involvement of Consumer Advisor employees.</w:t>
            </w:r>
            <w:r w:rsidR="00296485">
              <w:t xml:space="preserve"> </w:t>
            </w:r>
            <w:r w:rsidR="00AC2863">
              <w:t>A</w:t>
            </w:r>
            <w:r w:rsidR="00A62872">
              <w:t xml:space="preserve">n update will be provided at the next meeting. </w:t>
            </w:r>
          </w:p>
          <w:p w14:paraId="4B73FA54" w14:textId="3C785F45" w:rsidR="00ED584E" w:rsidRDefault="00F04DF9" w:rsidP="001F6278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>It was asked whether Te Tiriti would be used as opposed to the Treaty. HealthCERT will seek advice from the Māori Health Directorate within the Ministry of Health.</w:t>
            </w:r>
            <w:r w:rsidR="00547AB4">
              <w:t xml:space="preserve"> The </w:t>
            </w:r>
            <w:r>
              <w:t>timeline</w:t>
            </w:r>
            <w:r w:rsidR="00547AB4">
              <w:t xml:space="preserve"> of WAI </w:t>
            </w:r>
            <w:r>
              <w:t xml:space="preserve">2575 </w:t>
            </w:r>
            <w:r w:rsidR="00296485">
              <w:t xml:space="preserve">treaty claim </w:t>
            </w:r>
            <w:r>
              <w:t>and</w:t>
            </w:r>
            <w:r w:rsidR="00296485">
              <w:t xml:space="preserve"> its</w:t>
            </w:r>
            <w:r>
              <w:t xml:space="preserve"> potential implications for this review</w:t>
            </w:r>
            <w:r w:rsidR="00296485">
              <w:t xml:space="preserve"> was also discussed</w:t>
            </w:r>
            <w:r>
              <w:t>.</w:t>
            </w:r>
          </w:p>
          <w:p w14:paraId="1F968EFC" w14:textId="2E20D42C" w:rsidR="002C4DB0" w:rsidRDefault="002C4DB0" w:rsidP="002C4DB0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>Standards relating to organisational management must consider cultural safety in terms of ethnicity and in terms of orga</w:t>
            </w:r>
            <w:r w:rsidR="00D53881">
              <w:t>nisation culture. The way Oranga Tamariki’s standards interface with the Minitry’s was asked to be considered.</w:t>
            </w:r>
          </w:p>
          <w:p w14:paraId="01930491" w14:textId="77777777" w:rsidR="002B56D7" w:rsidRDefault="002B56D7" w:rsidP="001F6278">
            <w:pPr>
              <w:tabs>
                <w:tab w:val="right" w:leader="underscore" w:pos="5670"/>
                <w:tab w:val="left" w:pos="6237"/>
              </w:tabs>
            </w:pPr>
          </w:p>
        </w:tc>
      </w:tr>
      <w:tr w:rsidR="00D31CFA" w14:paraId="3F2FA1DA" w14:textId="77777777" w:rsidTr="001C0D84">
        <w:tc>
          <w:tcPr>
            <w:tcW w:w="719" w:type="dxa"/>
          </w:tcPr>
          <w:p w14:paraId="57A0A8F1" w14:textId="3CF5B7E3" w:rsidR="00D31CFA" w:rsidRDefault="00D31CFA" w:rsidP="00DF02DF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lastRenderedPageBreak/>
              <w:t>5</w:t>
            </w:r>
          </w:p>
        </w:tc>
        <w:tc>
          <w:tcPr>
            <w:tcW w:w="9086" w:type="dxa"/>
          </w:tcPr>
          <w:p w14:paraId="0144317D" w14:textId="1EF0F6EC" w:rsidR="002C4DB0" w:rsidRDefault="00074CB8" w:rsidP="00230559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>The</w:t>
            </w:r>
            <w:r w:rsidR="00230559">
              <w:t xml:space="preserve"> Operative Alliance noted the nominations received to attend the scoping workshop. The Operative Alliance agreed with the recommendation made by HealthCERT to approve one representative per nominating organisation. </w:t>
            </w:r>
          </w:p>
          <w:p w14:paraId="5C9AF180" w14:textId="17413B2D" w:rsidR="00164E80" w:rsidRDefault="00230559" w:rsidP="00AD5029">
            <w:pPr>
              <w:tabs>
                <w:tab w:val="right" w:leader="underscore" w:pos="5670"/>
                <w:tab w:val="left" w:pos="6237"/>
              </w:tabs>
              <w:spacing w:before="240"/>
            </w:pPr>
            <w:r>
              <w:t xml:space="preserve">It was noted planning for a Home and Community Services Scoping Workshop is underway. </w:t>
            </w:r>
            <w:r w:rsidR="00903C33">
              <w:t>The invitation will be forwarded to members of the Operative Alliance.</w:t>
            </w:r>
            <w:r w:rsidR="00CA70AD">
              <w:br/>
            </w:r>
          </w:p>
        </w:tc>
      </w:tr>
      <w:tr w:rsidR="00D31CFA" w14:paraId="1044702A" w14:textId="77777777" w:rsidTr="001C0D84">
        <w:tc>
          <w:tcPr>
            <w:tcW w:w="719" w:type="dxa"/>
          </w:tcPr>
          <w:p w14:paraId="216106AF" w14:textId="458F349B" w:rsidR="00D31CFA" w:rsidRDefault="0008345F" w:rsidP="00DF02DF">
            <w:pPr>
              <w:tabs>
                <w:tab w:val="right" w:leader="underscore" w:pos="5670"/>
                <w:tab w:val="left" w:pos="6237"/>
              </w:tabs>
              <w:spacing w:before="240" w:after="240"/>
            </w:pPr>
            <w:r>
              <w:t>6</w:t>
            </w:r>
          </w:p>
        </w:tc>
        <w:tc>
          <w:tcPr>
            <w:tcW w:w="9086" w:type="dxa"/>
          </w:tcPr>
          <w:p w14:paraId="224A1CED" w14:textId="62FE267D" w:rsidR="002A4EED" w:rsidRDefault="002C4DB0" w:rsidP="00F97CB1">
            <w:r>
              <w:br/>
            </w:r>
            <w:r w:rsidR="00CA70AD">
              <w:t xml:space="preserve">The draft working group principles were tabled for discussion. These principles will underpin the work of the Phase 3: Working Groups. HealthCERT requested that any feedback be provided to the Project Manager by 23 July 2019. </w:t>
            </w:r>
            <w:r w:rsidR="002A4EED">
              <w:t xml:space="preserve"> </w:t>
            </w:r>
            <w:r>
              <w:br/>
            </w:r>
          </w:p>
        </w:tc>
      </w:tr>
    </w:tbl>
    <w:p w14:paraId="2C8FBA59" w14:textId="77777777" w:rsidR="001800FE" w:rsidRDefault="001800FE" w:rsidP="00D31CFA">
      <w:pPr>
        <w:tabs>
          <w:tab w:val="right" w:leader="underscore" w:pos="5670"/>
          <w:tab w:val="left" w:pos="6237"/>
        </w:tabs>
      </w:pPr>
    </w:p>
    <w:tbl>
      <w:tblPr>
        <w:tblStyle w:val="TableGrid"/>
        <w:tblW w:w="9810" w:type="dxa"/>
        <w:tblInd w:w="108" w:type="dxa"/>
        <w:tblLook w:val="01E0" w:firstRow="1" w:lastRow="1" w:firstColumn="1" w:lastColumn="1" w:noHBand="0" w:noVBand="0"/>
      </w:tblPr>
      <w:tblGrid>
        <w:gridCol w:w="718"/>
        <w:gridCol w:w="6540"/>
        <w:gridCol w:w="2552"/>
      </w:tblGrid>
      <w:tr w:rsidR="00F2685D" w14:paraId="29D20061" w14:textId="77777777" w:rsidTr="00845DC8">
        <w:tc>
          <w:tcPr>
            <w:tcW w:w="718" w:type="dxa"/>
          </w:tcPr>
          <w:p w14:paraId="20ECBFED" w14:textId="77777777" w:rsidR="00F2685D" w:rsidRDefault="00F2685D" w:rsidP="00D31CFA">
            <w:r w:rsidRPr="00D31CFA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6540" w:type="dxa"/>
          </w:tcPr>
          <w:p w14:paraId="358BA789" w14:textId="77777777" w:rsidR="00F2685D" w:rsidRPr="00D31CFA" w:rsidRDefault="00F2685D" w:rsidP="00D31CFA">
            <w:pPr>
              <w:rPr>
                <w:b/>
                <w:sz w:val="22"/>
                <w:szCs w:val="22"/>
              </w:rPr>
            </w:pPr>
            <w:r w:rsidRPr="00D31CFA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2552" w:type="dxa"/>
          </w:tcPr>
          <w:p w14:paraId="49A714B3" w14:textId="77777777" w:rsidR="00F2685D" w:rsidRPr="00D31CFA" w:rsidRDefault="00F2685D" w:rsidP="00D31CFA">
            <w:pPr>
              <w:rPr>
                <w:b/>
                <w:sz w:val="22"/>
                <w:szCs w:val="22"/>
              </w:rPr>
            </w:pPr>
            <w:r w:rsidRPr="00D31CFA">
              <w:rPr>
                <w:b/>
                <w:sz w:val="22"/>
                <w:szCs w:val="22"/>
              </w:rPr>
              <w:t>Lead</w:t>
            </w:r>
          </w:p>
        </w:tc>
      </w:tr>
      <w:tr w:rsidR="00F2685D" w14:paraId="73716B52" w14:textId="77777777" w:rsidTr="00845DC8">
        <w:tc>
          <w:tcPr>
            <w:tcW w:w="718" w:type="dxa"/>
          </w:tcPr>
          <w:p w14:paraId="78654B8C" w14:textId="77777777" w:rsidR="00F2685D" w:rsidRDefault="00F2685D">
            <w:r>
              <w:t>4</w:t>
            </w:r>
          </w:p>
        </w:tc>
        <w:tc>
          <w:tcPr>
            <w:tcW w:w="6540" w:type="dxa"/>
          </w:tcPr>
          <w:p w14:paraId="6110308B" w14:textId="04703E31" w:rsidR="00F2685D" w:rsidRDefault="00A62872">
            <w:r>
              <w:t xml:space="preserve">DHB representatives to discuss internally new specialist training around seclusion and restraint and provide update at meeting on 20 August. </w:t>
            </w:r>
          </w:p>
        </w:tc>
        <w:tc>
          <w:tcPr>
            <w:tcW w:w="2552" w:type="dxa"/>
          </w:tcPr>
          <w:p w14:paraId="452339E9" w14:textId="77777777" w:rsidR="00F2685D" w:rsidRDefault="00F2685D">
            <w:r>
              <w:t>Project Manager</w:t>
            </w:r>
          </w:p>
        </w:tc>
      </w:tr>
      <w:tr w:rsidR="00F2685D" w14:paraId="1EE0CA16" w14:textId="77777777" w:rsidTr="00845DC8">
        <w:tc>
          <w:tcPr>
            <w:tcW w:w="718" w:type="dxa"/>
          </w:tcPr>
          <w:p w14:paraId="612F1429" w14:textId="77777777" w:rsidR="00F2685D" w:rsidRDefault="00F2685D">
            <w:r>
              <w:t>4</w:t>
            </w:r>
          </w:p>
        </w:tc>
        <w:tc>
          <w:tcPr>
            <w:tcW w:w="6540" w:type="dxa"/>
          </w:tcPr>
          <w:p w14:paraId="66254DF9" w14:textId="541ACAC2" w:rsidR="00F2685D" w:rsidRDefault="002C4DB0" w:rsidP="002C4DB0">
            <w:r>
              <w:t>Offer Ngā Maia and Ngā Pou Mana an additional opportunity to provide feedback on scoping workshop report</w:t>
            </w:r>
          </w:p>
        </w:tc>
        <w:tc>
          <w:tcPr>
            <w:tcW w:w="2552" w:type="dxa"/>
          </w:tcPr>
          <w:p w14:paraId="402D2492" w14:textId="0A2F4FF3" w:rsidR="00F2685D" w:rsidRDefault="002C4DB0" w:rsidP="00175DD7">
            <w:r>
              <w:t>Specialist Māori Advisor</w:t>
            </w:r>
          </w:p>
        </w:tc>
      </w:tr>
      <w:tr w:rsidR="005A5721" w14:paraId="4765377D" w14:textId="77777777" w:rsidTr="00845DC8">
        <w:tc>
          <w:tcPr>
            <w:tcW w:w="718" w:type="dxa"/>
          </w:tcPr>
          <w:p w14:paraId="025D8135" w14:textId="110E92E0" w:rsidR="005A5721" w:rsidRDefault="005A5721">
            <w:r>
              <w:t>4</w:t>
            </w:r>
          </w:p>
        </w:tc>
        <w:tc>
          <w:tcPr>
            <w:tcW w:w="6540" w:type="dxa"/>
          </w:tcPr>
          <w:p w14:paraId="58326F5F" w14:textId="793F44EF" w:rsidR="005A5721" w:rsidRDefault="005A5721" w:rsidP="002C4DB0">
            <w:r>
              <w:t>Seek advice from Māori Health Directorate on use of Te Tiriti and the Treaty</w:t>
            </w:r>
          </w:p>
        </w:tc>
        <w:tc>
          <w:tcPr>
            <w:tcW w:w="2552" w:type="dxa"/>
          </w:tcPr>
          <w:p w14:paraId="21E7744B" w14:textId="5ECFCDF1" w:rsidR="005A5721" w:rsidRDefault="005A5721" w:rsidP="00175DD7">
            <w:r>
              <w:t>Specialist Māori Advisor</w:t>
            </w:r>
          </w:p>
        </w:tc>
      </w:tr>
      <w:tr w:rsidR="00F2685D" w14:paraId="0583E3C7" w14:textId="77777777" w:rsidTr="00845DC8">
        <w:tc>
          <w:tcPr>
            <w:tcW w:w="718" w:type="dxa"/>
          </w:tcPr>
          <w:p w14:paraId="30B567B0" w14:textId="645703F2" w:rsidR="00F2685D" w:rsidRDefault="00F2685D">
            <w:r>
              <w:t>5</w:t>
            </w:r>
          </w:p>
        </w:tc>
        <w:tc>
          <w:tcPr>
            <w:tcW w:w="6540" w:type="dxa"/>
          </w:tcPr>
          <w:p w14:paraId="3A579F88" w14:textId="4E56EED9" w:rsidR="00F2685D" w:rsidRDefault="002C4DB0" w:rsidP="000026EF">
            <w:r>
              <w:t xml:space="preserve">Engage with peer-led organisations as advised by Platform Trusts representative </w:t>
            </w:r>
            <w:r w:rsidR="000026EF">
              <w:t xml:space="preserve"> </w:t>
            </w:r>
          </w:p>
        </w:tc>
        <w:tc>
          <w:tcPr>
            <w:tcW w:w="2552" w:type="dxa"/>
          </w:tcPr>
          <w:p w14:paraId="4E900104" w14:textId="770734A4" w:rsidR="00F2685D" w:rsidRDefault="002C4DB0">
            <w:r>
              <w:t>Principal Advisor</w:t>
            </w:r>
          </w:p>
        </w:tc>
      </w:tr>
      <w:tr w:rsidR="00F2685D" w14:paraId="1BFA44DF" w14:textId="77777777" w:rsidTr="00845DC8">
        <w:tc>
          <w:tcPr>
            <w:tcW w:w="718" w:type="dxa"/>
          </w:tcPr>
          <w:p w14:paraId="2FC5FD4B" w14:textId="77777777" w:rsidR="00F2685D" w:rsidRDefault="00F2685D">
            <w:r>
              <w:t>5</w:t>
            </w:r>
          </w:p>
        </w:tc>
        <w:tc>
          <w:tcPr>
            <w:tcW w:w="6540" w:type="dxa"/>
          </w:tcPr>
          <w:p w14:paraId="59930255" w14:textId="3680DBD1" w:rsidR="00F2685D" w:rsidRDefault="00CA70AD" w:rsidP="00CA70AD">
            <w:r>
              <w:t>Include members of the Operative Alliance in the invitation mail-out for the Home and Community Services scoping workshop</w:t>
            </w:r>
          </w:p>
        </w:tc>
        <w:tc>
          <w:tcPr>
            <w:tcW w:w="2552" w:type="dxa"/>
          </w:tcPr>
          <w:p w14:paraId="77CD59C8" w14:textId="77777777" w:rsidR="00F2685D" w:rsidRDefault="00F2685D">
            <w:r>
              <w:t>Project Manager</w:t>
            </w:r>
          </w:p>
        </w:tc>
      </w:tr>
    </w:tbl>
    <w:p w14:paraId="149AAEAE" w14:textId="052E296F" w:rsidR="00A07D42" w:rsidRDefault="00A07D42" w:rsidP="002C4DB0"/>
    <w:sectPr w:rsidR="00A07D42" w:rsidSect="001800FE">
      <w:pgSz w:w="11907" w:h="16840" w:code="9"/>
      <w:pgMar w:top="567" w:right="992" w:bottom="992" w:left="992" w:header="56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87FB4" w14:textId="77777777" w:rsidR="00975260" w:rsidRDefault="00975260" w:rsidP="00187309">
      <w:r>
        <w:separator/>
      </w:r>
    </w:p>
  </w:endnote>
  <w:endnote w:type="continuationSeparator" w:id="0">
    <w:p w14:paraId="08D7DBD7" w14:textId="77777777" w:rsidR="00975260" w:rsidRDefault="00975260" w:rsidP="0018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59C8C" w14:textId="77777777" w:rsidR="00975260" w:rsidRDefault="00975260" w:rsidP="00187309">
      <w:r>
        <w:separator/>
      </w:r>
    </w:p>
  </w:footnote>
  <w:footnote w:type="continuationSeparator" w:id="0">
    <w:p w14:paraId="30D54C2F" w14:textId="77777777" w:rsidR="00975260" w:rsidRDefault="00975260" w:rsidP="00187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2709D"/>
    <w:multiLevelType w:val="hybridMultilevel"/>
    <w:tmpl w:val="65782CD2"/>
    <w:lvl w:ilvl="0" w:tplc="360E3A00">
      <w:start w:val="1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E09F5"/>
    <w:multiLevelType w:val="hybridMultilevel"/>
    <w:tmpl w:val="3B046B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FE"/>
    <w:rsid w:val="000026EF"/>
    <w:rsid w:val="000245DC"/>
    <w:rsid w:val="000574A5"/>
    <w:rsid w:val="00073866"/>
    <w:rsid w:val="00074CB8"/>
    <w:rsid w:val="0008345F"/>
    <w:rsid w:val="000B4EB9"/>
    <w:rsid w:val="000B68EF"/>
    <w:rsid w:val="000F439B"/>
    <w:rsid w:val="000F5A1B"/>
    <w:rsid w:val="001115D8"/>
    <w:rsid w:val="00111908"/>
    <w:rsid w:val="00114963"/>
    <w:rsid w:val="00152DBD"/>
    <w:rsid w:val="00164E80"/>
    <w:rsid w:val="00175DD7"/>
    <w:rsid w:val="001800FE"/>
    <w:rsid w:val="0018642B"/>
    <w:rsid w:val="00187309"/>
    <w:rsid w:val="001B0A4A"/>
    <w:rsid w:val="001B43D7"/>
    <w:rsid w:val="001B74F9"/>
    <w:rsid w:val="001C0D84"/>
    <w:rsid w:val="001D6868"/>
    <w:rsid w:val="001E7D09"/>
    <w:rsid w:val="001F00CE"/>
    <w:rsid w:val="001F6278"/>
    <w:rsid w:val="0020748D"/>
    <w:rsid w:val="00230559"/>
    <w:rsid w:val="00286C30"/>
    <w:rsid w:val="00296485"/>
    <w:rsid w:val="00296E27"/>
    <w:rsid w:val="002A4EED"/>
    <w:rsid w:val="002B56D7"/>
    <w:rsid w:val="002C4DB0"/>
    <w:rsid w:val="002F0603"/>
    <w:rsid w:val="00322F81"/>
    <w:rsid w:val="003430F7"/>
    <w:rsid w:val="003807CA"/>
    <w:rsid w:val="003A54F1"/>
    <w:rsid w:val="003C7799"/>
    <w:rsid w:val="003D3A3C"/>
    <w:rsid w:val="00402831"/>
    <w:rsid w:val="0043311B"/>
    <w:rsid w:val="004A54D8"/>
    <w:rsid w:val="004B6CA1"/>
    <w:rsid w:val="00514C6A"/>
    <w:rsid w:val="00517BDF"/>
    <w:rsid w:val="00547AB4"/>
    <w:rsid w:val="00553F3D"/>
    <w:rsid w:val="005A5721"/>
    <w:rsid w:val="005B1832"/>
    <w:rsid w:val="005B4771"/>
    <w:rsid w:val="005D1454"/>
    <w:rsid w:val="00651A75"/>
    <w:rsid w:val="006C5D61"/>
    <w:rsid w:val="006D5243"/>
    <w:rsid w:val="006F5C29"/>
    <w:rsid w:val="007325DC"/>
    <w:rsid w:val="00743EE0"/>
    <w:rsid w:val="00754477"/>
    <w:rsid w:val="007622C3"/>
    <w:rsid w:val="0077060B"/>
    <w:rsid w:val="00772CB9"/>
    <w:rsid w:val="00781219"/>
    <w:rsid w:val="007A36BE"/>
    <w:rsid w:val="007C1D53"/>
    <w:rsid w:val="007C752C"/>
    <w:rsid w:val="007F3160"/>
    <w:rsid w:val="008163AA"/>
    <w:rsid w:val="00845DC8"/>
    <w:rsid w:val="00854A62"/>
    <w:rsid w:val="00862EF2"/>
    <w:rsid w:val="00890CCA"/>
    <w:rsid w:val="008C4546"/>
    <w:rsid w:val="008E6283"/>
    <w:rsid w:val="00903C33"/>
    <w:rsid w:val="00963E11"/>
    <w:rsid w:val="0097458F"/>
    <w:rsid w:val="00975260"/>
    <w:rsid w:val="009B6464"/>
    <w:rsid w:val="00A07D42"/>
    <w:rsid w:val="00A131AD"/>
    <w:rsid w:val="00A358DC"/>
    <w:rsid w:val="00A375EE"/>
    <w:rsid w:val="00A62444"/>
    <w:rsid w:val="00A62872"/>
    <w:rsid w:val="00A7349A"/>
    <w:rsid w:val="00AC2863"/>
    <w:rsid w:val="00AD5029"/>
    <w:rsid w:val="00AF359C"/>
    <w:rsid w:val="00B47417"/>
    <w:rsid w:val="00B9220D"/>
    <w:rsid w:val="00B933CC"/>
    <w:rsid w:val="00B95DDB"/>
    <w:rsid w:val="00BA7F02"/>
    <w:rsid w:val="00C0764A"/>
    <w:rsid w:val="00CA3380"/>
    <w:rsid w:val="00CA70AD"/>
    <w:rsid w:val="00CD0956"/>
    <w:rsid w:val="00CE24C9"/>
    <w:rsid w:val="00D31CFA"/>
    <w:rsid w:val="00D53881"/>
    <w:rsid w:val="00DB6A7C"/>
    <w:rsid w:val="00DD10E4"/>
    <w:rsid w:val="00DF02DF"/>
    <w:rsid w:val="00E0478B"/>
    <w:rsid w:val="00E13BC0"/>
    <w:rsid w:val="00E4609E"/>
    <w:rsid w:val="00E72D20"/>
    <w:rsid w:val="00E72D70"/>
    <w:rsid w:val="00E76739"/>
    <w:rsid w:val="00ED584E"/>
    <w:rsid w:val="00F04DF9"/>
    <w:rsid w:val="00F2685D"/>
    <w:rsid w:val="00F50FA6"/>
    <w:rsid w:val="00F97CB1"/>
    <w:rsid w:val="00FD1A1D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1895A"/>
  <w15:docId w15:val="{BE531137-209F-4231-8CAB-5597FA71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0FE"/>
    <w:rPr>
      <w:rFonts w:ascii="Arial" w:hAnsi="Arial" w:cs="Times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0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1800FE"/>
    <w:pPr>
      <w:spacing w:before="120" w:after="120"/>
    </w:pPr>
  </w:style>
  <w:style w:type="paragraph" w:styleId="Footer">
    <w:name w:val="footer"/>
    <w:basedOn w:val="Normal"/>
    <w:rsid w:val="001800FE"/>
    <w:pPr>
      <w:pBdr>
        <w:top w:val="single" w:sz="4" w:space="4" w:color="auto"/>
      </w:pBdr>
    </w:pPr>
    <w:rPr>
      <w:rFonts w:ascii="Georgia" w:hAnsi="Georgia"/>
      <w:b/>
      <w:sz w:val="20"/>
    </w:rPr>
  </w:style>
  <w:style w:type="paragraph" w:styleId="Header">
    <w:name w:val="header"/>
    <w:basedOn w:val="Normal"/>
    <w:rsid w:val="00D31CF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0D84"/>
    <w:pPr>
      <w:ind w:left="720"/>
      <w:contextualSpacing/>
    </w:pPr>
  </w:style>
  <w:style w:type="character" w:styleId="Hyperlink">
    <w:name w:val="Hyperlink"/>
    <w:basedOn w:val="DefaultParagraphFont"/>
    <w:unhideWhenUsed/>
    <w:rsid w:val="00A07D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460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60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609E"/>
    <w:rPr>
      <w:rFonts w:ascii="Arial" w:hAnsi="Arial" w:cs="Times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6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609E"/>
    <w:rPr>
      <w:rFonts w:ascii="Arial" w:hAnsi="Arial" w:cs="Times"/>
      <w:b/>
      <w:bCs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E460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609E"/>
    <w:rPr>
      <w:rFonts w:ascii="Segoe UI" w:hAnsi="Segoe UI" w:cs="Segoe UI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semiHidden/>
    <w:unhideWhenUsed/>
    <w:rsid w:val="007622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622C3"/>
    <w:rPr>
      <w:rFonts w:ascii="Arial" w:hAnsi="Arial" w:cs="Times"/>
      <w:lang w:eastAsia="en-GB"/>
    </w:rPr>
  </w:style>
  <w:style w:type="character" w:styleId="FootnoteReference">
    <w:name w:val="footnote reference"/>
    <w:basedOn w:val="DefaultParagraphFont"/>
    <w:semiHidden/>
    <w:unhideWhenUsed/>
    <w:rsid w:val="00762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F7C3E-2748-4E34-A8ED-5ABC39B9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2D7D09C4</Template>
  <TotalTime>2</TotalTime>
  <Pages>2</Pages>
  <Words>683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Ministry of Health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Operative Alliance – 9 July 2019</dc:title>
  <dc:subject/>
  <dc:creator>Ministry of Health</dc:creator>
  <cp:keywords/>
  <dc:description/>
  <cp:lastModifiedBy>Ministry of Health</cp:lastModifiedBy>
  <cp:revision>2</cp:revision>
  <dcterms:created xsi:type="dcterms:W3CDTF">2019-07-24T01:40:00Z</dcterms:created>
  <dcterms:modified xsi:type="dcterms:W3CDTF">2019-07-24T01:40:00Z</dcterms:modified>
</cp:coreProperties>
</file>