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DF20A" w14:textId="77777777" w:rsidR="001800FE" w:rsidRDefault="001800FE" w:rsidP="001800FE">
      <w:pPr>
        <w:spacing w:after="360"/>
      </w:pPr>
    </w:p>
    <w:p w14:paraId="50CB2919" w14:textId="77777777" w:rsidR="001800FE" w:rsidRDefault="001800FE" w:rsidP="001800FE">
      <w:pPr>
        <w:spacing w:before="240" w:after="360"/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sz w:val="48"/>
          <w:szCs w:val="48"/>
        </w:rPr>
        <w:t>Minutes</w:t>
      </w:r>
      <w:r w:rsidR="00CA3380">
        <w:rPr>
          <w:rFonts w:ascii="Georgia" w:hAnsi="Georgia"/>
          <w:b/>
          <w:sz w:val="48"/>
          <w:szCs w:val="48"/>
        </w:rPr>
        <w:tab/>
      </w:r>
      <w:r w:rsidR="00CA3380">
        <w:rPr>
          <w:rFonts w:ascii="Georgia" w:hAnsi="Georgia"/>
          <w:b/>
          <w:sz w:val="48"/>
          <w:szCs w:val="48"/>
        </w:rPr>
        <w:tab/>
      </w:r>
      <w:r w:rsidR="00CA3380">
        <w:rPr>
          <w:rFonts w:ascii="Georgia" w:hAnsi="Georgia"/>
          <w:b/>
          <w:sz w:val="48"/>
          <w:szCs w:val="48"/>
        </w:rPr>
        <w:tab/>
      </w:r>
      <w:r w:rsidR="00CA3380">
        <w:rPr>
          <w:rFonts w:ascii="Georgia" w:hAnsi="Georgia"/>
          <w:b/>
          <w:sz w:val="48"/>
          <w:szCs w:val="48"/>
        </w:rPr>
        <w:tab/>
      </w:r>
      <w:r w:rsidR="00CA3380">
        <w:rPr>
          <w:rFonts w:ascii="Georgia" w:hAnsi="Georgia"/>
          <w:b/>
          <w:sz w:val="48"/>
          <w:szCs w:val="48"/>
        </w:rPr>
        <w:tab/>
      </w:r>
      <w:r w:rsidR="00CA3380">
        <w:rPr>
          <w:rFonts w:ascii="Georgia" w:hAnsi="Georgia"/>
          <w:b/>
          <w:sz w:val="48"/>
          <w:szCs w:val="48"/>
        </w:rPr>
        <w:tab/>
      </w:r>
      <w:r w:rsidR="00CA3380">
        <w:rPr>
          <w:rFonts w:ascii="Georgia" w:hAnsi="Georgia"/>
          <w:b/>
          <w:sz w:val="48"/>
          <w:szCs w:val="48"/>
        </w:rPr>
        <w:tab/>
      </w:r>
      <w:r w:rsidR="00CA3380">
        <w:rPr>
          <w:rFonts w:ascii="Georgia" w:hAnsi="Georgia"/>
          <w:b/>
          <w:sz w:val="48"/>
          <w:szCs w:val="48"/>
        </w:rPr>
        <w:tab/>
      </w:r>
      <w:r w:rsidR="00CA3380">
        <w:rPr>
          <w:rFonts w:ascii="Georgia" w:hAnsi="Georgia"/>
          <w:b/>
          <w:sz w:val="48"/>
          <w:szCs w:val="48"/>
        </w:rPr>
        <w:tab/>
      </w:r>
      <w:r w:rsidR="00F50FA6">
        <w:rPr>
          <w:noProof/>
          <w:lang w:eastAsia="en-NZ"/>
        </w:rPr>
        <w:drawing>
          <wp:inline distT="0" distB="0" distL="0" distR="0" wp14:anchorId="0D2C0A1A" wp14:editId="6D8C4675">
            <wp:extent cx="990600" cy="485775"/>
            <wp:effectExtent l="0" t="0" r="0" b="9525"/>
            <wp:docPr id="1" name="Picture 1" descr="27510 MOH word template 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510 MOH word template mast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0" t="43289" r="79724" b="11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380">
        <w:rPr>
          <w:rFonts w:ascii="Georgia" w:hAnsi="Georgia"/>
          <w:b/>
          <w:sz w:val="48"/>
          <w:szCs w:val="48"/>
        </w:rPr>
        <w:tab/>
      </w:r>
    </w:p>
    <w:p w14:paraId="1CF47827" w14:textId="77777777" w:rsidR="001800FE" w:rsidRPr="00DA035C" w:rsidRDefault="007C752C" w:rsidP="00FB7659">
      <w:pPr>
        <w:pStyle w:val="Heading1"/>
      </w:pPr>
      <w:r>
        <w:t xml:space="preserve">Operative </w:t>
      </w:r>
      <w:r w:rsidRPr="00FB7659">
        <w:t>Alliance</w:t>
      </w:r>
    </w:p>
    <w:tbl>
      <w:tblPr>
        <w:tblStyle w:val="TableGrid"/>
        <w:tblW w:w="9900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460"/>
      </w:tblGrid>
      <w:tr w:rsidR="001800FE" w:rsidRPr="00006665" w14:paraId="44E3F199" w14:textId="77777777" w:rsidTr="001800FE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69B2425D" w14:textId="77777777" w:rsidR="001800FE" w:rsidRPr="00EF0B2D" w:rsidRDefault="001800FE" w:rsidP="001800FE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6A8CD96" w14:textId="77777777" w:rsidR="001800FE" w:rsidRPr="00006665" w:rsidRDefault="006C5D61" w:rsidP="001800FE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 May 2019</w:t>
            </w:r>
          </w:p>
        </w:tc>
      </w:tr>
      <w:tr w:rsidR="001800FE" w:rsidRPr="00006665" w14:paraId="0AA7B271" w14:textId="77777777" w:rsidTr="001800FE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77B84907" w14:textId="77777777" w:rsidR="001800FE" w:rsidRPr="00EF0B2D" w:rsidRDefault="001800FE" w:rsidP="001800FE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Time: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3D69890" w14:textId="77777777" w:rsidR="001800FE" w:rsidRPr="00006665" w:rsidRDefault="006C5D61" w:rsidP="001800FE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9.00am – 10.30am</w:t>
            </w:r>
          </w:p>
        </w:tc>
      </w:tr>
      <w:tr w:rsidR="001800FE" w:rsidRPr="00006665" w14:paraId="5690BD81" w14:textId="77777777" w:rsidTr="001800FE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5E7562B4" w14:textId="77777777" w:rsidR="001800FE" w:rsidRPr="00EF0B2D" w:rsidRDefault="001800FE" w:rsidP="001800FE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Location: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5858826F" w14:textId="77777777" w:rsidR="001800FE" w:rsidRPr="00006665" w:rsidRDefault="006C5D61" w:rsidP="001800FE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GC.1, 133 Molesworth Street, Ministry of Health</w:t>
            </w:r>
          </w:p>
        </w:tc>
      </w:tr>
      <w:tr w:rsidR="001800FE" w:rsidRPr="00006665" w14:paraId="75264E4A" w14:textId="77777777" w:rsidTr="001800FE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09C2EE42" w14:textId="77777777" w:rsidR="001800FE" w:rsidRPr="00EF0B2D" w:rsidRDefault="001800FE" w:rsidP="001800FE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Chair: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63B1F23" w14:textId="77777777" w:rsidR="001800FE" w:rsidRPr="00006665" w:rsidRDefault="006C5D61" w:rsidP="001800FE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Group Manager, Quality Assurance and Safety</w:t>
            </w:r>
            <w:bookmarkStart w:id="0" w:name="_GoBack"/>
            <w:bookmarkEnd w:id="0"/>
          </w:p>
        </w:tc>
      </w:tr>
      <w:tr w:rsidR="001800FE" w:rsidRPr="00006665" w14:paraId="6DBD615A" w14:textId="77777777" w:rsidTr="001800FE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59965F26" w14:textId="77777777" w:rsidR="001800FE" w:rsidRPr="00EF0B2D" w:rsidRDefault="001800FE" w:rsidP="001800FE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Attendees: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8CD0ECA" w14:textId="77777777" w:rsidR="001800FE" w:rsidRPr="00006665" w:rsidRDefault="006C5D61" w:rsidP="007C752C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Care Association New Zealand, New Zealand Aged Care Association, New Zealand Disability Support Network, Platform Trusts, National Committee for Addiction Treatment, District Health Board – Health of Older People Portfolio Manager, Disabled Persons Assembly New Zealand, Standards New Zealand, Designated Auditing Agencies, New Zealand Nurses Organisation, Ministry of Health – </w:t>
            </w:r>
            <w:proofErr w:type="spellStart"/>
            <w:r>
              <w:rPr>
                <w:rFonts w:cs="Arial"/>
                <w:sz w:val="22"/>
                <w:szCs w:val="22"/>
              </w:rPr>
              <w:t>HealthCERT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and Ministry of Health – Data Strategy and Investment</w:t>
            </w:r>
          </w:p>
        </w:tc>
      </w:tr>
      <w:tr w:rsidR="001800FE" w:rsidRPr="00006665" w14:paraId="6D063503" w14:textId="77777777" w:rsidTr="001800FE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154CB135" w14:textId="77777777" w:rsidR="001800FE" w:rsidRPr="00EF0B2D" w:rsidRDefault="001800FE" w:rsidP="001800FE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Apologies: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A370D4E" w14:textId="77777777" w:rsidR="001800FE" w:rsidRPr="00006665" w:rsidRDefault="006C5D61" w:rsidP="001800FE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Ministry of Health – Mental Health Lived Experience</w:t>
            </w:r>
            <w:r w:rsidR="007C752C">
              <w:rPr>
                <w:rFonts w:cs="Arial"/>
                <w:sz w:val="22"/>
                <w:szCs w:val="22"/>
              </w:rPr>
              <w:t>, District Health Board – Quality Manager</w:t>
            </w:r>
            <w:r>
              <w:rPr>
                <w:rFonts w:cs="Arial"/>
                <w:sz w:val="22"/>
                <w:szCs w:val="22"/>
              </w:rPr>
              <w:t xml:space="preserve"> and Home Health Association New Zealand</w:t>
            </w:r>
          </w:p>
        </w:tc>
      </w:tr>
    </w:tbl>
    <w:p w14:paraId="222C9F77" w14:textId="77777777" w:rsidR="001800FE" w:rsidRPr="00006665" w:rsidRDefault="001800FE" w:rsidP="001800FE">
      <w:pPr>
        <w:spacing w:after="120"/>
        <w:rPr>
          <w:sz w:val="22"/>
          <w:szCs w:val="22"/>
        </w:rPr>
      </w:pPr>
    </w:p>
    <w:p w14:paraId="24EE56F3" w14:textId="77777777" w:rsidR="001800FE" w:rsidRPr="00006665" w:rsidRDefault="001800FE" w:rsidP="001800FE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719"/>
        <w:gridCol w:w="9086"/>
      </w:tblGrid>
      <w:tr w:rsidR="00D31CFA" w14:paraId="0AE01C8E" w14:textId="77777777" w:rsidTr="001C0D84">
        <w:tc>
          <w:tcPr>
            <w:tcW w:w="719" w:type="dxa"/>
          </w:tcPr>
          <w:p w14:paraId="668A5D06" w14:textId="77777777" w:rsidR="00D31CFA" w:rsidRPr="00D31CFA" w:rsidRDefault="00D31CFA" w:rsidP="00D31CFA">
            <w:pPr>
              <w:tabs>
                <w:tab w:val="right" w:leader="underscore" w:pos="5670"/>
                <w:tab w:val="left" w:pos="6237"/>
              </w:tabs>
              <w:rPr>
                <w:b/>
                <w:sz w:val="22"/>
                <w:szCs w:val="22"/>
              </w:rPr>
            </w:pPr>
            <w:r w:rsidRPr="00D31CFA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9086" w:type="dxa"/>
          </w:tcPr>
          <w:p w14:paraId="651FAA96" w14:textId="77777777" w:rsidR="00D31CFA" w:rsidRPr="00D31CFA" w:rsidRDefault="00D31CFA" w:rsidP="00D31CFA">
            <w:pPr>
              <w:tabs>
                <w:tab w:val="right" w:leader="underscore" w:pos="5670"/>
                <w:tab w:val="left" w:pos="6237"/>
              </w:tabs>
              <w:rPr>
                <w:b/>
                <w:sz w:val="22"/>
                <w:szCs w:val="22"/>
              </w:rPr>
            </w:pPr>
            <w:r w:rsidRPr="00D31CFA">
              <w:rPr>
                <w:b/>
                <w:sz w:val="22"/>
                <w:szCs w:val="22"/>
              </w:rPr>
              <w:t>Notes</w:t>
            </w:r>
          </w:p>
        </w:tc>
      </w:tr>
      <w:tr w:rsidR="00D31CFA" w14:paraId="13CD1418" w14:textId="77777777" w:rsidTr="001C0D84">
        <w:tc>
          <w:tcPr>
            <w:tcW w:w="719" w:type="dxa"/>
          </w:tcPr>
          <w:p w14:paraId="52B421D1" w14:textId="77777777" w:rsidR="00D31CFA" w:rsidRDefault="00D31CFA" w:rsidP="00651A75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>1</w:t>
            </w:r>
          </w:p>
        </w:tc>
        <w:tc>
          <w:tcPr>
            <w:tcW w:w="9086" w:type="dxa"/>
          </w:tcPr>
          <w:p w14:paraId="63822B89" w14:textId="77777777" w:rsidR="00651A75" w:rsidRDefault="00651A75" w:rsidP="00651A75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 xml:space="preserve">The Chair of the Operative Alliance welcomed members to the inaugural meeting. Introductions were made by those in attendance.  </w:t>
            </w:r>
            <w:r>
              <w:br/>
            </w:r>
          </w:p>
        </w:tc>
      </w:tr>
      <w:tr w:rsidR="00D31CFA" w14:paraId="4C7C091A" w14:textId="77777777" w:rsidTr="001C0D84">
        <w:tc>
          <w:tcPr>
            <w:tcW w:w="719" w:type="dxa"/>
          </w:tcPr>
          <w:p w14:paraId="3D8890B8" w14:textId="77777777" w:rsidR="00D31CFA" w:rsidRDefault="00D31CFA" w:rsidP="00651A75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>2</w:t>
            </w:r>
          </w:p>
        </w:tc>
        <w:tc>
          <w:tcPr>
            <w:tcW w:w="9086" w:type="dxa"/>
          </w:tcPr>
          <w:p w14:paraId="3B24BEEE" w14:textId="77777777" w:rsidR="00743EE0" w:rsidRDefault="00743EE0" w:rsidP="00651A75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>A</w:t>
            </w:r>
            <w:r w:rsidR="00E4609E">
              <w:t xml:space="preserve">n overview of the </w:t>
            </w:r>
            <w:r>
              <w:t>review of the Health &amp; Disability Services Standards</w:t>
            </w:r>
            <w:r w:rsidR="00B9220D">
              <w:t xml:space="preserve"> (HDSS)</w:t>
            </w:r>
            <w:r>
              <w:t xml:space="preserve"> and the Fertility Services Standards</w:t>
            </w:r>
            <w:r w:rsidR="00B9220D">
              <w:t xml:space="preserve"> (FSS)</w:t>
            </w:r>
            <w:r w:rsidR="00E4609E">
              <w:t xml:space="preserve"> was provided</w:t>
            </w:r>
            <w:r w:rsidR="007C752C">
              <w:t xml:space="preserve"> and</w:t>
            </w:r>
            <w:r w:rsidR="00E4609E">
              <w:t xml:space="preserve"> included the intent of a</w:t>
            </w:r>
            <w:r>
              <w:t xml:space="preserve"> partnership approach </w:t>
            </w:r>
            <w:r w:rsidR="00E4609E">
              <w:t>with Standards New Zealand</w:t>
            </w:r>
            <w:r>
              <w:t xml:space="preserve">. </w:t>
            </w:r>
          </w:p>
          <w:p w14:paraId="0BBD935F" w14:textId="77777777" w:rsidR="00E4609E" w:rsidRDefault="00E4609E" w:rsidP="00CD0956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 xml:space="preserve">International models were presented, noting </w:t>
            </w:r>
            <w:r w:rsidR="00743EE0">
              <w:t>a shift to</w:t>
            </w:r>
            <w:r>
              <w:t>wards</w:t>
            </w:r>
            <w:r w:rsidR="007C752C">
              <w:t xml:space="preserve"> </w:t>
            </w:r>
            <w:r w:rsidR="00743EE0">
              <w:t xml:space="preserve">more modular framework. </w:t>
            </w:r>
            <w:r>
              <w:t xml:space="preserve">This is represented by </w:t>
            </w:r>
            <w:r w:rsidR="00743EE0">
              <w:t xml:space="preserve">high-level standards which apply to </w:t>
            </w:r>
            <w:r>
              <w:t>a number of</w:t>
            </w:r>
            <w:r w:rsidR="00743EE0">
              <w:t xml:space="preserve"> service</w:t>
            </w:r>
            <w:r>
              <w:t xml:space="preserve"> types</w:t>
            </w:r>
            <w:r w:rsidR="00743EE0">
              <w:t xml:space="preserve"> supported by service </w:t>
            </w:r>
            <w:r>
              <w:t>specific</w:t>
            </w:r>
            <w:r w:rsidR="00743EE0">
              <w:t xml:space="preserve"> </w:t>
            </w:r>
            <w:r>
              <w:t>standards/</w:t>
            </w:r>
            <w:r w:rsidR="00743EE0">
              <w:t xml:space="preserve">guides. </w:t>
            </w:r>
          </w:p>
          <w:p w14:paraId="02CB4E00" w14:textId="044CC102" w:rsidR="007C752C" w:rsidRDefault="00E4609E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 xml:space="preserve">Internationally </w:t>
            </w:r>
            <w:r w:rsidR="003C7799">
              <w:t xml:space="preserve">reported </w:t>
            </w:r>
            <w:r w:rsidR="00743EE0">
              <w:t>this model allow</w:t>
            </w:r>
            <w:r>
              <w:t>s</w:t>
            </w:r>
            <w:r w:rsidR="00743EE0">
              <w:t xml:space="preserve"> flexibility. </w:t>
            </w:r>
            <w:r w:rsidR="007C752C">
              <w:br/>
            </w:r>
          </w:p>
        </w:tc>
      </w:tr>
      <w:tr w:rsidR="00D31CFA" w14:paraId="4258D2C7" w14:textId="77777777" w:rsidTr="001C0D84">
        <w:tc>
          <w:tcPr>
            <w:tcW w:w="719" w:type="dxa"/>
          </w:tcPr>
          <w:p w14:paraId="4D75FFA4" w14:textId="77777777" w:rsidR="00D31CFA" w:rsidRDefault="00D31CFA" w:rsidP="00651A75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>3</w:t>
            </w:r>
          </w:p>
        </w:tc>
        <w:tc>
          <w:tcPr>
            <w:tcW w:w="9086" w:type="dxa"/>
          </w:tcPr>
          <w:p w14:paraId="42DD1536" w14:textId="77777777" w:rsidR="00743EE0" w:rsidRDefault="00743EE0" w:rsidP="00651A75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>A summary of the results of the 2013, 2014 and joint 2017 reviews of the Health &amp; Disability Services Standa</w:t>
            </w:r>
            <w:r w:rsidR="00651A75">
              <w:t>rds and the Fertility Services S</w:t>
            </w:r>
            <w:r>
              <w:t xml:space="preserve">tandard was </w:t>
            </w:r>
            <w:r w:rsidR="007325DC">
              <w:t>provided</w:t>
            </w:r>
            <w:r w:rsidR="00651A75">
              <w:t>.</w:t>
            </w:r>
            <w:r w:rsidR="00B9220D">
              <w:t xml:space="preserve"> </w:t>
            </w:r>
          </w:p>
          <w:p w14:paraId="3683A244" w14:textId="77777777" w:rsidR="00743EE0" w:rsidRDefault="00743EE0" w:rsidP="00D31CFA">
            <w:pPr>
              <w:tabs>
                <w:tab w:val="right" w:leader="underscore" w:pos="5670"/>
                <w:tab w:val="left" w:pos="6237"/>
              </w:tabs>
            </w:pPr>
          </w:p>
          <w:p w14:paraId="72F4E8E3" w14:textId="77777777" w:rsidR="001B74F9" w:rsidRDefault="00B9220D" w:rsidP="00D31CFA">
            <w:pPr>
              <w:tabs>
                <w:tab w:val="right" w:leader="underscore" w:pos="5670"/>
                <w:tab w:val="left" w:pos="6237"/>
              </w:tabs>
            </w:pPr>
            <w:r>
              <w:t xml:space="preserve">The </w:t>
            </w:r>
            <w:r w:rsidR="00743EE0">
              <w:t>similarities and diff</w:t>
            </w:r>
            <w:r w:rsidR="00862EF2">
              <w:t xml:space="preserve">erences across the FSS, HDSS and the Home and </w:t>
            </w:r>
            <w:r w:rsidR="001B74F9">
              <w:t xml:space="preserve">community support sector </w:t>
            </w:r>
            <w:r w:rsidR="00862EF2">
              <w:t>Standard</w:t>
            </w:r>
            <w:r w:rsidR="00743EE0">
              <w:t xml:space="preserve">. </w:t>
            </w:r>
          </w:p>
          <w:p w14:paraId="389732AB" w14:textId="77777777" w:rsidR="001B74F9" w:rsidRDefault="001B74F9" w:rsidP="00D31CFA">
            <w:pPr>
              <w:tabs>
                <w:tab w:val="right" w:leader="underscore" w:pos="5670"/>
                <w:tab w:val="left" w:pos="6237"/>
              </w:tabs>
            </w:pPr>
          </w:p>
          <w:p w14:paraId="1B7F9AAC" w14:textId="77777777" w:rsidR="00743EE0" w:rsidRDefault="001B74F9" w:rsidP="00D31CFA">
            <w:pPr>
              <w:tabs>
                <w:tab w:val="right" w:leader="underscore" w:pos="5670"/>
                <w:tab w:val="left" w:pos="6237"/>
              </w:tabs>
            </w:pPr>
            <w:r>
              <w:lastRenderedPageBreak/>
              <w:t>In addition it was noted that the ‘</w:t>
            </w:r>
            <w:r w:rsidR="002B56D7">
              <w:t>modular</w:t>
            </w:r>
            <w:r>
              <w:t xml:space="preserve">’ concept is currently evident in the HDSS – </w:t>
            </w:r>
            <w:proofErr w:type="spellStart"/>
            <w:r>
              <w:t>eg</w:t>
            </w:r>
            <w:proofErr w:type="spellEnd"/>
            <w:r>
              <w:t>. Dedicated mental health criteria</w:t>
            </w:r>
            <w:r w:rsidR="003430F7">
              <w:t xml:space="preserve">. </w:t>
            </w:r>
          </w:p>
          <w:p w14:paraId="095D7614" w14:textId="77777777" w:rsidR="004A54D8" w:rsidRDefault="004A54D8" w:rsidP="00D31CFA">
            <w:pPr>
              <w:tabs>
                <w:tab w:val="right" w:leader="underscore" w:pos="5670"/>
                <w:tab w:val="left" w:pos="6237"/>
              </w:tabs>
            </w:pPr>
          </w:p>
          <w:p w14:paraId="61879C94" w14:textId="77777777" w:rsidR="001D6868" w:rsidRDefault="001D6868" w:rsidP="00D31CFA">
            <w:pPr>
              <w:tabs>
                <w:tab w:val="right" w:leader="underscore" w:pos="5670"/>
                <w:tab w:val="left" w:pos="6237"/>
              </w:tabs>
            </w:pPr>
            <w:r>
              <w:t>Alliance members noted high-level standards might</w:t>
            </w:r>
            <w:r w:rsidR="007C752C">
              <w:t xml:space="preserve"> </w:t>
            </w:r>
            <w:r w:rsidR="000F5A1B">
              <w:t xml:space="preserve">better serve the constantly evolving environment of health and disability sector.  </w:t>
            </w:r>
          </w:p>
          <w:p w14:paraId="2A8EC643" w14:textId="77777777" w:rsidR="00743EE0" w:rsidRDefault="00743EE0" w:rsidP="003430F7">
            <w:pPr>
              <w:tabs>
                <w:tab w:val="right" w:leader="underscore" w:pos="5670"/>
                <w:tab w:val="left" w:pos="6237"/>
              </w:tabs>
            </w:pPr>
          </w:p>
        </w:tc>
      </w:tr>
      <w:tr w:rsidR="00D31CFA" w14:paraId="0022F1BE" w14:textId="77777777" w:rsidTr="001C0D84">
        <w:tc>
          <w:tcPr>
            <w:tcW w:w="719" w:type="dxa"/>
          </w:tcPr>
          <w:p w14:paraId="649AFF59" w14:textId="77777777" w:rsidR="00D31CFA" w:rsidRDefault="00D31CFA" w:rsidP="003430F7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lastRenderedPageBreak/>
              <w:t>4</w:t>
            </w:r>
          </w:p>
        </w:tc>
        <w:tc>
          <w:tcPr>
            <w:tcW w:w="9086" w:type="dxa"/>
          </w:tcPr>
          <w:p w14:paraId="2942D81E" w14:textId="77777777" w:rsidR="002B56D7" w:rsidRDefault="003430F7" w:rsidP="003430F7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 xml:space="preserve">The Terms of Reference were reviewed by the Alliance and ratified. </w:t>
            </w:r>
          </w:p>
          <w:p w14:paraId="2B188F8E" w14:textId="0A5AA4D7" w:rsidR="007622C3" w:rsidRDefault="007622C3" w:rsidP="007622C3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>It was noted that the term equity was not used in the Terms of Reference.</w:t>
            </w:r>
            <w:r>
              <w:rPr>
                <w:rStyle w:val="FootnoteReference"/>
              </w:rPr>
              <w:footnoteReference w:id="1"/>
            </w:r>
            <w:r w:rsidR="001E7D09">
              <w:t xml:space="preserve"> </w:t>
            </w:r>
            <w:r>
              <w:t xml:space="preserve">The Standards Review project team discussed the different measures that were being implemented throughout the review to support equitable participation by the sector as well as within its governance structure. </w:t>
            </w:r>
          </w:p>
          <w:p w14:paraId="0469C820" w14:textId="77777777" w:rsidR="003430F7" w:rsidRDefault="003430F7" w:rsidP="00D31CFA">
            <w:pPr>
              <w:tabs>
                <w:tab w:val="right" w:leader="underscore" w:pos="5670"/>
                <w:tab w:val="left" w:pos="6237"/>
              </w:tabs>
            </w:pPr>
          </w:p>
          <w:p w14:paraId="692F2334" w14:textId="77777777" w:rsidR="003430F7" w:rsidRDefault="003430F7" w:rsidP="00D31CFA">
            <w:pPr>
              <w:tabs>
                <w:tab w:val="right" w:leader="underscore" w:pos="5670"/>
                <w:tab w:val="left" w:pos="6237"/>
              </w:tabs>
            </w:pPr>
            <w:r>
              <w:t xml:space="preserve">Alliance members </w:t>
            </w:r>
            <w:r w:rsidRPr="003430F7">
              <w:rPr>
                <w:u w:val="single"/>
              </w:rPr>
              <w:t>agreed</w:t>
            </w:r>
            <w:r>
              <w:t xml:space="preserve"> the TOR would be published online. </w:t>
            </w:r>
          </w:p>
          <w:p w14:paraId="506668D7" w14:textId="77777777" w:rsidR="003430F7" w:rsidRDefault="003430F7" w:rsidP="00D31CFA">
            <w:pPr>
              <w:tabs>
                <w:tab w:val="right" w:leader="underscore" w:pos="5670"/>
                <w:tab w:val="left" w:pos="6237"/>
              </w:tabs>
            </w:pPr>
          </w:p>
          <w:p w14:paraId="03D0EFFA" w14:textId="77777777" w:rsidR="003430F7" w:rsidRDefault="003430F7" w:rsidP="00D31CFA">
            <w:pPr>
              <w:tabs>
                <w:tab w:val="right" w:leader="underscore" w:pos="5670"/>
                <w:tab w:val="left" w:pos="6237"/>
              </w:tabs>
            </w:pPr>
            <w:r>
              <w:t xml:space="preserve">Alliance members </w:t>
            </w:r>
            <w:r w:rsidRPr="003430F7">
              <w:rPr>
                <w:u w:val="single"/>
              </w:rPr>
              <w:t>agreed</w:t>
            </w:r>
            <w:r>
              <w:t xml:space="preserve"> the minutes of the meetings would be published online.</w:t>
            </w:r>
          </w:p>
          <w:p w14:paraId="01930491" w14:textId="77777777" w:rsidR="002B56D7" w:rsidRDefault="002B56D7" w:rsidP="003430F7">
            <w:pPr>
              <w:tabs>
                <w:tab w:val="right" w:leader="underscore" w:pos="5670"/>
                <w:tab w:val="left" w:pos="6237"/>
              </w:tabs>
            </w:pPr>
          </w:p>
        </w:tc>
      </w:tr>
      <w:tr w:rsidR="00D31CFA" w14:paraId="3F2FA1DA" w14:textId="77777777" w:rsidTr="001C0D84">
        <w:tc>
          <w:tcPr>
            <w:tcW w:w="719" w:type="dxa"/>
          </w:tcPr>
          <w:p w14:paraId="57A0A8F1" w14:textId="77777777" w:rsidR="00D31CFA" w:rsidRDefault="00D31CFA" w:rsidP="00DF02DF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>5</w:t>
            </w:r>
          </w:p>
        </w:tc>
        <w:tc>
          <w:tcPr>
            <w:tcW w:w="9086" w:type="dxa"/>
          </w:tcPr>
          <w:p w14:paraId="497DFD41" w14:textId="4FC4442A" w:rsidR="00074CB8" w:rsidRDefault="00074CB8" w:rsidP="00074CB8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 xml:space="preserve">The Project Manager clarified </w:t>
            </w:r>
            <w:r w:rsidR="0097458F">
              <w:t>expectations for</w:t>
            </w:r>
            <w:r w:rsidR="000F5A1B">
              <w:t xml:space="preserve"> the Operative Alliance </w:t>
            </w:r>
            <w:r>
              <w:t xml:space="preserve">over the coming months. </w:t>
            </w:r>
          </w:p>
          <w:p w14:paraId="01697092" w14:textId="77777777" w:rsidR="000F5A1B" w:rsidRDefault="000F5A1B" w:rsidP="000F5A1B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>Meetings:</w:t>
            </w:r>
          </w:p>
          <w:p w14:paraId="45104F3B" w14:textId="77777777" w:rsidR="000F5A1B" w:rsidRDefault="000F5A1B" w:rsidP="000F5A1B">
            <w:pPr>
              <w:pStyle w:val="ListParagraph"/>
              <w:numPr>
                <w:ilvl w:val="0"/>
                <w:numId w:val="2"/>
              </w:numPr>
              <w:tabs>
                <w:tab w:val="right" w:leader="underscore" w:pos="5670"/>
                <w:tab w:val="left" w:pos="6237"/>
              </w:tabs>
              <w:spacing w:before="240"/>
            </w:pPr>
            <w:r>
              <w:t>9 July 2019</w:t>
            </w:r>
          </w:p>
          <w:p w14:paraId="1DBC5B23" w14:textId="77777777" w:rsidR="000F5A1B" w:rsidRDefault="000F5A1B" w:rsidP="000F5A1B">
            <w:pPr>
              <w:pStyle w:val="ListParagraph"/>
              <w:numPr>
                <w:ilvl w:val="0"/>
                <w:numId w:val="2"/>
              </w:numPr>
              <w:tabs>
                <w:tab w:val="right" w:leader="underscore" w:pos="5670"/>
                <w:tab w:val="left" w:pos="6237"/>
              </w:tabs>
              <w:spacing w:before="240"/>
            </w:pPr>
            <w:r>
              <w:t>20 August 2019</w:t>
            </w:r>
          </w:p>
          <w:p w14:paraId="5E00FE58" w14:textId="774E60ED" w:rsidR="000F5A1B" w:rsidRDefault="00A375EE" w:rsidP="000F5A1B">
            <w:pPr>
              <w:pStyle w:val="ListParagraph"/>
              <w:numPr>
                <w:ilvl w:val="0"/>
                <w:numId w:val="2"/>
              </w:numPr>
              <w:tabs>
                <w:tab w:val="right" w:leader="underscore" w:pos="5670"/>
                <w:tab w:val="left" w:pos="6237"/>
              </w:tabs>
              <w:spacing w:before="240"/>
            </w:pPr>
            <w:r>
              <w:t xml:space="preserve">20 November 2019 </w:t>
            </w:r>
          </w:p>
          <w:p w14:paraId="672A4B63" w14:textId="77777777" w:rsidR="00AD5029" w:rsidRDefault="00AD5029" w:rsidP="00AD5029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 xml:space="preserve">Alliance members </w:t>
            </w:r>
            <w:r w:rsidRPr="004A54D8">
              <w:rPr>
                <w:u w:val="single"/>
              </w:rPr>
              <w:t>agreed</w:t>
            </w:r>
            <w:r>
              <w:t xml:space="preserve"> there should be a scoping day for consumers.</w:t>
            </w:r>
          </w:p>
          <w:p w14:paraId="5C9AF180" w14:textId="77777777" w:rsidR="001C0D84" w:rsidRDefault="00074CB8" w:rsidP="00AD5029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 xml:space="preserve">Discussion highlighted the importance of dynamic mechanisms for communication, noting the sector is experiencing a number of request for engagement by multiple government departments. </w:t>
            </w:r>
            <w:r w:rsidR="004A54D8">
              <w:t>Process should aim to be managed such that stakeholders do not feel overloaded.</w:t>
            </w:r>
            <w:r w:rsidR="00AD5029">
              <w:br/>
            </w:r>
          </w:p>
        </w:tc>
      </w:tr>
      <w:tr w:rsidR="00D31CFA" w14:paraId="1044702A" w14:textId="77777777" w:rsidTr="001C0D84">
        <w:tc>
          <w:tcPr>
            <w:tcW w:w="719" w:type="dxa"/>
          </w:tcPr>
          <w:p w14:paraId="216106AF" w14:textId="77777777" w:rsidR="00D31CFA" w:rsidRDefault="0008345F" w:rsidP="00DF02DF">
            <w:pPr>
              <w:tabs>
                <w:tab w:val="right" w:leader="underscore" w:pos="5670"/>
                <w:tab w:val="left" w:pos="6237"/>
              </w:tabs>
              <w:spacing w:before="240" w:after="240"/>
            </w:pPr>
            <w:r>
              <w:t>6</w:t>
            </w:r>
          </w:p>
        </w:tc>
        <w:tc>
          <w:tcPr>
            <w:tcW w:w="9086" w:type="dxa"/>
          </w:tcPr>
          <w:p w14:paraId="224A1CED" w14:textId="77777777" w:rsidR="00D31CFA" w:rsidRDefault="001C0D84" w:rsidP="00DF02DF">
            <w:pPr>
              <w:tabs>
                <w:tab w:val="right" w:leader="underscore" w:pos="5670"/>
                <w:tab w:val="left" w:pos="6237"/>
              </w:tabs>
              <w:spacing w:before="240" w:after="240"/>
            </w:pPr>
            <w:r>
              <w:t>Close</w:t>
            </w:r>
          </w:p>
        </w:tc>
      </w:tr>
    </w:tbl>
    <w:p w14:paraId="2C8FBA59" w14:textId="77777777" w:rsidR="001800FE" w:rsidRDefault="001800FE" w:rsidP="00D31CFA">
      <w:pPr>
        <w:tabs>
          <w:tab w:val="right" w:leader="underscore" w:pos="5670"/>
          <w:tab w:val="left" w:pos="6237"/>
        </w:tabs>
      </w:pPr>
    </w:p>
    <w:tbl>
      <w:tblPr>
        <w:tblStyle w:val="TableGrid"/>
        <w:tblW w:w="9810" w:type="dxa"/>
        <w:tblInd w:w="108" w:type="dxa"/>
        <w:tblLook w:val="01E0" w:firstRow="1" w:lastRow="1" w:firstColumn="1" w:lastColumn="1" w:noHBand="0" w:noVBand="0"/>
      </w:tblPr>
      <w:tblGrid>
        <w:gridCol w:w="718"/>
        <w:gridCol w:w="6257"/>
        <w:gridCol w:w="2835"/>
      </w:tblGrid>
      <w:tr w:rsidR="00F2685D" w14:paraId="29D20061" w14:textId="77777777" w:rsidTr="00F2685D">
        <w:tc>
          <w:tcPr>
            <w:tcW w:w="718" w:type="dxa"/>
          </w:tcPr>
          <w:p w14:paraId="20ECBFED" w14:textId="77777777" w:rsidR="00F2685D" w:rsidRDefault="00F2685D" w:rsidP="00D31CFA">
            <w:r w:rsidRPr="00D31CFA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257" w:type="dxa"/>
          </w:tcPr>
          <w:p w14:paraId="358BA789" w14:textId="77777777" w:rsidR="00F2685D" w:rsidRPr="00D31CFA" w:rsidRDefault="00F2685D" w:rsidP="00D31CFA">
            <w:pPr>
              <w:rPr>
                <w:b/>
                <w:sz w:val="22"/>
                <w:szCs w:val="22"/>
              </w:rPr>
            </w:pPr>
            <w:r w:rsidRPr="00D31CFA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2835" w:type="dxa"/>
          </w:tcPr>
          <w:p w14:paraId="49A714B3" w14:textId="77777777" w:rsidR="00F2685D" w:rsidRPr="00D31CFA" w:rsidRDefault="00F2685D" w:rsidP="00D31CFA">
            <w:pPr>
              <w:rPr>
                <w:b/>
                <w:sz w:val="22"/>
                <w:szCs w:val="22"/>
              </w:rPr>
            </w:pPr>
            <w:r w:rsidRPr="00D31CFA">
              <w:rPr>
                <w:b/>
                <w:sz w:val="22"/>
                <w:szCs w:val="22"/>
              </w:rPr>
              <w:t>Lead</w:t>
            </w:r>
          </w:p>
        </w:tc>
      </w:tr>
      <w:tr w:rsidR="00F2685D" w14:paraId="73716B52" w14:textId="77777777" w:rsidTr="00F2685D">
        <w:tc>
          <w:tcPr>
            <w:tcW w:w="718" w:type="dxa"/>
          </w:tcPr>
          <w:p w14:paraId="78654B8C" w14:textId="77777777" w:rsidR="00F2685D" w:rsidRDefault="00F2685D">
            <w:r>
              <w:t>4</w:t>
            </w:r>
          </w:p>
        </w:tc>
        <w:tc>
          <w:tcPr>
            <w:tcW w:w="6257" w:type="dxa"/>
          </w:tcPr>
          <w:p w14:paraId="6110308B" w14:textId="77777777" w:rsidR="00F2685D" w:rsidRDefault="00F2685D">
            <w:r>
              <w:t>Include Human Right Commissioner and Privacy Commissioner as key stakeholders</w:t>
            </w:r>
          </w:p>
        </w:tc>
        <w:tc>
          <w:tcPr>
            <w:tcW w:w="2835" w:type="dxa"/>
          </w:tcPr>
          <w:p w14:paraId="452339E9" w14:textId="77777777" w:rsidR="00F2685D" w:rsidRDefault="00F2685D">
            <w:r>
              <w:t>Project Manager</w:t>
            </w:r>
          </w:p>
        </w:tc>
      </w:tr>
      <w:tr w:rsidR="00F2685D" w14:paraId="1EE0CA16" w14:textId="77777777" w:rsidTr="00F2685D">
        <w:tc>
          <w:tcPr>
            <w:tcW w:w="718" w:type="dxa"/>
          </w:tcPr>
          <w:p w14:paraId="612F1429" w14:textId="77777777" w:rsidR="00F2685D" w:rsidRDefault="00F2685D">
            <w:r>
              <w:t>4</w:t>
            </w:r>
          </w:p>
        </w:tc>
        <w:tc>
          <w:tcPr>
            <w:tcW w:w="6257" w:type="dxa"/>
          </w:tcPr>
          <w:p w14:paraId="66254DF9" w14:textId="284DB2B2" w:rsidR="00F2685D" w:rsidRDefault="00F2685D">
            <w:r>
              <w:t>Distribute the Terms of Reference of the Governance Group once ratified on the</w:t>
            </w:r>
            <w:r w:rsidR="000026EF">
              <w:t xml:space="preserve"> Governance Group on</w:t>
            </w:r>
            <w:r>
              <w:t xml:space="preserve"> 23 May</w:t>
            </w:r>
          </w:p>
        </w:tc>
        <w:tc>
          <w:tcPr>
            <w:tcW w:w="2835" w:type="dxa"/>
          </w:tcPr>
          <w:p w14:paraId="402D2492" w14:textId="13EB951D" w:rsidR="00F2685D" w:rsidRDefault="00F2685D" w:rsidP="00175DD7">
            <w:r>
              <w:t>Project Man</w:t>
            </w:r>
            <w:r w:rsidR="00175DD7">
              <w:t>a</w:t>
            </w:r>
            <w:r>
              <w:t>ger</w:t>
            </w:r>
          </w:p>
        </w:tc>
      </w:tr>
      <w:tr w:rsidR="00F2685D" w14:paraId="0583E3C7" w14:textId="77777777" w:rsidTr="00F2685D">
        <w:tc>
          <w:tcPr>
            <w:tcW w:w="718" w:type="dxa"/>
          </w:tcPr>
          <w:p w14:paraId="30B567B0" w14:textId="77777777" w:rsidR="00F2685D" w:rsidRDefault="00F2685D">
            <w:r>
              <w:t>5</w:t>
            </w:r>
          </w:p>
        </w:tc>
        <w:tc>
          <w:tcPr>
            <w:tcW w:w="6257" w:type="dxa"/>
          </w:tcPr>
          <w:p w14:paraId="3A579F88" w14:textId="794FB104" w:rsidR="00F2685D" w:rsidRDefault="00F2685D" w:rsidP="000026EF">
            <w:r>
              <w:t xml:space="preserve">Discuss with </w:t>
            </w:r>
            <w:r w:rsidR="000026EF">
              <w:t xml:space="preserve">Platform Trusts regarding effective engagement tools </w:t>
            </w:r>
          </w:p>
        </w:tc>
        <w:tc>
          <w:tcPr>
            <w:tcW w:w="2835" w:type="dxa"/>
          </w:tcPr>
          <w:p w14:paraId="4E900104" w14:textId="77777777" w:rsidR="00F2685D" w:rsidRDefault="00F2685D">
            <w:r>
              <w:t>Project Manager</w:t>
            </w:r>
          </w:p>
        </w:tc>
      </w:tr>
      <w:tr w:rsidR="00F2685D" w14:paraId="1BFA44DF" w14:textId="77777777" w:rsidTr="00F2685D">
        <w:tc>
          <w:tcPr>
            <w:tcW w:w="718" w:type="dxa"/>
          </w:tcPr>
          <w:p w14:paraId="2FC5FD4B" w14:textId="77777777" w:rsidR="00F2685D" w:rsidRDefault="00F2685D">
            <w:r>
              <w:t>5</w:t>
            </w:r>
          </w:p>
        </w:tc>
        <w:tc>
          <w:tcPr>
            <w:tcW w:w="6257" w:type="dxa"/>
          </w:tcPr>
          <w:p w14:paraId="59930255" w14:textId="77777777" w:rsidR="00F2685D" w:rsidRDefault="00F2685D" w:rsidP="005D1454">
            <w:r>
              <w:t>Consumer Group list to be drafted and provided to OA members who will then add to where appropriate, including key individual stakeholder leaders.</w:t>
            </w:r>
          </w:p>
        </w:tc>
        <w:tc>
          <w:tcPr>
            <w:tcW w:w="2835" w:type="dxa"/>
          </w:tcPr>
          <w:p w14:paraId="77CD59C8" w14:textId="77777777" w:rsidR="00F2685D" w:rsidRDefault="00F2685D">
            <w:r>
              <w:t>Project Manager</w:t>
            </w:r>
          </w:p>
        </w:tc>
      </w:tr>
      <w:tr w:rsidR="00F2685D" w14:paraId="5E6E7EF8" w14:textId="77777777" w:rsidTr="00F2685D">
        <w:tc>
          <w:tcPr>
            <w:tcW w:w="718" w:type="dxa"/>
          </w:tcPr>
          <w:p w14:paraId="6B30D22F" w14:textId="77777777" w:rsidR="00F2685D" w:rsidRDefault="00F2685D">
            <w:r>
              <w:t>5</w:t>
            </w:r>
          </w:p>
        </w:tc>
        <w:tc>
          <w:tcPr>
            <w:tcW w:w="6257" w:type="dxa"/>
          </w:tcPr>
          <w:p w14:paraId="4AFC5799" w14:textId="77777777" w:rsidR="00F2685D" w:rsidRDefault="00F2685D" w:rsidP="00F2685D">
            <w:r>
              <w:t xml:space="preserve">Talk to Disability Directorate around </w:t>
            </w:r>
            <w:proofErr w:type="spellStart"/>
            <w:r>
              <w:t>comms</w:t>
            </w:r>
            <w:proofErr w:type="spellEnd"/>
            <w:r>
              <w:t>/engagement with the disability sector.</w:t>
            </w:r>
          </w:p>
        </w:tc>
        <w:tc>
          <w:tcPr>
            <w:tcW w:w="2835" w:type="dxa"/>
          </w:tcPr>
          <w:p w14:paraId="4DB9729B" w14:textId="77777777" w:rsidR="00F2685D" w:rsidRDefault="00F2685D">
            <w:r>
              <w:t>Project Manager</w:t>
            </w:r>
          </w:p>
        </w:tc>
      </w:tr>
    </w:tbl>
    <w:p w14:paraId="149AAEAE" w14:textId="052E296F" w:rsidR="00A07D42" w:rsidRDefault="00A07D42" w:rsidP="007622C3"/>
    <w:sectPr w:rsidR="00A07D42" w:rsidSect="001800FE">
      <w:pgSz w:w="11907" w:h="16840" w:code="9"/>
      <w:pgMar w:top="567" w:right="992" w:bottom="992" w:left="992" w:header="56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B907A" w14:textId="77777777" w:rsidR="00E55EFA" w:rsidRDefault="00E55EFA" w:rsidP="00187309">
      <w:r>
        <w:separator/>
      </w:r>
    </w:p>
  </w:endnote>
  <w:endnote w:type="continuationSeparator" w:id="0">
    <w:p w14:paraId="74E2459B" w14:textId="77777777" w:rsidR="00E55EFA" w:rsidRDefault="00E55EFA" w:rsidP="0018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2803D" w14:textId="77777777" w:rsidR="00E55EFA" w:rsidRDefault="00E55EFA" w:rsidP="00187309">
      <w:r>
        <w:separator/>
      </w:r>
    </w:p>
  </w:footnote>
  <w:footnote w:type="continuationSeparator" w:id="0">
    <w:p w14:paraId="6292C55D" w14:textId="77777777" w:rsidR="00E55EFA" w:rsidRDefault="00E55EFA" w:rsidP="00187309">
      <w:r>
        <w:continuationSeparator/>
      </w:r>
    </w:p>
  </w:footnote>
  <w:footnote w:id="1">
    <w:p w14:paraId="6847F541" w14:textId="69F4500C" w:rsidR="007622C3" w:rsidRDefault="007622C3" w:rsidP="007622C3">
      <w:pPr>
        <w:pStyle w:val="FootnoteText"/>
      </w:pPr>
      <w:r>
        <w:rPr>
          <w:rStyle w:val="FootnoteReference"/>
        </w:rPr>
        <w:footnoteRef/>
      </w:r>
      <w:r>
        <w:t xml:space="preserve"> Discussions outside of this meeting confirmed the functions of the Operative Alliance were updated to explicitly include equity in the Terms of Reference.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2709D"/>
    <w:multiLevelType w:val="hybridMultilevel"/>
    <w:tmpl w:val="65782CD2"/>
    <w:lvl w:ilvl="0" w:tplc="360E3A00">
      <w:start w:val="1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E09F5"/>
    <w:multiLevelType w:val="hybridMultilevel"/>
    <w:tmpl w:val="3B046B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FE"/>
    <w:rsid w:val="000026EF"/>
    <w:rsid w:val="00073866"/>
    <w:rsid w:val="00074CB8"/>
    <w:rsid w:val="0008345F"/>
    <w:rsid w:val="000B68EF"/>
    <w:rsid w:val="000F439B"/>
    <w:rsid w:val="000F5A1B"/>
    <w:rsid w:val="001115D8"/>
    <w:rsid w:val="00114963"/>
    <w:rsid w:val="00175DD7"/>
    <w:rsid w:val="001800FE"/>
    <w:rsid w:val="00187309"/>
    <w:rsid w:val="001B0A4A"/>
    <w:rsid w:val="001B43D7"/>
    <w:rsid w:val="001B74F9"/>
    <w:rsid w:val="001C0D84"/>
    <w:rsid w:val="001D6868"/>
    <w:rsid w:val="001E7D09"/>
    <w:rsid w:val="0020748D"/>
    <w:rsid w:val="00296E27"/>
    <w:rsid w:val="002B56D7"/>
    <w:rsid w:val="002F0603"/>
    <w:rsid w:val="003430F7"/>
    <w:rsid w:val="003807CA"/>
    <w:rsid w:val="003A54F1"/>
    <w:rsid w:val="003C7799"/>
    <w:rsid w:val="003D3A3C"/>
    <w:rsid w:val="004A54D8"/>
    <w:rsid w:val="00514C6A"/>
    <w:rsid w:val="00517BDF"/>
    <w:rsid w:val="00553F3D"/>
    <w:rsid w:val="005B4771"/>
    <w:rsid w:val="005D1454"/>
    <w:rsid w:val="00651A75"/>
    <w:rsid w:val="006C5D61"/>
    <w:rsid w:val="007325DC"/>
    <w:rsid w:val="00743EE0"/>
    <w:rsid w:val="00754477"/>
    <w:rsid w:val="007622C3"/>
    <w:rsid w:val="00772CB9"/>
    <w:rsid w:val="00781219"/>
    <w:rsid w:val="007C752C"/>
    <w:rsid w:val="00854A62"/>
    <w:rsid w:val="00862EF2"/>
    <w:rsid w:val="00890CCA"/>
    <w:rsid w:val="008E6283"/>
    <w:rsid w:val="00963E11"/>
    <w:rsid w:val="0097458F"/>
    <w:rsid w:val="009B6464"/>
    <w:rsid w:val="009C4438"/>
    <w:rsid w:val="00A07D42"/>
    <w:rsid w:val="00A131AD"/>
    <w:rsid w:val="00A375EE"/>
    <w:rsid w:val="00A7349A"/>
    <w:rsid w:val="00AD5029"/>
    <w:rsid w:val="00B47417"/>
    <w:rsid w:val="00B9220D"/>
    <w:rsid w:val="00CA3380"/>
    <w:rsid w:val="00CD0956"/>
    <w:rsid w:val="00CE24C9"/>
    <w:rsid w:val="00D31CFA"/>
    <w:rsid w:val="00DF02DF"/>
    <w:rsid w:val="00E13BC0"/>
    <w:rsid w:val="00E4609E"/>
    <w:rsid w:val="00E55EFA"/>
    <w:rsid w:val="00E76739"/>
    <w:rsid w:val="00F2685D"/>
    <w:rsid w:val="00F50FA6"/>
    <w:rsid w:val="00FB7659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1895A"/>
  <w15:docId w15:val="{BE531137-209F-4231-8CAB-5597FA71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FE"/>
    <w:rPr>
      <w:rFonts w:ascii="Arial" w:hAnsi="Arial" w:cs="Times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B7659"/>
    <w:pPr>
      <w:spacing w:before="240" w:after="360"/>
      <w:outlineLvl w:val="0"/>
    </w:pPr>
    <w:rPr>
      <w:rFonts w:ascii="Georgia" w:hAnsi="Georgia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0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1800FE"/>
    <w:pPr>
      <w:spacing w:before="120" w:after="120"/>
    </w:pPr>
  </w:style>
  <w:style w:type="paragraph" w:styleId="Footer">
    <w:name w:val="footer"/>
    <w:basedOn w:val="Normal"/>
    <w:rsid w:val="001800FE"/>
    <w:pPr>
      <w:pBdr>
        <w:top w:val="single" w:sz="4" w:space="4" w:color="auto"/>
      </w:pBdr>
    </w:pPr>
    <w:rPr>
      <w:rFonts w:ascii="Georgia" w:hAnsi="Georgia"/>
      <w:b/>
      <w:sz w:val="20"/>
    </w:rPr>
  </w:style>
  <w:style w:type="paragraph" w:styleId="Header">
    <w:name w:val="header"/>
    <w:basedOn w:val="Normal"/>
    <w:rsid w:val="00D31CF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0D84"/>
    <w:pPr>
      <w:ind w:left="720"/>
      <w:contextualSpacing/>
    </w:pPr>
  </w:style>
  <w:style w:type="character" w:styleId="Hyperlink">
    <w:name w:val="Hyperlink"/>
    <w:basedOn w:val="DefaultParagraphFont"/>
    <w:unhideWhenUsed/>
    <w:rsid w:val="00A07D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460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60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609E"/>
    <w:rPr>
      <w:rFonts w:ascii="Arial" w:hAnsi="Arial" w:cs="Times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6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609E"/>
    <w:rPr>
      <w:rFonts w:ascii="Arial" w:hAnsi="Arial" w:cs="Times"/>
      <w:b/>
      <w:bCs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E460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609E"/>
    <w:rPr>
      <w:rFonts w:ascii="Segoe UI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7622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622C3"/>
    <w:rPr>
      <w:rFonts w:ascii="Arial" w:hAnsi="Arial" w:cs="Times"/>
      <w:lang w:eastAsia="en-GB"/>
    </w:rPr>
  </w:style>
  <w:style w:type="character" w:styleId="FootnoteReference">
    <w:name w:val="footnote reference"/>
    <w:basedOn w:val="DefaultParagraphFont"/>
    <w:semiHidden/>
    <w:unhideWhenUsed/>
    <w:rsid w:val="007622C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FB7659"/>
    <w:rPr>
      <w:rFonts w:ascii="Georgia" w:hAnsi="Georgia" w:cs="Times"/>
      <w:b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33E1-6A9E-4C08-BF52-BC0EEA92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BE752D6E</Template>
  <TotalTime>1</TotalTime>
  <Pages>2</Pages>
  <Words>514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Ministry of Health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Operative Alliance Minutes 3 May 2019</dc:title>
  <dc:subject/>
  <dc:creator>Ministry of Health</dc:creator>
  <cp:keywords/>
  <dc:description/>
  <cp:lastModifiedBy>Ministry of Health</cp:lastModifiedBy>
  <cp:revision>2</cp:revision>
  <dcterms:created xsi:type="dcterms:W3CDTF">2019-06-07T00:54:00Z</dcterms:created>
  <dcterms:modified xsi:type="dcterms:W3CDTF">2019-06-07T00:54:00Z</dcterms:modified>
</cp:coreProperties>
</file>