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57A8" w14:textId="1D1324CF" w:rsidR="004C3CF7" w:rsidRPr="00E04F02" w:rsidRDefault="004A3B4A" w:rsidP="004A3B4A">
      <w:pPr>
        <w:rPr>
          <w:rFonts w:ascii="Georgia" w:hAnsi="Georgia"/>
          <w:b/>
          <w:sz w:val="36"/>
          <w:szCs w:val="28"/>
        </w:rPr>
      </w:pPr>
      <w:r w:rsidRPr="004A3B4A">
        <w:rPr>
          <w:rFonts w:ascii="Georgia" w:hAnsi="Georgia"/>
          <w:b/>
          <w:sz w:val="40"/>
          <w:szCs w:val="40"/>
        </w:rPr>
        <w:t>Minutes</w:t>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Pr>
          <w:rFonts w:ascii="Georgia" w:hAnsi="Georgia"/>
          <w:b/>
          <w:sz w:val="36"/>
          <w:szCs w:val="28"/>
        </w:rPr>
        <w:tab/>
      </w:r>
      <w:r w:rsidR="004C3CF7" w:rsidRPr="00E04F02">
        <w:rPr>
          <w:noProof/>
          <w:sz w:val="36"/>
          <w:szCs w:val="28"/>
          <w:lang w:eastAsia="en-NZ"/>
        </w:rPr>
        <w:drawing>
          <wp:inline distT="0" distB="0" distL="0" distR="0" wp14:anchorId="41039F0C" wp14:editId="42F9677A">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48B4ADDC" w14:textId="0277DB5D" w:rsidR="004C3CF7" w:rsidRPr="004A3B4A" w:rsidRDefault="004C3CF7" w:rsidP="005004AA">
      <w:pPr>
        <w:spacing w:after="240"/>
        <w:rPr>
          <w:rFonts w:ascii="Georgia" w:hAnsi="Georgia"/>
          <w:b/>
          <w:sz w:val="40"/>
          <w:szCs w:val="40"/>
        </w:rPr>
      </w:pPr>
      <w:r w:rsidRPr="004A3B4A">
        <w:rPr>
          <w:rFonts w:ascii="Georgia" w:hAnsi="Georgia"/>
          <w:b/>
          <w:sz w:val="40"/>
          <w:szCs w:val="40"/>
        </w:rPr>
        <w:t xml:space="preserve">Standards </w:t>
      </w:r>
      <w:r w:rsidR="00187AA9" w:rsidRPr="004A3B4A">
        <w:rPr>
          <w:rFonts w:ascii="Georgia" w:hAnsi="Georgia"/>
          <w:b/>
          <w:sz w:val="40"/>
          <w:szCs w:val="40"/>
        </w:rPr>
        <w:t xml:space="preserve">Review </w:t>
      </w:r>
      <w:r w:rsidRPr="004A3B4A">
        <w:rPr>
          <w:rFonts w:ascii="Georgia" w:hAnsi="Georgia"/>
          <w:b/>
          <w:sz w:val="40"/>
          <w:szCs w:val="40"/>
        </w:rPr>
        <w:t xml:space="preserve">Governance </w:t>
      </w:r>
      <w:r w:rsidR="00DA708A" w:rsidRPr="004A3B4A">
        <w:rPr>
          <w:rFonts w:ascii="Georgia" w:hAnsi="Georgia"/>
          <w:b/>
          <w:sz w:val="40"/>
          <w:szCs w:val="40"/>
        </w:rPr>
        <w:t>Group</w:t>
      </w:r>
      <w:r w:rsidR="004A3B4A" w:rsidRPr="004A3B4A">
        <w:rPr>
          <w:rFonts w:ascii="Georgia" w:hAnsi="Georgia"/>
          <w:b/>
          <w:sz w:val="40"/>
          <w:szCs w:val="40"/>
        </w:rPr>
        <w:t xml:space="preserve"> Meeting</w:t>
      </w:r>
    </w:p>
    <w:tbl>
      <w:tblPr>
        <w:tblStyle w:val="TableGrid"/>
        <w:tblW w:w="10008" w:type="dxa"/>
        <w:tblBorders>
          <w:left w:val="none" w:sz="0" w:space="0" w:color="auto"/>
          <w:right w:val="none" w:sz="0" w:space="0" w:color="auto"/>
        </w:tblBorders>
        <w:tblLayout w:type="fixed"/>
        <w:tblLook w:val="01E0" w:firstRow="1" w:lastRow="1" w:firstColumn="1" w:lastColumn="1" w:noHBand="0" w:noVBand="0"/>
      </w:tblPr>
      <w:tblGrid>
        <w:gridCol w:w="1548"/>
        <w:gridCol w:w="8460"/>
      </w:tblGrid>
      <w:tr w:rsidR="004C3CF7" w:rsidRPr="004A3B4A" w14:paraId="3CF0274A" w14:textId="77777777" w:rsidTr="004A3B4A">
        <w:trPr>
          <w:cantSplit/>
        </w:trPr>
        <w:tc>
          <w:tcPr>
            <w:tcW w:w="1548" w:type="dxa"/>
            <w:tcBorders>
              <w:top w:val="single" w:sz="12" w:space="0" w:color="auto"/>
              <w:bottom w:val="single" w:sz="2" w:space="0" w:color="auto"/>
              <w:right w:val="nil"/>
            </w:tcBorders>
          </w:tcPr>
          <w:p w14:paraId="567EA511" w14:textId="77777777" w:rsidR="004C3CF7" w:rsidRPr="004A3B4A" w:rsidRDefault="004C3CF7" w:rsidP="00483785">
            <w:pPr>
              <w:pStyle w:val="TableText"/>
              <w:rPr>
                <w:rFonts w:cs="Arial"/>
                <w:b/>
                <w:sz w:val="20"/>
                <w:szCs w:val="20"/>
              </w:rPr>
            </w:pPr>
            <w:r w:rsidRPr="004A3B4A">
              <w:rPr>
                <w:rFonts w:cs="Arial"/>
                <w:b/>
                <w:sz w:val="20"/>
                <w:szCs w:val="20"/>
              </w:rPr>
              <w:t>Date:</w:t>
            </w:r>
          </w:p>
        </w:tc>
        <w:tc>
          <w:tcPr>
            <w:tcW w:w="8460" w:type="dxa"/>
            <w:tcBorders>
              <w:top w:val="single" w:sz="12" w:space="0" w:color="auto"/>
              <w:left w:val="nil"/>
              <w:bottom w:val="single" w:sz="2" w:space="0" w:color="auto"/>
              <w:right w:val="nil"/>
            </w:tcBorders>
          </w:tcPr>
          <w:p w14:paraId="538F5657" w14:textId="40698E9E" w:rsidR="004C3CF7" w:rsidRPr="00557327" w:rsidRDefault="00BA72DE" w:rsidP="00187AA9">
            <w:pPr>
              <w:pStyle w:val="TableText"/>
              <w:rPr>
                <w:rFonts w:cs="Arial"/>
                <w:sz w:val="22"/>
                <w:szCs w:val="20"/>
              </w:rPr>
            </w:pPr>
            <w:r w:rsidRPr="00557327">
              <w:rPr>
                <w:rFonts w:cs="Arial"/>
                <w:sz w:val="22"/>
                <w:szCs w:val="20"/>
              </w:rPr>
              <w:t>1</w:t>
            </w:r>
            <w:r w:rsidR="007D177B" w:rsidRPr="00557327">
              <w:rPr>
                <w:rFonts w:cs="Arial"/>
                <w:sz w:val="22"/>
                <w:szCs w:val="20"/>
              </w:rPr>
              <w:t>1</w:t>
            </w:r>
            <w:r w:rsidR="00EE49F4" w:rsidRPr="00557327">
              <w:rPr>
                <w:rFonts w:cs="Arial"/>
                <w:sz w:val="22"/>
                <w:szCs w:val="20"/>
              </w:rPr>
              <w:t xml:space="preserve"> </w:t>
            </w:r>
            <w:r w:rsidR="007D177B" w:rsidRPr="00557327">
              <w:rPr>
                <w:rFonts w:cs="Arial"/>
                <w:sz w:val="22"/>
                <w:szCs w:val="20"/>
              </w:rPr>
              <w:t>March 2020</w:t>
            </w:r>
          </w:p>
        </w:tc>
      </w:tr>
      <w:tr w:rsidR="004C3CF7" w:rsidRPr="004A3B4A" w14:paraId="0B3562A5" w14:textId="77777777" w:rsidTr="004A3B4A">
        <w:trPr>
          <w:cantSplit/>
        </w:trPr>
        <w:tc>
          <w:tcPr>
            <w:tcW w:w="1548" w:type="dxa"/>
            <w:tcBorders>
              <w:top w:val="single" w:sz="12" w:space="0" w:color="auto"/>
              <w:bottom w:val="single" w:sz="2" w:space="0" w:color="auto"/>
              <w:right w:val="nil"/>
            </w:tcBorders>
          </w:tcPr>
          <w:p w14:paraId="642019FF" w14:textId="77777777" w:rsidR="004C3CF7" w:rsidRPr="004A3B4A" w:rsidRDefault="004C3CF7" w:rsidP="00483785">
            <w:pPr>
              <w:pStyle w:val="TableText"/>
              <w:rPr>
                <w:rFonts w:cs="Arial"/>
                <w:b/>
                <w:sz w:val="20"/>
                <w:szCs w:val="20"/>
              </w:rPr>
            </w:pPr>
            <w:r w:rsidRPr="004A3B4A">
              <w:rPr>
                <w:rFonts w:cs="Arial"/>
                <w:b/>
                <w:sz w:val="20"/>
                <w:szCs w:val="20"/>
              </w:rPr>
              <w:t>Time:</w:t>
            </w:r>
          </w:p>
        </w:tc>
        <w:tc>
          <w:tcPr>
            <w:tcW w:w="8460" w:type="dxa"/>
            <w:tcBorders>
              <w:top w:val="single" w:sz="12" w:space="0" w:color="auto"/>
              <w:left w:val="nil"/>
              <w:bottom w:val="single" w:sz="2" w:space="0" w:color="auto"/>
              <w:right w:val="nil"/>
            </w:tcBorders>
          </w:tcPr>
          <w:p w14:paraId="3E923CDB" w14:textId="08D134B4" w:rsidR="004C3CF7" w:rsidRPr="00557327" w:rsidRDefault="00187AA9" w:rsidP="00483785">
            <w:pPr>
              <w:pStyle w:val="TableText"/>
              <w:rPr>
                <w:rFonts w:cs="Arial"/>
                <w:sz w:val="22"/>
                <w:szCs w:val="20"/>
              </w:rPr>
            </w:pPr>
            <w:r w:rsidRPr="00557327">
              <w:rPr>
                <w:rFonts w:cs="Arial"/>
                <w:sz w:val="22"/>
                <w:szCs w:val="20"/>
              </w:rPr>
              <w:t>1</w:t>
            </w:r>
            <w:r w:rsidR="00B8784F" w:rsidRPr="00557327">
              <w:rPr>
                <w:rFonts w:cs="Arial"/>
                <w:sz w:val="22"/>
                <w:szCs w:val="20"/>
              </w:rPr>
              <w:t>1</w:t>
            </w:r>
            <w:r w:rsidRPr="00557327">
              <w:rPr>
                <w:rFonts w:cs="Arial"/>
                <w:sz w:val="22"/>
                <w:szCs w:val="20"/>
              </w:rPr>
              <w:t>.00</w:t>
            </w:r>
            <w:r w:rsidR="00373666" w:rsidRPr="00557327">
              <w:rPr>
                <w:rFonts w:cs="Arial"/>
                <w:sz w:val="22"/>
                <w:szCs w:val="20"/>
              </w:rPr>
              <w:t>a</w:t>
            </w:r>
            <w:r w:rsidRPr="00557327">
              <w:rPr>
                <w:rFonts w:cs="Arial"/>
                <w:sz w:val="22"/>
                <w:szCs w:val="20"/>
              </w:rPr>
              <w:t>m-</w:t>
            </w:r>
            <w:r w:rsidR="00BA72DE" w:rsidRPr="00557327">
              <w:rPr>
                <w:rFonts w:cs="Arial"/>
                <w:sz w:val="22"/>
                <w:szCs w:val="20"/>
              </w:rPr>
              <w:t>1</w:t>
            </w:r>
            <w:r w:rsidRPr="00557327">
              <w:rPr>
                <w:rFonts w:cs="Arial"/>
                <w:sz w:val="22"/>
                <w:szCs w:val="20"/>
              </w:rPr>
              <w:t>2.00p</w:t>
            </w:r>
            <w:r w:rsidR="004C3CF7" w:rsidRPr="00557327">
              <w:rPr>
                <w:rFonts w:cs="Arial"/>
                <w:sz w:val="22"/>
                <w:szCs w:val="20"/>
              </w:rPr>
              <w:t>m</w:t>
            </w:r>
          </w:p>
        </w:tc>
      </w:tr>
      <w:tr w:rsidR="004C3CF7" w:rsidRPr="004A3B4A" w14:paraId="72FF786C" w14:textId="77777777" w:rsidTr="004A3B4A">
        <w:trPr>
          <w:cantSplit/>
        </w:trPr>
        <w:tc>
          <w:tcPr>
            <w:tcW w:w="1548" w:type="dxa"/>
            <w:tcBorders>
              <w:top w:val="single" w:sz="12" w:space="0" w:color="auto"/>
              <w:bottom w:val="single" w:sz="2" w:space="0" w:color="auto"/>
              <w:right w:val="nil"/>
            </w:tcBorders>
          </w:tcPr>
          <w:p w14:paraId="1A16198D" w14:textId="77777777" w:rsidR="004C3CF7" w:rsidRPr="004A3B4A" w:rsidRDefault="004C3CF7" w:rsidP="00483785">
            <w:pPr>
              <w:pStyle w:val="TableText"/>
              <w:rPr>
                <w:rFonts w:cs="Arial"/>
                <w:b/>
                <w:sz w:val="20"/>
                <w:szCs w:val="20"/>
              </w:rPr>
            </w:pPr>
            <w:r w:rsidRPr="004A3B4A">
              <w:rPr>
                <w:rFonts w:cs="Arial"/>
                <w:b/>
                <w:sz w:val="20"/>
                <w:szCs w:val="20"/>
              </w:rPr>
              <w:t>Location:</w:t>
            </w:r>
          </w:p>
        </w:tc>
        <w:tc>
          <w:tcPr>
            <w:tcW w:w="8460" w:type="dxa"/>
            <w:tcBorders>
              <w:top w:val="single" w:sz="12" w:space="0" w:color="auto"/>
              <w:left w:val="nil"/>
              <w:bottom w:val="single" w:sz="2" w:space="0" w:color="auto"/>
              <w:right w:val="nil"/>
            </w:tcBorders>
          </w:tcPr>
          <w:p w14:paraId="5CDF063F" w14:textId="5851C55B" w:rsidR="004C3CF7" w:rsidRPr="00557327" w:rsidRDefault="00187AA9" w:rsidP="00EE49F4">
            <w:pPr>
              <w:pStyle w:val="TableText"/>
              <w:rPr>
                <w:rFonts w:cs="Arial"/>
                <w:sz w:val="22"/>
                <w:szCs w:val="20"/>
              </w:rPr>
            </w:pPr>
            <w:r w:rsidRPr="00557327">
              <w:rPr>
                <w:rFonts w:cs="Arial"/>
                <w:sz w:val="22"/>
                <w:szCs w:val="20"/>
              </w:rPr>
              <w:t>GN.</w:t>
            </w:r>
            <w:r w:rsidR="007D177B" w:rsidRPr="00557327">
              <w:rPr>
                <w:rFonts w:cs="Arial"/>
                <w:sz w:val="22"/>
                <w:szCs w:val="20"/>
              </w:rPr>
              <w:t>8</w:t>
            </w:r>
            <w:r w:rsidR="004C3CF7" w:rsidRPr="00557327">
              <w:rPr>
                <w:rFonts w:cs="Arial"/>
                <w:sz w:val="22"/>
                <w:szCs w:val="20"/>
              </w:rPr>
              <w:t xml:space="preserve"> Ministry of Health, 133 Molesworth Street</w:t>
            </w:r>
            <w:r w:rsidR="00FB44A3" w:rsidRPr="00557327">
              <w:rPr>
                <w:rFonts w:cs="Arial"/>
                <w:sz w:val="22"/>
                <w:szCs w:val="20"/>
              </w:rPr>
              <w:t>, Wellington</w:t>
            </w:r>
          </w:p>
        </w:tc>
      </w:tr>
      <w:tr w:rsidR="004C3CF7" w:rsidRPr="004A3B4A" w14:paraId="579E662A" w14:textId="77777777" w:rsidTr="004A3B4A">
        <w:trPr>
          <w:cantSplit/>
        </w:trPr>
        <w:tc>
          <w:tcPr>
            <w:tcW w:w="1548" w:type="dxa"/>
            <w:tcBorders>
              <w:top w:val="single" w:sz="12" w:space="0" w:color="auto"/>
              <w:bottom w:val="single" w:sz="2" w:space="0" w:color="auto"/>
              <w:right w:val="nil"/>
            </w:tcBorders>
          </w:tcPr>
          <w:p w14:paraId="4DBBC9C2" w14:textId="77777777" w:rsidR="004C3CF7" w:rsidRPr="004A3B4A" w:rsidRDefault="004C3CF7" w:rsidP="00483785">
            <w:pPr>
              <w:pStyle w:val="TableText"/>
              <w:rPr>
                <w:rFonts w:cs="Arial"/>
                <w:b/>
                <w:sz w:val="20"/>
                <w:szCs w:val="20"/>
              </w:rPr>
            </w:pPr>
            <w:r w:rsidRPr="004A3B4A">
              <w:rPr>
                <w:rFonts w:cs="Arial"/>
                <w:b/>
                <w:sz w:val="20"/>
                <w:szCs w:val="20"/>
              </w:rPr>
              <w:t>Chair:</w:t>
            </w:r>
          </w:p>
        </w:tc>
        <w:tc>
          <w:tcPr>
            <w:tcW w:w="8460" w:type="dxa"/>
            <w:tcBorders>
              <w:top w:val="single" w:sz="12" w:space="0" w:color="auto"/>
              <w:left w:val="nil"/>
              <w:bottom w:val="single" w:sz="2" w:space="0" w:color="auto"/>
              <w:right w:val="nil"/>
            </w:tcBorders>
          </w:tcPr>
          <w:p w14:paraId="38380180" w14:textId="4832931D" w:rsidR="004C3CF7" w:rsidRPr="00557327" w:rsidRDefault="007D177B" w:rsidP="00483785">
            <w:pPr>
              <w:pStyle w:val="TableText"/>
              <w:rPr>
                <w:rFonts w:cs="Arial"/>
                <w:sz w:val="22"/>
                <w:szCs w:val="20"/>
              </w:rPr>
            </w:pPr>
            <w:r w:rsidRPr="00557327">
              <w:rPr>
                <w:rFonts w:cs="Arial"/>
                <w:sz w:val="22"/>
                <w:szCs w:val="20"/>
              </w:rPr>
              <w:t xml:space="preserve">Emma </w:t>
            </w:r>
            <w:proofErr w:type="spellStart"/>
            <w:r w:rsidRPr="00557327">
              <w:rPr>
                <w:rFonts w:cs="Arial"/>
                <w:sz w:val="22"/>
                <w:szCs w:val="20"/>
              </w:rPr>
              <w:t>Prestidge</w:t>
            </w:r>
            <w:proofErr w:type="spellEnd"/>
            <w:r w:rsidR="004C3CF7" w:rsidRPr="00557327">
              <w:rPr>
                <w:rFonts w:cs="Arial"/>
                <w:sz w:val="22"/>
                <w:szCs w:val="20"/>
              </w:rPr>
              <w:t>,</w:t>
            </w:r>
            <w:r w:rsidRPr="00557327">
              <w:rPr>
                <w:rFonts w:cs="Arial"/>
                <w:sz w:val="22"/>
                <w:szCs w:val="20"/>
              </w:rPr>
              <w:t xml:space="preserve"> Group Manager, Quality Assurance and Safety</w:t>
            </w:r>
          </w:p>
        </w:tc>
      </w:tr>
      <w:tr w:rsidR="004C3CF7" w:rsidRPr="004A3B4A" w14:paraId="0A6DA089" w14:textId="77777777" w:rsidTr="004A3B4A">
        <w:trPr>
          <w:cantSplit/>
        </w:trPr>
        <w:tc>
          <w:tcPr>
            <w:tcW w:w="1548" w:type="dxa"/>
            <w:tcBorders>
              <w:top w:val="single" w:sz="12" w:space="0" w:color="auto"/>
              <w:bottom w:val="single" w:sz="2" w:space="0" w:color="auto"/>
              <w:right w:val="nil"/>
            </w:tcBorders>
          </w:tcPr>
          <w:p w14:paraId="72C22ADA" w14:textId="77777777" w:rsidR="004C3CF7" w:rsidRPr="004A3B4A" w:rsidRDefault="004C3CF7" w:rsidP="00483785">
            <w:pPr>
              <w:pStyle w:val="TableText"/>
              <w:rPr>
                <w:rFonts w:cs="Arial"/>
                <w:b/>
                <w:sz w:val="20"/>
                <w:szCs w:val="20"/>
              </w:rPr>
            </w:pPr>
            <w:r w:rsidRPr="004A3B4A">
              <w:rPr>
                <w:rFonts w:cs="Arial"/>
                <w:b/>
                <w:sz w:val="20"/>
                <w:szCs w:val="20"/>
              </w:rPr>
              <w:t>Attendees:</w:t>
            </w:r>
          </w:p>
        </w:tc>
        <w:tc>
          <w:tcPr>
            <w:tcW w:w="8460" w:type="dxa"/>
            <w:tcBorders>
              <w:top w:val="single" w:sz="12" w:space="0" w:color="auto"/>
              <w:left w:val="nil"/>
              <w:bottom w:val="single" w:sz="2" w:space="0" w:color="auto"/>
              <w:right w:val="nil"/>
            </w:tcBorders>
          </w:tcPr>
          <w:p w14:paraId="1DF2E5FB" w14:textId="0EAE2195" w:rsidR="004C3CF7" w:rsidRPr="00557327" w:rsidRDefault="007D177B" w:rsidP="004C7F24">
            <w:pPr>
              <w:pStyle w:val="TableText"/>
              <w:rPr>
                <w:rFonts w:cs="Arial"/>
                <w:sz w:val="22"/>
                <w:szCs w:val="20"/>
              </w:rPr>
            </w:pPr>
            <w:r w:rsidRPr="00557327">
              <w:rPr>
                <w:rFonts w:cs="Arial"/>
                <w:sz w:val="22"/>
                <w:szCs w:val="20"/>
              </w:rPr>
              <w:t>Disabled person representative, Enabling Good Lives</w:t>
            </w:r>
            <w:r w:rsidR="00E07366" w:rsidRPr="00557327">
              <w:rPr>
                <w:rFonts w:cs="Arial"/>
                <w:sz w:val="22"/>
                <w:szCs w:val="20"/>
              </w:rPr>
              <w:t xml:space="preserve"> approach</w:t>
            </w:r>
            <w:r w:rsidRPr="00557327">
              <w:rPr>
                <w:rFonts w:cs="Arial"/>
                <w:sz w:val="22"/>
                <w:szCs w:val="20"/>
              </w:rPr>
              <w:br/>
              <w:t>Māori Consumer representative</w:t>
            </w:r>
            <w:r w:rsidR="006933D9" w:rsidRPr="00557327">
              <w:rPr>
                <w:rFonts w:cs="Arial"/>
                <w:sz w:val="22"/>
                <w:szCs w:val="20"/>
              </w:rPr>
              <w:br/>
              <w:t>Deputy Director-General, Māori Health, Ministry of Health</w:t>
            </w:r>
            <w:r w:rsidR="004A3B4A" w:rsidRPr="00557327">
              <w:rPr>
                <w:rFonts w:cs="Arial"/>
                <w:sz w:val="22"/>
                <w:szCs w:val="20"/>
              </w:rPr>
              <w:br/>
              <w:t>D</w:t>
            </w:r>
            <w:r w:rsidR="006933D9" w:rsidRPr="00557327">
              <w:rPr>
                <w:rFonts w:cs="Arial"/>
                <w:sz w:val="22"/>
                <w:szCs w:val="20"/>
              </w:rPr>
              <w:t>eputy Director-General</w:t>
            </w:r>
            <w:r w:rsidR="004C7F24" w:rsidRPr="00557327">
              <w:rPr>
                <w:rFonts w:cs="Arial"/>
                <w:sz w:val="22"/>
                <w:szCs w:val="20"/>
              </w:rPr>
              <w:t>, Disability, Ministry of Health</w:t>
            </w:r>
            <w:r w:rsidR="006933D9" w:rsidRPr="00557327">
              <w:rPr>
                <w:rFonts w:cs="Arial"/>
                <w:sz w:val="22"/>
                <w:szCs w:val="20"/>
              </w:rPr>
              <w:br/>
              <w:t xml:space="preserve">Group Manager, </w:t>
            </w:r>
            <w:r w:rsidRPr="00557327">
              <w:rPr>
                <w:rFonts w:cs="Arial"/>
                <w:sz w:val="22"/>
                <w:szCs w:val="20"/>
              </w:rPr>
              <w:t>Family and Community Health Policy Section</w:t>
            </w:r>
            <w:r w:rsidR="006933D9" w:rsidRPr="00557327">
              <w:rPr>
                <w:rFonts w:cs="Arial"/>
                <w:sz w:val="22"/>
                <w:szCs w:val="20"/>
              </w:rPr>
              <w:t>, Ministry of Health</w:t>
            </w:r>
            <w:r w:rsidR="004C7F24" w:rsidRPr="00557327">
              <w:rPr>
                <w:rFonts w:cs="Arial"/>
                <w:sz w:val="22"/>
                <w:szCs w:val="20"/>
              </w:rPr>
              <w:br/>
            </w:r>
            <w:r w:rsidRPr="00557327">
              <w:rPr>
                <w:rFonts w:cs="Arial"/>
                <w:sz w:val="22"/>
                <w:szCs w:val="20"/>
              </w:rPr>
              <w:t>Senior Advisor</w:t>
            </w:r>
            <w:r w:rsidR="004C7F24" w:rsidRPr="00557327">
              <w:rPr>
                <w:rFonts w:cs="Arial"/>
                <w:sz w:val="22"/>
                <w:szCs w:val="20"/>
              </w:rPr>
              <w:t>, DHB Performance, Support and Infrastructure, Ministry of Health</w:t>
            </w:r>
            <w:r w:rsidR="006933D9" w:rsidRPr="00557327">
              <w:rPr>
                <w:rFonts w:cs="Arial"/>
                <w:sz w:val="22"/>
                <w:szCs w:val="20"/>
              </w:rPr>
              <w:br/>
            </w:r>
            <w:r w:rsidRPr="00557327">
              <w:rPr>
                <w:rFonts w:cs="Arial"/>
                <w:sz w:val="22"/>
                <w:szCs w:val="20"/>
              </w:rPr>
              <w:t>Group Manager</w:t>
            </w:r>
            <w:r w:rsidR="006933D9" w:rsidRPr="00557327">
              <w:rPr>
                <w:rFonts w:cs="Arial"/>
                <w:sz w:val="22"/>
                <w:szCs w:val="20"/>
              </w:rPr>
              <w:t>, Mental Health and Addiction, Ministry of Health</w:t>
            </w:r>
            <w:r w:rsidR="00B276D1" w:rsidRPr="00557327">
              <w:rPr>
                <w:rFonts w:cs="Arial"/>
                <w:sz w:val="22"/>
                <w:szCs w:val="20"/>
              </w:rPr>
              <w:br/>
            </w:r>
            <w:proofErr w:type="spellStart"/>
            <w:r w:rsidR="00B276D1" w:rsidRPr="00557327">
              <w:rPr>
                <w:rFonts w:cs="Arial"/>
                <w:sz w:val="22"/>
                <w:szCs w:val="20"/>
              </w:rPr>
              <w:t>Te</w:t>
            </w:r>
            <w:proofErr w:type="spellEnd"/>
            <w:r w:rsidR="00B276D1" w:rsidRPr="00557327">
              <w:rPr>
                <w:rFonts w:cs="Arial"/>
                <w:sz w:val="22"/>
                <w:szCs w:val="20"/>
              </w:rPr>
              <w:t xml:space="preserve"> </w:t>
            </w:r>
            <w:proofErr w:type="spellStart"/>
            <w:r w:rsidR="00B276D1" w:rsidRPr="00557327">
              <w:rPr>
                <w:rFonts w:cs="Arial"/>
                <w:sz w:val="22"/>
                <w:szCs w:val="20"/>
              </w:rPr>
              <w:t>Apārangi</w:t>
            </w:r>
            <w:proofErr w:type="spellEnd"/>
            <w:r w:rsidR="00B276D1" w:rsidRPr="00557327">
              <w:rPr>
                <w:rFonts w:cs="Arial"/>
                <w:sz w:val="22"/>
                <w:szCs w:val="20"/>
              </w:rPr>
              <w:t>: Māori Alliance Standards Review</w:t>
            </w:r>
            <w:r w:rsidR="004C7F24" w:rsidRPr="00557327">
              <w:rPr>
                <w:rFonts w:cs="Arial"/>
                <w:sz w:val="22"/>
                <w:szCs w:val="20"/>
              </w:rPr>
              <w:br/>
              <w:t>Standards New Zealand, Ministry of Business Innovation &amp; Employment</w:t>
            </w:r>
            <w:r w:rsidRPr="00557327">
              <w:rPr>
                <w:rFonts w:cs="Arial"/>
                <w:sz w:val="22"/>
                <w:szCs w:val="20"/>
              </w:rPr>
              <w:t xml:space="preserve"> </w:t>
            </w:r>
            <w:r w:rsidRPr="00557327">
              <w:rPr>
                <w:rFonts w:cs="Arial"/>
                <w:sz w:val="22"/>
                <w:szCs w:val="20"/>
              </w:rPr>
              <w:br/>
            </w:r>
            <w:r w:rsidR="004C7F24" w:rsidRPr="00557327">
              <w:rPr>
                <w:rFonts w:cs="Arial"/>
                <w:sz w:val="22"/>
                <w:szCs w:val="20"/>
              </w:rPr>
              <w:t xml:space="preserve">Principal Advisor, </w:t>
            </w:r>
            <w:proofErr w:type="spellStart"/>
            <w:r w:rsidR="004C7F24" w:rsidRPr="00557327">
              <w:rPr>
                <w:rFonts w:cs="Arial"/>
                <w:sz w:val="22"/>
                <w:szCs w:val="20"/>
              </w:rPr>
              <w:t>HealthCERT</w:t>
            </w:r>
            <w:proofErr w:type="spellEnd"/>
            <w:r w:rsidR="004C7F24" w:rsidRPr="00557327">
              <w:rPr>
                <w:rFonts w:cs="Arial"/>
                <w:sz w:val="22"/>
                <w:szCs w:val="20"/>
              </w:rPr>
              <w:t>, Ministry of Health</w:t>
            </w:r>
            <w:r w:rsidR="00F96A1A" w:rsidRPr="00557327">
              <w:rPr>
                <w:rFonts w:cs="Arial"/>
                <w:sz w:val="22"/>
                <w:szCs w:val="20"/>
              </w:rPr>
              <w:br/>
              <w:t>Specialist Advisor, Māori, HealthCERT, Ministry of Health (contractor)</w:t>
            </w:r>
            <w:r w:rsidR="004C7F24" w:rsidRPr="00557327">
              <w:rPr>
                <w:rFonts w:cs="Arial"/>
                <w:sz w:val="22"/>
                <w:szCs w:val="20"/>
              </w:rPr>
              <w:br/>
              <w:t>Project Manager, HealthCERT, Ministry of Health (minutes)</w:t>
            </w:r>
          </w:p>
        </w:tc>
      </w:tr>
      <w:tr w:rsidR="004C3CF7" w:rsidRPr="004A3B4A" w14:paraId="30B8DF71" w14:textId="77777777" w:rsidTr="004A3B4A">
        <w:trPr>
          <w:cantSplit/>
        </w:trPr>
        <w:tc>
          <w:tcPr>
            <w:tcW w:w="1548" w:type="dxa"/>
            <w:tcBorders>
              <w:top w:val="single" w:sz="12" w:space="0" w:color="auto"/>
              <w:bottom w:val="single" w:sz="2" w:space="0" w:color="auto"/>
              <w:right w:val="nil"/>
            </w:tcBorders>
          </w:tcPr>
          <w:p w14:paraId="2AB44CC9" w14:textId="77777777" w:rsidR="004C3CF7" w:rsidRPr="004A3B4A" w:rsidRDefault="004C3CF7" w:rsidP="00483785">
            <w:pPr>
              <w:pStyle w:val="TableText"/>
              <w:rPr>
                <w:rFonts w:cs="Arial"/>
                <w:b/>
                <w:sz w:val="20"/>
                <w:szCs w:val="20"/>
              </w:rPr>
            </w:pPr>
            <w:r w:rsidRPr="004A3B4A">
              <w:rPr>
                <w:rFonts w:cs="Arial"/>
                <w:b/>
                <w:sz w:val="20"/>
                <w:szCs w:val="20"/>
              </w:rPr>
              <w:t>Apologies:</w:t>
            </w:r>
          </w:p>
        </w:tc>
        <w:tc>
          <w:tcPr>
            <w:tcW w:w="8460" w:type="dxa"/>
            <w:tcBorders>
              <w:top w:val="single" w:sz="12" w:space="0" w:color="auto"/>
              <w:left w:val="nil"/>
              <w:bottom w:val="single" w:sz="2" w:space="0" w:color="auto"/>
              <w:right w:val="nil"/>
            </w:tcBorders>
          </w:tcPr>
          <w:p w14:paraId="61F28A84" w14:textId="1803B819" w:rsidR="004C7F24" w:rsidRPr="00557327" w:rsidRDefault="007D177B" w:rsidP="00EE49F4">
            <w:pPr>
              <w:pStyle w:val="TableText"/>
              <w:rPr>
                <w:rFonts w:cs="Arial"/>
                <w:sz w:val="22"/>
                <w:szCs w:val="20"/>
              </w:rPr>
            </w:pPr>
            <w:r w:rsidRPr="00557327">
              <w:rPr>
                <w:rFonts w:cs="Arial"/>
                <w:sz w:val="22"/>
                <w:szCs w:val="20"/>
              </w:rPr>
              <w:t>Chief Advisor, Pharmacy, Ministry of Health and Deputy Director-General, Health System Improvement and Innovation, Ministry of Health</w:t>
            </w:r>
          </w:p>
        </w:tc>
      </w:tr>
    </w:tbl>
    <w:p w14:paraId="7E66C7E9" w14:textId="77777777" w:rsidR="004C3CF7" w:rsidRPr="004A3B4A" w:rsidRDefault="004C3CF7" w:rsidP="004C3CF7"/>
    <w:tbl>
      <w:tblPr>
        <w:tblStyle w:val="TableGrid"/>
        <w:tblW w:w="5000" w:type="pct"/>
        <w:tblLayout w:type="fixed"/>
        <w:tblLook w:val="01E0" w:firstRow="1" w:lastRow="1" w:firstColumn="1" w:lastColumn="1" w:noHBand="0" w:noVBand="0"/>
      </w:tblPr>
      <w:tblGrid>
        <w:gridCol w:w="704"/>
        <w:gridCol w:w="9209"/>
      </w:tblGrid>
      <w:tr w:rsidR="004C7F24" w:rsidRPr="005C432E" w14:paraId="428C41DC" w14:textId="77777777" w:rsidTr="009F123F">
        <w:tc>
          <w:tcPr>
            <w:tcW w:w="355" w:type="pct"/>
          </w:tcPr>
          <w:p w14:paraId="703F7260" w14:textId="428B324C" w:rsidR="004C7F24" w:rsidRPr="009F123F" w:rsidRDefault="004C7F24" w:rsidP="00483785">
            <w:pPr>
              <w:tabs>
                <w:tab w:val="right" w:leader="underscore" w:pos="5670"/>
                <w:tab w:val="left" w:pos="6237"/>
              </w:tabs>
              <w:spacing w:before="40" w:after="80"/>
              <w:rPr>
                <w:rFonts w:cs="Arial"/>
                <w:b/>
                <w:sz w:val="22"/>
                <w:szCs w:val="22"/>
              </w:rPr>
            </w:pPr>
            <w:r w:rsidRPr="009F123F">
              <w:rPr>
                <w:rFonts w:cs="Arial"/>
                <w:b/>
                <w:sz w:val="22"/>
                <w:szCs w:val="22"/>
              </w:rPr>
              <w:t>Item</w:t>
            </w:r>
          </w:p>
        </w:tc>
        <w:tc>
          <w:tcPr>
            <w:tcW w:w="4645" w:type="pct"/>
          </w:tcPr>
          <w:p w14:paraId="22959C4A" w14:textId="5B3D2ED2" w:rsidR="004C7F24" w:rsidRPr="009F123F" w:rsidRDefault="004C7F24" w:rsidP="00483785">
            <w:pPr>
              <w:tabs>
                <w:tab w:val="right" w:leader="underscore" w:pos="5670"/>
                <w:tab w:val="left" w:pos="6237"/>
              </w:tabs>
              <w:spacing w:before="40" w:after="80"/>
              <w:rPr>
                <w:sz w:val="22"/>
                <w:szCs w:val="22"/>
              </w:rPr>
            </w:pPr>
            <w:r w:rsidRPr="009F123F">
              <w:rPr>
                <w:rFonts w:cs="Arial"/>
                <w:b/>
                <w:sz w:val="22"/>
                <w:szCs w:val="22"/>
              </w:rPr>
              <w:t>Notes</w:t>
            </w:r>
          </w:p>
        </w:tc>
      </w:tr>
      <w:tr w:rsidR="004C7F24" w:rsidRPr="004C7F24" w14:paraId="4E392D7C" w14:textId="77777777" w:rsidTr="009F123F">
        <w:tc>
          <w:tcPr>
            <w:tcW w:w="355" w:type="pct"/>
          </w:tcPr>
          <w:p w14:paraId="0A6D5880" w14:textId="77777777" w:rsidR="004C7F24" w:rsidRPr="004C7F24" w:rsidRDefault="004C7F24" w:rsidP="009F123F">
            <w:pPr>
              <w:tabs>
                <w:tab w:val="right" w:leader="underscore" w:pos="5670"/>
                <w:tab w:val="left" w:pos="6237"/>
              </w:tabs>
              <w:spacing w:before="120" w:after="80"/>
              <w:rPr>
                <w:sz w:val="22"/>
                <w:szCs w:val="22"/>
              </w:rPr>
            </w:pPr>
          </w:p>
        </w:tc>
        <w:tc>
          <w:tcPr>
            <w:tcW w:w="4645" w:type="pct"/>
          </w:tcPr>
          <w:p w14:paraId="4E550D93" w14:textId="471F4013" w:rsidR="004C7F24" w:rsidRPr="004C7F24" w:rsidRDefault="004C7F24" w:rsidP="009F123F">
            <w:pPr>
              <w:tabs>
                <w:tab w:val="right" w:leader="underscore" w:pos="5670"/>
                <w:tab w:val="left" w:pos="6237"/>
              </w:tabs>
              <w:spacing w:before="120" w:after="80"/>
              <w:rPr>
                <w:sz w:val="22"/>
                <w:szCs w:val="22"/>
              </w:rPr>
            </w:pPr>
            <w:r>
              <w:rPr>
                <w:sz w:val="22"/>
                <w:szCs w:val="22"/>
              </w:rPr>
              <w:t>The Chair opened the meeting at 1</w:t>
            </w:r>
            <w:r w:rsidR="00BA72DE">
              <w:rPr>
                <w:sz w:val="22"/>
                <w:szCs w:val="22"/>
              </w:rPr>
              <w:t>1</w:t>
            </w:r>
            <w:r>
              <w:rPr>
                <w:sz w:val="22"/>
                <w:szCs w:val="22"/>
              </w:rPr>
              <w:t>.00</w:t>
            </w:r>
            <w:r w:rsidR="00BA72DE">
              <w:rPr>
                <w:sz w:val="22"/>
                <w:szCs w:val="22"/>
              </w:rPr>
              <w:t>a</w:t>
            </w:r>
            <w:r>
              <w:rPr>
                <w:sz w:val="22"/>
                <w:szCs w:val="22"/>
              </w:rPr>
              <w:t>m</w:t>
            </w:r>
            <w:r w:rsidR="004A3B4A">
              <w:rPr>
                <w:sz w:val="22"/>
                <w:szCs w:val="22"/>
              </w:rPr>
              <w:t>.</w:t>
            </w:r>
          </w:p>
        </w:tc>
      </w:tr>
      <w:tr w:rsidR="004C7F24" w:rsidRPr="004C7F24" w14:paraId="1BED09AE" w14:textId="77777777" w:rsidTr="009F123F">
        <w:tc>
          <w:tcPr>
            <w:tcW w:w="355" w:type="pct"/>
          </w:tcPr>
          <w:p w14:paraId="4427302C" w14:textId="47135996" w:rsidR="004C7F24" w:rsidRPr="004C7F24" w:rsidRDefault="004C7F24" w:rsidP="009F123F">
            <w:pPr>
              <w:tabs>
                <w:tab w:val="right" w:leader="underscore" w:pos="5670"/>
                <w:tab w:val="left" w:pos="6237"/>
              </w:tabs>
              <w:spacing w:before="120" w:after="80"/>
              <w:rPr>
                <w:sz w:val="22"/>
                <w:szCs w:val="22"/>
              </w:rPr>
            </w:pPr>
            <w:r w:rsidRPr="004C7F24">
              <w:rPr>
                <w:sz w:val="22"/>
                <w:szCs w:val="22"/>
              </w:rPr>
              <w:t>1</w:t>
            </w:r>
          </w:p>
        </w:tc>
        <w:tc>
          <w:tcPr>
            <w:tcW w:w="4645" w:type="pct"/>
          </w:tcPr>
          <w:p w14:paraId="37EC27AD" w14:textId="31A3C5A4" w:rsidR="004C7F24" w:rsidRPr="009F123F" w:rsidRDefault="004C7F24" w:rsidP="009F123F">
            <w:pPr>
              <w:tabs>
                <w:tab w:val="right" w:leader="underscore" w:pos="5670"/>
                <w:tab w:val="left" w:pos="6237"/>
              </w:tabs>
              <w:spacing w:before="120" w:after="80"/>
              <w:rPr>
                <w:b/>
                <w:sz w:val="22"/>
                <w:szCs w:val="22"/>
              </w:rPr>
            </w:pPr>
            <w:r w:rsidRPr="009F123F">
              <w:rPr>
                <w:b/>
                <w:sz w:val="22"/>
                <w:szCs w:val="22"/>
              </w:rPr>
              <w:t>Welcome</w:t>
            </w:r>
          </w:p>
          <w:p w14:paraId="79BAF9C7" w14:textId="56A7F5A9" w:rsidR="004C7F24" w:rsidRPr="004C7F24" w:rsidRDefault="004C7F24" w:rsidP="009F123F">
            <w:pPr>
              <w:tabs>
                <w:tab w:val="right" w:leader="underscore" w:pos="5670"/>
                <w:tab w:val="left" w:pos="6237"/>
              </w:tabs>
              <w:spacing w:before="120" w:after="80"/>
              <w:rPr>
                <w:sz w:val="22"/>
                <w:szCs w:val="22"/>
              </w:rPr>
            </w:pPr>
            <w:r>
              <w:rPr>
                <w:sz w:val="22"/>
                <w:szCs w:val="22"/>
              </w:rPr>
              <w:t xml:space="preserve">The Chair welcomed the Governance Group (the Group) to their </w:t>
            </w:r>
            <w:r w:rsidR="000A1F16">
              <w:rPr>
                <w:sz w:val="22"/>
                <w:szCs w:val="22"/>
              </w:rPr>
              <w:t>fifth</w:t>
            </w:r>
            <w:r>
              <w:rPr>
                <w:sz w:val="22"/>
                <w:szCs w:val="22"/>
              </w:rPr>
              <w:t xml:space="preserve"> meeting</w:t>
            </w:r>
            <w:r w:rsidR="00B276D1">
              <w:rPr>
                <w:sz w:val="22"/>
                <w:szCs w:val="22"/>
              </w:rPr>
              <w:t xml:space="preserve"> and welcomed </w:t>
            </w:r>
            <w:r w:rsidR="000A1F16">
              <w:rPr>
                <w:sz w:val="22"/>
                <w:szCs w:val="22"/>
              </w:rPr>
              <w:t>disabled person representative from the Enabling Good Lives process</w:t>
            </w:r>
            <w:r w:rsidR="00B276D1">
              <w:rPr>
                <w:sz w:val="22"/>
                <w:szCs w:val="22"/>
              </w:rPr>
              <w:t xml:space="preserve"> to their first meeting. </w:t>
            </w:r>
          </w:p>
        </w:tc>
      </w:tr>
      <w:tr w:rsidR="00161A80" w:rsidRPr="004C7F24" w14:paraId="34A9E769" w14:textId="77777777" w:rsidTr="009F123F">
        <w:tc>
          <w:tcPr>
            <w:tcW w:w="355" w:type="pct"/>
          </w:tcPr>
          <w:p w14:paraId="741CAC78" w14:textId="751F8002" w:rsidR="00161A80" w:rsidRPr="004C7F24" w:rsidRDefault="00161A80" w:rsidP="009F123F">
            <w:pPr>
              <w:tabs>
                <w:tab w:val="right" w:leader="underscore" w:pos="5670"/>
                <w:tab w:val="left" w:pos="6237"/>
              </w:tabs>
              <w:spacing w:before="120" w:after="80"/>
              <w:rPr>
                <w:sz w:val="22"/>
                <w:szCs w:val="22"/>
              </w:rPr>
            </w:pPr>
            <w:r>
              <w:rPr>
                <w:sz w:val="22"/>
                <w:szCs w:val="22"/>
              </w:rPr>
              <w:t>2</w:t>
            </w:r>
          </w:p>
        </w:tc>
        <w:tc>
          <w:tcPr>
            <w:tcW w:w="4645" w:type="pct"/>
          </w:tcPr>
          <w:p w14:paraId="33F21DBA" w14:textId="4F811512" w:rsidR="00161A80" w:rsidRPr="009F123F" w:rsidRDefault="00161A80" w:rsidP="009F123F">
            <w:pPr>
              <w:tabs>
                <w:tab w:val="right" w:leader="underscore" w:pos="5670"/>
                <w:tab w:val="left" w:pos="6237"/>
              </w:tabs>
              <w:spacing w:before="120" w:after="80"/>
              <w:rPr>
                <w:b/>
                <w:sz w:val="22"/>
                <w:szCs w:val="22"/>
              </w:rPr>
            </w:pPr>
            <w:r w:rsidRPr="009F123F">
              <w:rPr>
                <w:b/>
                <w:sz w:val="22"/>
                <w:szCs w:val="22"/>
              </w:rPr>
              <w:t>Actions of the previous meeting</w:t>
            </w:r>
            <w:r w:rsidR="00BA72DE">
              <w:rPr>
                <w:b/>
                <w:sz w:val="22"/>
                <w:szCs w:val="22"/>
              </w:rPr>
              <w:t xml:space="preserve"> update</w:t>
            </w:r>
          </w:p>
          <w:p w14:paraId="0B116059" w14:textId="7E9A5AC7" w:rsidR="000A1F16" w:rsidRPr="00161A80" w:rsidRDefault="00161A80" w:rsidP="009F123F">
            <w:pPr>
              <w:tabs>
                <w:tab w:val="right" w:leader="underscore" w:pos="5670"/>
                <w:tab w:val="left" w:pos="6237"/>
              </w:tabs>
              <w:spacing w:before="120" w:after="80"/>
              <w:rPr>
                <w:sz w:val="22"/>
                <w:szCs w:val="22"/>
              </w:rPr>
            </w:pPr>
            <w:r>
              <w:rPr>
                <w:sz w:val="22"/>
                <w:szCs w:val="22"/>
              </w:rPr>
              <w:t>The actio</w:t>
            </w:r>
            <w:r w:rsidR="000A1F16">
              <w:rPr>
                <w:sz w:val="22"/>
                <w:szCs w:val="22"/>
              </w:rPr>
              <w:t xml:space="preserve">ns list was reviewed and updated. </w:t>
            </w:r>
          </w:p>
        </w:tc>
      </w:tr>
      <w:tr w:rsidR="004C7F24" w:rsidRPr="004C7F24" w14:paraId="2B21C510" w14:textId="77777777" w:rsidTr="009F123F">
        <w:tc>
          <w:tcPr>
            <w:tcW w:w="355" w:type="pct"/>
          </w:tcPr>
          <w:p w14:paraId="14C7125F" w14:textId="761A2AE7" w:rsidR="004C7F24" w:rsidRPr="004C7F24" w:rsidRDefault="00161A80" w:rsidP="009F123F">
            <w:pPr>
              <w:tabs>
                <w:tab w:val="right" w:leader="underscore" w:pos="5670"/>
                <w:tab w:val="left" w:pos="6237"/>
              </w:tabs>
              <w:spacing w:before="120" w:after="80"/>
              <w:rPr>
                <w:sz w:val="22"/>
                <w:szCs w:val="22"/>
              </w:rPr>
            </w:pPr>
            <w:r>
              <w:rPr>
                <w:sz w:val="22"/>
                <w:szCs w:val="22"/>
              </w:rPr>
              <w:t>3</w:t>
            </w:r>
          </w:p>
        </w:tc>
        <w:tc>
          <w:tcPr>
            <w:tcW w:w="4645" w:type="pct"/>
          </w:tcPr>
          <w:p w14:paraId="6ACFA014" w14:textId="23A29453" w:rsidR="00161A80" w:rsidRPr="009F123F" w:rsidRDefault="00BA72DE" w:rsidP="009F123F">
            <w:pPr>
              <w:tabs>
                <w:tab w:val="right" w:leader="underscore" w:pos="5670"/>
                <w:tab w:val="left" w:pos="6237"/>
              </w:tabs>
              <w:spacing w:before="120" w:after="80"/>
              <w:rPr>
                <w:b/>
                <w:sz w:val="22"/>
                <w:szCs w:val="22"/>
              </w:rPr>
            </w:pPr>
            <w:proofErr w:type="spellStart"/>
            <w:r>
              <w:rPr>
                <w:b/>
                <w:sz w:val="22"/>
                <w:szCs w:val="22"/>
              </w:rPr>
              <w:t>Te</w:t>
            </w:r>
            <w:proofErr w:type="spellEnd"/>
            <w:r>
              <w:rPr>
                <w:b/>
                <w:sz w:val="22"/>
                <w:szCs w:val="22"/>
              </w:rPr>
              <w:t xml:space="preserve"> </w:t>
            </w:r>
            <w:proofErr w:type="spellStart"/>
            <w:r>
              <w:rPr>
                <w:b/>
                <w:sz w:val="22"/>
                <w:szCs w:val="22"/>
              </w:rPr>
              <w:t>Apārangi</w:t>
            </w:r>
            <w:proofErr w:type="spellEnd"/>
            <w:r>
              <w:rPr>
                <w:b/>
                <w:sz w:val="22"/>
                <w:szCs w:val="22"/>
              </w:rPr>
              <w:t xml:space="preserve"> update</w:t>
            </w:r>
          </w:p>
          <w:p w14:paraId="24EEAFD7" w14:textId="62FE5633" w:rsidR="00BD130D" w:rsidRDefault="004B36FA" w:rsidP="009F123F">
            <w:pPr>
              <w:tabs>
                <w:tab w:val="right" w:leader="underscore" w:pos="5670"/>
                <w:tab w:val="left" w:pos="6237"/>
              </w:tabs>
              <w:spacing w:before="120" w:after="80"/>
              <w:rPr>
                <w:sz w:val="22"/>
                <w:szCs w:val="22"/>
              </w:rPr>
            </w:pPr>
            <w:proofErr w:type="spellStart"/>
            <w:r>
              <w:rPr>
                <w:sz w:val="22"/>
                <w:szCs w:val="22"/>
              </w:rPr>
              <w:t>Te</w:t>
            </w:r>
            <w:proofErr w:type="spellEnd"/>
            <w:r>
              <w:rPr>
                <w:sz w:val="22"/>
                <w:szCs w:val="22"/>
              </w:rPr>
              <w:t xml:space="preserve"> </w:t>
            </w:r>
            <w:proofErr w:type="spellStart"/>
            <w:r>
              <w:rPr>
                <w:sz w:val="22"/>
                <w:szCs w:val="22"/>
              </w:rPr>
              <w:t>Apārang</w:t>
            </w:r>
            <w:r w:rsidR="00BD130D">
              <w:rPr>
                <w:sz w:val="22"/>
                <w:szCs w:val="22"/>
              </w:rPr>
              <w:t>i</w:t>
            </w:r>
            <w:proofErr w:type="spellEnd"/>
            <w:r w:rsidR="00BD130D">
              <w:rPr>
                <w:sz w:val="22"/>
                <w:szCs w:val="22"/>
              </w:rPr>
              <w:t xml:space="preserve"> reported progress to-date with applying a </w:t>
            </w:r>
            <w:proofErr w:type="spellStart"/>
            <w:r w:rsidR="00BD130D">
              <w:rPr>
                <w:sz w:val="22"/>
                <w:szCs w:val="22"/>
              </w:rPr>
              <w:t>Te</w:t>
            </w:r>
            <w:proofErr w:type="spellEnd"/>
            <w:r w:rsidR="00BD130D">
              <w:rPr>
                <w:sz w:val="22"/>
                <w:szCs w:val="22"/>
              </w:rPr>
              <w:t xml:space="preserve"> </w:t>
            </w:r>
            <w:proofErr w:type="spellStart"/>
            <w:r w:rsidR="00BD130D">
              <w:rPr>
                <w:sz w:val="22"/>
                <w:szCs w:val="22"/>
              </w:rPr>
              <w:t>Tiriti</w:t>
            </w:r>
            <w:proofErr w:type="spellEnd"/>
            <w:r w:rsidR="00BD130D">
              <w:rPr>
                <w:sz w:val="22"/>
                <w:szCs w:val="22"/>
              </w:rPr>
              <w:t xml:space="preserve"> lens to the review. Two workstreams are now completed: Assessing </w:t>
            </w:r>
            <w:r w:rsidR="00BD130D">
              <w:rPr>
                <w:i/>
                <w:sz w:val="22"/>
                <w:szCs w:val="22"/>
              </w:rPr>
              <w:t xml:space="preserve">Standard 1.4 Recognition of Māori Values and beliefs </w:t>
            </w:r>
            <w:r w:rsidR="00BD130D">
              <w:rPr>
                <w:sz w:val="22"/>
                <w:szCs w:val="22"/>
              </w:rPr>
              <w:t xml:space="preserve">and prioritising Māori participation in working groups. </w:t>
            </w:r>
          </w:p>
          <w:p w14:paraId="2D3EEDEF" w14:textId="140A3897" w:rsidR="004B36FA" w:rsidRDefault="00BD130D" w:rsidP="009F123F">
            <w:pPr>
              <w:tabs>
                <w:tab w:val="right" w:leader="underscore" w:pos="5670"/>
                <w:tab w:val="left" w:pos="6237"/>
              </w:tabs>
              <w:spacing w:before="120" w:after="80"/>
              <w:rPr>
                <w:sz w:val="22"/>
                <w:szCs w:val="22"/>
              </w:rPr>
            </w:pPr>
            <w:r>
              <w:rPr>
                <w:sz w:val="22"/>
                <w:szCs w:val="22"/>
              </w:rPr>
              <w:t xml:space="preserve">Two workstreams remain in progress: Ensuring partnership decision making in the Standards New Zealand (SNZ) process and refining </w:t>
            </w:r>
            <w:proofErr w:type="spellStart"/>
            <w:r>
              <w:rPr>
                <w:sz w:val="22"/>
                <w:szCs w:val="22"/>
              </w:rPr>
              <w:t>Te</w:t>
            </w:r>
            <w:proofErr w:type="spellEnd"/>
            <w:r>
              <w:rPr>
                <w:sz w:val="22"/>
                <w:szCs w:val="22"/>
              </w:rPr>
              <w:t xml:space="preserve"> </w:t>
            </w:r>
            <w:proofErr w:type="spellStart"/>
            <w:r>
              <w:rPr>
                <w:sz w:val="22"/>
                <w:szCs w:val="22"/>
              </w:rPr>
              <w:t>Tiriti</w:t>
            </w:r>
            <w:proofErr w:type="spellEnd"/>
            <w:r>
              <w:rPr>
                <w:sz w:val="22"/>
                <w:szCs w:val="22"/>
              </w:rPr>
              <w:t xml:space="preserve"> o Waitangi approach. </w:t>
            </w:r>
            <w:proofErr w:type="spellStart"/>
            <w:r>
              <w:rPr>
                <w:sz w:val="22"/>
                <w:szCs w:val="22"/>
              </w:rPr>
              <w:t>Te</w:t>
            </w:r>
            <w:proofErr w:type="spellEnd"/>
            <w:r>
              <w:rPr>
                <w:sz w:val="22"/>
                <w:szCs w:val="22"/>
              </w:rPr>
              <w:t xml:space="preserve"> </w:t>
            </w:r>
            <w:proofErr w:type="spellStart"/>
            <w:r>
              <w:rPr>
                <w:sz w:val="22"/>
                <w:szCs w:val="22"/>
              </w:rPr>
              <w:t>Apārangi</w:t>
            </w:r>
            <w:proofErr w:type="spellEnd"/>
            <w:r>
              <w:rPr>
                <w:sz w:val="22"/>
                <w:szCs w:val="22"/>
              </w:rPr>
              <w:t xml:space="preserve"> noted that the refining </w:t>
            </w:r>
            <w:proofErr w:type="spellStart"/>
            <w:r>
              <w:rPr>
                <w:sz w:val="22"/>
                <w:szCs w:val="22"/>
              </w:rPr>
              <w:t>Te</w:t>
            </w:r>
            <w:proofErr w:type="spellEnd"/>
            <w:r>
              <w:rPr>
                <w:sz w:val="22"/>
                <w:szCs w:val="22"/>
              </w:rPr>
              <w:t xml:space="preserve"> </w:t>
            </w:r>
            <w:proofErr w:type="spellStart"/>
            <w:r>
              <w:rPr>
                <w:sz w:val="22"/>
                <w:szCs w:val="22"/>
              </w:rPr>
              <w:t>Tiriti</w:t>
            </w:r>
            <w:proofErr w:type="spellEnd"/>
            <w:r>
              <w:rPr>
                <w:sz w:val="22"/>
                <w:szCs w:val="22"/>
              </w:rPr>
              <w:t xml:space="preserve"> o Waitangi approach is something that should remain ‘in progress’ until the end of the Standards Review, as is it will need to be assessed at every phase as the review progresses.</w:t>
            </w:r>
          </w:p>
          <w:p w14:paraId="2426BCEA" w14:textId="77777777" w:rsidR="007F6CED" w:rsidRDefault="00CF705E" w:rsidP="009F123F">
            <w:pPr>
              <w:tabs>
                <w:tab w:val="right" w:leader="underscore" w:pos="5670"/>
                <w:tab w:val="left" w:pos="6237"/>
              </w:tabs>
              <w:spacing w:before="120" w:after="80"/>
              <w:rPr>
                <w:sz w:val="22"/>
                <w:szCs w:val="22"/>
              </w:rPr>
            </w:pPr>
            <w:r>
              <w:rPr>
                <w:sz w:val="22"/>
                <w:szCs w:val="22"/>
              </w:rPr>
              <w:t xml:space="preserve">It was acknowledged that the Ministry of Health signed off its revised Treaty of Waitangi position statements at the end of last year. This position statement and the Ministry-wide action plan requires every Deputy-Director General to consider how their directorate contributes putting these plans into action. </w:t>
            </w:r>
          </w:p>
          <w:p w14:paraId="234F55DF" w14:textId="380C2D99" w:rsidR="00A57CEB" w:rsidRPr="004C7F24" w:rsidRDefault="00A57CEB" w:rsidP="009F123F">
            <w:pPr>
              <w:tabs>
                <w:tab w:val="right" w:leader="underscore" w:pos="5670"/>
                <w:tab w:val="left" w:pos="6237"/>
              </w:tabs>
              <w:spacing w:before="120" w:after="80"/>
              <w:rPr>
                <w:sz w:val="22"/>
                <w:szCs w:val="22"/>
              </w:rPr>
            </w:pPr>
            <w:r>
              <w:rPr>
                <w:sz w:val="22"/>
                <w:szCs w:val="22"/>
              </w:rPr>
              <w:t xml:space="preserve">The Group thanked </w:t>
            </w:r>
            <w:proofErr w:type="spellStart"/>
            <w:r>
              <w:rPr>
                <w:sz w:val="22"/>
                <w:szCs w:val="22"/>
              </w:rPr>
              <w:t>Te</w:t>
            </w:r>
            <w:proofErr w:type="spellEnd"/>
            <w:r>
              <w:rPr>
                <w:sz w:val="22"/>
                <w:szCs w:val="22"/>
              </w:rPr>
              <w:t xml:space="preserve"> </w:t>
            </w:r>
            <w:proofErr w:type="spellStart"/>
            <w:r>
              <w:rPr>
                <w:sz w:val="22"/>
                <w:szCs w:val="22"/>
              </w:rPr>
              <w:t>Apārangi</w:t>
            </w:r>
            <w:proofErr w:type="spellEnd"/>
            <w:r>
              <w:rPr>
                <w:sz w:val="22"/>
                <w:szCs w:val="22"/>
              </w:rPr>
              <w:t xml:space="preserve"> for the</w:t>
            </w:r>
            <w:r w:rsidR="004D655C">
              <w:rPr>
                <w:sz w:val="22"/>
                <w:szCs w:val="22"/>
              </w:rPr>
              <w:t>ir</w:t>
            </w:r>
            <w:r>
              <w:rPr>
                <w:sz w:val="22"/>
                <w:szCs w:val="22"/>
              </w:rPr>
              <w:t xml:space="preserve"> high</w:t>
            </w:r>
            <w:r w:rsidR="004D655C">
              <w:rPr>
                <w:sz w:val="22"/>
                <w:szCs w:val="22"/>
              </w:rPr>
              <w:t>-</w:t>
            </w:r>
            <w:r>
              <w:rPr>
                <w:sz w:val="22"/>
                <w:szCs w:val="22"/>
              </w:rPr>
              <w:t>quality wor</w:t>
            </w:r>
            <w:r w:rsidR="004D655C">
              <w:rPr>
                <w:sz w:val="22"/>
                <w:szCs w:val="22"/>
              </w:rPr>
              <w:t>k. The Group</w:t>
            </w:r>
            <w:r>
              <w:rPr>
                <w:sz w:val="22"/>
                <w:szCs w:val="22"/>
              </w:rPr>
              <w:t xml:space="preserve"> </w:t>
            </w:r>
            <w:bookmarkStart w:id="0" w:name="_GoBack"/>
            <w:bookmarkEnd w:id="0"/>
            <w:r>
              <w:rPr>
                <w:sz w:val="22"/>
                <w:szCs w:val="22"/>
              </w:rPr>
              <w:t xml:space="preserve">affirmed their strong support that </w:t>
            </w:r>
            <w:proofErr w:type="spellStart"/>
            <w:r>
              <w:rPr>
                <w:sz w:val="22"/>
                <w:szCs w:val="22"/>
              </w:rPr>
              <w:t>Te</w:t>
            </w:r>
            <w:proofErr w:type="spellEnd"/>
            <w:r>
              <w:rPr>
                <w:sz w:val="22"/>
                <w:szCs w:val="22"/>
              </w:rPr>
              <w:t xml:space="preserve"> </w:t>
            </w:r>
            <w:proofErr w:type="spellStart"/>
            <w:r>
              <w:rPr>
                <w:sz w:val="22"/>
                <w:szCs w:val="22"/>
              </w:rPr>
              <w:t>Tiriti</w:t>
            </w:r>
            <w:proofErr w:type="spellEnd"/>
            <w:r>
              <w:rPr>
                <w:sz w:val="22"/>
                <w:szCs w:val="22"/>
              </w:rPr>
              <w:t xml:space="preserve"> o Waitangi approach continue through the SNZ process, and the aim of </w:t>
            </w:r>
            <w:r>
              <w:rPr>
                <w:sz w:val="22"/>
                <w:szCs w:val="22"/>
              </w:rPr>
              <w:lastRenderedPageBreak/>
              <w:t>having</w:t>
            </w:r>
            <w:r w:rsidR="00D2061C">
              <w:rPr>
                <w:sz w:val="22"/>
                <w:szCs w:val="22"/>
              </w:rPr>
              <w:t xml:space="preserve"> th</w:t>
            </w:r>
            <w:r>
              <w:rPr>
                <w:sz w:val="22"/>
                <w:szCs w:val="22"/>
              </w:rPr>
              <w:t xml:space="preserve">e </w:t>
            </w:r>
            <w:r w:rsidR="00D2061C">
              <w:rPr>
                <w:sz w:val="22"/>
                <w:szCs w:val="22"/>
              </w:rPr>
              <w:t xml:space="preserve">Ministry of Business Innovation &amp; Employment’s </w:t>
            </w:r>
            <w:r w:rsidR="00F532DB">
              <w:rPr>
                <w:sz w:val="22"/>
                <w:szCs w:val="22"/>
              </w:rPr>
              <w:t xml:space="preserve">(MBIE) </w:t>
            </w:r>
            <w:r>
              <w:rPr>
                <w:sz w:val="22"/>
                <w:szCs w:val="22"/>
              </w:rPr>
              <w:t>Standards Development Committee</w:t>
            </w:r>
            <w:r w:rsidR="00D2061C">
              <w:rPr>
                <w:sz w:val="22"/>
                <w:szCs w:val="22"/>
              </w:rPr>
              <w:t xml:space="preserve"> have 50% of the membership represented by Māori and iwi representatives. </w:t>
            </w:r>
          </w:p>
        </w:tc>
      </w:tr>
      <w:tr w:rsidR="004C7F24" w:rsidRPr="004C7F24" w14:paraId="3DB8087D" w14:textId="77777777" w:rsidTr="009F123F">
        <w:tc>
          <w:tcPr>
            <w:tcW w:w="355" w:type="pct"/>
          </w:tcPr>
          <w:p w14:paraId="2B1244D1" w14:textId="19C6C8C5" w:rsidR="004C7F24" w:rsidRPr="004C7F24" w:rsidRDefault="00161A80" w:rsidP="009F123F">
            <w:pPr>
              <w:tabs>
                <w:tab w:val="right" w:leader="underscore" w:pos="5670"/>
                <w:tab w:val="left" w:pos="6237"/>
              </w:tabs>
              <w:spacing w:before="120" w:after="80"/>
              <w:rPr>
                <w:sz w:val="22"/>
                <w:szCs w:val="22"/>
              </w:rPr>
            </w:pPr>
            <w:r>
              <w:rPr>
                <w:sz w:val="22"/>
                <w:szCs w:val="22"/>
              </w:rPr>
              <w:lastRenderedPageBreak/>
              <w:t>4</w:t>
            </w:r>
          </w:p>
        </w:tc>
        <w:tc>
          <w:tcPr>
            <w:tcW w:w="4645" w:type="pct"/>
          </w:tcPr>
          <w:p w14:paraId="3D366333" w14:textId="60A47CA6" w:rsidR="004C7F24" w:rsidRPr="009F123F" w:rsidRDefault="005F5D07" w:rsidP="009F123F">
            <w:pPr>
              <w:tabs>
                <w:tab w:val="right" w:leader="underscore" w:pos="5670"/>
                <w:tab w:val="left" w:pos="6237"/>
              </w:tabs>
              <w:spacing w:before="120" w:after="80"/>
              <w:rPr>
                <w:b/>
                <w:sz w:val="22"/>
                <w:szCs w:val="22"/>
              </w:rPr>
            </w:pPr>
            <w:r>
              <w:rPr>
                <w:b/>
                <w:sz w:val="22"/>
                <w:szCs w:val="22"/>
              </w:rPr>
              <w:t>Project</w:t>
            </w:r>
            <w:r w:rsidR="00353EBC">
              <w:rPr>
                <w:b/>
                <w:sz w:val="22"/>
                <w:szCs w:val="22"/>
              </w:rPr>
              <w:t xml:space="preserve"> Update</w:t>
            </w:r>
          </w:p>
          <w:p w14:paraId="026BC378" w14:textId="17B46F04" w:rsidR="001E1822" w:rsidRDefault="001E1822" w:rsidP="00F4105B">
            <w:pPr>
              <w:tabs>
                <w:tab w:val="right" w:leader="underscore" w:pos="5670"/>
                <w:tab w:val="left" w:pos="6237"/>
              </w:tabs>
              <w:spacing w:before="120" w:after="80"/>
              <w:rPr>
                <w:sz w:val="22"/>
                <w:szCs w:val="22"/>
              </w:rPr>
            </w:pPr>
            <w:r>
              <w:rPr>
                <w:sz w:val="22"/>
                <w:szCs w:val="22"/>
              </w:rPr>
              <w:t xml:space="preserve">Stage 2: Sector Solutions is now complete. Six working groups were established to develop service-specific guidance on how the amended standards might be applied in different care settings. </w:t>
            </w:r>
          </w:p>
          <w:p w14:paraId="0BF5E819" w14:textId="5FF1F36A" w:rsidR="001E1822" w:rsidRDefault="001E1822" w:rsidP="001E1822">
            <w:pPr>
              <w:pStyle w:val="ListParagraph"/>
              <w:numPr>
                <w:ilvl w:val="0"/>
                <w:numId w:val="18"/>
              </w:numPr>
              <w:tabs>
                <w:tab w:val="right" w:leader="underscore" w:pos="5670"/>
                <w:tab w:val="left" w:pos="6237"/>
              </w:tabs>
              <w:spacing w:before="120" w:after="80"/>
              <w:rPr>
                <w:sz w:val="22"/>
                <w:szCs w:val="22"/>
              </w:rPr>
            </w:pPr>
            <w:r>
              <w:rPr>
                <w:sz w:val="22"/>
                <w:szCs w:val="22"/>
              </w:rPr>
              <w:t>Fertility services</w:t>
            </w:r>
          </w:p>
          <w:p w14:paraId="601415C7" w14:textId="2A6BD9EE" w:rsidR="001E1822" w:rsidRDefault="001E1822" w:rsidP="001E1822">
            <w:pPr>
              <w:pStyle w:val="ListParagraph"/>
              <w:numPr>
                <w:ilvl w:val="0"/>
                <w:numId w:val="18"/>
              </w:numPr>
              <w:tabs>
                <w:tab w:val="right" w:leader="underscore" w:pos="5670"/>
                <w:tab w:val="left" w:pos="6237"/>
              </w:tabs>
              <w:spacing w:before="120" w:after="80"/>
              <w:rPr>
                <w:sz w:val="22"/>
                <w:szCs w:val="22"/>
              </w:rPr>
            </w:pPr>
            <w:r>
              <w:rPr>
                <w:sz w:val="22"/>
                <w:szCs w:val="22"/>
              </w:rPr>
              <w:t>Residential disability services</w:t>
            </w:r>
          </w:p>
          <w:p w14:paraId="069456C2" w14:textId="2C238C7A" w:rsidR="001E1822" w:rsidRDefault="001E1822" w:rsidP="001E1822">
            <w:pPr>
              <w:pStyle w:val="ListParagraph"/>
              <w:numPr>
                <w:ilvl w:val="0"/>
                <w:numId w:val="18"/>
              </w:numPr>
              <w:tabs>
                <w:tab w:val="right" w:leader="underscore" w:pos="5670"/>
                <w:tab w:val="left" w:pos="6237"/>
              </w:tabs>
              <w:spacing w:before="120" w:after="80"/>
              <w:rPr>
                <w:sz w:val="22"/>
                <w:szCs w:val="22"/>
              </w:rPr>
            </w:pPr>
            <w:r>
              <w:rPr>
                <w:sz w:val="22"/>
                <w:szCs w:val="22"/>
              </w:rPr>
              <w:t>Home and community services</w:t>
            </w:r>
          </w:p>
          <w:p w14:paraId="6AD0E4AE" w14:textId="00B3C7E7" w:rsidR="001E1822" w:rsidRDefault="001E1822" w:rsidP="001E1822">
            <w:pPr>
              <w:pStyle w:val="ListParagraph"/>
              <w:numPr>
                <w:ilvl w:val="0"/>
                <w:numId w:val="18"/>
              </w:numPr>
              <w:tabs>
                <w:tab w:val="right" w:leader="underscore" w:pos="5670"/>
                <w:tab w:val="left" w:pos="6237"/>
              </w:tabs>
              <w:spacing w:before="120" w:after="80"/>
              <w:rPr>
                <w:sz w:val="22"/>
                <w:szCs w:val="22"/>
              </w:rPr>
            </w:pPr>
            <w:r>
              <w:rPr>
                <w:sz w:val="22"/>
                <w:szCs w:val="22"/>
              </w:rPr>
              <w:t>Aged care services</w:t>
            </w:r>
          </w:p>
          <w:p w14:paraId="1305D299" w14:textId="1FE30A97" w:rsidR="001E1822" w:rsidRDefault="001E1822" w:rsidP="001E1822">
            <w:pPr>
              <w:pStyle w:val="ListParagraph"/>
              <w:numPr>
                <w:ilvl w:val="0"/>
                <w:numId w:val="18"/>
              </w:numPr>
              <w:tabs>
                <w:tab w:val="right" w:leader="underscore" w:pos="5670"/>
                <w:tab w:val="left" w:pos="6237"/>
              </w:tabs>
              <w:spacing w:before="120" w:after="80"/>
              <w:rPr>
                <w:sz w:val="22"/>
                <w:szCs w:val="22"/>
              </w:rPr>
            </w:pPr>
            <w:r>
              <w:rPr>
                <w:sz w:val="22"/>
                <w:szCs w:val="22"/>
              </w:rPr>
              <w:t>Residential addictions and mental health services</w:t>
            </w:r>
          </w:p>
          <w:p w14:paraId="10E077B1" w14:textId="2E63C8D5" w:rsidR="001E1822" w:rsidRPr="001E1822" w:rsidRDefault="001E1822" w:rsidP="001E1822">
            <w:pPr>
              <w:pStyle w:val="ListParagraph"/>
              <w:numPr>
                <w:ilvl w:val="0"/>
                <w:numId w:val="18"/>
              </w:numPr>
              <w:tabs>
                <w:tab w:val="right" w:leader="underscore" w:pos="5670"/>
                <w:tab w:val="left" w:pos="6237"/>
              </w:tabs>
              <w:spacing w:before="120" w:after="80"/>
              <w:rPr>
                <w:sz w:val="22"/>
                <w:szCs w:val="22"/>
              </w:rPr>
            </w:pPr>
            <w:r w:rsidRPr="001E1822">
              <w:rPr>
                <w:sz w:val="22"/>
                <w:szCs w:val="22"/>
              </w:rPr>
              <w:t xml:space="preserve">Primary maternity centres, hospices and overnight hospital inpatient (public and private). </w:t>
            </w:r>
          </w:p>
          <w:p w14:paraId="30A88D73" w14:textId="5F350A7E" w:rsidR="00D2061C" w:rsidRDefault="001E1822" w:rsidP="00F4105B">
            <w:pPr>
              <w:tabs>
                <w:tab w:val="right" w:leader="underscore" w:pos="5670"/>
                <w:tab w:val="left" w:pos="6237"/>
              </w:tabs>
              <w:spacing w:before="120" w:after="80"/>
              <w:rPr>
                <w:sz w:val="22"/>
                <w:szCs w:val="22"/>
              </w:rPr>
            </w:pPr>
            <w:r>
              <w:rPr>
                <w:sz w:val="22"/>
                <w:szCs w:val="22"/>
              </w:rPr>
              <w:t>An additional meeting was held with consumer and lived experience advisors to develop “people statements”. The intention for these statements is to outline what people using/receiving services can expect in the care they receive.</w:t>
            </w:r>
          </w:p>
          <w:p w14:paraId="3B3B42D1" w14:textId="066B924E" w:rsidR="001E1822" w:rsidRDefault="001E1822" w:rsidP="00F4105B">
            <w:pPr>
              <w:tabs>
                <w:tab w:val="right" w:leader="underscore" w:pos="5670"/>
                <w:tab w:val="left" w:pos="6237"/>
              </w:tabs>
              <w:spacing w:before="120" w:after="80"/>
              <w:rPr>
                <w:sz w:val="22"/>
                <w:szCs w:val="22"/>
              </w:rPr>
            </w:pPr>
            <w:r>
              <w:rPr>
                <w:sz w:val="22"/>
                <w:szCs w:val="22"/>
              </w:rPr>
              <w:t xml:space="preserve">Phase 3: Working groups is now complete. Over the </w:t>
            </w:r>
            <w:proofErr w:type="gramStart"/>
            <w:r>
              <w:rPr>
                <w:sz w:val="22"/>
                <w:szCs w:val="22"/>
              </w:rPr>
              <w:t>three month</w:t>
            </w:r>
            <w:proofErr w:type="gramEnd"/>
            <w:r>
              <w:rPr>
                <w:sz w:val="22"/>
                <w:szCs w:val="22"/>
              </w:rPr>
              <w:t xml:space="preserve"> period, the Ministry ran 28 all-day working groups where 119 different organisations were represented and 145 people involved. Of those 145 people, nearly 25% were Māori, nearly 25% were people using services, and just under 10% were disabled people. </w:t>
            </w:r>
          </w:p>
          <w:p w14:paraId="67D85FB9" w14:textId="58E3CA4B" w:rsidR="001E1822" w:rsidRPr="007D017B" w:rsidRDefault="001E1822" w:rsidP="00F4105B">
            <w:pPr>
              <w:tabs>
                <w:tab w:val="right" w:leader="underscore" w:pos="5670"/>
                <w:tab w:val="left" w:pos="6237"/>
              </w:tabs>
              <w:spacing w:before="120" w:after="80"/>
              <w:rPr>
                <w:sz w:val="22"/>
                <w:szCs w:val="22"/>
              </w:rPr>
            </w:pPr>
            <w:r>
              <w:rPr>
                <w:sz w:val="22"/>
                <w:szCs w:val="22"/>
              </w:rPr>
              <w:t xml:space="preserve">Of the health and disability service providers who attended, nearly 40% were Māori providers who provided </w:t>
            </w:r>
            <w:proofErr w:type="spellStart"/>
            <w:r>
              <w:rPr>
                <w:sz w:val="22"/>
                <w:szCs w:val="22"/>
              </w:rPr>
              <w:t>kaupāpā</w:t>
            </w:r>
            <w:proofErr w:type="spellEnd"/>
            <w:r>
              <w:rPr>
                <w:sz w:val="22"/>
                <w:szCs w:val="22"/>
              </w:rPr>
              <w:t xml:space="preserve"> Māori services. The Ministry’s success with prioritising Māori participation was the result of working with the Māori Health Directorate to identify the Māori health and disability service provides, taking the time to individual</w:t>
            </w:r>
            <w:r w:rsidR="009F43C2">
              <w:rPr>
                <w:sz w:val="22"/>
                <w:szCs w:val="22"/>
              </w:rPr>
              <w:t>ly</w:t>
            </w:r>
            <w:r>
              <w:rPr>
                <w:sz w:val="22"/>
                <w:szCs w:val="22"/>
              </w:rPr>
              <w:t xml:space="preserve"> </w:t>
            </w:r>
            <w:r w:rsidR="009F43C2">
              <w:rPr>
                <w:sz w:val="22"/>
                <w:szCs w:val="22"/>
              </w:rPr>
              <w:t>engage</w:t>
            </w:r>
            <w:r>
              <w:rPr>
                <w:sz w:val="22"/>
                <w:szCs w:val="22"/>
              </w:rPr>
              <w:t xml:space="preserve"> and </w:t>
            </w:r>
            <w:r w:rsidR="009F43C2">
              <w:rPr>
                <w:sz w:val="22"/>
                <w:szCs w:val="22"/>
              </w:rPr>
              <w:t>foster</w:t>
            </w:r>
            <w:r>
              <w:rPr>
                <w:sz w:val="22"/>
                <w:szCs w:val="22"/>
              </w:rPr>
              <w:t xml:space="preserve"> relationships, and work with the providers to find a meeting ground in terms of financial support. </w:t>
            </w:r>
          </w:p>
          <w:p w14:paraId="13EBFD9E" w14:textId="65699755" w:rsidR="008059DA" w:rsidRDefault="009F43C2" w:rsidP="008059DA">
            <w:pPr>
              <w:tabs>
                <w:tab w:val="right" w:leader="underscore" w:pos="5670"/>
                <w:tab w:val="left" w:pos="6237"/>
              </w:tabs>
              <w:spacing w:before="120" w:after="80"/>
              <w:rPr>
                <w:sz w:val="22"/>
                <w:szCs w:val="22"/>
              </w:rPr>
            </w:pPr>
            <w:r>
              <w:rPr>
                <w:sz w:val="22"/>
                <w:szCs w:val="22"/>
              </w:rPr>
              <w:t xml:space="preserve">An evaluation of Phase 3: Working Groups was provided to participants. Responses were positive, with 88% confirming the workshop achieved its intention to update the standards with a diverse range of people. 94% confirmed that, overall, their views and voice were respected and heard, and 100% confirmed that in addition to providing feedback to the Ministry, they got value out of attending the workshop. </w:t>
            </w:r>
            <w:r w:rsidR="001139F6">
              <w:rPr>
                <w:sz w:val="22"/>
                <w:szCs w:val="22"/>
              </w:rPr>
              <w:t xml:space="preserve">Respondents </w:t>
            </w:r>
            <w:r w:rsidR="00E07366">
              <w:rPr>
                <w:sz w:val="22"/>
                <w:szCs w:val="22"/>
              </w:rPr>
              <w:t>confirmed</w:t>
            </w:r>
            <w:r w:rsidR="001139F6">
              <w:rPr>
                <w:sz w:val="22"/>
                <w:szCs w:val="22"/>
              </w:rPr>
              <w:t xml:space="preserve"> the Ministry </w:t>
            </w:r>
            <w:r w:rsidR="00E07366">
              <w:rPr>
                <w:sz w:val="22"/>
                <w:szCs w:val="22"/>
              </w:rPr>
              <w:t>achieved the aims defined by</w:t>
            </w:r>
            <w:r w:rsidR="001139F6">
              <w:rPr>
                <w:sz w:val="22"/>
                <w:szCs w:val="22"/>
              </w:rPr>
              <w:t xml:space="preserve"> the</w:t>
            </w:r>
            <w:r w:rsidR="00E07366">
              <w:rPr>
                <w:sz w:val="22"/>
                <w:szCs w:val="22"/>
              </w:rPr>
              <w:t xml:space="preserve"> Standards Review</w:t>
            </w:r>
            <w:r w:rsidR="001139F6">
              <w:rPr>
                <w:sz w:val="22"/>
                <w:szCs w:val="22"/>
              </w:rPr>
              <w:t xml:space="preserve"> </w:t>
            </w:r>
            <w:r w:rsidR="00E07366">
              <w:rPr>
                <w:sz w:val="22"/>
                <w:szCs w:val="22"/>
              </w:rPr>
              <w:t xml:space="preserve">underpinning Principles. One </w:t>
            </w:r>
            <w:r w:rsidR="00224FC6">
              <w:rPr>
                <w:sz w:val="22"/>
                <w:szCs w:val="22"/>
              </w:rPr>
              <w:t>respondent commented: “[the working groups were] very well facilitated with an excellent balance of professionalism and friendly banter”.</w:t>
            </w:r>
          </w:p>
          <w:p w14:paraId="63E33B72" w14:textId="4C8277F0" w:rsidR="008059DA" w:rsidRPr="008059DA" w:rsidRDefault="00740288" w:rsidP="008059DA">
            <w:pPr>
              <w:tabs>
                <w:tab w:val="right" w:leader="underscore" w:pos="5670"/>
                <w:tab w:val="left" w:pos="6237"/>
              </w:tabs>
              <w:spacing w:before="120" w:after="80"/>
              <w:rPr>
                <w:sz w:val="22"/>
                <w:szCs w:val="22"/>
              </w:rPr>
            </w:pPr>
            <w:r>
              <w:rPr>
                <w:sz w:val="22"/>
                <w:szCs w:val="22"/>
              </w:rPr>
              <w:t>The risk register was reviewed. The changes made by the project team were noted and approved by the Group.</w:t>
            </w:r>
          </w:p>
        </w:tc>
      </w:tr>
      <w:tr w:rsidR="004C7F24" w:rsidRPr="004C7F24" w14:paraId="5D44B2D9" w14:textId="77777777" w:rsidTr="009F123F">
        <w:tc>
          <w:tcPr>
            <w:tcW w:w="355" w:type="pct"/>
          </w:tcPr>
          <w:p w14:paraId="0D9CC7FF" w14:textId="6A0D2911" w:rsidR="004C7F24" w:rsidRPr="004C7F24" w:rsidRDefault="00475F7B" w:rsidP="00FB44A3">
            <w:pPr>
              <w:tabs>
                <w:tab w:val="right" w:leader="underscore" w:pos="5670"/>
                <w:tab w:val="left" w:pos="6237"/>
              </w:tabs>
              <w:spacing w:before="120" w:after="80"/>
              <w:rPr>
                <w:sz w:val="22"/>
                <w:szCs w:val="22"/>
              </w:rPr>
            </w:pPr>
            <w:r>
              <w:rPr>
                <w:sz w:val="22"/>
                <w:szCs w:val="22"/>
              </w:rPr>
              <w:t>5</w:t>
            </w:r>
          </w:p>
        </w:tc>
        <w:tc>
          <w:tcPr>
            <w:tcW w:w="4645" w:type="pct"/>
          </w:tcPr>
          <w:p w14:paraId="655405A4" w14:textId="790B2854" w:rsidR="004C7F24" w:rsidRPr="009F123F" w:rsidRDefault="00224FC6" w:rsidP="009F123F">
            <w:pPr>
              <w:tabs>
                <w:tab w:val="right" w:leader="underscore" w:pos="5670"/>
                <w:tab w:val="left" w:pos="6237"/>
              </w:tabs>
              <w:spacing w:before="120" w:after="80"/>
              <w:rPr>
                <w:b/>
                <w:sz w:val="22"/>
                <w:szCs w:val="22"/>
              </w:rPr>
            </w:pPr>
            <w:r>
              <w:rPr>
                <w:b/>
                <w:sz w:val="22"/>
                <w:szCs w:val="22"/>
              </w:rPr>
              <w:t>Draft Amended Standards Update</w:t>
            </w:r>
          </w:p>
          <w:p w14:paraId="082CC02A" w14:textId="37D4CE18" w:rsidR="00740288" w:rsidRDefault="00224FC6" w:rsidP="00244B13">
            <w:pPr>
              <w:tabs>
                <w:tab w:val="right" w:leader="underscore" w:pos="5670"/>
                <w:tab w:val="left" w:pos="6237"/>
              </w:tabs>
              <w:spacing w:after="80"/>
              <w:rPr>
                <w:sz w:val="22"/>
                <w:szCs w:val="22"/>
              </w:rPr>
            </w:pPr>
            <w:r>
              <w:rPr>
                <w:sz w:val="22"/>
                <w:szCs w:val="22"/>
              </w:rPr>
              <w:t xml:space="preserve">The Group noted the completion of the consultation and review period led by the Ministry and the resulting document: </w:t>
            </w:r>
            <w:r>
              <w:rPr>
                <w:i/>
                <w:sz w:val="22"/>
                <w:szCs w:val="22"/>
              </w:rPr>
              <w:t xml:space="preserve">The Draft Amended Health and Disability Services Standards </w:t>
            </w:r>
            <w:r>
              <w:rPr>
                <w:sz w:val="22"/>
                <w:szCs w:val="22"/>
              </w:rPr>
              <w:t>(“the Document”).</w:t>
            </w:r>
            <w:r>
              <w:rPr>
                <w:i/>
                <w:sz w:val="22"/>
                <w:szCs w:val="22"/>
              </w:rPr>
              <w:t xml:space="preserve"> </w:t>
            </w:r>
            <w:r>
              <w:rPr>
                <w:sz w:val="22"/>
                <w:szCs w:val="22"/>
              </w:rPr>
              <w:t>The Group noted the Document had also been provided to the Operative Alliance on 3 March 2020.</w:t>
            </w:r>
          </w:p>
          <w:p w14:paraId="190D8A5E" w14:textId="06067748" w:rsidR="00224FC6" w:rsidRDefault="00224FC6" w:rsidP="00244B13">
            <w:pPr>
              <w:tabs>
                <w:tab w:val="right" w:leader="underscore" w:pos="5670"/>
                <w:tab w:val="left" w:pos="6237"/>
              </w:tabs>
              <w:spacing w:after="80"/>
              <w:rPr>
                <w:sz w:val="22"/>
                <w:szCs w:val="22"/>
              </w:rPr>
            </w:pPr>
            <w:r>
              <w:rPr>
                <w:sz w:val="22"/>
                <w:szCs w:val="22"/>
              </w:rPr>
              <w:t xml:space="preserve">The Group praised </w:t>
            </w:r>
            <w:r w:rsidR="00F532DB">
              <w:rPr>
                <w:sz w:val="22"/>
                <w:szCs w:val="22"/>
              </w:rPr>
              <w:t xml:space="preserve">both </w:t>
            </w:r>
            <w:r>
              <w:rPr>
                <w:sz w:val="22"/>
                <w:szCs w:val="22"/>
              </w:rPr>
              <w:t xml:space="preserve">the Document’s structure and the </w:t>
            </w:r>
            <w:r w:rsidR="00F532DB">
              <w:rPr>
                <w:sz w:val="22"/>
                <w:szCs w:val="22"/>
              </w:rPr>
              <w:t>robustness</w:t>
            </w:r>
            <w:r>
              <w:rPr>
                <w:sz w:val="22"/>
                <w:szCs w:val="22"/>
              </w:rPr>
              <w:t xml:space="preserve"> of the consultation, evident throughout the document.</w:t>
            </w:r>
            <w:r w:rsidR="00F532DB">
              <w:rPr>
                <w:sz w:val="22"/>
                <w:szCs w:val="22"/>
              </w:rPr>
              <w:t xml:space="preserve"> Following discussion, the Group noted that while the values of the Enabling Good Lives (EGL) approach were implicit throughout the Document, the Group agreed work would be done to explicitly articulate these values at the front of the Document. This addition will also incorporate the United Nations Convention on the Rights of Persons with Disabilities (UN CRPD). </w:t>
            </w:r>
          </w:p>
          <w:p w14:paraId="4A0A20B0" w14:textId="4440152B" w:rsidR="00C44E6B" w:rsidRPr="004346BC" w:rsidRDefault="00F532DB" w:rsidP="00740288">
            <w:pPr>
              <w:tabs>
                <w:tab w:val="right" w:leader="underscore" w:pos="5670"/>
                <w:tab w:val="left" w:pos="6237"/>
              </w:tabs>
              <w:spacing w:after="80"/>
              <w:rPr>
                <w:sz w:val="22"/>
                <w:szCs w:val="22"/>
              </w:rPr>
            </w:pPr>
            <w:r>
              <w:rPr>
                <w:sz w:val="22"/>
                <w:szCs w:val="22"/>
              </w:rPr>
              <w:t xml:space="preserve">Following the completion of this additional work, the Group agreed that the Document be approved and progressed to MBIE’s Standard Development Committee. </w:t>
            </w:r>
          </w:p>
        </w:tc>
      </w:tr>
      <w:tr w:rsidR="004C7F24" w:rsidRPr="004C7F24" w14:paraId="2CF735F4" w14:textId="77777777" w:rsidTr="009F123F">
        <w:trPr>
          <w:trHeight w:val="620"/>
        </w:trPr>
        <w:tc>
          <w:tcPr>
            <w:tcW w:w="355" w:type="pct"/>
          </w:tcPr>
          <w:p w14:paraId="74ED5895" w14:textId="053521C3" w:rsidR="004C7F24" w:rsidRPr="004C7F24" w:rsidRDefault="00535566" w:rsidP="00FB44A3">
            <w:pPr>
              <w:tabs>
                <w:tab w:val="right" w:leader="underscore" w:pos="5670"/>
                <w:tab w:val="left" w:pos="6237"/>
              </w:tabs>
              <w:spacing w:before="120" w:after="80"/>
              <w:rPr>
                <w:sz w:val="22"/>
                <w:szCs w:val="22"/>
              </w:rPr>
            </w:pPr>
            <w:r>
              <w:rPr>
                <w:sz w:val="22"/>
                <w:szCs w:val="22"/>
              </w:rPr>
              <w:t>6</w:t>
            </w:r>
          </w:p>
        </w:tc>
        <w:tc>
          <w:tcPr>
            <w:tcW w:w="4645" w:type="pct"/>
          </w:tcPr>
          <w:p w14:paraId="19F2B5E2" w14:textId="72EBE493" w:rsidR="004C7F24" w:rsidRPr="009F123F" w:rsidRDefault="00677212" w:rsidP="009F123F">
            <w:pPr>
              <w:tabs>
                <w:tab w:val="right" w:leader="underscore" w:pos="5670"/>
                <w:tab w:val="left" w:pos="6237"/>
              </w:tabs>
              <w:spacing w:before="120" w:after="80"/>
              <w:rPr>
                <w:b/>
                <w:sz w:val="22"/>
                <w:szCs w:val="22"/>
              </w:rPr>
            </w:pPr>
            <w:r>
              <w:rPr>
                <w:b/>
                <w:sz w:val="22"/>
                <w:szCs w:val="22"/>
              </w:rPr>
              <w:t>Terms of Reference - Review</w:t>
            </w:r>
          </w:p>
          <w:p w14:paraId="2B5074CE" w14:textId="29FD29EF" w:rsidR="0064168B" w:rsidRPr="00535566" w:rsidRDefault="00677212" w:rsidP="00677212">
            <w:pPr>
              <w:tabs>
                <w:tab w:val="right" w:leader="underscore" w:pos="5670"/>
                <w:tab w:val="left" w:pos="6237"/>
              </w:tabs>
              <w:spacing w:after="240"/>
              <w:rPr>
                <w:sz w:val="22"/>
                <w:szCs w:val="22"/>
              </w:rPr>
            </w:pPr>
            <w:r w:rsidRPr="00BA3D89">
              <w:rPr>
                <w:sz w:val="22"/>
              </w:rPr>
              <w:t xml:space="preserve">The </w:t>
            </w:r>
            <w:r>
              <w:rPr>
                <w:sz w:val="22"/>
              </w:rPr>
              <w:t xml:space="preserve">amended Terms </w:t>
            </w:r>
            <w:r w:rsidRPr="00677212">
              <w:rPr>
                <w:sz w:val="22"/>
                <w:szCs w:val="22"/>
              </w:rPr>
              <w:t>of Reference</w:t>
            </w:r>
            <w:r w:rsidRPr="00677212">
              <w:rPr>
                <w:sz w:val="22"/>
                <w:szCs w:val="22"/>
              </w:rPr>
              <w:t xml:space="preserve"> were reviewed and, with minor amendments to role titles, accepted by the Group. </w:t>
            </w:r>
          </w:p>
        </w:tc>
      </w:tr>
      <w:tr w:rsidR="004C7F24" w:rsidRPr="004C7F24" w14:paraId="065D62C7" w14:textId="77777777" w:rsidTr="004A3B4A">
        <w:tc>
          <w:tcPr>
            <w:tcW w:w="355" w:type="pct"/>
          </w:tcPr>
          <w:p w14:paraId="2CED7946" w14:textId="77777777" w:rsidR="004C7F24" w:rsidRPr="004C7F24" w:rsidRDefault="004C7F24" w:rsidP="00027E40">
            <w:pPr>
              <w:tabs>
                <w:tab w:val="right" w:leader="underscore" w:pos="5670"/>
                <w:tab w:val="left" w:pos="6237"/>
              </w:tabs>
              <w:spacing w:before="40" w:after="80"/>
              <w:rPr>
                <w:sz w:val="22"/>
                <w:szCs w:val="22"/>
              </w:rPr>
            </w:pPr>
          </w:p>
        </w:tc>
        <w:tc>
          <w:tcPr>
            <w:tcW w:w="4645" w:type="pct"/>
          </w:tcPr>
          <w:p w14:paraId="77287625" w14:textId="77777777" w:rsidR="00244B13" w:rsidRDefault="004C7F24" w:rsidP="00244B13">
            <w:pPr>
              <w:spacing w:before="80" w:after="80"/>
              <w:rPr>
                <w:b/>
                <w:sz w:val="22"/>
                <w:szCs w:val="22"/>
              </w:rPr>
            </w:pPr>
            <w:r w:rsidRPr="009F123F">
              <w:rPr>
                <w:b/>
                <w:sz w:val="22"/>
                <w:szCs w:val="22"/>
              </w:rPr>
              <w:t>Closing comments</w:t>
            </w:r>
          </w:p>
          <w:p w14:paraId="2292E71C" w14:textId="547D9241" w:rsidR="009F123F" w:rsidRPr="00557327" w:rsidRDefault="009F123F" w:rsidP="00244B13">
            <w:pPr>
              <w:spacing w:before="80" w:after="120"/>
              <w:rPr>
                <w:sz w:val="22"/>
              </w:rPr>
            </w:pPr>
            <w:r w:rsidRPr="00557327">
              <w:rPr>
                <w:sz w:val="22"/>
                <w:szCs w:val="22"/>
              </w:rPr>
              <w:t>The Chair thanked the Group for their time. The meeting closed at 1</w:t>
            </w:r>
            <w:r w:rsidR="00074790" w:rsidRPr="00557327">
              <w:rPr>
                <w:sz w:val="22"/>
                <w:szCs w:val="22"/>
              </w:rPr>
              <w:t>1</w:t>
            </w:r>
            <w:r w:rsidRPr="00557327">
              <w:rPr>
                <w:sz w:val="22"/>
                <w:szCs w:val="22"/>
              </w:rPr>
              <w:t>:</w:t>
            </w:r>
            <w:r w:rsidR="00074790" w:rsidRPr="00557327">
              <w:rPr>
                <w:sz w:val="22"/>
                <w:szCs w:val="22"/>
              </w:rPr>
              <w:t>45a</w:t>
            </w:r>
            <w:r w:rsidRPr="00557327">
              <w:rPr>
                <w:sz w:val="22"/>
                <w:szCs w:val="22"/>
              </w:rPr>
              <w:t>m.</w:t>
            </w:r>
          </w:p>
        </w:tc>
      </w:tr>
    </w:tbl>
    <w:p w14:paraId="4F45AFF8" w14:textId="77777777" w:rsidR="004C3CF7" w:rsidRPr="004C7F24" w:rsidRDefault="004C3CF7" w:rsidP="004C3CF7">
      <w:pPr>
        <w:tabs>
          <w:tab w:val="right" w:leader="underscore" w:pos="5670"/>
          <w:tab w:val="left" w:pos="6237"/>
        </w:tabs>
        <w:rPr>
          <w:sz w:val="22"/>
          <w:szCs w:val="22"/>
        </w:rPr>
      </w:pPr>
    </w:p>
    <w:tbl>
      <w:tblPr>
        <w:tblStyle w:val="TableGrid"/>
        <w:tblW w:w="0" w:type="auto"/>
        <w:tblInd w:w="-5" w:type="dxa"/>
        <w:tblLook w:val="01E0" w:firstRow="1" w:lastRow="1" w:firstColumn="1" w:lastColumn="1" w:noHBand="0" w:noVBand="0"/>
      </w:tblPr>
      <w:tblGrid>
        <w:gridCol w:w="709"/>
        <w:gridCol w:w="5670"/>
        <w:gridCol w:w="1985"/>
        <w:gridCol w:w="1554"/>
      </w:tblGrid>
      <w:tr w:rsidR="00E01440" w:rsidRPr="00BA3D89" w14:paraId="6578D72F" w14:textId="77777777" w:rsidTr="00FB44A3">
        <w:tc>
          <w:tcPr>
            <w:tcW w:w="709" w:type="dxa"/>
          </w:tcPr>
          <w:p w14:paraId="000E9679" w14:textId="77777777" w:rsidR="00E01440" w:rsidRPr="00BA3D89" w:rsidRDefault="00E01440" w:rsidP="00B8784F">
            <w:pPr>
              <w:rPr>
                <w:sz w:val="22"/>
              </w:rPr>
            </w:pPr>
            <w:r w:rsidRPr="00BA3D89">
              <w:rPr>
                <w:b/>
                <w:sz w:val="20"/>
                <w:szCs w:val="22"/>
              </w:rPr>
              <w:t>Item</w:t>
            </w:r>
          </w:p>
        </w:tc>
        <w:tc>
          <w:tcPr>
            <w:tcW w:w="5670" w:type="dxa"/>
          </w:tcPr>
          <w:p w14:paraId="4AAF5D06" w14:textId="77777777" w:rsidR="00E01440" w:rsidRPr="00BA3D89" w:rsidRDefault="00E01440" w:rsidP="00B8784F">
            <w:pPr>
              <w:rPr>
                <w:b/>
                <w:sz w:val="20"/>
                <w:szCs w:val="22"/>
              </w:rPr>
            </w:pPr>
            <w:r w:rsidRPr="00BA3D89">
              <w:rPr>
                <w:b/>
                <w:sz w:val="20"/>
                <w:szCs w:val="22"/>
              </w:rPr>
              <w:t>Action</w:t>
            </w:r>
          </w:p>
        </w:tc>
        <w:tc>
          <w:tcPr>
            <w:tcW w:w="1985" w:type="dxa"/>
          </w:tcPr>
          <w:p w14:paraId="44908A72" w14:textId="77777777" w:rsidR="00E01440" w:rsidRPr="00BA3D89" w:rsidRDefault="00E01440" w:rsidP="00B8784F">
            <w:pPr>
              <w:rPr>
                <w:b/>
                <w:sz w:val="20"/>
                <w:szCs w:val="22"/>
              </w:rPr>
            </w:pPr>
            <w:r w:rsidRPr="00BA3D89">
              <w:rPr>
                <w:b/>
                <w:sz w:val="20"/>
                <w:szCs w:val="22"/>
              </w:rPr>
              <w:t>Lead</w:t>
            </w:r>
          </w:p>
        </w:tc>
        <w:tc>
          <w:tcPr>
            <w:tcW w:w="1554" w:type="dxa"/>
          </w:tcPr>
          <w:p w14:paraId="781C01AA" w14:textId="77777777" w:rsidR="00E01440" w:rsidRPr="00BA3D89" w:rsidRDefault="00E01440" w:rsidP="00B8784F">
            <w:pPr>
              <w:rPr>
                <w:b/>
                <w:sz w:val="20"/>
                <w:szCs w:val="22"/>
              </w:rPr>
            </w:pPr>
            <w:r w:rsidRPr="00BA3D89">
              <w:rPr>
                <w:b/>
                <w:sz w:val="20"/>
                <w:szCs w:val="22"/>
              </w:rPr>
              <w:t>Due Date</w:t>
            </w:r>
          </w:p>
        </w:tc>
      </w:tr>
      <w:tr w:rsidR="00E01440" w:rsidRPr="004A3B4A" w14:paraId="56E70598" w14:textId="77777777" w:rsidTr="00FB44A3">
        <w:tc>
          <w:tcPr>
            <w:tcW w:w="709" w:type="dxa"/>
          </w:tcPr>
          <w:p w14:paraId="7B20AC8B" w14:textId="68386BBB" w:rsidR="00E01440" w:rsidRPr="004A3B4A" w:rsidRDefault="00F532DB" w:rsidP="00B8784F">
            <w:pPr>
              <w:rPr>
                <w:sz w:val="20"/>
                <w:szCs w:val="20"/>
              </w:rPr>
            </w:pPr>
            <w:r>
              <w:rPr>
                <w:sz w:val="20"/>
                <w:szCs w:val="20"/>
              </w:rPr>
              <w:t>5</w:t>
            </w:r>
          </w:p>
        </w:tc>
        <w:tc>
          <w:tcPr>
            <w:tcW w:w="5670" w:type="dxa"/>
          </w:tcPr>
          <w:p w14:paraId="2F8840AA" w14:textId="7DE77D67" w:rsidR="00E01440" w:rsidRPr="004A3B4A" w:rsidRDefault="00F532DB" w:rsidP="00E01440">
            <w:pPr>
              <w:rPr>
                <w:sz w:val="20"/>
                <w:szCs w:val="20"/>
              </w:rPr>
            </w:pPr>
            <w:r>
              <w:rPr>
                <w:sz w:val="20"/>
                <w:szCs w:val="20"/>
              </w:rPr>
              <w:t xml:space="preserve">Disabled person representative, Deputy-Director General Disability, and Principal Advisor </w:t>
            </w:r>
            <w:proofErr w:type="spellStart"/>
            <w:r>
              <w:rPr>
                <w:sz w:val="20"/>
                <w:szCs w:val="20"/>
              </w:rPr>
              <w:t>HealthCERT</w:t>
            </w:r>
            <w:proofErr w:type="spellEnd"/>
            <w:r>
              <w:rPr>
                <w:sz w:val="20"/>
                <w:szCs w:val="20"/>
              </w:rPr>
              <w:t xml:space="preserve"> to draft additional text regarding EGL approach and UN CRDP. </w:t>
            </w:r>
          </w:p>
        </w:tc>
        <w:tc>
          <w:tcPr>
            <w:tcW w:w="1985" w:type="dxa"/>
          </w:tcPr>
          <w:p w14:paraId="19259074" w14:textId="0175EAD5" w:rsidR="00E01440" w:rsidRPr="004A3B4A" w:rsidRDefault="00F532DB" w:rsidP="00F4105B">
            <w:pPr>
              <w:rPr>
                <w:sz w:val="20"/>
                <w:szCs w:val="20"/>
              </w:rPr>
            </w:pPr>
            <w:r>
              <w:rPr>
                <w:sz w:val="20"/>
                <w:szCs w:val="20"/>
              </w:rPr>
              <w:t>Principal Advisor</w:t>
            </w:r>
          </w:p>
        </w:tc>
        <w:tc>
          <w:tcPr>
            <w:tcW w:w="1554" w:type="dxa"/>
          </w:tcPr>
          <w:p w14:paraId="51236BAF" w14:textId="605F7E39" w:rsidR="00E01440" w:rsidRPr="004A3B4A" w:rsidRDefault="00F532DB" w:rsidP="004A3B4A">
            <w:pPr>
              <w:rPr>
                <w:sz w:val="20"/>
                <w:szCs w:val="20"/>
              </w:rPr>
            </w:pPr>
            <w:r>
              <w:rPr>
                <w:sz w:val="20"/>
                <w:szCs w:val="20"/>
              </w:rPr>
              <w:t>March 2020</w:t>
            </w:r>
          </w:p>
        </w:tc>
      </w:tr>
      <w:tr w:rsidR="00E01440" w:rsidRPr="004A3B4A" w14:paraId="6DC58B13" w14:textId="77777777" w:rsidTr="00FB44A3">
        <w:tc>
          <w:tcPr>
            <w:tcW w:w="709" w:type="dxa"/>
          </w:tcPr>
          <w:p w14:paraId="77CE7D12" w14:textId="1C6617FA" w:rsidR="00E01440" w:rsidRPr="004A3B4A" w:rsidRDefault="00847100" w:rsidP="00B8784F">
            <w:pPr>
              <w:rPr>
                <w:sz w:val="20"/>
                <w:szCs w:val="20"/>
              </w:rPr>
            </w:pPr>
            <w:r>
              <w:rPr>
                <w:sz w:val="20"/>
                <w:szCs w:val="20"/>
              </w:rPr>
              <w:t>6</w:t>
            </w:r>
          </w:p>
        </w:tc>
        <w:tc>
          <w:tcPr>
            <w:tcW w:w="5670" w:type="dxa"/>
          </w:tcPr>
          <w:p w14:paraId="47A1081C" w14:textId="3C6FA8F4" w:rsidR="00E01440" w:rsidRPr="004A3B4A" w:rsidRDefault="001C162E" w:rsidP="00B8784F">
            <w:pPr>
              <w:rPr>
                <w:sz w:val="20"/>
                <w:szCs w:val="20"/>
              </w:rPr>
            </w:pPr>
            <w:r>
              <w:rPr>
                <w:sz w:val="20"/>
                <w:szCs w:val="20"/>
              </w:rPr>
              <w:t>Include update on Safe Staffing in Aged</w:t>
            </w:r>
            <w:r w:rsidR="00FB44A3">
              <w:rPr>
                <w:sz w:val="20"/>
                <w:szCs w:val="20"/>
              </w:rPr>
              <w:t xml:space="preserve"> </w:t>
            </w:r>
            <w:r>
              <w:rPr>
                <w:sz w:val="20"/>
                <w:szCs w:val="20"/>
              </w:rPr>
              <w:t xml:space="preserve">Care – the Staffing Standard on </w:t>
            </w:r>
            <w:r w:rsidR="00F47568">
              <w:rPr>
                <w:sz w:val="20"/>
                <w:szCs w:val="20"/>
              </w:rPr>
              <w:t>next</w:t>
            </w:r>
            <w:r w:rsidR="00B823CC">
              <w:rPr>
                <w:sz w:val="20"/>
                <w:szCs w:val="20"/>
              </w:rPr>
              <w:t xml:space="preserve"> meeting</w:t>
            </w:r>
            <w:r w:rsidR="00FB44A3">
              <w:rPr>
                <w:sz w:val="20"/>
                <w:szCs w:val="20"/>
              </w:rPr>
              <w:t>.</w:t>
            </w:r>
          </w:p>
        </w:tc>
        <w:tc>
          <w:tcPr>
            <w:tcW w:w="1985" w:type="dxa"/>
          </w:tcPr>
          <w:p w14:paraId="07C0FBA8" w14:textId="4B26053A" w:rsidR="00E01440" w:rsidRPr="004A3B4A" w:rsidRDefault="001C162E" w:rsidP="00B8784F">
            <w:pPr>
              <w:rPr>
                <w:sz w:val="20"/>
                <w:szCs w:val="20"/>
              </w:rPr>
            </w:pPr>
            <w:r>
              <w:rPr>
                <w:sz w:val="20"/>
                <w:szCs w:val="20"/>
              </w:rPr>
              <w:t>Project Manager</w:t>
            </w:r>
          </w:p>
        </w:tc>
        <w:tc>
          <w:tcPr>
            <w:tcW w:w="1554" w:type="dxa"/>
          </w:tcPr>
          <w:p w14:paraId="11831B93" w14:textId="3B46C5B1" w:rsidR="00E01440" w:rsidRPr="004A3B4A" w:rsidRDefault="00F47568" w:rsidP="004A3B4A">
            <w:pPr>
              <w:rPr>
                <w:sz w:val="20"/>
                <w:szCs w:val="20"/>
              </w:rPr>
            </w:pPr>
            <w:r>
              <w:rPr>
                <w:sz w:val="20"/>
                <w:szCs w:val="20"/>
              </w:rPr>
              <w:t>Nov</w:t>
            </w:r>
            <w:r w:rsidR="00E01440" w:rsidRPr="004A3B4A">
              <w:rPr>
                <w:sz w:val="20"/>
                <w:szCs w:val="20"/>
              </w:rPr>
              <w:t xml:space="preserve"> 20</w:t>
            </w:r>
            <w:r w:rsidR="001C162E">
              <w:rPr>
                <w:sz w:val="20"/>
                <w:szCs w:val="20"/>
              </w:rPr>
              <w:t>20</w:t>
            </w:r>
          </w:p>
        </w:tc>
      </w:tr>
    </w:tbl>
    <w:p w14:paraId="30156D01" w14:textId="77777777" w:rsidR="00DD1246" w:rsidRPr="004C7F24" w:rsidRDefault="00DD1246" w:rsidP="00244B13">
      <w:pPr>
        <w:rPr>
          <w:sz w:val="22"/>
          <w:szCs w:val="22"/>
        </w:rPr>
      </w:pPr>
    </w:p>
    <w:sectPr w:rsidR="00DD1246" w:rsidRPr="004C7F24" w:rsidSect="00AF3E7C">
      <w:footerReference w:type="default" r:id="rId8"/>
      <w:pgSz w:w="11907" w:h="16840" w:code="9"/>
      <w:pgMar w:top="567" w:right="992" w:bottom="624" w:left="992" w:header="567" w:footer="11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4D7F" w14:textId="77777777" w:rsidR="00516146" w:rsidRDefault="00516146">
      <w:r>
        <w:separator/>
      </w:r>
    </w:p>
  </w:endnote>
  <w:endnote w:type="continuationSeparator" w:id="0">
    <w:p w14:paraId="21D97CC0" w14:textId="77777777" w:rsidR="00516146" w:rsidRDefault="0051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szCs w:val="20"/>
      </w:rPr>
      <w:id w:val="-477297122"/>
      <w:docPartObj>
        <w:docPartGallery w:val="Page Numbers (Bottom of Page)"/>
        <w:docPartUnique/>
      </w:docPartObj>
    </w:sdtPr>
    <w:sdtContent>
      <w:sdt>
        <w:sdtPr>
          <w:rPr>
            <w:rFonts w:ascii="Arial" w:hAnsi="Arial" w:cs="Arial"/>
            <w:b w:val="0"/>
            <w:szCs w:val="20"/>
          </w:rPr>
          <w:id w:val="-1769616900"/>
          <w:docPartObj>
            <w:docPartGallery w:val="Page Numbers (Top of Page)"/>
            <w:docPartUnique/>
          </w:docPartObj>
        </w:sdtPr>
        <w:sdtContent>
          <w:p w14:paraId="024F8964" w14:textId="4E0B68AF" w:rsidR="00516146" w:rsidRPr="00AF3E7C" w:rsidRDefault="00516146">
            <w:pPr>
              <w:pStyle w:val="Footer"/>
              <w:jc w:val="right"/>
              <w:rPr>
                <w:rFonts w:ascii="Arial" w:hAnsi="Arial" w:cs="Arial"/>
                <w:b w:val="0"/>
                <w:szCs w:val="20"/>
              </w:rPr>
            </w:pPr>
            <w:r w:rsidRPr="00AF3E7C">
              <w:rPr>
                <w:rFonts w:ascii="Arial" w:hAnsi="Arial" w:cs="Arial"/>
                <w:b w:val="0"/>
                <w:szCs w:val="20"/>
              </w:rPr>
              <w:t xml:space="preserve">Page </w:t>
            </w:r>
            <w:r w:rsidRPr="00AF3E7C">
              <w:rPr>
                <w:rFonts w:ascii="Arial" w:hAnsi="Arial" w:cs="Arial"/>
                <w:b w:val="0"/>
                <w:bCs/>
                <w:szCs w:val="20"/>
              </w:rPr>
              <w:fldChar w:fldCharType="begin"/>
            </w:r>
            <w:r w:rsidRPr="00AF3E7C">
              <w:rPr>
                <w:rFonts w:ascii="Arial" w:hAnsi="Arial" w:cs="Arial"/>
                <w:b w:val="0"/>
                <w:bCs/>
                <w:szCs w:val="20"/>
              </w:rPr>
              <w:instrText xml:space="preserve"> PAGE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r w:rsidRPr="00AF3E7C">
              <w:rPr>
                <w:rFonts w:ascii="Arial" w:hAnsi="Arial" w:cs="Arial"/>
                <w:b w:val="0"/>
                <w:szCs w:val="20"/>
              </w:rPr>
              <w:t xml:space="preserve"> of </w:t>
            </w:r>
            <w:r w:rsidRPr="00AF3E7C">
              <w:rPr>
                <w:rFonts w:ascii="Arial" w:hAnsi="Arial" w:cs="Arial"/>
                <w:b w:val="0"/>
                <w:bCs/>
                <w:szCs w:val="20"/>
              </w:rPr>
              <w:fldChar w:fldCharType="begin"/>
            </w:r>
            <w:r w:rsidRPr="00AF3E7C">
              <w:rPr>
                <w:rFonts w:ascii="Arial" w:hAnsi="Arial" w:cs="Arial"/>
                <w:b w:val="0"/>
                <w:bCs/>
                <w:szCs w:val="20"/>
              </w:rPr>
              <w:instrText xml:space="preserve"> NUMPAGES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p>
        </w:sdtContent>
      </w:sdt>
    </w:sdtContent>
  </w:sdt>
  <w:p w14:paraId="03803A3B" w14:textId="77777777" w:rsidR="00516146" w:rsidRDefault="0051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1CAF" w14:textId="77777777" w:rsidR="00516146" w:rsidRDefault="00516146">
      <w:r>
        <w:separator/>
      </w:r>
    </w:p>
  </w:footnote>
  <w:footnote w:type="continuationSeparator" w:id="0">
    <w:p w14:paraId="5E786882" w14:textId="77777777" w:rsidR="00516146" w:rsidRDefault="0051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B79"/>
    <w:multiLevelType w:val="hybridMultilevel"/>
    <w:tmpl w:val="47DC58DC"/>
    <w:lvl w:ilvl="0" w:tplc="0B702D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AA616F"/>
    <w:multiLevelType w:val="hybridMultilevel"/>
    <w:tmpl w:val="ECF64CA4"/>
    <w:lvl w:ilvl="0" w:tplc="C9B01668">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A3545"/>
    <w:multiLevelType w:val="hybridMultilevel"/>
    <w:tmpl w:val="D70EF748"/>
    <w:lvl w:ilvl="0" w:tplc="68F02A4A">
      <w:start w:val="1"/>
      <w:numFmt w:val="bullet"/>
      <w:lvlText w:val=""/>
      <w:lvlJc w:val="left"/>
      <w:pPr>
        <w:ind w:left="720" w:hanging="360"/>
      </w:pPr>
      <w:rPr>
        <w:rFonts w:ascii="Symbol" w:eastAsiaTheme="minorHAns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971A92"/>
    <w:multiLevelType w:val="hybridMultilevel"/>
    <w:tmpl w:val="37DAFACA"/>
    <w:lvl w:ilvl="0" w:tplc="7F569240">
      <w:start w:val="1"/>
      <w:numFmt w:val="bullet"/>
      <w:lvlText w:val="-"/>
      <w:lvlJc w:val="left"/>
      <w:pPr>
        <w:ind w:left="927" w:hanging="360"/>
      </w:pPr>
      <w:rPr>
        <w:rFonts w:ascii="Arial" w:eastAsia="Times New Roman" w:hAnsi="Arial" w:cs="Aria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714ADE"/>
    <w:multiLevelType w:val="hybridMultilevel"/>
    <w:tmpl w:val="B600A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885E63"/>
    <w:multiLevelType w:val="hybridMultilevel"/>
    <w:tmpl w:val="A4EC7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52544A"/>
    <w:multiLevelType w:val="hybridMultilevel"/>
    <w:tmpl w:val="A1F81D1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30532F18"/>
    <w:multiLevelType w:val="hybridMultilevel"/>
    <w:tmpl w:val="C07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6C60BF"/>
    <w:multiLevelType w:val="hybridMultilevel"/>
    <w:tmpl w:val="A0FED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4C45F4"/>
    <w:multiLevelType w:val="hybridMultilevel"/>
    <w:tmpl w:val="DC8EB8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BAA4D72"/>
    <w:multiLevelType w:val="hybridMultilevel"/>
    <w:tmpl w:val="1BEEE4E8"/>
    <w:lvl w:ilvl="0" w:tplc="E4A647F0">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A810E5"/>
    <w:multiLevelType w:val="hybridMultilevel"/>
    <w:tmpl w:val="9D7E7DB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13A46A9"/>
    <w:multiLevelType w:val="hybridMultilevel"/>
    <w:tmpl w:val="186AF2B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A0C0983"/>
    <w:multiLevelType w:val="hybridMultilevel"/>
    <w:tmpl w:val="1248C714"/>
    <w:lvl w:ilvl="0" w:tplc="DC1EF192">
      <w:start w:val="1"/>
      <w:numFmt w:val="decimal"/>
      <w:lvlText w:val="%1."/>
      <w:lvlJc w:val="left"/>
      <w:pPr>
        <w:ind w:left="360" w:hanging="360"/>
      </w:pPr>
      <w:rPr>
        <w:rFonts w:ascii="Arial" w:eastAsia="Times New Roman" w:hAnsi="Arial" w:cs="Time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17" w15:restartNumberingAfterBreak="0">
    <w:nsid w:val="73D469EE"/>
    <w:multiLevelType w:val="hybridMultilevel"/>
    <w:tmpl w:val="551459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16"/>
  </w:num>
  <w:num w:numId="4">
    <w:abstractNumId w:val="10"/>
  </w:num>
  <w:num w:numId="5">
    <w:abstractNumId w:val="3"/>
  </w:num>
  <w:num w:numId="6">
    <w:abstractNumId w:val="14"/>
  </w:num>
  <w:num w:numId="7">
    <w:abstractNumId w:val="1"/>
  </w:num>
  <w:num w:numId="8">
    <w:abstractNumId w:val="6"/>
  </w:num>
  <w:num w:numId="9">
    <w:abstractNumId w:val="12"/>
  </w:num>
  <w:num w:numId="10">
    <w:abstractNumId w:val="0"/>
  </w:num>
  <w:num w:numId="11">
    <w:abstractNumId w:val="11"/>
  </w:num>
  <w:num w:numId="12">
    <w:abstractNumId w:val="7"/>
  </w:num>
  <w:num w:numId="13">
    <w:abstractNumId w:val="2"/>
  </w:num>
  <w:num w:numId="14">
    <w:abstractNumId w:val="13"/>
  </w:num>
  <w:num w:numId="15">
    <w:abstractNumId w:val="15"/>
  </w:num>
  <w:num w:numId="16">
    <w:abstractNumId w:val="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6665"/>
    <w:rsid w:val="0001369A"/>
    <w:rsid w:val="00027E40"/>
    <w:rsid w:val="0003710F"/>
    <w:rsid w:val="00043324"/>
    <w:rsid w:val="00044B48"/>
    <w:rsid w:val="00050697"/>
    <w:rsid w:val="00053CDB"/>
    <w:rsid w:val="0005435B"/>
    <w:rsid w:val="000649D6"/>
    <w:rsid w:val="000675CB"/>
    <w:rsid w:val="00074790"/>
    <w:rsid w:val="00084C18"/>
    <w:rsid w:val="0009709A"/>
    <w:rsid w:val="000A009F"/>
    <w:rsid w:val="000A1F16"/>
    <w:rsid w:val="000A2F23"/>
    <w:rsid w:val="000C37B8"/>
    <w:rsid w:val="000F5040"/>
    <w:rsid w:val="000F76E7"/>
    <w:rsid w:val="000F77AF"/>
    <w:rsid w:val="0010759F"/>
    <w:rsid w:val="001139F6"/>
    <w:rsid w:val="00114D52"/>
    <w:rsid w:val="0012724C"/>
    <w:rsid w:val="00134BBB"/>
    <w:rsid w:val="00136519"/>
    <w:rsid w:val="00137C9A"/>
    <w:rsid w:val="00156293"/>
    <w:rsid w:val="00161A80"/>
    <w:rsid w:val="00162F43"/>
    <w:rsid w:val="00170111"/>
    <w:rsid w:val="00175201"/>
    <w:rsid w:val="00181ABF"/>
    <w:rsid w:val="001828E9"/>
    <w:rsid w:val="001834D3"/>
    <w:rsid w:val="0018640A"/>
    <w:rsid w:val="00187AA9"/>
    <w:rsid w:val="00190D84"/>
    <w:rsid w:val="00194D60"/>
    <w:rsid w:val="001C162E"/>
    <w:rsid w:val="001C27C0"/>
    <w:rsid w:val="001D52A9"/>
    <w:rsid w:val="001D6742"/>
    <w:rsid w:val="001E1822"/>
    <w:rsid w:val="001E2DCC"/>
    <w:rsid w:val="001F292F"/>
    <w:rsid w:val="00210921"/>
    <w:rsid w:val="00213BBD"/>
    <w:rsid w:val="00214ABA"/>
    <w:rsid w:val="002174BC"/>
    <w:rsid w:val="00224FC6"/>
    <w:rsid w:val="00231C91"/>
    <w:rsid w:val="002345F1"/>
    <w:rsid w:val="002376A2"/>
    <w:rsid w:val="00243C6E"/>
    <w:rsid w:val="00244B13"/>
    <w:rsid w:val="00245E7A"/>
    <w:rsid w:val="00246A53"/>
    <w:rsid w:val="002676D6"/>
    <w:rsid w:val="0027447E"/>
    <w:rsid w:val="00274BFF"/>
    <w:rsid w:val="00275C37"/>
    <w:rsid w:val="00280A23"/>
    <w:rsid w:val="00283DA9"/>
    <w:rsid w:val="0029295D"/>
    <w:rsid w:val="002A1D05"/>
    <w:rsid w:val="002A3B9B"/>
    <w:rsid w:val="002A4D54"/>
    <w:rsid w:val="002B49E8"/>
    <w:rsid w:val="002C2E04"/>
    <w:rsid w:val="002C681A"/>
    <w:rsid w:val="002C7CF5"/>
    <w:rsid w:val="002E1713"/>
    <w:rsid w:val="002E5769"/>
    <w:rsid w:val="002F0FB6"/>
    <w:rsid w:val="002F0FD0"/>
    <w:rsid w:val="00304CDA"/>
    <w:rsid w:val="003103A6"/>
    <w:rsid w:val="00325F29"/>
    <w:rsid w:val="00326F50"/>
    <w:rsid w:val="0034743A"/>
    <w:rsid w:val="00351003"/>
    <w:rsid w:val="00353EBC"/>
    <w:rsid w:val="00361521"/>
    <w:rsid w:val="00371693"/>
    <w:rsid w:val="00371B64"/>
    <w:rsid w:val="00373666"/>
    <w:rsid w:val="00373F4D"/>
    <w:rsid w:val="003814B1"/>
    <w:rsid w:val="00390833"/>
    <w:rsid w:val="00392D1D"/>
    <w:rsid w:val="003A169D"/>
    <w:rsid w:val="003B13E6"/>
    <w:rsid w:val="003C0969"/>
    <w:rsid w:val="003C1E37"/>
    <w:rsid w:val="003C531B"/>
    <w:rsid w:val="003D11AC"/>
    <w:rsid w:val="003D6376"/>
    <w:rsid w:val="003E0E31"/>
    <w:rsid w:val="003E1D0C"/>
    <w:rsid w:val="003E206A"/>
    <w:rsid w:val="003E2A56"/>
    <w:rsid w:val="003E3955"/>
    <w:rsid w:val="003F0AD4"/>
    <w:rsid w:val="003F585B"/>
    <w:rsid w:val="003F6444"/>
    <w:rsid w:val="00407082"/>
    <w:rsid w:val="00410045"/>
    <w:rsid w:val="0041163D"/>
    <w:rsid w:val="0041254F"/>
    <w:rsid w:val="00416C24"/>
    <w:rsid w:val="004175B2"/>
    <w:rsid w:val="00421973"/>
    <w:rsid w:val="00426D0D"/>
    <w:rsid w:val="0043156E"/>
    <w:rsid w:val="00433AD2"/>
    <w:rsid w:val="004346BC"/>
    <w:rsid w:val="00436844"/>
    <w:rsid w:val="00436A4D"/>
    <w:rsid w:val="00441FBC"/>
    <w:rsid w:val="00462189"/>
    <w:rsid w:val="00466ACA"/>
    <w:rsid w:val="00471F6E"/>
    <w:rsid w:val="00473625"/>
    <w:rsid w:val="004757F3"/>
    <w:rsid w:val="00475F7B"/>
    <w:rsid w:val="004769A4"/>
    <w:rsid w:val="00480C49"/>
    <w:rsid w:val="00482FA0"/>
    <w:rsid w:val="00483785"/>
    <w:rsid w:val="00487546"/>
    <w:rsid w:val="004877A2"/>
    <w:rsid w:val="004958DC"/>
    <w:rsid w:val="004A21C2"/>
    <w:rsid w:val="004A3B4A"/>
    <w:rsid w:val="004A455E"/>
    <w:rsid w:val="004B36FA"/>
    <w:rsid w:val="004C3CF7"/>
    <w:rsid w:val="004C53DB"/>
    <w:rsid w:val="004C7F24"/>
    <w:rsid w:val="004D05F3"/>
    <w:rsid w:val="004D3AF8"/>
    <w:rsid w:val="004D4F5A"/>
    <w:rsid w:val="004D55C3"/>
    <w:rsid w:val="004D5848"/>
    <w:rsid w:val="004D655C"/>
    <w:rsid w:val="004E46A2"/>
    <w:rsid w:val="004E6AAC"/>
    <w:rsid w:val="004F4883"/>
    <w:rsid w:val="004F5F3A"/>
    <w:rsid w:val="005004AA"/>
    <w:rsid w:val="00502507"/>
    <w:rsid w:val="00510544"/>
    <w:rsid w:val="005136D4"/>
    <w:rsid w:val="00516146"/>
    <w:rsid w:val="00520F46"/>
    <w:rsid w:val="005337E7"/>
    <w:rsid w:val="00533C44"/>
    <w:rsid w:val="00535566"/>
    <w:rsid w:val="005373EC"/>
    <w:rsid w:val="0055326D"/>
    <w:rsid w:val="00553E57"/>
    <w:rsid w:val="00554245"/>
    <w:rsid w:val="00557327"/>
    <w:rsid w:val="00562D6B"/>
    <w:rsid w:val="005633F3"/>
    <w:rsid w:val="0056515C"/>
    <w:rsid w:val="00567E7B"/>
    <w:rsid w:val="0057482E"/>
    <w:rsid w:val="00575136"/>
    <w:rsid w:val="00577B82"/>
    <w:rsid w:val="00581AB1"/>
    <w:rsid w:val="00581B6F"/>
    <w:rsid w:val="0058687A"/>
    <w:rsid w:val="005A176E"/>
    <w:rsid w:val="005A44BA"/>
    <w:rsid w:val="005B4AB1"/>
    <w:rsid w:val="005C09F1"/>
    <w:rsid w:val="005C2CF3"/>
    <w:rsid w:val="005C432E"/>
    <w:rsid w:val="005D32F4"/>
    <w:rsid w:val="005D4953"/>
    <w:rsid w:val="005E5964"/>
    <w:rsid w:val="005F1099"/>
    <w:rsid w:val="005F5D07"/>
    <w:rsid w:val="00601D9C"/>
    <w:rsid w:val="00606E7D"/>
    <w:rsid w:val="0061210F"/>
    <w:rsid w:val="00616DD5"/>
    <w:rsid w:val="006226B0"/>
    <w:rsid w:val="00625A66"/>
    <w:rsid w:val="00627CDC"/>
    <w:rsid w:val="0063125F"/>
    <w:rsid w:val="006343A9"/>
    <w:rsid w:val="00634A6C"/>
    <w:rsid w:val="0064168B"/>
    <w:rsid w:val="006442A5"/>
    <w:rsid w:val="00645201"/>
    <w:rsid w:val="006514B1"/>
    <w:rsid w:val="00651830"/>
    <w:rsid w:val="00653FA6"/>
    <w:rsid w:val="00666014"/>
    <w:rsid w:val="00666D36"/>
    <w:rsid w:val="00677212"/>
    <w:rsid w:val="00681615"/>
    <w:rsid w:val="0068302E"/>
    <w:rsid w:val="00686182"/>
    <w:rsid w:val="00691636"/>
    <w:rsid w:val="006933D9"/>
    <w:rsid w:val="006935EC"/>
    <w:rsid w:val="006A694A"/>
    <w:rsid w:val="006A6DFF"/>
    <w:rsid w:val="006C3AB4"/>
    <w:rsid w:val="006C5BCD"/>
    <w:rsid w:val="006D1070"/>
    <w:rsid w:val="006E0737"/>
    <w:rsid w:val="006E372E"/>
    <w:rsid w:val="006E599F"/>
    <w:rsid w:val="006F68D0"/>
    <w:rsid w:val="00712950"/>
    <w:rsid w:val="0072546C"/>
    <w:rsid w:val="00725D0A"/>
    <w:rsid w:val="00727192"/>
    <w:rsid w:val="00740288"/>
    <w:rsid w:val="007434C3"/>
    <w:rsid w:val="00747BC2"/>
    <w:rsid w:val="007749A4"/>
    <w:rsid w:val="00794FF7"/>
    <w:rsid w:val="007A0120"/>
    <w:rsid w:val="007B0E83"/>
    <w:rsid w:val="007B414E"/>
    <w:rsid w:val="007B79CE"/>
    <w:rsid w:val="007C4C36"/>
    <w:rsid w:val="007D017B"/>
    <w:rsid w:val="007D0BE4"/>
    <w:rsid w:val="007D177B"/>
    <w:rsid w:val="007D697E"/>
    <w:rsid w:val="007D7E2D"/>
    <w:rsid w:val="007E492D"/>
    <w:rsid w:val="007F65D4"/>
    <w:rsid w:val="007F6CED"/>
    <w:rsid w:val="00802041"/>
    <w:rsid w:val="00802389"/>
    <w:rsid w:val="0080314D"/>
    <w:rsid w:val="008059DA"/>
    <w:rsid w:val="00812043"/>
    <w:rsid w:val="00813768"/>
    <w:rsid w:val="00813D47"/>
    <w:rsid w:val="00824003"/>
    <w:rsid w:val="008329AF"/>
    <w:rsid w:val="008367FE"/>
    <w:rsid w:val="0083691F"/>
    <w:rsid w:val="00847100"/>
    <w:rsid w:val="008559D7"/>
    <w:rsid w:val="00863FE4"/>
    <w:rsid w:val="00870E6F"/>
    <w:rsid w:val="00873D65"/>
    <w:rsid w:val="00874C30"/>
    <w:rsid w:val="008757C9"/>
    <w:rsid w:val="008847A2"/>
    <w:rsid w:val="00884B15"/>
    <w:rsid w:val="008A0619"/>
    <w:rsid w:val="008A1AA5"/>
    <w:rsid w:val="008A3320"/>
    <w:rsid w:val="008C00A2"/>
    <w:rsid w:val="008C3902"/>
    <w:rsid w:val="008D7E6A"/>
    <w:rsid w:val="008E43A2"/>
    <w:rsid w:val="008E4BAE"/>
    <w:rsid w:val="008F0EBF"/>
    <w:rsid w:val="008F1BBC"/>
    <w:rsid w:val="008F5297"/>
    <w:rsid w:val="008F58CD"/>
    <w:rsid w:val="008F7957"/>
    <w:rsid w:val="009008E5"/>
    <w:rsid w:val="0090647B"/>
    <w:rsid w:val="009068E2"/>
    <w:rsid w:val="00916A47"/>
    <w:rsid w:val="00916D08"/>
    <w:rsid w:val="009253BF"/>
    <w:rsid w:val="0092561B"/>
    <w:rsid w:val="00931A22"/>
    <w:rsid w:val="00932FE0"/>
    <w:rsid w:val="009401BB"/>
    <w:rsid w:val="009429D0"/>
    <w:rsid w:val="0094471B"/>
    <w:rsid w:val="00951CF9"/>
    <w:rsid w:val="00963BE2"/>
    <w:rsid w:val="009645B6"/>
    <w:rsid w:val="00967B4E"/>
    <w:rsid w:val="0097142E"/>
    <w:rsid w:val="0097163F"/>
    <w:rsid w:val="009842FE"/>
    <w:rsid w:val="009A0965"/>
    <w:rsid w:val="009A38BD"/>
    <w:rsid w:val="009B3639"/>
    <w:rsid w:val="009B3A23"/>
    <w:rsid w:val="009B4781"/>
    <w:rsid w:val="009D0671"/>
    <w:rsid w:val="009D2DA4"/>
    <w:rsid w:val="009D3761"/>
    <w:rsid w:val="009F123F"/>
    <w:rsid w:val="009F2E59"/>
    <w:rsid w:val="009F43C2"/>
    <w:rsid w:val="00A006DA"/>
    <w:rsid w:val="00A02A0B"/>
    <w:rsid w:val="00A02DF8"/>
    <w:rsid w:val="00A07939"/>
    <w:rsid w:val="00A24B3C"/>
    <w:rsid w:val="00A34CFF"/>
    <w:rsid w:val="00A41109"/>
    <w:rsid w:val="00A42800"/>
    <w:rsid w:val="00A47BF8"/>
    <w:rsid w:val="00A502BC"/>
    <w:rsid w:val="00A54328"/>
    <w:rsid w:val="00A54D8A"/>
    <w:rsid w:val="00A555BA"/>
    <w:rsid w:val="00A57CEB"/>
    <w:rsid w:val="00A57E27"/>
    <w:rsid w:val="00A63E3A"/>
    <w:rsid w:val="00A64804"/>
    <w:rsid w:val="00A659D5"/>
    <w:rsid w:val="00A6734A"/>
    <w:rsid w:val="00A6770C"/>
    <w:rsid w:val="00A8192B"/>
    <w:rsid w:val="00A9045F"/>
    <w:rsid w:val="00A967C2"/>
    <w:rsid w:val="00AA0A39"/>
    <w:rsid w:val="00AA14D3"/>
    <w:rsid w:val="00AC2FC2"/>
    <w:rsid w:val="00AD59BA"/>
    <w:rsid w:val="00AE3ABC"/>
    <w:rsid w:val="00AE47D8"/>
    <w:rsid w:val="00AF3E7C"/>
    <w:rsid w:val="00AF6857"/>
    <w:rsid w:val="00AF7A3A"/>
    <w:rsid w:val="00B03B94"/>
    <w:rsid w:val="00B11156"/>
    <w:rsid w:val="00B14C13"/>
    <w:rsid w:val="00B161E6"/>
    <w:rsid w:val="00B276D1"/>
    <w:rsid w:val="00B318E6"/>
    <w:rsid w:val="00B433E3"/>
    <w:rsid w:val="00B5413F"/>
    <w:rsid w:val="00B6099E"/>
    <w:rsid w:val="00B63FEE"/>
    <w:rsid w:val="00B75982"/>
    <w:rsid w:val="00B768CC"/>
    <w:rsid w:val="00B823CC"/>
    <w:rsid w:val="00B85735"/>
    <w:rsid w:val="00B8784F"/>
    <w:rsid w:val="00B90CA5"/>
    <w:rsid w:val="00B940A8"/>
    <w:rsid w:val="00BA28A7"/>
    <w:rsid w:val="00BA4BCE"/>
    <w:rsid w:val="00BA6B98"/>
    <w:rsid w:val="00BA6BDA"/>
    <w:rsid w:val="00BA72DE"/>
    <w:rsid w:val="00BB0404"/>
    <w:rsid w:val="00BB1E3F"/>
    <w:rsid w:val="00BC36EC"/>
    <w:rsid w:val="00BD130D"/>
    <w:rsid w:val="00BE4F5C"/>
    <w:rsid w:val="00BF0FD1"/>
    <w:rsid w:val="00BF4AF3"/>
    <w:rsid w:val="00C00AD6"/>
    <w:rsid w:val="00C01E4A"/>
    <w:rsid w:val="00C05EAD"/>
    <w:rsid w:val="00C1487C"/>
    <w:rsid w:val="00C17199"/>
    <w:rsid w:val="00C34497"/>
    <w:rsid w:val="00C44E6B"/>
    <w:rsid w:val="00C54068"/>
    <w:rsid w:val="00C609B5"/>
    <w:rsid w:val="00C74480"/>
    <w:rsid w:val="00C755A4"/>
    <w:rsid w:val="00C75BEF"/>
    <w:rsid w:val="00C8137F"/>
    <w:rsid w:val="00C86776"/>
    <w:rsid w:val="00C9518B"/>
    <w:rsid w:val="00CA4834"/>
    <w:rsid w:val="00CA5F5D"/>
    <w:rsid w:val="00CB2656"/>
    <w:rsid w:val="00CB282F"/>
    <w:rsid w:val="00CB4602"/>
    <w:rsid w:val="00CB7AC2"/>
    <w:rsid w:val="00CC244D"/>
    <w:rsid w:val="00CC5D65"/>
    <w:rsid w:val="00CC7779"/>
    <w:rsid w:val="00CD1119"/>
    <w:rsid w:val="00CD227E"/>
    <w:rsid w:val="00CD5019"/>
    <w:rsid w:val="00CE1ED2"/>
    <w:rsid w:val="00CE4FF8"/>
    <w:rsid w:val="00CE716A"/>
    <w:rsid w:val="00CF4D1A"/>
    <w:rsid w:val="00CF705E"/>
    <w:rsid w:val="00D13B77"/>
    <w:rsid w:val="00D15710"/>
    <w:rsid w:val="00D16DCE"/>
    <w:rsid w:val="00D2061C"/>
    <w:rsid w:val="00D218B2"/>
    <w:rsid w:val="00D2492C"/>
    <w:rsid w:val="00D36767"/>
    <w:rsid w:val="00D37280"/>
    <w:rsid w:val="00D3787F"/>
    <w:rsid w:val="00D4139C"/>
    <w:rsid w:val="00D50193"/>
    <w:rsid w:val="00D54A27"/>
    <w:rsid w:val="00D5598B"/>
    <w:rsid w:val="00D66607"/>
    <w:rsid w:val="00D92447"/>
    <w:rsid w:val="00D94C9D"/>
    <w:rsid w:val="00DA035C"/>
    <w:rsid w:val="00DA17A5"/>
    <w:rsid w:val="00DA708A"/>
    <w:rsid w:val="00DB02DB"/>
    <w:rsid w:val="00DB795F"/>
    <w:rsid w:val="00DC3ADF"/>
    <w:rsid w:val="00DC3CD1"/>
    <w:rsid w:val="00DC45FE"/>
    <w:rsid w:val="00DC6BFC"/>
    <w:rsid w:val="00DD1246"/>
    <w:rsid w:val="00DF2246"/>
    <w:rsid w:val="00E01440"/>
    <w:rsid w:val="00E04F02"/>
    <w:rsid w:val="00E07366"/>
    <w:rsid w:val="00E1361F"/>
    <w:rsid w:val="00E140F9"/>
    <w:rsid w:val="00E142D7"/>
    <w:rsid w:val="00E14955"/>
    <w:rsid w:val="00E17012"/>
    <w:rsid w:val="00E17548"/>
    <w:rsid w:val="00E22861"/>
    <w:rsid w:val="00E26FD7"/>
    <w:rsid w:val="00E33ACC"/>
    <w:rsid w:val="00E34420"/>
    <w:rsid w:val="00E426F6"/>
    <w:rsid w:val="00E44267"/>
    <w:rsid w:val="00E4647E"/>
    <w:rsid w:val="00E505C5"/>
    <w:rsid w:val="00E50D90"/>
    <w:rsid w:val="00E52C3E"/>
    <w:rsid w:val="00E52EC6"/>
    <w:rsid w:val="00E611F1"/>
    <w:rsid w:val="00E66C53"/>
    <w:rsid w:val="00E72109"/>
    <w:rsid w:val="00E75521"/>
    <w:rsid w:val="00E80A14"/>
    <w:rsid w:val="00E81B2E"/>
    <w:rsid w:val="00E87725"/>
    <w:rsid w:val="00E94374"/>
    <w:rsid w:val="00EA69C2"/>
    <w:rsid w:val="00EB0B44"/>
    <w:rsid w:val="00EB3A1C"/>
    <w:rsid w:val="00EB5EDE"/>
    <w:rsid w:val="00EC0A56"/>
    <w:rsid w:val="00EC5359"/>
    <w:rsid w:val="00EC7E9A"/>
    <w:rsid w:val="00ED0D03"/>
    <w:rsid w:val="00ED693D"/>
    <w:rsid w:val="00EE49F4"/>
    <w:rsid w:val="00EF0B2D"/>
    <w:rsid w:val="00EF3E1E"/>
    <w:rsid w:val="00EF7471"/>
    <w:rsid w:val="00F03EF9"/>
    <w:rsid w:val="00F05BB3"/>
    <w:rsid w:val="00F33421"/>
    <w:rsid w:val="00F40834"/>
    <w:rsid w:val="00F4105B"/>
    <w:rsid w:val="00F41229"/>
    <w:rsid w:val="00F430C6"/>
    <w:rsid w:val="00F47568"/>
    <w:rsid w:val="00F51D8A"/>
    <w:rsid w:val="00F526DB"/>
    <w:rsid w:val="00F532DB"/>
    <w:rsid w:val="00F64B1D"/>
    <w:rsid w:val="00F67AFA"/>
    <w:rsid w:val="00F8537A"/>
    <w:rsid w:val="00F91541"/>
    <w:rsid w:val="00F93B3A"/>
    <w:rsid w:val="00F96A1A"/>
    <w:rsid w:val="00FA404F"/>
    <w:rsid w:val="00FA514B"/>
    <w:rsid w:val="00FB44A3"/>
    <w:rsid w:val="00FC1D66"/>
    <w:rsid w:val="00FC49D1"/>
    <w:rsid w:val="00FC6B7B"/>
    <w:rsid w:val="00FC7263"/>
    <w:rsid w:val="00FD081E"/>
    <w:rsid w:val="00FD3320"/>
    <w:rsid w:val="00FD6ABC"/>
    <w:rsid w:val="00FE110D"/>
    <w:rsid w:val="00FE78AC"/>
    <w:rsid w:val="00FF1404"/>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1CDDA3"/>
  <w15:docId w15:val="{B1A203BB-6FE5-4776-8D2F-FF461034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tabs>
        <w:tab w:val="clear" w:pos="567"/>
        <w:tab w:val="num" w:pos="360"/>
      </w:tabs>
      <w:spacing w:before="120"/>
      <w:ind w:left="0" w:firstLine="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DD1246"/>
  </w:style>
  <w:style w:type="paragraph" w:styleId="ListParagraph">
    <w:name w:val="List Paragraph"/>
    <w:basedOn w:val="Normal"/>
    <w:uiPriority w:val="34"/>
    <w:qFormat/>
    <w:rsid w:val="004175B2"/>
    <w:pPr>
      <w:ind w:left="720"/>
      <w:contextualSpacing/>
    </w:pPr>
  </w:style>
  <w:style w:type="paragraph" w:styleId="BalloonText">
    <w:name w:val="Balloon Text"/>
    <w:basedOn w:val="Normal"/>
    <w:link w:val="BalloonTextChar"/>
    <w:semiHidden/>
    <w:unhideWhenUsed/>
    <w:rsid w:val="00562D6B"/>
    <w:rPr>
      <w:rFonts w:ascii="Segoe UI" w:hAnsi="Segoe UI" w:cs="Segoe UI"/>
      <w:sz w:val="18"/>
      <w:szCs w:val="18"/>
    </w:rPr>
  </w:style>
  <w:style w:type="character" w:customStyle="1" w:styleId="BalloonTextChar">
    <w:name w:val="Balloon Text Char"/>
    <w:basedOn w:val="DefaultParagraphFont"/>
    <w:link w:val="BalloonText"/>
    <w:semiHidden/>
    <w:rsid w:val="00562D6B"/>
    <w:rPr>
      <w:rFonts w:ascii="Segoe UI" w:hAnsi="Segoe UI" w:cs="Segoe UI"/>
      <w:sz w:val="18"/>
      <w:szCs w:val="18"/>
      <w:lang w:eastAsia="en-GB"/>
    </w:rPr>
  </w:style>
  <w:style w:type="character" w:styleId="CommentReference">
    <w:name w:val="annotation reference"/>
    <w:basedOn w:val="DefaultParagraphFont"/>
    <w:semiHidden/>
    <w:unhideWhenUsed/>
    <w:rsid w:val="00BA6BDA"/>
    <w:rPr>
      <w:sz w:val="16"/>
      <w:szCs w:val="16"/>
    </w:rPr>
  </w:style>
  <w:style w:type="paragraph" w:styleId="CommentText">
    <w:name w:val="annotation text"/>
    <w:basedOn w:val="Normal"/>
    <w:link w:val="CommentTextChar"/>
    <w:semiHidden/>
    <w:unhideWhenUsed/>
    <w:rsid w:val="00BA6BDA"/>
    <w:rPr>
      <w:sz w:val="20"/>
      <w:szCs w:val="20"/>
    </w:rPr>
  </w:style>
  <w:style w:type="character" w:customStyle="1" w:styleId="CommentTextChar">
    <w:name w:val="Comment Text Char"/>
    <w:basedOn w:val="DefaultParagraphFont"/>
    <w:link w:val="CommentText"/>
    <w:semiHidden/>
    <w:rsid w:val="00BA6BDA"/>
    <w:rPr>
      <w:rFonts w:ascii="Arial" w:hAnsi="Arial" w:cs="Times"/>
      <w:lang w:eastAsia="en-GB"/>
    </w:rPr>
  </w:style>
  <w:style w:type="paragraph" w:styleId="CommentSubject">
    <w:name w:val="annotation subject"/>
    <w:basedOn w:val="CommentText"/>
    <w:next w:val="CommentText"/>
    <w:link w:val="CommentSubjectChar"/>
    <w:semiHidden/>
    <w:unhideWhenUsed/>
    <w:rsid w:val="00BA6BDA"/>
    <w:rPr>
      <w:b/>
      <w:bCs/>
    </w:rPr>
  </w:style>
  <w:style w:type="character" w:customStyle="1" w:styleId="CommentSubjectChar">
    <w:name w:val="Comment Subject Char"/>
    <w:basedOn w:val="CommentTextChar"/>
    <w:link w:val="CommentSubject"/>
    <w:semiHidden/>
    <w:rsid w:val="00BA6BDA"/>
    <w:rPr>
      <w:rFonts w:ascii="Arial" w:hAnsi="Arial" w:cs="Times"/>
      <w:b/>
      <w:bCs/>
      <w:lang w:eastAsia="en-GB"/>
    </w:rPr>
  </w:style>
  <w:style w:type="character" w:styleId="Hyperlink">
    <w:name w:val="Hyperlink"/>
    <w:basedOn w:val="DefaultParagraphFont"/>
    <w:unhideWhenUsed/>
    <w:rsid w:val="00616DD5"/>
    <w:rPr>
      <w:color w:val="0000FF" w:themeColor="hyperlink"/>
      <w:u w:val="single"/>
    </w:rPr>
  </w:style>
  <w:style w:type="character" w:styleId="UnresolvedMention">
    <w:name w:val="Unresolved Mention"/>
    <w:basedOn w:val="DefaultParagraphFont"/>
    <w:uiPriority w:val="99"/>
    <w:semiHidden/>
    <w:unhideWhenUsed/>
    <w:rsid w:val="00616DD5"/>
    <w:rPr>
      <w:color w:val="605E5C"/>
      <w:shd w:val="clear" w:color="auto" w:fill="E1DFDD"/>
    </w:rPr>
  </w:style>
  <w:style w:type="character" w:customStyle="1" w:styleId="FooterChar">
    <w:name w:val="Footer Char"/>
    <w:basedOn w:val="DefaultParagraphFont"/>
    <w:link w:val="Footer"/>
    <w:uiPriority w:val="99"/>
    <w:rsid w:val="00A24B3C"/>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3E94D2E4</Template>
  <TotalTime>267</TotalTime>
  <Pages>3</Pages>
  <Words>961</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Grain</dc:creator>
  <cp:keywords/>
  <dc:description/>
  <cp:lastModifiedBy>Jade Cincotta</cp:lastModifiedBy>
  <cp:revision>25</cp:revision>
  <cp:lastPrinted>2019-09-02T22:15:00Z</cp:lastPrinted>
  <dcterms:created xsi:type="dcterms:W3CDTF">2020-03-10T21:45:00Z</dcterms:created>
  <dcterms:modified xsi:type="dcterms:W3CDTF">2020-03-12T00:21:00Z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1070422574</vt:i4>
  </property>
  <property fmtid="{D5CDD505-2E9C-101B-9397-08002B2CF9AE}" pid="3" name="_EmailSubject">
    <vt:lpwstr>Fax and memo templates</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1070422574</vt:i4>
  </property>
  <property fmtid="{D5CDD505-2E9C-101B-9397-08002B2CF9AE}" pid="7" name="_ReviewingToolsShownOnce">
    <vt:lpwstr/>
  </property>
</Properties>
</file>