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57A8" w14:textId="1D1324CF" w:rsidR="004C3CF7" w:rsidRPr="00E04F02" w:rsidRDefault="004A3B4A" w:rsidP="004A3B4A">
      <w:pPr>
        <w:rPr>
          <w:rFonts w:ascii="Georgia" w:hAnsi="Georgia"/>
          <w:b/>
          <w:sz w:val="36"/>
          <w:szCs w:val="28"/>
        </w:rPr>
      </w:pPr>
      <w:r w:rsidRPr="004A3B4A">
        <w:rPr>
          <w:rFonts w:ascii="Georgia" w:hAnsi="Georgia"/>
          <w:b/>
          <w:sz w:val="40"/>
          <w:szCs w:val="40"/>
        </w:rPr>
        <w:t>Minutes</w:t>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sidR="004C3CF7" w:rsidRPr="00E04F02">
        <w:rPr>
          <w:rFonts w:ascii="Georgia" w:hAnsi="Georgia"/>
          <w:b/>
          <w:sz w:val="36"/>
          <w:szCs w:val="28"/>
        </w:rPr>
        <w:tab/>
      </w:r>
      <w:r>
        <w:rPr>
          <w:rFonts w:ascii="Georgia" w:hAnsi="Georgia"/>
          <w:b/>
          <w:sz w:val="36"/>
          <w:szCs w:val="28"/>
        </w:rPr>
        <w:tab/>
      </w:r>
      <w:r w:rsidR="004C3CF7" w:rsidRPr="00E04F02">
        <w:rPr>
          <w:noProof/>
          <w:sz w:val="36"/>
          <w:szCs w:val="28"/>
          <w:lang w:eastAsia="en-NZ"/>
        </w:rPr>
        <w:drawing>
          <wp:inline distT="0" distB="0" distL="0" distR="0" wp14:anchorId="41039F0C" wp14:editId="42F9677A">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48B4ADDC" w14:textId="0277DB5D" w:rsidR="004C3CF7" w:rsidRPr="004A3B4A" w:rsidRDefault="004C3CF7" w:rsidP="005004AA">
      <w:pPr>
        <w:spacing w:after="240"/>
        <w:rPr>
          <w:rFonts w:ascii="Georgia" w:hAnsi="Georgia"/>
          <w:b/>
          <w:sz w:val="40"/>
          <w:szCs w:val="40"/>
        </w:rPr>
      </w:pPr>
      <w:bookmarkStart w:id="0" w:name="_GoBack"/>
      <w:r w:rsidRPr="004A3B4A">
        <w:rPr>
          <w:rFonts w:ascii="Georgia" w:hAnsi="Georgia"/>
          <w:b/>
          <w:sz w:val="40"/>
          <w:szCs w:val="40"/>
        </w:rPr>
        <w:t xml:space="preserve">Standards </w:t>
      </w:r>
      <w:r w:rsidR="00187AA9" w:rsidRPr="004A3B4A">
        <w:rPr>
          <w:rFonts w:ascii="Georgia" w:hAnsi="Georgia"/>
          <w:b/>
          <w:sz w:val="40"/>
          <w:szCs w:val="40"/>
        </w:rPr>
        <w:t xml:space="preserve">Review </w:t>
      </w:r>
      <w:r w:rsidRPr="004A3B4A">
        <w:rPr>
          <w:rFonts w:ascii="Georgia" w:hAnsi="Georgia"/>
          <w:b/>
          <w:sz w:val="40"/>
          <w:szCs w:val="40"/>
        </w:rPr>
        <w:t xml:space="preserve">Governance </w:t>
      </w:r>
      <w:r w:rsidR="00DA708A" w:rsidRPr="004A3B4A">
        <w:rPr>
          <w:rFonts w:ascii="Georgia" w:hAnsi="Georgia"/>
          <w:b/>
          <w:sz w:val="40"/>
          <w:szCs w:val="40"/>
        </w:rPr>
        <w:t>Group</w:t>
      </w:r>
      <w:r w:rsidR="004A3B4A" w:rsidRPr="004A3B4A">
        <w:rPr>
          <w:rFonts w:ascii="Georgia" w:hAnsi="Georgia"/>
          <w:b/>
          <w:sz w:val="40"/>
          <w:szCs w:val="40"/>
        </w:rPr>
        <w:t xml:space="preserve"> Meeting</w:t>
      </w:r>
    </w:p>
    <w:tbl>
      <w:tblPr>
        <w:tblStyle w:val="TableGrid"/>
        <w:tblW w:w="10008" w:type="dxa"/>
        <w:tblBorders>
          <w:left w:val="none" w:sz="0" w:space="0" w:color="auto"/>
          <w:right w:val="none" w:sz="0" w:space="0" w:color="auto"/>
        </w:tblBorders>
        <w:tblLayout w:type="fixed"/>
        <w:tblLook w:val="01E0" w:firstRow="1" w:lastRow="1" w:firstColumn="1" w:lastColumn="1" w:noHBand="0" w:noVBand="0"/>
      </w:tblPr>
      <w:tblGrid>
        <w:gridCol w:w="1548"/>
        <w:gridCol w:w="8460"/>
      </w:tblGrid>
      <w:tr w:rsidR="004C3CF7" w:rsidRPr="004A3B4A" w14:paraId="3CF0274A" w14:textId="77777777" w:rsidTr="004A3B4A">
        <w:trPr>
          <w:cantSplit/>
        </w:trPr>
        <w:tc>
          <w:tcPr>
            <w:tcW w:w="1548" w:type="dxa"/>
            <w:tcBorders>
              <w:top w:val="single" w:sz="12" w:space="0" w:color="auto"/>
              <w:bottom w:val="single" w:sz="2" w:space="0" w:color="auto"/>
              <w:right w:val="nil"/>
            </w:tcBorders>
          </w:tcPr>
          <w:bookmarkEnd w:id="0"/>
          <w:p w14:paraId="567EA511" w14:textId="77777777" w:rsidR="004C3CF7" w:rsidRPr="004A3B4A" w:rsidRDefault="004C3CF7" w:rsidP="00483785">
            <w:pPr>
              <w:pStyle w:val="TableText"/>
              <w:rPr>
                <w:rFonts w:cs="Arial"/>
                <w:b/>
                <w:sz w:val="20"/>
                <w:szCs w:val="20"/>
              </w:rPr>
            </w:pPr>
            <w:r w:rsidRPr="004A3B4A">
              <w:rPr>
                <w:rFonts w:cs="Arial"/>
                <w:b/>
                <w:sz w:val="20"/>
                <w:szCs w:val="20"/>
              </w:rPr>
              <w:t>Date:</w:t>
            </w:r>
          </w:p>
        </w:tc>
        <w:tc>
          <w:tcPr>
            <w:tcW w:w="8460" w:type="dxa"/>
            <w:tcBorders>
              <w:top w:val="single" w:sz="12" w:space="0" w:color="auto"/>
              <w:left w:val="nil"/>
              <w:bottom w:val="single" w:sz="2" w:space="0" w:color="auto"/>
              <w:right w:val="nil"/>
            </w:tcBorders>
          </w:tcPr>
          <w:p w14:paraId="538F5657" w14:textId="0E80BCDF" w:rsidR="004C3CF7" w:rsidRPr="004A3B4A" w:rsidRDefault="00BA72DE" w:rsidP="00187AA9">
            <w:pPr>
              <w:pStyle w:val="TableText"/>
              <w:rPr>
                <w:rFonts w:cs="Arial"/>
                <w:sz w:val="20"/>
                <w:szCs w:val="20"/>
              </w:rPr>
            </w:pPr>
            <w:r>
              <w:rPr>
                <w:rFonts w:cs="Arial"/>
                <w:sz w:val="20"/>
                <w:szCs w:val="20"/>
              </w:rPr>
              <w:t>13</w:t>
            </w:r>
            <w:r w:rsidR="00EE49F4" w:rsidRPr="004A3B4A">
              <w:rPr>
                <w:rFonts w:cs="Arial"/>
                <w:sz w:val="20"/>
                <w:szCs w:val="20"/>
              </w:rPr>
              <w:t xml:space="preserve"> </w:t>
            </w:r>
            <w:r>
              <w:rPr>
                <w:rFonts w:cs="Arial"/>
                <w:sz w:val="20"/>
                <w:szCs w:val="20"/>
              </w:rPr>
              <w:t>December</w:t>
            </w:r>
            <w:r w:rsidR="004C3CF7" w:rsidRPr="004A3B4A">
              <w:rPr>
                <w:rFonts w:cs="Arial"/>
                <w:sz w:val="20"/>
                <w:szCs w:val="20"/>
              </w:rPr>
              <w:t xml:space="preserve"> 2019</w:t>
            </w:r>
          </w:p>
        </w:tc>
      </w:tr>
      <w:tr w:rsidR="004C3CF7" w:rsidRPr="004A3B4A" w14:paraId="0B3562A5" w14:textId="77777777" w:rsidTr="004A3B4A">
        <w:trPr>
          <w:cantSplit/>
        </w:trPr>
        <w:tc>
          <w:tcPr>
            <w:tcW w:w="1548" w:type="dxa"/>
            <w:tcBorders>
              <w:top w:val="single" w:sz="12" w:space="0" w:color="auto"/>
              <w:bottom w:val="single" w:sz="2" w:space="0" w:color="auto"/>
              <w:right w:val="nil"/>
            </w:tcBorders>
          </w:tcPr>
          <w:p w14:paraId="642019FF" w14:textId="77777777" w:rsidR="004C3CF7" w:rsidRPr="004A3B4A" w:rsidRDefault="004C3CF7" w:rsidP="00483785">
            <w:pPr>
              <w:pStyle w:val="TableText"/>
              <w:rPr>
                <w:rFonts w:cs="Arial"/>
                <w:b/>
                <w:sz w:val="20"/>
                <w:szCs w:val="20"/>
              </w:rPr>
            </w:pPr>
            <w:r w:rsidRPr="004A3B4A">
              <w:rPr>
                <w:rFonts w:cs="Arial"/>
                <w:b/>
                <w:sz w:val="20"/>
                <w:szCs w:val="20"/>
              </w:rPr>
              <w:t>Time:</w:t>
            </w:r>
          </w:p>
        </w:tc>
        <w:tc>
          <w:tcPr>
            <w:tcW w:w="8460" w:type="dxa"/>
            <w:tcBorders>
              <w:top w:val="single" w:sz="12" w:space="0" w:color="auto"/>
              <w:left w:val="nil"/>
              <w:bottom w:val="single" w:sz="2" w:space="0" w:color="auto"/>
              <w:right w:val="nil"/>
            </w:tcBorders>
          </w:tcPr>
          <w:p w14:paraId="3E923CDB" w14:textId="08D134B4" w:rsidR="004C3CF7" w:rsidRPr="004A3B4A" w:rsidRDefault="00187AA9" w:rsidP="00483785">
            <w:pPr>
              <w:pStyle w:val="TableText"/>
              <w:rPr>
                <w:rFonts w:cs="Arial"/>
                <w:sz w:val="20"/>
                <w:szCs w:val="20"/>
              </w:rPr>
            </w:pPr>
            <w:r w:rsidRPr="004A3B4A">
              <w:rPr>
                <w:rFonts w:cs="Arial"/>
                <w:sz w:val="20"/>
                <w:szCs w:val="20"/>
              </w:rPr>
              <w:t>1</w:t>
            </w:r>
            <w:r w:rsidR="00B8784F">
              <w:rPr>
                <w:rFonts w:cs="Arial"/>
                <w:sz w:val="20"/>
                <w:szCs w:val="20"/>
              </w:rPr>
              <w:t>1</w:t>
            </w:r>
            <w:r w:rsidRPr="004A3B4A">
              <w:rPr>
                <w:rFonts w:cs="Arial"/>
                <w:sz w:val="20"/>
                <w:szCs w:val="20"/>
              </w:rPr>
              <w:t>.00</w:t>
            </w:r>
            <w:r w:rsidR="00373666">
              <w:rPr>
                <w:rFonts w:cs="Arial"/>
                <w:sz w:val="20"/>
                <w:szCs w:val="20"/>
              </w:rPr>
              <w:t>a</w:t>
            </w:r>
            <w:r w:rsidRPr="004A3B4A">
              <w:rPr>
                <w:rFonts w:cs="Arial"/>
                <w:sz w:val="20"/>
                <w:szCs w:val="20"/>
              </w:rPr>
              <w:t>m-</w:t>
            </w:r>
            <w:r w:rsidR="00BA72DE">
              <w:rPr>
                <w:rFonts w:cs="Arial"/>
                <w:sz w:val="20"/>
                <w:szCs w:val="20"/>
              </w:rPr>
              <w:t>1</w:t>
            </w:r>
            <w:r w:rsidRPr="004A3B4A">
              <w:rPr>
                <w:rFonts w:cs="Arial"/>
                <w:sz w:val="20"/>
                <w:szCs w:val="20"/>
              </w:rPr>
              <w:t>2.00p</w:t>
            </w:r>
            <w:r w:rsidR="004C3CF7" w:rsidRPr="004A3B4A">
              <w:rPr>
                <w:rFonts w:cs="Arial"/>
                <w:sz w:val="20"/>
                <w:szCs w:val="20"/>
              </w:rPr>
              <w:t>m</w:t>
            </w:r>
          </w:p>
        </w:tc>
      </w:tr>
      <w:tr w:rsidR="004C3CF7" w:rsidRPr="004A3B4A" w14:paraId="72FF786C" w14:textId="77777777" w:rsidTr="004A3B4A">
        <w:trPr>
          <w:cantSplit/>
        </w:trPr>
        <w:tc>
          <w:tcPr>
            <w:tcW w:w="1548" w:type="dxa"/>
            <w:tcBorders>
              <w:top w:val="single" w:sz="12" w:space="0" w:color="auto"/>
              <w:bottom w:val="single" w:sz="2" w:space="0" w:color="auto"/>
              <w:right w:val="nil"/>
            </w:tcBorders>
          </w:tcPr>
          <w:p w14:paraId="1A16198D" w14:textId="77777777" w:rsidR="004C3CF7" w:rsidRPr="004A3B4A" w:rsidRDefault="004C3CF7" w:rsidP="00483785">
            <w:pPr>
              <w:pStyle w:val="TableText"/>
              <w:rPr>
                <w:rFonts w:cs="Arial"/>
                <w:b/>
                <w:sz w:val="20"/>
                <w:szCs w:val="20"/>
              </w:rPr>
            </w:pPr>
            <w:r w:rsidRPr="004A3B4A">
              <w:rPr>
                <w:rFonts w:cs="Arial"/>
                <w:b/>
                <w:sz w:val="20"/>
                <w:szCs w:val="20"/>
              </w:rPr>
              <w:t>Location:</w:t>
            </w:r>
          </w:p>
        </w:tc>
        <w:tc>
          <w:tcPr>
            <w:tcW w:w="8460" w:type="dxa"/>
            <w:tcBorders>
              <w:top w:val="single" w:sz="12" w:space="0" w:color="auto"/>
              <w:left w:val="nil"/>
              <w:bottom w:val="single" w:sz="2" w:space="0" w:color="auto"/>
              <w:right w:val="nil"/>
            </w:tcBorders>
          </w:tcPr>
          <w:p w14:paraId="5CDF063F" w14:textId="450EC6DB" w:rsidR="004C3CF7" w:rsidRPr="004A3B4A" w:rsidRDefault="00187AA9" w:rsidP="00EE49F4">
            <w:pPr>
              <w:pStyle w:val="TableText"/>
              <w:rPr>
                <w:rFonts w:cs="Arial"/>
                <w:sz w:val="20"/>
                <w:szCs w:val="20"/>
              </w:rPr>
            </w:pPr>
            <w:r w:rsidRPr="004A3B4A">
              <w:rPr>
                <w:rFonts w:cs="Arial"/>
                <w:sz w:val="20"/>
                <w:szCs w:val="20"/>
              </w:rPr>
              <w:t>GN.</w:t>
            </w:r>
            <w:r w:rsidR="00EE49F4" w:rsidRPr="004A3B4A">
              <w:rPr>
                <w:rFonts w:cs="Arial"/>
                <w:sz w:val="20"/>
                <w:szCs w:val="20"/>
              </w:rPr>
              <w:t>9</w:t>
            </w:r>
            <w:r w:rsidR="004C3CF7" w:rsidRPr="004A3B4A">
              <w:rPr>
                <w:rFonts w:cs="Arial"/>
                <w:sz w:val="20"/>
                <w:szCs w:val="20"/>
              </w:rPr>
              <w:t xml:space="preserve"> Ministry of Health, 133 Molesworth Street</w:t>
            </w:r>
            <w:r w:rsidR="00FB44A3">
              <w:rPr>
                <w:rFonts w:cs="Arial"/>
                <w:sz w:val="20"/>
                <w:szCs w:val="20"/>
              </w:rPr>
              <w:t>, Wellington</w:t>
            </w:r>
          </w:p>
        </w:tc>
      </w:tr>
      <w:tr w:rsidR="004C3CF7" w:rsidRPr="004A3B4A" w14:paraId="579E662A" w14:textId="77777777" w:rsidTr="004A3B4A">
        <w:trPr>
          <w:cantSplit/>
        </w:trPr>
        <w:tc>
          <w:tcPr>
            <w:tcW w:w="1548" w:type="dxa"/>
            <w:tcBorders>
              <w:top w:val="single" w:sz="12" w:space="0" w:color="auto"/>
              <w:bottom w:val="single" w:sz="2" w:space="0" w:color="auto"/>
              <w:right w:val="nil"/>
            </w:tcBorders>
          </w:tcPr>
          <w:p w14:paraId="4DBBC9C2" w14:textId="77777777" w:rsidR="004C3CF7" w:rsidRPr="004A3B4A" w:rsidRDefault="004C3CF7" w:rsidP="00483785">
            <w:pPr>
              <w:pStyle w:val="TableText"/>
              <w:rPr>
                <w:rFonts w:cs="Arial"/>
                <w:b/>
                <w:sz w:val="20"/>
                <w:szCs w:val="20"/>
              </w:rPr>
            </w:pPr>
            <w:r w:rsidRPr="004A3B4A">
              <w:rPr>
                <w:rFonts w:cs="Arial"/>
                <w:b/>
                <w:sz w:val="20"/>
                <w:szCs w:val="20"/>
              </w:rPr>
              <w:t>Chair:</w:t>
            </w:r>
          </w:p>
        </w:tc>
        <w:tc>
          <w:tcPr>
            <w:tcW w:w="8460" w:type="dxa"/>
            <w:tcBorders>
              <w:top w:val="single" w:sz="12" w:space="0" w:color="auto"/>
              <w:left w:val="nil"/>
              <w:bottom w:val="single" w:sz="2" w:space="0" w:color="auto"/>
              <w:right w:val="nil"/>
            </w:tcBorders>
          </w:tcPr>
          <w:p w14:paraId="38380180" w14:textId="77135AA0" w:rsidR="004C3CF7" w:rsidRPr="004A3B4A" w:rsidRDefault="004C3CF7" w:rsidP="00483785">
            <w:pPr>
              <w:pStyle w:val="TableText"/>
              <w:rPr>
                <w:rFonts w:cs="Arial"/>
                <w:sz w:val="20"/>
                <w:szCs w:val="20"/>
              </w:rPr>
            </w:pPr>
            <w:r w:rsidRPr="004A3B4A">
              <w:rPr>
                <w:rFonts w:cs="Arial"/>
                <w:sz w:val="20"/>
                <w:szCs w:val="20"/>
              </w:rPr>
              <w:t>Keriana Brooking, Deputy Director-General, H</w:t>
            </w:r>
            <w:r w:rsidR="00FB44A3">
              <w:rPr>
                <w:rFonts w:cs="Arial"/>
                <w:sz w:val="20"/>
                <w:szCs w:val="20"/>
              </w:rPr>
              <w:t>ealth System Improvement and Innovation</w:t>
            </w:r>
          </w:p>
        </w:tc>
      </w:tr>
      <w:tr w:rsidR="004C3CF7" w:rsidRPr="004A3B4A" w14:paraId="0A6DA089" w14:textId="77777777" w:rsidTr="004A3B4A">
        <w:trPr>
          <w:cantSplit/>
        </w:trPr>
        <w:tc>
          <w:tcPr>
            <w:tcW w:w="1548" w:type="dxa"/>
            <w:tcBorders>
              <w:top w:val="single" w:sz="12" w:space="0" w:color="auto"/>
              <w:bottom w:val="single" w:sz="2" w:space="0" w:color="auto"/>
              <w:right w:val="nil"/>
            </w:tcBorders>
          </w:tcPr>
          <w:p w14:paraId="72C22ADA" w14:textId="77777777" w:rsidR="004C3CF7" w:rsidRPr="004A3B4A" w:rsidRDefault="004C3CF7" w:rsidP="00483785">
            <w:pPr>
              <w:pStyle w:val="TableText"/>
              <w:rPr>
                <w:rFonts w:cs="Arial"/>
                <w:b/>
                <w:sz w:val="20"/>
                <w:szCs w:val="20"/>
              </w:rPr>
            </w:pPr>
            <w:r w:rsidRPr="004A3B4A">
              <w:rPr>
                <w:rFonts w:cs="Arial"/>
                <w:b/>
                <w:sz w:val="20"/>
                <w:szCs w:val="20"/>
              </w:rPr>
              <w:t>Attendees:</w:t>
            </w:r>
          </w:p>
        </w:tc>
        <w:tc>
          <w:tcPr>
            <w:tcW w:w="8460" w:type="dxa"/>
            <w:tcBorders>
              <w:top w:val="single" w:sz="12" w:space="0" w:color="auto"/>
              <w:left w:val="nil"/>
              <w:bottom w:val="single" w:sz="2" w:space="0" w:color="auto"/>
              <w:right w:val="nil"/>
            </w:tcBorders>
          </w:tcPr>
          <w:p w14:paraId="1DF2E5FB" w14:textId="7E927BEE" w:rsidR="004C3CF7" w:rsidRPr="004A3B4A" w:rsidRDefault="004C7F24" w:rsidP="004C7F24">
            <w:pPr>
              <w:pStyle w:val="TableText"/>
              <w:rPr>
                <w:rFonts w:cs="Arial"/>
                <w:sz w:val="20"/>
                <w:szCs w:val="20"/>
              </w:rPr>
            </w:pPr>
            <w:r w:rsidRPr="004A3B4A">
              <w:rPr>
                <w:rFonts w:cs="Arial"/>
                <w:sz w:val="20"/>
                <w:szCs w:val="20"/>
              </w:rPr>
              <w:t>Chief Advisor</w:t>
            </w:r>
            <w:r w:rsidR="004A3B4A" w:rsidRPr="004A3B4A">
              <w:rPr>
                <w:rFonts w:cs="Arial"/>
                <w:sz w:val="20"/>
                <w:szCs w:val="20"/>
              </w:rPr>
              <w:t>, Pharmacy, Ministry of Health</w:t>
            </w:r>
            <w:r w:rsidR="006933D9">
              <w:rPr>
                <w:rFonts w:cs="Arial"/>
                <w:sz w:val="20"/>
                <w:szCs w:val="20"/>
              </w:rPr>
              <w:br/>
              <w:t>Deputy Director-General, Māori Health, Ministry of Health</w:t>
            </w:r>
            <w:r w:rsidR="004A3B4A" w:rsidRPr="004A3B4A">
              <w:rPr>
                <w:rFonts w:cs="Arial"/>
                <w:sz w:val="20"/>
                <w:szCs w:val="20"/>
              </w:rPr>
              <w:br/>
              <w:t>D</w:t>
            </w:r>
            <w:r w:rsidR="006933D9">
              <w:rPr>
                <w:rFonts w:cs="Arial"/>
                <w:sz w:val="20"/>
                <w:szCs w:val="20"/>
              </w:rPr>
              <w:t>eputy Director-General</w:t>
            </w:r>
            <w:r w:rsidRPr="004A3B4A">
              <w:rPr>
                <w:rFonts w:cs="Arial"/>
                <w:sz w:val="20"/>
                <w:szCs w:val="20"/>
              </w:rPr>
              <w:t>, Disability, Ministry of Health</w:t>
            </w:r>
            <w:r w:rsidR="006933D9">
              <w:rPr>
                <w:rFonts w:cs="Arial"/>
                <w:sz w:val="20"/>
                <w:szCs w:val="20"/>
              </w:rPr>
              <w:br/>
            </w:r>
            <w:r w:rsidR="006933D9" w:rsidRPr="004A3B4A">
              <w:rPr>
                <w:rFonts w:cs="Arial"/>
                <w:sz w:val="20"/>
                <w:szCs w:val="20"/>
              </w:rPr>
              <w:t>Group Manager, Strategy and Policy, Ministry of Health</w:t>
            </w:r>
            <w:r w:rsidRPr="004A3B4A">
              <w:rPr>
                <w:rFonts w:cs="Arial"/>
                <w:sz w:val="20"/>
                <w:szCs w:val="20"/>
              </w:rPr>
              <w:br/>
              <w:t>Manager, DHB Performance, Support and Infrastructure, Ministry of Health</w:t>
            </w:r>
            <w:r w:rsidR="006933D9">
              <w:rPr>
                <w:rFonts w:cs="Arial"/>
                <w:sz w:val="20"/>
                <w:szCs w:val="20"/>
              </w:rPr>
              <w:br/>
              <w:t>Principal Clinical Advisor</w:t>
            </w:r>
            <w:r w:rsidR="006933D9" w:rsidRPr="004A3B4A">
              <w:rPr>
                <w:rFonts w:cs="Arial"/>
                <w:sz w:val="20"/>
                <w:szCs w:val="20"/>
              </w:rPr>
              <w:t>, Mental Health and Addiction, Ministry of Health</w:t>
            </w:r>
            <w:r w:rsidR="00B276D1">
              <w:rPr>
                <w:rFonts w:cs="Arial"/>
                <w:sz w:val="20"/>
                <w:szCs w:val="20"/>
              </w:rPr>
              <w:br/>
              <w:t>Te Apārangi: Māori Alliance Standards Review</w:t>
            </w:r>
            <w:r w:rsidRPr="004A3B4A">
              <w:rPr>
                <w:rFonts w:cs="Arial"/>
                <w:sz w:val="20"/>
                <w:szCs w:val="20"/>
              </w:rPr>
              <w:br/>
              <w:t>Standards New Zealand, Ministry of Business Innovation &amp; Employment</w:t>
            </w:r>
            <w:r w:rsidR="00725D0A">
              <w:rPr>
                <w:rFonts w:cs="Arial"/>
                <w:sz w:val="20"/>
                <w:szCs w:val="20"/>
              </w:rPr>
              <w:br/>
              <w:t xml:space="preserve">Group Manager, Quality Assurance </w:t>
            </w:r>
            <w:r w:rsidR="00FB44A3">
              <w:rPr>
                <w:rFonts w:cs="Arial"/>
                <w:sz w:val="20"/>
                <w:szCs w:val="20"/>
              </w:rPr>
              <w:t>and</w:t>
            </w:r>
            <w:r w:rsidR="00725D0A">
              <w:rPr>
                <w:rFonts w:cs="Arial"/>
                <w:sz w:val="20"/>
                <w:szCs w:val="20"/>
              </w:rPr>
              <w:t xml:space="preserve"> Safety</w:t>
            </w:r>
            <w:r w:rsidRPr="004A3B4A">
              <w:rPr>
                <w:rFonts w:cs="Arial"/>
                <w:sz w:val="20"/>
                <w:szCs w:val="20"/>
              </w:rPr>
              <w:br/>
              <w:t>Principal Advisor, HealthCERT, Ministry of Health</w:t>
            </w:r>
            <w:r w:rsidR="00F96A1A" w:rsidRPr="004A3B4A">
              <w:rPr>
                <w:rFonts w:cs="Arial"/>
                <w:sz w:val="20"/>
                <w:szCs w:val="20"/>
              </w:rPr>
              <w:br/>
              <w:t>Specialist Advisor, Māori, HealthCERT, Ministry of Health (contractor)</w:t>
            </w:r>
            <w:r w:rsidRPr="004A3B4A">
              <w:rPr>
                <w:rFonts w:cs="Arial"/>
                <w:sz w:val="20"/>
                <w:szCs w:val="20"/>
              </w:rPr>
              <w:br/>
              <w:t>Project Manager, HealthCERT, Ministry of Health (minutes)</w:t>
            </w:r>
          </w:p>
        </w:tc>
      </w:tr>
      <w:tr w:rsidR="004C3CF7" w:rsidRPr="004A3B4A" w14:paraId="30B8DF71" w14:textId="77777777" w:rsidTr="004A3B4A">
        <w:trPr>
          <w:cantSplit/>
        </w:trPr>
        <w:tc>
          <w:tcPr>
            <w:tcW w:w="1548" w:type="dxa"/>
            <w:tcBorders>
              <w:top w:val="single" w:sz="12" w:space="0" w:color="auto"/>
              <w:bottom w:val="single" w:sz="2" w:space="0" w:color="auto"/>
              <w:right w:val="nil"/>
            </w:tcBorders>
          </w:tcPr>
          <w:p w14:paraId="2AB44CC9" w14:textId="77777777" w:rsidR="004C3CF7" w:rsidRPr="004A3B4A" w:rsidRDefault="004C3CF7" w:rsidP="00483785">
            <w:pPr>
              <w:pStyle w:val="TableText"/>
              <w:rPr>
                <w:rFonts w:cs="Arial"/>
                <w:b/>
                <w:sz w:val="20"/>
                <w:szCs w:val="20"/>
              </w:rPr>
            </w:pPr>
            <w:r w:rsidRPr="004A3B4A">
              <w:rPr>
                <w:rFonts w:cs="Arial"/>
                <w:b/>
                <w:sz w:val="20"/>
                <w:szCs w:val="20"/>
              </w:rPr>
              <w:t>Apologies:</w:t>
            </w:r>
          </w:p>
        </w:tc>
        <w:tc>
          <w:tcPr>
            <w:tcW w:w="8460" w:type="dxa"/>
            <w:tcBorders>
              <w:top w:val="single" w:sz="12" w:space="0" w:color="auto"/>
              <w:left w:val="nil"/>
              <w:bottom w:val="single" w:sz="2" w:space="0" w:color="auto"/>
              <w:right w:val="nil"/>
            </w:tcBorders>
          </w:tcPr>
          <w:p w14:paraId="61F28A84" w14:textId="54A95E3C" w:rsidR="004C7F24" w:rsidRPr="004A3B4A" w:rsidRDefault="006933D9" w:rsidP="00EE49F4">
            <w:pPr>
              <w:pStyle w:val="TableText"/>
              <w:rPr>
                <w:rFonts w:cs="Arial"/>
                <w:sz w:val="20"/>
                <w:szCs w:val="20"/>
              </w:rPr>
            </w:pPr>
            <w:r w:rsidRPr="004A3B4A">
              <w:rPr>
                <w:rFonts w:cs="Arial"/>
                <w:sz w:val="20"/>
                <w:szCs w:val="20"/>
              </w:rPr>
              <w:t>Māori Consumer Representative</w:t>
            </w:r>
          </w:p>
        </w:tc>
      </w:tr>
    </w:tbl>
    <w:p w14:paraId="7E66C7E9" w14:textId="77777777" w:rsidR="004C3CF7" w:rsidRPr="004A3B4A" w:rsidRDefault="004C3CF7" w:rsidP="004C3CF7"/>
    <w:tbl>
      <w:tblPr>
        <w:tblStyle w:val="TableGrid"/>
        <w:tblW w:w="5000" w:type="pct"/>
        <w:tblLayout w:type="fixed"/>
        <w:tblLook w:val="01E0" w:firstRow="1" w:lastRow="1" w:firstColumn="1" w:lastColumn="1" w:noHBand="0" w:noVBand="0"/>
      </w:tblPr>
      <w:tblGrid>
        <w:gridCol w:w="704"/>
        <w:gridCol w:w="9209"/>
      </w:tblGrid>
      <w:tr w:rsidR="004C7F24" w:rsidRPr="005C432E" w14:paraId="428C41DC" w14:textId="77777777" w:rsidTr="009F123F">
        <w:tc>
          <w:tcPr>
            <w:tcW w:w="355" w:type="pct"/>
          </w:tcPr>
          <w:p w14:paraId="703F7260" w14:textId="428B324C" w:rsidR="004C7F24" w:rsidRPr="009F123F" w:rsidRDefault="004C7F24" w:rsidP="00483785">
            <w:pPr>
              <w:tabs>
                <w:tab w:val="right" w:leader="underscore" w:pos="5670"/>
                <w:tab w:val="left" w:pos="6237"/>
              </w:tabs>
              <w:spacing w:before="40" w:after="80"/>
              <w:rPr>
                <w:rFonts w:cs="Arial"/>
                <w:b/>
                <w:sz w:val="22"/>
                <w:szCs w:val="22"/>
              </w:rPr>
            </w:pPr>
            <w:r w:rsidRPr="009F123F">
              <w:rPr>
                <w:rFonts w:cs="Arial"/>
                <w:b/>
                <w:sz w:val="22"/>
                <w:szCs w:val="22"/>
              </w:rPr>
              <w:t>Item</w:t>
            </w:r>
          </w:p>
        </w:tc>
        <w:tc>
          <w:tcPr>
            <w:tcW w:w="4645" w:type="pct"/>
          </w:tcPr>
          <w:p w14:paraId="22959C4A" w14:textId="5B3D2ED2" w:rsidR="004C7F24" w:rsidRPr="009F123F" w:rsidRDefault="004C7F24" w:rsidP="00483785">
            <w:pPr>
              <w:tabs>
                <w:tab w:val="right" w:leader="underscore" w:pos="5670"/>
                <w:tab w:val="left" w:pos="6237"/>
              </w:tabs>
              <w:spacing w:before="40" w:after="80"/>
              <w:rPr>
                <w:sz w:val="22"/>
                <w:szCs w:val="22"/>
              </w:rPr>
            </w:pPr>
            <w:r w:rsidRPr="009F123F">
              <w:rPr>
                <w:rFonts w:cs="Arial"/>
                <w:b/>
                <w:sz w:val="22"/>
                <w:szCs w:val="22"/>
              </w:rPr>
              <w:t>Notes</w:t>
            </w:r>
          </w:p>
        </w:tc>
      </w:tr>
      <w:tr w:rsidR="004C7F24" w:rsidRPr="004C7F24" w14:paraId="4E392D7C" w14:textId="77777777" w:rsidTr="009F123F">
        <w:tc>
          <w:tcPr>
            <w:tcW w:w="355" w:type="pct"/>
          </w:tcPr>
          <w:p w14:paraId="0A6D5880" w14:textId="77777777" w:rsidR="004C7F24" w:rsidRPr="004C7F24" w:rsidRDefault="004C7F24" w:rsidP="009F123F">
            <w:pPr>
              <w:tabs>
                <w:tab w:val="right" w:leader="underscore" w:pos="5670"/>
                <w:tab w:val="left" w:pos="6237"/>
              </w:tabs>
              <w:spacing w:before="120" w:after="80"/>
              <w:rPr>
                <w:sz w:val="22"/>
                <w:szCs w:val="22"/>
              </w:rPr>
            </w:pPr>
          </w:p>
        </w:tc>
        <w:tc>
          <w:tcPr>
            <w:tcW w:w="4645" w:type="pct"/>
          </w:tcPr>
          <w:p w14:paraId="4E550D93" w14:textId="471F4013" w:rsidR="004C7F24" w:rsidRPr="004C7F24" w:rsidRDefault="004C7F24" w:rsidP="009F123F">
            <w:pPr>
              <w:tabs>
                <w:tab w:val="right" w:leader="underscore" w:pos="5670"/>
                <w:tab w:val="left" w:pos="6237"/>
              </w:tabs>
              <w:spacing w:before="120" w:after="80"/>
              <w:rPr>
                <w:sz w:val="22"/>
                <w:szCs w:val="22"/>
              </w:rPr>
            </w:pPr>
            <w:r>
              <w:rPr>
                <w:sz w:val="22"/>
                <w:szCs w:val="22"/>
              </w:rPr>
              <w:t>The Chair opened the meeting at 1</w:t>
            </w:r>
            <w:r w:rsidR="00BA72DE">
              <w:rPr>
                <w:sz w:val="22"/>
                <w:szCs w:val="22"/>
              </w:rPr>
              <w:t>1</w:t>
            </w:r>
            <w:r>
              <w:rPr>
                <w:sz w:val="22"/>
                <w:szCs w:val="22"/>
              </w:rPr>
              <w:t>.00</w:t>
            </w:r>
            <w:r w:rsidR="00BA72DE">
              <w:rPr>
                <w:sz w:val="22"/>
                <w:szCs w:val="22"/>
              </w:rPr>
              <w:t>a</w:t>
            </w:r>
            <w:r>
              <w:rPr>
                <w:sz w:val="22"/>
                <w:szCs w:val="22"/>
              </w:rPr>
              <w:t>m</w:t>
            </w:r>
            <w:r w:rsidR="004A3B4A">
              <w:rPr>
                <w:sz w:val="22"/>
                <w:szCs w:val="22"/>
              </w:rPr>
              <w:t>.</w:t>
            </w:r>
          </w:p>
        </w:tc>
      </w:tr>
      <w:tr w:rsidR="004C7F24" w:rsidRPr="004C7F24" w14:paraId="1BED09AE" w14:textId="77777777" w:rsidTr="009F123F">
        <w:tc>
          <w:tcPr>
            <w:tcW w:w="355" w:type="pct"/>
          </w:tcPr>
          <w:p w14:paraId="4427302C" w14:textId="47135996" w:rsidR="004C7F24" w:rsidRPr="004C7F24" w:rsidRDefault="004C7F24" w:rsidP="009F123F">
            <w:pPr>
              <w:tabs>
                <w:tab w:val="right" w:leader="underscore" w:pos="5670"/>
                <w:tab w:val="left" w:pos="6237"/>
              </w:tabs>
              <w:spacing w:before="120" w:after="80"/>
              <w:rPr>
                <w:sz w:val="22"/>
                <w:szCs w:val="22"/>
              </w:rPr>
            </w:pPr>
            <w:r w:rsidRPr="004C7F24">
              <w:rPr>
                <w:sz w:val="22"/>
                <w:szCs w:val="22"/>
              </w:rPr>
              <w:t>1</w:t>
            </w:r>
          </w:p>
        </w:tc>
        <w:tc>
          <w:tcPr>
            <w:tcW w:w="4645" w:type="pct"/>
          </w:tcPr>
          <w:p w14:paraId="37EC27AD" w14:textId="31A3C5A4" w:rsidR="004C7F24" w:rsidRPr="009F123F" w:rsidRDefault="004C7F24" w:rsidP="009F123F">
            <w:pPr>
              <w:tabs>
                <w:tab w:val="right" w:leader="underscore" w:pos="5670"/>
                <w:tab w:val="left" w:pos="6237"/>
              </w:tabs>
              <w:spacing w:before="120" w:after="80"/>
              <w:rPr>
                <w:b/>
                <w:sz w:val="22"/>
                <w:szCs w:val="22"/>
              </w:rPr>
            </w:pPr>
            <w:r w:rsidRPr="009F123F">
              <w:rPr>
                <w:b/>
                <w:sz w:val="22"/>
                <w:szCs w:val="22"/>
              </w:rPr>
              <w:t>Welcome</w:t>
            </w:r>
          </w:p>
          <w:p w14:paraId="79BAF9C7" w14:textId="688E93F5" w:rsidR="004C7F24" w:rsidRPr="004C7F24" w:rsidRDefault="004C7F24" w:rsidP="009F123F">
            <w:pPr>
              <w:tabs>
                <w:tab w:val="right" w:leader="underscore" w:pos="5670"/>
                <w:tab w:val="left" w:pos="6237"/>
              </w:tabs>
              <w:spacing w:before="120" w:after="80"/>
              <w:rPr>
                <w:sz w:val="22"/>
                <w:szCs w:val="22"/>
              </w:rPr>
            </w:pPr>
            <w:r>
              <w:rPr>
                <w:sz w:val="22"/>
                <w:szCs w:val="22"/>
              </w:rPr>
              <w:t xml:space="preserve">The Chair welcomed the Governance Group (the Group) to their </w:t>
            </w:r>
            <w:r w:rsidR="00AF3E7C">
              <w:rPr>
                <w:sz w:val="22"/>
                <w:szCs w:val="22"/>
              </w:rPr>
              <w:t>third</w:t>
            </w:r>
            <w:r>
              <w:rPr>
                <w:sz w:val="22"/>
                <w:szCs w:val="22"/>
              </w:rPr>
              <w:t xml:space="preserve"> meeting</w:t>
            </w:r>
            <w:r w:rsidR="00B276D1">
              <w:rPr>
                <w:sz w:val="22"/>
                <w:szCs w:val="22"/>
              </w:rPr>
              <w:t xml:space="preserve"> and welcomed Te Apārangi representative to their first meeting. </w:t>
            </w:r>
          </w:p>
        </w:tc>
      </w:tr>
      <w:tr w:rsidR="00161A80" w:rsidRPr="004C7F24" w14:paraId="34A9E769" w14:textId="77777777" w:rsidTr="009F123F">
        <w:tc>
          <w:tcPr>
            <w:tcW w:w="355" w:type="pct"/>
          </w:tcPr>
          <w:p w14:paraId="741CAC78" w14:textId="751F8002" w:rsidR="00161A80" w:rsidRPr="004C7F24" w:rsidRDefault="00161A80" w:rsidP="009F123F">
            <w:pPr>
              <w:tabs>
                <w:tab w:val="right" w:leader="underscore" w:pos="5670"/>
                <w:tab w:val="left" w:pos="6237"/>
              </w:tabs>
              <w:spacing w:before="120" w:after="80"/>
              <w:rPr>
                <w:sz w:val="22"/>
                <w:szCs w:val="22"/>
              </w:rPr>
            </w:pPr>
            <w:r>
              <w:rPr>
                <w:sz w:val="22"/>
                <w:szCs w:val="22"/>
              </w:rPr>
              <w:t>2</w:t>
            </w:r>
          </w:p>
        </w:tc>
        <w:tc>
          <w:tcPr>
            <w:tcW w:w="4645" w:type="pct"/>
          </w:tcPr>
          <w:p w14:paraId="33F21DBA" w14:textId="523C0ECF" w:rsidR="00161A80" w:rsidRPr="009F123F" w:rsidRDefault="00161A80" w:rsidP="009F123F">
            <w:pPr>
              <w:tabs>
                <w:tab w:val="right" w:leader="underscore" w:pos="5670"/>
                <w:tab w:val="left" w:pos="6237"/>
              </w:tabs>
              <w:spacing w:before="120" w:after="80"/>
              <w:rPr>
                <w:b/>
                <w:sz w:val="22"/>
                <w:szCs w:val="22"/>
              </w:rPr>
            </w:pPr>
            <w:r w:rsidRPr="009F123F">
              <w:rPr>
                <w:b/>
                <w:sz w:val="22"/>
                <w:szCs w:val="22"/>
              </w:rPr>
              <w:t>Actions of the previous meeting</w:t>
            </w:r>
            <w:r w:rsidR="00BA72DE">
              <w:rPr>
                <w:b/>
                <w:sz w:val="22"/>
                <w:szCs w:val="22"/>
              </w:rPr>
              <w:t xml:space="preserve"> and risk register update</w:t>
            </w:r>
          </w:p>
          <w:p w14:paraId="0B116059" w14:textId="54DBDB9D" w:rsidR="00BA72DE" w:rsidRPr="00161A80" w:rsidRDefault="00161A80" w:rsidP="009F123F">
            <w:pPr>
              <w:tabs>
                <w:tab w:val="right" w:leader="underscore" w:pos="5670"/>
                <w:tab w:val="left" w:pos="6237"/>
              </w:tabs>
              <w:spacing w:before="120" w:after="80"/>
              <w:rPr>
                <w:sz w:val="22"/>
                <w:szCs w:val="22"/>
              </w:rPr>
            </w:pPr>
            <w:r>
              <w:rPr>
                <w:sz w:val="22"/>
                <w:szCs w:val="22"/>
              </w:rPr>
              <w:t xml:space="preserve">The actions were noted as complete. </w:t>
            </w:r>
            <w:r w:rsidR="00BA72DE">
              <w:rPr>
                <w:sz w:val="22"/>
                <w:szCs w:val="22"/>
              </w:rPr>
              <w:t xml:space="preserve">The risk register was reviewed. The changes made by the project team were </w:t>
            </w:r>
            <w:r w:rsidR="00B276D1">
              <w:rPr>
                <w:sz w:val="22"/>
                <w:szCs w:val="22"/>
              </w:rPr>
              <w:t>noted and approved</w:t>
            </w:r>
            <w:r w:rsidR="00BA72DE">
              <w:rPr>
                <w:sz w:val="22"/>
                <w:szCs w:val="22"/>
              </w:rPr>
              <w:t xml:space="preserve"> by the Group. </w:t>
            </w:r>
          </w:p>
        </w:tc>
      </w:tr>
      <w:tr w:rsidR="004C7F24" w:rsidRPr="004C7F24" w14:paraId="2B21C510" w14:textId="77777777" w:rsidTr="009F123F">
        <w:tc>
          <w:tcPr>
            <w:tcW w:w="355" w:type="pct"/>
          </w:tcPr>
          <w:p w14:paraId="14C7125F" w14:textId="761A2AE7" w:rsidR="004C7F24" w:rsidRPr="004C7F24" w:rsidRDefault="00161A80" w:rsidP="009F123F">
            <w:pPr>
              <w:tabs>
                <w:tab w:val="right" w:leader="underscore" w:pos="5670"/>
                <w:tab w:val="left" w:pos="6237"/>
              </w:tabs>
              <w:spacing w:before="120" w:after="80"/>
              <w:rPr>
                <w:sz w:val="22"/>
                <w:szCs w:val="22"/>
              </w:rPr>
            </w:pPr>
            <w:r>
              <w:rPr>
                <w:sz w:val="22"/>
                <w:szCs w:val="22"/>
              </w:rPr>
              <w:t>3</w:t>
            </w:r>
          </w:p>
        </w:tc>
        <w:tc>
          <w:tcPr>
            <w:tcW w:w="4645" w:type="pct"/>
          </w:tcPr>
          <w:p w14:paraId="6ACFA014" w14:textId="23A29453" w:rsidR="00161A80" w:rsidRPr="009F123F" w:rsidRDefault="00BA72DE" w:rsidP="009F123F">
            <w:pPr>
              <w:tabs>
                <w:tab w:val="right" w:leader="underscore" w:pos="5670"/>
                <w:tab w:val="left" w:pos="6237"/>
              </w:tabs>
              <w:spacing w:before="120" w:after="80"/>
              <w:rPr>
                <w:b/>
                <w:sz w:val="22"/>
                <w:szCs w:val="22"/>
              </w:rPr>
            </w:pPr>
            <w:r>
              <w:rPr>
                <w:b/>
                <w:sz w:val="22"/>
                <w:szCs w:val="22"/>
              </w:rPr>
              <w:t>Te Apārangi update</w:t>
            </w:r>
          </w:p>
          <w:p w14:paraId="53F59938" w14:textId="549BB0AE" w:rsidR="00353EBC" w:rsidRDefault="00813768" w:rsidP="009F123F">
            <w:pPr>
              <w:tabs>
                <w:tab w:val="right" w:leader="underscore" w:pos="5670"/>
                <w:tab w:val="left" w:pos="6237"/>
              </w:tabs>
              <w:spacing w:before="120" w:after="80"/>
              <w:rPr>
                <w:sz w:val="22"/>
                <w:szCs w:val="22"/>
              </w:rPr>
            </w:pPr>
            <w:r>
              <w:rPr>
                <w:sz w:val="22"/>
                <w:szCs w:val="22"/>
              </w:rPr>
              <w:t>An analysis of Māori participation in working groups to</w:t>
            </w:r>
            <w:r w:rsidR="00FB44A3">
              <w:rPr>
                <w:sz w:val="22"/>
                <w:szCs w:val="22"/>
              </w:rPr>
              <w:t xml:space="preserve"> </w:t>
            </w:r>
            <w:r>
              <w:rPr>
                <w:sz w:val="22"/>
                <w:szCs w:val="22"/>
              </w:rPr>
              <w:t xml:space="preserve">date highlighted </w:t>
            </w:r>
            <w:r w:rsidR="002376A2">
              <w:rPr>
                <w:sz w:val="22"/>
                <w:szCs w:val="22"/>
              </w:rPr>
              <w:t>the</w:t>
            </w:r>
            <w:r>
              <w:rPr>
                <w:sz w:val="22"/>
                <w:szCs w:val="22"/>
              </w:rPr>
              <w:t xml:space="preserve"> need to define an alternative pathway to </w:t>
            </w:r>
            <w:r w:rsidR="002376A2">
              <w:rPr>
                <w:sz w:val="22"/>
                <w:szCs w:val="22"/>
              </w:rPr>
              <w:t>elevate</w:t>
            </w:r>
            <w:r>
              <w:rPr>
                <w:sz w:val="22"/>
                <w:szCs w:val="22"/>
              </w:rPr>
              <w:t xml:space="preserve"> Māori </w:t>
            </w:r>
            <w:r w:rsidR="007F6CED">
              <w:rPr>
                <w:sz w:val="22"/>
                <w:szCs w:val="22"/>
              </w:rPr>
              <w:t xml:space="preserve">involvement in the review. </w:t>
            </w:r>
          </w:p>
          <w:p w14:paraId="01712277" w14:textId="7C47125C" w:rsidR="00353EBC" w:rsidRDefault="00353EBC" w:rsidP="009F123F">
            <w:pPr>
              <w:tabs>
                <w:tab w:val="right" w:leader="underscore" w:pos="5670"/>
                <w:tab w:val="left" w:pos="6237"/>
              </w:tabs>
              <w:spacing w:before="120" w:after="80"/>
              <w:rPr>
                <w:sz w:val="22"/>
                <w:szCs w:val="22"/>
              </w:rPr>
            </w:pPr>
            <w:r>
              <w:rPr>
                <w:sz w:val="22"/>
                <w:szCs w:val="22"/>
              </w:rPr>
              <w:t xml:space="preserve">To address this need, </w:t>
            </w:r>
            <w:r w:rsidR="007F6CED">
              <w:rPr>
                <w:sz w:val="22"/>
                <w:szCs w:val="22"/>
              </w:rPr>
              <w:t>Te Apārangi was established</w:t>
            </w:r>
            <w:r>
              <w:rPr>
                <w:sz w:val="22"/>
                <w:szCs w:val="22"/>
              </w:rPr>
              <w:t>. Membership i</w:t>
            </w:r>
            <w:r w:rsidR="007F6CED">
              <w:rPr>
                <w:sz w:val="22"/>
                <w:szCs w:val="22"/>
              </w:rPr>
              <w:t>ncludes representation from across the health and disability secto</w:t>
            </w:r>
            <w:r>
              <w:rPr>
                <w:sz w:val="22"/>
                <w:szCs w:val="22"/>
              </w:rPr>
              <w:t>r</w:t>
            </w:r>
            <w:r w:rsidR="007F6CED">
              <w:rPr>
                <w:sz w:val="22"/>
                <w:szCs w:val="22"/>
              </w:rPr>
              <w:t xml:space="preserve">. </w:t>
            </w:r>
            <w:r>
              <w:rPr>
                <w:sz w:val="22"/>
                <w:szCs w:val="22"/>
              </w:rPr>
              <w:t xml:space="preserve">Te Apārangi is represented on both the Governance Group and the Operative Alliance. </w:t>
            </w:r>
          </w:p>
          <w:p w14:paraId="2ECAE735" w14:textId="59753B4F" w:rsidR="00161A80" w:rsidRDefault="007F6CED" w:rsidP="009F123F">
            <w:pPr>
              <w:tabs>
                <w:tab w:val="right" w:leader="underscore" w:pos="5670"/>
                <w:tab w:val="left" w:pos="6237"/>
              </w:tabs>
              <w:spacing w:before="120" w:after="80"/>
              <w:rPr>
                <w:sz w:val="22"/>
                <w:szCs w:val="22"/>
              </w:rPr>
            </w:pPr>
            <w:r>
              <w:rPr>
                <w:sz w:val="22"/>
                <w:szCs w:val="22"/>
              </w:rPr>
              <w:t xml:space="preserve">Te Apārangi has been tasked with updating and/or amending Standard 1.4: </w:t>
            </w:r>
            <w:r>
              <w:rPr>
                <w:i/>
                <w:sz w:val="22"/>
                <w:szCs w:val="22"/>
              </w:rPr>
              <w:t>Recognition of Māori values and beliefs</w:t>
            </w:r>
            <w:r>
              <w:rPr>
                <w:sz w:val="22"/>
                <w:szCs w:val="22"/>
              </w:rPr>
              <w:t xml:space="preserve"> and strengthening Māori health throughout guidance and criteria of the amended standards.</w:t>
            </w:r>
            <w:r w:rsidR="00353EBC">
              <w:rPr>
                <w:sz w:val="22"/>
                <w:szCs w:val="22"/>
              </w:rPr>
              <w:t xml:space="preserve"> </w:t>
            </w:r>
            <w:r>
              <w:rPr>
                <w:sz w:val="22"/>
                <w:szCs w:val="22"/>
              </w:rPr>
              <w:t xml:space="preserve"> </w:t>
            </w:r>
          </w:p>
          <w:p w14:paraId="234F55DF" w14:textId="179804C3" w:rsidR="007F6CED" w:rsidRPr="004C7F24" w:rsidRDefault="007F6CED" w:rsidP="009F123F">
            <w:pPr>
              <w:tabs>
                <w:tab w:val="right" w:leader="underscore" w:pos="5670"/>
                <w:tab w:val="left" w:pos="6237"/>
              </w:tabs>
              <w:spacing w:before="120" w:after="80"/>
              <w:rPr>
                <w:sz w:val="22"/>
                <w:szCs w:val="22"/>
              </w:rPr>
            </w:pPr>
            <w:r>
              <w:rPr>
                <w:sz w:val="22"/>
                <w:szCs w:val="22"/>
              </w:rPr>
              <w:t xml:space="preserve">Te Apārangi has met three times and plans to sign-off on the amended Standard 1.4 by the end of December 2020. </w:t>
            </w:r>
          </w:p>
        </w:tc>
      </w:tr>
      <w:tr w:rsidR="004C7F24" w:rsidRPr="004C7F24" w14:paraId="3DB8087D" w14:textId="77777777" w:rsidTr="009F123F">
        <w:tc>
          <w:tcPr>
            <w:tcW w:w="355" w:type="pct"/>
          </w:tcPr>
          <w:p w14:paraId="2B1244D1" w14:textId="19C6C8C5" w:rsidR="004C7F24" w:rsidRPr="004C7F24" w:rsidRDefault="00161A80" w:rsidP="009F123F">
            <w:pPr>
              <w:tabs>
                <w:tab w:val="right" w:leader="underscore" w:pos="5670"/>
                <w:tab w:val="left" w:pos="6237"/>
              </w:tabs>
              <w:spacing w:before="120" w:after="80"/>
              <w:rPr>
                <w:sz w:val="22"/>
                <w:szCs w:val="22"/>
              </w:rPr>
            </w:pPr>
            <w:r>
              <w:rPr>
                <w:sz w:val="22"/>
                <w:szCs w:val="22"/>
              </w:rPr>
              <w:t>4</w:t>
            </w:r>
          </w:p>
        </w:tc>
        <w:tc>
          <w:tcPr>
            <w:tcW w:w="4645" w:type="pct"/>
          </w:tcPr>
          <w:p w14:paraId="3D366333" w14:textId="0BE59C87" w:rsidR="004C7F24" w:rsidRPr="009F123F" w:rsidRDefault="00353EBC" w:rsidP="009F123F">
            <w:pPr>
              <w:tabs>
                <w:tab w:val="right" w:leader="underscore" w:pos="5670"/>
                <w:tab w:val="left" w:pos="6237"/>
              </w:tabs>
              <w:spacing w:before="120" w:after="80"/>
              <w:rPr>
                <w:b/>
                <w:sz w:val="22"/>
                <w:szCs w:val="22"/>
              </w:rPr>
            </w:pPr>
            <w:r>
              <w:rPr>
                <w:b/>
                <w:sz w:val="22"/>
                <w:szCs w:val="22"/>
              </w:rPr>
              <w:t>Draft Amended Standards Update</w:t>
            </w:r>
          </w:p>
          <w:p w14:paraId="53A90000" w14:textId="3EE53497" w:rsidR="00606E7D" w:rsidRDefault="00353EBC" w:rsidP="00F4105B">
            <w:pPr>
              <w:tabs>
                <w:tab w:val="right" w:leader="underscore" w:pos="5670"/>
                <w:tab w:val="left" w:pos="6237"/>
              </w:tabs>
              <w:spacing w:before="120" w:after="80"/>
              <w:rPr>
                <w:sz w:val="22"/>
                <w:szCs w:val="22"/>
              </w:rPr>
            </w:pPr>
            <w:r>
              <w:rPr>
                <w:sz w:val="22"/>
                <w:szCs w:val="22"/>
              </w:rPr>
              <w:t xml:space="preserve">Five overarching working groups </w:t>
            </w:r>
            <w:r w:rsidR="008059DA">
              <w:rPr>
                <w:sz w:val="22"/>
                <w:szCs w:val="22"/>
              </w:rPr>
              <w:t xml:space="preserve">were established to develop standards which would apply to all health and disability services: </w:t>
            </w:r>
          </w:p>
          <w:p w14:paraId="4831FF28" w14:textId="77777777" w:rsidR="00353EBC" w:rsidRDefault="00353EBC" w:rsidP="00353EBC">
            <w:pPr>
              <w:pStyle w:val="ListParagraph"/>
              <w:numPr>
                <w:ilvl w:val="0"/>
                <w:numId w:val="16"/>
              </w:numPr>
              <w:tabs>
                <w:tab w:val="right" w:leader="underscore" w:pos="5670"/>
                <w:tab w:val="left" w:pos="6237"/>
              </w:tabs>
              <w:spacing w:before="120" w:after="80"/>
              <w:rPr>
                <w:sz w:val="22"/>
                <w:szCs w:val="22"/>
              </w:rPr>
            </w:pPr>
            <w:r>
              <w:rPr>
                <w:sz w:val="22"/>
                <w:szCs w:val="22"/>
              </w:rPr>
              <w:t>Our Rights (currently Consumer Rights)</w:t>
            </w:r>
          </w:p>
          <w:p w14:paraId="59DE3D27" w14:textId="77777777" w:rsidR="00353EBC" w:rsidRDefault="00353EBC" w:rsidP="005004AA">
            <w:pPr>
              <w:pStyle w:val="ListParagraph"/>
              <w:numPr>
                <w:ilvl w:val="0"/>
                <w:numId w:val="16"/>
              </w:numPr>
              <w:tabs>
                <w:tab w:val="right" w:leader="underscore" w:pos="5670"/>
                <w:tab w:val="left" w:pos="6237"/>
              </w:tabs>
              <w:spacing w:before="120" w:after="120"/>
              <w:rPr>
                <w:sz w:val="22"/>
                <w:szCs w:val="22"/>
              </w:rPr>
            </w:pPr>
            <w:r>
              <w:rPr>
                <w:sz w:val="22"/>
                <w:szCs w:val="22"/>
              </w:rPr>
              <w:t>Workforce &amp; Structure (currently Organisational Management)</w:t>
            </w:r>
          </w:p>
          <w:p w14:paraId="1ECF1C4F" w14:textId="77777777" w:rsidR="00353EBC" w:rsidRDefault="00353EBC" w:rsidP="00353EBC">
            <w:pPr>
              <w:pStyle w:val="ListParagraph"/>
              <w:numPr>
                <w:ilvl w:val="0"/>
                <w:numId w:val="16"/>
              </w:numPr>
              <w:tabs>
                <w:tab w:val="right" w:leader="underscore" w:pos="5670"/>
                <w:tab w:val="left" w:pos="6237"/>
              </w:tabs>
              <w:spacing w:before="120" w:after="80"/>
              <w:rPr>
                <w:sz w:val="22"/>
                <w:szCs w:val="22"/>
              </w:rPr>
            </w:pPr>
            <w:r>
              <w:rPr>
                <w:sz w:val="22"/>
                <w:szCs w:val="22"/>
              </w:rPr>
              <w:lastRenderedPageBreak/>
              <w:t xml:space="preserve">Pathways to Wellbeing (currently Continuum of Service Delivery) </w:t>
            </w:r>
          </w:p>
          <w:p w14:paraId="59AAFB8A" w14:textId="77777777" w:rsidR="00353EBC" w:rsidRDefault="00353EBC" w:rsidP="00353EBC">
            <w:pPr>
              <w:pStyle w:val="ListParagraph"/>
              <w:numPr>
                <w:ilvl w:val="0"/>
                <w:numId w:val="16"/>
              </w:numPr>
              <w:tabs>
                <w:tab w:val="right" w:leader="underscore" w:pos="5670"/>
                <w:tab w:val="left" w:pos="6237"/>
              </w:tabs>
              <w:spacing w:before="120" w:after="80"/>
              <w:rPr>
                <w:sz w:val="22"/>
                <w:szCs w:val="22"/>
              </w:rPr>
            </w:pPr>
            <w:r>
              <w:rPr>
                <w:sz w:val="22"/>
                <w:szCs w:val="22"/>
              </w:rPr>
              <w:t>Person-centred and Safe Environment (currently Safe Environment)</w:t>
            </w:r>
          </w:p>
          <w:p w14:paraId="7DCCCB7F" w14:textId="77777777" w:rsidR="00353EBC" w:rsidRDefault="008059DA" w:rsidP="00353EBC">
            <w:pPr>
              <w:pStyle w:val="ListParagraph"/>
              <w:numPr>
                <w:ilvl w:val="0"/>
                <w:numId w:val="16"/>
              </w:numPr>
              <w:tabs>
                <w:tab w:val="right" w:leader="underscore" w:pos="5670"/>
                <w:tab w:val="left" w:pos="6237"/>
              </w:tabs>
              <w:spacing w:before="120" w:after="80"/>
              <w:rPr>
                <w:sz w:val="22"/>
                <w:szCs w:val="22"/>
              </w:rPr>
            </w:pPr>
            <w:r>
              <w:rPr>
                <w:sz w:val="22"/>
                <w:szCs w:val="22"/>
              </w:rPr>
              <w:t xml:space="preserve">Infection Prevention and Anti-microbial Stewardship (currently Infection Prevention and Control) </w:t>
            </w:r>
          </w:p>
          <w:p w14:paraId="59050D7C" w14:textId="67216B85" w:rsidR="008059DA" w:rsidRDefault="008059DA" w:rsidP="00353EBC">
            <w:pPr>
              <w:pStyle w:val="ListParagraph"/>
              <w:numPr>
                <w:ilvl w:val="0"/>
                <w:numId w:val="16"/>
              </w:numPr>
              <w:tabs>
                <w:tab w:val="right" w:leader="underscore" w:pos="5670"/>
                <w:tab w:val="left" w:pos="6237"/>
              </w:tabs>
              <w:spacing w:before="120" w:after="80"/>
              <w:rPr>
                <w:sz w:val="22"/>
                <w:szCs w:val="22"/>
              </w:rPr>
            </w:pPr>
            <w:r>
              <w:rPr>
                <w:sz w:val="22"/>
                <w:szCs w:val="22"/>
              </w:rPr>
              <w:t>Restraint and Seclusion (currently Restraint Minimisation and Safe Practice, and Seclusion)</w:t>
            </w:r>
            <w:r w:rsidR="00FB44A3">
              <w:rPr>
                <w:sz w:val="22"/>
                <w:szCs w:val="22"/>
              </w:rPr>
              <w:t>.</w:t>
            </w:r>
            <w:r>
              <w:rPr>
                <w:sz w:val="22"/>
                <w:szCs w:val="22"/>
              </w:rPr>
              <w:t xml:space="preserve"> </w:t>
            </w:r>
          </w:p>
          <w:p w14:paraId="7D86DC52" w14:textId="77777777" w:rsidR="008059DA" w:rsidRDefault="008059DA" w:rsidP="008059DA">
            <w:pPr>
              <w:tabs>
                <w:tab w:val="right" w:leader="underscore" w:pos="5670"/>
                <w:tab w:val="left" w:pos="6237"/>
              </w:tabs>
              <w:spacing w:before="120" w:after="80"/>
              <w:rPr>
                <w:sz w:val="22"/>
                <w:szCs w:val="22"/>
              </w:rPr>
            </w:pPr>
            <w:r>
              <w:rPr>
                <w:sz w:val="22"/>
                <w:szCs w:val="22"/>
              </w:rPr>
              <w:t xml:space="preserve">Cross-sector representation on the working groups reflected the variety of services these standards would apply to. The current 57 standards have been reduced to 33 standards. </w:t>
            </w:r>
          </w:p>
          <w:p w14:paraId="13EBFD9E" w14:textId="77777777" w:rsidR="008059DA" w:rsidRDefault="008059DA" w:rsidP="008059DA">
            <w:pPr>
              <w:tabs>
                <w:tab w:val="right" w:leader="underscore" w:pos="5670"/>
                <w:tab w:val="left" w:pos="6237"/>
              </w:tabs>
              <w:spacing w:before="120" w:after="80"/>
              <w:rPr>
                <w:sz w:val="22"/>
                <w:szCs w:val="22"/>
              </w:rPr>
            </w:pPr>
            <w:r>
              <w:rPr>
                <w:sz w:val="22"/>
                <w:szCs w:val="22"/>
              </w:rPr>
              <w:t xml:space="preserve">HealthCERT highlighted that serious consideration is being given to having the guidance sit outside the standards and sit within HealthCERT’s business. This would allow greater flexibility to be updated as health and disability service delivery changes over time. </w:t>
            </w:r>
          </w:p>
          <w:p w14:paraId="63E33B72" w14:textId="5F225C5E" w:rsidR="008059DA" w:rsidRPr="008059DA" w:rsidRDefault="008059DA" w:rsidP="008059DA">
            <w:pPr>
              <w:tabs>
                <w:tab w:val="right" w:leader="underscore" w:pos="5670"/>
                <w:tab w:val="left" w:pos="6237"/>
              </w:tabs>
              <w:spacing w:before="120" w:after="80"/>
              <w:rPr>
                <w:sz w:val="22"/>
                <w:szCs w:val="22"/>
              </w:rPr>
            </w:pPr>
            <w:r>
              <w:rPr>
                <w:sz w:val="22"/>
                <w:szCs w:val="22"/>
              </w:rPr>
              <w:t xml:space="preserve">The Group acknowledged the work completed by the working groups and by HealthCERT. </w:t>
            </w:r>
            <w:r w:rsidR="00410045">
              <w:rPr>
                <w:sz w:val="22"/>
                <w:szCs w:val="22"/>
              </w:rPr>
              <w:t xml:space="preserve">It was agreed </w:t>
            </w:r>
            <w:r w:rsidR="00E75521">
              <w:rPr>
                <w:sz w:val="22"/>
                <w:szCs w:val="22"/>
              </w:rPr>
              <w:t>that the Group would extend it</w:t>
            </w:r>
            <w:r w:rsidR="00B63FEE">
              <w:rPr>
                <w:sz w:val="22"/>
                <w:szCs w:val="22"/>
              </w:rPr>
              <w:t>s</w:t>
            </w:r>
            <w:r w:rsidR="00E75521">
              <w:rPr>
                <w:sz w:val="22"/>
                <w:szCs w:val="22"/>
              </w:rPr>
              <w:t xml:space="preserve"> next meeting in March to review the Terms of Reference and to address any key decisions to be made. </w:t>
            </w:r>
          </w:p>
        </w:tc>
      </w:tr>
      <w:tr w:rsidR="004C7F24" w:rsidRPr="004C7F24" w14:paraId="5D44B2D9" w14:textId="77777777" w:rsidTr="009F123F">
        <w:tc>
          <w:tcPr>
            <w:tcW w:w="355" w:type="pct"/>
          </w:tcPr>
          <w:p w14:paraId="0D9CC7FF" w14:textId="6A0D2911" w:rsidR="004C7F24" w:rsidRPr="004C7F24" w:rsidRDefault="00475F7B" w:rsidP="00FB44A3">
            <w:pPr>
              <w:tabs>
                <w:tab w:val="right" w:leader="underscore" w:pos="5670"/>
                <w:tab w:val="left" w:pos="6237"/>
              </w:tabs>
              <w:spacing w:before="120" w:after="80"/>
              <w:rPr>
                <w:sz w:val="22"/>
                <w:szCs w:val="22"/>
              </w:rPr>
            </w:pPr>
            <w:r>
              <w:rPr>
                <w:sz w:val="22"/>
                <w:szCs w:val="22"/>
              </w:rPr>
              <w:lastRenderedPageBreak/>
              <w:t>5</w:t>
            </w:r>
          </w:p>
        </w:tc>
        <w:tc>
          <w:tcPr>
            <w:tcW w:w="4645" w:type="pct"/>
          </w:tcPr>
          <w:p w14:paraId="655405A4" w14:textId="372A3A59" w:rsidR="004C7F24" w:rsidRPr="009F123F" w:rsidRDefault="00475F7B" w:rsidP="009F123F">
            <w:pPr>
              <w:tabs>
                <w:tab w:val="right" w:leader="underscore" w:pos="5670"/>
                <w:tab w:val="left" w:pos="6237"/>
              </w:tabs>
              <w:spacing w:before="120" w:after="80"/>
              <w:rPr>
                <w:b/>
                <w:sz w:val="22"/>
                <w:szCs w:val="22"/>
              </w:rPr>
            </w:pPr>
            <w:r w:rsidRPr="009F123F">
              <w:rPr>
                <w:b/>
                <w:sz w:val="22"/>
                <w:szCs w:val="22"/>
              </w:rPr>
              <w:t>Project Update</w:t>
            </w:r>
          </w:p>
          <w:p w14:paraId="2FA4DF88" w14:textId="6312B5D2" w:rsidR="008F7957" w:rsidRDefault="008059DA" w:rsidP="00244B13">
            <w:pPr>
              <w:tabs>
                <w:tab w:val="right" w:leader="underscore" w:pos="5670"/>
                <w:tab w:val="left" w:pos="6237"/>
              </w:tabs>
              <w:spacing w:after="80"/>
              <w:rPr>
                <w:sz w:val="22"/>
                <w:szCs w:val="22"/>
              </w:rPr>
            </w:pPr>
            <w:r>
              <w:rPr>
                <w:sz w:val="22"/>
                <w:szCs w:val="22"/>
              </w:rPr>
              <w:t xml:space="preserve">The </w:t>
            </w:r>
            <w:r w:rsidR="008F7957">
              <w:rPr>
                <w:sz w:val="22"/>
                <w:szCs w:val="22"/>
              </w:rPr>
              <w:t>Overarching Standards working groups met</w:t>
            </w:r>
            <w:r>
              <w:rPr>
                <w:sz w:val="22"/>
                <w:szCs w:val="22"/>
              </w:rPr>
              <w:t xml:space="preserve"> over the period of September 2020 – November 2020. Seventy-five people from 66 organisations participated. Attendee response was positive, with 80% confirmed the working groups achieve</w:t>
            </w:r>
            <w:r w:rsidR="008F7957">
              <w:rPr>
                <w:sz w:val="22"/>
                <w:szCs w:val="22"/>
              </w:rPr>
              <w:t xml:space="preserve">d its intention to amend/update the selected standards with a diverse range of people. </w:t>
            </w:r>
          </w:p>
          <w:p w14:paraId="68E53057" w14:textId="0CA49CBD" w:rsidR="008F7957" w:rsidRDefault="008F7957" w:rsidP="00244B13">
            <w:pPr>
              <w:tabs>
                <w:tab w:val="right" w:leader="underscore" w:pos="5670"/>
                <w:tab w:val="left" w:pos="6237"/>
              </w:tabs>
              <w:spacing w:after="80"/>
              <w:rPr>
                <w:sz w:val="22"/>
                <w:szCs w:val="22"/>
              </w:rPr>
            </w:pPr>
            <w:r>
              <w:rPr>
                <w:sz w:val="22"/>
                <w:szCs w:val="22"/>
              </w:rPr>
              <w:t>Two separate focus groups were held with people using residential disability support services and residential mental health and addiction services. Reports were produced that highlight the feedback form attendees and will be used to inform the work of the service-specific guidance working groups.</w:t>
            </w:r>
          </w:p>
          <w:p w14:paraId="30EC5128" w14:textId="703D4575" w:rsidR="008059DA" w:rsidRDefault="008F7957" w:rsidP="00244B13">
            <w:pPr>
              <w:tabs>
                <w:tab w:val="right" w:leader="underscore" w:pos="5670"/>
                <w:tab w:val="left" w:pos="6237"/>
              </w:tabs>
              <w:spacing w:after="80"/>
              <w:rPr>
                <w:sz w:val="22"/>
                <w:szCs w:val="22"/>
              </w:rPr>
            </w:pPr>
            <w:r>
              <w:rPr>
                <w:sz w:val="22"/>
                <w:szCs w:val="22"/>
              </w:rPr>
              <w:t xml:space="preserve">The Service-Specific Guidance working groups are planned to take place over the December 2019 </w:t>
            </w:r>
            <w:r w:rsidR="00FB44A3">
              <w:rPr>
                <w:sz w:val="22"/>
                <w:szCs w:val="22"/>
              </w:rPr>
              <w:t>-</w:t>
            </w:r>
            <w:r>
              <w:rPr>
                <w:sz w:val="22"/>
                <w:szCs w:val="22"/>
              </w:rPr>
              <w:t xml:space="preserve"> February 2020 period. Six working groups have been established: </w:t>
            </w:r>
          </w:p>
          <w:p w14:paraId="0DBFF790" w14:textId="6C74352F" w:rsidR="008F7957" w:rsidRDefault="008F7957" w:rsidP="008F7957">
            <w:pPr>
              <w:pStyle w:val="ListParagraph"/>
              <w:numPr>
                <w:ilvl w:val="0"/>
                <w:numId w:val="17"/>
              </w:numPr>
              <w:tabs>
                <w:tab w:val="right" w:leader="underscore" w:pos="5670"/>
                <w:tab w:val="left" w:pos="6237"/>
              </w:tabs>
              <w:spacing w:after="80"/>
              <w:rPr>
                <w:sz w:val="22"/>
                <w:szCs w:val="22"/>
              </w:rPr>
            </w:pPr>
            <w:r>
              <w:rPr>
                <w:sz w:val="22"/>
                <w:szCs w:val="22"/>
              </w:rPr>
              <w:t>Fertility services</w:t>
            </w:r>
          </w:p>
          <w:p w14:paraId="41294FB9" w14:textId="799E8CF7" w:rsidR="008F7957" w:rsidRDefault="008F7957" w:rsidP="008F7957">
            <w:pPr>
              <w:pStyle w:val="ListParagraph"/>
              <w:numPr>
                <w:ilvl w:val="0"/>
                <w:numId w:val="17"/>
              </w:numPr>
              <w:tabs>
                <w:tab w:val="right" w:leader="underscore" w:pos="5670"/>
                <w:tab w:val="left" w:pos="6237"/>
              </w:tabs>
              <w:spacing w:after="80"/>
              <w:rPr>
                <w:sz w:val="22"/>
                <w:szCs w:val="22"/>
              </w:rPr>
            </w:pPr>
            <w:r>
              <w:rPr>
                <w:sz w:val="22"/>
                <w:szCs w:val="22"/>
              </w:rPr>
              <w:t>Residential disability services</w:t>
            </w:r>
          </w:p>
          <w:p w14:paraId="0C3DD393" w14:textId="02242759" w:rsidR="008F7957" w:rsidRDefault="008F7957" w:rsidP="008F7957">
            <w:pPr>
              <w:pStyle w:val="ListParagraph"/>
              <w:numPr>
                <w:ilvl w:val="0"/>
                <w:numId w:val="17"/>
              </w:numPr>
              <w:tabs>
                <w:tab w:val="right" w:leader="underscore" w:pos="5670"/>
                <w:tab w:val="left" w:pos="6237"/>
              </w:tabs>
              <w:spacing w:after="80"/>
              <w:rPr>
                <w:sz w:val="22"/>
                <w:szCs w:val="22"/>
              </w:rPr>
            </w:pPr>
            <w:r>
              <w:rPr>
                <w:sz w:val="22"/>
                <w:szCs w:val="22"/>
              </w:rPr>
              <w:t>Home and community services</w:t>
            </w:r>
          </w:p>
          <w:p w14:paraId="4006212D" w14:textId="54259E48" w:rsidR="008F7957" w:rsidRDefault="008F7957" w:rsidP="008F7957">
            <w:pPr>
              <w:pStyle w:val="ListParagraph"/>
              <w:numPr>
                <w:ilvl w:val="0"/>
                <w:numId w:val="17"/>
              </w:numPr>
              <w:tabs>
                <w:tab w:val="right" w:leader="underscore" w:pos="5670"/>
                <w:tab w:val="left" w:pos="6237"/>
              </w:tabs>
              <w:spacing w:after="80"/>
              <w:rPr>
                <w:sz w:val="22"/>
                <w:szCs w:val="22"/>
              </w:rPr>
            </w:pPr>
            <w:r>
              <w:rPr>
                <w:sz w:val="22"/>
                <w:szCs w:val="22"/>
              </w:rPr>
              <w:t>Residential addictions and mental health services</w:t>
            </w:r>
          </w:p>
          <w:p w14:paraId="42361349" w14:textId="5292DC7C" w:rsidR="008F7957" w:rsidRDefault="008F7957" w:rsidP="008F7957">
            <w:pPr>
              <w:pStyle w:val="ListParagraph"/>
              <w:numPr>
                <w:ilvl w:val="0"/>
                <w:numId w:val="17"/>
              </w:numPr>
              <w:tabs>
                <w:tab w:val="right" w:leader="underscore" w:pos="5670"/>
                <w:tab w:val="left" w:pos="6237"/>
              </w:tabs>
              <w:spacing w:after="80"/>
              <w:rPr>
                <w:sz w:val="22"/>
                <w:szCs w:val="22"/>
              </w:rPr>
            </w:pPr>
            <w:r>
              <w:rPr>
                <w:sz w:val="22"/>
                <w:szCs w:val="22"/>
              </w:rPr>
              <w:t>Birthing units, hospices and hospitals</w:t>
            </w:r>
            <w:r w:rsidR="00FB44A3">
              <w:rPr>
                <w:sz w:val="22"/>
                <w:szCs w:val="22"/>
              </w:rPr>
              <w:t>.</w:t>
            </w:r>
          </w:p>
          <w:p w14:paraId="4A0A20B0" w14:textId="07F3D264" w:rsidR="004346BC" w:rsidRPr="004346BC" w:rsidRDefault="008F7957" w:rsidP="00244B13">
            <w:pPr>
              <w:tabs>
                <w:tab w:val="right" w:leader="underscore" w:pos="5670"/>
                <w:tab w:val="left" w:pos="6237"/>
              </w:tabs>
              <w:spacing w:before="120" w:after="80"/>
              <w:rPr>
                <w:sz w:val="22"/>
                <w:szCs w:val="22"/>
              </w:rPr>
            </w:pPr>
            <w:r>
              <w:rPr>
                <w:sz w:val="22"/>
                <w:szCs w:val="22"/>
              </w:rPr>
              <w:t>The project is on-track to commence Phase 4 in March</w:t>
            </w:r>
            <w:r w:rsidR="00FB44A3">
              <w:rPr>
                <w:sz w:val="22"/>
                <w:szCs w:val="22"/>
              </w:rPr>
              <w:t xml:space="preserve"> 2020</w:t>
            </w:r>
            <w:r>
              <w:rPr>
                <w:sz w:val="22"/>
                <w:szCs w:val="22"/>
              </w:rPr>
              <w:t xml:space="preserve">, which includes finalising draft amended standards and support the project through Standards New Zealand’s process.  </w:t>
            </w:r>
          </w:p>
        </w:tc>
      </w:tr>
      <w:tr w:rsidR="004C7F24" w:rsidRPr="004C7F24" w14:paraId="2CF735F4" w14:textId="77777777" w:rsidTr="009F123F">
        <w:trPr>
          <w:trHeight w:val="620"/>
        </w:trPr>
        <w:tc>
          <w:tcPr>
            <w:tcW w:w="355" w:type="pct"/>
          </w:tcPr>
          <w:p w14:paraId="74ED5895" w14:textId="053521C3" w:rsidR="004C7F24" w:rsidRPr="004C7F24" w:rsidRDefault="00535566" w:rsidP="00FB44A3">
            <w:pPr>
              <w:tabs>
                <w:tab w:val="right" w:leader="underscore" w:pos="5670"/>
                <w:tab w:val="left" w:pos="6237"/>
              </w:tabs>
              <w:spacing w:before="120" w:after="80"/>
              <w:rPr>
                <w:sz w:val="22"/>
                <w:szCs w:val="22"/>
              </w:rPr>
            </w:pPr>
            <w:r>
              <w:rPr>
                <w:sz w:val="22"/>
                <w:szCs w:val="22"/>
              </w:rPr>
              <w:t>6</w:t>
            </w:r>
          </w:p>
        </w:tc>
        <w:tc>
          <w:tcPr>
            <w:tcW w:w="4645" w:type="pct"/>
          </w:tcPr>
          <w:p w14:paraId="19F2B5E2" w14:textId="7ED0A3F4" w:rsidR="004C7F24" w:rsidRPr="009F123F" w:rsidRDefault="00B276D1" w:rsidP="009F123F">
            <w:pPr>
              <w:tabs>
                <w:tab w:val="right" w:leader="underscore" w:pos="5670"/>
                <w:tab w:val="left" w:pos="6237"/>
              </w:tabs>
              <w:spacing w:before="120" w:after="80"/>
              <w:rPr>
                <w:b/>
                <w:sz w:val="22"/>
                <w:szCs w:val="22"/>
              </w:rPr>
            </w:pPr>
            <w:r>
              <w:rPr>
                <w:b/>
                <w:sz w:val="22"/>
                <w:szCs w:val="22"/>
              </w:rPr>
              <w:t>Safe Staffing in Aged</w:t>
            </w:r>
            <w:r w:rsidR="00FB44A3">
              <w:rPr>
                <w:b/>
                <w:sz w:val="22"/>
                <w:szCs w:val="22"/>
              </w:rPr>
              <w:t xml:space="preserve"> </w:t>
            </w:r>
            <w:r>
              <w:rPr>
                <w:b/>
                <w:sz w:val="22"/>
                <w:szCs w:val="22"/>
              </w:rPr>
              <w:t>Care</w:t>
            </w:r>
          </w:p>
          <w:p w14:paraId="3842B888" w14:textId="787B0263" w:rsidR="009D3761" w:rsidRDefault="00502507" w:rsidP="009F123F">
            <w:pPr>
              <w:autoSpaceDE w:val="0"/>
              <w:autoSpaceDN w:val="0"/>
              <w:adjustRightInd w:val="0"/>
              <w:spacing w:before="120"/>
              <w:rPr>
                <w:sz w:val="22"/>
                <w:szCs w:val="22"/>
              </w:rPr>
            </w:pPr>
            <w:r>
              <w:rPr>
                <w:sz w:val="22"/>
                <w:szCs w:val="22"/>
              </w:rPr>
              <w:t xml:space="preserve">There is interest in how the Staffing Standard can be strengthened for Aged </w:t>
            </w:r>
            <w:r w:rsidR="00FB44A3">
              <w:rPr>
                <w:sz w:val="22"/>
                <w:szCs w:val="22"/>
              </w:rPr>
              <w:t>C</w:t>
            </w:r>
            <w:r>
              <w:rPr>
                <w:sz w:val="22"/>
                <w:szCs w:val="22"/>
              </w:rPr>
              <w:t xml:space="preserve">are. </w:t>
            </w:r>
            <w:r w:rsidR="00B63FEE">
              <w:rPr>
                <w:sz w:val="22"/>
                <w:szCs w:val="22"/>
              </w:rPr>
              <w:t xml:space="preserve">The </w:t>
            </w:r>
            <w:r w:rsidR="00AE3ABC">
              <w:rPr>
                <w:sz w:val="22"/>
                <w:szCs w:val="22"/>
              </w:rPr>
              <w:t>NZ</w:t>
            </w:r>
            <w:r w:rsidR="00B63FEE">
              <w:rPr>
                <w:sz w:val="22"/>
                <w:szCs w:val="22"/>
              </w:rPr>
              <w:t xml:space="preserve"> Nurses Organisation and E Tū called for a review of the Handbook: </w:t>
            </w:r>
            <w:r w:rsidR="00B63FEE">
              <w:rPr>
                <w:i/>
                <w:sz w:val="22"/>
                <w:szCs w:val="22"/>
              </w:rPr>
              <w:t xml:space="preserve">Indicators for Safe Aged-Care and Dementia-Care for Consumers SNZHB 8163:2005. </w:t>
            </w:r>
            <w:r w:rsidR="0064168B">
              <w:rPr>
                <w:sz w:val="22"/>
                <w:szCs w:val="22"/>
              </w:rPr>
              <w:t>It is the Ministry’s view that prescribing staffing ratios quickly becomes dated</w:t>
            </w:r>
            <w:r>
              <w:rPr>
                <w:sz w:val="22"/>
                <w:szCs w:val="22"/>
              </w:rPr>
              <w:t>.</w:t>
            </w:r>
            <w:r w:rsidR="0064168B">
              <w:rPr>
                <w:sz w:val="22"/>
                <w:szCs w:val="22"/>
              </w:rPr>
              <w:t xml:space="preserve"> The Ministry has requested that Standards </w:t>
            </w:r>
            <w:r w:rsidR="00AE3ABC">
              <w:rPr>
                <w:sz w:val="22"/>
                <w:szCs w:val="22"/>
              </w:rPr>
              <w:t>NZ</w:t>
            </w:r>
            <w:r w:rsidR="0064168B">
              <w:rPr>
                <w:sz w:val="22"/>
                <w:szCs w:val="22"/>
              </w:rPr>
              <w:t xml:space="preserve"> formally withdraw this handbook from publication.</w:t>
            </w:r>
            <w:r w:rsidR="00B63FEE">
              <w:rPr>
                <w:sz w:val="22"/>
                <w:szCs w:val="22"/>
              </w:rPr>
              <w:t xml:space="preserve"> </w:t>
            </w:r>
            <w:r w:rsidR="0064168B">
              <w:rPr>
                <w:sz w:val="22"/>
                <w:szCs w:val="22"/>
              </w:rPr>
              <w:t xml:space="preserve">The </w:t>
            </w:r>
            <w:r w:rsidR="00AE3ABC">
              <w:rPr>
                <w:sz w:val="22"/>
                <w:szCs w:val="22"/>
              </w:rPr>
              <w:t>NZ</w:t>
            </w:r>
            <w:r w:rsidR="0064168B">
              <w:rPr>
                <w:sz w:val="22"/>
                <w:szCs w:val="22"/>
              </w:rPr>
              <w:t xml:space="preserve"> Nurses Organisation support</w:t>
            </w:r>
            <w:r>
              <w:rPr>
                <w:sz w:val="22"/>
                <w:szCs w:val="22"/>
              </w:rPr>
              <w:t xml:space="preserve"> th</w:t>
            </w:r>
            <w:r w:rsidR="0064168B">
              <w:rPr>
                <w:sz w:val="22"/>
                <w:szCs w:val="22"/>
              </w:rPr>
              <w:t>e development of a</w:t>
            </w:r>
            <w:r w:rsidR="007F65D4">
              <w:rPr>
                <w:sz w:val="22"/>
                <w:szCs w:val="22"/>
              </w:rPr>
              <w:t>n</w:t>
            </w:r>
            <w:r w:rsidR="0064168B">
              <w:rPr>
                <w:sz w:val="22"/>
                <w:szCs w:val="22"/>
              </w:rPr>
              <w:t xml:space="preserve"> </w:t>
            </w:r>
            <w:r w:rsidR="002E1713">
              <w:rPr>
                <w:sz w:val="22"/>
                <w:szCs w:val="22"/>
              </w:rPr>
              <w:t>acuity tool</w:t>
            </w:r>
            <w:r w:rsidR="0064168B">
              <w:rPr>
                <w:sz w:val="22"/>
                <w:szCs w:val="22"/>
              </w:rPr>
              <w:t xml:space="preserve"> for aged care. </w:t>
            </w:r>
            <w:r w:rsidR="00AE3ABC">
              <w:rPr>
                <w:sz w:val="22"/>
                <w:szCs w:val="22"/>
              </w:rPr>
              <w:t>The NZ Nurses organisation sits on the Operative Alliance and is part of the working groups.</w:t>
            </w:r>
            <w:r w:rsidR="00053CDB">
              <w:rPr>
                <w:sz w:val="22"/>
                <w:szCs w:val="22"/>
              </w:rPr>
              <w:t xml:space="preserve"> E Tū is also participating in the working groups.</w:t>
            </w:r>
          </w:p>
          <w:p w14:paraId="790E057C" w14:textId="2E1BD3FE" w:rsidR="00502507" w:rsidRDefault="0064168B" w:rsidP="009F123F">
            <w:pPr>
              <w:autoSpaceDE w:val="0"/>
              <w:autoSpaceDN w:val="0"/>
              <w:adjustRightInd w:val="0"/>
              <w:spacing w:before="120"/>
              <w:rPr>
                <w:sz w:val="22"/>
                <w:szCs w:val="22"/>
              </w:rPr>
            </w:pPr>
            <w:r>
              <w:rPr>
                <w:sz w:val="22"/>
                <w:szCs w:val="22"/>
              </w:rPr>
              <w:t xml:space="preserve">Workforce funding in aged care were also discussed </w:t>
            </w:r>
            <w:r w:rsidR="004877A2">
              <w:rPr>
                <w:sz w:val="22"/>
                <w:szCs w:val="22"/>
              </w:rPr>
              <w:t>considering</w:t>
            </w:r>
            <w:r>
              <w:rPr>
                <w:sz w:val="22"/>
                <w:szCs w:val="22"/>
              </w:rPr>
              <w:t xml:space="preserve"> the wage disparity between aged care and public hospitals</w:t>
            </w:r>
            <w:r w:rsidR="00502507">
              <w:rPr>
                <w:sz w:val="22"/>
                <w:szCs w:val="22"/>
              </w:rPr>
              <w:t xml:space="preserve"> that is been raised by</w:t>
            </w:r>
            <w:r w:rsidR="00FB44A3">
              <w:rPr>
                <w:sz w:val="22"/>
                <w:szCs w:val="22"/>
              </w:rPr>
              <w:t xml:space="preserve"> the</w:t>
            </w:r>
            <w:r>
              <w:rPr>
                <w:sz w:val="22"/>
                <w:szCs w:val="22"/>
              </w:rPr>
              <w:t xml:space="preserve"> </w:t>
            </w:r>
            <w:r w:rsidR="00AE3ABC">
              <w:rPr>
                <w:sz w:val="22"/>
                <w:szCs w:val="22"/>
              </w:rPr>
              <w:t>NZ</w:t>
            </w:r>
            <w:r>
              <w:rPr>
                <w:sz w:val="22"/>
                <w:szCs w:val="22"/>
              </w:rPr>
              <w:t xml:space="preserve"> Aged Care </w:t>
            </w:r>
            <w:r w:rsidR="00AE3ABC">
              <w:rPr>
                <w:sz w:val="22"/>
                <w:szCs w:val="22"/>
              </w:rPr>
              <w:t>Association</w:t>
            </w:r>
            <w:r w:rsidR="00502507">
              <w:rPr>
                <w:sz w:val="22"/>
                <w:szCs w:val="22"/>
              </w:rPr>
              <w:t xml:space="preserve"> as an issue. </w:t>
            </w:r>
            <w:r w:rsidR="00AE3ABC">
              <w:rPr>
                <w:sz w:val="22"/>
                <w:szCs w:val="22"/>
              </w:rPr>
              <w:t xml:space="preserve"> </w:t>
            </w:r>
          </w:p>
          <w:p w14:paraId="6AE7E2F5" w14:textId="175FA37C" w:rsidR="00B63FEE" w:rsidRDefault="00616DD5" w:rsidP="009F123F">
            <w:pPr>
              <w:autoSpaceDE w:val="0"/>
              <w:autoSpaceDN w:val="0"/>
              <w:adjustRightInd w:val="0"/>
              <w:spacing w:before="120"/>
              <w:rPr>
                <w:sz w:val="22"/>
                <w:szCs w:val="22"/>
              </w:rPr>
            </w:pPr>
            <w:r>
              <w:rPr>
                <w:sz w:val="22"/>
                <w:szCs w:val="22"/>
              </w:rPr>
              <w:t>It was acknowledged that the</w:t>
            </w:r>
            <w:r w:rsidR="00502507">
              <w:rPr>
                <w:sz w:val="22"/>
                <w:szCs w:val="22"/>
              </w:rPr>
              <w:t xml:space="preserve"> recent </w:t>
            </w:r>
            <w:r>
              <w:rPr>
                <w:sz w:val="22"/>
                <w:szCs w:val="22"/>
              </w:rPr>
              <w:t xml:space="preserve">Aged Residential Care Funding Model Review </w:t>
            </w:r>
            <w:r w:rsidR="00502507">
              <w:rPr>
                <w:sz w:val="22"/>
                <w:szCs w:val="22"/>
              </w:rPr>
              <w:t>options have</w:t>
            </w:r>
            <w:r>
              <w:rPr>
                <w:sz w:val="22"/>
                <w:szCs w:val="22"/>
              </w:rPr>
              <w:t xml:space="preserve"> not been fully explored. (</w:t>
            </w:r>
            <w:hyperlink r:id="rId8" w:history="1">
              <w:r w:rsidRPr="00C70BA7">
                <w:rPr>
                  <w:rStyle w:val="Hyperlink"/>
                  <w:sz w:val="22"/>
                  <w:szCs w:val="22"/>
                </w:rPr>
                <w:t>https://tas.health.nz/dhb-programmes-and-contracts/health-of-older-people-programme/aged-residential-care-funding-model-review/</w:t>
              </w:r>
            </w:hyperlink>
            <w:r>
              <w:rPr>
                <w:sz w:val="22"/>
                <w:szCs w:val="22"/>
              </w:rPr>
              <w:t xml:space="preserve">). </w:t>
            </w:r>
          </w:p>
          <w:p w14:paraId="12448B8C" w14:textId="4B0F8451" w:rsidR="00B63FEE" w:rsidRDefault="0064168B" w:rsidP="0064168B">
            <w:pPr>
              <w:autoSpaceDE w:val="0"/>
              <w:autoSpaceDN w:val="0"/>
              <w:adjustRightInd w:val="0"/>
              <w:spacing w:before="120"/>
              <w:rPr>
                <w:sz w:val="22"/>
                <w:szCs w:val="22"/>
              </w:rPr>
            </w:pPr>
            <w:r>
              <w:rPr>
                <w:sz w:val="22"/>
                <w:szCs w:val="22"/>
              </w:rPr>
              <w:t>A review of research</w:t>
            </w:r>
            <w:r w:rsidR="00CD1119">
              <w:rPr>
                <w:sz w:val="22"/>
                <w:szCs w:val="22"/>
              </w:rPr>
              <w:t xml:space="preserve"> into safe staffing</w:t>
            </w:r>
            <w:r>
              <w:rPr>
                <w:sz w:val="22"/>
                <w:szCs w:val="22"/>
              </w:rPr>
              <w:t xml:space="preserve"> highlighted there has not been any national independent work completed in respect of understanding what appropriate staff levels, skill mix and minimum requirements are currently in aged care</w:t>
            </w:r>
            <w:r w:rsidR="00F40834">
              <w:rPr>
                <w:sz w:val="22"/>
                <w:szCs w:val="22"/>
              </w:rPr>
              <w:t xml:space="preserve"> in New </w:t>
            </w:r>
            <w:r w:rsidR="00502507">
              <w:rPr>
                <w:sz w:val="22"/>
                <w:szCs w:val="22"/>
              </w:rPr>
              <w:t>Zealand.</w:t>
            </w:r>
            <w:r>
              <w:rPr>
                <w:sz w:val="22"/>
                <w:szCs w:val="22"/>
              </w:rPr>
              <w:t xml:space="preserve"> </w:t>
            </w:r>
          </w:p>
          <w:p w14:paraId="2B5074CE" w14:textId="09002613" w:rsidR="0064168B" w:rsidRPr="00535566" w:rsidRDefault="0064168B" w:rsidP="00EB3A1C">
            <w:pPr>
              <w:autoSpaceDE w:val="0"/>
              <w:autoSpaceDN w:val="0"/>
              <w:adjustRightInd w:val="0"/>
              <w:spacing w:before="120"/>
              <w:rPr>
                <w:sz w:val="22"/>
                <w:szCs w:val="22"/>
              </w:rPr>
            </w:pPr>
            <w:r>
              <w:rPr>
                <w:sz w:val="22"/>
                <w:szCs w:val="22"/>
              </w:rPr>
              <w:t xml:space="preserve">The Group discussed the </w:t>
            </w:r>
            <w:r w:rsidR="00502507">
              <w:rPr>
                <w:sz w:val="22"/>
                <w:szCs w:val="22"/>
              </w:rPr>
              <w:t xml:space="preserve">potential </w:t>
            </w:r>
            <w:r>
              <w:rPr>
                <w:sz w:val="22"/>
                <w:szCs w:val="22"/>
              </w:rPr>
              <w:t xml:space="preserve">impact a prescriptive standard for safe staffing would have on the </w:t>
            </w:r>
            <w:r w:rsidR="00502507">
              <w:rPr>
                <w:sz w:val="22"/>
                <w:szCs w:val="22"/>
              </w:rPr>
              <w:t xml:space="preserve">aged care </w:t>
            </w:r>
            <w:r>
              <w:rPr>
                <w:sz w:val="22"/>
                <w:szCs w:val="22"/>
              </w:rPr>
              <w:t xml:space="preserve">sector, citing the impact Trendcare has had </w:t>
            </w:r>
            <w:r w:rsidR="002E1713">
              <w:rPr>
                <w:sz w:val="22"/>
                <w:szCs w:val="22"/>
              </w:rPr>
              <w:t xml:space="preserve">in </w:t>
            </w:r>
            <w:r>
              <w:rPr>
                <w:sz w:val="22"/>
                <w:szCs w:val="22"/>
              </w:rPr>
              <w:t>district health boards.</w:t>
            </w:r>
            <w:r w:rsidR="00EB3A1C">
              <w:rPr>
                <w:sz w:val="22"/>
                <w:szCs w:val="22"/>
              </w:rPr>
              <w:t xml:space="preserve"> </w:t>
            </w:r>
            <w:r w:rsidR="00EB3A1C">
              <w:rPr>
                <w:sz w:val="22"/>
                <w:szCs w:val="22"/>
              </w:rPr>
              <w:lastRenderedPageBreak/>
              <w:t xml:space="preserve">An update will be provided to the Group following the completion of the service-specific guidance working </w:t>
            </w:r>
            <w:r w:rsidR="00EB3A1C" w:rsidRPr="00FB44A3">
              <w:rPr>
                <w:sz w:val="22"/>
                <w:szCs w:val="22"/>
              </w:rPr>
              <w:t xml:space="preserve">groups. </w:t>
            </w:r>
          </w:p>
        </w:tc>
      </w:tr>
      <w:tr w:rsidR="004C7F24" w:rsidRPr="004C7F24" w14:paraId="12807FCD" w14:textId="77777777" w:rsidTr="009F123F">
        <w:tc>
          <w:tcPr>
            <w:tcW w:w="355" w:type="pct"/>
          </w:tcPr>
          <w:p w14:paraId="62F60A70" w14:textId="3E18713E" w:rsidR="004C7F24" w:rsidRPr="004C7F24" w:rsidRDefault="00373F4D" w:rsidP="00FB44A3">
            <w:pPr>
              <w:tabs>
                <w:tab w:val="right" w:leader="underscore" w:pos="5670"/>
                <w:tab w:val="left" w:pos="6237"/>
              </w:tabs>
              <w:spacing w:before="120" w:after="80"/>
              <w:rPr>
                <w:sz w:val="22"/>
                <w:szCs w:val="22"/>
              </w:rPr>
            </w:pPr>
            <w:r>
              <w:rPr>
                <w:sz w:val="22"/>
                <w:szCs w:val="22"/>
              </w:rPr>
              <w:lastRenderedPageBreak/>
              <w:t>7</w:t>
            </w:r>
          </w:p>
        </w:tc>
        <w:tc>
          <w:tcPr>
            <w:tcW w:w="4645" w:type="pct"/>
          </w:tcPr>
          <w:p w14:paraId="360CFF8D" w14:textId="3B9BD197" w:rsidR="004C7F24" w:rsidRPr="009F123F" w:rsidRDefault="00B276D1" w:rsidP="00244B13">
            <w:pPr>
              <w:tabs>
                <w:tab w:val="right" w:leader="underscore" w:pos="5670"/>
                <w:tab w:val="left" w:pos="6237"/>
              </w:tabs>
              <w:spacing w:before="80" w:after="80"/>
              <w:rPr>
                <w:b/>
                <w:sz w:val="22"/>
                <w:szCs w:val="22"/>
              </w:rPr>
            </w:pPr>
            <w:r>
              <w:rPr>
                <w:b/>
                <w:sz w:val="22"/>
                <w:szCs w:val="22"/>
              </w:rPr>
              <w:t>Disabled person representative on Standards Review Governance Group</w:t>
            </w:r>
          </w:p>
          <w:p w14:paraId="032C7EED" w14:textId="0E9C0076" w:rsidR="004C7F24" w:rsidRPr="004C7F24" w:rsidRDefault="00847100" w:rsidP="00244B13">
            <w:pPr>
              <w:tabs>
                <w:tab w:val="right" w:leader="underscore" w:pos="5670"/>
                <w:tab w:val="left" w:pos="6237"/>
              </w:tabs>
              <w:spacing w:before="80" w:after="80"/>
              <w:rPr>
                <w:sz w:val="22"/>
                <w:szCs w:val="22"/>
              </w:rPr>
            </w:pPr>
            <w:r>
              <w:rPr>
                <w:sz w:val="22"/>
                <w:szCs w:val="22"/>
              </w:rPr>
              <w:t>The Te Ao Mārama representative on Te Apārangi requested the Group to consider including an additional member to include a disabled person</w:t>
            </w:r>
            <w:r w:rsidR="00373F4D">
              <w:rPr>
                <w:sz w:val="22"/>
                <w:szCs w:val="22"/>
              </w:rPr>
              <w:t>.</w:t>
            </w:r>
            <w:r>
              <w:rPr>
                <w:sz w:val="22"/>
                <w:szCs w:val="22"/>
              </w:rPr>
              <w:t xml:space="preserve"> This was supported by the Group and an appropriate person will be sought through the Enabling Good Lives leadership group.</w:t>
            </w:r>
          </w:p>
        </w:tc>
      </w:tr>
      <w:tr w:rsidR="004C7F24" w:rsidRPr="004C7F24" w14:paraId="065D62C7" w14:textId="77777777" w:rsidTr="004A3B4A">
        <w:tc>
          <w:tcPr>
            <w:tcW w:w="355" w:type="pct"/>
          </w:tcPr>
          <w:p w14:paraId="2CED7946" w14:textId="77777777" w:rsidR="004C7F24" w:rsidRPr="004C7F24" w:rsidRDefault="004C7F24" w:rsidP="00027E40">
            <w:pPr>
              <w:tabs>
                <w:tab w:val="right" w:leader="underscore" w:pos="5670"/>
                <w:tab w:val="left" w:pos="6237"/>
              </w:tabs>
              <w:spacing w:before="40" w:after="80"/>
              <w:rPr>
                <w:sz w:val="22"/>
                <w:szCs w:val="22"/>
              </w:rPr>
            </w:pPr>
          </w:p>
        </w:tc>
        <w:tc>
          <w:tcPr>
            <w:tcW w:w="4645" w:type="pct"/>
          </w:tcPr>
          <w:p w14:paraId="77287625" w14:textId="77777777" w:rsidR="00244B13" w:rsidRDefault="004C7F24" w:rsidP="00244B13">
            <w:pPr>
              <w:spacing w:before="80" w:after="80"/>
              <w:rPr>
                <w:b/>
                <w:sz w:val="22"/>
                <w:szCs w:val="22"/>
              </w:rPr>
            </w:pPr>
            <w:r w:rsidRPr="009F123F">
              <w:rPr>
                <w:b/>
                <w:sz w:val="22"/>
                <w:szCs w:val="22"/>
              </w:rPr>
              <w:t>Closing comments</w:t>
            </w:r>
          </w:p>
          <w:p w14:paraId="2292E71C" w14:textId="37099738" w:rsidR="009F123F" w:rsidRPr="009F123F" w:rsidRDefault="009F123F" w:rsidP="00244B13">
            <w:pPr>
              <w:spacing w:before="80" w:after="120"/>
              <w:rPr>
                <w:sz w:val="22"/>
              </w:rPr>
            </w:pPr>
            <w:r w:rsidRPr="009F123F">
              <w:rPr>
                <w:sz w:val="22"/>
                <w:szCs w:val="22"/>
              </w:rPr>
              <w:t>The Chair thanked the Group for their time. The meeting closed at 1</w:t>
            </w:r>
            <w:r w:rsidR="00B276D1">
              <w:rPr>
                <w:sz w:val="22"/>
                <w:szCs w:val="22"/>
              </w:rPr>
              <w:t>2</w:t>
            </w:r>
            <w:r w:rsidRPr="009F123F">
              <w:rPr>
                <w:sz w:val="22"/>
                <w:szCs w:val="22"/>
              </w:rPr>
              <w:t>:00pm.</w:t>
            </w:r>
          </w:p>
        </w:tc>
      </w:tr>
    </w:tbl>
    <w:p w14:paraId="4F45AFF8" w14:textId="77777777" w:rsidR="004C3CF7" w:rsidRPr="004C7F24" w:rsidRDefault="004C3CF7" w:rsidP="004C3CF7">
      <w:pPr>
        <w:tabs>
          <w:tab w:val="right" w:leader="underscore" w:pos="5670"/>
          <w:tab w:val="left" w:pos="6237"/>
        </w:tabs>
        <w:rPr>
          <w:sz w:val="22"/>
          <w:szCs w:val="22"/>
        </w:rPr>
      </w:pPr>
    </w:p>
    <w:tbl>
      <w:tblPr>
        <w:tblStyle w:val="TableGrid"/>
        <w:tblW w:w="0" w:type="auto"/>
        <w:tblInd w:w="-5" w:type="dxa"/>
        <w:tblLook w:val="01E0" w:firstRow="1" w:lastRow="1" w:firstColumn="1" w:lastColumn="1" w:noHBand="0" w:noVBand="0"/>
      </w:tblPr>
      <w:tblGrid>
        <w:gridCol w:w="709"/>
        <w:gridCol w:w="5670"/>
        <w:gridCol w:w="1985"/>
        <w:gridCol w:w="1554"/>
      </w:tblGrid>
      <w:tr w:rsidR="00E01440" w:rsidRPr="00BA3D89" w14:paraId="6578D72F" w14:textId="77777777" w:rsidTr="00FB44A3">
        <w:tc>
          <w:tcPr>
            <w:tcW w:w="709" w:type="dxa"/>
          </w:tcPr>
          <w:p w14:paraId="000E9679" w14:textId="77777777" w:rsidR="00E01440" w:rsidRPr="00BA3D89" w:rsidRDefault="00E01440" w:rsidP="00B8784F">
            <w:pPr>
              <w:rPr>
                <w:sz w:val="22"/>
              </w:rPr>
            </w:pPr>
            <w:r w:rsidRPr="00BA3D89">
              <w:rPr>
                <w:b/>
                <w:sz w:val="20"/>
                <w:szCs w:val="22"/>
              </w:rPr>
              <w:t>Item</w:t>
            </w:r>
          </w:p>
        </w:tc>
        <w:tc>
          <w:tcPr>
            <w:tcW w:w="5670" w:type="dxa"/>
          </w:tcPr>
          <w:p w14:paraId="4AAF5D06" w14:textId="77777777" w:rsidR="00E01440" w:rsidRPr="00BA3D89" w:rsidRDefault="00E01440" w:rsidP="00B8784F">
            <w:pPr>
              <w:rPr>
                <w:b/>
                <w:sz w:val="20"/>
                <w:szCs w:val="22"/>
              </w:rPr>
            </w:pPr>
            <w:r w:rsidRPr="00BA3D89">
              <w:rPr>
                <w:b/>
                <w:sz w:val="20"/>
                <w:szCs w:val="22"/>
              </w:rPr>
              <w:t>Action</w:t>
            </w:r>
          </w:p>
        </w:tc>
        <w:tc>
          <w:tcPr>
            <w:tcW w:w="1985" w:type="dxa"/>
          </w:tcPr>
          <w:p w14:paraId="44908A72" w14:textId="77777777" w:rsidR="00E01440" w:rsidRPr="00BA3D89" w:rsidRDefault="00E01440" w:rsidP="00B8784F">
            <w:pPr>
              <w:rPr>
                <w:b/>
                <w:sz w:val="20"/>
                <w:szCs w:val="22"/>
              </w:rPr>
            </w:pPr>
            <w:r w:rsidRPr="00BA3D89">
              <w:rPr>
                <w:b/>
                <w:sz w:val="20"/>
                <w:szCs w:val="22"/>
              </w:rPr>
              <w:t>Lead</w:t>
            </w:r>
          </w:p>
        </w:tc>
        <w:tc>
          <w:tcPr>
            <w:tcW w:w="1554" w:type="dxa"/>
          </w:tcPr>
          <w:p w14:paraId="781C01AA" w14:textId="77777777" w:rsidR="00E01440" w:rsidRPr="00BA3D89" w:rsidRDefault="00E01440" w:rsidP="00B8784F">
            <w:pPr>
              <w:rPr>
                <w:b/>
                <w:sz w:val="20"/>
                <w:szCs w:val="22"/>
              </w:rPr>
            </w:pPr>
            <w:r w:rsidRPr="00BA3D89">
              <w:rPr>
                <w:b/>
                <w:sz w:val="20"/>
                <w:szCs w:val="22"/>
              </w:rPr>
              <w:t>Due Date</w:t>
            </w:r>
          </w:p>
        </w:tc>
      </w:tr>
      <w:tr w:rsidR="00E01440" w:rsidRPr="004A3B4A" w14:paraId="03C01635" w14:textId="77777777" w:rsidTr="00FB44A3">
        <w:tc>
          <w:tcPr>
            <w:tcW w:w="709" w:type="dxa"/>
          </w:tcPr>
          <w:p w14:paraId="67E40CCC" w14:textId="4E20B3ED" w:rsidR="00E01440" w:rsidRPr="004A3B4A" w:rsidRDefault="00E01440" w:rsidP="00B8784F">
            <w:pPr>
              <w:rPr>
                <w:sz w:val="20"/>
                <w:szCs w:val="20"/>
              </w:rPr>
            </w:pPr>
            <w:r w:rsidRPr="004A3B4A">
              <w:rPr>
                <w:sz w:val="20"/>
                <w:szCs w:val="20"/>
              </w:rPr>
              <w:t>4</w:t>
            </w:r>
          </w:p>
        </w:tc>
        <w:tc>
          <w:tcPr>
            <w:tcW w:w="5670" w:type="dxa"/>
          </w:tcPr>
          <w:p w14:paraId="32CBEF70" w14:textId="29D4EA2B" w:rsidR="00E01440" w:rsidRPr="004A3B4A" w:rsidRDefault="00E75521" w:rsidP="00B8784F">
            <w:pPr>
              <w:rPr>
                <w:sz w:val="20"/>
                <w:szCs w:val="20"/>
              </w:rPr>
            </w:pPr>
            <w:r>
              <w:rPr>
                <w:sz w:val="20"/>
                <w:szCs w:val="20"/>
              </w:rPr>
              <w:t xml:space="preserve">Extend March Governance Group meeting </w:t>
            </w:r>
            <w:r w:rsidR="00FB44A3">
              <w:rPr>
                <w:sz w:val="20"/>
                <w:szCs w:val="20"/>
              </w:rPr>
              <w:t xml:space="preserve">by 30 minutes </w:t>
            </w:r>
            <w:r>
              <w:rPr>
                <w:sz w:val="20"/>
                <w:szCs w:val="20"/>
              </w:rPr>
              <w:t>to review Terms of Reference and address key decisions</w:t>
            </w:r>
            <w:r w:rsidR="00FB44A3">
              <w:rPr>
                <w:sz w:val="20"/>
                <w:szCs w:val="20"/>
              </w:rPr>
              <w:t>.</w:t>
            </w:r>
          </w:p>
        </w:tc>
        <w:tc>
          <w:tcPr>
            <w:tcW w:w="1985" w:type="dxa"/>
          </w:tcPr>
          <w:p w14:paraId="54AD62CB" w14:textId="77777777" w:rsidR="00E01440" w:rsidRPr="004A3B4A" w:rsidRDefault="00E01440" w:rsidP="00B8784F">
            <w:pPr>
              <w:rPr>
                <w:sz w:val="20"/>
                <w:szCs w:val="20"/>
              </w:rPr>
            </w:pPr>
            <w:r w:rsidRPr="004A3B4A">
              <w:rPr>
                <w:sz w:val="20"/>
                <w:szCs w:val="20"/>
              </w:rPr>
              <w:t>Project Manager</w:t>
            </w:r>
          </w:p>
        </w:tc>
        <w:tc>
          <w:tcPr>
            <w:tcW w:w="1554" w:type="dxa"/>
          </w:tcPr>
          <w:p w14:paraId="1AB3EE0D" w14:textId="61BDE1D9" w:rsidR="00E01440" w:rsidRPr="004A3B4A" w:rsidRDefault="00E75521" w:rsidP="004A3B4A">
            <w:pPr>
              <w:rPr>
                <w:sz w:val="20"/>
                <w:szCs w:val="20"/>
              </w:rPr>
            </w:pPr>
            <w:r>
              <w:rPr>
                <w:sz w:val="20"/>
                <w:szCs w:val="20"/>
              </w:rPr>
              <w:t>Dec</w:t>
            </w:r>
            <w:r w:rsidR="00E01440" w:rsidRPr="004A3B4A">
              <w:rPr>
                <w:sz w:val="20"/>
                <w:szCs w:val="20"/>
              </w:rPr>
              <w:t xml:space="preserve"> 2019</w:t>
            </w:r>
          </w:p>
        </w:tc>
      </w:tr>
      <w:tr w:rsidR="00E01440" w:rsidRPr="004A3B4A" w14:paraId="56E70598" w14:textId="77777777" w:rsidTr="00FB44A3">
        <w:tc>
          <w:tcPr>
            <w:tcW w:w="709" w:type="dxa"/>
          </w:tcPr>
          <w:p w14:paraId="7B20AC8B" w14:textId="34ABA29B" w:rsidR="00E01440" w:rsidRPr="004A3B4A" w:rsidRDefault="00E01440" w:rsidP="00B8784F">
            <w:pPr>
              <w:rPr>
                <w:sz w:val="20"/>
                <w:szCs w:val="20"/>
              </w:rPr>
            </w:pPr>
            <w:r w:rsidRPr="004A3B4A">
              <w:rPr>
                <w:sz w:val="20"/>
                <w:szCs w:val="20"/>
              </w:rPr>
              <w:t>4</w:t>
            </w:r>
          </w:p>
        </w:tc>
        <w:tc>
          <w:tcPr>
            <w:tcW w:w="5670" w:type="dxa"/>
          </w:tcPr>
          <w:p w14:paraId="2F8840AA" w14:textId="2A9D8ADD" w:rsidR="00E01440" w:rsidRPr="004A3B4A" w:rsidRDefault="00B63FEE" w:rsidP="00E01440">
            <w:pPr>
              <w:rPr>
                <w:sz w:val="20"/>
                <w:szCs w:val="20"/>
              </w:rPr>
            </w:pPr>
            <w:r>
              <w:rPr>
                <w:sz w:val="20"/>
                <w:szCs w:val="20"/>
              </w:rPr>
              <w:t xml:space="preserve">Project team meeting with Governance Group </w:t>
            </w:r>
            <w:r w:rsidR="00B823CC">
              <w:rPr>
                <w:sz w:val="20"/>
                <w:szCs w:val="20"/>
              </w:rPr>
              <w:t>C</w:t>
            </w:r>
            <w:r>
              <w:rPr>
                <w:sz w:val="20"/>
                <w:szCs w:val="20"/>
              </w:rPr>
              <w:t>hair to discuss key decisions</w:t>
            </w:r>
            <w:r w:rsidR="00FB44A3">
              <w:rPr>
                <w:sz w:val="20"/>
                <w:szCs w:val="20"/>
              </w:rPr>
              <w:t>.</w:t>
            </w:r>
            <w:r>
              <w:rPr>
                <w:sz w:val="20"/>
                <w:szCs w:val="20"/>
              </w:rPr>
              <w:t xml:space="preserve"> </w:t>
            </w:r>
          </w:p>
        </w:tc>
        <w:tc>
          <w:tcPr>
            <w:tcW w:w="1985" w:type="dxa"/>
          </w:tcPr>
          <w:p w14:paraId="19259074" w14:textId="565DBBDB" w:rsidR="00E01440" w:rsidRPr="004A3B4A" w:rsidRDefault="00B63FEE" w:rsidP="00F4105B">
            <w:pPr>
              <w:rPr>
                <w:sz w:val="20"/>
                <w:szCs w:val="20"/>
              </w:rPr>
            </w:pPr>
            <w:r>
              <w:rPr>
                <w:rFonts w:cs="Arial"/>
                <w:sz w:val="20"/>
                <w:szCs w:val="20"/>
              </w:rPr>
              <w:t>Project Manager</w:t>
            </w:r>
          </w:p>
        </w:tc>
        <w:tc>
          <w:tcPr>
            <w:tcW w:w="1554" w:type="dxa"/>
          </w:tcPr>
          <w:p w14:paraId="51236BAF" w14:textId="48523C62" w:rsidR="00E01440" w:rsidRPr="004A3B4A" w:rsidRDefault="00B63FEE" w:rsidP="004A3B4A">
            <w:pPr>
              <w:rPr>
                <w:sz w:val="20"/>
                <w:szCs w:val="20"/>
              </w:rPr>
            </w:pPr>
            <w:r>
              <w:rPr>
                <w:sz w:val="20"/>
                <w:szCs w:val="20"/>
              </w:rPr>
              <w:t>Jan</w:t>
            </w:r>
            <w:r w:rsidR="00E01440" w:rsidRPr="004A3B4A">
              <w:rPr>
                <w:sz w:val="20"/>
                <w:szCs w:val="20"/>
              </w:rPr>
              <w:t xml:space="preserve"> 20</w:t>
            </w:r>
            <w:r w:rsidR="001C162E">
              <w:rPr>
                <w:sz w:val="20"/>
                <w:szCs w:val="20"/>
              </w:rPr>
              <w:t>20</w:t>
            </w:r>
          </w:p>
        </w:tc>
      </w:tr>
      <w:tr w:rsidR="00E01440" w:rsidRPr="004A3B4A" w14:paraId="6DC58B13" w14:textId="77777777" w:rsidTr="00FB44A3">
        <w:tc>
          <w:tcPr>
            <w:tcW w:w="709" w:type="dxa"/>
          </w:tcPr>
          <w:p w14:paraId="77CE7D12" w14:textId="1C6617FA" w:rsidR="00E01440" w:rsidRPr="004A3B4A" w:rsidRDefault="00847100" w:rsidP="00B8784F">
            <w:pPr>
              <w:rPr>
                <w:sz w:val="20"/>
                <w:szCs w:val="20"/>
              </w:rPr>
            </w:pPr>
            <w:r>
              <w:rPr>
                <w:sz w:val="20"/>
                <w:szCs w:val="20"/>
              </w:rPr>
              <w:t>6</w:t>
            </w:r>
          </w:p>
        </w:tc>
        <w:tc>
          <w:tcPr>
            <w:tcW w:w="5670" w:type="dxa"/>
          </w:tcPr>
          <w:p w14:paraId="47A1081C" w14:textId="60AABE24" w:rsidR="00E01440" w:rsidRPr="004A3B4A" w:rsidRDefault="001C162E" w:rsidP="00B8784F">
            <w:pPr>
              <w:rPr>
                <w:sz w:val="20"/>
                <w:szCs w:val="20"/>
              </w:rPr>
            </w:pPr>
            <w:r>
              <w:rPr>
                <w:sz w:val="20"/>
                <w:szCs w:val="20"/>
              </w:rPr>
              <w:t>Include update on Safe Staffing in Aged</w:t>
            </w:r>
            <w:r w:rsidR="00FB44A3">
              <w:rPr>
                <w:sz w:val="20"/>
                <w:szCs w:val="20"/>
              </w:rPr>
              <w:t xml:space="preserve"> </w:t>
            </w:r>
            <w:r>
              <w:rPr>
                <w:sz w:val="20"/>
                <w:szCs w:val="20"/>
              </w:rPr>
              <w:t xml:space="preserve">Care – the Staffing Standard on March 2020 </w:t>
            </w:r>
            <w:r w:rsidR="00B823CC">
              <w:rPr>
                <w:sz w:val="20"/>
                <w:szCs w:val="20"/>
              </w:rPr>
              <w:t>Governance Group meeting</w:t>
            </w:r>
            <w:r w:rsidR="00FB44A3">
              <w:rPr>
                <w:sz w:val="20"/>
                <w:szCs w:val="20"/>
              </w:rPr>
              <w:t>.</w:t>
            </w:r>
          </w:p>
        </w:tc>
        <w:tc>
          <w:tcPr>
            <w:tcW w:w="1985" w:type="dxa"/>
          </w:tcPr>
          <w:p w14:paraId="07C0FBA8" w14:textId="4B26053A" w:rsidR="00E01440" w:rsidRPr="004A3B4A" w:rsidRDefault="001C162E" w:rsidP="00B8784F">
            <w:pPr>
              <w:rPr>
                <w:sz w:val="20"/>
                <w:szCs w:val="20"/>
              </w:rPr>
            </w:pPr>
            <w:r>
              <w:rPr>
                <w:sz w:val="20"/>
                <w:szCs w:val="20"/>
              </w:rPr>
              <w:t>Project Manager</w:t>
            </w:r>
          </w:p>
        </w:tc>
        <w:tc>
          <w:tcPr>
            <w:tcW w:w="1554" w:type="dxa"/>
          </w:tcPr>
          <w:p w14:paraId="11831B93" w14:textId="3FD1EE3C" w:rsidR="00E01440" w:rsidRPr="004A3B4A" w:rsidRDefault="001C162E" w:rsidP="004A3B4A">
            <w:pPr>
              <w:rPr>
                <w:sz w:val="20"/>
                <w:szCs w:val="20"/>
              </w:rPr>
            </w:pPr>
            <w:r>
              <w:rPr>
                <w:sz w:val="20"/>
                <w:szCs w:val="20"/>
              </w:rPr>
              <w:t>Mar</w:t>
            </w:r>
            <w:r w:rsidR="00E01440" w:rsidRPr="004A3B4A">
              <w:rPr>
                <w:sz w:val="20"/>
                <w:szCs w:val="20"/>
              </w:rPr>
              <w:t xml:space="preserve"> 20</w:t>
            </w:r>
            <w:r>
              <w:rPr>
                <w:sz w:val="20"/>
                <w:szCs w:val="20"/>
              </w:rPr>
              <w:t>20</w:t>
            </w:r>
          </w:p>
        </w:tc>
      </w:tr>
      <w:tr w:rsidR="00847100" w:rsidRPr="004A3B4A" w14:paraId="7A8526D3" w14:textId="77777777" w:rsidTr="00FB44A3">
        <w:tc>
          <w:tcPr>
            <w:tcW w:w="709" w:type="dxa"/>
          </w:tcPr>
          <w:p w14:paraId="4350BBFD" w14:textId="13B295B5" w:rsidR="00847100" w:rsidRPr="004A3B4A" w:rsidRDefault="00847100" w:rsidP="00B8784F">
            <w:pPr>
              <w:rPr>
                <w:sz w:val="20"/>
                <w:szCs w:val="20"/>
              </w:rPr>
            </w:pPr>
            <w:r>
              <w:rPr>
                <w:sz w:val="20"/>
                <w:szCs w:val="20"/>
              </w:rPr>
              <w:t>7</w:t>
            </w:r>
          </w:p>
        </w:tc>
        <w:tc>
          <w:tcPr>
            <w:tcW w:w="5670" w:type="dxa"/>
          </w:tcPr>
          <w:p w14:paraId="0B48A5F1" w14:textId="114D6404" w:rsidR="00847100" w:rsidRDefault="00B823CC" w:rsidP="00B8784F">
            <w:pPr>
              <w:rPr>
                <w:sz w:val="20"/>
                <w:szCs w:val="20"/>
              </w:rPr>
            </w:pPr>
            <w:r>
              <w:rPr>
                <w:sz w:val="20"/>
                <w:szCs w:val="20"/>
              </w:rPr>
              <w:t>Work with Disability Directorate to seek disabled person to join the Governance Group</w:t>
            </w:r>
            <w:r w:rsidR="00FB44A3">
              <w:rPr>
                <w:sz w:val="20"/>
                <w:szCs w:val="20"/>
              </w:rPr>
              <w:t>.</w:t>
            </w:r>
          </w:p>
        </w:tc>
        <w:tc>
          <w:tcPr>
            <w:tcW w:w="1985" w:type="dxa"/>
          </w:tcPr>
          <w:p w14:paraId="7D12B788" w14:textId="05D7EAF0" w:rsidR="00847100" w:rsidRDefault="00B823CC" w:rsidP="00B8784F">
            <w:pPr>
              <w:rPr>
                <w:sz w:val="20"/>
                <w:szCs w:val="20"/>
              </w:rPr>
            </w:pPr>
            <w:r>
              <w:rPr>
                <w:sz w:val="20"/>
                <w:szCs w:val="20"/>
              </w:rPr>
              <w:t>Project Manager</w:t>
            </w:r>
          </w:p>
        </w:tc>
        <w:tc>
          <w:tcPr>
            <w:tcW w:w="1554" w:type="dxa"/>
          </w:tcPr>
          <w:p w14:paraId="5217EA52" w14:textId="005FE1AA" w:rsidR="00847100" w:rsidRDefault="00B823CC" w:rsidP="004A3B4A">
            <w:pPr>
              <w:rPr>
                <w:sz w:val="20"/>
                <w:szCs w:val="20"/>
              </w:rPr>
            </w:pPr>
            <w:r>
              <w:rPr>
                <w:sz w:val="20"/>
                <w:szCs w:val="20"/>
              </w:rPr>
              <w:t>Dec 2020</w:t>
            </w:r>
          </w:p>
        </w:tc>
      </w:tr>
    </w:tbl>
    <w:p w14:paraId="30156D01" w14:textId="77777777" w:rsidR="00DD1246" w:rsidRPr="004C7F24" w:rsidRDefault="00DD1246" w:rsidP="00244B13">
      <w:pPr>
        <w:rPr>
          <w:sz w:val="22"/>
          <w:szCs w:val="22"/>
        </w:rPr>
      </w:pPr>
    </w:p>
    <w:sectPr w:rsidR="00DD1246" w:rsidRPr="004C7F24" w:rsidSect="00AF3E7C">
      <w:footerReference w:type="default" r:id="rId9"/>
      <w:pgSz w:w="11907" w:h="16840" w:code="9"/>
      <w:pgMar w:top="567" w:right="992" w:bottom="624" w:left="992" w:header="567" w:footer="113"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4D7F" w14:textId="77777777" w:rsidR="00C05EAD" w:rsidRDefault="00C05EAD">
      <w:r>
        <w:separator/>
      </w:r>
    </w:p>
  </w:endnote>
  <w:endnote w:type="continuationSeparator" w:id="0">
    <w:p w14:paraId="21D97CC0" w14:textId="77777777" w:rsidR="00C05EAD" w:rsidRDefault="00C0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val="0"/>
        <w:szCs w:val="20"/>
      </w:rPr>
      <w:id w:val="-477297122"/>
      <w:docPartObj>
        <w:docPartGallery w:val="Page Numbers (Bottom of Page)"/>
        <w:docPartUnique/>
      </w:docPartObj>
    </w:sdtPr>
    <w:sdtEndPr/>
    <w:sdtContent>
      <w:sdt>
        <w:sdtPr>
          <w:rPr>
            <w:rFonts w:ascii="Arial" w:hAnsi="Arial" w:cs="Arial"/>
            <w:b w:val="0"/>
            <w:szCs w:val="20"/>
          </w:rPr>
          <w:id w:val="-1769616900"/>
          <w:docPartObj>
            <w:docPartGallery w:val="Page Numbers (Top of Page)"/>
            <w:docPartUnique/>
          </w:docPartObj>
        </w:sdtPr>
        <w:sdtEndPr/>
        <w:sdtContent>
          <w:p w14:paraId="024F8964" w14:textId="4E0B68AF" w:rsidR="00A24B3C" w:rsidRPr="00AF3E7C" w:rsidRDefault="00A24B3C">
            <w:pPr>
              <w:pStyle w:val="Footer"/>
              <w:jc w:val="right"/>
              <w:rPr>
                <w:rFonts w:ascii="Arial" w:hAnsi="Arial" w:cs="Arial"/>
                <w:b w:val="0"/>
                <w:szCs w:val="20"/>
              </w:rPr>
            </w:pPr>
            <w:r w:rsidRPr="00AF3E7C">
              <w:rPr>
                <w:rFonts w:ascii="Arial" w:hAnsi="Arial" w:cs="Arial"/>
                <w:b w:val="0"/>
                <w:szCs w:val="20"/>
              </w:rPr>
              <w:t xml:space="preserve">Page </w:t>
            </w:r>
            <w:r w:rsidRPr="00AF3E7C">
              <w:rPr>
                <w:rFonts w:ascii="Arial" w:hAnsi="Arial" w:cs="Arial"/>
                <w:b w:val="0"/>
                <w:bCs/>
                <w:szCs w:val="20"/>
              </w:rPr>
              <w:fldChar w:fldCharType="begin"/>
            </w:r>
            <w:r w:rsidRPr="00AF3E7C">
              <w:rPr>
                <w:rFonts w:ascii="Arial" w:hAnsi="Arial" w:cs="Arial"/>
                <w:b w:val="0"/>
                <w:bCs/>
                <w:szCs w:val="20"/>
              </w:rPr>
              <w:instrText xml:space="preserve"> PAGE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r w:rsidRPr="00AF3E7C">
              <w:rPr>
                <w:rFonts w:ascii="Arial" w:hAnsi="Arial" w:cs="Arial"/>
                <w:b w:val="0"/>
                <w:szCs w:val="20"/>
              </w:rPr>
              <w:t xml:space="preserve"> of </w:t>
            </w:r>
            <w:r w:rsidRPr="00AF3E7C">
              <w:rPr>
                <w:rFonts w:ascii="Arial" w:hAnsi="Arial" w:cs="Arial"/>
                <w:b w:val="0"/>
                <w:bCs/>
                <w:szCs w:val="20"/>
              </w:rPr>
              <w:fldChar w:fldCharType="begin"/>
            </w:r>
            <w:r w:rsidRPr="00AF3E7C">
              <w:rPr>
                <w:rFonts w:ascii="Arial" w:hAnsi="Arial" w:cs="Arial"/>
                <w:b w:val="0"/>
                <w:bCs/>
                <w:szCs w:val="20"/>
              </w:rPr>
              <w:instrText xml:space="preserve"> NUMPAGES  </w:instrText>
            </w:r>
            <w:r w:rsidRPr="00AF3E7C">
              <w:rPr>
                <w:rFonts w:ascii="Arial" w:hAnsi="Arial" w:cs="Arial"/>
                <w:b w:val="0"/>
                <w:bCs/>
                <w:szCs w:val="20"/>
              </w:rPr>
              <w:fldChar w:fldCharType="separate"/>
            </w:r>
            <w:r w:rsidRPr="00AF3E7C">
              <w:rPr>
                <w:rFonts w:ascii="Arial" w:hAnsi="Arial" w:cs="Arial"/>
                <w:b w:val="0"/>
                <w:bCs/>
                <w:noProof/>
                <w:szCs w:val="20"/>
              </w:rPr>
              <w:t>2</w:t>
            </w:r>
            <w:r w:rsidRPr="00AF3E7C">
              <w:rPr>
                <w:rFonts w:ascii="Arial" w:hAnsi="Arial" w:cs="Arial"/>
                <w:b w:val="0"/>
                <w:bCs/>
                <w:szCs w:val="20"/>
              </w:rPr>
              <w:fldChar w:fldCharType="end"/>
            </w:r>
          </w:p>
        </w:sdtContent>
      </w:sdt>
    </w:sdtContent>
  </w:sdt>
  <w:p w14:paraId="03803A3B" w14:textId="77777777" w:rsidR="00A24B3C" w:rsidRDefault="00A2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1CAF" w14:textId="77777777" w:rsidR="00C05EAD" w:rsidRDefault="00C05EAD">
      <w:r>
        <w:separator/>
      </w:r>
    </w:p>
  </w:footnote>
  <w:footnote w:type="continuationSeparator" w:id="0">
    <w:p w14:paraId="5E786882" w14:textId="77777777" w:rsidR="00C05EAD" w:rsidRDefault="00C0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B79"/>
    <w:multiLevelType w:val="hybridMultilevel"/>
    <w:tmpl w:val="47DC58DC"/>
    <w:lvl w:ilvl="0" w:tplc="0B702D1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AA616F"/>
    <w:multiLevelType w:val="hybridMultilevel"/>
    <w:tmpl w:val="ECF64CA4"/>
    <w:lvl w:ilvl="0" w:tplc="C9B01668">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9A3545"/>
    <w:multiLevelType w:val="hybridMultilevel"/>
    <w:tmpl w:val="D70EF748"/>
    <w:lvl w:ilvl="0" w:tplc="68F02A4A">
      <w:start w:val="1"/>
      <w:numFmt w:val="bullet"/>
      <w:lvlText w:val=""/>
      <w:lvlJc w:val="left"/>
      <w:pPr>
        <w:ind w:left="720" w:hanging="360"/>
      </w:pPr>
      <w:rPr>
        <w:rFonts w:ascii="Symbol" w:eastAsiaTheme="minorHAns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971A92"/>
    <w:multiLevelType w:val="hybridMultilevel"/>
    <w:tmpl w:val="37DAFACA"/>
    <w:lvl w:ilvl="0" w:tplc="7F569240">
      <w:start w:val="1"/>
      <w:numFmt w:val="bullet"/>
      <w:lvlText w:val="-"/>
      <w:lvlJc w:val="left"/>
      <w:pPr>
        <w:ind w:left="927" w:hanging="360"/>
      </w:pPr>
      <w:rPr>
        <w:rFonts w:ascii="Arial" w:eastAsia="Times New Roman" w:hAnsi="Arial" w:cs="Aria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15714ADE"/>
    <w:multiLevelType w:val="hybridMultilevel"/>
    <w:tmpl w:val="B600A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885E63"/>
    <w:multiLevelType w:val="hybridMultilevel"/>
    <w:tmpl w:val="A4EC7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52544A"/>
    <w:multiLevelType w:val="hybridMultilevel"/>
    <w:tmpl w:val="A1F81D1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30532F18"/>
    <w:multiLevelType w:val="hybridMultilevel"/>
    <w:tmpl w:val="C07C0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2D0AED"/>
    <w:multiLevelType w:val="hybridMultilevel"/>
    <w:tmpl w:val="609A5B22"/>
    <w:lvl w:ilvl="0" w:tplc="8CA2CCC6">
      <w:start w:val="1"/>
      <w:numFmt w:val="bullet"/>
      <w:pStyle w:val="Bullet"/>
      <w:lvlText w:val=""/>
      <w:lvlJc w:val="left"/>
      <w:pPr>
        <w:tabs>
          <w:tab w:val="num" w:pos="567"/>
        </w:tabs>
        <w:ind w:left="567" w:hanging="567"/>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6C60BF"/>
    <w:multiLevelType w:val="hybridMultilevel"/>
    <w:tmpl w:val="A0FED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4C45F4"/>
    <w:multiLevelType w:val="hybridMultilevel"/>
    <w:tmpl w:val="DC8EB8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BAA4D72"/>
    <w:multiLevelType w:val="hybridMultilevel"/>
    <w:tmpl w:val="1BEEE4E8"/>
    <w:lvl w:ilvl="0" w:tplc="E4A647F0">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A810E5"/>
    <w:multiLevelType w:val="hybridMultilevel"/>
    <w:tmpl w:val="9D7E7DB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613A46A9"/>
    <w:multiLevelType w:val="hybridMultilevel"/>
    <w:tmpl w:val="186AF2B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A0C0983"/>
    <w:multiLevelType w:val="hybridMultilevel"/>
    <w:tmpl w:val="1248C714"/>
    <w:lvl w:ilvl="0" w:tplc="DC1EF192">
      <w:start w:val="1"/>
      <w:numFmt w:val="decimal"/>
      <w:lvlText w:val="%1."/>
      <w:lvlJc w:val="left"/>
      <w:pPr>
        <w:ind w:left="360" w:hanging="360"/>
      </w:pPr>
      <w:rPr>
        <w:rFonts w:ascii="Arial" w:eastAsia="Times New Roman" w:hAnsi="Arial" w:cs="Time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num w:numId="1">
    <w:abstractNumId w:val="8"/>
  </w:num>
  <w:num w:numId="2">
    <w:abstractNumId w:val="9"/>
  </w:num>
  <w:num w:numId="3">
    <w:abstractNumId w:val="16"/>
  </w:num>
  <w:num w:numId="4">
    <w:abstractNumId w:val="10"/>
  </w:num>
  <w:num w:numId="5">
    <w:abstractNumId w:val="3"/>
  </w:num>
  <w:num w:numId="6">
    <w:abstractNumId w:val="14"/>
  </w:num>
  <w:num w:numId="7">
    <w:abstractNumId w:val="1"/>
  </w:num>
  <w:num w:numId="8">
    <w:abstractNumId w:val="6"/>
  </w:num>
  <w:num w:numId="9">
    <w:abstractNumId w:val="12"/>
  </w:num>
  <w:num w:numId="10">
    <w:abstractNumId w:val="0"/>
  </w:num>
  <w:num w:numId="11">
    <w:abstractNumId w:val="11"/>
  </w:num>
  <w:num w:numId="12">
    <w:abstractNumId w:val="7"/>
  </w:num>
  <w:num w:numId="13">
    <w:abstractNumId w:val="2"/>
  </w:num>
  <w:num w:numId="14">
    <w:abstractNumId w:val="13"/>
  </w:num>
  <w:num w:numId="15">
    <w:abstractNumId w:val="15"/>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02049"/>
    <w:rsid w:val="00002337"/>
    <w:rsid w:val="00006665"/>
    <w:rsid w:val="0001369A"/>
    <w:rsid w:val="00027E40"/>
    <w:rsid w:val="0003710F"/>
    <w:rsid w:val="00043324"/>
    <w:rsid w:val="00044B48"/>
    <w:rsid w:val="00050697"/>
    <w:rsid w:val="00053CDB"/>
    <w:rsid w:val="0005435B"/>
    <w:rsid w:val="000649D6"/>
    <w:rsid w:val="000675CB"/>
    <w:rsid w:val="00084C18"/>
    <w:rsid w:val="0009709A"/>
    <w:rsid w:val="000A009F"/>
    <w:rsid w:val="000A2F23"/>
    <w:rsid w:val="000C37B8"/>
    <w:rsid w:val="000F5040"/>
    <w:rsid w:val="000F76E7"/>
    <w:rsid w:val="000F77AF"/>
    <w:rsid w:val="0010759F"/>
    <w:rsid w:val="00114D52"/>
    <w:rsid w:val="0012724C"/>
    <w:rsid w:val="00134BBB"/>
    <w:rsid w:val="00136519"/>
    <w:rsid w:val="00156293"/>
    <w:rsid w:val="00161A80"/>
    <w:rsid w:val="00162F43"/>
    <w:rsid w:val="00170111"/>
    <w:rsid w:val="00175201"/>
    <w:rsid w:val="00181ABF"/>
    <w:rsid w:val="001828E9"/>
    <w:rsid w:val="001834D3"/>
    <w:rsid w:val="0018640A"/>
    <w:rsid w:val="00187AA9"/>
    <w:rsid w:val="00190D84"/>
    <w:rsid w:val="00194D60"/>
    <w:rsid w:val="001C162E"/>
    <w:rsid w:val="001C27C0"/>
    <w:rsid w:val="001D52A9"/>
    <w:rsid w:val="001D6742"/>
    <w:rsid w:val="001E2DCC"/>
    <w:rsid w:val="001F292F"/>
    <w:rsid w:val="00210921"/>
    <w:rsid w:val="00213BBD"/>
    <w:rsid w:val="00214ABA"/>
    <w:rsid w:val="002174BC"/>
    <w:rsid w:val="00231C91"/>
    <w:rsid w:val="002345F1"/>
    <w:rsid w:val="002376A2"/>
    <w:rsid w:val="00243C6E"/>
    <w:rsid w:val="00244B13"/>
    <w:rsid w:val="00245E7A"/>
    <w:rsid w:val="00246A53"/>
    <w:rsid w:val="002676D6"/>
    <w:rsid w:val="0027447E"/>
    <w:rsid w:val="00274BFF"/>
    <w:rsid w:val="00275C37"/>
    <w:rsid w:val="00280A23"/>
    <w:rsid w:val="00283DA9"/>
    <w:rsid w:val="0029295D"/>
    <w:rsid w:val="002A1D05"/>
    <w:rsid w:val="002A3B9B"/>
    <w:rsid w:val="002A4D54"/>
    <w:rsid w:val="002B49E8"/>
    <w:rsid w:val="002C2E04"/>
    <w:rsid w:val="002C681A"/>
    <w:rsid w:val="002C7CF5"/>
    <w:rsid w:val="002E1713"/>
    <w:rsid w:val="002E5769"/>
    <w:rsid w:val="002F0FB6"/>
    <w:rsid w:val="00304CDA"/>
    <w:rsid w:val="003103A6"/>
    <w:rsid w:val="00325F29"/>
    <w:rsid w:val="00326F50"/>
    <w:rsid w:val="0034743A"/>
    <w:rsid w:val="00351003"/>
    <w:rsid w:val="00353EBC"/>
    <w:rsid w:val="00361521"/>
    <w:rsid w:val="00371693"/>
    <w:rsid w:val="00371B64"/>
    <w:rsid w:val="00373666"/>
    <w:rsid w:val="00373F4D"/>
    <w:rsid w:val="003814B1"/>
    <w:rsid w:val="00390833"/>
    <w:rsid w:val="00392D1D"/>
    <w:rsid w:val="003A169D"/>
    <w:rsid w:val="003B13E6"/>
    <w:rsid w:val="003C0969"/>
    <w:rsid w:val="003C1E37"/>
    <w:rsid w:val="003C531B"/>
    <w:rsid w:val="003D11AC"/>
    <w:rsid w:val="003E0E31"/>
    <w:rsid w:val="003E1D0C"/>
    <w:rsid w:val="003E206A"/>
    <w:rsid w:val="003E2A56"/>
    <w:rsid w:val="003E3955"/>
    <w:rsid w:val="003F0AD4"/>
    <w:rsid w:val="003F585B"/>
    <w:rsid w:val="003F6444"/>
    <w:rsid w:val="00407082"/>
    <w:rsid w:val="00410045"/>
    <w:rsid w:val="0041163D"/>
    <w:rsid w:val="0041254F"/>
    <w:rsid w:val="00416C24"/>
    <w:rsid w:val="004175B2"/>
    <w:rsid w:val="00421973"/>
    <w:rsid w:val="0043156E"/>
    <w:rsid w:val="00433AD2"/>
    <w:rsid w:val="004346BC"/>
    <w:rsid w:val="00436844"/>
    <w:rsid w:val="00436A4D"/>
    <w:rsid w:val="00441FBC"/>
    <w:rsid w:val="00462189"/>
    <w:rsid w:val="00466ACA"/>
    <w:rsid w:val="00471F6E"/>
    <w:rsid w:val="00473625"/>
    <w:rsid w:val="004757F3"/>
    <w:rsid w:val="00475F7B"/>
    <w:rsid w:val="004769A4"/>
    <w:rsid w:val="00480C49"/>
    <w:rsid w:val="00482FA0"/>
    <w:rsid w:val="00483785"/>
    <w:rsid w:val="00487546"/>
    <w:rsid w:val="004877A2"/>
    <w:rsid w:val="004A21C2"/>
    <w:rsid w:val="004A3B4A"/>
    <w:rsid w:val="004A455E"/>
    <w:rsid w:val="004C3CF7"/>
    <w:rsid w:val="004C53DB"/>
    <w:rsid w:val="004C7F24"/>
    <w:rsid w:val="004D05F3"/>
    <w:rsid w:val="004D4F5A"/>
    <w:rsid w:val="004D55C3"/>
    <w:rsid w:val="004D5848"/>
    <w:rsid w:val="004E46A2"/>
    <w:rsid w:val="004E6AAC"/>
    <w:rsid w:val="004F4883"/>
    <w:rsid w:val="004F5F3A"/>
    <w:rsid w:val="005004AA"/>
    <w:rsid w:val="00502507"/>
    <w:rsid w:val="00510544"/>
    <w:rsid w:val="005136D4"/>
    <w:rsid w:val="00520F46"/>
    <w:rsid w:val="005337E7"/>
    <w:rsid w:val="00533C44"/>
    <w:rsid w:val="00535566"/>
    <w:rsid w:val="005373EC"/>
    <w:rsid w:val="0055326D"/>
    <w:rsid w:val="00553E57"/>
    <w:rsid w:val="00554245"/>
    <w:rsid w:val="00562D6B"/>
    <w:rsid w:val="005633F3"/>
    <w:rsid w:val="0056515C"/>
    <w:rsid w:val="00567E7B"/>
    <w:rsid w:val="0057482E"/>
    <w:rsid w:val="00575136"/>
    <w:rsid w:val="00577B82"/>
    <w:rsid w:val="00581AB1"/>
    <w:rsid w:val="00581B6F"/>
    <w:rsid w:val="0058687A"/>
    <w:rsid w:val="005A176E"/>
    <w:rsid w:val="005A44BA"/>
    <w:rsid w:val="005B4AB1"/>
    <w:rsid w:val="005C09F1"/>
    <w:rsid w:val="005C2CF3"/>
    <w:rsid w:val="005C432E"/>
    <w:rsid w:val="005D32F4"/>
    <w:rsid w:val="005D4953"/>
    <w:rsid w:val="005E5964"/>
    <w:rsid w:val="005F1099"/>
    <w:rsid w:val="00601D9C"/>
    <w:rsid w:val="00606E7D"/>
    <w:rsid w:val="0061210F"/>
    <w:rsid w:val="00616DD5"/>
    <w:rsid w:val="006226B0"/>
    <w:rsid w:val="00625A66"/>
    <w:rsid w:val="00627CDC"/>
    <w:rsid w:val="0063125F"/>
    <w:rsid w:val="006343A9"/>
    <w:rsid w:val="00634A6C"/>
    <w:rsid w:val="0064168B"/>
    <w:rsid w:val="006442A5"/>
    <w:rsid w:val="00645201"/>
    <w:rsid w:val="006514B1"/>
    <w:rsid w:val="00651830"/>
    <w:rsid w:val="00653FA6"/>
    <w:rsid w:val="00666014"/>
    <w:rsid w:val="00666D36"/>
    <w:rsid w:val="00681615"/>
    <w:rsid w:val="0068302E"/>
    <w:rsid w:val="00686182"/>
    <w:rsid w:val="00691636"/>
    <w:rsid w:val="006933D9"/>
    <w:rsid w:val="006935EC"/>
    <w:rsid w:val="006A694A"/>
    <w:rsid w:val="006A6DFF"/>
    <w:rsid w:val="006C3AB4"/>
    <w:rsid w:val="006C5BCD"/>
    <w:rsid w:val="006D1070"/>
    <w:rsid w:val="006E0737"/>
    <w:rsid w:val="006E372E"/>
    <w:rsid w:val="006E599F"/>
    <w:rsid w:val="006F68D0"/>
    <w:rsid w:val="00712950"/>
    <w:rsid w:val="0072546C"/>
    <w:rsid w:val="00725D0A"/>
    <w:rsid w:val="00727192"/>
    <w:rsid w:val="007434C3"/>
    <w:rsid w:val="00747BC2"/>
    <w:rsid w:val="007749A4"/>
    <w:rsid w:val="00794FF7"/>
    <w:rsid w:val="007A0120"/>
    <w:rsid w:val="007B0E83"/>
    <w:rsid w:val="007B414E"/>
    <w:rsid w:val="007B79CE"/>
    <w:rsid w:val="007C4C36"/>
    <w:rsid w:val="007D0BE4"/>
    <w:rsid w:val="007D697E"/>
    <w:rsid w:val="007D7E2D"/>
    <w:rsid w:val="007E492D"/>
    <w:rsid w:val="007F65D4"/>
    <w:rsid w:val="007F6CED"/>
    <w:rsid w:val="00802041"/>
    <w:rsid w:val="00802389"/>
    <w:rsid w:val="0080314D"/>
    <w:rsid w:val="008059DA"/>
    <w:rsid w:val="00812043"/>
    <w:rsid w:val="00813768"/>
    <w:rsid w:val="00813D47"/>
    <w:rsid w:val="00824003"/>
    <w:rsid w:val="008329AF"/>
    <w:rsid w:val="008367FE"/>
    <w:rsid w:val="00847100"/>
    <w:rsid w:val="008559D7"/>
    <w:rsid w:val="00863FE4"/>
    <w:rsid w:val="00870E6F"/>
    <w:rsid w:val="00873D65"/>
    <w:rsid w:val="00874C30"/>
    <w:rsid w:val="008757C9"/>
    <w:rsid w:val="008847A2"/>
    <w:rsid w:val="00884B15"/>
    <w:rsid w:val="008A0619"/>
    <w:rsid w:val="008A3320"/>
    <w:rsid w:val="008C00A2"/>
    <w:rsid w:val="008C3902"/>
    <w:rsid w:val="008D7E6A"/>
    <w:rsid w:val="008E43A2"/>
    <w:rsid w:val="008E4BAE"/>
    <w:rsid w:val="008F0EBF"/>
    <w:rsid w:val="008F1BBC"/>
    <w:rsid w:val="008F5297"/>
    <w:rsid w:val="008F58CD"/>
    <w:rsid w:val="008F7957"/>
    <w:rsid w:val="0090647B"/>
    <w:rsid w:val="009068E2"/>
    <w:rsid w:val="00916A47"/>
    <w:rsid w:val="00916D08"/>
    <w:rsid w:val="009253BF"/>
    <w:rsid w:val="0092561B"/>
    <w:rsid w:val="00931A22"/>
    <w:rsid w:val="00932FE0"/>
    <w:rsid w:val="009401BB"/>
    <w:rsid w:val="009429D0"/>
    <w:rsid w:val="0094471B"/>
    <w:rsid w:val="00951CF9"/>
    <w:rsid w:val="00963BE2"/>
    <w:rsid w:val="009645B6"/>
    <w:rsid w:val="00967B4E"/>
    <w:rsid w:val="0097142E"/>
    <w:rsid w:val="0097163F"/>
    <w:rsid w:val="009842FE"/>
    <w:rsid w:val="009A0965"/>
    <w:rsid w:val="009A38BD"/>
    <w:rsid w:val="009B3639"/>
    <w:rsid w:val="009B3A23"/>
    <w:rsid w:val="009B4781"/>
    <w:rsid w:val="009D0671"/>
    <w:rsid w:val="009D2DA4"/>
    <w:rsid w:val="009D3761"/>
    <w:rsid w:val="009F123F"/>
    <w:rsid w:val="009F2E59"/>
    <w:rsid w:val="00A006DA"/>
    <w:rsid w:val="00A02A0B"/>
    <w:rsid w:val="00A02DF8"/>
    <w:rsid w:val="00A07939"/>
    <w:rsid w:val="00A24B3C"/>
    <w:rsid w:val="00A34CFF"/>
    <w:rsid w:val="00A41109"/>
    <w:rsid w:val="00A42800"/>
    <w:rsid w:val="00A47BF8"/>
    <w:rsid w:val="00A502BC"/>
    <w:rsid w:val="00A54328"/>
    <w:rsid w:val="00A54D8A"/>
    <w:rsid w:val="00A555BA"/>
    <w:rsid w:val="00A57E27"/>
    <w:rsid w:val="00A63E3A"/>
    <w:rsid w:val="00A64804"/>
    <w:rsid w:val="00A659D5"/>
    <w:rsid w:val="00A6734A"/>
    <w:rsid w:val="00A6770C"/>
    <w:rsid w:val="00A8192B"/>
    <w:rsid w:val="00A9045F"/>
    <w:rsid w:val="00A967C2"/>
    <w:rsid w:val="00AA0A39"/>
    <w:rsid w:val="00AA14D3"/>
    <w:rsid w:val="00AC2FC2"/>
    <w:rsid w:val="00AD59BA"/>
    <w:rsid w:val="00AE3ABC"/>
    <w:rsid w:val="00AE47D8"/>
    <w:rsid w:val="00AF3E7C"/>
    <w:rsid w:val="00AF6857"/>
    <w:rsid w:val="00AF7A3A"/>
    <w:rsid w:val="00B03B94"/>
    <w:rsid w:val="00B11156"/>
    <w:rsid w:val="00B14C13"/>
    <w:rsid w:val="00B161E6"/>
    <w:rsid w:val="00B276D1"/>
    <w:rsid w:val="00B318E6"/>
    <w:rsid w:val="00B433E3"/>
    <w:rsid w:val="00B5413F"/>
    <w:rsid w:val="00B6099E"/>
    <w:rsid w:val="00B63FEE"/>
    <w:rsid w:val="00B75982"/>
    <w:rsid w:val="00B768CC"/>
    <w:rsid w:val="00B823CC"/>
    <w:rsid w:val="00B85735"/>
    <w:rsid w:val="00B8784F"/>
    <w:rsid w:val="00B90CA5"/>
    <w:rsid w:val="00B940A8"/>
    <w:rsid w:val="00BA28A7"/>
    <w:rsid w:val="00BA4BCE"/>
    <w:rsid w:val="00BA6B98"/>
    <w:rsid w:val="00BA6BDA"/>
    <w:rsid w:val="00BA72DE"/>
    <w:rsid w:val="00BB0404"/>
    <w:rsid w:val="00BB1E3F"/>
    <w:rsid w:val="00BC36EC"/>
    <w:rsid w:val="00BE4F5C"/>
    <w:rsid w:val="00BF0FD1"/>
    <w:rsid w:val="00BF4AF3"/>
    <w:rsid w:val="00C00AD6"/>
    <w:rsid w:val="00C01E4A"/>
    <w:rsid w:val="00C05EAD"/>
    <w:rsid w:val="00C1487C"/>
    <w:rsid w:val="00C17199"/>
    <w:rsid w:val="00C34497"/>
    <w:rsid w:val="00C54068"/>
    <w:rsid w:val="00C609B5"/>
    <w:rsid w:val="00C74480"/>
    <w:rsid w:val="00C755A4"/>
    <w:rsid w:val="00C75BEF"/>
    <w:rsid w:val="00C8137F"/>
    <w:rsid w:val="00C86776"/>
    <w:rsid w:val="00C9518B"/>
    <w:rsid w:val="00CA4834"/>
    <w:rsid w:val="00CA5F5D"/>
    <w:rsid w:val="00CB2656"/>
    <w:rsid w:val="00CB282F"/>
    <w:rsid w:val="00CB4602"/>
    <w:rsid w:val="00CB7AC2"/>
    <w:rsid w:val="00CC244D"/>
    <w:rsid w:val="00CC5D65"/>
    <w:rsid w:val="00CC7779"/>
    <w:rsid w:val="00CD1119"/>
    <w:rsid w:val="00CD227E"/>
    <w:rsid w:val="00CD5019"/>
    <w:rsid w:val="00CE1ED2"/>
    <w:rsid w:val="00CE716A"/>
    <w:rsid w:val="00CF4D1A"/>
    <w:rsid w:val="00D13B77"/>
    <w:rsid w:val="00D15710"/>
    <w:rsid w:val="00D16DCE"/>
    <w:rsid w:val="00D218B2"/>
    <w:rsid w:val="00D2492C"/>
    <w:rsid w:val="00D36767"/>
    <w:rsid w:val="00D37280"/>
    <w:rsid w:val="00D3787F"/>
    <w:rsid w:val="00D4139C"/>
    <w:rsid w:val="00D50193"/>
    <w:rsid w:val="00D54A27"/>
    <w:rsid w:val="00D5598B"/>
    <w:rsid w:val="00D66607"/>
    <w:rsid w:val="00D6773D"/>
    <w:rsid w:val="00D92447"/>
    <w:rsid w:val="00D94C9D"/>
    <w:rsid w:val="00DA035C"/>
    <w:rsid w:val="00DA17A5"/>
    <w:rsid w:val="00DA708A"/>
    <w:rsid w:val="00DB02DB"/>
    <w:rsid w:val="00DB795F"/>
    <w:rsid w:val="00DC3ADF"/>
    <w:rsid w:val="00DC3CD1"/>
    <w:rsid w:val="00DC45FE"/>
    <w:rsid w:val="00DC6BFC"/>
    <w:rsid w:val="00DD1246"/>
    <w:rsid w:val="00DF2246"/>
    <w:rsid w:val="00E01440"/>
    <w:rsid w:val="00E04F02"/>
    <w:rsid w:val="00E1361F"/>
    <w:rsid w:val="00E140F9"/>
    <w:rsid w:val="00E142D7"/>
    <w:rsid w:val="00E14955"/>
    <w:rsid w:val="00E17012"/>
    <w:rsid w:val="00E17548"/>
    <w:rsid w:val="00E22861"/>
    <w:rsid w:val="00E26FD7"/>
    <w:rsid w:val="00E33ACC"/>
    <w:rsid w:val="00E34420"/>
    <w:rsid w:val="00E426F6"/>
    <w:rsid w:val="00E44267"/>
    <w:rsid w:val="00E4647E"/>
    <w:rsid w:val="00E505C5"/>
    <w:rsid w:val="00E50D90"/>
    <w:rsid w:val="00E52C3E"/>
    <w:rsid w:val="00E611F1"/>
    <w:rsid w:val="00E66C53"/>
    <w:rsid w:val="00E72109"/>
    <w:rsid w:val="00E75521"/>
    <w:rsid w:val="00E80A14"/>
    <w:rsid w:val="00E81B2E"/>
    <w:rsid w:val="00E87725"/>
    <w:rsid w:val="00E94374"/>
    <w:rsid w:val="00EA69C2"/>
    <w:rsid w:val="00EB0B44"/>
    <w:rsid w:val="00EB3A1C"/>
    <w:rsid w:val="00EB5EDE"/>
    <w:rsid w:val="00EC0A56"/>
    <w:rsid w:val="00EC5359"/>
    <w:rsid w:val="00EC7E9A"/>
    <w:rsid w:val="00ED0D03"/>
    <w:rsid w:val="00ED693D"/>
    <w:rsid w:val="00EE49F4"/>
    <w:rsid w:val="00EF0B2D"/>
    <w:rsid w:val="00EF3E1E"/>
    <w:rsid w:val="00EF7471"/>
    <w:rsid w:val="00F03EF9"/>
    <w:rsid w:val="00F05BB3"/>
    <w:rsid w:val="00F33421"/>
    <w:rsid w:val="00F40834"/>
    <w:rsid w:val="00F4105B"/>
    <w:rsid w:val="00F41229"/>
    <w:rsid w:val="00F430C6"/>
    <w:rsid w:val="00F51D8A"/>
    <w:rsid w:val="00F526DB"/>
    <w:rsid w:val="00F64B1D"/>
    <w:rsid w:val="00F67AFA"/>
    <w:rsid w:val="00F8537A"/>
    <w:rsid w:val="00F91541"/>
    <w:rsid w:val="00F93B3A"/>
    <w:rsid w:val="00F96A1A"/>
    <w:rsid w:val="00FA404F"/>
    <w:rsid w:val="00FA514B"/>
    <w:rsid w:val="00FB44A3"/>
    <w:rsid w:val="00FC1D66"/>
    <w:rsid w:val="00FC49D1"/>
    <w:rsid w:val="00FC6B7B"/>
    <w:rsid w:val="00FC7263"/>
    <w:rsid w:val="00FD081E"/>
    <w:rsid w:val="00FD3320"/>
    <w:rsid w:val="00FD6ABC"/>
    <w:rsid w:val="00FE110D"/>
    <w:rsid w:val="00FE78AC"/>
    <w:rsid w:val="00FF1404"/>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1CDDA3"/>
  <w15:docId w15:val="{B1A203BB-6FE5-4776-8D2F-FF461034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404"/>
    <w:rPr>
      <w:rFonts w:ascii="Arial" w:hAnsi="Arial" w:cs="Times"/>
      <w:sz w:val="24"/>
      <w:szCs w:val="24"/>
      <w:lang w:eastAsia="en-GB"/>
    </w:rPr>
  </w:style>
  <w:style w:type="paragraph" w:styleId="Heading1">
    <w:name w:val="heading 1"/>
    <w:basedOn w:val="Normal"/>
    <w:next w:val="Normal"/>
    <w:qFormat/>
    <w:rsid w:val="008C00A2"/>
    <w:pPr>
      <w:keepNext/>
      <w:spacing w:before="240" w:after="120"/>
      <w:outlineLvl w:val="0"/>
    </w:pPr>
    <w:rPr>
      <w:rFonts w:cs="Arial"/>
      <w:b/>
      <w:bCs/>
      <w:szCs w:val="28"/>
    </w:rPr>
  </w:style>
  <w:style w:type="paragraph" w:styleId="Heading2">
    <w:name w:val="heading 2"/>
    <w:basedOn w:val="Normal"/>
    <w:next w:val="Normal"/>
    <w:qFormat/>
    <w:rsid w:val="00C609B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ullet">
    <w:name w:val="Box Bullet"/>
    <w:basedOn w:val="Normal"/>
    <w:rsid w:val="005E5964"/>
    <w:pPr>
      <w:pBdr>
        <w:top w:val="single" w:sz="4" w:space="12" w:color="auto"/>
        <w:left w:val="single" w:sz="4" w:space="12" w:color="auto"/>
        <w:bottom w:val="single" w:sz="4" w:space="12" w:color="auto"/>
        <w:right w:val="single" w:sz="4" w:space="12" w:color="auto"/>
      </w:pBdr>
      <w:spacing w:before="120"/>
      <w:ind w:right="284"/>
    </w:pPr>
    <w:rPr>
      <w:rFonts w:ascii="Arial Narrow" w:hAnsi="Arial Narrow" w:cs="Times New Roman"/>
      <w:sz w:val="20"/>
      <w:szCs w:val="20"/>
      <w:lang w:eastAsia="en-US"/>
    </w:rPr>
  </w:style>
  <w:style w:type="paragraph" w:customStyle="1" w:styleId="Bullet">
    <w:name w:val="Bullet"/>
    <w:basedOn w:val="Normal"/>
    <w:rsid w:val="00884B15"/>
    <w:pPr>
      <w:numPr>
        <w:numId w:val="1"/>
      </w:numPr>
      <w:tabs>
        <w:tab w:val="clear" w:pos="567"/>
        <w:tab w:val="num" w:pos="360"/>
      </w:tabs>
      <w:spacing w:before="120"/>
      <w:ind w:left="0" w:firstLine="0"/>
    </w:pPr>
    <w:rPr>
      <w:rFonts w:ascii="Times New Roman" w:hAnsi="Times New Roman"/>
    </w:rPr>
  </w:style>
  <w:style w:type="table" w:styleId="TableGrid">
    <w:name w:val="Table Grid"/>
    <w:basedOn w:val="TableNormal"/>
    <w:rsid w:val="00280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003"/>
    <w:pPr>
      <w:tabs>
        <w:tab w:val="center" w:pos="4320"/>
        <w:tab w:val="right" w:pos="8640"/>
      </w:tabs>
    </w:pPr>
  </w:style>
  <w:style w:type="paragraph" w:customStyle="1" w:styleId="TableText">
    <w:name w:val="TableText"/>
    <w:basedOn w:val="Normal"/>
    <w:rsid w:val="00280A23"/>
    <w:pPr>
      <w:spacing w:before="120" w:after="120"/>
    </w:pPr>
  </w:style>
  <w:style w:type="paragraph" w:styleId="Footer">
    <w:name w:val="footer"/>
    <w:basedOn w:val="Normal"/>
    <w:link w:val="FooterChar"/>
    <w:uiPriority w:val="99"/>
    <w:rsid w:val="007434C3"/>
    <w:pPr>
      <w:pBdr>
        <w:top w:val="single" w:sz="4" w:space="4" w:color="auto"/>
      </w:pBdr>
    </w:pPr>
    <w:rPr>
      <w:rFonts w:ascii="Georgia" w:hAnsi="Georgia"/>
      <w:b/>
      <w:sz w:val="20"/>
    </w:rPr>
  </w:style>
  <w:style w:type="character" w:styleId="PageNumber">
    <w:name w:val="page number"/>
    <w:basedOn w:val="DefaultParagraphFont"/>
    <w:rsid w:val="00DD1246"/>
  </w:style>
  <w:style w:type="paragraph" w:styleId="ListParagraph">
    <w:name w:val="List Paragraph"/>
    <w:basedOn w:val="Normal"/>
    <w:uiPriority w:val="34"/>
    <w:qFormat/>
    <w:rsid w:val="004175B2"/>
    <w:pPr>
      <w:ind w:left="720"/>
      <w:contextualSpacing/>
    </w:pPr>
  </w:style>
  <w:style w:type="paragraph" w:styleId="BalloonText">
    <w:name w:val="Balloon Text"/>
    <w:basedOn w:val="Normal"/>
    <w:link w:val="BalloonTextChar"/>
    <w:semiHidden/>
    <w:unhideWhenUsed/>
    <w:rsid w:val="00562D6B"/>
    <w:rPr>
      <w:rFonts w:ascii="Segoe UI" w:hAnsi="Segoe UI" w:cs="Segoe UI"/>
      <w:sz w:val="18"/>
      <w:szCs w:val="18"/>
    </w:rPr>
  </w:style>
  <w:style w:type="character" w:customStyle="1" w:styleId="BalloonTextChar">
    <w:name w:val="Balloon Text Char"/>
    <w:basedOn w:val="DefaultParagraphFont"/>
    <w:link w:val="BalloonText"/>
    <w:semiHidden/>
    <w:rsid w:val="00562D6B"/>
    <w:rPr>
      <w:rFonts w:ascii="Segoe UI" w:hAnsi="Segoe UI" w:cs="Segoe UI"/>
      <w:sz w:val="18"/>
      <w:szCs w:val="18"/>
      <w:lang w:eastAsia="en-GB"/>
    </w:rPr>
  </w:style>
  <w:style w:type="character" w:styleId="CommentReference">
    <w:name w:val="annotation reference"/>
    <w:basedOn w:val="DefaultParagraphFont"/>
    <w:semiHidden/>
    <w:unhideWhenUsed/>
    <w:rsid w:val="00BA6BDA"/>
    <w:rPr>
      <w:sz w:val="16"/>
      <w:szCs w:val="16"/>
    </w:rPr>
  </w:style>
  <w:style w:type="paragraph" w:styleId="CommentText">
    <w:name w:val="annotation text"/>
    <w:basedOn w:val="Normal"/>
    <w:link w:val="CommentTextChar"/>
    <w:semiHidden/>
    <w:unhideWhenUsed/>
    <w:rsid w:val="00BA6BDA"/>
    <w:rPr>
      <w:sz w:val="20"/>
      <w:szCs w:val="20"/>
    </w:rPr>
  </w:style>
  <w:style w:type="character" w:customStyle="1" w:styleId="CommentTextChar">
    <w:name w:val="Comment Text Char"/>
    <w:basedOn w:val="DefaultParagraphFont"/>
    <w:link w:val="CommentText"/>
    <w:semiHidden/>
    <w:rsid w:val="00BA6BDA"/>
    <w:rPr>
      <w:rFonts w:ascii="Arial" w:hAnsi="Arial" w:cs="Times"/>
      <w:lang w:eastAsia="en-GB"/>
    </w:rPr>
  </w:style>
  <w:style w:type="paragraph" w:styleId="CommentSubject">
    <w:name w:val="annotation subject"/>
    <w:basedOn w:val="CommentText"/>
    <w:next w:val="CommentText"/>
    <w:link w:val="CommentSubjectChar"/>
    <w:semiHidden/>
    <w:unhideWhenUsed/>
    <w:rsid w:val="00BA6BDA"/>
    <w:rPr>
      <w:b/>
      <w:bCs/>
    </w:rPr>
  </w:style>
  <w:style w:type="character" w:customStyle="1" w:styleId="CommentSubjectChar">
    <w:name w:val="Comment Subject Char"/>
    <w:basedOn w:val="CommentTextChar"/>
    <w:link w:val="CommentSubject"/>
    <w:semiHidden/>
    <w:rsid w:val="00BA6BDA"/>
    <w:rPr>
      <w:rFonts w:ascii="Arial" w:hAnsi="Arial" w:cs="Times"/>
      <w:b/>
      <w:bCs/>
      <w:lang w:eastAsia="en-GB"/>
    </w:rPr>
  </w:style>
  <w:style w:type="character" w:styleId="Hyperlink">
    <w:name w:val="Hyperlink"/>
    <w:basedOn w:val="DefaultParagraphFont"/>
    <w:unhideWhenUsed/>
    <w:rsid w:val="00616DD5"/>
    <w:rPr>
      <w:color w:val="0000FF" w:themeColor="hyperlink"/>
      <w:u w:val="single"/>
    </w:rPr>
  </w:style>
  <w:style w:type="character" w:styleId="UnresolvedMention">
    <w:name w:val="Unresolved Mention"/>
    <w:basedOn w:val="DefaultParagraphFont"/>
    <w:uiPriority w:val="99"/>
    <w:semiHidden/>
    <w:unhideWhenUsed/>
    <w:rsid w:val="00616DD5"/>
    <w:rPr>
      <w:color w:val="605E5C"/>
      <w:shd w:val="clear" w:color="auto" w:fill="E1DFDD"/>
    </w:rPr>
  </w:style>
  <w:style w:type="character" w:customStyle="1" w:styleId="FooterChar">
    <w:name w:val="Footer Char"/>
    <w:basedOn w:val="DefaultParagraphFont"/>
    <w:link w:val="Footer"/>
    <w:uiPriority w:val="99"/>
    <w:rsid w:val="00A24B3C"/>
    <w:rPr>
      <w:rFonts w:ascii="Georgia" w:hAnsi="Georgia" w:cs="Times"/>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health.nz/dhb-programmes-and-contracts/health-of-older-people-programme/aged-residential-care-funding-model-revie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C55FE326</Template>
  <TotalTime>2</TotalTime>
  <Pages>3</Pages>
  <Words>1027</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Review Governance Group Meeting Minutes December 2019</dc:title>
  <dc:subject/>
  <dc:creator>Ministry of Health</dc:creator>
  <cp:keywords/>
  <dc:description/>
  <cp:lastModifiedBy>Ministry of Health</cp:lastModifiedBy>
  <cp:revision>2</cp:revision>
  <cp:lastPrinted>2019-09-02T22:15:00Z</cp:lastPrinted>
  <dcterms:created xsi:type="dcterms:W3CDTF">2020-01-13T02:17:00Z</dcterms:created>
  <dcterms:modified xsi:type="dcterms:W3CDTF">2020-01-13T02:17:00Z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1070422574</vt:i4>
  </property>
  <property fmtid="{D5CDD505-2E9C-101B-9397-08002B2CF9AE}" pid="3" name="_EmailSubject">
    <vt:lpwstr>Fax and memo templates</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1070422574</vt:i4>
  </property>
  <property fmtid="{D5CDD505-2E9C-101B-9397-08002B2CF9AE}" pid="7" name="_ReviewingToolsShownOnce">
    <vt:lpwstr/>
  </property>
</Properties>
</file>