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3CD76" w14:textId="77777777" w:rsidR="00D83D1B" w:rsidRPr="00566DBE" w:rsidRDefault="00D83D1B" w:rsidP="00D83D1B">
      <w:pPr>
        <w:pStyle w:val="Title"/>
        <w:rPr>
          <w:rFonts w:asciiTheme="minorHAnsi" w:hAnsiTheme="minorHAnsi" w:cstheme="minorHAnsi"/>
          <w:sz w:val="28"/>
          <w:szCs w:val="28"/>
        </w:rPr>
      </w:pPr>
      <w:r w:rsidRPr="00566DBE">
        <w:rPr>
          <w:rFonts w:asciiTheme="minorHAnsi" w:hAnsiTheme="minorHAnsi" w:cstheme="minorHAnsi"/>
          <w:sz w:val="28"/>
          <w:szCs w:val="28"/>
        </w:rPr>
        <w:t>MENTAL HEALTH REVIEW TRIBUNAL</w:t>
      </w:r>
    </w:p>
    <w:p w14:paraId="23CDE742" w14:textId="77777777" w:rsidR="00D83D1B" w:rsidRPr="00682A7E" w:rsidRDefault="00D83D1B" w:rsidP="00D83D1B">
      <w:pPr>
        <w:pStyle w:val="Subtitle"/>
        <w:rPr>
          <w:rFonts w:asciiTheme="minorHAnsi" w:hAnsiTheme="minorHAnsi" w:cstheme="minorHAnsi"/>
          <w:sz w:val="22"/>
          <w:szCs w:val="22"/>
        </w:rPr>
      </w:pPr>
      <w:r w:rsidRPr="00682A7E">
        <w:rPr>
          <w:rFonts w:asciiTheme="minorHAnsi" w:hAnsiTheme="minorHAnsi" w:cstheme="minorHAnsi"/>
          <w:sz w:val="22"/>
          <w:szCs w:val="22"/>
        </w:rPr>
        <w:t>Mental Health (Compulsory Assessment and Treatment) Act 1992</w:t>
      </w:r>
    </w:p>
    <w:p w14:paraId="2D2D9C14" w14:textId="77777777" w:rsidR="00D83D1B" w:rsidRPr="00682A7E" w:rsidRDefault="00D83D1B" w:rsidP="00D83D1B">
      <w:pPr>
        <w:pStyle w:val="Heading2"/>
        <w:rPr>
          <w:rFonts w:asciiTheme="minorHAnsi" w:hAnsiTheme="minorHAnsi" w:cstheme="minorHAnsi"/>
          <w:sz w:val="22"/>
          <w:szCs w:val="22"/>
        </w:rPr>
      </w:pPr>
    </w:p>
    <w:p w14:paraId="49C98195" w14:textId="06FB558B" w:rsidR="00D83D1B" w:rsidRPr="00682A7E" w:rsidRDefault="00D83D1B" w:rsidP="00D83D1B">
      <w:pPr>
        <w:jc w:val="center"/>
        <w:rPr>
          <w:rFonts w:cstheme="minorHAnsi"/>
          <w:u w:val="single"/>
          <w:lang w:val="en-AU"/>
        </w:rPr>
      </w:pPr>
      <w:r w:rsidRPr="00682A7E">
        <w:rPr>
          <w:rFonts w:cstheme="minorHAnsi"/>
          <w:u w:val="single"/>
          <w:lang w:val="en-AU"/>
        </w:rPr>
        <w:t>Guidelines for reports to the Review Tribunal by Responsible Clinicians</w:t>
      </w:r>
      <w:r w:rsidR="00011959">
        <w:rPr>
          <w:rFonts w:cstheme="minorHAnsi"/>
          <w:u w:val="single"/>
          <w:lang w:val="en-AU"/>
        </w:rPr>
        <w:t>: March 2018</w:t>
      </w:r>
    </w:p>
    <w:p w14:paraId="527D148F" w14:textId="77777777" w:rsidR="00D83D1B" w:rsidRPr="00682A7E" w:rsidRDefault="00D83D1B" w:rsidP="00D83D1B">
      <w:pPr>
        <w:pStyle w:val="Heading2"/>
        <w:rPr>
          <w:rFonts w:asciiTheme="minorHAnsi" w:hAnsiTheme="minorHAnsi" w:cstheme="minorHAnsi"/>
          <w:sz w:val="22"/>
          <w:szCs w:val="22"/>
        </w:rPr>
      </w:pPr>
    </w:p>
    <w:p w14:paraId="238A8D37" w14:textId="77777777" w:rsidR="00D83D1B" w:rsidRPr="00682A7E" w:rsidRDefault="00D83D1B" w:rsidP="00D83D1B">
      <w:pPr>
        <w:jc w:val="both"/>
        <w:rPr>
          <w:rFonts w:cstheme="minorHAnsi"/>
        </w:rPr>
      </w:pPr>
      <w:r w:rsidRPr="00682A7E">
        <w:rPr>
          <w:rFonts w:cstheme="minorHAnsi"/>
          <w:b/>
          <w:lang w:val="en-AU"/>
        </w:rPr>
        <w:t>1.</w:t>
      </w:r>
      <w:r w:rsidRPr="00682A7E">
        <w:rPr>
          <w:rFonts w:cstheme="minorHAnsi"/>
          <w:b/>
          <w:lang w:val="en-AU"/>
        </w:rPr>
        <w:tab/>
        <w:t>Purpose</w:t>
      </w:r>
    </w:p>
    <w:p w14:paraId="1558339A" w14:textId="2FED10A8" w:rsidR="00D83D1B" w:rsidRPr="00682A7E" w:rsidRDefault="00D83D1B" w:rsidP="00D83D1B">
      <w:pPr>
        <w:ind w:left="720" w:hanging="720"/>
        <w:jc w:val="both"/>
        <w:rPr>
          <w:rFonts w:cstheme="minorHAnsi"/>
        </w:rPr>
      </w:pPr>
      <w:r w:rsidRPr="00682A7E">
        <w:rPr>
          <w:rFonts w:cstheme="minorHAnsi"/>
          <w:lang w:val="en-AU"/>
        </w:rPr>
        <w:t>1.</w:t>
      </w:r>
      <w:r w:rsidR="00522043">
        <w:rPr>
          <w:rFonts w:cstheme="minorHAnsi"/>
          <w:lang w:val="en-AU"/>
        </w:rPr>
        <w:t>1</w:t>
      </w:r>
      <w:r w:rsidRPr="00682A7E">
        <w:rPr>
          <w:rFonts w:cstheme="minorHAnsi"/>
          <w:lang w:val="en-AU"/>
        </w:rPr>
        <w:tab/>
        <w:t>The purpose of t</w:t>
      </w:r>
      <w:bookmarkStart w:id="0" w:name="_GoBack"/>
      <w:bookmarkEnd w:id="0"/>
      <w:r w:rsidRPr="00682A7E">
        <w:rPr>
          <w:rFonts w:cstheme="minorHAnsi"/>
          <w:lang w:val="en-AU"/>
        </w:rPr>
        <w:t>his guideline is to assist Responsible Clinicians</w:t>
      </w:r>
      <w:r w:rsidRPr="00682A7E" w:rsidDel="00C7130E">
        <w:rPr>
          <w:rFonts w:cstheme="minorHAnsi"/>
          <w:lang w:val="en-AU"/>
        </w:rPr>
        <w:t xml:space="preserve"> </w:t>
      </w:r>
      <w:r w:rsidRPr="00682A7E">
        <w:rPr>
          <w:rFonts w:cstheme="minorHAnsi"/>
          <w:lang w:val="en-AU"/>
        </w:rPr>
        <w:t xml:space="preserve">to provide reports to the Tribunal that give a proper basis for its decision making. </w:t>
      </w:r>
      <w:r w:rsidR="00522043">
        <w:rPr>
          <w:rFonts w:cstheme="minorHAnsi"/>
          <w:lang w:val="en-AU"/>
        </w:rPr>
        <w:t xml:space="preserve">We thank you for your cooperation. </w:t>
      </w:r>
      <w:r w:rsidRPr="00682A7E">
        <w:rPr>
          <w:rFonts w:cstheme="minorHAnsi"/>
          <w:lang w:val="en-AU"/>
        </w:rPr>
        <w:t>High quality reports are necessary to help ensure that:</w:t>
      </w:r>
    </w:p>
    <w:p w14:paraId="73C04C65" w14:textId="77777777" w:rsidR="00D83D1B" w:rsidRPr="00682A7E" w:rsidRDefault="00D83D1B" w:rsidP="00D83D1B">
      <w:pPr>
        <w:ind w:firstLine="720"/>
        <w:jc w:val="both"/>
        <w:rPr>
          <w:rFonts w:cstheme="minorHAnsi"/>
        </w:rPr>
      </w:pPr>
      <w:r w:rsidRPr="00682A7E">
        <w:rPr>
          <w:rFonts w:cstheme="minorHAnsi"/>
          <w:lang w:val="en-AU"/>
        </w:rPr>
        <w:t>(a)</w:t>
      </w:r>
      <w:r w:rsidRPr="00682A7E">
        <w:rPr>
          <w:rFonts w:cstheme="minorHAnsi"/>
          <w:lang w:val="en-AU"/>
        </w:rPr>
        <w:tab/>
      </w:r>
      <w:proofErr w:type="gramStart"/>
      <w:r w:rsidRPr="00682A7E">
        <w:rPr>
          <w:rFonts w:cstheme="minorHAnsi"/>
          <w:lang w:val="en-AU"/>
        </w:rPr>
        <w:t>the</w:t>
      </w:r>
      <w:proofErr w:type="gramEnd"/>
      <w:r w:rsidRPr="00682A7E">
        <w:rPr>
          <w:rFonts w:cstheme="minorHAnsi"/>
          <w:lang w:val="en-AU"/>
        </w:rPr>
        <w:t xml:space="preserve"> requirements of natural justice are met;</w:t>
      </w:r>
    </w:p>
    <w:p w14:paraId="333FBA66" w14:textId="77777777" w:rsidR="00D83D1B" w:rsidRPr="00682A7E" w:rsidRDefault="00D83D1B" w:rsidP="00D83D1B">
      <w:pPr>
        <w:ind w:firstLine="720"/>
        <w:jc w:val="both"/>
        <w:rPr>
          <w:rFonts w:cstheme="minorHAnsi"/>
        </w:rPr>
      </w:pPr>
      <w:r w:rsidRPr="00682A7E">
        <w:rPr>
          <w:rFonts w:cstheme="minorHAnsi"/>
          <w:lang w:val="en-AU"/>
        </w:rPr>
        <w:t>(b)</w:t>
      </w:r>
      <w:r w:rsidRPr="00682A7E">
        <w:rPr>
          <w:rFonts w:cstheme="minorHAnsi"/>
          <w:lang w:val="en-AU"/>
        </w:rPr>
        <w:tab/>
      </w:r>
      <w:proofErr w:type="gramStart"/>
      <w:r w:rsidRPr="00682A7E">
        <w:rPr>
          <w:rFonts w:cstheme="minorHAnsi"/>
          <w:lang w:val="en-AU"/>
        </w:rPr>
        <w:t>decisions</w:t>
      </w:r>
      <w:proofErr w:type="gramEnd"/>
      <w:r w:rsidRPr="00682A7E">
        <w:rPr>
          <w:rFonts w:cstheme="minorHAnsi"/>
          <w:lang w:val="en-AU"/>
        </w:rPr>
        <w:t xml:space="preserve"> can be made on a proper factual and legal basis;</w:t>
      </w:r>
    </w:p>
    <w:p w14:paraId="2EDEB0B3" w14:textId="77777777" w:rsidR="00D83D1B" w:rsidRPr="00682A7E" w:rsidRDefault="00D83D1B" w:rsidP="00D83D1B">
      <w:pPr>
        <w:ind w:left="1440" w:hanging="720"/>
        <w:jc w:val="both"/>
        <w:rPr>
          <w:rFonts w:cstheme="minorHAnsi"/>
        </w:rPr>
      </w:pPr>
      <w:r w:rsidRPr="00682A7E">
        <w:rPr>
          <w:rFonts w:cstheme="minorHAnsi"/>
          <w:lang w:val="en-AU"/>
        </w:rPr>
        <w:t>(c)</w:t>
      </w:r>
      <w:r w:rsidRPr="00682A7E">
        <w:rPr>
          <w:rFonts w:cstheme="minorHAnsi"/>
          <w:lang w:val="en-AU"/>
        </w:rPr>
        <w:tab/>
      </w:r>
      <w:proofErr w:type="gramStart"/>
      <w:r w:rsidRPr="00682A7E">
        <w:rPr>
          <w:rFonts w:cstheme="minorHAnsi"/>
          <w:lang w:val="en-AU"/>
        </w:rPr>
        <w:t>patients</w:t>
      </w:r>
      <w:proofErr w:type="gramEnd"/>
      <w:r w:rsidRPr="00682A7E">
        <w:rPr>
          <w:rFonts w:cstheme="minorHAnsi"/>
          <w:lang w:val="en-AU"/>
        </w:rPr>
        <w:t xml:space="preserve"> are not detained when they ought not to be, nor released when they ought not to be; and</w:t>
      </w:r>
    </w:p>
    <w:p w14:paraId="302D8E1B" w14:textId="77777777" w:rsidR="00D83D1B" w:rsidRPr="00682A7E" w:rsidRDefault="00D83D1B" w:rsidP="00D83D1B">
      <w:pPr>
        <w:ind w:firstLine="720"/>
        <w:jc w:val="both"/>
        <w:rPr>
          <w:rFonts w:cstheme="minorHAnsi"/>
        </w:rPr>
      </w:pPr>
      <w:r w:rsidRPr="00682A7E">
        <w:rPr>
          <w:rFonts w:cstheme="minorHAnsi"/>
          <w:lang w:val="en-AU"/>
        </w:rPr>
        <w:t>(d)</w:t>
      </w:r>
      <w:r w:rsidRPr="00682A7E">
        <w:rPr>
          <w:rFonts w:cstheme="minorHAnsi"/>
          <w:lang w:val="en-AU"/>
        </w:rPr>
        <w:tab/>
      </w:r>
      <w:proofErr w:type="gramStart"/>
      <w:r w:rsidRPr="00682A7E">
        <w:rPr>
          <w:rFonts w:cstheme="minorHAnsi"/>
          <w:lang w:val="en-AU"/>
        </w:rPr>
        <w:t>hearings</w:t>
      </w:r>
      <w:proofErr w:type="gramEnd"/>
      <w:r w:rsidRPr="00682A7E">
        <w:rPr>
          <w:rFonts w:cstheme="minorHAnsi"/>
          <w:lang w:val="en-AU"/>
        </w:rPr>
        <w:t xml:space="preserve"> are not delayed in order to seek further medical information. </w:t>
      </w:r>
    </w:p>
    <w:p w14:paraId="5EB17BCC" w14:textId="77777777" w:rsidR="00D83D1B" w:rsidRPr="00682A7E" w:rsidRDefault="00D83D1B" w:rsidP="00D83D1B">
      <w:pPr>
        <w:jc w:val="both"/>
        <w:rPr>
          <w:rFonts w:cstheme="minorHAnsi"/>
        </w:rPr>
      </w:pPr>
      <w:r w:rsidRPr="00682A7E">
        <w:rPr>
          <w:rFonts w:cstheme="minorHAnsi"/>
          <w:b/>
          <w:lang w:val="en-AU"/>
        </w:rPr>
        <w:t>2.</w:t>
      </w:r>
      <w:r w:rsidRPr="00682A7E">
        <w:rPr>
          <w:rFonts w:cstheme="minorHAnsi"/>
          <w:b/>
          <w:lang w:val="en-AU"/>
        </w:rPr>
        <w:tab/>
        <w:t>The role of the Tribunal</w:t>
      </w:r>
    </w:p>
    <w:p w14:paraId="59E720B7" w14:textId="77777777" w:rsidR="00D83D1B" w:rsidRPr="00682A7E" w:rsidRDefault="00D83D1B" w:rsidP="00D83D1B">
      <w:pPr>
        <w:ind w:left="720" w:hanging="720"/>
        <w:jc w:val="both"/>
        <w:rPr>
          <w:rFonts w:cstheme="minorHAnsi"/>
        </w:rPr>
      </w:pPr>
      <w:r w:rsidRPr="00682A7E">
        <w:rPr>
          <w:rFonts w:cstheme="minorHAnsi"/>
        </w:rPr>
        <w:t>2.1</w:t>
      </w:r>
      <w:r w:rsidRPr="00682A7E">
        <w:rPr>
          <w:rFonts w:cstheme="minorHAnsi"/>
        </w:rPr>
        <w:tab/>
        <w:t xml:space="preserve">The Tribunal performs an important statutory function that directly affects the rights and interests of patients treated with compulsory treatment orders, and can impact on their friends, family and the community. </w:t>
      </w:r>
    </w:p>
    <w:p w14:paraId="12DF03FF" w14:textId="77777777" w:rsidR="00D83D1B" w:rsidRPr="00682A7E" w:rsidRDefault="00D83D1B" w:rsidP="00D83D1B">
      <w:pPr>
        <w:ind w:left="720" w:hanging="720"/>
        <w:jc w:val="both"/>
        <w:rPr>
          <w:rFonts w:cstheme="minorHAnsi"/>
        </w:rPr>
      </w:pPr>
      <w:r w:rsidRPr="00682A7E">
        <w:rPr>
          <w:rFonts w:cstheme="minorHAnsi"/>
          <w:lang w:val="en-AU"/>
        </w:rPr>
        <w:t>2.2</w:t>
      </w:r>
      <w:r w:rsidRPr="00682A7E">
        <w:rPr>
          <w:rFonts w:cstheme="minorHAnsi"/>
          <w:lang w:val="en-AU"/>
        </w:rPr>
        <w:tab/>
        <w:t>For ordinary patients, when an application for review is made, the Tribunal is required to assess whether a patient is fit to be released from compulsory status.</w:t>
      </w:r>
      <w:r w:rsidRPr="00682A7E">
        <w:rPr>
          <w:rStyle w:val="FootnoteReference"/>
          <w:rFonts w:cstheme="minorHAnsi"/>
          <w:lang w:val="en-AU"/>
        </w:rPr>
        <w:footnoteReference w:id="1"/>
      </w:r>
      <w:r w:rsidRPr="00682A7E">
        <w:rPr>
          <w:rFonts w:cstheme="minorHAnsi"/>
          <w:lang w:val="en-AU"/>
        </w:rPr>
        <w:t xml:space="preserve"> In the case of special and restricted patients, other aspects must be considered.</w:t>
      </w:r>
      <w:r w:rsidRPr="00682A7E">
        <w:rPr>
          <w:rStyle w:val="FootnoteReference"/>
          <w:rFonts w:cstheme="minorHAnsi"/>
          <w:lang w:val="en-AU"/>
        </w:rPr>
        <w:footnoteReference w:id="2"/>
      </w:r>
      <w:r w:rsidRPr="00682A7E">
        <w:rPr>
          <w:rFonts w:cstheme="minorHAnsi"/>
          <w:lang w:val="en-AU"/>
        </w:rPr>
        <w:t xml:space="preserve"> </w:t>
      </w:r>
    </w:p>
    <w:p w14:paraId="10A8F640" w14:textId="77777777" w:rsidR="00D83D1B" w:rsidRPr="00682A7E" w:rsidRDefault="00D83D1B" w:rsidP="00D83D1B">
      <w:pPr>
        <w:tabs>
          <w:tab w:val="left" w:pos="0"/>
        </w:tabs>
        <w:spacing w:after="240" w:line="276" w:lineRule="auto"/>
        <w:ind w:left="720" w:hanging="720"/>
        <w:jc w:val="both"/>
        <w:rPr>
          <w:rFonts w:cstheme="minorHAnsi"/>
        </w:rPr>
      </w:pPr>
      <w:r w:rsidRPr="00682A7E">
        <w:rPr>
          <w:rFonts w:cstheme="minorHAnsi"/>
        </w:rPr>
        <w:t>2.3</w:t>
      </w:r>
      <w:r w:rsidRPr="00682A7E">
        <w:rPr>
          <w:rFonts w:cstheme="minorHAnsi"/>
        </w:rPr>
        <w:tab/>
        <w:t xml:space="preserve">The key issue for the Tribunal is usually whether the applicant has a </w:t>
      </w:r>
      <w:r w:rsidRPr="00682A7E">
        <w:rPr>
          <w:rFonts w:cstheme="minorHAnsi"/>
          <w:i/>
        </w:rPr>
        <w:t>“mental disorder”</w:t>
      </w:r>
      <w:r w:rsidRPr="00682A7E">
        <w:rPr>
          <w:rFonts w:cstheme="minorHAnsi"/>
        </w:rPr>
        <w:t>.</w:t>
      </w:r>
      <w:r w:rsidRPr="00682A7E">
        <w:rPr>
          <w:rStyle w:val="FootnoteReference"/>
          <w:rFonts w:cstheme="minorHAnsi"/>
        </w:rPr>
        <w:footnoteReference w:id="3"/>
      </w:r>
      <w:r w:rsidRPr="00682A7E">
        <w:rPr>
          <w:rFonts w:cstheme="minorHAnsi"/>
        </w:rPr>
        <w:t xml:space="preserve"> It is defined in s2 of the Mental Health (Compulsory Assessment and Treatment) Act 1992</w:t>
      </w:r>
      <w:r w:rsidRPr="00682A7E">
        <w:rPr>
          <w:rStyle w:val="FootnoteReference"/>
          <w:rFonts w:cstheme="minorHAnsi"/>
        </w:rPr>
        <w:footnoteReference w:id="4"/>
      </w:r>
      <w:r w:rsidRPr="00682A7E">
        <w:rPr>
          <w:rFonts w:cstheme="minorHAnsi"/>
        </w:rPr>
        <w:t xml:space="preserve"> as follows:</w:t>
      </w:r>
    </w:p>
    <w:p w14:paraId="3CFBB9F6" w14:textId="77777777" w:rsidR="00D83D1B" w:rsidRPr="00682A7E" w:rsidRDefault="00D83D1B" w:rsidP="00D83D1B">
      <w:pPr>
        <w:pStyle w:val="text1"/>
        <w:shd w:val="clear" w:color="auto" w:fill="FFFFFF"/>
        <w:spacing w:after="240" w:line="276" w:lineRule="auto"/>
        <w:ind w:left="720" w:hanging="35"/>
        <w:jc w:val="both"/>
        <w:rPr>
          <w:rFonts w:asciiTheme="minorHAnsi" w:hAnsiTheme="minorHAnsi" w:cstheme="minorHAnsi"/>
          <w:i/>
          <w:sz w:val="22"/>
          <w:szCs w:val="22"/>
        </w:rPr>
      </w:pPr>
      <w:proofErr w:type="gramStart"/>
      <w:r w:rsidRPr="00682A7E">
        <w:rPr>
          <w:rStyle w:val="HTMLDefinition"/>
          <w:rFonts w:asciiTheme="minorHAnsi" w:hAnsiTheme="minorHAnsi" w:cstheme="minorHAnsi"/>
          <w:b/>
          <w:bCs/>
          <w:sz w:val="22"/>
          <w:szCs w:val="22"/>
        </w:rPr>
        <w:t>mental</w:t>
      </w:r>
      <w:proofErr w:type="gramEnd"/>
      <w:r w:rsidRPr="00682A7E">
        <w:rPr>
          <w:rStyle w:val="HTMLDefinition"/>
          <w:rFonts w:asciiTheme="minorHAnsi" w:hAnsiTheme="minorHAnsi" w:cstheme="minorHAnsi"/>
          <w:b/>
          <w:bCs/>
          <w:sz w:val="22"/>
          <w:szCs w:val="22"/>
        </w:rPr>
        <w:t xml:space="preserve"> disorder</w:t>
      </w:r>
      <w:r w:rsidRPr="00682A7E">
        <w:rPr>
          <w:rFonts w:asciiTheme="minorHAnsi" w:hAnsiTheme="minorHAnsi" w:cstheme="minorHAnsi"/>
          <w:i/>
          <w:sz w:val="22"/>
          <w:szCs w:val="22"/>
        </w:rPr>
        <w:t>, in relation to any person, means an abnormal state of mind (whether of a continuous or an intermittent nature), characterised by delusions, or by disorders of mood or perception or volition or cognition, of such a degree that it—</w:t>
      </w:r>
    </w:p>
    <w:p w14:paraId="2019DB80" w14:textId="77777777" w:rsidR="00D83D1B" w:rsidRPr="00682A7E" w:rsidRDefault="00D83D1B" w:rsidP="00D83D1B">
      <w:pPr>
        <w:pStyle w:val="labelled4"/>
        <w:shd w:val="clear" w:color="auto" w:fill="FFFFFF"/>
        <w:spacing w:after="240" w:line="276" w:lineRule="auto"/>
        <w:ind w:left="1440" w:hanging="755"/>
        <w:jc w:val="both"/>
        <w:rPr>
          <w:rFonts w:asciiTheme="minorHAnsi" w:hAnsiTheme="minorHAnsi" w:cstheme="minorHAnsi"/>
          <w:i/>
          <w:sz w:val="22"/>
          <w:szCs w:val="22"/>
        </w:rPr>
      </w:pPr>
      <w:r w:rsidRPr="00682A7E">
        <w:rPr>
          <w:rStyle w:val="label"/>
          <w:rFonts w:asciiTheme="minorHAnsi" w:hAnsiTheme="minorHAnsi" w:cstheme="minorHAnsi"/>
          <w:i/>
          <w:sz w:val="22"/>
          <w:szCs w:val="22"/>
        </w:rPr>
        <w:t>(a)</w:t>
      </w:r>
      <w:r w:rsidRPr="00682A7E">
        <w:rPr>
          <w:rStyle w:val="spc1"/>
          <w:rFonts w:asciiTheme="minorHAnsi" w:hAnsiTheme="minorHAnsi" w:cstheme="minorHAnsi"/>
          <w:i/>
          <w:sz w:val="22"/>
          <w:szCs w:val="22"/>
        </w:rPr>
        <w:t> </w:t>
      </w:r>
      <w:r w:rsidRPr="00682A7E">
        <w:rPr>
          <w:rStyle w:val="spc1"/>
          <w:rFonts w:asciiTheme="minorHAnsi" w:hAnsiTheme="minorHAnsi" w:cstheme="minorHAnsi"/>
          <w:i/>
          <w:sz w:val="22"/>
          <w:szCs w:val="22"/>
        </w:rPr>
        <w:tab/>
      </w:r>
      <w:proofErr w:type="gramStart"/>
      <w:r w:rsidRPr="00682A7E">
        <w:rPr>
          <w:rFonts w:asciiTheme="minorHAnsi" w:hAnsiTheme="minorHAnsi" w:cstheme="minorHAnsi"/>
          <w:i/>
          <w:sz w:val="22"/>
          <w:szCs w:val="22"/>
        </w:rPr>
        <w:t>poses</w:t>
      </w:r>
      <w:proofErr w:type="gramEnd"/>
      <w:r w:rsidRPr="00682A7E">
        <w:rPr>
          <w:rFonts w:asciiTheme="minorHAnsi" w:hAnsiTheme="minorHAnsi" w:cstheme="minorHAnsi"/>
          <w:i/>
          <w:sz w:val="22"/>
          <w:szCs w:val="22"/>
        </w:rPr>
        <w:t xml:space="preserve"> a serious danger to the health or safety of that person or of others; or</w:t>
      </w:r>
    </w:p>
    <w:p w14:paraId="1B067BC5" w14:textId="77777777" w:rsidR="00D83D1B" w:rsidRPr="00682A7E" w:rsidRDefault="00D83D1B" w:rsidP="00D83D1B">
      <w:pPr>
        <w:pStyle w:val="labelled4"/>
        <w:shd w:val="clear" w:color="auto" w:fill="FFFFFF"/>
        <w:spacing w:after="240" w:line="276" w:lineRule="auto"/>
        <w:ind w:left="1440" w:hanging="755"/>
        <w:jc w:val="both"/>
        <w:rPr>
          <w:rFonts w:asciiTheme="minorHAnsi" w:hAnsiTheme="minorHAnsi" w:cstheme="minorHAnsi"/>
          <w:sz w:val="22"/>
          <w:szCs w:val="22"/>
        </w:rPr>
      </w:pPr>
      <w:r w:rsidRPr="00682A7E">
        <w:rPr>
          <w:rStyle w:val="label"/>
          <w:rFonts w:asciiTheme="minorHAnsi" w:hAnsiTheme="minorHAnsi" w:cstheme="minorHAnsi"/>
          <w:i/>
          <w:sz w:val="22"/>
          <w:szCs w:val="22"/>
        </w:rPr>
        <w:t>(b)</w:t>
      </w:r>
      <w:r w:rsidRPr="00682A7E">
        <w:rPr>
          <w:rStyle w:val="spc1"/>
          <w:rFonts w:asciiTheme="minorHAnsi" w:hAnsiTheme="minorHAnsi" w:cstheme="minorHAnsi"/>
          <w:i/>
          <w:sz w:val="22"/>
          <w:szCs w:val="22"/>
        </w:rPr>
        <w:t> </w:t>
      </w:r>
      <w:r w:rsidRPr="00682A7E">
        <w:rPr>
          <w:rStyle w:val="spc1"/>
          <w:rFonts w:asciiTheme="minorHAnsi" w:hAnsiTheme="minorHAnsi" w:cstheme="minorHAnsi"/>
          <w:i/>
          <w:sz w:val="22"/>
          <w:szCs w:val="22"/>
        </w:rPr>
        <w:tab/>
      </w:r>
      <w:proofErr w:type="gramStart"/>
      <w:r w:rsidRPr="00682A7E">
        <w:rPr>
          <w:rFonts w:asciiTheme="minorHAnsi" w:hAnsiTheme="minorHAnsi" w:cstheme="minorHAnsi"/>
          <w:i/>
          <w:sz w:val="22"/>
          <w:szCs w:val="22"/>
        </w:rPr>
        <w:t>seriously</w:t>
      </w:r>
      <w:proofErr w:type="gramEnd"/>
      <w:r w:rsidRPr="00682A7E">
        <w:rPr>
          <w:rFonts w:asciiTheme="minorHAnsi" w:hAnsiTheme="minorHAnsi" w:cstheme="minorHAnsi"/>
          <w:i/>
          <w:sz w:val="22"/>
          <w:szCs w:val="22"/>
        </w:rPr>
        <w:t xml:space="preserve"> diminishes the capacity of that person to take care of himself or herself.</w:t>
      </w:r>
    </w:p>
    <w:p w14:paraId="62C6E5DE" w14:textId="77777777" w:rsidR="00D83D1B" w:rsidRPr="00682A7E" w:rsidRDefault="00D83D1B" w:rsidP="00D83D1B">
      <w:pPr>
        <w:ind w:left="720" w:hanging="720"/>
        <w:jc w:val="both"/>
        <w:rPr>
          <w:rFonts w:cstheme="minorHAnsi"/>
        </w:rPr>
      </w:pPr>
      <w:r w:rsidRPr="00682A7E">
        <w:rPr>
          <w:rFonts w:cstheme="minorHAnsi"/>
        </w:rPr>
        <w:t>2.4</w:t>
      </w:r>
      <w:r w:rsidRPr="00682A7E">
        <w:rPr>
          <w:rFonts w:cstheme="minorHAnsi"/>
        </w:rPr>
        <w:tab/>
        <w:t xml:space="preserve">That definition involves two limbs. The first focuses on whether a person has an abnormal state of mind. </w:t>
      </w:r>
    </w:p>
    <w:p w14:paraId="036D636C" w14:textId="77777777" w:rsidR="00D83D1B" w:rsidRPr="00682A7E" w:rsidRDefault="00D83D1B" w:rsidP="00D83D1B">
      <w:pPr>
        <w:ind w:left="720" w:hanging="720"/>
        <w:jc w:val="both"/>
        <w:rPr>
          <w:rFonts w:cstheme="minorHAnsi"/>
        </w:rPr>
      </w:pPr>
      <w:r w:rsidRPr="00682A7E">
        <w:rPr>
          <w:rFonts w:cstheme="minorHAnsi"/>
        </w:rPr>
        <w:lastRenderedPageBreak/>
        <w:t>2.5</w:t>
      </w:r>
      <w:r w:rsidRPr="00682A7E">
        <w:rPr>
          <w:rFonts w:cstheme="minorHAnsi"/>
        </w:rPr>
        <w:tab/>
        <w:t>The second focuses on whether the abnormal state of mind is of such a degree that it poses a serious danger to the health or safety of that person or another, or seriously diminishes the capacity of that person to take care of him or herself.</w:t>
      </w:r>
    </w:p>
    <w:p w14:paraId="168BDDAF" w14:textId="7ACEBFEC" w:rsidR="00D83D1B" w:rsidRPr="00682A7E" w:rsidRDefault="00D83D1B" w:rsidP="00D83D1B">
      <w:pPr>
        <w:ind w:left="720" w:hanging="720"/>
        <w:jc w:val="both"/>
        <w:rPr>
          <w:rFonts w:cstheme="minorHAnsi"/>
          <w:lang w:val="en-AU"/>
        </w:rPr>
      </w:pPr>
      <w:r w:rsidRPr="00682A7E">
        <w:rPr>
          <w:rFonts w:cstheme="minorHAnsi"/>
          <w:lang w:val="en-AU"/>
        </w:rPr>
        <w:t>2.6</w:t>
      </w:r>
      <w:r w:rsidRPr="00682A7E">
        <w:rPr>
          <w:rFonts w:cstheme="minorHAnsi"/>
          <w:lang w:val="en-AU"/>
        </w:rPr>
        <w:tab/>
        <w:t xml:space="preserve">For special </w:t>
      </w:r>
      <w:r w:rsidR="00F36C43">
        <w:rPr>
          <w:rFonts w:cstheme="minorHAnsi"/>
          <w:lang w:val="en-AU"/>
        </w:rPr>
        <w:t xml:space="preserve">and restricted </w:t>
      </w:r>
      <w:r w:rsidRPr="00682A7E">
        <w:rPr>
          <w:rFonts w:cstheme="minorHAnsi"/>
          <w:lang w:val="en-AU"/>
        </w:rPr>
        <w:t xml:space="preserve">patients the relevant legal test will need to be addressed. </w:t>
      </w:r>
    </w:p>
    <w:p w14:paraId="0EC445F0" w14:textId="77777777" w:rsidR="00D83D1B" w:rsidRPr="00682A7E" w:rsidRDefault="00D83D1B" w:rsidP="00D83D1B">
      <w:pPr>
        <w:jc w:val="both"/>
        <w:rPr>
          <w:rFonts w:cstheme="minorHAnsi"/>
        </w:rPr>
      </w:pPr>
      <w:r w:rsidRPr="00682A7E">
        <w:rPr>
          <w:rFonts w:cstheme="minorHAnsi"/>
          <w:b/>
          <w:lang w:val="en-AU"/>
        </w:rPr>
        <w:t>3.</w:t>
      </w:r>
      <w:r w:rsidRPr="00682A7E">
        <w:rPr>
          <w:rFonts w:cstheme="minorHAnsi"/>
          <w:b/>
          <w:lang w:val="en-AU"/>
        </w:rPr>
        <w:tab/>
        <w:t xml:space="preserve">Timeliness </w:t>
      </w:r>
    </w:p>
    <w:p w14:paraId="1ABBC6FB" w14:textId="77777777" w:rsidR="00D83D1B" w:rsidRPr="00682A7E" w:rsidRDefault="00D83D1B" w:rsidP="00D83D1B">
      <w:pPr>
        <w:ind w:left="720" w:hanging="720"/>
        <w:jc w:val="both"/>
        <w:rPr>
          <w:rFonts w:cstheme="minorHAnsi"/>
        </w:rPr>
      </w:pPr>
      <w:r w:rsidRPr="00682A7E">
        <w:rPr>
          <w:rFonts w:cstheme="minorHAnsi"/>
          <w:lang w:val="en-AU"/>
        </w:rPr>
        <w:t>3.1</w:t>
      </w:r>
      <w:r w:rsidRPr="00682A7E">
        <w:rPr>
          <w:rFonts w:cstheme="minorHAnsi"/>
          <w:lang w:val="en-AU"/>
        </w:rPr>
        <w:tab/>
        <w:t>The Tribunal is subject to specific statutory timeframes. When an application for review is made, it must arrange for the review to start within 21 days, however the Tribunal can extend that timeframe by up to 7 days.</w:t>
      </w:r>
      <w:r w:rsidRPr="00682A7E">
        <w:rPr>
          <w:rStyle w:val="FootnoteReference"/>
          <w:rFonts w:cstheme="minorHAnsi"/>
          <w:lang w:val="en-AU"/>
        </w:rPr>
        <w:footnoteReference w:id="5"/>
      </w:r>
      <w:r w:rsidRPr="00682A7E">
        <w:rPr>
          <w:rFonts w:cstheme="minorHAnsi"/>
          <w:lang w:val="en-AU"/>
        </w:rPr>
        <w:t xml:space="preserve"> </w:t>
      </w:r>
    </w:p>
    <w:p w14:paraId="30CD46E7" w14:textId="77777777" w:rsidR="00D83D1B" w:rsidRPr="00682A7E" w:rsidRDefault="00D83D1B" w:rsidP="00D83D1B">
      <w:pPr>
        <w:ind w:left="720" w:hanging="720"/>
        <w:jc w:val="both"/>
        <w:rPr>
          <w:rFonts w:cstheme="minorHAnsi"/>
        </w:rPr>
      </w:pPr>
      <w:r w:rsidRPr="00682A7E">
        <w:rPr>
          <w:rFonts w:cstheme="minorHAnsi"/>
          <w:lang w:val="en-AU"/>
        </w:rPr>
        <w:t>3.2</w:t>
      </w:r>
      <w:r w:rsidRPr="00682A7E">
        <w:rPr>
          <w:rFonts w:cstheme="minorHAnsi"/>
          <w:lang w:val="en-AU"/>
        </w:rPr>
        <w:tab/>
        <w:t xml:space="preserve">This means that all involved in a review will be required to discharge their roles, including report writing, swiftly. The Tribunal recognises this can be an imposition, and is grateful for the continued support of health professionals. </w:t>
      </w:r>
    </w:p>
    <w:p w14:paraId="4E25DCD7" w14:textId="02CF1694" w:rsidR="00D83D1B" w:rsidRPr="00682A7E" w:rsidRDefault="00D83D1B" w:rsidP="00D83D1B">
      <w:pPr>
        <w:ind w:left="720" w:hanging="720"/>
        <w:jc w:val="both"/>
        <w:rPr>
          <w:rFonts w:cstheme="minorHAnsi"/>
          <w:b/>
        </w:rPr>
      </w:pPr>
      <w:r w:rsidRPr="00682A7E">
        <w:rPr>
          <w:rFonts w:cstheme="minorHAnsi"/>
          <w:b/>
        </w:rPr>
        <w:t>4.</w:t>
      </w:r>
      <w:r w:rsidRPr="00682A7E">
        <w:rPr>
          <w:rFonts w:cstheme="minorHAnsi"/>
          <w:b/>
        </w:rPr>
        <w:tab/>
        <w:t xml:space="preserve">Responsible Clinician report requirements </w:t>
      </w:r>
      <w:r w:rsidR="00872172">
        <w:rPr>
          <w:rFonts w:cstheme="minorHAnsi"/>
          <w:b/>
        </w:rPr>
        <w:t>and report of second health professional</w:t>
      </w:r>
    </w:p>
    <w:p w14:paraId="1D96048A" w14:textId="77777777" w:rsidR="00D83D1B" w:rsidRPr="00682A7E" w:rsidRDefault="00D83D1B" w:rsidP="00D83D1B">
      <w:pPr>
        <w:ind w:left="720" w:hanging="720"/>
        <w:jc w:val="both"/>
        <w:rPr>
          <w:rFonts w:cstheme="minorHAnsi"/>
          <w:lang w:val="en-AU"/>
        </w:rPr>
      </w:pPr>
      <w:r w:rsidRPr="00682A7E">
        <w:rPr>
          <w:rFonts w:cstheme="minorHAnsi"/>
        </w:rPr>
        <w:t>4.1</w:t>
      </w:r>
      <w:r w:rsidRPr="00682A7E">
        <w:rPr>
          <w:rFonts w:cstheme="minorHAnsi"/>
        </w:rPr>
        <w:tab/>
        <w:t xml:space="preserve">Responsible Clinician reports are critical to The Tribunal’s decision making. Your report should follow the guidelines below. A high quality report </w:t>
      </w:r>
      <w:r w:rsidRPr="00682A7E">
        <w:rPr>
          <w:rFonts w:cstheme="minorHAnsi"/>
          <w:lang w:val="en-AU"/>
        </w:rPr>
        <w:t>will:</w:t>
      </w:r>
    </w:p>
    <w:p w14:paraId="1F38F335" w14:textId="77777777" w:rsidR="00D83D1B" w:rsidRPr="00682A7E" w:rsidRDefault="00D83D1B" w:rsidP="00D83D1B">
      <w:pPr>
        <w:ind w:left="1418" w:hanging="709"/>
        <w:jc w:val="both"/>
        <w:rPr>
          <w:rFonts w:cstheme="minorHAnsi"/>
          <w:lang w:val="en-AU"/>
        </w:rPr>
      </w:pPr>
      <w:r w:rsidRPr="00682A7E">
        <w:rPr>
          <w:rFonts w:cstheme="minorHAnsi"/>
          <w:lang w:val="en-AU"/>
        </w:rPr>
        <w:t>(a)</w:t>
      </w:r>
      <w:r w:rsidRPr="00682A7E">
        <w:rPr>
          <w:rFonts w:cstheme="minorHAnsi"/>
          <w:lang w:val="en-AU"/>
        </w:rPr>
        <w:tab/>
      </w:r>
      <w:proofErr w:type="gramStart"/>
      <w:r w:rsidRPr="00682A7E">
        <w:rPr>
          <w:rFonts w:cstheme="minorHAnsi"/>
          <w:lang w:val="en-AU"/>
        </w:rPr>
        <w:t>provide</w:t>
      </w:r>
      <w:proofErr w:type="gramEnd"/>
      <w:r w:rsidRPr="00682A7E">
        <w:rPr>
          <w:rFonts w:cstheme="minorHAnsi"/>
          <w:lang w:val="en-AU"/>
        </w:rPr>
        <w:t xml:space="preserve"> the reader with correct details relating the patient;</w:t>
      </w:r>
    </w:p>
    <w:p w14:paraId="66D70042" w14:textId="77777777" w:rsidR="00D83D1B" w:rsidRPr="00682A7E" w:rsidRDefault="00D83D1B" w:rsidP="00D83D1B">
      <w:pPr>
        <w:ind w:left="1418" w:hanging="709"/>
        <w:jc w:val="both"/>
        <w:rPr>
          <w:rFonts w:cstheme="minorHAnsi"/>
          <w:lang w:val="en-AU"/>
        </w:rPr>
      </w:pPr>
      <w:r w:rsidRPr="00682A7E">
        <w:rPr>
          <w:rFonts w:cstheme="minorHAnsi"/>
          <w:lang w:val="en-AU"/>
        </w:rPr>
        <w:t>(b)</w:t>
      </w:r>
      <w:r w:rsidRPr="00682A7E">
        <w:rPr>
          <w:rFonts w:cstheme="minorHAnsi"/>
          <w:lang w:val="en-AU"/>
        </w:rPr>
        <w:tab/>
      </w:r>
      <w:proofErr w:type="gramStart"/>
      <w:r w:rsidRPr="00682A7E">
        <w:rPr>
          <w:rFonts w:cstheme="minorHAnsi"/>
          <w:lang w:val="en-AU"/>
        </w:rPr>
        <w:t>provide</w:t>
      </w:r>
      <w:proofErr w:type="gramEnd"/>
      <w:r w:rsidRPr="00682A7E">
        <w:rPr>
          <w:rFonts w:cstheme="minorHAnsi"/>
          <w:lang w:val="en-AU"/>
        </w:rPr>
        <w:t xml:space="preserve"> the reader with a good understanding of the patient and his or her relevant history;</w:t>
      </w:r>
    </w:p>
    <w:p w14:paraId="6131D32B" w14:textId="77777777" w:rsidR="00D83D1B" w:rsidRPr="00682A7E" w:rsidRDefault="00D83D1B" w:rsidP="00D83D1B">
      <w:pPr>
        <w:ind w:left="1418" w:hanging="709"/>
        <w:jc w:val="both"/>
        <w:rPr>
          <w:rFonts w:cstheme="minorHAnsi"/>
          <w:lang w:val="en-AU"/>
        </w:rPr>
      </w:pPr>
      <w:r w:rsidRPr="00682A7E">
        <w:rPr>
          <w:rFonts w:cstheme="minorHAnsi"/>
          <w:lang w:val="en-AU"/>
        </w:rPr>
        <w:t>(c)</w:t>
      </w:r>
      <w:r w:rsidRPr="00682A7E">
        <w:rPr>
          <w:rFonts w:cstheme="minorHAnsi"/>
          <w:lang w:val="en-AU"/>
        </w:rPr>
        <w:tab/>
      </w:r>
      <w:proofErr w:type="gramStart"/>
      <w:r w:rsidRPr="00682A7E">
        <w:rPr>
          <w:rFonts w:cstheme="minorHAnsi"/>
          <w:lang w:val="en-AU"/>
        </w:rPr>
        <w:t>address</w:t>
      </w:r>
      <w:proofErr w:type="gramEnd"/>
      <w:r w:rsidRPr="00682A7E">
        <w:rPr>
          <w:rFonts w:cstheme="minorHAnsi"/>
          <w:lang w:val="en-AU"/>
        </w:rPr>
        <w:t xml:space="preserve"> the relevant statutory criteria;</w:t>
      </w:r>
    </w:p>
    <w:p w14:paraId="4F7F07BD" w14:textId="77777777" w:rsidR="00D83D1B" w:rsidRPr="00682A7E" w:rsidRDefault="00D83D1B" w:rsidP="00D83D1B">
      <w:pPr>
        <w:jc w:val="both"/>
        <w:rPr>
          <w:rFonts w:cstheme="minorHAnsi"/>
          <w:lang w:val="en-AU"/>
        </w:rPr>
      </w:pPr>
      <w:r w:rsidRPr="00682A7E">
        <w:rPr>
          <w:rFonts w:cstheme="minorHAnsi"/>
          <w:lang w:val="en-AU"/>
        </w:rPr>
        <w:tab/>
        <w:t>(d)</w:t>
      </w:r>
      <w:r w:rsidRPr="00682A7E">
        <w:rPr>
          <w:rFonts w:cstheme="minorHAnsi"/>
          <w:lang w:val="en-AU"/>
        </w:rPr>
        <w:tab/>
      </w:r>
      <w:proofErr w:type="gramStart"/>
      <w:r w:rsidRPr="00682A7E">
        <w:rPr>
          <w:rFonts w:cstheme="minorHAnsi"/>
          <w:lang w:val="en-AU"/>
        </w:rPr>
        <w:t>provide</w:t>
      </w:r>
      <w:proofErr w:type="gramEnd"/>
      <w:r w:rsidRPr="00682A7E">
        <w:rPr>
          <w:rFonts w:cstheme="minorHAnsi"/>
          <w:lang w:val="en-AU"/>
        </w:rPr>
        <w:t xml:space="preserve"> a proper factual basis for your expert opinion; and</w:t>
      </w:r>
    </w:p>
    <w:p w14:paraId="5758C5CF" w14:textId="77777777" w:rsidR="00D83D1B" w:rsidRPr="00682A7E" w:rsidRDefault="00D83D1B" w:rsidP="00D83D1B">
      <w:pPr>
        <w:ind w:left="1440" w:hanging="731"/>
        <w:jc w:val="both"/>
        <w:rPr>
          <w:rFonts w:cstheme="minorHAnsi"/>
          <w:lang w:val="en-AU"/>
        </w:rPr>
      </w:pPr>
      <w:r w:rsidRPr="00682A7E">
        <w:rPr>
          <w:rFonts w:cstheme="minorHAnsi"/>
          <w:lang w:val="en-AU"/>
        </w:rPr>
        <w:t>(e)</w:t>
      </w:r>
      <w:r w:rsidRPr="00682A7E">
        <w:rPr>
          <w:rFonts w:cstheme="minorHAnsi"/>
          <w:lang w:val="en-AU"/>
        </w:rPr>
        <w:tab/>
      </w:r>
      <w:proofErr w:type="gramStart"/>
      <w:r w:rsidRPr="00682A7E">
        <w:rPr>
          <w:rFonts w:cstheme="minorHAnsi"/>
          <w:lang w:val="en-AU"/>
        </w:rPr>
        <w:t>be</w:t>
      </w:r>
      <w:proofErr w:type="gramEnd"/>
      <w:r w:rsidRPr="00682A7E">
        <w:rPr>
          <w:rFonts w:cstheme="minorHAnsi"/>
          <w:lang w:val="en-AU"/>
        </w:rPr>
        <w:t xml:space="preserve"> accompanied by relevant additional material to help support your opinion;</w:t>
      </w:r>
    </w:p>
    <w:p w14:paraId="03A98279" w14:textId="4BC6FD11" w:rsidR="00D83D1B" w:rsidRDefault="00D83D1B" w:rsidP="00D83D1B">
      <w:pPr>
        <w:ind w:left="720" w:hanging="720"/>
        <w:jc w:val="both"/>
        <w:rPr>
          <w:rFonts w:cstheme="minorHAnsi"/>
        </w:rPr>
      </w:pPr>
      <w:r w:rsidRPr="00682A7E">
        <w:rPr>
          <w:rFonts w:cstheme="minorHAnsi"/>
        </w:rPr>
        <w:t>4.2</w:t>
      </w:r>
      <w:r w:rsidRPr="00682A7E">
        <w:rPr>
          <w:rFonts w:cstheme="minorHAnsi"/>
        </w:rPr>
        <w:tab/>
        <w:t>Your report must address the legal definition of mental disorder (being both limbs identified above)</w:t>
      </w:r>
      <w:r w:rsidRPr="00682A7E">
        <w:rPr>
          <w:rStyle w:val="FootnoteReference"/>
          <w:rFonts w:cstheme="minorHAnsi"/>
        </w:rPr>
        <w:footnoteReference w:id="6"/>
      </w:r>
      <w:r w:rsidRPr="00682A7E">
        <w:rPr>
          <w:rFonts w:cstheme="minorHAnsi"/>
        </w:rPr>
        <w:t xml:space="preserve"> in the case of compulsory treatment orders, and for special or restricted patients, the legal criteria for continued detention.</w:t>
      </w:r>
      <w:r w:rsidRPr="00682A7E">
        <w:rPr>
          <w:rStyle w:val="FootnoteReference"/>
          <w:rFonts w:cstheme="minorHAnsi"/>
        </w:rPr>
        <w:footnoteReference w:id="7"/>
      </w:r>
      <w:r w:rsidRPr="00682A7E">
        <w:rPr>
          <w:rFonts w:cstheme="minorHAnsi"/>
        </w:rPr>
        <w:t xml:space="preserve">  </w:t>
      </w:r>
    </w:p>
    <w:p w14:paraId="2BE749B2" w14:textId="48FF9BE8" w:rsidR="00C11FA2" w:rsidRPr="00682A7E" w:rsidRDefault="00C11FA2" w:rsidP="00D83D1B">
      <w:pPr>
        <w:ind w:left="720" w:hanging="720"/>
        <w:jc w:val="both"/>
        <w:rPr>
          <w:rFonts w:cstheme="minorHAnsi"/>
        </w:rPr>
      </w:pPr>
      <w:r>
        <w:rPr>
          <w:rFonts w:cstheme="minorHAnsi"/>
        </w:rPr>
        <w:t>4.3</w:t>
      </w:r>
      <w:r>
        <w:rPr>
          <w:rFonts w:cstheme="minorHAnsi"/>
        </w:rPr>
        <w:tab/>
        <w:t>Responsible clinicians ought to also ensure that a report is provided by the second health professional.</w:t>
      </w:r>
    </w:p>
    <w:p w14:paraId="18FF217E" w14:textId="77777777" w:rsidR="00D83D1B" w:rsidRPr="00682A7E" w:rsidRDefault="00D83D1B" w:rsidP="00D83D1B">
      <w:pPr>
        <w:pStyle w:val="Heading2"/>
        <w:spacing w:after="240"/>
        <w:jc w:val="both"/>
        <w:rPr>
          <w:rFonts w:asciiTheme="minorHAnsi" w:hAnsiTheme="minorHAnsi" w:cstheme="minorHAnsi"/>
          <w:sz w:val="22"/>
          <w:szCs w:val="22"/>
        </w:rPr>
      </w:pPr>
      <w:r w:rsidRPr="00682A7E">
        <w:rPr>
          <w:rFonts w:asciiTheme="minorHAnsi" w:hAnsiTheme="minorHAnsi" w:cstheme="minorHAnsi"/>
          <w:sz w:val="22"/>
          <w:szCs w:val="22"/>
        </w:rPr>
        <w:t>5.</w:t>
      </w:r>
      <w:r w:rsidRPr="00682A7E">
        <w:rPr>
          <w:rFonts w:asciiTheme="minorHAnsi" w:hAnsiTheme="minorHAnsi" w:cstheme="minorHAnsi"/>
          <w:sz w:val="22"/>
          <w:szCs w:val="22"/>
        </w:rPr>
        <w:tab/>
        <w:t>Disclosure of report</w:t>
      </w:r>
    </w:p>
    <w:p w14:paraId="0EB4A7D5" w14:textId="77777777" w:rsidR="00D83D1B" w:rsidRPr="00682A7E" w:rsidRDefault="00D83D1B" w:rsidP="00D83D1B">
      <w:pPr>
        <w:ind w:left="720" w:hanging="720"/>
        <w:jc w:val="both"/>
        <w:rPr>
          <w:rFonts w:cstheme="minorHAnsi"/>
        </w:rPr>
      </w:pPr>
      <w:r w:rsidRPr="00682A7E">
        <w:rPr>
          <w:rFonts w:cstheme="minorHAnsi"/>
        </w:rPr>
        <w:t>5.1</w:t>
      </w:r>
      <w:r w:rsidRPr="00682A7E">
        <w:rPr>
          <w:rFonts w:cstheme="minorHAnsi"/>
        </w:rPr>
        <w:tab/>
        <w:t xml:space="preserve">The rules of natural justice mean that the Tribunal discloses the evidence it receives to the patient and his or her lawyer. Sometimes wider disclosure may be required, for example to a psychiatrist providing a second opinion. The entire report and accompanying material must be prepared on that understanding. </w:t>
      </w:r>
    </w:p>
    <w:p w14:paraId="43974DAD" w14:textId="77777777" w:rsidR="00D83D1B" w:rsidRPr="00682A7E" w:rsidRDefault="00D83D1B" w:rsidP="00D83D1B">
      <w:pPr>
        <w:ind w:left="720" w:hanging="720"/>
        <w:jc w:val="both"/>
        <w:rPr>
          <w:rFonts w:cstheme="minorHAnsi"/>
        </w:rPr>
      </w:pPr>
      <w:r w:rsidRPr="00682A7E">
        <w:rPr>
          <w:rFonts w:cstheme="minorHAnsi"/>
        </w:rPr>
        <w:t>5.2</w:t>
      </w:r>
      <w:r w:rsidRPr="00682A7E">
        <w:rPr>
          <w:rFonts w:cstheme="minorHAnsi"/>
        </w:rPr>
        <w:tab/>
        <w:t xml:space="preserve">If there is something in the report that ought not to be disclosed, for example private contact details for a victim, you will need to consider whether it is necessary to include that. </w:t>
      </w:r>
    </w:p>
    <w:p w14:paraId="7290513E" w14:textId="110CDCB7" w:rsidR="00D83D1B" w:rsidRPr="00682A7E" w:rsidRDefault="00D83D1B" w:rsidP="00D83D1B">
      <w:pPr>
        <w:jc w:val="both"/>
        <w:rPr>
          <w:rFonts w:cstheme="minorHAnsi"/>
          <w:b/>
        </w:rPr>
      </w:pPr>
      <w:r w:rsidRPr="00682A7E">
        <w:rPr>
          <w:rFonts w:cstheme="minorHAnsi"/>
          <w:b/>
        </w:rPr>
        <w:br w:type="page"/>
      </w:r>
      <w:r w:rsidRPr="00682A7E">
        <w:rPr>
          <w:rFonts w:cstheme="minorHAnsi"/>
          <w:b/>
        </w:rPr>
        <w:lastRenderedPageBreak/>
        <w:t>Report Guidelines/Template</w:t>
      </w:r>
    </w:p>
    <w:p w14:paraId="2589BF38" w14:textId="77777777" w:rsidR="00D83D1B" w:rsidRPr="00682A7E" w:rsidRDefault="00D83D1B" w:rsidP="00D83D1B">
      <w:pPr>
        <w:pStyle w:val="ListParagraph"/>
        <w:numPr>
          <w:ilvl w:val="0"/>
          <w:numId w:val="2"/>
        </w:numPr>
        <w:tabs>
          <w:tab w:val="clear" w:pos="720"/>
          <w:tab w:val="num" w:pos="568"/>
        </w:tabs>
        <w:ind w:left="568" w:hanging="568"/>
        <w:jc w:val="both"/>
        <w:rPr>
          <w:rFonts w:cstheme="minorHAnsi"/>
        </w:rPr>
      </w:pPr>
      <w:r w:rsidRPr="00682A7E">
        <w:rPr>
          <w:rFonts w:cstheme="minorHAnsi"/>
        </w:rPr>
        <w:t>Name/address;</w:t>
      </w:r>
    </w:p>
    <w:p w14:paraId="30799F63" w14:textId="77777777" w:rsidR="00D83D1B" w:rsidRPr="00682A7E" w:rsidRDefault="00D83D1B" w:rsidP="00D83D1B">
      <w:pPr>
        <w:pStyle w:val="ListParagraph"/>
        <w:ind w:left="568"/>
        <w:jc w:val="both"/>
        <w:rPr>
          <w:rFonts w:cstheme="minorHAnsi"/>
        </w:rPr>
      </w:pPr>
    </w:p>
    <w:p w14:paraId="44E45CDA" w14:textId="77777777" w:rsidR="00D83D1B" w:rsidRPr="00682A7E" w:rsidRDefault="00D83D1B" w:rsidP="00D83D1B">
      <w:pPr>
        <w:pStyle w:val="ListParagraph"/>
        <w:numPr>
          <w:ilvl w:val="0"/>
          <w:numId w:val="2"/>
        </w:numPr>
        <w:tabs>
          <w:tab w:val="clear" w:pos="720"/>
          <w:tab w:val="num" w:pos="568"/>
        </w:tabs>
        <w:ind w:left="568" w:hanging="568"/>
        <w:jc w:val="both"/>
        <w:rPr>
          <w:rFonts w:cstheme="minorHAnsi"/>
        </w:rPr>
      </w:pPr>
      <w:r w:rsidRPr="00682A7E">
        <w:rPr>
          <w:rFonts w:cstheme="minorHAnsi"/>
        </w:rPr>
        <w:t>Date of Current order;</w:t>
      </w:r>
    </w:p>
    <w:p w14:paraId="07CAE067" w14:textId="77777777" w:rsidR="00D83D1B" w:rsidRPr="00682A7E" w:rsidRDefault="00D83D1B" w:rsidP="00D83D1B">
      <w:pPr>
        <w:pStyle w:val="ListParagraph"/>
        <w:jc w:val="both"/>
        <w:rPr>
          <w:rFonts w:cstheme="minorHAnsi"/>
        </w:rPr>
      </w:pPr>
    </w:p>
    <w:p w14:paraId="0D0F94A8" w14:textId="77777777" w:rsidR="00D83D1B" w:rsidRPr="00682A7E" w:rsidRDefault="00D83D1B" w:rsidP="00D83D1B">
      <w:pPr>
        <w:pStyle w:val="ListParagraph"/>
        <w:numPr>
          <w:ilvl w:val="0"/>
          <w:numId w:val="2"/>
        </w:numPr>
        <w:tabs>
          <w:tab w:val="clear" w:pos="720"/>
          <w:tab w:val="num" w:pos="568"/>
        </w:tabs>
        <w:ind w:left="568" w:hanging="568"/>
        <w:jc w:val="both"/>
        <w:rPr>
          <w:rFonts w:cstheme="minorHAnsi"/>
        </w:rPr>
      </w:pPr>
      <w:r w:rsidRPr="00682A7E">
        <w:rPr>
          <w:rFonts w:cstheme="minorHAnsi"/>
        </w:rPr>
        <w:t>Date of original order;</w:t>
      </w:r>
    </w:p>
    <w:p w14:paraId="29C69E37" w14:textId="77777777" w:rsidR="00D83D1B" w:rsidRPr="00682A7E" w:rsidRDefault="00D83D1B" w:rsidP="00D83D1B">
      <w:pPr>
        <w:pStyle w:val="ListParagraph"/>
        <w:jc w:val="both"/>
        <w:rPr>
          <w:rFonts w:cstheme="minorHAnsi"/>
        </w:rPr>
      </w:pPr>
    </w:p>
    <w:p w14:paraId="43B06BC3" w14:textId="77777777" w:rsidR="00D83D1B" w:rsidRPr="00682A7E" w:rsidRDefault="00D83D1B" w:rsidP="00D83D1B">
      <w:pPr>
        <w:pStyle w:val="ListParagraph"/>
        <w:numPr>
          <w:ilvl w:val="0"/>
          <w:numId w:val="2"/>
        </w:numPr>
        <w:tabs>
          <w:tab w:val="clear" w:pos="720"/>
          <w:tab w:val="num" w:pos="568"/>
        </w:tabs>
        <w:ind w:left="568" w:hanging="568"/>
        <w:jc w:val="both"/>
        <w:rPr>
          <w:rFonts w:cstheme="minorHAnsi"/>
        </w:rPr>
      </w:pPr>
      <w:r w:rsidRPr="00682A7E">
        <w:rPr>
          <w:rFonts w:cstheme="minorHAnsi"/>
        </w:rPr>
        <w:t>How long the applicant is known to the responsible clinician;</w:t>
      </w:r>
    </w:p>
    <w:p w14:paraId="6222F220" w14:textId="77777777" w:rsidR="00D83D1B" w:rsidRPr="00682A7E" w:rsidRDefault="00D83D1B" w:rsidP="00D83D1B">
      <w:pPr>
        <w:pStyle w:val="ListParagraph"/>
        <w:jc w:val="both"/>
        <w:rPr>
          <w:rFonts w:cstheme="minorHAnsi"/>
        </w:rPr>
      </w:pPr>
    </w:p>
    <w:p w14:paraId="71AFB11B" w14:textId="77777777" w:rsidR="00D83D1B" w:rsidRPr="00682A7E" w:rsidRDefault="00D83D1B" w:rsidP="00D83D1B">
      <w:pPr>
        <w:pStyle w:val="ListParagraph"/>
        <w:numPr>
          <w:ilvl w:val="0"/>
          <w:numId w:val="2"/>
        </w:numPr>
        <w:tabs>
          <w:tab w:val="clear" w:pos="720"/>
          <w:tab w:val="num" w:pos="568"/>
        </w:tabs>
        <w:ind w:left="568" w:hanging="568"/>
        <w:jc w:val="both"/>
        <w:rPr>
          <w:rFonts w:cstheme="minorHAnsi"/>
        </w:rPr>
      </w:pPr>
      <w:r w:rsidRPr="00682A7E">
        <w:rPr>
          <w:rFonts w:cstheme="minorHAnsi"/>
        </w:rPr>
        <w:t>Relevant mental health history including alcohol and drug history and specific diagnoses;</w:t>
      </w:r>
    </w:p>
    <w:p w14:paraId="7C2A3FD5" w14:textId="77777777" w:rsidR="00D83D1B" w:rsidRPr="00682A7E" w:rsidRDefault="00D83D1B" w:rsidP="00D83D1B">
      <w:pPr>
        <w:pStyle w:val="ListParagraph"/>
        <w:ind w:left="568"/>
        <w:jc w:val="both"/>
        <w:rPr>
          <w:rFonts w:cstheme="minorHAnsi"/>
        </w:rPr>
      </w:pPr>
    </w:p>
    <w:p w14:paraId="7BDFC549" w14:textId="77777777" w:rsidR="00D83D1B" w:rsidRPr="00682A7E" w:rsidRDefault="00D83D1B" w:rsidP="00D83D1B">
      <w:pPr>
        <w:pStyle w:val="ListParagraph"/>
        <w:numPr>
          <w:ilvl w:val="0"/>
          <w:numId w:val="2"/>
        </w:numPr>
        <w:tabs>
          <w:tab w:val="clear" w:pos="720"/>
          <w:tab w:val="num" w:pos="568"/>
        </w:tabs>
        <w:ind w:left="568" w:hanging="568"/>
        <w:jc w:val="both"/>
        <w:rPr>
          <w:rFonts w:cstheme="minorHAnsi"/>
        </w:rPr>
      </w:pPr>
      <w:r w:rsidRPr="00682A7E">
        <w:rPr>
          <w:rFonts w:cstheme="minorHAnsi"/>
        </w:rPr>
        <w:t>Current social situation including:</w:t>
      </w:r>
    </w:p>
    <w:p w14:paraId="52A08BE9" w14:textId="77777777" w:rsidR="00D83D1B" w:rsidRPr="00682A7E" w:rsidRDefault="00D83D1B" w:rsidP="00D83D1B">
      <w:pPr>
        <w:pStyle w:val="ListParagraph"/>
        <w:jc w:val="both"/>
        <w:rPr>
          <w:rFonts w:cstheme="minorHAnsi"/>
        </w:rPr>
      </w:pPr>
    </w:p>
    <w:p w14:paraId="7424565D" w14:textId="77777777" w:rsidR="00D83D1B" w:rsidRPr="00682A7E" w:rsidRDefault="00D83D1B" w:rsidP="00D83D1B">
      <w:pPr>
        <w:pStyle w:val="ListParagraph"/>
        <w:numPr>
          <w:ilvl w:val="0"/>
          <w:numId w:val="3"/>
        </w:numPr>
        <w:ind w:left="928"/>
        <w:jc w:val="both"/>
        <w:rPr>
          <w:rFonts w:cstheme="minorHAnsi"/>
        </w:rPr>
      </w:pPr>
      <w:r w:rsidRPr="00682A7E">
        <w:rPr>
          <w:rFonts w:cstheme="minorHAnsi"/>
        </w:rPr>
        <w:t>Living arrangements;</w:t>
      </w:r>
    </w:p>
    <w:p w14:paraId="31121D21" w14:textId="77777777" w:rsidR="00D83D1B" w:rsidRPr="00682A7E" w:rsidRDefault="00D83D1B" w:rsidP="00D83D1B">
      <w:pPr>
        <w:pStyle w:val="ListParagraph"/>
        <w:ind w:left="928"/>
        <w:jc w:val="both"/>
        <w:rPr>
          <w:rFonts w:cstheme="minorHAnsi"/>
        </w:rPr>
      </w:pPr>
    </w:p>
    <w:p w14:paraId="1EF451D5" w14:textId="77777777" w:rsidR="00D83D1B" w:rsidRPr="00682A7E" w:rsidRDefault="00D83D1B" w:rsidP="00D83D1B">
      <w:pPr>
        <w:pStyle w:val="ListParagraph"/>
        <w:numPr>
          <w:ilvl w:val="0"/>
          <w:numId w:val="3"/>
        </w:numPr>
        <w:ind w:left="928"/>
        <w:jc w:val="both"/>
        <w:rPr>
          <w:rFonts w:cstheme="minorHAnsi"/>
        </w:rPr>
      </w:pPr>
      <w:r w:rsidRPr="00682A7E">
        <w:rPr>
          <w:rFonts w:cstheme="minorHAnsi"/>
        </w:rPr>
        <w:t>Family involvement;</w:t>
      </w:r>
    </w:p>
    <w:p w14:paraId="1DF41FDD" w14:textId="77777777" w:rsidR="00D83D1B" w:rsidRPr="00682A7E" w:rsidRDefault="00D83D1B" w:rsidP="00D83D1B">
      <w:pPr>
        <w:pStyle w:val="ListParagraph"/>
        <w:ind w:left="928"/>
        <w:jc w:val="both"/>
        <w:rPr>
          <w:rFonts w:cstheme="minorHAnsi"/>
        </w:rPr>
      </w:pPr>
    </w:p>
    <w:p w14:paraId="39771FB3" w14:textId="77777777" w:rsidR="00D83D1B" w:rsidRPr="00682A7E" w:rsidRDefault="00D83D1B" w:rsidP="00D83D1B">
      <w:pPr>
        <w:pStyle w:val="ListParagraph"/>
        <w:numPr>
          <w:ilvl w:val="0"/>
          <w:numId w:val="3"/>
        </w:numPr>
        <w:ind w:left="928"/>
        <w:jc w:val="both"/>
        <w:rPr>
          <w:rFonts w:cstheme="minorHAnsi"/>
        </w:rPr>
      </w:pPr>
      <w:r w:rsidRPr="00682A7E">
        <w:rPr>
          <w:rFonts w:cstheme="minorHAnsi"/>
        </w:rPr>
        <w:t>Cultural background and significance of this in managing mental disorder;</w:t>
      </w:r>
    </w:p>
    <w:p w14:paraId="2A07FBA2" w14:textId="77777777" w:rsidR="00D83D1B" w:rsidRPr="00682A7E" w:rsidRDefault="00D83D1B" w:rsidP="00D83D1B">
      <w:pPr>
        <w:pStyle w:val="ListParagraph"/>
        <w:jc w:val="both"/>
        <w:rPr>
          <w:rFonts w:cstheme="minorHAnsi"/>
        </w:rPr>
      </w:pPr>
    </w:p>
    <w:p w14:paraId="0F4D3505" w14:textId="77777777" w:rsidR="00D83D1B" w:rsidRPr="00682A7E" w:rsidRDefault="00D83D1B" w:rsidP="00D83D1B">
      <w:pPr>
        <w:pStyle w:val="ListParagraph"/>
        <w:numPr>
          <w:ilvl w:val="0"/>
          <w:numId w:val="3"/>
        </w:numPr>
        <w:ind w:left="928"/>
        <w:jc w:val="both"/>
        <w:rPr>
          <w:rFonts w:cstheme="minorHAnsi"/>
        </w:rPr>
      </w:pPr>
      <w:r w:rsidRPr="00682A7E">
        <w:rPr>
          <w:rFonts w:cstheme="minorHAnsi"/>
        </w:rPr>
        <w:t>Community support;</w:t>
      </w:r>
    </w:p>
    <w:p w14:paraId="1FF7B904" w14:textId="77777777" w:rsidR="00D83D1B" w:rsidRPr="00682A7E" w:rsidRDefault="00D83D1B" w:rsidP="00D83D1B">
      <w:pPr>
        <w:pStyle w:val="ListParagraph"/>
        <w:jc w:val="both"/>
        <w:rPr>
          <w:rFonts w:cstheme="minorHAnsi"/>
        </w:rPr>
      </w:pPr>
    </w:p>
    <w:p w14:paraId="7D818AC4" w14:textId="77777777" w:rsidR="00D83D1B" w:rsidRPr="00682A7E" w:rsidRDefault="00D83D1B" w:rsidP="00D83D1B">
      <w:pPr>
        <w:pStyle w:val="ListParagraph"/>
        <w:numPr>
          <w:ilvl w:val="0"/>
          <w:numId w:val="2"/>
        </w:numPr>
        <w:tabs>
          <w:tab w:val="clear" w:pos="720"/>
          <w:tab w:val="num" w:pos="568"/>
        </w:tabs>
        <w:ind w:left="568" w:hanging="568"/>
        <w:jc w:val="both"/>
        <w:rPr>
          <w:rFonts w:cstheme="minorHAnsi"/>
        </w:rPr>
      </w:pPr>
      <w:r w:rsidRPr="00682A7E">
        <w:rPr>
          <w:rFonts w:cstheme="minorHAnsi"/>
        </w:rPr>
        <w:t>Any forensic history;</w:t>
      </w:r>
    </w:p>
    <w:p w14:paraId="6DB589DF" w14:textId="77777777" w:rsidR="00D83D1B" w:rsidRPr="00682A7E" w:rsidRDefault="00D83D1B" w:rsidP="00D83D1B">
      <w:pPr>
        <w:pStyle w:val="ListParagraph"/>
        <w:jc w:val="both"/>
        <w:rPr>
          <w:rFonts w:cstheme="minorHAnsi"/>
        </w:rPr>
      </w:pPr>
    </w:p>
    <w:p w14:paraId="687715D6" w14:textId="77777777" w:rsidR="00D83D1B" w:rsidRPr="00682A7E" w:rsidRDefault="00D83D1B" w:rsidP="00D83D1B">
      <w:pPr>
        <w:pStyle w:val="ListParagraph"/>
        <w:numPr>
          <w:ilvl w:val="0"/>
          <w:numId w:val="2"/>
        </w:numPr>
        <w:tabs>
          <w:tab w:val="clear" w:pos="720"/>
          <w:tab w:val="num" w:pos="568"/>
        </w:tabs>
        <w:ind w:left="568" w:hanging="568"/>
        <w:jc w:val="both"/>
        <w:rPr>
          <w:rFonts w:cstheme="minorHAnsi"/>
        </w:rPr>
      </w:pPr>
      <w:r w:rsidRPr="00682A7E">
        <w:rPr>
          <w:rFonts w:cstheme="minorHAnsi"/>
        </w:rPr>
        <w:t>Chronological summary of admissions to hospital, court orders, changes of status and involvement with police;</w:t>
      </w:r>
    </w:p>
    <w:p w14:paraId="3B8DAD40" w14:textId="77777777" w:rsidR="00D83D1B" w:rsidRPr="00682A7E" w:rsidRDefault="00D83D1B" w:rsidP="00D83D1B">
      <w:pPr>
        <w:pStyle w:val="ListParagraph"/>
        <w:jc w:val="both"/>
        <w:rPr>
          <w:rFonts w:cstheme="minorHAnsi"/>
        </w:rPr>
      </w:pPr>
    </w:p>
    <w:p w14:paraId="453C496A" w14:textId="77777777" w:rsidR="00D83D1B" w:rsidRPr="00682A7E" w:rsidRDefault="00D83D1B" w:rsidP="00D83D1B">
      <w:pPr>
        <w:pStyle w:val="ListParagraph"/>
        <w:numPr>
          <w:ilvl w:val="0"/>
          <w:numId w:val="2"/>
        </w:numPr>
        <w:tabs>
          <w:tab w:val="clear" w:pos="720"/>
          <w:tab w:val="num" w:pos="568"/>
        </w:tabs>
        <w:ind w:left="568" w:hanging="568"/>
        <w:jc w:val="both"/>
        <w:rPr>
          <w:rFonts w:cstheme="minorHAnsi"/>
        </w:rPr>
      </w:pPr>
      <w:r w:rsidRPr="00682A7E">
        <w:rPr>
          <w:rFonts w:cstheme="minorHAnsi"/>
        </w:rPr>
        <w:t>Identification and assessment of risk behaviours, including dates, duration of behaviours or events and impact on others if known;</w:t>
      </w:r>
    </w:p>
    <w:p w14:paraId="34D94731" w14:textId="77777777" w:rsidR="00D83D1B" w:rsidRPr="00682A7E" w:rsidRDefault="00D83D1B" w:rsidP="00D83D1B">
      <w:pPr>
        <w:pStyle w:val="ListParagraph"/>
        <w:jc w:val="both"/>
        <w:rPr>
          <w:rFonts w:cstheme="minorHAnsi"/>
        </w:rPr>
      </w:pPr>
    </w:p>
    <w:p w14:paraId="0E8CFAEB" w14:textId="77777777" w:rsidR="00D83D1B" w:rsidRPr="00682A7E" w:rsidRDefault="00D83D1B" w:rsidP="00D83D1B">
      <w:pPr>
        <w:pStyle w:val="ListParagraph"/>
        <w:numPr>
          <w:ilvl w:val="0"/>
          <w:numId w:val="2"/>
        </w:numPr>
        <w:tabs>
          <w:tab w:val="clear" w:pos="720"/>
          <w:tab w:val="num" w:pos="568"/>
        </w:tabs>
        <w:ind w:left="568" w:hanging="568"/>
        <w:jc w:val="both"/>
        <w:rPr>
          <w:rFonts w:cstheme="minorHAnsi"/>
        </w:rPr>
      </w:pPr>
      <w:r w:rsidRPr="00682A7E">
        <w:rPr>
          <w:rFonts w:cstheme="minorHAnsi"/>
        </w:rPr>
        <w:t>Specific information on any incapacity to care for self;</w:t>
      </w:r>
    </w:p>
    <w:p w14:paraId="5182D439" w14:textId="77777777" w:rsidR="00D83D1B" w:rsidRPr="00682A7E" w:rsidRDefault="00D83D1B" w:rsidP="00D83D1B">
      <w:pPr>
        <w:pStyle w:val="ListParagraph"/>
        <w:tabs>
          <w:tab w:val="num" w:pos="568"/>
        </w:tabs>
        <w:ind w:left="568" w:hanging="568"/>
        <w:jc w:val="both"/>
        <w:rPr>
          <w:rFonts w:cstheme="minorHAnsi"/>
        </w:rPr>
      </w:pPr>
    </w:p>
    <w:p w14:paraId="23147A28" w14:textId="77777777" w:rsidR="00D83D1B" w:rsidRPr="00682A7E" w:rsidRDefault="00D83D1B" w:rsidP="00D83D1B">
      <w:pPr>
        <w:pStyle w:val="ListParagraph"/>
        <w:numPr>
          <w:ilvl w:val="0"/>
          <w:numId w:val="2"/>
        </w:numPr>
        <w:tabs>
          <w:tab w:val="num" w:pos="568"/>
        </w:tabs>
        <w:ind w:left="568" w:hanging="568"/>
        <w:jc w:val="both"/>
        <w:rPr>
          <w:rFonts w:cstheme="minorHAnsi"/>
        </w:rPr>
      </w:pPr>
      <w:r w:rsidRPr="00682A7E">
        <w:rPr>
          <w:rFonts w:cstheme="minorHAnsi"/>
        </w:rPr>
        <w:t>Current mental state;</w:t>
      </w:r>
    </w:p>
    <w:p w14:paraId="639F1623" w14:textId="77777777" w:rsidR="00D83D1B" w:rsidRPr="00682A7E" w:rsidRDefault="00D83D1B" w:rsidP="00D83D1B">
      <w:pPr>
        <w:pStyle w:val="ListParagraph"/>
        <w:tabs>
          <w:tab w:val="num" w:pos="568"/>
        </w:tabs>
        <w:ind w:left="568" w:hanging="568"/>
        <w:jc w:val="both"/>
        <w:rPr>
          <w:rFonts w:cstheme="minorHAnsi"/>
        </w:rPr>
      </w:pPr>
    </w:p>
    <w:p w14:paraId="69213319" w14:textId="77777777" w:rsidR="00D83D1B" w:rsidRPr="00682A7E" w:rsidRDefault="00D83D1B" w:rsidP="00D83D1B">
      <w:pPr>
        <w:pStyle w:val="ListParagraph"/>
        <w:numPr>
          <w:ilvl w:val="0"/>
          <w:numId w:val="2"/>
        </w:numPr>
        <w:tabs>
          <w:tab w:val="num" w:pos="568"/>
        </w:tabs>
        <w:ind w:left="568" w:hanging="568"/>
        <w:jc w:val="both"/>
        <w:rPr>
          <w:rFonts w:cstheme="minorHAnsi"/>
        </w:rPr>
      </w:pPr>
      <w:r w:rsidRPr="00682A7E">
        <w:rPr>
          <w:rFonts w:cstheme="minorHAnsi"/>
        </w:rPr>
        <w:t>Current management and future plans including comment on the patient’s involvement in and agreement with these;</w:t>
      </w:r>
    </w:p>
    <w:p w14:paraId="39B245FC" w14:textId="77777777" w:rsidR="00D83D1B" w:rsidRPr="00682A7E" w:rsidRDefault="00D83D1B" w:rsidP="00D83D1B">
      <w:pPr>
        <w:pStyle w:val="ListParagraph"/>
        <w:tabs>
          <w:tab w:val="num" w:pos="568"/>
        </w:tabs>
        <w:ind w:left="568" w:hanging="568"/>
        <w:jc w:val="both"/>
        <w:rPr>
          <w:rFonts w:cstheme="minorHAnsi"/>
        </w:rPr>
      </w:pPr>
    </w:p>
    <w:p w14:paraId="0733B0B6" w14:textId="77777777" w:rsidR="00D83D1B" w:rsidRPr="00682A7E" w:rsidRDefault="00D83D1B" w:rsidP="00D83D1B">
      <w:pPr>
        <w:pStyle w:val="ListParagraph"/>
        <w:numPr>
          <w:ilvl w:val="0"/>
          <w:numId w:val="2"/>
        </w:numPr>
        <w:tabs>
          <w:tab w:val="num" w:pos="568"/>
        </w:tabs>
        <w:ind w:left="568" w:hanging="568"/>
        <w:jc w:val="both"/>
        <w:rPr>
          <w:rFonts w:cstheme="minorHAnsi"/>
        </w:rPr>
      </w:pPr>
      <w:r w:rsidRPr="00682A7E">
        <w:rPr>
          <w:rFonts w:cstheme="minorHAnsi"/>
        </w:rPr>
        <w:t>Opinion on whether and if so how the patient’s situation fulfils the legal definition of mental disorder and for special patients and the legal criteria for continued detention.</w:t>
      </w:r>
    </w:p>
    <w:p w14:paraId="650EF9A0" w14:textId="77777777" w:rsidR="00D83D1B" w:rsidRPr="00682A7E" w:rsidRDefault="00D83D1B" w:rsidP="00D83D1B">
      <w:pPr>
        <w:pStyle w:val="ListParagraph"/>
        <w:ind w:left="0"/>
        <w:jc w:val="both"/>
        <w:rPr>
          <w:rFonts w:cstheme="minorHAnsi"/>
          <w:b/>
        </w:rPr>
      </w:pPr>
    </w:p>
    <w:p w14:paraId="0A8B6238" w14:textId="77777777" w:rsidR="00D83D1B" w:rsidRPr="00682A7E" w:rsidRDefault="00D83D1B" w:rsidP="00D83D1B">
      <w:pPr>
        <w:pStyle w:val="ListParagraph"/>
        <w:ind w:left="0"/>
        <w:jc w:val="both"/>
        <w:rPr>
          <w:rFonts w:cstheme="minorHAnsi"/>
          <w:b/>
        </w:rPr>
      </w:pPr>
      <w:r w:rsidRPr="00682A7E">
        <w:rPr>
          <w:rFonts w:cstheme="minorHAnsi"/>
          <w:b/>
        </w:rPr>
        <w:t>Additional Material</w:t>
      </w:r>
    </w:p>
    <w:p w14:paraId="2043B1D2" w14:textId="77777777" w:rsidR="00D83D1B" w:rsidRPr="00682A7E" w:rsidRDefault="00D83D1B" w:rsidP="00D83D1B">
      <w:pPr>
        <w:pStyle w:val="ListParagraph"/>
        <w:ind w:left="0"/>
        <w:jc w:val="both"/>
        <w:rPr>
          <w:rFonts w:cstheme="minorHAnsi"/>
        </w:rPr>
      </w:pPr>
    </w:p>
    <w:p w14:paraId="600996F6" w14:textId="77777777" w:rsidR="00D83D1B" w:rsidRPr="00682A7E" w:rsidRDefault="00D83D1B" w:rsidP="00D83D1B">
      <w:pPr>
        <w:pStyle w:val="ListParagraph"/>
        <w:ind w:left="0"/>
        <w:jc w:val="both"/>
        <w:rPr>
          <w:rFonts w:cstheme="minorHAnsi"/>
        </w:rPr>
      </w:pPr>
      <w:r w:rsidRPr="00682A7E">
        <w:rPr>
          <w:rFonts w:cstheme="minorHAnsi"/>
        </w:rPr>
        <w:t>The following accompanying documents are important in establishing the facts and should accompany the report:</w:t>
      </w:r>
    </w:p>
    <w:p w14:paraId="6AF134C1" w14:textId="77777777" w:rsidR="00D83D1B" w:rsidRPr="00682A7E" w:rsidRDefault="00D83D1B" w:rsidP="00D83D1B">
      <w:pPr>
        <w:numPr>
          <w:ilvl w:val="0"/>
          <w:numId w:val="1"/>
        </w:numPr>
        <w:spacing w:after="0" w:line="240" w:lineRule="auto"/>
        <w:jc w:val="both"/>
        <w:rPr>
          <w:rFonts w:cstheme="minorHAnsi"/>
        </w:rPr>
      </w:pPr>
      <w:r w:rsidRPr="00682A7E">
        <w:rPr>
          <w:rFonts w:cstheme="minorHAnsi"/>
        </w:rPr>
        <w:t>The current order by which the patient is detained or committed and the accompanying report;</w:t>
      </w:r>
    </w:p>
    <w:p w14:paraId="4281C4B4" w14:textId="77777777" w:rsidR="00D83D1B" w:rsidRPr="00682A7E" w:rsidRDefault="00D83D1B" w:rsidP="00D83D1B">
      <w:pPr>
        <w:spacing w:after="0" w:line="240" w:lineRule="auto"/>
        <w:ind w:left="720"/>
        <w:jc w:val="both"/>
        <w:rPr>
          <w:rFonts w:cstheme="minorHAnsi"/>
        </w:rPr>
      </w:pPr>
    </w:p>
    <w:p w14:paraId="0763F926" w14:textId="77777777" w:rsidR="00D83D1B" w:rsidRPr="00682A7E" w:rsidRDefault="00D83D1B" w:rsidP="00D83D1B">
      <w:pPr>
        <w:pStyle w:val="ListParagraph"/>
        <w:numPr>
          <w:ilvl w:val="0"/>
          <w:numId w:val="4"/>
        </w:numPr>
        <w:spacing w:after="0" w:line="240" w:lineRule="auto"/>
        <w:jc w:val="both"/>
        <w:rPr>
          <w:rFonts w:cstheme="minorHAnsi"/>
        </w:rPr>
      </w:pPr>
      <w:r w:rsidRPr="00682A7E">
        <w:rPr>
          <w:rFonts w:cstheme="minorHAnsi"/>
        </w:rPr>
        <w:lastRenderedPageBreak/>
        <w:t>The most recent clinical review under s 76, s 77 or s 78 of the Act (certificate and report);</w:t>
      </w:r>
    </w:p>
    <w:p w14:paraId="2159CC6C" w14:textId="77777777" w:rsidR="00D83D1B" w:rsidRPr="00682A7E" w:rsidRDefault="00D83D1B" w:rsidP="00D83D1B">
      <w:pPr>
        <w:pStyle w:val="ListParagraph"/>
        <w:spacing w:after="0" w:line="240" w:lineRule="auto"/>
        <w:jc w:val="both"/>
        <w:rPr>
          <w:rFonts w:cstheme="minorHAnsi"/>
        </w:rPr>
      </w:pPr>
    </w:p>
    <w:p w14:paraId="0D0405C2" w14:textId="77777777" w:rsidR="00D83D1B" w:rsidRPr="00682A7E" w:rsidRDefault="00D83D1B" w:rsidP="00D83D1B">
      <w:pPr>
        <w:numPr>
          <w:ilvl w:val="0"/>
          <w:numId w:val="1"/>
        </w:numPr>
        <w:spacing w:after="0" w:line="240" w:lineRule="auto"/>
        <w:jc w:val="both"/>
        <w:rPr>
          <w:rFonts w:cstheme="minorHAnsi"/>
        </w:rPr>
      </w:pPr>
      <w:r w:rsidRPr="00682A7E">
        <w:rPr>
          <w:rFonts w:cstheme="minorHAnsi"/>
        </w:rPr>
        <w:t>Relevant second opinions (particularly under s 59 of the Act);</w:t>
      </w:r>
    </w:p>
    <w:p w14:paraId="6E5D91A1" w14:textId="77777777" w:rsidR="00D83D1B" w:rsidRPr="00682A7E" w:rsidRDefault="00D83D1B" w:rsidP="00D83D1B">
      <w:pPr>
        <w:pStyle w:val="ListParagraph"/>
        <w:spacing w:after="0" w:line="240" w:lineRule="auto"/>
        <w:jc w:val="both"/>
        <w:rPr>
          <w:rFonts w:cstheme="minorHAnsi"/>
        </w:rPr>
      </w:pPr>
    </w:p>
    <w:p w14:paraId="16A8C97F" w14:textId="77777777" w:rsidR="00D83D1B" w:rsidRPr="00682A7E" w:rsidRDefault="00D83D1B" w:rsidP="00D83D1B">
      <w:pPr>
        <w:numPr>
          <w:ilvl w:val="0"/>
          <w:numId w:val="1"/>
        </w:numPr>
        <w:spacing w:after="0" w:line="240" w:lineRule="auto"/>
        <w:jc w:val="both"/>
        <w:rPr>
          <w:rFonts w:cstheme="minorHAnsi"/>
        </w:rPr>
      </w:pPr>
      <w:r w:rsidRPr="00682A7E">
        <w:rPr>
          <w:rFonts w:cstheme="minorHAnsi"/>
        </w:rPr>
        <w:t>Any relevant specialist reports (e.g. psychologist, social worker or occupational therapist, medical specialist, cultural assessment), and discharge summaries;</w:t>
      </w:r>
    </w:p>
    <w:p w14:paraId="6446D84A" w14:textId="77777777" w:rsidR="00D83D1B" w:rsidRPr="00682A7E" w:rsidRDefault="00D83D1B" w:rsidP="00D83D1B">
      <w:pPr>
        <w:pStyle w:val="ListParagraph"/>
        <w:spacing w:after="0" w:line="240" w:lineRule="auto"/>
        <w:jc w:val="both"/>
        <w:rPr>
          <w:rFonts w:cstheme="minorHAnsi"/>
        </w:rPr>
      </w:pPr>
    </w:p>
    <w:p w14:paraId="0CE46FD8" w14:textId="77777777" w:rsidR="00D83D1B" w:rsidRPr="00682A7E" w:rsidRDefault="00D83D1B" w:rsidP="00D83D1B">
      <w:pPr>
        <w:numPr>
          <w:ilvl w:val="0"/>
          <w:numId w:val="1"/>
        </w:numPr>
        <w:spacing w:after="0" w:line="240" w:lineRule="auto"/>
        <w:jc w:val="both"/>
        <w:rPr>
          <w:rFonts w:cstheme="minorHAnsi"/>
        </w:rPr>
      </w:pPr>
      <w:r w:rsidRPr="00682A7E">
        <w:rPr>
          <w:rFonts w:cstheme="minorHAnsi"/>
        </w:rPr>
        <w:t>A copy of the relevant police caption sheet/summary of facts, order of detention and list of previous convictions (for special patients);</w:t>
      </w:r>
    </w:p>
    <w:p w14:paraId="32A36698" w14:textId="77777777" w:rsidR="00D83D1B" w:rsidRPr="00682A7E" w:rsidRDefault="00D83D1B" w:rsidP="00D83D1B">
      <w:pPr>
        <w:jc w:val="both"/>
        <w:rPr>
          <w:rFonts w:cstheme="minorHAnsi"/>
        </w:rPr>
      </w:pPr>
    </w:p>
    <w:p w14:paraId="6B3119E9" w14:textId="7BDB942E" w:rsidR="00606DF1" w:rsidRPr="00682A7E" w:rsidRDefault="00D83D1B" w:rsidP="00D83D1B">
      <w:pPr>
        <w:rPr>
          <w:rFonts w:cstheme="minorHAnsi"/>
        </w:rPr>
      </w:pPr>
      <w:r w:rsidRPr="00682A7E">
        <w:rPr>
          <w:rFonts w:cstheme="minorHAnsi"/>
          <w:b/>
        </w:rPr>
        <w:t xml:space="preserve">Note: </w:t>
      </w:r>
      <w:r w:rsidR="009A5F30">
        <w:rPr>
          <w:rFonts w:cstheme="minorHAnsi"/>
          <w:b/>
        </w:rPr>
        <w:t>T</w:t>
      </w:r>
      <w:r w:rsidRPr="00682A7E">
        <w:rPr>
          <w:rFonts w:cstheme="minorHAnsi"/>
          <w:b/>
        </w:rPr>
        <w:t>he Tribunal does not have previous reports and annexures available to it and so these need to be sent afresh, if relevant.</w:t>
      </w:r>
      <w:r w:rsidR="00682A7E">
        <w:rPr>
          <w:rFonts w:cstheme="minorHAnsi"/>
          <w:b/>
        </w:rPr>
        <w:t xml:space="preserve"> </w:t>
      </w:r>
      <w:r w:rsidR="00C11FA2">
        <w:rPr>
          <w:rFonts w:cstheme="minorHAnsi"/>
          <w:b/>
        </w:rPr>
        <w:t>However, repetition of material is best avoided.</w:t>
      </w:r>
    </w:p>
    <w:sectPr w:rsidR="00606DF1" w:rsidRPr="00682A7E" w:rsidSect="00D83D1B">
      <w:pgSz w:w="12240" w:h="15840"/>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066BF" w14:textId="77777777" w:rsidR="00DD57F1" w:rsidRDefault="00DD57F1" w:rsidP="00D83D1B">
      <w:pPr>
        <w:spacing w:after="0" w:line="240" w:lineRule="auto"/>
      </w:pPr>
      <w:r>
        <w:separator/>
      </w:r>
    </w:p>
  </w:endnote>
  <w:endnote w:type="continuationSeparator" w:id="0">
    <w:p w14:paraId="699AB319" w14:textId="77777777" w:rsidR="00DD57F1" w:rsidRDefault="00DD57F1" w:rsidP="00D83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66ECE" w14:textId="77777777" w:rsidR="00DD57F1" w:rsidRDefault="00DD57F1" w:rsidP="00D83D1B">
      <w:pPr>
        <w:spacing w:after="0" w:line="240" w:lineRule="auto"/>
      </w:pPr>
      <w:r>
        <w:separator/>
      </w:r>
    </w:p>
  </w:footnote>
  <w:footnote w:type="continuationSeparator" w:id="0">
    <w:p w14:paraId="452C0A22" w14:textId="77777777" w:rsidR="00DD57F1" w:rsidRDefault="00DD57F1" w:rsidP="00D83D1B">
      <w:pPr>
        <w:spacing w:after="0" w:line="240" w:lineRule="auto"/>
      </w:pPr>
      <w:r>
        <w:continuationSeparator/>
      </w:r>
    </w:p>
  </w:footnote>
  <w:footnote w:id="1">
    <w:p w14:paraId="3E40927A" w14:textId="77777777" w:rsidR="00D83D1B" w:rsidRDefault="00D83D1B" w:rsidP="00D83D1B">
      <w:pPr>
        <w:pStyle w:val="FootnoteText"/>
      </w:pPr>
      <w:r>
        <w:rPr>
          <w:rStyle w:val="FootnoteReference"/>
        </w:rPr>
        <w:footnoteRef/>
      </w:r>
      <w:r>
        <w:t xml:space="preserve"> Mental Health (Compulsory Assessment and Treatment) Act 1992, s79.</w:t>
      </w:r>
    </w:p>
  </w:footnote>
  <w:footnote w:id="2">
    <w:p w14:paraId="4E4028C9" w14:textId="77777777" w:rsidR="00D83D1B" w:rsidRDefault="00D83D1B" w:rsidP="00D83D1B">
      <w:pPr>
        <w:pStyle w:val="FootnoteText"/>
      </w:pPr>
      <w:r>
        <w:rPr>
          <w:rStyle w:val="FootnoteReference"/>
        </w:rPr>
        <w:footnoteRef/>
      </w:r>
      <w:r>
        <w:t xml:space="preserve"> Mental Health (Compulsory Assessment and Treatment) Act 1992, s80 for special patients and s81 for restricted patients. </w:t>
      </w:r>
    </w:p>
  </w:footnote>
  <w:footnote w:id="3">
    <w:p w14:paraId="0E699864" w14:textId="77777777" w:rsidR="00D83D1B" w:rsidRDefault="00D83D1B" w:rsidP="00D83D1B">
      <w:pPr>
        <w:pStyle w:val="FootnoteText"/>
      </w:pPr>
      <w:r>
        <w:rPr>
          <w:rStyle w:val="FootnoteReference"/>
        </w:rPr>
        <w:footnoteRef/>
      </w:r>
      <w:r>
        <w:t xml:space="preserve"> </w:t>
      </w:r>
      <w:proofErr w:type="spellStart"/>
      <w:r w:rsidRPr="001A7ED3">
        <w:rPr>
          <w:i/>
        </w:rPr>
        <w:t>Waitemata</w:t>
      </w:r>
      <w:proofErr w:type="spellEnd"/>
      <w:r w:rsidRPr="001A7ED3">
        <w:rPr>
          <w:i/>
        </w:rPr>
        <w:t xml:space="preserve"> Health v the Attorney-General</w:t>
      </w:r>
      <w:r>
        <w:t xml:space="preserve"> [2001] NZFLR 1122.</w:t>
      </w:r>
    </w:p>
  </w:footnote>
  <w:footnote w:id="4">
    <w:p w14:paraId="0407E0FD" w14:textId="77777777" w:rsidR="00D83D1B" w:rsidRDefault="00D83D1B" w:rsidP="00D83D1B">
      <w:pPr>
        <w:pStyle w:val="FootnoteText"/>
      </w:pPr>
      <w:r>
        <w:rPr>
          <w:rStyle w:val="FootnoteReference"/>
        </w:rPr>
        <w:footnoteRef/>
      </w:r>
      <w:r>
        <w:t xml:space="preserve"> Herein the Act.</w:t>
      </w:r>
    </w:p>
  </w:footnote>
  <w:footnote w:id="5">
    <w:p w14:paraId="3D4F0747" w14:textId="77777777" w:rsidR="00D83D1B" w:rsidRDefault="00D83D1B" w:rsidP="00D83D1B">
      <w:pPr>
        <w:pStyle w:val="FootnoteText"/>
      </w:pPr>
      <w:r>
        <w:rPr>
          <w:rStyle w:val="FootnoteReference"/>
        </w:rPr>
        <w:footnoteRef/>
      </w:r>
      <w:r>
        <w:t xml:space="preserve"> Mental Health (Compulsory Assessment and Treatment) Act 1992, </w:t>
      </w:r>
      <w:proofErr w:type="gramStart"/>
      <w:r>
        <w:t>s79(</w:t>
      </w:r>
      <w:proofErr w:type="gramEnd"/>
      <w:r>
        <w:t>5) and (6).</w:t>
      </w:r>
    </w:p>
  </w:footnote>
  <w:footnote w:id="6">
    <w:p w14:paraId="1BD6FF91" w14:textId="77777777" w:rsidR="00D83D1B" w:rsidRDefault="00D83D1B" w:rsidP="00D83D1B">
      <w:pPr>
        <w:pStyle w:val="FootnoteText"/>
      </w:pPr>
      <w:r>
        <w:rPr>
          <w:rStyle w:val="FootnoteReference"/>
        </w:rPr>
        <w:footnoteRef/>
      </w:r>
      <w:r>
        <w:t xml:space="preserve"> This term is defined in the Mental Health (Compulsory Assessment and Treatment) Act 1992, s2.</w:t>
      </w:r>
    </w:p>
  </w:footnote>
  <w:footnote w:id="7">
    <w:p w14:paraId="2217302D" w14:textId="77777777" w:rsidR="00D83D1B" w:rsidRDefault="00D83D1B" w:rsidP="00D83D1B">
      <w:pPr>
        <w:pStyle w:val="FootnoteText"/>
      </w:pPr>
      <w:r>
        <w:rPr>
          <w:rStyle w:val="FootnoteReference"/>
        </w:rPr>
        <w:footnoteRef/>
      </w:r>
      <w:r>
        <w:t xml:space="preserve"> Mental Health (Compulsory Assessment and Treatment) Act 1992, s80 for special patients and s81 for restricted patients.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6338A"/>
    <w:multiLevelType w:val="hybridMultilevel"/>
    <w:tmpl w:val="D4FEAFB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A06316E"/>
    <w:multiLevelType w:val="hybridMultilevel"/>
    <w:tmpl w:val="2ABA7B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C23A05"/>
    <w:multiLevelType w:val="hybridMultilevel"/>
    <w:tmpl w:val="147C42AE"/>
    <w:lvl w:ilvl="0" w:tplc="00006BFC">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B47409"/>
    <w:multiLevelType w:val="hybridMultilevel"/>
    <w:tmpl w:val="A866FC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1B"/>
    <w:rsid w:val="00011959"/>
    <w:rsid w:val="001D48DB"/>
    <w:rsid w:val="004429FE"/>
    <w:rsid w:val="00476796"/>
    <w:rsid w:val="004F4572"/>
    <w:rsid w:val="00522043"/>
    <w:rsid w:val="00566DBE"/>
    <w:rsid w:val="00663F81"/>
    <w:rsid w:val="006819F5"/>
    <w:rsid w:val="00682A7E"/>
    <w:rsid w:val="00872172"/>
    <w:rsid w:val="008C1540"/>
    <w:rsid w:val="00904DCB"/>
    <w:rsid w:val="00971D29"/>
    <w:rsid w:val="009A5F30"/>
    <w:rsid w:val="009F097C"/>
    <w:rsid w:val="00C11FA2"/>
    <w:rsid w:val="00C158CA"/>
    <w:rsid w:val="00C22251"/>
    <w:rsid w:val="00D00F70"/>
    <w:rsid w:val="00D83D1B"/>
    <w:rsid w:val="00D906B9"/>
    <w:rsid w:val="00DB3137"/>
    <w:rsid w:val="00DC16B0"/>
    <w:rsid w:val="00DD57F1"/>
    <w:rsid w:val="00E4385B"/>
    <w:rsid w:val="00E647B3"/>
    <w:rsid w:val="00F3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B638"/>
  <w15:chartTrackingRefBased/>
  <w15:docId w15:val="{084D13B8-8C88-4153-AD26-5B77A983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D1B"/>
    <w:rPr>
      <w:lang w:val="en-NZ"/>
    </w:rPr>
  </w:style>
  <w:style w:type="paragraph" w:styleId="Heading2">
    <w:name w:val="heading 2"/>
    <w:basedOn w:val="Normal"/>
    <w:next w:val="Normal"/>
    <w:link w:val="Heading2Char"/>
    <w:qFormat/>
    <w:rsid w:val="00D83D1B"/>
    <w:pPr>
      <w:keepNext/>
      <w:spacing w:after="0" w:line="240" w:lineRule="auto"/>
      <w:outlineLvl w:val="1"/>
    </w:pPr>
    <w:rPr>
      <w:rFonts w:ascii="Book Antiqua" w:eastAsia="Times New Roman" w:hAnsi="Book Antiqua" w:cs="Times New Roman"/>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3D1B"/>
    <w:rPr>
      <w:rFonts w:ascii="Book Antiqua" w:eastAsia="Times New Roman" w:hAnsi="Book Antiqua" w:cs="Times New Roman"/>
      <w:b/>
      <w:bCs/>
      <w:sz w:val="24"/>
      <w:szCs w:val="24"/>
      <w:lang w:val="en-AU"/>
    </w:rPr>
  </w:style>
  <w:style w:type="paragraph" w:styleId="ListParagraph">
    <w:name w:val="List Paragraph"/>
    <w:basedOn w:val="Normal"/>
    <w:uiPriority w:val="34"/>
    <w:qFormat/>
    <w:rsid w:val="00D83D1B"/>
    <w:pPr>
      <w:ind w:left="720"/>
      <w:contextualSpacing/>
    </w:pPr>
  </w:style>
  <w:style w:type="paragraph" w:styleId="Title">
    <w:name w:val="Title"/>
    <w:basedOn w:val="Normal"/>
    <w:link w:val="TitleChar"/>
    <w:qFormat/>
    <w:rsid w:val="00D83D1B"/>
    <w:pPr>
      <w:spacing w:after="0" w:line="240" w:lineRule="auto"/>
      <w:jc w:val="center"/>
    </w:pPr>
    <w:rPr>
      <w:rFonts w:ascii="Times New Roman" w:eastAsia="Times New Roman" w:hAnsi="Times New Roman" w:cs="Times New Roman"/>
      <w:b/>
      <w:bCs/>
      <w:sz w:val="36"/>
      <w:szCs w:val="24"/>
      <w:lang w:val="en-AU"/>
    </w:rPr>
  </w:style>
  <w:style w:type="character" w:customStyle="1" w:styleId="TitleChar">
    <w:name w:val="Title Char"/>
    <w:basedOn w:val="DefaultParagraphFont"/>
    <w:link w:val="Title"/>
    <w:rsid w:val="00D83D1B"/>
    <w:rPr>
      <w:rFonts w:ascii="Times New Roman" w:eastAsia="Times New Roman" w:hAnsi="Times New Roman" w:cs="Times New Roman"/>
      <w:b/>
      <w:bCs/>
      <w:sz w:val="36"/>
      <w:szCs w:val="24"/>
      <w:lang w:val="en-AU"/>
    </w:rPr>
  </w:style>
  <w:style w:type="paragraph" w:styleId="Subtitle">
    <w:name w:val="Subtitle"/>
    <w:basedOn w:val="Normal"/>
    <w:link w:val="SubtitleChar"/>
    <w:qFormat/>
    <w:rsid w:val="00D83D1B"/>
    <w:pPr>
      <w:spacing w:after="0" w:line="240" w:lineRule="auto"/>
      <w:jc w:val="center"/>
    </w:pPr>
    <w:rPr>
      <w:rFonts w:ascii="Times New Roman" w:eastAsia="Times New Roman" w:hAnsi="Times New Roman" w:cs="Times New Roman"/>
      <w:b/>
      <w:bCs/>
      <w:sz w:val="24"/>
      <w:szCs w:val="24"/>
      <w:lang w:val="en-AU"/>
    </w:rPr>
  </w:style>
  <w:style w:type="character" w:customStyle="1" w:styleId="SubtitleChar">
    <w:name w:val="Subtitle Char"/>
    <w:basedOn w:val="DefaultParagraphFont"/>
    <w:link w:val="Subtitle"/>
    <w:rsid w:val="00D83D1B"/>
    <w:rPr>
      <w:rFonts w:ascii="Times New Roman" w:eastAsia="Times New Roman" w:hAnsi="Times New Roman" w:cs="Times New Roman"/>
      <w:b/>
      <w:bCs/>
      <w:sz w:val="24"/>
      <w:szCs w:val="24"/>
      <w:lang w:val="en-AU"/>
    </w:rPr>
  </w:style>
  <w:style w:type="paragraph" w:styleId="FootnoteText">
    <w:name w:val="footnote text"/>
    <w:basedOn w:val="Normal"/>
    <w:link w:val="FootnoteTextChar"/>
    <w:uiPriority w:val="99"/>
    <w:semiHidden/>
    <w:unhideWhenUsed/>
    <w:rsid w:val="00D83D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3D1B"/>
    <w:rPr>
      <w:sz w:val="20"/>
      <w:szCs w:val="20"/>
      <w:lang w:val="en-NZ"/>
    </w:rPr>
  </w:style>
  <w:style w:type="character" w:styleId="FootnoteReference">
    <w:name w:val="footnote reference"/>
    <w:basedOn w:val="DefaultParagraphFont"/>
    <w:uiPriority w:val="99"/>
    <w:semiHidden/>
    <w:unhideWhenUsed/>
    <w:rsid w:val="00D83D1B"/>
    <w:rPr>
      <w:vertAlign w:val="superscript"/>
    </w:rPr>
  </w:style>
  <w:style w:type="character" w:styleId="HTMLDefinition">
    <w:name w:val="HTML Definition"/>
    <w:basedOn w:val="DefaultParagraphFont"/>
    <w:uiPriority w:val="99"/>
    <w:semiHidden/>
    <w:unhideWhenUsed/>
    <w:rsid w:val="00D83D1B"/>
    <w:rPr>
      <w:i/>
      <w:iCs/>
    </w:rPr>
  </w:style>
  <w:style w:type="character" w:customStyle="1" w:styleId="label">
    <w:name w:val="label"/>
    <w:basedOn w:val="DefaultParagraphFont"/>
    <w:rsid w:val="00D83D1B"/>
  </w:style>
  <w:style w:type="character" w:customStyle="1" w:styleId="spc1">
    <w:name w:val="spc1"/>
    <w:basedOn w:val="DefaultParagraphFont"/>
    <w:rsid w:val="00D83D1B"/>
    <w:rPr>
      <w:strike w:val="0"/>
      <w:dstrike w:val="0"/>
      <w:u w:val="none"/>
      <w:effect w:val="none"/>
    </w:rPr>
  </w:style>
  <w:style w:type="paragraph" w:customStyle="1" w:styleId="text1">
    <w:name w:val="text1"/>
    <w:basedOn w:val="Normal"/>
    <w:rsid w:val="00D83D1B"/>
    <w:pPr>
      <w:spacing w:after="0" w:line="288" w:lineRule="atLeast"/>
    </w:pPr>
    <w:rPr>
      <w:rFonts w:ascii="Times New Roman" w:eastAsia="Times New Roman" w:hAnsi="Times New Roman" w:cs="Times New Roman"/>
      <w:color w:val="000000"/>
      <w:sz w:val="24"/>
      <w:szCs w:val="24"/>
      <w:lang w:eastAsia="en-NZ"/>
    </w:rPr>
  </w:style>
  <w:style w:type="paragraph" w:customStyle="1" w:styleId="labelled4">
    <w:name w:val="labelled4"/>
    <w:basedOn w:val="Normal"/>
    <w:rsid w:val="00D83D1B"/>
    <w:pPr>
      <w:spacing w:after="0" w:line="288" w:lineRule="atLeast"/>
      <w:ind w:right="240"/>
    </w:pPr>
    <w:rPr>
      <w:rFonts w:ascii="Times New Roman" w:eastAsia="Times New Roman" w:hAnsi="Times New Roman" w:cs="Times New Roman"/>
      <w:color w:val="000000"/>
      <w:sz w:val="24"/>
      <w:szCs w:val="24"/>
      <w:lang w:eastAsia="en-NZ"/>
    </w:rPr>
  </w:style>
  <w:style w:type="paragraph" w:styleId="BalloonText">
    <w:name w:val="Balloon Text"/>
    <w:basedOn w:val="Normal"/>
    <w:link w:val="BalloonTextChar"/>
    <w:uiPriority w:val="99"/>
    <w:semiHidden/>
    <w:unhideWhenUsed/>
    <w:rsid w:val="00682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A7E"/>
    <w:rPr>
      <w:rFonts w:ascii="Segoe UI" w:hAnsi="Segoe UI" w:cs="Segoe UI"/>
      <w:sz w:val="18"/>
      <w:szCs w:val="18"/>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48479CD3</Template>
  <TotalTime>3</TotalTime>
  <Pages>4</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Guidelines for reports to the Review Tribunal by Responsible Clinicians: March 2018</dc:creator>
  <cp:keywords/>
  <dc:description/>
  <cp:lastModifiedBy>Allan Potter</cp:lastModifiedBy>
  <cp:revision>3</cp:revision>
  <cp:lastPrinted>2018-04-11T02:25:00Z</cp:lastPrinted>
  <dcterms:created xsi:type="dcterms:W3CDTF">2018-04-11T01:20:00Z</dcterms:created>
  <dcterms:modified xsi:type="dcterms:W3CDTF">2018-04-11T02:25:00Z</dcterms:modified>
</cp:coreProperties>
</file>