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F3" w:rsidRPr="00A409A5" w:rsidRDefault="00764BB7" w:rsidP="004F2D21">
      <w:pPr>
        <w:spacing w:before="240" w:after="360"/>
        <w:rPr>
          <w:rFonts w:ascii="Georgia" w:hAnsi="Georgia"/>
          <w:b/>
          <w:sz w:val="40"/>
          <w:szCs w:val="40"/>
        </w:rPr>
      </w:pPr>
      <w:r w:rsidRPr="00A409A5">
        <w:rPr>
          <w:noProof/>
          <w:sz w:val="40"/>
          <w:szCs w:val="40"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9330" cy="481965"/>
            <wp:effectExtent l="0" t="0" r="1270" b="0"/>
            <wp:wrapTight wrapText="bothSides">
              <wp:wrapPolygon edited="0">
                <wp:start x="0" y="0"/>
                <wp:lineTo x="0" y="20490"/>
                <wp:lineTo x="21212" y="20490"/>
                <wp:lineTo x="21212" y="0"/>
                <wp:lineTo x="0" y="0"/>
              </wp:wrapPolygon>
            </wp:wrapTight>
            <wp:docPr id="1" name="Picture 1" descr="27510 MOH word template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510 MOH word template masthe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0" t="43289" r="79724" b="11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</w:p>
    <w:p w:rsidR="00746AF3" w:rsidRPr="00A409A5" w:rsidRDefault="00746AF3" w:rsidP="004F2D21">
      <w:pPr>
        <w:spacing w:before="240" w:after="360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Medicinal Cannabis Advisory Group</w:t>
      </w:r>
      <w:r w:rsidR="00764BB7">
        <w:rPr>
          <w:rFonts w:ascii="Georgia" w:hAnsi="Georgia"/>
          <w:b/>
          <w:sz w:val="40"/>
          <w:szCs w:val="40"/>
        </w:rPr>
        <w:t xml:space="preserve"> </w:t>
      </w:r>
      <w:r w:rsidR="006F17A0">
        <w:rPr>
          <w:rFonts w:ascii="Georgia" w:hAnsi="Georgia"/>
          <w:b/>
          <w:sz w:val="40"/>
          <w:szCs w:val="40"/>
        </w:rPr>
        <w:t>M</w:t>
      </w:r>
      <w:r w:rsidR="00764BB7">
        <w:rPr>
          <w:rFonts w:ascii="Georgia" w:hAnsi="Georgia"/>
          <w:b/>
          <w:sz w:val="40"/>
          <w:szCs w:val="40"/>
        </w:rPr>
        <w:t>eeting M</w:t>
      </w:r>
      <w:r w:rsidR="00F86E2C">
        <w:rPr>
          <w:rFonts w:ascii="Georgia" w:hAnsi="Georgia"/>
          <w:b/>
          <w:sz w:val="40"/>
          <w:szCs w:val="40"/>
        </w:rPr>
        <w:t>inutes</w:t>
      </w:r>
    </w:p>
    <w:tbl>
      <w:tblPr>
        <w:tblStyle w:val="TableGrid"/>
        <w:tblW w:w="990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8298"/>
      </w:tblGrid>
      <w:tr w:rsidR="00746AF3" w:rsidRPr="00FB12DD" w:rsidTr="005148C7">
        <w:trPr>
          <w:cantSplit/>
        </w:trPr>
        <w:tc>
          <w:tcPr>
            <w:tcW w:w="1602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9943EE" w:rsidRDefault="00746AF3" w:rsidP="004F2D21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9943EE">
              <w:rPr>
                <w:rFonts w:cs="Arial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82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9943EE" w:rsidRDefault="0064511E" w:rsidP="004F2D21">
            <w:pPr>
              <w:pStyle w:val="TableText"/>
              <w:rPr>
                <w:rFonts w:cs="Arial"/>
                <w:sz w:val="22"/>
                <w:szCs w:val="22"/>
              </w:rPr>
            </w:pPr>
            <w:r w:rsidRPr="009943EE">
              <w:rPr>
                <w:rFonts w:cs="Arial"/>
                <w:sz w:val="22"/>
                <w:szCs w:val="22"/>
              </w:rPr>
              <w:t>Tuesday 14 May 2019</w:t>
            </w:r>
          </w:p>
        </w:tc>
      </w:tr>
      <w:tr w:rsidR="00746AF3" w:rsidRPr="00FB12DD" w:rsidTr="005148C7">
        <w:trPr>
          <w:cantSplit/>
        </w:trPr>
        <w:tc>
          <w:tcPr>
            <w:tcW w:w="1602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9943EE" w:rsidRDefault="00746AF3" w:rsidP="004F2D21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9943EE">
              <w:rPr>
                <w:rFonts w:cs="Arial"/>
                <w:b/>
                <w:sz w:val="22"/>
                <w:szCs w:val="22"/>
              </w:rPr>
              <w:t>Time:</w:t>
            </w:r>
          </w:p>
        </w:tc>
        <w:tc>
          <w:tcPr>
            <w:tcW w:w="82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9943EE" w:rsidRDefault="009943EE" w:rsidP="004F2D21">
            <w:pPr>
              <w:pStyle w:val="TableText"/>
              <w:rPr>
                <w:rFonts w:cs="Arial"/>
                <w:sz w:val="22"/>
                <w:szCs w:val="22"/>
              </w:rPr>
            </w:pPr>
            <w:r w:rsidRPr="009943EE">
              <w:rPr>
                <w:rFonts w:cs="Arial"/>
                <w:sz w:val="22"/>
                <w:szCs w:val="22"/>
              </w:rPr>
              <w:t>6.00pm–7.</w:t>
            </w:r>
            <w:r w:rsidR="0064511E" w:rsidRPr="009943EE">
              <w:rPr>
                <w:rFonts w:cs="Arial"/>
                <w:sz w:val="22"/>
                <w:szCs w:val="22"/>
              </w:rPr>
              <w:t>00pm</w:t>
            </w:r>
          </w:p>
        </w:tc>
      </w:tr>
      <w:tr w:rsidR="00746AF3" w:rsidRPr="00FB12DD" w:rsidTr="005148C7">
        <w:trPr>
          <w:cantSplit/>
        </w:trPr>
        <w:tc>
          <w:tcPr>
            <w:tcW w:w="1602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9943EE" w:rsidRDefault="00746AF3" w:rsidP="004F2D21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9943EE">
              <w:rPr>
                <w:rFonts w:cs="Arial"/>
                <w:b/>
                <w:sz w:val="22"/>
                <w:szCs w:val="22"/>
              </w:rPr>
              <w:t>Location:</w:t>
            </w:r>
          </w:p>
        </w:tc>
        <w:tc>
          <w:tcPr>
            <w:tcW w:w="82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9943EE" w:rsidRDefault="00BB2727" w:rsidP="004F2D21">
            <w:pPr>
              <w:pStyle w:val="TableText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 w:val="22"/>
                <w:szCs w:val="22"/>
              </w:rPr>
              <w:t>Teleconference</w:t>
            </w:r>
          </w:p>
        </w:tc>
      </w:tr>
      <w:tr w:rsidR="00746AF3" w:rsidRPr="00FB12DD" w:rsidTr="005148C7">
        <w:trPr>
          <w:cantSplit/>
        </w:trPr>
        <w:tc>
          <w:tcPr>
            <w:tcW w:w="1602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9943EE" w:rsidRDefault="00746AF3" w:rsidP="004F2D21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9943EE">
              <w:rPr>
                <w:rFonts w:cs="Arial"/>
                <w:b/>
                <w:sz w:val="22"/>
                <w:szCs w:val="22"/>
              </w:rPr>
              <w:t>Chair:</w:t>
            </w:r>
          </w:p>
        </w:tc>
        <w:tc>
          <w:tcPr>
            <w:tcW w:w="82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9943EE" w:rsidRDefault="00746AF3" w:rsidP="004F2D21">
            <w:pPr>
              <w:pStyle w:val="TableText"/>
              <w:rPr>
                <w:rFonts w:cs="Arial"/>
                <w:sz w:val="22"/>
                <w:szCs w:val="22"/>
              </w:rPr>
            </w:pPr>
            <w:r w:rsidRPr="009943EE">
              <w:rPr>
                <w:rFonts w:cs="Arial"/>
                <w:color w:val="000000"/>
                <w:sz w:val="22"/>
                <w:szCs w:val="22"/>
              </w:rPr>
              <w:t>Dr Russell Wills</w:t>
            </w:r>
          </w:p>
        </w:tc>
      </w:tr>
      <w:tr w:rsidR="00746AF3" w:rsidRPr="00FB12DD" w:rsidTr="005148C7">
        <w:trPr>
          <w:cantSplit/>
        </w:trPr>
        <w:tc>
          <w:tcPr>
            <w:tcW w:w="1602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9943EE" w:rsidRDefault="00746AF3" w:rsidP="004F2D21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9943EE">
              <w:rPr>
                <w:rFonts w:cs="Arial"/>
                <w:b/>
                <w:sz w:val="22"/>
                <w:szCs w:val="22"/>
              </w:rPr>
              <w:t>Attendees:</w:t>
            </w:r>
          </w:p>
        </w:tc>
        <w:tc>
          <w:tcPr>
            <w:tcW w:w="82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9943EE" w:rsidRDefault="00746AF3" w:rsidP="004F2D2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</w:pPr>
            <w:r w:rsidRPr="009943EE">
              <w:rPr>
                <w:rFonts w:cs="Arial"/>
                <w:sz w:val="22"/>
                <w:szCs w:val="22"/>
              </w:rPr>
              <w:t>Committee – Dr Brian Ensor, Judy Leader, Professor Michelle Glass, Dr David Burrell, Rebecca Reider, Manu Caddie, Kali Mercier, Tara Creaven</w:t>
            </w:r>
            <w:r w:rsidR="00BF6428">
              <w:rPr>
                <w:rFonts w:cs="Arial"/>
                <w:sz w:val="22"/>
                <w:szCs w:val="22"/>
              </w:rPr>
              <w:t>-Capasso</w:t>
            </w:r>
            <w:r w:rsidRPr="009943EE">
              <w:rPr>
                <w:rFonts w:cs="Arial"/>
                <w:sz w:val="22"/>
                <w:szCs w:val="22"/>
              </w:rPr>
              <w:t xml:space="preserve">, </w:t>
            </w:r>
            <w:r w:rsidR="0064511E" w:rsidRPr="009943EE">
              <w:rPr>
                <w:rFonts w:cs="Arial"/>
                <w:sz w:val="22"/>
                <w:szCs w:val="22"/>
              </w:rPr>
              <w:t xml:space="preserve">Dr Andrew Butler, Dr Cynthia </w:t>
            </w:r>
            <w:r w:rsidR="0064511E" w:rsidRPr="002424B0">
              <w:rPr>
                <w:rFonts w:cs="Arial"/>
                <w:sz w:val="22"/>
                <w:szCs w:val="22"/>
              </w:rPr>
              <w:t>Sharpe, Simon Royal,</w:t>
            </w:r>
            <w:r w:rsidR="0064511E" w:rsidRPr="009943EE">
              <w:rPr>
                <w:rFonts w:cs="Arial"/>
                <w:sz w:val="22"/>
                <w:szCs w:val="22"/>
              </w:rPr>
              <w:t xml:space="preserve"> Suzy Barber</w:t>
            </w:r>
          </w:p>
          <w:p w:rsidR="00746AF3" w:rsidRPr="009943EE" w:rsidRDefault="00746AF3" w:rsidP="004F2D21">
            <w:pPr>
              <w:pStyle w:val="TableText"/>
              <w:rPr>
                <w:rFonts w:cs="Arial"/>
                <w:sz w:val="22"/>
                <w:szCs w:val="22"/>
              </w:rPr>
            </w:pPr>
            <w:r w:rsidRPr="009943EE">
              <w:rPr>
                <w:rFonts w:cs="Arial"/>
                <w:sz w:val="22"/>
                <w:szCs w:val="22"/>
              </w:rPr>
              <w:t>Secretariat –</w:t>
            </w:r>
            <w:r w:rsidR="00907412" w:rsidRPr="009943EE">
              <w:rPr>
                <w:rFonts w:cs="Arial"/>
                <w:sz w:val="22"/>
                <w:szCs w:val="22"/>
              </w:rPr>
              <w:t xml:space="preserve"> </w:t>
            </w:r>
            <w:r w:rsidRPr="009943EE">
              <w:rPr>
                <w:rFonts w:cs="Arial"/>
                <w:sz w:val="22"/>
                <w:szCs w:val="22"/>
              </w:rPr>
              <w:t>Andrea Eng, Kayla Cook, Cherish Low, Valerie Mills</w:t>
            </w:r>
            <w:r w:rsidR="00907412" w:rsidRPr="009943EE">
              <w:rPr>
                <w:rFonts w:cs="Arial"/>
                <w:sz w:val="22"/>
                <w:szCs w:val="22"/>
              </w:rPr>
              <w:t>, Susan Thomson</w:t>
            </w:r>
          </w:p>
          <w:p w:rsidR="00907412" w:rsidRPr="009943EE" w:rsidRDefault="00907412" w:rsidP="004F2D21">
            <w:pPr>
              <w:pStyle w:val="TableText"/>
              <w:rPr>
                <w:rFonts w:cs="Arial"/>
                <w:sz w:val="22"/>
                <w:szCs w:val="22"/>
              </w:rPr>
            </w:pPr>
            <w:r w:rsidRPr="009943EE">
              <w:rPr>
                <w:rFonts w:cs="Arial"/>
                <w:sz w:val="22"/>
                <w:szCs w:val="22"/>
              </w:rPr>
              <w:t>Ministry of Health – Chris James, Jane Hubbard, Sharon Woollaston</w:t>
            </w:r>
            <w:r w:rsidR="0064511E" w:rsidRPr="009943EE">
              <w:rPr>
                <w:rFonts w:cs="Arial"/>
                <w:sz w:val="22"/>
                <w:szCs w:val="22"/>
              </w:rPr>
              <w:t>, Chris House</w:t>
            </w:r>
          </w:p>
        </w:tc>
      </w:tr>
      <w:tr w:rsidR="00746AF3" w:rsidRPr="00FB12DD" w:rsidTr="005148C7">
        <w:trPr>
          <w:cantSplit/>
          <w:trHeight w:val="475"/>
        </w:trPr>
        <w:tc>
          <w:tcPr>
            <w:tcW w:w="1602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9943EE" w:rsidRDefault="00746AF3" w:rsidP="004F2D21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9943EE">
              <w:rPr>
                <w:rFonts w:cs="Arial"/>
                <w:b/>
                <w:sz w:val="22"/>
                <w:szCs w:val="22"/>
              </w:rPr>
              <w:t>Apologies:</w:t>
            </w:r>
          </w:p>
        </w:tc>
        <w:tc>
          <w:tcPr>
            <w:tcW w:w="82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9943EE" w:rsidRDefault="0064511E" w:rsidP="004F2D21">
            <w:pPr>
              <w:pStyle w:val="TableText"/>
              <w:rPr>
                <w:rFonts w:cs="Arial"/>
                <w:sz w:val="22"/>
                <w:szCs w:val="22"/>
              </w:rPr>
            </w:pPr>
            <w:r w:rsidRPr="009943EE">
              <w:rPr>
                <w:rFonts w:cs="Arial"/>
                <w:sz w:val="22"/>
                <w:szCs w:val="22"/>
              </w:rPr>
              <w:t>N/A</w:t>
            </w:r>
          </w:p>
        </w:tc>
      </w:tr>
    </w:tbl>
    <w:p w:rsidR="00746AF3" w:rsidRPr="00FB12DD" w:rsidRDefault="00746AF3" w:rsidP="004F2D21">
      <w:pPr>
        <w:rPr>
          <w:szCs w:val="22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9877" w:type="dxa"/>
        <w:tblLook w:val="01E0" w:firstRow="1" w:lastRow="1" w:firstColumn="1" w:lastColumn="1" w:noHBand="0" w:noVBand="0"/>
      </w:tblPr>
      <w:tblGrid>
        <w:gridCol w:w="669"/>
        <w:gridCol w:w="9208"/>
      </w:tblGrid>
      <w:tr w:rsidR="00B03C4A" w:rsidRPr="002F2556" w:rsidTr="00D20135">
        <w:trPr>
          <w:trHeight w:val="350"/>
          <w:tblHeader/>
        </w:trPr>
        <w:tc>
          <w:tcPr>
            <w:tcW w:w="669" w:type="dxa"/>
            <w:shd w:val="clear" w:color="auto" w:fill="DEEAF6" w:themeFill="accent1" w:themeFillTint="33"/>
          </w:tcPr>
          <w:p w:rsidR="00B03C4A" w:rsidRPr="002F2556" w:rsidRDefault="00B03C4A" w:rsidP="004F2D21">
            <w:pPr>
              <w:tabs>
                <w:tab w:val="right" w:leader="underscore" w:pos="5670"/>
                <w:tab w:val="left" w:pos="6237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920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03C4A" w:rsidRPr="002F2556" w:rsidRDefault="00B03C4A" w:rsidP="00D20135">
            <w:pPr>
              <w:tabs>
                <w:tab w:val="right" w:leader="underscore" w:pos="5670"/>
                <w:tab w:val="left" w:pos="6237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Notes</w:t>
            </w:r>
          </w:p>
        </w:tc>
      </w:tr>
      <w:tr w:rsidR="00D20135" w:rsidRPr="002F2556" w:rsidTr="00D20135">
        <w:trPr>
          <w:trHeight w:val="350"/>
          <w:tblHeader/>
        </w:trPr>
        <w:tc>
          <w:tcPr>
            <w:tcW w:w="669" w:type="dxa"/>
            <w:shd w:val="clear" w:color="auto" w:fill="auto"/>
          </w:tcPr>
          <w:p w:rsidR="00D20135" w:rsidRPr="002F2556" w:rsidRDefault="00D20135" w:rsidP="004F2D21">
            <w:pPr>
              <w:tabs>
                <w:tab w:val="right" w:leader="underscore" w:pos="5670"/>
                <w:tab w:val="left" w:pos="6237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9208" w:type="dxa"/>
            <w:tcBorders>
              <w:bottom w:val="single" w:sz="4" w:space="0" w:color="auto"/>
            </w:tcBorders>
            <w:shd w:val="clear" w:color="auto" w:fill="auto"/>
          </w:tcPr>
          <w:p w:rsidR="00D20135" w:rsidRPr="00D20135" w:rsidRDefault="00D20135" w:rsidP="00D20135">
            <w:pPr>
              <w:tabs>
                <w:tab w:val="right" w:leader="underscore" w:pos="5670"/>
                <w:tab w:val="left" w:pos="6237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Teleconference began 6.</w:t>
            </w:r>
            <w:r w:rsidRPr="002F2556">
              <w:rPr>
                <w:rFonts w:cs="Arial"/>
                <w:b/>
                <w:sz w:val="22"/>
                <w:szCs w:val="22"/>
              </w:rPr>
              <w:t>00pm</w:t>
            </w:r>
          </w:p>
        </w:tc>
      </w:tr>
      <w:tr w:rsidR="00B03C4A" w:rsidRPr="002F2556" w:rsidTr="00D20135">
        <w:trPr>
          <w:trHeight w:val="350"/>
        </w:trPr>
        <w:tc>
          <w:tcPr>
            <w:tcW w:w="669" w:type="dxa"/>
            <w:tcBorders>
              <w:bottom w:val="nil"/>
            </w:tcBorders>
          </w:tcPr>
          <w:p w:rsidR="00B03C4A" w:rsidRPr="002F2556" w:rsidRDefault="007F7B37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9208" w:type="dxa"/>
            <w:tcBorders>
              <w:top w:val="single" w:sz="4" w:space="0" w:color="auto"/>
              <w:bottom w:val="nil"/>
            </w:tcBorders>
          </w:tcPr>
          <w:p w:rsidR="00B03C4A" w:rsidRPr="002F2556" w:rsidRDefault="007F7B37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Introduction</w:t>
            </w:r>
            <w:r w:rsidR="00EC6551">
              <w:rPr>
                <w:rFonts w:cs="Arial"/>
                <w:b/>
                <w:sz w:val="22"/>
                <w:szCs w:val="22"/>
              </w:rPr>
              <w:t xml:space="preserve"> - </w:t>
            </w:r>
            <w:r w:rsidRPr="002F2556">
              <w:rPr>
                <w:rFonts w:cs="Arial"/>
                <w:b/>
                <w:sz w:val="22"/>
                <w:szCs w:val="22"/>
              </w:rPr>
              <w:t>Simon Royal, Dr Andrew Butler and Suzy Barber</w:t>
            </w:r>
          </w:p>
        </w:tc>
      </w:tr>
      <w:tr w:rsidR="00B03C4A" w:rsidRPr="002F2556" w:rsidTr="00244FF5">
        <w:trPr>
          <w:trHeight w:val="743"/>
        </w:trPr>
        <w:tc>
          <w:tcPr>
            <w:tcW w:w="669" w:type="dxa"/>
            <w:tcBorders>
              <w:top w:val="single" w:sz="4" w:space="0" w:color="auto"/>
              <w:bottom w:val="nil"/>
            </w:tcBorders>
          </w:tcPr>
          <w:p w:rsidR="00B03C4A" w:rsidRPr="002F2556" w:rsidRDefault="007F7B37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3</w:t>
            </w:r>
          </w:p>
          <w:p w:rsidR="002862B5" w:rsidRPr="002F2556" w:rsidRDefault="002862B5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208" w:type="dxa"/>
            <w:tcBorders>
              <w:top w:val="single" w:sz="4" w:space="0" w:color="auto"/>
              <w:bottom w:val="nil"/>
            </w:tcBorders>
          </w:tcPr>
          <w:p w:rsidR="001070EF" w:rsidRPr="004F2D21" w:rsidRDefault="007F7B37" w:rsidP="004F2D21">
            <w:pPr>
              <w:tabs>
                <w:tab w:val="right" w:leader="underscore" w:pos="5670"/>
                <w:tab w:val="left" w:pos="6237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Acknowled</w:t>
            </w:r>
            <w:r w:rsidR="002862B5" w:rsidRPr="002F2556">
              <w:rPr>
                <w:rFonts w:cs="Arial"/>
                <w:b/>
                <w:sz w:val="22"/>
                <w:szCs w:val="22"/>
              </w:rPr>
              <w:t xml:space="preserve">ge </w:t>
            </w:r>
            <w:r w:rsidR="007C7EF3">
              <w:rPr>
                <w:rFonts w:cs="Arial"/>
                <w:b/>
                <w:sz w:val="22"/>
                <w:szCs w:val="22"/>
              </w:rPr>
              <w:t>suggestions</w:t>
            </w:r>
            <w:r w:rsidR="002862B5" w:rsidRPr="002F2556">
              <w:rPr>
                <w:rFonts w:cs="Arial"/>
                <w:b/>
                <w:sz w:val="22"/>
                <w:szCs w:val="22"/>
              </w:rPr>
              <w:t xml:space="preserve"> brought up in the previous</w:t>
            </w:r>
            <w:r w:rsidRPr="002F2556">
              <w:rPr>
                <w:rFonts w:cs="Arial"/>
                <w:b/>
                <w:sz w:val="22"/>
                <w:szCs w:val="22"/>
              </w:rPr>
              <w:t xml:space="preserve"> meeting and what the Ministry </w:t>
            </w:r>
            <w:r w:rsidR="00764BB7">
              <w:rPr>
                <w:rFonts w:cs="Arial"/>
                <w:b/>
                <w:sz w:val="22"/>
                <w:szCs w:val="22"/>
              </w:rPr>
              <w:t xml:space="preserve">of Health </w:t>
            </w:r>
            <w:r w:rsidR="004A53EC">
              <w:rPr>
                <w:rFonts w:cs="Arial"/>
                <w:b/>
                <w:sz w:val="22"/>
                <w:szCs w:val="22"/>
              </w:rPr>
              <w:t xml:space="preserve">(the Ministry) </w:t>
            </w:r>
            <w:r w:rsidRPr="002F2556">
              <w:rPr>
                <w:rFonts w:cs="Arial"/>
                <w:b/>
                <w:sz w:val="22"/>
                <w:szCs w:val="22"/>
              </w:rPr>
              <w:t>has done</w:t>
            </w:r>
            <w:r w:rsidR="00244FF5">
              <w:rPr>
                <w:rFonts w:cs="Arial"/>
                <w:b/>
                <w:sz w:val="22"/>
                <w:szCs w:val="22"/>
              </w:rPr>
              <w:t xml:space="preserve"> as a result</w:t>
            </w:r>
          </w:p>
        </w:tc>
      </w:tr>
      <w:tr w:rsidR="00342D52" w:rsidRPr="002F2556" w:rsidTr="00600C5E">
        <w:tc>
          <w:tcPr>
            <w:tcW w:w="669" w:type="dxa"/>
            <w:tcBorders>
              <w:top w:val="nil"/>
            </w:tcBorders>
          </w:tcPr>
          <w:p w:rsidR="00342D52" w:rsidRPr="002F2556" w:rsidRDefault="002862B5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208" w:type="dxa"/>
            <w:tcBorders>
              <w:top w:val="nil"/>
              <w:bottom w:val="single" w:sz="4" w:space="0" w:color="auto"/>
            </w:tcBorders>
          </w:tcPr>
          <w:p w:rsidR="00600C5E" w:rsidRPr="002F2556" w:rsidRDefault="007F7B37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Inherent risks of Medicinal Cannabis use</w:t>
            </w:r>
          </w:p>
          <w:p w:rsidR="001070EF" w:rsidRPr="002424B0" w:rsidRDefault="001070EF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 xml:space="preserve">The </w:t>
            </w:r>
            <w:r w:rsidR="004740E6" w:rsidRPr="002F2556">
              <w:rPr>
                <w:rFonts w:cs="Arial"/>
                <w:sz w:val="22"/>
                <w:szCs w:val="22"/>
              </w:rPr>
              <w:t xml:space="preserve">Medicinal Cannabis </w:t>
            </w:r>
            <w:r w:rsidRPr="002F2556">
              <w:rPr>
                <w:rFonts w:cs="Arial"/>
                <w:sz w:val="22"/>
                <w:szCs w:val="22"/>
              </w:rPr>
              <w:t xml:space="preserve">Advisory Group </w:t>
            </w:r>
            <w:r w:rsidR="004740E6" w:rsidRPr="002F2556">
              <w:rPr>
                <w:rFonts w:cs="Arial"/>
                <w:sz w:val="22"/>
                <w:szCs w:val="22"/>
              </w:rPr>
              <w:t xml:space="preserve">(the Advisory Group) </w:t>
            </w:r>
            <w:r w:rsidRPr="002F2556">
              <w:rPr>
                <w:rFonts w:cs="Arial"/>
                <w:sz w:val="22"/>
                <w:szCs w:val="22"/>
              </w:rPr>
              <w:t xml:space="preserve">suggested the </w:t>
            </w:r>
            <w:r w:rsidR="00CC3664">
              <w:rPr>
                <w:rFonts w:cs="Arial"/>
                <w:sz w:val="22"/>
                <w:szCs w:val="22"/>
              </w:rPr>
              <w:t>Medicinal Cannabis Scheme Consultation Document (the Consultation D</w:t>
            </w:r>
            <w:r w:rsidRPr="002F2556">
              <w:rPr>
                <w:rFonts w:cs="Arial"/>
                <w:sz w:val="22"/>
                <w:szCs w:val="22"/>
              </w:rPr>
              <w:t>ocument</w:t>
            </w:r>
            <w:r w:rsidR="00CC3664">
              <w:rPr>
                <w:rFonts w:cs="Arial"/>
                <w:sz w:val="22"/>
                <w:szCs w:val="22"/>
              </w:rPr>
              <w:t>)</w:t>
            </w:r>
            <w:r w:rsidR="00CB19BA">
              <w:rPr>
                <w:rFonts w:cs="Arial"/>
                <w:sz w:val="22"/>
                <w:szCs w:val="22"/>
              </w:rPr>
              <w:t xml:space="preserve"> include a section summarising the evidence on the risks and benefits of medicinal cannabis</w:t>
            </w:r>
            <w:r w:rsidR="00CC3664" w:rsidRPr="002424B0">
              <w:rPr>
                <w:rFonts w:cs="Arial"/>
                <w:sz w:val="22"/>
                <w:szCs w:val="22"/>
              </w:rPr>
              <w:t>.</w:t>
            </w:r>
          </w:p>
          <w:p w:rsidR="00FD705B" w:rsidRPr="002F2556" w:rsidRDefault="001070EF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424B0">
              <w:rPr>
                <w:rFonts w:cs="Arial"/>
                <w:sz w:val="22"/>
                <w:szCs w:val="22"/>
              </w:rPr>
              <w:t>The Advisory Group</w:t>
            </w:r>
            <w:r w:rsidR="00E863BE" w:rsidRPr="002424B0">
              <w:rPr>
                <w:rFonts w:cs="Arial"/>
                <w:sz w:val="22"/>
                <w:szCs w:val="22"/>
              </w:rPr>
              <w:t xml:space="preserve"> </w:t>
            </w:r>
            <w:r w:rsidR="00C22A3F">
              <w:rPr>
                <w:rFonts w:cs="Arial"/>
                <w:sz w:val="22"/>
                <w:szCs w:val="22"/>
              </w:rPr>
              <w:t xml:space="preserve">suggested the document include a comment that </w:t>
            </w:r>
            <w:r w:rsidR="00C22A3F" w:rsidRPr="00C22A3F">
              <w:rPr>
                <w:rFonts w:cs="Arial"/>
                <w:sz w:val="22"/>
                <w:szCs w:val="22"/>
              </w:rPr>
              <w:t>t</w:t>
            </w:r>
            <w:r w:rsidR="002424B0" w:rsidRPr="000F1AB6">
              <w:rPr>
                <w:rFonts w:cs="Arial"/>
                <w:sz w:val="22"/>
                <w:szCs w:val="22"/>
              </w:rPr>
              <w:t xml:space="preserve">he </w:t>
            </w:r>
            <w:r w:rsidR="004A53EC">
              <w:rPr>
                <w:rFonts w:cs="Arial"/>
                <w:sz w:val="22"/>
                <w:szCs w:val="22"/>
              </w:rPr>
              <w:t>Ministry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 will be </w:t>
            </w:r>
            <w:r w:rsidR="002862B5" w:rsidRPr="002F2556">
              <w:rPr>
                <w:rFonts w:cs="Arial"/>
                <w:sz w:val="22"/>
                <w:szCs w:val="22"/>
              </w:rPr>
              <w:t xml:space="preserve">undertaking </w:t>
            </w:r>
            <w:r w:rsidR="00E863BE" w:rsidRPr="002F2556">
              <w:rPr>
                <w:rFonts w:cs="Arial"/>
                <w:sz w:val="22"/>
                <w:szCs w:val="22"/>
              </w:rPr>
              <w:t>post-market monitoring.</w:t>
            </w:r>
          </w:p>
          <w:p w:rsidR="009F77EB" w:rsidRPr="00CC3664" w:rsidRDefault="00E863BE" w:rsidP="00244FF5">
            <w:pPr>
              <w:tabs>
                <w:tab w:val="right" w:leader="underscore" w:pos="5670"/>
                <w:tab w:val="left" w:pos="6237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b/>
                <w:bCs/>
                <w:sz w:val="22"/>
                <w:szCs w:val="22"/>
              </w:rPr>
              <w:t>Action:</w:t>
            </w:r>
            <w:r w:rsidRPr="002F2556">
              <w:rPr>
                <w:rFonts w:cs="Arial"/>
                <w:sz w:val="22"/>
                <w:szCs w:val="22"/>
              </w:rPr>
              <w:t xml:space="preserve"> </w:t>
            </w:r>
            <w:r w:rsidR="003C484D">
              <w:rPr>
                <w:rFonts w:cs="Arial"/>
                <w:sz w:val="22"/>
                <w:szCs w:val="22"/>
              </w:rPr>
              <w:t>The</w:t>
            </w:r>
            <w:r w:rsidR="007C7EF3">
              <w:rPr>
                <w:rFonts w:cs="Arial"/>
                <w:sz w:val="22"/>
                <w:szCs w:val="22"/>
              </w:rPr>
              <w:t xml:space="preserve"> Ministry </w:t>
            </w:r>
            <w:r w:rsidR="003C484D">
              <w:rPr>
                <w:rFonts w:cs="Arial"/>
                <w:sz w:val="22"/>
                <w:szCs w:val="22"/>
              </w:rPr>
              <w:t xml:space="preserve">to </w:t>
            </w:r>
            <w:r w:rsidR="00CB19BA">
              <w:rPr>
                <w:rFonts w:cs="Arial"/>
                <w:sz w:val="22"/>
                <w:szCs w:val="22"/>
              </w:rPr>
              <w:t>further investi</w:t>
            </w:r>
            <w:r w:rsidR="000F1AB6">
              <w:rPr>
                <w:rFonts w:cs="Arial"/>
                <w:sz w:val="22"/>
                <w:szCs w:val="22"/>
              </w:rPr>
              <w:t>gat</w:t>
            </w:r>
            <w:r w:rsidR="00CB19BA">
              <w:rPr>
                <w:rFonts w:cs="Arial"/>
                <w:sz w:val="22"/>
                <w:szCs w:val="22"/>
              </w:rPr>
              <w:t xml:space="preserve">e the mechanisms for </w:t>
            </w:r>
            <w:r w:rsidRPr="002F2556">
              <w:rPr>
                <w:rFonts w:cs="Arial"/>
                <w:sz w:val="22"/>
                <w:szCs w:val="22"/>
              </w:rPr>
              <w:t>post-market surveillance</w:t>
            </w:r>
            <w:r w:rsidR="00FB17A4">
              <w:rPr>
                <w:rFonts w:cs="Arial"/>
                <w:sz w:val="22"/>
                <w:szCs w:val="22"/>
              </w:rPr>
              <w:t>/</w:t>
            </w:r>
            <w:r w:rsidR="000F1AB6">
              <w:rPr>
                <w:rFonts w:cs="Arial"/>
                <w:sz w:val="22"/>
                <w:szCs w:val="22"/>
              </w:rPr>
              <w:t xml:space="preserve">pharmacovigilance. </w:t>
            </w:r>
          </w:p>
        </w:tc>
      </w:tr>
      <w:tr w:rsidR="00342D52" w:rsidRPr="002F2556" w:rsidTr="00600C5E">
        <w:tc>
          <w:tcPr>
            <w:tcW w:w="669" w:type="dxa"/>
          </w:tcPr>
          <w:p w:rsidR="00342D52" w:rsidRPr="002F2556" w:rsidRDefault="002862B5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9208" w:type="dxa"/>
            <w:tcBorders>
              <w:bottom w:val="single" w:sz="4" w:space="0" w:color="auto"/>
            </w:tcBorders>
          </w:tcPr>
          <w:p w:rsidR="007C7EF3" w:rsidRPr="002F2556" w:rsidRDefault="002862B5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 xml:space="preserve">Cost and time required for Good Manufacturing Practice (GMP) </w:t>
            </w:r>
            <w:r w:rsidR="007F7B37" w:rsidRPr="002F2556">
              <w:rPr>
                <w:rFonts w:cs="Arial"/>
                <w:b/>
                <w:sz w:val="22"/>
                <w:szCs w:val="22"/>
              </w:rPr>
              <w:t>vs</w:t>
            </w:r>
            <w:r w:rsidRPr="002F2556">
              <w:rPr>
                <w:rFonts w:cs="Arial"/>
                <w:b/>
                <w:sz w:val="22"/>
                <w:szCs w:val="22"/>
              </w:rPr>
              <w:t xml:space="preserve"> Good Production Practices</w:t>
            </w:r>
            <w:r w:rsidR="007F7B37" w:rsidRPr="002F2556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F2556">
              <w:rPr>
                <w:rFonts w:cs="Arial"/>
                <w:b/>
                <w:sz w:val="22"/>
                <w:szCs w:val="22"/>
              </w:rPr>
              <w:t>(</w:t>
            </w:r>
            <w:r w:rsidR="007F7B37" w:rsidRPr="002F2556">
              <w:rPr>
                <w:rFonts w:cs="Arial"/>
                <w:b/>
                <w:sz w:val="22"/>
                <w:szCs w:val="22"/>
              </w:rPr>
              <w:t>GPP</w:t>
            </w:r>
            <w:r w:rsidRPr="002F2556">
              <w:rPr>
                <w:rFonts w:cs="Arial"/>
                <w:b/>
                <w:sz w:val="22"/>
                <w:szCs w:val="22"/>
              </w:rPr>
              <w:t>)</w:t>
            </w:r>
          </w:p>
          <w:p w:rsidR="00E863BE" w:rsidRDefault="002862B5" w:rsidP="004F2D21">
            <w:pPr>
              <w:spacing w:before="60" w:after="180"/>
              <w:rPr>
                <w:rFonts w:cs="Segoe UI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 xml:space="preserve">The Advisory Group discussed the 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Canadian </w:t>
            </w:r>
            <w:r w:rsidR="001C5F9E" w:rsidRPr="002F2556">
              <w:rPr>
                <w:rFonts w:cs="Arial"/>
                <w:sz w:val="22"/>
                <w:szCs w:val="22"/>
              </w:rPr>
              <w:t xml:space="preserve">medicinal cannabis </w:t>
            </w:r>
            <w:r w:rsidR="00E863BE" w:rsidRPr="002F2556">
              <w:rPr>
                <w:rFonts w:cs="Arial"/>
                <w:sz w:val="22"/>
                <w:szCs w:val="22"/>
              </w:rPr>
              <w:t>industry</w:t>
            </w:r>
            <w:r w:rsidRPr="002F2556">
              <w:rPr>
                <w:rFonts w:cs="Arial"/>
                <w:sz w:val="22"/>
                <w:szCs w:val="22"/>
              </w:rPr>
              <w:t>. It was noted</w:t>
            </w:r>
            <w:r w:rsidR="00F77321" w:rsidRPr="002F2556">
              <w:rPr>
                <w:rFonts w:cs="Arial"/>
                <w:sz w:val="22"/>
                <w:szCs w:val="22"/>
              </w:rPr>
              <w:t xml:space="preserve"> that many Canadian manufacturers are moving toward</w:t>
            </w:r>
            <w:r w:rsidR="00FB17A4">
              <w:rPr>
                <w:rFonts w:cs="Arial"/>
                <w:sz w:val="22"/>
                <w:szCs w:val="22"/>
              </w:rPr>
              <w:t xml:space="preserve"> the</w:t>
            </w:r>
            <w:r w:rsidR="00F77321" w:rsidRPr="002F2556">
              <w:rPr>
                <w:rFonts w:cs="Arial"/>
                <w:sz w:val="22"/>
                <w:szCs w:val="22"/>
              </w:rPr>
              <w:t xml:space="preserve"> Good Manufa</w:t>
            </w:r>
            <w:r w:rsidR="00FB17A4">
              <w:rPr>
                <w:rFonts w:cs="Arial"/>
                <w:sz w:val="22"/>
                <w:szCs w:val="22"/>
              </w:rPr>
              <w:t>cturing Practice (GMP) standard</w:t>
            </w:r>
            <w:r w:rsidR="00FB12DD" w:rsidRPr="002F2556">
              <w:rPr>
                <w:rFonts w:cs="Arial"/>
                <w:sz w:val="22"/>
                <w:szCs w:val="22"/>
              </w:rPr>
              <w:t xml:space="preserve"> </w:t>
            </w:r>
            <w:r w:rsidR="00FB12DD" w:rsidRPr="002F2556">
              <w:rPr>
                <w:rFonts w:cs="Segoe UI"/>
                <w:sz w:val="22"/>
                <w:szCs w:val="22"/>
              </w:rPr>
              <w:t>to be able to access international markets, where GMP is a requirement of trade.</w:t>
            </w:r>
          </w:p>
          <w:p w:rsidR="00E863BE" w:rsidRPr="002F2556" w:rsidRDefault="002862B5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 xml:space="preserve">It was highlighted that </w:t>
            </w:r>
            <w:r w:rsidR="00E92BD5" w:rsidRPr="002F2556">
              <w:rPr>
                <w:rFonts w:cs="Arial"/>
                <w:sz w:val="22"/>
                <w:szCs w:val="22"/>
              </w:rPr>
              <w:t xml:space="preserve">manufacturing to </w:t>
            </w:r>
            <w:r w:rsidR="00E863BE" w:rsidRPr="002F2556">
              <w:rPr>
                <w:rFonts w:cs="Arial"/>
                <w:sz w:val="22"/>
                <w:szCs w:val="22"/>
              </w:rPr>
              <w:t>GMP will enable N</w:t>
            </w:r>
            <w:r w:rsidR="00CC3664">
              <w:rPr>
                <w:rFonts w:cs="Arial"/>
                <w:sz w:val="22"/>
                <w:szCs w:val="22"/>
              </w:rPr>
              <w:t xml:space="preserve">ew </w:t>
            </w:r>
            <w:r w:rsidR="00E863BE" w:rsidRPr="002F2556">
              <w:rPr>
                <w:rFonts w:cs="Arial"/>
                <w:sz w:val="22"/>
                <w:szCs w:val="22"/>
              </w:rPr>
              <w:t>Z</w:t>
            </w:r>
            <w:r w:rsidR="00CC3664">
              <w:rPr>
                <w:rFonts w:cs="Arial"/>
                <w:sz w:val="22"/>
                <w:szCs w:val="22"/>
              </w:rPr>
              <w:t>ealand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 to be a competitor in the international market for medicinal cannabis products whereas</w:t>
            </w:r>
            <w:r w:rsidR="00E92BD5" w:rsidRPr="002F2556">
              <w:rPr>
                <w:rFonts w:cs="Arial"/>
                <w:sz w:val="22"/>
                <w:szCs w:val="22"/>
              </w:rPr>
              <w:t xml:space="preserve"> manufacturing products to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 GPP w</w:t>
            </w:r>
            <w:r w:rsidR="00E92BD5" w:rsidRPr="002F2556">
              <w:rPr>
                <w:rFonts w:cs="Arial"/>
                <w:sz w:val="22"/>
                <w:szCs w:val="22"/>
              </w:rPr>
              <w:t>ill not</w:t>
            </w:r>
            <w:r w:rsidR="00E863BE" w:rsidRPr="002F2556">
              <w:rPr>
                <w:rFonts w:cs="Arial"/>
                <w:sz w:val="22"/>
                <w:szCs w:val="22"/>
              </w:rPr>
              <w:t>.</w:t>
            </w:r>
          </w:p>
          <w:p w:rsidR="00E863BE" w:rsidRPr="002F2556" w:rsidRDefault="002424B0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S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ome </w:t>
            </w:r>
            <w:r w:rsidR="002862B5" w:rsidRPr="002F2556">
              <w:rPr>
                <w:rFonts w:cs="Arial"/>
                <w:sz w:val="22"/>
                <w:szCs w:val="22"/>
              </w:rPr>
              <w:t>Advisory Group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 members </w:t>
            </w:r>
            <w:r>
              <w:rPr>
                <w:rFonts w:cs="Arial"/>
                <w:sz w:val="22"/>
                <w:szCs w:val="22"/>
              </w:rPr>
              <w:t xml:space="preserve">suggested </w:t>
            </w:r>
            <w:r w:rsidR="00E863BE" w:rsidRPr="002F2556">
              <w:rPr>
                <w:rFonts w:cs="Arial"/>
                <w:sz w:val="22"/>
                <w:szCs w:val="22"/>
              </w:rPr>
              <w:t>that GMP will take too long to set up compared with GPP</w:t>
            </w:r>
            <w:r w:rsidR="001F1483">
              <w:rPr>
                <w:rFonts w:cs="Arial"/>
                <w:sz w:val="22"/>
                <w:szCs w:val="22"/>
              </w:rPr>
              <w:t>. P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atients </w:t>
            </w:r>
            <w:r w:rsidR="00EC6551">
              <w:rPr>
                <w:rFonts w:cs="Arial"/>
                <w:sz w:val="22"/>
                <w:szCs w:val="22"/>
              </w:rPr>
              <w:t>would</w:t>
            </w:r>
            <w:r w:rsidR="00EC6551" w:rsidRPr="002F2556">
              <w:rPr>
                <w:rFonts w:cs="Arial"/>
                <w:sz w:val="22"/>
                <w:szCs w:val="22"/>
              </w:rPr>
              <w:t xml:space="preserve"> </w:t>
            </w:r>
            <w:r w:rsidR="00E863BE" w:rsidRPr="002F2556">
              <w:rPr>
                <w:rFonts w:cs="Arial"/>
                <w:sz w:val="22"/>
                <w:szCs w:val="22"/>
              </w:rPr>
              <w:t>have to wait longer to access products</w:t>
            </w:r>
            <w:r w:rsidR="001F1483">
              <w:rPr>
                <w:rFonts w:cs="Arial"/>
                <w:sz w:val="22"/>
                <w:szCs w:val="22"/>
              </w:rPr>
              <w:t>, and would continue to use products of unknown quality</w:t>
            </w:r>
            <w:r w:rsidR="002862B5" w:rsidRPr="002F2556">
              <w:rPr>
                <w:rFonts w:cs="Arial"/>
                <w:sz w:val="22"/>
                <w:szCs w:val="22"/>
              </w:rPr>
              <w:t>.</w:t>
            </w:r>
            <w:r w:rsidR="001F1483">
              <w:rPr>
                <w:rFonts w:cs="Arial"/>
                <w:sz w:val="22"/>
                <w:szCs w:val="22"/>
              </w:rPr>
              <w:t xml:space="preserve"> </w:t>
            </w:r>
            <w:r w:rsidR="002862B5" w:rsidRPr="002F2556">
              <w:rPr>
                <w:rFonts w:cs="Arial"/>
                <w:sz w:val="22"/>
                <w:szCs w:val="22"/>
              </w:rPr>
              <w:t xml:space="preserve"> </w:t>
            </w:r>
          </w:p>
          <w:p w:rsidR="00E863BE" w:rsidRPr="002F2556" w:rsidRDefault="003436E8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>It was</w:t>
            </w:r>
            <w:r w:rsidR="00E92BD5" w:rsidRPr="002F2556">
              <w:rPr>
                <w:rFonts w:cs="Arial"/>
                <w:sz w:val="22"/>
                <w:szCs w:val="22"/>
              </w:rPr>
              <w:t xml:space="preserve"> agreed</w:t>
            </w:r>
            <w:r w:rsidRPr="002F2556">
              <w:rPr>
                <w:rFonts w:cs="Arial"/>
                <w:sz w:val="22"/>
                <w:szCs w:val="22"/>
              </w:rPr>
              <w:t xml:space="preserve"> that </w:t>
            </w:r>
            <w:r w:rsidR="00C22A3F">
              <w:rPr>
                <w:rFonts w:cs="Arial"/>
                <w:sz w:val="22"/>
                <w:szCs w:val="22"/>
              </w:rPr>
              <w:t xml:space="preserve">there needed to be 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sufficient information </w:t>
            </w:r>
            <w:r w:rsidR="00EC6551">
              <w:rPr>
                <w:rFonts w:cs="Arial"/>
                <w:sz w:val="22"/>
                <w:szCs w:val="22"/>
              </w:rPr>
              <w:t>on the differences between</w:t>
            </w:r>
            <w:r w:rsidR="00EC6551" w:rsidRPr="002F2556">
              <w:rPr>
                <w:rFonts w:cs="Arial"/>
                <w:sz w:val="22"/>
                <w:szCs w:val="22"/>
              </w:rPr>
              <w:t xml:space="preserve"> </w:t>
            </w:r>
            <w:r w:rsidR="00E863BE" w:rsidRPr="002F2556">
              <w:rPr>
                <w:rFonts w:cs="Arial"/>
                <w:sz w:val="22"/>
                <w:szCs w:val="22"/>
              </w:rPr>
              <w:t>GPP and GMP</w:t>
            </w:r>
            <w:r w:rsidR="00C22A3F">
              <w:rPr>
                <w:rFonts w:cs="Arial"/>
                <w:sz w:val="22"/>
                <w:szCs w:val="22"/>
              </w:rPr>
              <w:t xml:space="preserve"> in the consultation document for people to evaluate the different proposals for manufacturing standards</w:t>
            </w:r>
            <w:r w:rsidR="00E863BE" w:rsidRPr="002F2556">
              <w:rPr>
                <w:rFonts w:cs="Arial"/>
                <w:sz w:val="22"/>
                <w:szCs w:val="22"/>
              </w:rPr>
              <w:t>.</w:t>
            </w:r>
          </w:p>
          <w:p w:rsidR="009F77EB" w:rsidRPr="002F2556" w:rsidRDefault="00E863BE" w:rsidP="00244FF5">
            <w:pPr>
              <w:tabs>
                <w:tab w:val="right" w:leader="underscore" w:pos="5670"/>
                <w:tab w:val="left" w:pos="6237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bCs/>
                <w:sz w:val="22"/>
                <w:szCs w:val="22"/>
              </w:rPr>
              <w:t>A</w:t>
            </w:r>
            <w:r w:rsidR="006D5692">
              <w:rPr>
                <w:rFonts w:cs="Arial"/>
                <w:b/>
                <w:bCs/>
                <w:sz w:val="22"/>
                <w:szCs w:val="22"/>
              </w:rPr>
              <w:t>ction</w:t>
            </w:r>
            <w:r w:rsidRPr="002F2556">
              <w:rPr>
                <w:rFonts w:cs="Arial"/>
                <w:sz w:val="22"/>
                <w:szCs w:val="22"/>
              </w:rPr>
              <w:t xml:space="preserve">: </w:t>
            </w:r>
            <w:r w:rsidR="00DE5D1C" w:rsidRPr="002F2556">
              <w:rPr>
                <w:rFonts w:cs="Arial"/>
                <w:sz w:val="22"/>
                <w:szCs w:val="22"/>
              </w:rPr>
              <w:t>Secretariat to</w:t>
            </w:r>
            <w:r w:rsidR="009A1D82">
              <w:rPr>
                <w:rFonts w:cs="Arial"/>
                <w:sz w:val="22"/>
                <w:szCs w:val="22"/>
              </w:rPr>
              <w:t xml:space="preserve"> consider</w:t>
            </w:r>
            <w:r w:rsidR="00DE5D1C" w:rsidRPr="002F2556">
              <w:rPr>
                <w:rFonts w:cs="Arial"/>
                <w:sz w:val="22"/>
                <w:szCs w:val="22"/>
              </w:rPr>
              <w:t xml:space="preserve"> </w:t>
            </w:r>
            <w:r w:rsidRPr="002F2556">
              <w:rPr>
                <w:rFonts w:cs="Arial"/>
                <w:sz w:val="22"/>
                <w:szCs w:val="22"/>
              </w:rPr>
              <w:t>ask</w:t>
            </w:r>
            <w:r w:rsidR="007C7EF3">
              <w:rPr>
                <w:rFonts w:cs="Arial"/>
                <w:sz w:val="22"/>
                <w:szCs w:val="22"/>
              </w:rPr>
              <w:t>ing</w:t>
            </w:r>
            <w:r w:rsidRPr="002F2556">
              <w:rPr>
                <w:rFonts w:cs="Arial"/>
                <w:sz w:val="22"/>
                <w:szCs w:val="22"/>
              </w:rPr>
              <w:t xml:space="preserve"> for more information around GPP vs GMP</w:t>
            </w:r>
            <w:r w:rsidR="007C7EF3">
              <w:rPr>
                <w:rFonts w:cs="Arial"/>
                <w:sz w:val="22"/>
                <w:szCs w:val="22"/>
              </w:rPr>
              <w:t>, including costs and time to market,</w:t>
            </w:r>
            <w:r w:rsidRPr="002F2556">
              <w:rPr>
                <w:rFonts w:cs="Arial"/>
                <w:sz w:val="22"/>
                <w:szCs w:val="22"/>
              </w:rPr>
              <w:t xml:space="preserve"> in the consultation document</w:t>
            </w:r>
            <w:r w:rsidR="003436E8" w:rsidRPr="002F2556">
              <w:rPr>
                <w:rFonts w:cs="Arial"/>
                <w:sz w:val="22"/>
                <w:szCs w:val="22"/>
              </w:rPr>
              <w:t>.</w:t>
            </w:r>
          </w:p>
        </w:tc>
      </w:tr>
      <w:tr w:rsidR="00B03C4A" w:rsidRPr="002F2556" w:rsidTr="00600C5E">
        <w:tc>
          <w:tcPr>
            <w:tcW w:w="669" w:type="dxa"/>
          </w:tcPr>
          <w:p w:rsidR="00B03C4A" w:rsidRPr="002F2556" w:rsidRDefault="00FB17A4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9208" w:type="dxa"/>
            <w:tcBorders>
              <w:top w:val="single" w:sz="4" w:space="0" w:color="auto"/>
            </w:tcBorders>
          </w:tcPr>
          <w:p w:rsidR="00313D7D" w:rsidRPr="002F2556" w:rsidRDefault="007F7B37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Equity of Access</w:t>
            </w:r>
          </w:p>
          <w:p w:rsidR="000F1AB6" w:rsidRDefault="003436E8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>It was highlighted that t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here is a need for </w:t>
            </w:r>
            <w:r w:rsidRPr="002F2556">
              <w:rPr>
                <w:rFonts w:cs="Arial"/>
                <w:sz w:val="22"/>
                <w:szCs w:val="22"/>
              </w:rPr>
              <w:t xml:space="preserve">a </w:t>
            </w:r>
            <w:r w:rsidR="00CC3664">
              <w:rPr>
                <w:rFonts w:cs="Arial"/>
                <w:sz w:val="22"/>
                <w:szCs w:val="22"/>
              </w:rPr>
              <w:t>better understanding regarding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 some of t</w:t>
            </w:r>
            <w:r w:rsidRPr="002F2556">
              <w:rPr>
                <w:rFonts w:cs="Arial"/>
                <w:sz w:val="22"/>
                <w:szCs w:val="22"/>
              </w:rPr>
              <w:t xml:space="preserve">he issues raised as to how </w:t>
            </w:r>
            <w:r w:rsidRPr="002F2556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Māori</w:t>
            </w:r>
            <w:r w:rsidR="00E863BE" w:rsidRPr="002F2556">
              <w:rPr>
                <w:rFonts w:cs="Arial"/>
                <w:sz w:val="22"/>
                <w:szCs w:val="22"/>
              </w:rPr>
              <w:t xml:space="preserve"> might be affected or </w:t>
            </w:r>
            <w:r w:rsidR="00EC6551">
              <w:rPr>
                <w:rFonts w:cs="Arial"/>
                <w:sz w:val="22"/>
                <w:szCs w:val="22"/>
              </w:rPr>
              <w:t>whether</w:t>
            </w:r>
            <w:r w:rsidR="00EC6551" w:rsidRPr="002F2556">
              <w:rPr>
                <w:rFonts w:cs="Arial"/>
                <w:sz w:val="22"/>
                <w:szCs w:val="22"/>
              </w:rPr>
              <w:t xml:space="preserve"> </w:t>
            </w:r>
            <w:r w:rsidR="00E863BE" w:rsidRPr="002F2556">
              <w:rPr>
                <w:rFonts w:cs="Arial"/>
                <w:sz w:val="22"/>
                <w:szCs w:val="22"/>
              </w:rPr>
              <w:t>inequities may increase</w:t>
            </w:r>
            <w:r w:rsidR="00CC3664">
              <w:rPr>
                <w:rFonts w:cs="Arial"/>
                <w:sz w:val="22"/>
                <w:szCs w:val="22"/>
              </w:rPr>
              <w:t xml:space="preserve"> due to the Scheme</w:t>
            </w:r>
            <w:r w:rsidR="00E863BE" w:rsidRPr="002F2556">
              <w:rPr>
                <w:rFonts w:cs="Arial"/>
                <w:sz w:val="22"/>
                <w:szCs w:val="22"/>
              </w:rPr>
              <w:t>.</w:t>
            </w:r>
          </w:p>
          <w:p w:rsidR="002424B0" w:rsidRPr="002F2556" w:rsidRDefault="00E863BE" w:rsidP="00244FF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bCs/>
                <w:sz w:val="22"/>
                <w:szCs w:val="22"/>
              </w:rPr>
              <w:t xml:space="preserve">Action: </w:t>
            </w:r>
            <w:r w:rsidR="002424B0" w:rsidRPr="000F1AB6">
              <w:rPr>
                <w:rFonts w:cs="Arial"/>
                <w:bCs/>
                <w:sz w:val="22"/>
                <w:szCs w:val="22"/>
              </w:rPr>
              <w:t>Ministry to work to strengthen equity section of consultation document</w:t>
            </w:r>
            <w:r w:rsidR="00CB19BA">
              <w:rPr>
                <w:rFonts w:cs="Arial"/>
                <w:bCs/>
                <w:sz w:val="22"/>
                <w:szCs w:val="22"/>
              </w:rPr>
              <w:t xml:space="preserve"> and seek feedback on barriers to access.</w:t>
            </w:r>
          </w:p>
        </w:tc>
      </w:tr>
      <w:tr w:rsidR="00B03C4A" w:rsidRPr="002F2556" w:rsidTr="00D648A6">
        <w:tc>
          <w:tcPr>
            <w:tcW w:w="669" w:type="dxa"/>
          </w:tcPr>
          <w:p w:rsidR="00B03C4A" w:rsidRPr="00FB17A4" w:rsidRDefault="00FB17A4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9208" w:type="dxa"/>
          </w:tcPr>
          <w:p w:rsidR="00542F8C" w:rsidRDefault="00C74CDE" w:rsidP="004F2D21">
            <w:pPr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 xml:space="preserve">Ministerial approval for prescribing unconsented medicinal cannabis products (excluding CBD products) </w:t>
            </w:r>
          </w:p>
          <w:p w:rsidR="00C74CDE" w:rsidRPr="002F2556" w:rsidRDefault="009F77EB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Some Advisory Group members raised a concern </w:t>
            </w:r>
            <w:r w:rsidR="00CB19BA">
              <w:rPr>
                <w:rFonts w:cs="Arial"/>
                <w:sz w:val="22"/>
                <w:szCs w:val="22"/>
              </w:rPr>
              <w:t>that if</w:t>
            </w:r>
            <w:r>
              <w:rPr>
                <w:rFonts w:cs="Arial"/>
                <w:sz w:val="22"/>
                <w:szCs w:val="22"/>
              </w:rPr>
              <w:t xml:space="preserve"> the requirement for Ministerial A</w:t>
            </w:r>
            <w:r w:rsidR="00CB19BA">
              <w:rPr>
                <w:rFonts w:cs="Arial"/>
                <w:sz w:val="22"/>
                <w:szCs w:val="22"/>
              </w:rPr>
              <w:t xml:space="preserve">pproval is removed </w:t>
            </w:r>
            <w:r w:rsidR="000F1AB6">
              <w:rPr>
                <w:rFonts w:cs="Arial"/>
                <w:sz w:val="22"/>
                <w:szCs w:val="22"/>
              </w:rPr>
              <w:t>t</w:t>
            </w:r>
            <w:r w:rsidR="00F3675B" w:rsidRPr="002F2556">
              <w:rPr>
                <w:rFonts w:cs="Arial"/>
                <w:sz w:val="22"/>
                <w:szCs w:val="22"/>
              </w:rPr>
              <w:t xml:space="preserve">here needs to be a mechanism in place </w:t>
            </w:r>
            <w:r w:rsidR="00E45409">
              <w:rPr>
                <w:rFonts w:cs="Arial"/>
                <w:sz w:val="22"/>
                <w:szCs w:val="22"/>
              </w:rPr>
              <w:t xml:space="preserve">in New Zealand </w:t>
            </w:r>
            <w:r w:rsidR="00F3675B" w:rsidRPr="002F2556">
              <w:rPr>
                <w:rFonts w:cs="Arial"/>
                <w:sz w:val="22"/>
                <w:szCs w:val="22"/>
              </w:rPr>
              <w:t xml:space="preserve">to protect prescribers from patient </w:t>
            </w:r>
            <w:r w:rsidR="00FB12DD" w:rsidRPr="002F2556">
              <w:rPr>
                <w:rFonts w:cs="Arial"/>
                <w:sz w:val="22"/>
                <w:szCs w:val="22"/>
              </w:rPr>
              <w:t>pressure</w:t>
            </w:r>
            <w:r w:rsidR="00F3675B" w:rsidRPr="002F2556">
              <w:rPr>
                <w:rFonts w:cs="Arial"/>
                <w:sz w:val="22"/>
                <w:szCs w:val="22"/>
              </w:rPr>
              <w:t xml:space="preserve"> to prescribe.</w:t>
            </w:r>
          </w:p>
          <w:p w:rsidR="00C74CDE" w:rsidRPr="002F2556" w:rsidRDefault="00DD5C59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>It was n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oted that medicinal cannabis products, at least for the first few years, </w:t>
            </w:r>
            <w:r w:rsidR="00E45409">
              <w:rPr>
                <w:rFonts w:cs="Arial"/>
                <w:sz w:val="22"/>
                <w:szCs w:val="22"/>
              </w:rPr>
              <w:t xml:space="preserve">are likely to be </w:t>
            </w:r>
            <w:r w:rsidR="00C74CDE" w:rsidRPr="002F2556">
              <w:rPr>
                <w:rFonts w:cs="Arial"/>
                <w:sz w:val="22"/>
                <w:szCs w:val="22"/>
              </w:rPr>
              <w:t>more expensive than ill</w:t>
            </w:r>
            <w:r w:rsidR="00E45409">
              <w:rPr>
                <w:rFonts w:cs="Arial"/>
                <w:sz w:val="22"/>
                <w:szCs w:val="22"/>
              </w:rPr>
              <w:t>egal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cannabis</w:t>
            </w:r>
            <w:r w:rsidR="00E45409">
              <w:rPr>
                <w:rFonts w:cs="Arial"/>
                <w:sz w:val="22"/>
                <w:szCs w:val="22"/>
              </w:rPr>
              <w:t xml:space="preserve"> while the local industry is established</w:t>
            </w:r>
            <w:r w:rsidR="00542F8C" w:rsidRPr="002F2556">
              <w:rPr>
                <w:rFonts w:cs="Arial"/>
                <w:sz w:val="22"/>
                <w:szCs w:val="22"/>
              </w:rPr>
              <w:t xml:space="preserve">. </w:t>
            </w:r>
          </w:p>
          <w:p w:rsidR="000F1AB6" w:rsidRDefault="00DD5C59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 xml:space="preserve">The Advisory Group discussed 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mechanisms currently in place that are possibly more efficient and less restrictive </w:t>
            </w:r>
            <w:r w:rsidRPr="002F2556">
              <w:rPr>
                <w:rFonts w:cs="Arial"/>
                <w:sz w:val="22"/>
                <w:szCs w:val="22"/>
              </w:rPr>
              <w:t xml:space="preserve">than requiring a specialist prescription 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but </w:t>
            </w:r>
            <w:r w:rsidRPr="002F2556">
              <w:rPr>
                <w:rFonts w:cs="Arial"/>
                <w:sz w:val="22"/>
                <w:szCs w:val="22"/>
              </w:rPr>
              <w:t>will still provide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a secondary approval/peer review </w:t>
            </w:r>
            <w:r w:rsidRPr="002F2556">
              <w:rPr>
                <w:rFonts w:cs="Arial"/>
                <w:sz w:val="22"/>
                <w:szCs w:val="22"/>
              </w:rPr>
              <w:t xml:space="preserve">process less onerous to prescribers </w:t>
            </w:r>
            <w:r w:rsidR="00C74CDE" w:rsidRPr="002F2556">
              <w:rPr>
                <w:rFonts w:cs="Arial"/>
                <w:sz w:val="22"/>
                <w:szCs w:val="22"/>
              </w:rPr>
              <w:t>than ministerial approval</w:t>
            </w:r>
            <w:r w:rsidRPr="002F2556">
              <w:rPr>
                <w:rFonts w:cs="Arial"/>
                <w:sz w:val="22"/>
                <w:szCs w:val="22"/>
              </w:rPr>
              <w:t>.</w:t>
            </w:r>
          </w:p>
          <w:p w:rsidR="00393DF1" w:rsidRDefault="00393DF1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Advisory Group noted that the language used in this section and throughout the consultation document was confusing in regards to the use of consented / unconsented medicines.</w:t>
            </w:r>
          </w:p>
          <w:p w:rsidR="00B03C4A" w:rsidRDefault="00C74CDE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b/>
                <w:bCs/>
                <w:sz w:val="22"/>
                <w:szCs w:val="22"/>
              </w:rPr>
              <w:t>Agreed</w:t>
            </w:r>
            <w:r w:rsidR="00DD5C59" w:rsidRPr="002F2556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DE5D1C" w:rsidRPr="002F255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DE5D1C" w:rsidRPr="002F2556">
              <w:rPr>
                <w:rFonts w:cs="Arial"/>
                <w:bCs/>
                <w:sz w:val="22"/>
                <w:szCs w:val="22"/>
              </w:rPr>
              <w:t>Secretariat to</w:t>
            </w:r>
            <w:r w:rsidR="009A1D8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B19BA">
              <w:rPr>
                <w:rFonts w:cs="Arial"/>
                <w:bCs/>
                <w:sz w:val="22"/>
                <w:szCs w:val="22"/>
              </w:rPr>
              <w:t xml:space="preserve">seek feedback </w:t>
            </w:r>
            <w:r w:rsidR="00E5267B">
              <w:rPr>
                <w:rFonts w:cs="Arial"/>
                <w:bCs/>
                <w:sz w:val="22"/>
                <w:szCs w:val="22"/>
              </w:rPr>
              <w:t xml:space="preserve">through consultation </w:t>
            </w:r>
            <w:r w:rsidR="00CB19BA">
              <w:rPr>
                <w:rFonts w:cs="Arial"/>
                <w:bCs/>
                <w:sz w:val="22"/>
                <w:szCs w:val="22"/>
              </w:rPr>
              <w:t xml:space="preserve">on need for </w:t>
            </w:r>
            <w:r w:rsidRPr="002F2556">
              <w:rPr>
                <w:rFonts w:cs="Arial"/>
                <w:sz w:val="22"/>
                <w:szCs w:val="22"/>
              </w:rPr>
              <w:t xml:space="preserve">a second opinion or some </w:t>
            </w:r>
            <w:r w:rsidR="001E3AAD">
              <w:rPr>
                <w:rFonts w:cs="Arial"/>
                <w:sz w:val="22"/>
                <w:szCs w:val="22"/>
              </w:rPr>
              <w:t>mechanism</w:t>
            </w:r>
            <w:r w:rsidRPr="002F2556">
              <w:rPr>
                <w:rFonts w:cs="Arial"/>
                <w:sz w:val="22"/>
                <w:szCs w:val="22"/>
              </w:rPr>
              <w:t xml:space="preserve"> </w:t>
            </w:r>
            <w:r w:rsidR="003C484D">
              <w:rPr>
                <w:rFonts w:cs="Arial"/>
                <w:sz w:val="22"/>
                <w:szCs w:val="22"/>
              </w:rPr>
              <w:t xml:space="preserve">if the requirement for Ministry </w:t>
            </w:r>
            <w:r w:rsidR="00CB19BA">
              <w:rPr>
                <w:rFonts w:cs="Arial"/>
                <w:sz w:val="22"/>
                <w:szCs w:val="22"/>
              </w:rPr>
              <w:t xml:space="preserve">approval </w:t>
            </w:r>
            <w:r w:rsidR="003C484D">
              <w:rPr>
                <w:rFonts w:cs="Arial"/>
                <w:sz w:val="22"/>
                <w:szCs w:val="22"/>
              </w:rPr>
              <w:t>to prescribe i</w:t>
            </w:r>
            <w:r w:rsidR="00CB19BA">
              <w:rPr>
                <w:rFonts w:cs="Arial"/>
                <w:sz w:val="22"/>
                <w:szCs w:val="22"/>
              </w:rPr>
              <w:t>s removed</w:t>
            </w:r>
            <w:r w:rsidR="00E5267B">
              <w:rPr>
                <w:rFonts w:cs="Arial"/>
                <w:sz w:val="22"/>
                <w:szCs w:val="22"/>
              </w:rPr>
              <w:t>.</w:t>
            </w:r>
          </w:p>
          <w:p w:rsidR="00393DF1" w:rsidRPr="00393DF1" w:rsidRDefault="00393DF1" w:rsidP="00244FF5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Agreed: </w:t>
            </w:r>
            <w:r>
              <w:rPr>
                <w:rFonts w:cs="Arial"/>
                <w:sz w:val="22"/>
                <w:szCs w:val="22"/>
              </w:rPr>
              <w:t>Secretariat to review the consultation document and simplify the language used.</w:t>
            </w:r>
          </w:p>
        </w:tc>
      </w:tr>
      <w:tr w:rsidR="00C74CDE" w:rsidRPr="002F2556" w:rsidTr="00D648A6">
        <w:tc>
          <w:tcPr>
            <w:tcW w:w="669" w:type="dxa"/>
          </w:tcPr>
          <w:p w:rsidR="00C74CDE" w:rsidRPr="00FB17A4" w:rsidRDefault="00FB17A4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9208" w:type="dxa"/>
          </w:tcPr>
          <w:p w:rsidR="00244FF5" w:rsidRPr="00244FF5" w:rsidRDefault="001E3AAD" w:rsidP="00244FF5">
            <w:pPr>
              <w:spacing w:before="60" w:after="1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General Licensing requirements </w:t>
            </w:r>
          </w:p>
          <w:p w:rsidR="00244FF5" w:rsidRPr="00244FF5" w:rsidRDefault="00DD5C59" w:rsidP="00244FF5">
            <w:pPr>
              <w:spacing w:before="60" w:after="180"/>
              <w:rPr>
                <w:rFonts w:cs="Arial"/>
                <w:bCs/>
                <w:sz w:val="22"/>
                <w:szCs w:val="22"/>
              </w:rPr>
            </w:pPr>
            <w:r w:rsidRPr="002F2556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FB17A4">
              <w:rPr>
                <w:rFonts w:cs="Arial"/>
                <w:bCs/>
                <w:sz w:val="22"/>
                <w:szCs w:val="22"/>
              </w:rPr>
              <w:t>Advisory G</w:t>
            </w:r>
            <w:r w:rsidRPr="002F2556">
              <w:rPr>
                <w:rFonts w:cs="Arial"/>
                <w:bCs/>
                <w:sz w:val="22"/>
                <w:szCs w:val="22"/>
              </w:rPr>
              <w:t xml:space="preserve">roup discussed the </w:t>
            </w:r>
            <w:r w:rsidR="001E3AAD">
              <w:rPr>
                <w:rFonts w:cs="Arial"/>
                <w:bCs/>
                <w:sz w:val="22"/>
                <w:szCs w:val="22"/>
              </w:rPr>
              <w:t>general licens</w:t>
            </w:r>
            <w:r w:rsidR="003C484D">
              <w:rPr>
                <w:rFonts w:cs="Arial"/>
                <w:bCs/>
                <w:sz w:val="22"/>
                <w:szCs w:val="22"/>
              </w:rPr>
              <w:t xml:space="preserve">ing requirements in the consultation </w:t>
            </w:r>
            <w:r w:rsidR="001E3AAD">
              <w:rPr>
                <w:rFonts w:cs="Arial"/>
                <w:bCs/>
                <w:sz w:val="22"/>
                <w:szCs w:val="22"/>
              </w:rPr>
              <w:t>document and recommended the use of clear criteria</w:t>
            </w:r>
            <w:r w:rsidR="002B0B78">
              <w:rPr>
                <w:rFonts w:cs="Arial"/>
                <w:bCs/>
                <w:sz w:val="22"/>
                <w:szCs w:val="22"/>
              </w:rPr>
              <w:t xml:space="preserve"> and removal of terms subject to interpretation such as “fit and proper person”</w:t>
            </w:r>
            <w:r w:rsidR="001E3AAD">
              <w:rPr>
                <w:rFonts w:cs="Arial"/>
                <w:bCs/>
                <w:sz w:val="22"/>
                <w:szCs w:val="22"/>
              </w:rPr>
              <w:t>.</w:t>
            </w:r>
          </w:p>
          <w:p w:rsidR="00E45409" w:rsidRPr="009A1D82" w:rsidRDefault="00C74CDE" w:rsidP="00244FF5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b/>
                <w:bCs/>
                <w:sz w:val="22"/>
                <w:szCs w:val="22"/>
              </w:rPr>
              <w:t>A</w:t>
            </w:r>
            <w:r w:rsidR="00E45409">
              <w:rPr>
                <w:rFonts w:cs="Arial"/>
                <w:b/>
                <w:bCs/>
                <w:sz w:val="22"/>
                <w:szCs w:val="22"/>
              </w:rPr>
              <w:t>ction</w:t>
            </w:r>
            <w:r w:rsidRPr="002F2556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1E3AAD">
              <w:rPr>
                <w:rFonts w:cs="Arial"/>
                <w:bCs/>
                <w:sz w:val="22"/>
                <w:szCs w:val="22"/>
              </w:rPr>
              <w:t>Secretariat to review this section</w:t>
            </w:r>
            <w:r w:rsidR="00DD5C59" w:rsidRPr="002F2556">
              <w:rPr>
                <w:rFonts w:cs="Arial"/>
                <w:bCs/>
                <w:sz w:val="22"/>
                <w:szCs w:val="22"/>
              </w:rPr>
              <w:t xml:space="preserve"> in the consultation document </w:t>
            </w:r>
            <w:r w:rsidR="001E3AAD">
              <w:rPr>
                <w:rFonts w:cs="Arial"/>
                <w:bCs/>
                <w:sz w:val="22"/>
                <w:szCs w:val="22"/>
              </w:rPr>
              <w:t>and make requirements clearer</w:t>
            </w:r>
            <w:r w:rsidR="000F1AB6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B03C4A" w:rsidRPr="002F2556" w:rsidTr="00D648A6">
        <w:tc>
          <w:tcPr>
            <w:tcW w:w="669" w:type="dxa"/>
          </w:tcPr>
          <w:p w:rsidR="00B03C4A" w:rsidRPr="002F2556" w:rsidRDefault="00FB17A4" w:rsidP="004F2D21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9208" w:type="dxa"/>
          </w:tcPr>
          <w:p w:rsidR="00C74CDE" w:rsidRPr="002F2556" w:rsidRDefault="000C0663" w:rsidP="004F2D21">
            <w:pPr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2F2556">
              <w:rPr>
                <w:rFonts w:cs="Arial"/>
                <w:b/>
                <w:sz w:val="22"/>
                <w:szCs w:val="22"/>
              </w:rPr>
              <w:t>Evidence for pharmac</w:t>
            </w:r>
            <w:r w:rsidR="00C74CDE" w:rsidRPr="002F2556">
              <w:rPr>
                <w:rFonts w:cs="Arial"/>
                <w:b/>
                <w:sz w:val="22"/>
                <w:szCs w:val="22"/>
              </w:rPr>
              <w:t xml:space="preserve">okinetics </w:t>
            </w:r>
          </w:p>
          <w:p w:rsidR="00C22A3F" w:rsidRDefault="007B3EE2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>It was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</w:t>
            </w:r>
            <w:r w:rsidR="00C22A3F">
              <w:rPr>
                <w:rFonts w:cs="Arial"/>
                <w:sz w:val="22"/>
                <w:szCs w:val="22"/>
              </w:rPr>
              <w:t>suggested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that </w:t>
            </w:r>
            <w:r w:rsidR="004A53EC">
              <w:rPr>
                <w:rFonts w:cs="Arial"/>
                <w:sz w:val="22"/>
                <w:szCs w:val="22"/>
              </w:rPr>
              <w:t>medicinal cannabis products</w:t>
            </w:r>
            <w:r w:rsidR="00F3675B" w:rsidRPr="002F2556">
              <w:rPr>
                <w:rFonts w:cs="Arial"/>
                <w:sz w:val="22"/>
                <w:szCs w:val="22"/>
              </w:rPr>
              <w:t xml:space="preserve"> </w:t>
            </w:r>
            <w:r w:rsidR="00C74CDE" w:rsidRPr="002F2556">
              <w:rPr>
                <w:rFonts w:cs="Arial"/>
                <w:sz w:val="22"/>
                <w:szCs w:val="22"/>
              </w:rPr>
              <w:t>prescribed in N</w:t>
            </w:r>
            <w:r w:rsidRPr="002F2556">
              <w:rPr>
                <w:rFonts w:cs="Arial"/>
                <w:sz w:val="22"/>
                <w:szCs w:val="22"/>
              </w:rPr>
              <w:t xml:space="preserve">ew </w:t>
            </w:r>
            <w:r w:rsidR="00C74CDE" w:rsidRPr="002F2556">
              <w:rPr>
                <w:rFonts w:cs="Arial"/>
                <w:sz w:val="22"/>
                <w:szCs w:val="22"/>
              </w:rPr>
              <w:t>Z</w:t>
            </w:r>
            <w:r w:rsidRPr="002F2556">
              <w:rPr>
                <w:rFonts w:cs="Arial"/>
                <w:sz w:val="22"/>
                <w:szCs w:val="22"/>
              </w:rPr>
              <w:t>ealand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</w:t>
            </w:r>
            <w:r w:rsidR="00F3675B" w:rsidRPr="002F2556">
              <w:rPr>
                <w:rFonts w:cs="Arial"/>
                <w:sz w:val="22"/>
                <w:szCs w:val="22"/>
              </w:rPr>
              <w:t>should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</w:t>
            </w:r>
            <w:r w:rsidR="00D17C91">
              <w:rPr>
                <w:rFonts w:cs="Arial"/>
                <w:sz w:val="22"/>
                <w:szCs w:val="22"/>
              </w:rPr>
              <w:t xml:space="preserve">at least 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have </w:t>
            </w:r>
            <w:r w:rsidR="000C0663" w:rsidRPr="002F2556">
              <w:rPr>
                <w:rFonts w:cs="Arial"/>
                <w:sz w:val="22"/>
                <w:szCs w:val="22"/>
              </w:rPr>
              <w:t>pharmac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okinetic </w:t>
            </w:r>
            <w:r w:rsidR="00D17C91">
              <w:rPr>
                <w:rFonts w:cs="Arial"/>
                <w:sz w:val="22"/>
                <w:szCs w:val="22"/>
              </w:rPr>
              <w:t>data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so that prescribers know what the given dose will do and the</w:t>
            </w:r>
            <w:r w:rsidR="00CC3664">
              <w:rPr>
                <w:rFonts w:cs="Arial"/>
                <w:sz w:val="22"/>
                <w:szCs w:val="22"/>
              </w:rPr>
              <w:t xml:space="preserve"> potential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impact</w:t>
            </w:r>
            <w:r w:rsidR="00CC3664">
              <w:rPr>
                <w:rFonts w:cs="Arial"/>
                <w:sz w:val="22"/>
                <w:szCs w:val="22"/>
              </w:rPr>
              <w:t xml:space="preserve"> this may have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</w:t>
            </w:r>
            <w:r w:rsidR="00353293">
              <w:rPr>
                <w:rFonts w:cs="Arial"/>
                <w:sz w:val="22"/>
                <w:szCs w:val="22"/>
              </w:rPr>
              <w:t>in conjunction</w:t>
            </w:r>
            <w:r w:rsidR="00353293" w:rsidRPr="002F2556">
              <w:rPr>
                <w:rFonts w:cs="Arial"/>
                <w:sz w:val="22"/>
                <w:szCs w:val="22"/>
              </w:rPr>
              <w:t xml:space="preserve"> </w:t>
            </w:r>
            <w:r w:rsidR="00C22A3F">
              <w:rPr>
                <w:rFonts w:cs="Arial"/>
                <w:sz w:val="22"/>
                <w:szCs w:val="22"/>
              </w:rPr>
              <w:t xml:space="preserve">with 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other medicines. </w:t>
            </w:r>
          </w:p>
          <w:p w:rsidR="00C74CDE" w:rsidRPr="002F2556" w:rsidRDefault="00C22A3F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However it was also suggested that </w:t>
            </w:r>
            <w:r w:rsidR="00CC3664">
              <w:rPr>
                <w:rFonts w:cs="Arial"/>
                <w:sz w:val="22"/>
                <w:szCs w:val="22"/>
              </w:rPr>
              <w:t>the finished product</w:t>
            </w:r>
            <w:r w:rsidR="00F3675B" w:rsidRPr="002F2556">
              <w:rPr>
                <w:rFonts w:cs="Arial"/>
                <w:sz w:val="22"/>
                <w:szCs w:val="22"/>
              </w:rPr>
              <w:t xml:space="preserve"> could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end up costing more</w:t>
            </w:r>
            <w:r w:rsidR="00CC3664">
              <w:rPr>
                <w:rFonts w:cs="Arial"/>
                <w:sz w:val="22"/>
                <w:szCs w:val="22"/>
              </w:rPr>
              <w:t xml:space="preserve"> if this was implemented.</w:t>
            </w:r>
          </w:p>
          <w:p w:rsidR="00C74CDE" w:rsidRPr="002F2556" w:rsidRDefault="00F3675B" w:rsidP="004F2D21">
            <w:pPr>
              <w:spacing w:before="60" w:after="180"/>
              <w:rPr>
                <w:rFonts w:cs="Arial"/>
                <w:sz w:val="22"/>
                <w:szCs w:val="22"/>
              </w:rPr>
            </w:pPr>
            <w:r w:rsidRPr="002F2556">
              <w:rPr>
                <w:rFonts w:cs="Arial"/>
                <w:sz w:val="22"/>
                <w:szCs w:val="22"/>
              </w:rPr>
              <w:t>It was no</w:t>
            </w:r>
            <w:r w:rsidR="00C74CDE" w:rsidRPr="002F2556">
              <w:rPr>
                <w:rFonts w:cs="Arial"/>
                <w:sz w:val="22"/>
                <w:szCs w:val="22"/>
              </w:rPr>
              <w:t>ted that to get approval for a clinical trial in N</w:t>
            </w:r>
            <w:r w:rsidR="00CC3664">
              <w:rPr>
                <w:rFonts w:cs="Arial"/>
                <w:sz w:val="22"/>
                <w:szCs w:val="22"/>
              </w:rPr>
              <w:t xml:space="preserve">ew </w:t>
            </w:r>
            <w:r w:rsidR="00C74CDE" w:rsidRPr="002F2556">
              <w:rPr>
                <w:rFonts w:cs="Arial"/>
                <w:sz w:val="22"/>
                <w:szCs w:val="22"/>
              </w:rPr>
              <w:t>Z</w:t>
            </w:r>
            <w:r w:rsidR="00CC3664">
              <w:rPr>
                <w:rFonts w:cs="Arial"/>
                <w:sz w:val="22"/>
                <w:szCs w:val="22"/>
              </w:rPr>
              <w:t>ealand</w:t>
            </w:r>
            <w:r w:rsidR="00C74CDE" w:rsidRPr="002F2556">
              <w:rPr>
                <w:rFonts w:cs="Arial"/>
                <w:sz w:val="22"/>
                <w:szCs w:val="22"/>
              </w:rPr>
              <w:t>, the medicine must be manufactured to GMP</w:t>
            </w:r>
            <w:r w:rsidRPr="002F2556">
              <w:rPr>
                <w:rFonts w:cs="Arial"/>
                <w:sz w:val="22"/>
                <w:szCs w:val="22"/>
              </w:rPr>
              <w:t>.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 </w:t>
            </w:r>
          </w:p>
          <w:p w:rsidR="00E45409" w:rsidRDefault="00C74CDE" w:rsidP="004F2D21">
            <w:pPr>
              <w:spacing w:before="60" w:after="180"/>
              <w:rPr>
                <w:rFonts w:cs="Arial"/>
                <w:b/>
                <w:bCs/>
                <w:sz w:val="22"/>
                <w:szCs w:val="22"/>
              </w:rPr>
            </w:pPr>
            <w:r w:rsidRPr="002F2556">
              <w:rPr>
                <w:rFonts w:cs="Arial"/>
                <w:b/>
                <w:bCs/>
                <w:sz w:val="22"/>
                <w:szCs w:val="22"/>
              </w:rPr>
              <w:t>A</w:t>
            </w:r>
            <w:r w:rsidR="00E45409">
              <w:rPr>
                <w:rFonts w:cs="Arial"/>
                <w:b/>
                <w:bCs/>
                <w:sz w:val="22"/>
                <w:szCs w:val="22"/>
              </w:rPr>
              <w:t>ction</w:t>
            </w:r>
            <w:r w:rsidRPr="002F2556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</w:p>
          <w:p w:rsidR="00E45409" w:rsidRPr="003F5FCB" w:rsidRDefault="00E45409" w:rsidP="00244FF5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F1AB6">
              <w:rPr>
                <w:rFonts w:cs="Arial"/>
                <w:bCs/>
                <w:sz w:val="22"/>
                <w:szCs w:val="22"/>
              </w:rPr>
              <w:t>Suggestion that the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DE5D1C" w:rsidRPr="002F2556">
              <w:rPr>
                <w:rFonts w:cs="Arial"/>
                <w:bCs/>
                <w:sz w:val="22"/>
                <w:szCs w:val="22"/>
              </w:rPr>
              <w:t xml:space="preserve">Secretariat 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frame this issue as a </w:t>
            </w:r>
            <w:r>
              <w:rPr>
                <w:rFonts w:cs="Arial"/>
                <w:sz w:val="22"/>
                <w:szCs w:val="22"/>
              </w:rPr>
              <w:t xml:space="preserve">consultation </w:t>
            </w:r>
            <w:r w:rsidR="00C74CDE" w:rsidRPr="002F2556">
              <w:rPr>
                <w:rFonts w:cs="Arial"/>
                <w:sz w:val="22"/>
                <w:szCs w:val="22"/>
              </w:rPr>
              <w:t xml:space="preserve">question: whether or not </w:t>
            </w:r>
            <w:r w:rsidR="00F3675B" w:rsidRPr="002F2556">
              <w:rPr>
                <w:rFonts w:cs="Arial"/>
                <w:sz w:val="22"/>
                <w:szCs w:val="22"/>
              </w:rPr>
              <w:t>clinical trials should be required.</w:t>
            </w:r>
          </w:p>
        </w:tc>
      </w:tr>
    </w:tbl>
    <w:p w:rsidR="002F2556" w:rsidRDefault="002F2556" w:rsidP="004F2D21">
      <w:pPr>
        <w:rPr>
          <w:sz w:val="22"/>
          <w:szCs w:val="22"/>
        </w:rPr>
      </w:pPr>
    </w:p>
    <w:p w:rsidR="00600C5E" w:rsidRPr="002F2556" w:rsidRDefault="00FB17A4" w:rsidP="004F2D21">
      <w:pPr>
        <w:rPr>
          <w:sz w:val="22"/>
          <w:szCs w:val="22"/>
        </w:rPr>
      </w:pPr>
      <w:r>
        <w:rPr>
          <w:sz w:val="22"/>
          <w:szCs w:val="22"/>
        </w:rPr>
        <w:t>The teleconference ended at 7.</w:t>
      </w:r>
      <w:r w:rsidR="00C74CDE" w:rsidRPr="002F2556">
        <w:rPr>
          <w:sz w:val="22"/>
          <w:szCs w:val="22"/>
        </w:rPr>
        <w:t>30</w:t>
      </w:r>
      <w:r w:rsidR="00B03C4A" w:rsidRPr="002F2556">
        <w:rPr>
          <w:sz w:val="22"/>
          <w:szCs w:val="22"/>
        </w:rPr>
        <w:t>pm</w:t>
      </w:r>
    </w:p>
    <w:p w:rsidR="00600C5E" w:rsidRPr="002F2556" w:rsidRDefault="00600C5E" w:rsidP="004F2D21">
      <w:pPr>
        <w:rPr>
          <w:sz w:val="22"/>
          <w:szCs w:val="22"/>
        </w:rPr>
      </w:pPr>
    </w:p>
    <w:p w:rsidR="0096387B" w:rsidRPr="002F2556" w:rsidRDefault="0096387B" w:rsidP="004F2D21">
      <w:pPr>
        <w:rPr>
          <w:sz w:val="22"/>
          <w:szCs w:val="22"/>
        </w:rPr>
      </w:pPr>
    </w:p>
    <w:sectPr w:rsidR="0096387B" w:rsidRPr="002F2556" w:rsidSect="00490F45">
      <w:pgSz w:w="11907" w:h="16840" w:code="9"/>
      <w:pgMar w:top="567" w:right="992" w:bottom="992" w:left="992" w:header="567" w:footer="567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DED"/>
    <w:multiLevelType w:val="hybridMultilevel"/>
    <w:tmpl w:val="315E4C34"/>
    <w:lvl w:ilvl="0" w:tplc="CF78BF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8A3"/>
    <w:multiLevelType w:val="hybridMultilevel"/>
    <w:tmpl w:val="108414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C15F7"/>
    <w:multiLevelType w:val="hybridMultilevel"/>
    <w:tmpl w:val="A7202AE2"/>
    <w:lvl w:ilvl="0" w:tplc="90A23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1E1A"/>
    <w:multiLevelType w:val="hybridMultilevel"/>
    <w:tmpl w:val="15665780"/>
    <w:lvl w:ilvl="0" w:tplc="CF78BFCC">
      <w:numFmt w:val="bullet"/>
      <w:lvlText w:val="-"/>
      <w:lvlJc w:val="left"/>
      <w:pPr>
        <w:ind w:left="774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CA622A9"/>
    <w:multiLevelType w:val="hybridMultilevel"/>
    <w:tmpl w:val="B7107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48B7"/>
    <w:multiLevelType w:val="hybridMultilevel"/>
    <w:tmpl w:val="914EC0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C006C"/>
    <w:multiLevelType w:val="hybridMultilevel"/>
    <w:tmpl w:val="F0B04E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1789"/>
    <w:multiLevelType w:val="hybridMultilevel"/>
    <w:tmpl w:val="250E0864"/>
    <w:lvl w:ilvl="0" w:tplc="CF78BF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F4745"/>
    <w:multiLevelType w:val="hybridMultilevel"/>
    <w:tmpl w:val="E27EA46C"/>
    <w:lvl w:ilvl="0" w:tplc="CF78BF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B6FFF"/>
    <w:multiLevelType w:val="hybridMultilevel"/>
    <w:tmpl w:val="1748974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45BEB"/>
    <w:multiLevelType w:val="hybridMultilevel"/>
    <w:tmpl w:val="01F4540A"/>
    <w:lvl w:ilvl="0" w:tplc="94BA4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8C5A2">
      <w:start w:val="5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AD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ED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60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45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47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8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4F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7C194A"/>
    <w:multiLevelType w:val="hybridMultilevel"/>
    <w:tmpl w:val="D652BD42"/>
    <w:lvl w:ilvl="0" w:tplc="CF78BF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C2B4C"/>
    <w:multiLevelType w:val="hybridMultilevel"/>
    <w:tmpl w:val="9A704488"/>
    <w:lvl w:ilvl="0" w:tplc="AA52C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64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07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A4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23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E3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80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E1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80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9A4BDA"/>
    <w:multiLevelType w:val="hybridMultilevel"/>
    <w:tmpl w:val="E9ACE8A8"/>
    <w:lvl w:ilvl="0" w:tplc="28F6C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42536"/>
    <w:multiLevelType w:val="hybridMultilevel"/>
    <w:tmpl w:val="82A4692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1239"/>
    <w:multiLevelType w:val="hybridMultilevel"/>
    <w:tmpl w:val="875EB228"/>
    <w:lvl w:ilvl="0" w:tplc="CF78BF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33AE5"/>
    <w:multiLevelType w:val="hybridMultilevel"/>
    <w:tmpl w:val="B0BC8F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4"/>
  </w:num>
  <w:num w:numId="5">
    <w:abstractNumId w:val="1"/>
  </w:num>
  <w:num w:numId="6">
    <w:abstractNumId w:val="16"/>
  </w:num>
  <w:num w:numId="7">
    <w:abstractNumId w:val="6"/>
  </w:num>
  <w:num w:numId="8">
    <w:abstractNumId w:val="14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15"/>
  </w:num>
  <w:num w:numId="14">
    <w:abstractNumId w:val="11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F3"/>
    <w:rsid w:val="000019C0"/>
    <w:rsid w:val="000B7789"/>
    <w:rsid w:val="000C0663"/>
    <w:rsid w:val="000E7FB8"/>
    <w:rsid w:val="000F1AB6"/>
    <w:rsid w:val="000F6BDF"/>
    <w:rsid w:val="001070EF"/>
    <w:rsid w:val="001441FE"/>
    <w:rsid w:val="0017040B"/>
    <w:rsid w:val="001B4173"/>
    <w:rsid w:val="001C5F9E"/>
    <w:rsid w:val="001E3AAD"/>
    <w:rsid w:val="001F1483"/>
    <w:rsid w:val="002424B0"/>
    <w:rsid w:val="00244FF5"/>
    <w:rsid w:val="0027024E"/>
    <w:rsid w:val="00270D9C"/>
    <w:rsid w:val="002732DC"/>
    <w:rsid w:val="002862B5"/>
    <w:rsid w:val="002A70CD"/>
    <w:rsid w:val="002B0B78"/>
    <w:rsid w:val="002B5F90"/>
    <w:rsid w:val="002F2556"/>
    <w:rsid w:val="00301D6A"/>
    <w:rsid w:val="00313D7D"/>
    <w:rsid w:val="00332AA4"/>
    <w:rsid w:val="00342D52"/>
    <w:rsid w:val="003436E8"/>
    <w:rsid w:val="00353293"/>
    <w:rsid w:val="00393B3D"/>
    <w:rsid w:val="00393DF1"/>
    <w:rsid w:val="003A2F61"/>
    <w:rsid w:val="003C484D"/>
    <w:rsid w:val="003F5FCB"/>
    <w:rsid w:val="003F6346"/>
    <w:rsid w:val="004157A8"/>
    <w:rsid w:val="004740E6"/>
    <w:rsid w:val="00490F45"/>
    <w:rsid w:val="004A53EC"/>
    <w:rsid w:val="004C556F"/>
    <w:rsid w:val="004F2D21"/>
    <w:rsid w:val="005148C7"/>
    <w:rsid w:val="00542F8C"/>
    <w:rsid w:val="00554032"/>
    <w:rsid w:val="00583603"/>
    <w:rsid w:val="00590BDA"/>
    <w:rsid w:val="005A3109"/>
    <w:rsid w:val="00600C5E"/>
    <w:rsid w:val="006130B7"/>
    <w:rsid w:val="0064511E"/>
    <w:rsid w:val="006D5692"/>
    <w:rsid w:val="006F1756"/>
    <w:rsid w:val="006F17A0"/>
    <w:rsid w:val="00715D9A"/>
    <w:rsid w:val="007363FD"/>
    <w:rsid w:val="00746AF3"/>
    <w:rsid w:val="00764BB7"/>
    <w:rsid w:val="00767663"/>
    <w:rsid w:val="00797AD7"/>
    <w:rsid w:val="007A6D5B"/>
    <w:rsid w:val="007B3EE2"/>
    <w:rsid w:val="007C7EF3"/>
    <w:rsid w:val="007F7B37"/>
    <w:rsid w:val="00846157"/>
    <w:rsid w:val="009028E5"/>
    <w:rsid w:val="00907412"/>
    <w:rsid w:val="009545A9"/>
    <w:rsid w:val="0096387B"/>
    <w:rsid w:val="009943EE"/>
    <w:rsid w:val="009A1D82"/>
    <w:rsid w:val="009A5B3E"/>
    <w:rsid w:val="009F77EB"/>
    <w:rsid w:val="00A071CC"/>
    <w:rsid w:val="00A73252"/>
    <w:rsid w:val="00AC2E98"/>
    <w:rsid w:val="00AF31F0"/>
    <w:rsid w:val="00B03C4A"/>
    <w:rsid w:val="00B6217C"/>
    <w:rsid w:val="00B85707"/>
    <w:rsid w:val="00BB2727"/>
    <w:rsid w:val="00BC77BB"/>
    <w:rsid w:val="00BF6428"/>
    <w:rsid w:val="00C22A3F"/>
    <w:rsid w:val="00C3715A"/>
    <w:rsid w:val="00C707B1"/>
    <w:rsid w:val="00C74CDE"/>
    <w:rsid w:val="00CB19BA"/>
    <w:rsid w:val="00CC3664"/>
    <w:rsid w:val="00CC5B20"/>
    <w:rsid w:val="00CD4C16"/>
    <w:rsid w:val="00CF1AEA"/>
    <w:rsid w:val="00D06BD5"/>
    <w:rsid w:val="00D17C91"/>
    <w:rsid w:val="00D20135"/>
    <w:rsid w:val="00D55490"/>
    <w:rsid w:val="00D648A6"/>
    <w:rsid w:val="00DD1E32"/>
    <w:rsid w:val="00DD5C59"/>
    <w:rsid w:val="00DE5D1C"/>
    <w:rsid w:val="00DF6395"/>
    <w:rsid w:val="00E45409"/>
    <w:rsid w:val="00E5267B"/>
    <w:rsid w:val="00E67796"/>
    <w:rsid w:val="00E863BE"/>
    <w:rsid w:val="00E92BD5"/>
    <w:rsid w:val="00EC6551"/>
    <w:rsid w:val="00F3675B"/>
    <w:rsid w:val="00F77321"/>
    <w:rsid w:val="00F86E2C"/>
    <w:rsid w:val="00FB12DD"/>
    <w:rsid w:val="00FB17A4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20DAF-CB44-45A3-961E-D93B0333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F3"/>
    <w:pPr>
      <w:spacing w:after="0" w:line="240" w:lineRule="auto"/>
    </w:pPr>
    <w:rPr>
      <w:rFonts w:ascii="Arial" w:eastAsia="Times New Roman" w:hAnsi="Arial" w:cs="Times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rsid w:val="00746AF3"/>
    <w:pPr>
      <w:spacing w:before="120" w:after="120"/>
    </w:pPr>
  </w:style>
  <w:style w:type="paragraph" w:styleId="ListParagraph">
    <w:name w:val="List Paragraph"/>
    <w:basedOn w:val="Normal"/>
    <w:uiPriority w:val="34"/>
    <w:qFormat/>
    <w:rsid w:val="00746A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7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412"/>
    <w:rPr>
      <w:rFonts w:ascii="Arial" w:eastAsia="Times New Roman" w:hAnsi="Arial" w:cs="Times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412"/>
    <w:rPr>
      <w:rFonts w:ascii="Arial" w:eastAsia="Times New Roman" w:hAnsi="Arial" w:cs="Times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1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008">
          <w:marLeft w:val="1138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450">
          <w:marLeft w:val="113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9146">
          <w:marLeft w:val="113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40">
          <w:marLeft w:val="113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168">
          <w:marLeft w:val="113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DA3B-6430-41B8-9B10-8F44DB81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B57AE7F4</Template>
  <TotalTime>13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Player</dc:creator>
  <cp:keywords/>
  <dc:description/>
  <cp:lastModifiedBy>Kayla Cook</cp:lastModifiedBy>
  <cp:revision>8</cp:revision>
  <cp:lastPrinted>2019-07-03T04:19:00Z</cp:lastPrinted>
  <dcterms:created xsi:type="dcterms:W3CDTF">2019-07-16T11:37:00Z</dcterms:created>
  <dcterms:modified xsi:type="dcterms:W3CDTF">2019-08-14T23:54:00Z</dcterms:modified>
</cp:coreProperties>
</file>