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AF3" w:rsidRPr="00A409A5" w:rsidRDefault="00CD32AC" w:rsidP="00883BA4">
      <w:pPr>
        <w:spacing w:before="240" w:after="360"/>
        <w:rPr>
          <w:rFonts w:ascii="Georgia" w:hAnsi="Georgia"/>
          <w:b/>
          <w:sz w:val="40"/>
          <w:szCs w:val="40"/>
        </w:rPr>
      </w:pPr>
      <w:r w:rsidRPr="00A409A5">
        <w:rPr>
          <w:noProof/>
          <w:sz w:val="40"/>
          <w:szCs w:val="40"/>
          <w:lang w:eastAsia="en-N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59055</wp:posOffset>
            </wp:positionV>
            <wp:extent cx="989330" cy="481965"/>
            <wp:effectExtent l="0" t="0" r="1270" b="0"/>
            <wp:wrapTight wrapText="bothSides">
              <wp:wrapPolygon edited="0">
                <wp:start x="0" y="0"/>
                <wp:lineTo x="0" y="20490"/>
                <wp:lineTo x="21212" y="20490"/>
                <wp:lineTo x="21212" y="0"/>
                <wp:lineTo x="0" y="0"/>
              </wp:wrapPolygon>
            </wp:wrapTight>
            <wp:docPr id="1" name="Picture 1" descr="27510 MOH word template mast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7510 MOH word template masthea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0" t="43289" r="79724" b="110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AF3" w:rsidRPr="00A409A5">
        <w:rPr>
          <w:rFonts w:ascii="Georgia" w:hAnsi="Georgia"/>
          <w:b/>
          <w:sz w:val="40"/>
          <w:szCs w:val="40"/>
        </w:rPr>
        <w:tab/>
      </w:r>
      <w:r w:rsidR="00746AF3" w:rsidRPr="00A409A5">
        <w:rPr>
          <w:rFonts w:ascii="Georgia" w:hAnsi="Georgia"/>
          <w:b/>
          <w:sz w:val="40"/>
          <w:szCs w:val="40"/>
        </w:rPr>
        <w:tab/>
      </w:r>
      <w:r w:rsidR="00746AF3" w:rsidRPr="00A409A5">
        <w:rPr>
          <w:rFonts w:ascii="Georgia" w:hAnsi="Georgia"/>
          <w:b/>
          <w:sz w:val="40"/>
          <w:szCs w:val="40"/>
        </w:rPr>
        <w:tab/>
      </w:r>
      <w:r w:rsidR="00746AF3" w:rsidRPr="00A409A5">
        <w:rPr>
          <w:rFonts w:ascii="Georgia" w:hAnsi="Georgia"/>
          <w:b/>
          <w:sz w:val="40"/>
          <w:szCs w:val="40"/>
        </w:rPr>
        <w:tab/>
      </w:r>
      <w:r w:rsidR="00746AF3" w:rsidRPr="00A409A5">
        <w:rPr>
          <w:rFonts w:ascii="Georgia" w:hAnsi="Georgia"/>
          <w:b/>
          <w:sz w:val="40"/>
          <w:szCs w:val="40"/>
        </w:rPr>
        <w:tab/>
      </w:r>
      <w:r w:rsidR="00746AF3" w:rsidRPr="00A409A5">
        <w:rPr>
          <w:rFonts w:ascii="Georgia" w:hAnsi="Georgia"/>
          <w:b/>
          <w:sz w:val="40"/>
          <w:szCs w:val="40"/>
        </w:rPr>
        <w:tab/>
      </w:r>
      <w:r w:rsidR="00746AF3" w:rsidRPr="00A409A5">
        <w:rPr>
          <w:rFonts w:ascii="Georgia" w:hAnsi="Georgia"/>
          <w:b/>
          <w:sz w:val="40"/>
          <w:szCs w:val="40"/>
        </w:rPr>
        <w:tab/>
      </w:r>
      <w:r w:rsidR="00746AF3" w:rsidRPr="00A409A5">
        <w:rPr>
          <w:rFonts w:ascii="Georgia" w:hAnsi="Georgia"/>
          <w:b/>
          <w:sz w:val="40"/>
          <w:szCs w:val="40"/>
        </w:rPr>
        <w:tab/>
      </w:r>
    </w:p>
    <w:p w:rsidR="00746AF3" w:rsidRPr="00A409A5" w:rsidRDefault="00746AF3" w:rsidP="00883BA4">
      <w:pPr>
        <w:spacing w:before="240" w:after="360"/>
        <w:rPr>
          <w:rFonts w:ascii="Georgia" w:hAnsi="Georgia"/>
          <w:b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>Medicinal Cannabis Advisory Group</w:t>
      </w:r>
      <w:r w:rsidR="00CD32AC">
        <w:rPr>
          <w:rFonts w:ascii="Georgia" w:hAnsi="Georgia"/>
          <w:b/>
          <w:sz w:val="40"/>
          <w:szCs w:val="40"/>
        </w:rPr>
        <w:t xml:space="preserve"> meeting Minutes</w:t>
      </w:r>
      <w:r w:rsidR="00CD32AC" w:rsidRPr="00A409A5">
        <w:rPr>
          <w:rFonts w:ascii="Georgia" w:hAnsi="Georgia"/>
          <w:b/>
          <w:sz w:val="40"/>
          <w:szCs w:val="40"/>
        </w:rPr>
        <w:tab/>
      </w:r>
    </w:p>
    <w:tbl>
      <w:tblPr>
        <w:tblStyle w:val="TableGrid"/>
        <w:tblW w:w="9900" w:type="dxa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8460"/>
      </w:tblGrid>
      <w:tr w:rsidR="00746AF3" w:rsidRPr="00006665" w:rsidTr="006C36DB">
        <w:trPr>
          <w:cantSplit/>
        </w:trPr>
        <w:tc>
          <w:tcPr>
            <w:tcW w:w="1440" w:type="dxa"/>
            <w:tcBorders>
              <w:top w:val="single" w:sz="12" w:space="0" w:color="auto"/>
              <w:bottom w:val="single" w:sz="2" w:space="0" w:color="auto"/>
              <w:right w:val="nil"/>
            </w:tcBorders>
          </w:tcPr>
          <w:p w:rsidR="00746AF3" w:rsidRPr="00EF0B2D" w:rsidRDefault="00746AF3" w:rsidP="00883BA4">
            <w:pPr>
              <w:pStyle w:val="TableText"/>
              <w:rPr>
                <w:rFonts w:cs="Arial"/>
                <w:b/>
                <w:sz w:val="22"/>
                <w:szCs w:val="22"/>
              </w:rPr>
            </w:pPr>
            <w:r w:rsidRPr="00EF0B2D">
              <w:rPr>
                <w:rFonts w:cs="Arial"/>
                <w:b/>
                <w:sz w:val="22"/>
                <w:szCs w:val="22"/>
              </w:rPr>
              <w:t>Date: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460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:rsidR="00746AF3" w:rsidRPr="004F4DCC" w:rsidRDefault="002417A2" w:rsidP="00883BA4">
            <w:pPr>
              <w:pStyle w:val="Table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Thursday 13 June</w:t>
            </w:r>
            <w:r w:rsidR="009A7868">
              <w:rPr>
                <w:rFonts w:cs="Arial"/>
                <w:sz w:val="22"/>
                <w:szCs w:val="22"/>
              </w:rPr>
              <w:t xml:space="preserve"> 2019</w:t>
            </w:r>
          </w:p>
        </w:tc>
      </w:tr>
      <w:tr w:rsidR="00746AF3" w:rsidRPr="00006665" w:rsidTr="006C36DB">
        <w:trPr>
          <w:cantSplit/>
        </w:trPr>
        <w:tc>
          <w:tcPr>
            <w:tcW w:w="1440" w:type="dxa"/>
            <w:tcBorders>
              <w:top w:val="single" w:sz="12" w:space="0" w:color="auto"/>
              <w:bottom w:val="single" w:sz="2" w:space="0" w:color="auto"/>
              <w:right w:val="nil"/>
            </w:tcBorders>
          </w:tcPr>
          <w:p w:rsidR="00746AF3" w:rsidRPr="00EF0B2D" w:rsidRDefault="00746AF3" w:rsidP="00883BA4">
            <w:pPr>
              <w:pStyle w:val="TableText"/>
              <w:rPr>
                <w:rFonts w:cs="Arial"/>
                <w:b/>
                <w:sz w:val="22"/>
                <w:szCs w:val="22"/>
              </w:rPr>
            </w:pPr>
            <w:r w:rsidRPr="00EF0B2D">
              <w:rPr>
                <w:rFonts w:cs="Arial"/>
                <w:b/>
                <w:sz w:val="22"/>
                <w:szCs w:val="22"/>
              </w:rPr>
              <w:t>Time:</w:t>
            </w:r>
          </w:p>
        </w:tc>
        <w:tc>
          <w:tcPr>
            <w:tcW w:w="8460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:rsidR="00746AF3" w:rsidRPr="004F4DCC" w:rsidRDefault="009E1439" w:rsidP="00883BA4">
            <w:pPr>
              <w:pStyle w:val="Table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  <w:r w:rsidR="009A7868">
              <w:rPr>
                <w:rFonts w:cs="Arial"/>
                <w:sz w:val="22"/>
                <w:szCs w:val="22"/>
              </w:rPr>
              <w:t>.</w:t>
            </w:r>
            <w:r w:rsidR="0048773E">
              <w:rPr>
                <w:rFonts w:cs="Arial"/>
                <w:sz w:val="22"/>
                <w:szCs w:val="22"/>
              </w:rPr>
              <w:t>00pm–</w:t>
            </w:r>
            <w:r>
              <w:rPr>
                <w:rFonts w:cs="Arial"/>
                <w:sz w:val="22"/>
                <w:szCs w:val="22"/>
              </w:rPr>
              <w:t>7</w:t>
            </w:r>
            <w:r w:rsidR="009A7868">
              <w:rPr>
                <w:rFonts w:cs="Arial"/>
                <w:sz w:val="22"/>
                <w:szCs w:val="22"/>
              </w:rPr>
              <w:t>.</w:t>
            </w:r>
            <w:r w:rsidR="00284F65">
              <w:rPr>
                <w:rFonts w:cs="Arial"/>
                <w:sz w:val="22"/>
                <w:szCs w:val="22"/>
              </w:rPr>
              <w:t>30pm</w:t>
            </w:r>
          </w:p>
        </w:tc>
      </w:tr>
      <w:tr w:rsidR="00746AF3" w:rsidRPr="00006665" w:rsidTr="006C36DB">
        <w:trPr>
          <w:cantSplit/>
        </w:trPr>
        <w:tc>
          <w:tcPr>
            <w:tcW w:w="1440" w:type="dxa"/>
            <w:tcBorders>
              <w:top w:val="single" w:sz="12" w:space="0" w:color="auto"/>
              <w:bottom w:val="single" w:sz="2" w:space="0" w:color="auto"/>
              <w:right w:val="nil"/>
            </w:tcBorders>
          </w:tcPr>
          <w:p w:rsidR="00746AF3" w:rsidRPr="00EF0B2D" w:rsidRDefault="00746AF3" w:rsidP="00883BA4">
            <w:pPr>
              <w:pStyle w:val="TableText"/>
              <w:rPr>
                <w:rFonts w:cs="Arial"/>
                <w:b/>
                <w:sz w:val="22"/>
                <w:szCs w:val="22"/>
              </w:rPr>
            </w:pPr>
            <w:r w:rsidRPr="00EF0B2D">
              <w:rPr>
                <w:rFonts w:cs="Arial"/>
                <w:b/>
                <w:sz w:val="22"/>
                <w:szCs w:val="22"/>
              </w:rPr>
              <w:t>Location:</w:t>
            </w:r>
          </w:p>
        </w:tc>
        <w:tc>
          <w:tcPr>
            <w:tcW w:w="8460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:rsidR="00746AF3" w:rsidRPr="004F4DCC" w:rsidRDefault="009F1169" w:rsidP="00883BA4">
            <w:pPr>
              <w:pStyle w:val="Table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Teleconference</w:t>
            </w:r>
          </w:p>
        </w:tc>
      </w:tr>
      <w:tr w:rsidR="00746AF3" w:rsidRPr="00006665" w:rsidTr="006C36DB">
        <w:trPr>
          <w:cantSplit/>
        </w:trPr>
        <w:tc>
          <w:tcPr>
            <w:tcW w:w="1440" w:type="dxa"/>
            <w:tcBorders>
              <w:top w:val="single" w:sz="12" w:space="0" w:color="auto"/>
              <w:bottom w:val="single" w:sz="2" w:space="0" w:color="auto"/>
              <w:right w:val="nil"/>
            </w:tcBorders>
          </w:tcPr>
          <w:p w:rsidR="00746AF3" w:rsidRPr="00EF0B2D" w:rsidRDefault="00746AF3" w:rsidP="00883BA4">
            <w:pPr>
              <w:pStyle w:val="TableText"/>
              <w:rPr>
                <w:rFonts w:cs="Arial"/>
                <w:b/>
                <w:sz w:val="22"/>
                <w:szCs w:val="22"/>
              </w:rPr>
            </w:pPr>
            <w:r w:rsidRPr="00EF0B2D">
              <w:rPr>
                <w:rFonts w:cs="Arial"/>
                <w:b/>
                <w:sz w:val="22"/>
                <w:szCs w:val="22"/>
              </w:rPr>
              <w:t>Chair:</w:t>
            </w:r>
          </w:p>
        </w:tc>
        <w:tc>
          <w:tcPr>
            <w:tcW w:w="8460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:rsidR="00746AF3" w:rsidRPr="00DA4128" w:rsidRDefault="00746AF3" w:rsidP="00883BA4">
            <w:pPr>
              <w:pStyle w:val="Table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Dr Russell Wills</w:t>
            </w:r>
          </w:p>
        </w:tc>
      </w:tr>
      <w:tr w:rsidR="00746AF3" w:rsidRPr="00006665" w:rsidTr="006C36DB">
        <w:trPr>
          <w:cantSplit/>
        </w:trPr>
        <w:tc>
          <w:tcPr>
            <w:tcW w:w="1440" w:type="dxa"/>
            <w:tcBorders>
              <w:top w:val="single" w:sz="12" w:space="0" w:color="auto"/>
              <w:bottom w:val="single" w:sz="2" w:space="0" w:color="auto"/>
              <w:right w:val="nil"/>
            </w:tcBorders>
          </w:tcPr>
          <w:p w:rsidR="00746AF3" w:rsidRPr="00EF0B2D" w:rsidRDefault="00746AF3" w:rsidP="00883BA4">
            <w:pPr>
              <w:pStyle w:val="TableText"/>
              <w:rPr>
                <w:rFonts w:cs="Arial"/>
                <w:b/>
                <w:sz w:val="22"/>
                <w:szCs w:val="22"/>
              </w:rPr>
            </w:pPr>
            <w:r w:rsidRPr="00EF0B2D">
              <w:rPr>
                <w:rFonts w:cs="Arial"/>
                <w:b/>
                <w:sz w:val="22"/>
                <w:szCs w:val="22"/>
              </w:rPr>
              <w:t>Attendees:</w:t>
            </w:r>
          </w:p>
        </w:tc>
        <w:tc>
          <w:tcPr>
            <w:tcW w:w="8460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:rsidR="00746AF3" w:rsidRPr="008A1498" w:rsidRDefault="00746AF3" w:rsidP="00883BA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</w:pPr>
            <w:r w:rsidRPr="0006110E">
              <w:rPr>
                <w:rFonts w:cs="Arial"/>
                <w:sz w:val="22"/>
                <w:szCs w:val="22"/>
              </w:rPr>
              <w:t>Committee</w:t>
            </w:r>
            <w:r w:rsidR="00096549">
              <w:rPr>
                <w:rFonts w:cs="Arial"/>
                <w:sz w:val="22"/>
                <w:szCs w:val="22"/>
              </w:rPr>
              <w:t>: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0E3E08">
              <w:rPr>
                <w:rFonts w:cs="Arial"/>
                <w:sz w:val="22"/>
                <w:szCs w:val="22"/>
              </w:rPr>
              <w:t>Dr Andrew Butler, Dr Brian Ensor, Dr Cynthia Sharpe, Judy Leader, Professor Mi</w:t>
            </w:r>
            <w:r w:rsidR="002417A2">
              <w:rPr>
                <w:rFonts w:cs="Arial"/>
                <w:sz w:val="22"/>
                <w:szCs w:val="22"/>
              </w:rPr>
              <w:t xml:space="preserve">chelle Glass, </w:t>
            </w:r>
            <w:r w:rsidR="000E3E08">
              <w:rPr>
                <w:rFonts w:cs="Arial"/>
                <w:sz w:val="22"/>
                <w:szCs w:val="22"/>
              </w:rPr>
              <w:t>Suzy Barber,</w:t>
            </w:r>
            <w:r w:rsidR="002417A2">
              <w:rPr>
                <w:rFonts w:cs="Arial"/>
                <w:sz w:val="22"/>
                <w:szCs w:val="22"/>
              </w:rPr>
              <w:t xml:space="preserve"> Manu Caddie, Kali Mercier</w:t>
            </w:r>
            <w:r w:rsidR="000E3E08">
              <w:rPr>
                <w:rFonts w:cs="Arial"/>
                <w:sz w:val="22"/>
                <w:szCs w:val="22"/>
              </w:rPr>
              <w:t>, Simon Royal</w:t>
            </w:r>
          </w:p>
          <w:p w:rsidR="00746AF3" w:rsidRDefault="00746AF3" w:rsidP="00883BA4">
            <w:pPr>
              <w:pStyle w:val="TableText"/>
              <w:rPr>
                <w:rFonts w:cs="Arial"/>
                <w:sz w:val="22"/>
                <w:szCs w:val="22"/>
              </w:rPr>
            </w:pPr>
            <w:r w:rsidRPr="004F4DCC">
              <w:rPr>
                <w:rFonts w:cs="Arial"/>
                <w:sz w:val="22"/>
                <w:szCs w:val="22"/>
              </w:rPr>
              <w:t>Secretariat</w:t>
            </w:r>
            <w:r w:rsidR="00096549">
              <w:rPr>
                <w:rFonts w:cs="Arial"/>
                <w:sz w:val="22"/>
                <w:szCs w:val="22"/>
              </w:rPr>
              <w:t>:</w:t>
            </w:r>
            <w:r w:rsidR="009E1439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Andrea Eng</w:t>
            </w:r>
            <w:r w:rsidRPr="004F4DCC">
              <w:rPr>
                <w:rFonts w:cs="Arial"/>
                <w:sz w:val="22"/>
                <w:szCs w:val="22"/>
              </w:rPr>
              <w:t xml:space="preserve">, </w:t>
            </w:r>
            <w:r w:rsidR="00D42A61">
              <w:rPr>
                <w:rFonts w:cs="Arial"/>
                <w:sz w:val="22"/>
                <w:szCs w:val="22"/>
              </w:rPr>
              <w:t>Kayla Cook, Cherish Low</w:t>
            </w:r>
            <w:r w:rsidR="009E1439">
              <w:rPr>
                <w:rFonts w:cs="Arial"/>
                <w:sz w:val="22"/>
                <w:szCs w:val="22"/>
              </w:rPr>
              <w:t>, Susan Thomson</w:t>
            </w:r>
            <w:r w:rsidR="0000065C">
              <w:rPr>
                <w:rFonts w:cs="Arial"/>
                <w:sz w:val="22"/>
                <w:szCs w:val="22"/>
              </w:rPr>
              <w:t xml:space="preserve"> </w:t>
            </w:r>
          </w:p>
          <w:p w:rsidR="0000065C" w:rsidRPr="00006665" w:rsidRDefault="0000065C" w:rsidP="00883BA4">
            <w:pPr>
              <w:pStyle w:val="Table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Ministry of Health –</w:t>
            </w:r>
            <w:r w:rsidR="00011261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Jane Hubbard</w:t>
            </w:r>
            <w:r w:rsidR="00D049ED">
              <w:rPr>
                <w:rFonts w:cs="Arial"/>
                <w:sz w:val="22"/>
                <w:szCs w:val="22"/>
              </w:rPr>
              <w:t>,</w:t>
            </w:r>
            <w:r w:rsidR="00096549">
              <w:rPr>
                <w:rFonts w:cs="Arial"/>
                <w:sz w:val="22"/>
                <w:szCs w:val="22"/>
              </w:rPr>
              <w:t xml:space="preserve"> </w:t>
            </w:r>
            <w:r w:rsidR="002417A2">
              <w:rPr>
                <w:rFonts w:cs="Arial"/>
                <w:sz w:val="22"/>
                <w:szCs w:val="22"/>
              </w:rPr>
              <w:t>John Doyle</w:t>
            </w:r>
            <w:r w:rsidR="00284F65">
              <w:rPr>
                <w:rFonts w:cs="Arial"/>
                <w:sz w:val="22"/>
                <w:szCs w:val="22"/>
              </w:rPr>
              <w:t>, Chris House</w:t>
            </w:r>
          </w:p>
        </w:tc>
      </w:tr>
      <w:tr w:rsidR="00746AF3" w:rsidRPr="00692620" w:rsidTr="006C36DB">
        <w:trPr>
          <w:cantSplit/>
          <w:trHeight w:val="475"/>
        </w:trPr>
        <w:tc>
          <w:tcPr>
            <w:tcW w:w="1440" w:type="dxa"/>
            <w:tcBorders>
              <w:top w:val="single" w:sz="12" w:space="0" w:color="auto"/>
              <w:bottom w:val="single" w:sz="2" w:space="0" w:color="auto"/>
              <w:right w:val="nil"/>
            </w:tcBorders>
          </w:tcPr>
          <w:p w:rsidR="00746AF3" w:rsidRPr="00EF0B2D" w:rsidRDefault="00746AF3" w:rsidP="00883BA4">
            <w:pPr>
              <w:pStyle w:val="TableText"/>
              <w:rPr>
                <w:rFonts w:cs="Arial"/>
                <w:b/>
                <w:sz w:val="22"/>
                <w:szCs w:val="22"/>
              </w:rPr>
            </w:pPr>
            <w:r w:rsidRPr="00EF0B2D">
              <w:rPr>
                <w:rFonts w:cs="Arial"/>
                <w:b/>
                <w:sz w:val="22"/>
                <w:szCs w:val="22"/>
              </w:rPr>
              <w:t>Apologies:</w:t>
            </w:r>
          </w:p>
        </w:tc>
        <w:tc>
          <w:tcPr>
            <w:tcW w:w="8460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:rsidR="00746AF3" w:rsidRPr="00006665" w:rsidRDefault="002417A2" w:rsidP="00883BA4">
            <w:pPr>
              <w:pStyle w:val="Table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Rebecca </w:t>
            </w:r>
            <w:proofErr w:type="spellStart"/>
            <w:r>
              <w:rPr>
                <w:rFonts w:cs="Arial"/>
                <w:sz w:val="22"/>
                <w:szCs w:val="22"/>
              </w:rPr>
              <w:t>Reider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Tara </w:t>
            </w:r>
            <w:proofErr w:type="spellStart"/>
            <w:r>
              <w:rPr>
                <w:rFonts w:cs="Arial"/>
                <w:sz w:val="22"/>
                <w:szCs w:val="22"/>
              </w:rPr>
              <w:t>Creaven-Capasso</w:t>
            </w:r>
            <w:proofErr w:type="spellEnd"/>
            <w:r w:rsidR="00D42A61">
              <w:rPr>
                <w:rFonts w:cs="Arial"/>
                <w:sz w:val="22"/>
                <w:szCs w:val="22"/>
              </w:rPr>
              <w:t>, Dr David Burrell</w:t>
            </w:r>
          </w:p>
        </w:tc>
      </w:tr>
    </w:tbl>
    <w:p w:rsidR="00746AF3" w:rsidRDefault="00746AF3" w:rsidP="00883BA4">
      <w:pPr>
        <w:rPr>
          <w:sz w:val="22"/>
          <w:szCs w:val="22"/>
        </w:rPr>
      </w:pPr>
    </w:p>
    <w:tbl>
      <w:tblPr>
        <w:tblStyle w:val="TableGrid"/>
        <w:tblW w:w="9990" w:type="dxa"/>
        <w:tblInd w:w="-5" w:type="dxa"/>
        <w:tblLook w:val="01E0" w:firstRow="1" w:lastRow="1" w:firstColumn="1" w:lastColumn="1" w:noHBand="0" w:noVBand="0"/>
      </w:tblPr>
      <w:tblGrid>
        <w:gridCol w:w="810"/>
        <w:gridCol w:w="9180"/>
      </w:tblGrid>
      <w:tr w:rsidR="00BE7CAB" w:rsidRPr="001F060D" w:rsidTr="00B31BC0">
        <w:trPr>
          <w:trHeight w:val="304"/>
        </w:trPr>
        <w:tc>
          <w:tcPr>
            <w:tcW w:w="810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BE7CAB" w:rsidRPr="00705416" w:rsidRDefault="00BE7CAB" w:rsidP="00883BA4">
            <w:pPr>
              <w:tabs>
                <w:tab w:val="right" w:leader="underscore" w:pos="5670"/>
                <w:tab w:val="left" w:pos="6237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Item</w:t>
            </w:r>
          </w:p>
        </w:tc>
        <w:tc>
          <w:tcPr>
            <w:tcW w:w="9180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BE7CAB" w:rsidRPr="001F060D" w:rsidRDefault="00BE7CAB" w:rsidP="00883BA4">
            <w:pPr>
              <w:tabs>
                <w:tab w:val="right" w:leader="underscore" w:pos="5670"/>
                <w:tab w:val="left" w:pos="6237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Notes</w:t>
            </w:r>
          </w:p>
        </w:tc>
      </w:tr>
      <w:tr w:rsidR="001F060D" w:rsidRPr="001F060D" w:rsidTr="00B31BC0">
        <w:trPr>
          <w:trHeight w:val="359"/>
        </w:trPr>
        <w:tc>
          <w:tcPr>
            <w:tcW w:w="810" w:type="dxa"/>
            <w:tcBorders>
              <w:top w:val="single" w:sz="4" w:space="0" w:color="auto"/>
            </w:tcBorders>
          </w:tcPr>
          <w:p w:rsidR="001F060D" w:rsidRPr="00B31BC0" w:rsidRDefault="00B31BC0" w:rsidP="00B31BC0">
            <w:pPr>
              <w:tabs>
                <w:tab w:val="right" w:leader="underscore" w:pos="5670"/>
                <w:tab w:val="left" w:pos="6237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9180" w:type="dxa"/>
            <w:tcBorders>
              <w:top w:val="single" w:sz="4" w:space="0" w:color="auto"/>
            </w:tcBorders>
          </w:tcPr>
          <w:p w:rsidR="001F060D" w:rsidRPr="001F060D" w:rsidRDefault="001F060D" w:rsidP="00883BA4">
            <w:pPr>
              <w:tabs>
                <w:tab w:val="right" w:leader="underscore" w:pos="5670"/>
                <w:tab w:val="left" w:pos="6237"/>
              </w:tabs>
              <w:rPr>
                <w:rFonts w:cs="Arial"/>
                <w:b/>
                <w:sz w:val="22"/>
                <w:szCs w:val="22"/>
              </w:rPr>
            </w:pPr>
            <w:r w:rsidRPr="001F060D">
              <w:rPr>
                <w:rFonts w:cs="Arial"/>
                <w:b/>
                <w:sz w:val="22"/>
                <w:szCs w:val="22"/>
              </w:rPr>
              <w:t>Teleconference Starts</w:t>
            </w:r>
            <w:r w:rsidR="00CD32AC">
              <w:rPr>
                <w:rFonts w:cs="Arial"/>
                <w:b/>
                <w:sz w:val="22"/>
                <w:szCs w:val="22"/>
              </w:rPr>
              <w:t xml:space="preserve"> 6.00pm</w:t>
            </w:r>
          </w:p>
        </w:tc>
      </w:tr>
      <w:tr w:rsidR="001F060D" w:rsidRPr="001F060D" w:rsidTr="00B31BC0">
        <w:trPr>
          <w:trHeight w:val="602"/>
        </w:trPr>
        <w:tc>
          <w:tcPr>
            <w:tcW w:w="810" w:type="dxa"/>
          </w:tcPr>
          <w:p w:rsidR="001F060D" w:rsidRPr="00B31BC0" w:rsidRDefault="00B31BC0" w:rsidP="00B31BC0">
            <w:pPr>
              <w:tabs>
                <w:tab w:val="right" w:leader="underscore" w:pos="5670"/>
                <w:tab w:val="left" w:pos="6237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9180" w:type="dxa"/>
          </w:tcPr>
          <w:p w:rsidR="001F060D" w:rsidRDefault="001F060D" w:rsidP="00B31BC0">
            <w:pPr>
              <w:tabs>
                <w:tab w:val="right" w:leader="underscore" w:pos="5670"/>
                <w:tab w:val="left" w:pos="6237"/>
              </w:tabs>
              <w:spacing w:before="60" w:after="180"/>
              <w:rPr>
                <w:rFonts w:cs="Arial"/>
                <w:b/>
                <w:sz w:val="22"/>
                <w:szCs w:val="22"/>
              </w:rPr>
            </w:pPr>
            <w:r w:rsidRPr="001F060D">
              <w:rPr>
                <w:rFonts w:cs="Arial"/>
                <w:b/>
                <w:sz w:val="22"/>
                <w:szCs w:val="22"/>
              </w:rPr>
              <w:t>Quality Standards for cultivation</w:t>
            </w:r>
          </w:p>
          <w:p w:rsidR="00D42A61" w:rsidRDefault="00D42A61" w:rsidP="00883BA4">
            <w:pPr>
              <w:tabs>
                <w:tab w:val="right" w:leader="underscore" w:pos="5670"/>
                <w:tab w:val="left" w:pos="6237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The </w:t>
            </w:r>
            <w:r w:rsidR="002A3535">
              <w:rPr>
                <w:rFonts w:cs="Arial"/>
                <w:sz w:val="22"/>
                <w:szCs w:val="22"/>
              </w:rPr>
              <w:t>Medicinal Cannabis Advisory Group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2A3535">
              <w:rPr>
                <w:rFonts w:cs="Arial"/>
                <w:sz w:val="22"/>
                <w:szCs w:val="22"/>
              </w:rPr>
              <w:t xml:space="preserve">(the Advisory Group) </w:t>
            </w:r>
            <w:r>
              <w:rPr>
                <w:rFonts w:cs="Arial"/>
                <w:sz w:val="22"/>
                <w:szCs w:val="22"/>
              </w:rPr>
              <w:t xml:space="preserve">noted that they would like the advantages and disadvantages of the cultivation quality standards </w:t>
            </w:r>
            <w:r w:rsidR="00EC5E5B">
              <w:rPr>
                <w:rFonts w:cs="Arial"/>
                <w:sz w:val="22"/>
                <w:szCs w:val="22"/>
              </w:rPr>
              <w:t xml:space="preserve">clearly set out in the Medicinal Cannabis Regulatory Scheme Consultation Document </w:t>
            </w:r>
            <w:r w:rsidR="0067671F">
              <w:rPr>
                <w:rFonts w:cs="Arial"/>
                <w:sz w:val="22"/>
                <w:szCs w:val="22"/>
              </w:rPr>
              <w:t xml:space="preserve">(the Consultation Document) </w:t>
            </w:r>
            <w:r w:rsidR="00EC5E5B">
              <w:rPr>
                <w:rFonts w:cs="Arial"/>
                <w:sz w:val="22"/>
                <w:szCs w:val="22"/>
              </w:rPr>
              <w:t>and suggested using a table.</w:t>
            </w:r>
          </w:p>
          <w:p w:rsidR="00D42A61" w:rsidRDefault="00D42A61" w:rsidP="00883BA4">
            <w:pPr>
              <w:tabs>
                <w:tab w:val="right" w:leader="underscore" w:pos="5670"/>
                <w:tab w:val="left" w:pos="6237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F63908" w:rsidRDefault="00D42A61" w:rsidP="00883BA4">
            <w:pPr>
              <w:tabs>
                <w:tab w:val="right" w:leader="underscore" w:pos="5670"/>
                <w:tab w:val="left" w:pos="6237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The Secretariat </w:t>
            </w:r>
            <w:r w:rsidR="00EC5E5B">
              <w:rPr>
                <w:rFonts w:cs="Arial"/>
                <w:sz w:val="22"/>
                <w:szCs w:val="22"/>
              </w:rPr>
              <w:t xml:space="preserve">advised </w:t>
            </w:r>
            <w:r w:rsidR="00011261">
              <w:rPr>
                <w:rFonts w:cs="Arial"/>
                <w:sz w:val="22"/>
                <w:szCs w:val="22"/>
              </w:rPr>
              <w:t>that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9F1169">
              <w:rPr>
                <w:rFonts w:cs="Arial"/>
                <w:sz w:val="22"/>
                <w:szCs w:val="22"/>
              </w:rPr>
              <w:t>further</w:t>
            </w:r>
            <w:r>
              <w:rPr>
                <w:rFonts w:cs="Arial"/>
                <w:sz w:val="22"/>
                <w:szCs w:val="22"/>
              </w:rPr>
              <w:t xml:space="preserve"> information is asked for in the consultation questions and that </w:t>
            </w:r>
            <w:r w:rsidR="002A3535" w:rsidRPr="002A3535">
              <w:rPr>
                <w:rFonts w:cs="Arial"/>
                <w:sz w:val="22"/>
                <w:szCs w:val="22"/>
              </w:rPr>
              <w:t xml:space="preserve">the Consultation Document </w:t>
            </w:r>
            <w:r w:rsidR="00F543BA">
              <w:rPr>
                <w:rFonts w:cs="Arial"/>
                <w:sz w:val="22"/>
                <w:szCs w:val="22"/>
              </w:rPr>
              <w:t>previously s</w:t>
            </w:r>
            <w:r>
              <w:rPr>
                <w:rFonts w:cs="Arial"/>
                <w:sz w:val="22"/>
                <w:szCs w:val="22"/>
              </w:rPr>
              <w:t xml:space="preserve">ent to </w:t>
            </w:r>
            <w:r w:rsidR="002A3535">
              <w:rPr>
                <w:rFonts w:cs="Arial"/>
                <w:sz w:val="22"/>
                <w:szCs w:val="22"/>
              </w:rPr>
              <w:t>the Advisory Group</w:t>
            </w:r>
            <w:r>
              <w:rPr>
                <w:rFonts w:cs="Arial"/>
                <w:sz w:val="22"/>
                <w:szCs w:val="22"/>
              </w:rPr>
              <w:t xml:space="preserve"> was </w:t>
            </w:r>
            <w:r w:rsidR="00EC5E5B">
              <w:rPr>
                <w:rFonts w:cs="Arial"/>
                <w:sz w:val="22"/>
                <w:szCs w:val="22"/>
              </w:rPr>
              <w:t>n</w:t>
            </w:r>
            <w:r>
              <w:rPr>
                <w:rFonts w:cs="Arial"/>
                <w:sz w:val="22"/>
                <w:szCs w:val="22"/>
              </w:rPr>
              <w:t xml:space="preserve">ot </w:t>
            </w:r>
            <w:r w:rsidR="00F543BA">
              <w:rPr>
                <w:rFonts w:cs="Arial"/>
                <w:sz w:val="22"/>
                <w:szCs w:val="22"/>
              </w:rPr>
              <w:t xml:space="preserve">yet </w:t>
            </w:r>
            <w:r>
              <w:rPr>
                <w:rFonts w:cs="Arial"/>
                <w:sz w:val="22"/>
                <w:szCs w:val="22"/>
              </w:rPr>
              <w:t>final</w:t>
            </w:r>
            <w:r w:rsidR="00F543BA">
              <w:rPr>
                <w:rFonts w:cs="Arial"/>
                <w:sz w:val="22"/>
                <w:szCs w:val="22"/>
              </w:rPr>
              <w:t>ised.</w:t>
            </w:r>
            <w:r w:rsidR="009A7868">
              <w:rPr>
                <w:rFonts w:cs="Arial"/>
                <w:sz w:val="22"/>
                <w:szCs w:val="22"/>
              </w:rPr>
              <w:t xml:space="preserve"> The </w:t>
            </w:r>
            <w:r w:rsidR="00EC5E5B">
              <w:rPr>
                <w:rFonts w:cs="Arial"/>
                <w:sz w:val="22"/>
                <w:szCs w:val="22"/>
              </w:rPr>
              <w:t>Consultation D</w:t>
            </w:r>
            <w:r>
              <w:rPr>
                <w:rFonts w:cs="Arial"/>
                <w:sz w:val="22"/>
                <w:szCs w:val="22"/>
              </w:rPr>
              <w:t xml:space="preserve">ocument </w:t>
            </w:r>
            <w:r w:rsidR="009A7868">
              <w:rPr>
                <w:rFonts w:cs="Arial"/>
                <w:sz w:val="22"/>
                <w:szCs w:val="22"/>
              </w:rPr>
              <w:t xml:space="preserve">also </w:t>
            </w:r>
            <w:r>
              <w:rPr>
                <w:rFonts w:cs="Arial"/>
                <w:sz w:val="22"/>
                <w:szCs w:val="22"/>
              </w:rPr>
              <w:t xml:space="preserve">will undergo further editing to include the consultation questions in the relevant </w:t>
            </w:r>
            <w:r w:rsidR="00EC5E5B">
              <w:rPr>
                <w:rFonts w:cs="Arial"/>
                <w:sz w:val="22"/>
                <w:szCs w:val="22"/>
              </w:rPr>
              <w:t>sections</w:t>
            </w:r>
            <w:r>
              <w:rPr>
                <w:rFonts w:cs="Arial"/>
                <w:sz w:val="22"/>
                <w:szCs w:val="22"/>
              </w:rPr>
              <w:t xml:space="preserve">. </w:t>
            </w:r>
          </w:p>
          <w:p w:rsidR="002A3535" w:rsidRDefault="002A3535" w:rsidP="00883BA4">
            <w:pPr>
              <w:tabs>
                <w:tab w:val="right" w:leader="underscore" w:pos="5670"/>
                <w:tab w:val="left" w:pos="6237"/>
              </w:tabs>
              <w:rPr>
                <w:rFonts w:cs="Arial"/>
                <w:sz w:val="22"/>
                <w:szCs w:val="22"/>
              </w:rPr>
            </w:pPr>
          </w:p>
          <w:p w:rsidR="002C27AC" w:rsidRPr="00F63908" w:rsidRDefault="002A3535" w:rsidP="00B31BC0">
            <w:pPr>
              <w:tabs>
                <w:tab w:val="right" w:leader="underscore" w:pos="5670"/>
                <w:tab w:val="left" w:pos="6237"/>
              </w:tabs>
              <w:spacing w:after="18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The Advisory Group</w:t>
            </w:r>
            <w:r w:rsidR="00C9702A">
              <w:rPr>
                <w:rFonts w:cs="Arial"/>
                <w:sz w:val="22"/>
                <w:szCs w:val="22"/>
              </w:rPr>
              <w:t xml:space="preserve"> noted</w:t>
            </w:r>
            <w:r>
              <w:rPr>
                <w:rFonts w:cs="Arial"/>
                <w:sz w:val="22"/>
                <w:szCs w:val="22"/>
              </w:rPr>
              <w:t xml:space="preserve"> that it was important to obtain this information and that the </w:t>
            </w:r>
            <w:r w:rsidR="00F543BA">
              <w:rPr>
                <w:rFonts w:cs="Arial"/>
                <w:sz w:val="22"/>
                <w:szCs w:val="22"/>
              </w:rPr>
              <w:t xml:space="preserve">options for </w:t>
            </w:r>
            <w:r>
              <w:rPr>
                <w:rFonts w:cs="Arial"/>
                <w:sz w:val="22"/>
                <w:szCs w:val="22"/>
              </w:rPr>
              <w:t>cultivation quality standards would be clearer once the consultation questions w</w:t>
            </w:r>
            <w:r w:rsidR="00CD32AC">
              <w:rPr>
                <w:rFonts w:cs="Arial"/>
                <w:sz w:val="22"/>
                <w:szCs w:val="22"/>
              </w:rPr>
              <w:t>ere incorporated back into the Consultation D</w:t>
            </w:r>
            <w:r>
              <w:rPr>
                <w:rFonts w:cs="Arial"/>
                <w:sz w:val="22"/>
                <w:szCs w:val="22"/>
              </w:rPr>
              <w:t>ocument.</w:t>
            </w:r>
          </w:p>
        </w:tc>
      </w:tr>
      <w:tr w:rsidR="001F060D" w:rsidRPr="001F060D" w:rsidTr="00B31BC0">
        <w:trPr>
          <w:trHeight w:val="530"/>
        </w:trPr>
        <w:tc>
          <w:tcPr>
            <w:tcW w:w="810" w:type="dxa"/>
          </w:tcPr>
          <w:p w:rsidR="001F060D" w:rsidRPr="00B31BC0" w:rsidRDefault="00B31BC0" w:rsidP="00B31BC0">
            <w:pPr>
              <w:tabs>
                <w:tab w:val="right" w:leader="underscore" w:pos="5670"/>
                <w:tab w:val="left" w:pos="6237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9180" w:type="dxa"/>
          </w:tcPr>
          <w:p w:rsidR="001F060D" w:rsidRDefault="001F060D" w:rsidP="00B31BC0">
            <w:pPr>
              <w:tabs>
                <w:tab w:val="right" w:leader="underscore" w:pos="5670"/>
                <w:tab w:val="left" w:pos="6237"/>
              </w:tabs>
              <w:spacing w:before="60" w:after="180"/>
              <w:rPr>
                <w:rFonts w:cs="Arial"/>
                <w:b/>
                <w:sz w:val="22"/>
                <w:szCs w:val="22"/>
              </w:rPr>
            </w:pPr>
            <w:r w:rsidRPr="001F060D">
              <w:rPr>
                <w:rFonts w:cs="Arial"/>
                <w:b/>
                <w:sz w:val="22"/>
                <w:szCs w:val="22"/>
              </w:rPr>
              <w:t>Comparison of GMP vs GPP</w:t>
            </w:r>
          </w:p>
          <w:p w:rsidR="00FB08F5" w:rsidRDefault="00FB08F5" w:rsidP="00883BA4">
            <w:pPr>
              <w:tabs>
                <w:tab w:val="right" w:leader="underscore" w:pos="5670"/>
                <w:tab w:val="left" w:pos="6237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The Advisory Group </w:t>
            </w:r>
            <w:r w:rsidR="00D96087">
              <w:rPr>
                <w:rFonts w:cs="Arial"/>
                <w:sz w:val="22"/>
                <w:szCs w:val="22"/>
              </w:rPr>
              <w:t xml:space="preserve">suggested strengthening the </w:t>
            </w:r>
            <w:r>
              <w:rPr>
                <w:rFonts w:cs="Arial"/>
                <w:sz w:val="22"/>
                <w:szCs w:val="22"/>
              </w:rPr>
              <w:t>information compar</w:t>
            </w:r>
            <w:r w:rsidR="009A7868">
              <w:rPr>
                <w:rFonts w:cs="Arial"/>
                <w:sz w:val="22"/>
                <w:szCs w:val="22"/>
              </w:rPr>
              <w:t>ing</w:t>
            </w:r>
            <w:r>
              <w:rPr>
                <w:rFonts w:cs="Arial"/>
                <w:sz w:val="22"/>
                <w:szCs w:val="22"/>
              </w:rPr>
              <w:t xml:space="preserve"> Good Manufacturing Practice (GMP) </w:t>
            </w:r>
            <w:r w:rsidR="009A7868">
              <w:rPr>
                <w:rFonts w:cs="Arial"/>
                <w:sz w:val="22"/>
                <w:szCs w:val="22"/>
              </w:rPr>
              <w:t xml:space="preserve">with </w:t>
            </w:r>
            <w:r w:rsidR="00EC5E5B">
              <w:rPr>
                <w:rFonts w:cs="Arial"/>
                <w:sz w:val="22"/>
                <w:szCs w:val="22"/>
              </w:rPr>
              <w:t>Canada’s</w:t>
            </w:r>
            <w:r w:rsidR="0067671F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Good Production Practices (GPP)</w:t>
            </w:r>
            <w:r w:rsidR="006D0605">
              <w:rPr>
                <w:rFonts w:cs="Arial"/>
                <w:sz w:val="22"/>
                <w:szCs w:val="22"/>
              </w:rPr>
              <w:t xml:space="preserve">. </w:t>
            </w:r>
            <w:r w:rsidR="009F7AE9">
              <w:rPr>
                <w:rFonts w:cs="Arial"/>
                <w:sz w:val="22"/>
                <w:szCs w:val="22"/>
              </w:rPr>
              <w:t>Specifically</w:t>
            </w:r>
            <w:r w:rsidR="006D0605">
              <w:rPr>
                <w:rFonts w:cs="Arial"/>
                <w:sz w:val="22"/>
                <w:szCs w:val="22"/>
              </w:rPr>
              <w:t xml:space="preserve">, there was a lack of information regarding relative cost to the consumer and manufacturer as well as the time to establish each process. </w:t>
            </w:r>
            <w:r w:rsidR="00D34E5F">
              <w:rPr>
                <w:rFonts w:cs="Arial"/>
                <w:sz w:val="22"/>
                <w:szCs w:val="22"/>
              </w:rPr>
              <w:t xml:space="preserve">Equity of access to the market for local growers and manufacturers was again noted. </w:t>
            </w:r>
          </w:p>
          <w:p w:rsidR="00FB08F5" w:rsidRDefault="00FB08F5" w:rsidP="00883BA4">
            <w:pPr>
              <w:tabs>
                <w:tab w:val="right" w:leader="underscore" w:pos="5670"/>
                <w:tab w:val="left" w:pos="6237"/>
              </w:tabs>
              <w:rPr>
                <w:rFonts w:cs="Arial"/>
                <w:sz w:val="22"/>
                <w:szCs w:val="22"/>
              </w:rPr>
            </w:pPr>
          </w:p>
          <w:p w:rsidR="000A2563" w:rsidRDefault="00011261" w:rsidP="00883BA4">
            <w:pPr>
              <w:tabs>
                <w:tab w:val="right" w:leader="underscore" w:pos="5670"/>
                <w:tab w:val="left" w:pos="6237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The</w:t>
            </w:r>
            <w:r w:rsidR="0020002B">
              <w:rPr>
                <w:rFonts w:cs="Arial"/>
                <w:sz w:val="22"/>
                <w:szCs w:val="22"/>
              </w:rPr>
              <w:t xml:space="preserve"> Secretariat </w:t>
            </w:r>
            <w:r w:rsidR="009F7AE9">
              <w:rPr>
                <w:rFonts w:cs="Arial"/>
                <w:sz w:val="22"/>
                <w:szCs w:val="22"/>
              </w:rPr>
              <w:t>advised</w:t>
            </w:r>
            <w:r w:rsidR="003B6515">
              <w:rPr>
                <w:rFonts w:cs="Arial"/>
                <w:sz w:val="22"/>
                <w:szCs w:val="22"/>
              </w:rPr>
              <w:t xml:space="preserve"> that</w:t>
            </w:r>
            <w:r w:rsidR="0020002B">
              <w:rPr>
                <w:rFonts w:cs="Arial"/>
                <w:sz w:val="22"/>
                <w:szCs w:val="22"/>
              </w:rPr>
              <w:t xml:space="preserve"> </w:t>
            </w:r>
            <w:r w:rsidR="00D96087">
              <w:rPr>
                <w:rFonts w:cs="Arial"/>
                <w:sz w:val="22"/>
                <w:szCs w:val="22"/>
              </w:rPr>
              <w:t xml:space="preserve">GMP and GPP </w:t>
            </w:r>
            <w:r w:rsidR="003E4C72">
              <w:rPr>
                <w:rFonts w:cs="Arial"/>
                <w:sz w:val="22"/>
                <w:szCs w:val="22"/>
              </w:rPr>
              <w:t xml:space="preserve">shared </w:t>
            </w:r>
            <w:r w:rsidR="0020002B">
              <w:rPr>
                <w:rFonts w:cs="Arial"/>
                <w:sz w:val="22"/>
                <w:szCs w:val="22"/>
              </w:rPr>
              <w:t>most of the same requirements</w:t>
            </w:r>
            <w:r w:rsidR="00750DD5">
              <w:rPr>
                <w:rFonts w:cs="Arial"/>
                <w:sz w:val="22"/>
                <w:szCs w:val="22"/>
              </w:rPr>
              <w:t xml:space="preserve"> (all except the requirements for stability and validating products)</w:t>
            </w:r>
            <w:r w:rsidR="0020002B">
              <w:rPr>
                <w:rFonts w:cs="Arial"/>
                <w:sz w:val="22"/>
                <w:szCs w:val="22"/>
              </w:rPr>
              <w:t xml:space="preserve">, </w:t>
            </w:r>
            <w:r w:rsidR="00EC5E5B">
              <w:rPr>
                <w:rFonts w:cs="Arial"/>
                <w:sz w:val="22"/>
                <w:szCs w:val="22"/>
              </w:rPr>
              <w:t>but</w:t>
            </w:r>
            <w:r w:rsidR="0020002B">
              <w:rPr>
                <w:rFonts w:cs="Arial"/>
                <w:sz w:val="22"/>
                <w:szCs w:val="22"/>
              </w:rPr>
              <w:t xml:space="preserve"> differed in their level of detail. The key </w:t>
            </w:r>
            <w:r w:rsidR="0007733C">
              <w:rPr>
                <w:rFonts w:cs="Arial"/>
                <w:sz w:val="22"/>
                <w:szCs w:val="22"/>
              </w:rPr>
              <w:t>differences between</w:t>
            </w:r>
            <w:r w:rsidR="00D96087">
              <w:rPr>
                <w:rFonts w:cs="Arial"/>
                <w:sz w:val="22"/>
                <w:szCs w:val="22"/>
              </w:rPr>
              <w:t xml:space="preserve"> GMP and GPP </w:t>
            </w:r>
            <w:r w:rsidR="00F543BA">
              <w:rPr>
                <w:rFonts w:cs="Arial"/>
                <w:sz w:val="22"/>
                <w:szCs w:val="22"/>
              </w:rPr>
              <w:t xml:space="preserve">are </w:t>
            </w:r>
            <w:r w:rsidR="0007733C">
              <w:rPr>
                <w:rFonts w:cs="Arial"/>
                <w:sz w:val="22"/>
                <w:szCs w:val="22"/>
              </w:rPr>
              <w:t>highlighted</w:t>
            </w:r>
            <w:r w:rsidR="00D96087">
              <w:rPr>
                <w:rFonts w:cs="Arial"/>
                <w:sz w:val="22"/>
                <w:szCs w:val="22"/>
              </w:rPr>
              <w:t xml:space="preserve"> in </w:t>
            </w:r>
            <w:r w:rsidR="00CD32AC">
              <w:rPr>
                <w:rFonts w:cs="Arial"/>
                <w:sz w:val="22"/>
                <w:szCs w:val="22"/>
              </w:rPr>
              <w:t>the Consultation D</w:t>
            </w:r>
            <w:r w:rsidR="0007733C">
              <w:rPr>
                <w:rFonts w:cs="Arial"/>
                <w:sz w:val="22"/>
                <w:szCs w:val="22"/>
              </w:rPr>
              <w:t>oc</w:t>
            </w:r>
            <w:r w:rsidR="00363E91">
              <w:rPr>
                <w:rFonts w:cs="Arial"/>
                <w:sz w:val="22"/>
                <w:szCs w:val="22"/>
              </w:rPr>
              <w:t>ument.</w:t>
            </w:r>
            <w:r w:rsidR="0020002B">
              <w:rPr>
                <w:rFonts w:cs="Arial"/>
                <w:sz w:val="22"/>
                <w:szCs w:val="22"/>
              </w:rPr>
              <w:t xml:space="preserve"> </w:t>
            </w:r>
          </w:p>
          <w:p w:rsidR="000A2563" w:rsidRDefault="000A2563" w:rsidP="00883BA4">
            <w:pPr>
              <w:tabs>
                <w:tab w:val="right" w:leader="underscore" w:pos="5670"/>
                <w:tab w:val="left" w:pos="6237"/>
              </w:tabs>
              <w:rPr>
                <w:rFonts w:cs="Arial"/>
                <w:sz w:val="22"/>
                <w:szCs w:val="22"/>
              </w:rPr>
            </w:pPr>
          </w:p>
          <w:p w:rsidR="000A2563" w:rsidRDefault="00CF3DA3" w:rsidP="00883BA4">
            <w:pPr>
              <w:tabs>
                <w:tab w:val="right" w:leader="underscore" w:pos="5670"/>
                <w:tab w:val="left" w:pos="6237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 xml:space="preserve">The Advisory Group </w:t>
            </w:r>
            <w:r w:rsidR="00CD7854">
              <w:rPr>
                <w:rFonts w:cs="Arial"/>
                <w:sz w:val="22"/>
                <w:szCs w:val="22"/>
              </w:rPr>
              <w:t xml:space="preserve">suggested </w:t>
            </w:r>
            <w:r w:rsidR="0005562B">
              <w:rPr>
                <w:rFonts w:cs="Arial"/>
                <w:sz w:val="22"/>
                <w:szCs w:val="22"/>
              </w:rPr>
              <w:t>it might not be clear to patients what GMP</w:t>
            </w:r>
            <w:r w:rsidR="0020002B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might mean in terms of the difference in access and cost. </w:t>
            </w:r>
            <w:r w:rsidR="00EC5E5B">
              <w:rPr>
                <w:rFonts w:cs="Arial"/>
                <w:sz w:val="22"/>
                <w:szCs w:val="22"/>
              </w:rPr>
              <w:t>Subsequently, t</w:t>
            </w:r>
            <w:r w:rsidR="0005562B">
              <w:rPr>
                <w:rFonts w:cs="Arial"/>
                <w:sz w:val="22"/>
                <w:szCs w:val="22"/>
              </w:rPr>
              <w:t>he Advisory Group requested information on</w:t>
            </w:r>
            <w:r>
              <w:rPr>
                <w:rFonts w:cs="Arial"/>
                <w:sz w:val="22"/>
                <w:szCs w:val="22"/>
              </w:rPr>
              <w:t xml:space="preserve"> the </w:t>
            </w:r>
            <w:r w:rsidR="0020002B">
              <w:rPr>
                <w:rFonts w:cs="Arial"/>
                <w:sz w:val="22"/>
                <w:szCs w:val="22"/>
              </w:rPr>
              <w:t>relative costs to the patients</w:t>
            </w:r>
            <w:r w:rsidR="00CD7854">
              <w:rPr>
                <w:rFonts w:cs="Arial"/>
                <w:sz w:val="22"/>
                <w:szCs w:val="22"/>
              </w:rPr>
              <w:t xml:space="preserve"> of the same product under GPP or GMP</w:t>
            </w:r>
            <w:r w:rsidR="0005562B">
              <w:rPr>
                <w:rFonts w:cs="Arial"/>
                <w:sz w:val="22"/>
                <w:szCs w:val="22"/>
              </w:rPr>
              <w:t xml:space="preserve">. </w:t>
            </w:r>
          </w:p>
          <w:p w:rsidR="00CF3DA3" w:rsidRDefault="00CF3DA3" w:rsidP="00883BA4">
            <w:pPr>
              <w:tabs>
                <w:tab w:val="right" w:leader="underscore" w:pos="5670"/>
                <w:tab w:val="left" w:pos="6237"/>
              </w:tabs>
              <w:rPr>
                <w:rFonts w:cs="Arial"/>
                <w:sz w:val="22"/>
                <w:szCs w:val="22"/>
              </w:rPr>
            </w:pPr>
          </w:p>
          <w:p w:rsidR="0007733C" w:rsidRDefault="0007733C" w:rsidP="00883BA4">
            <w:pPr>
              <w:tabs>
                <w:tab w:val="right" w:leader="underscore" w:pos="5670"/>
                <w:tab w:val="left" w:pos="6237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The Secretariat noted it had sought this in</w:t>
            </w:r>
            <w:r w:rsidR="00F543BA">
              <w:rPr>
                <w:rFonts w:cs="Arial"/>
                <w:sz w:val="22"/>
                <w:szCs w:val="22"/>
              </w:rPr>
              <w:t xml:space="preserve">formation from Canadian sources. Information on comparative costs of GMP vs GPP </w:t>
            </w:r>
            <w:r>
              <w:rPr>
                <w:rFonts w:cs="Arial"/>
                <w:sz w:val="22"/>
                <w:szCs w:val="22"/>
              </w:rPr>
              <w:t>was not available.</w:t>
            </w:r>
          </w:p>
          <w:p w:rsidR="00363E91" w:rsidRDefault="00363E91" w:rsidP="00883BA4">
            <w:pPr>
              <w:tabs>
                <w:tab w:val="right" w:leader="underscore" w:pos="5670"/>
                <w:tab w:val="left" w:pos="6237"/>
              </w:tabs>
              <w:rPr>
                <w:rFonts w:cs="Arial"/>
                <w:b/>
                <w:sz w:val="22"/>
                <w:szCs w:val="22"/>
              </w:rPr>
            </w:pPr>
          </w:p>
          <w:p w:rsidR="00CF3DA3" w:rsidRPr="0020002B" w:rsidRDefault="00CF3DA3" w:rsidP="00883BA4">
            <w:pPr>
              <w:tabs>
                <w:tab w:val="right" w:leader="underscore" w:pos="5670"/>
                <w:tab w:val="left" w:pos="6237"/>
              </w:tabs>
              <w:rPr>
                <w:rFonts w:cs="Arial"/>
                <w:b/>
                <w:sz w:val="22"/>
                <w:szCs w:val="22"/>
              </w:rPr>
            </w:pPr>
            <w:r w:rsidRPr="0020002B">
              <w:rPr>
                <w:rFonts w:cs="Arial"/>
                <w:b/>
                <w:sz w:val="22"/>
                <w:szCs w:val="22"/>
              </w:rPr>
              <w:t>Action:</w:t>
            </w:r>
          </w:p>
          <w:p w:rsidR="002C27AC" w:rsidRPr="003B6515" w:rsidRDefault="00CF3DA3" w:rsidP="00B31BC0">
            <w:pPr>
              <w:tabs>
                <w:tab w:val="right" w:leader="underscore" w:pos="5670"/>
                <w:tab w:val="left" w:pos="6237"/>
              </w:tabs>
              <w:spacing w:after="18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Secretar</w:t>
            </w:r>
            <w:r w:rsidR="00CD4E67">
              <w:rPr>
                <w:rFonts w:cs="Arial"/>
                <w:sz w:val="22"/>
                <w:szCs w:val="22"/>
              </w:rPr>
              <w:t>i</w:t>
            </w:r>
            <w:r>
              <w:rPr>
                <w:rFonts w:cs="Arial"/>
                <w:sz w:val="22"/>
                <w:szCs w:val="22"/>
              </w:rPr>
              <w:t xml:space="preserve">at to </w:t>
            </w:r>
            <w:r w:rsidR="001913F4">
              <w:rPr>
                <w:rFonts w:cs="Arial"/>
                <w:sz w:val="22"/>
                <w:szCs w:val="22"/>
              </w:rPr>
              <w:t>not</w:t>
            </w:r>
            <w:r w:rsidR="00F543BA">
              <w:rPr>
                <w:rFonts w:cs="Arial"/>
                <w:sz w:val="22"/>
                <w:szCs w:val="22"/>
              </w:rPr>
              <w:t xml:space="preserve">e </w:t>
            </w:r>
            <w:r w:rsidR="00CD32AC">
              <w:rPr>
                <w:rFonts w:cs="Arial"/>
                <w:sz w:val="22"/>
                <w:szCs w:val="22"/>
              </w:rPr>
              <w:t>in the Consultation D</w:t>
            </w:r>
            <w:r w:rsidR="001913F4">
              <w:rPr>
                <w:rFonts w:cs="Arial"/>
                <w:sz w:val="22"/>
                <w:szCs w:val="22"/>
              </w:rPr>
              <w:t>ocument that this information isn’t available</w:t>
            </w:r>
            <w:r w:rsidR="00F543BA">
              <w:rPr>
                <w:rFonts w:cs="Arial"/>
                <w:sz w:val="22"/>
                <w:szCs w:val="22"/>
              </w:rPr>
              <w:t>, a</w:t>
            </w:r>
            <w:r w:rsidR="0007733C">
              <w:rPr>
                <w:rFonts w:cs="Arial"/>
                <w:sz w:val="22"/>
                <w:szCs w:val="22"/>
              </w:rPr>
              <w:t>nd to seek further information through the consultation.</w:t>
            </w:r>
          </w:p>
        </w:tc>
      </w:tr>
      <w:tr w:rsidR="001F060D" w:rsidRPr="001F060D" w:rsidTr="00B31BC0">
        <w:trPr>
          <w:trHeight w:val="935"/>
        </w:trPr>
        <w:tc>
          <w:tcPr>
            <w:tcW w:w="810" w:type="dxa"/>
          </w:tcPr>
          <w:p w:rsidR="001F060D" w:rsidRPr="00B31BC0" w:rsidRDefault="00B31BC0" w:rsidP="00B31BC0">
            <w:pPr>
              <w:tabs>
                <w:tab w:val="right" w:leader="underscore" w:pos="5670"/>
                <w:tab w:val="left" w:pos="6237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9180" w:type="dxa"/>
          </w:tcPr>
          <w:p w:rsidR="001F060D" w:rsidRPr="001F060D" w:rsidRDefault="001F060D" w:rsidP="00B31BC0">
            <w:pPr>
              <w:tabs>
                <w:tab w:val="right" w:leader="underscore" w:pos="5670"/>
                <w:tab w:val="left" w:pos="6237"/>
              </w:tabs>
              <w:spacing w:before="60" w:after="180"/>
              <w:rPr>
                <w:rFonts w:cs="Arial"/>
                <w:b/>
                <w:sz w:val="22"/>
                <w:szCs w:val="22"/>
              </w:rPr>
            </w:pPr>
            <w:r w:rsidRPr="001F060D">
              <w:rPr>
                <w:rFonts w:cs="Arial"/>
                <w:b/>
                <w:sz w:val="22"/>
                <w:szCs w:val="22"/>
              </w:rPr>
              <w:t>Requirements for licence holders</w:t>
            </w:r>
          </w:p>
          <w:p w:rsidR="00CD4E67" w:rsidRDefault="00C9702A" w:rsidP="00883BA4">
            <w:pPr>
              <w:tabs>
                <w:tab w:val="right" w:leader="underscore" w:pos="5670"/>
                <w:tab w:val="left" w:pos="6237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Some members of t</w:t>
            </w:r>
            <w:r w:rsidR="00CF3DA3">
              <w:rPr>
                <w:rFonts w:cs="Arial"/>
                <w:sz w:val="22"/>
                <w:szCs w:val="22"/>
              </w:rPr>
              <w:t xml:space="preserve">he Advisory </w:t>
            </w:r>
            <w:r w:rsidR="009A7868">
              <w:rPr>
                <w:rFonts w:cs="Arial"/>
                <w:sz w:val="22"/>
                <w:szCs w:val="22"/>
              </w:rPr>
              <w:t>G</w:t>
            </w:r>
            <w:r w:rsidR="00CF3DA3">
              <w:rPr>
                <w:rFonts w:cs="Arial"/>
                <w:sz w:val="22"/>
                <w:szCs w:val="22"/>
              </w:rPr>
              <w:t xml:space="preserve">roup </w:t>
            </w:r>
            <w:r w:rsidR="00F047EB">
              <w:rPr>
                <w:rFonts w:cs="Arial"/>
                <w:sz w:val="22"/>
                <w:szCs w:val="22"/>
              </w:rPr>
              <w:t>raised the con</w:t>
            </w:r>
            <w:r w:rsidR="009F1169">
              <w:rPr>
                <w:rFonts w:cs="Arial"/>
                <w:sz w:val="22"/>
                <w:szCs w:val="22"/>
              </w:rPr>
              <w:t>cern that there are equity and T</w:t>
            </w:r>
            <w:r w:rsidR="00F047EB">
              <w:rPr>
                <w:rFonts w:cs="Arial"/>
                <w:sz w:val="22"/>
                <w:szCs w:val="22"/>
              </w:rPr>
              <w:t xml:space="preserve">reaty issues around </w:t>
            </w:r>
            <w:r w:rsidR="00BF0A6B">
              <w:rPr>
                <w:rFonts w:cs="Arial"/>
                <w:sz w:val="22"/>
                <w:szCs w:val="22"/>
              </w:rPr>
              <w:t xml:space="preserve">not allowing people with drug convictions to apply for a licence. </w:t>
            </w:r>
          </w:p>
          <w:p w:rsidR="00CD4E67" w:rsidRDefault="00CD4E67" w:rsidP="00883BA4">
            <w:pPr>
              <w:tabs>
                <w:tab w:val="right" w:leader="underscore" w:pos="5670"/>
                <w:tab w:val="left" w:pos="6237"/>
              </w:tabs>
              <w:rPr>
                <w:rFonts w:cs="Arial"/>
                <w:sz w:val="22"/>
                <w:szCs w:val="22"/>
              </w:rPr>
            </w:pPr>
          </w:p>
          <w:p w:rsidR="00692871" w:rsidRPr="00CF3DA3" w:rsidRDefault="00CF3DA3" w:rsidP="00B31BC0">
            <w:pPr>
              <w:tabs>
                <w:tab w:val="right" w:leader="underscore" w:pos="5670"/>
                <w:tab w:val="left" w:pos="6237"/>
              </w:tabs>
              <w:spacing w:after="18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The Secretariat advised that</w:t>
            </w:r>
            <w:r w:rsidR="00705416">
              <w:rPr>
                <w:rFonts w:cs="Arial"/>
                <w:sz w:val="22"/>
                <w:szCs w:val="22"/>
              </w:rPr>
              <w:t xml:space="preserve"> </w:t>
            </w:r>
            <w:r w:rsidR="0007733C">
              <w:rPr>
                <w:rFonts w:cs="Arial"/>
                <w:sz w:val="22"/>
                <w:szCs w:val="22"/>
              </w:rPr>
              <w:t>people with drug con</w:t>
            </w:r>
            <w:r w:rsidR="00705416">
              <w:rPr>
                <w:rFonts w:cs="Arial"/>
                <w:sz w:val="22"/>
                <w:szCs w:val="22"/>
              </w:rPr>
              <w:t>victions could apply for a licen</w:t>
            </w:r>
            <w:r w:rsidR="0007733C">
              <w:rPr>
                <w:rFonts w:cs="Arial"/>
                <w:sz w:val="22"/>
                <w:szCs w:val="22"/>
              </w:rPr>
              <w:t>ce</w:t>
            </w:r>
            <w:r w:rsidR="00705416">
              <w:rPr>
                <w:rFonts w:cs="Arial"/>
                <w:sz w:val="22"/>
                <w:szCs w:val="22"/>
              </w:rPr>
              <w:t>, but</w:t>
            </w:r>
            <w:r w:rsidR="0007733C">
              <w:rPr>
                <w:rFonts w:cs="Arial"/>
                <w:sz w:val="22"/>
                <w:szCs w:val="22"/>
              </w:rPr>
              <w:t xml:space="preserve"> the granting of a licence is at the Minister’s discretion. </w:t>
            </w:r>
          </w:p>
        </w:tc>
      </w:tr>
      <w:tr w:rsidR="001F060D" w:rsidRPr="001F060D" w:rsidTr="00B31BC0">
        <w:trPr>
          <w:trHeight w:val="1576"/>
        </w:trPr>
        <w:tc>
          <w:tcPr>
            <w:tcW w:w="810" w:type="dxa"/>
          </w:tcPr>
          <w:p w:rsidR="001F060D" w:rsidRPr="00B31BC0" w:rsidRDefault="00B31BC0" w:rsidP="00B31BC0">
            <w:pPr>
              <w:tabs>
                <w:tab w:val="right" w:leader="underscore" w:pos="5670"/>
                <w:tab w:val="left" w:pos="6237"/>
              </w:tabs>
              <w:rPr>
                <w:rFonts w:cs="Arial"/>
                <w:b/>
                <w:sz w:val="22"/>
                <w:szCs w:val="22"/>
              </w:rPr>
            </w:pPr>
            <w:bookmarkStart w:id="0" w:name="_GoBack"/>
            <w:r>
              <w:rPr>
                <w:rFonts w:cs="Arial"/>
                <w:b/>
                <w:sz w:val="22"/>
                <w:szCs w:val="22"/>
              </w:rPr>
              <w:t>5</w:t>
            </w:r>
          </w:p>
        </w:tc>
        <w:tc>
          <w:tcPr>
            <w:tcW w:w="9180" w:type="dxa"/>
          </w:tcPr>
          <w:p w:rsidR="001F060D" w:rsidRPr="001F060D" w:rsidRDefault="001F060D" w:rsidP="00B31BC0">
            <w:pPr>
              <w:tabs>
                <w:tab w:val="right" w:leader="underscore" w:pos="5670"/>
                <w:tab w:val="left" w:pos="6237"/>
              </w:tabs>
              <w:spacing w:before="60" w:after="180"/>
              <w:rPr>
                <w:rFonts w:cs="Arial"/>
                <w:b/>
                <w:sz w:val="22"/>
                <w:szCs w:val="22"/>
              </w:rPr>
            </w:pPr>
            <w:r w:rsidRPr="001F060D">
              <w:rPr>
                <w:rFonts w:cs="Arial"/>
                <w:b/>
                <w:sz w:val="22"/>
                <w:szCs w:val="22"/>
              </w:rPr>
              <w:t>Distribution Options</w:t>
            </w:r>
          </w:p>
          <w:p w:rsidR="00692871" w:rsidRDefault="00C90B94" w:rsidP="00883BA4">
            <w:pPr>
              <w:tabs>
                <w:tab w:val="right" w:leader="underscore" w:pos="5670"/>
                <w:tab w:val="left" w:pos="6237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Some members of t</w:t>
            </w:r>
            <w:r w:rsidR="00692871">
              <w:rPr>
                <w:rFonts w:cs="Arial"/>
                <w:sz w:val="22"/>
                <w:szCs w:val="22"/>
              </w:rPr>
              <w:t xml:space="preserve">he Advisory Group noted that some pharmacies have large </w:t>
            </w:r>
            <w:r w:rsidR="00985CEA">
              <w:rPr>
                <w:rFonts w:cs="Arial"/>
                <w:sz w:val="22"/>
                <w:szCs w:val="22"/>
              </w:rPr>
              <w:t>mark-ups</w:t>
            </w:r>
            <w:r w:rsidR="00692871">
              <w:rPr>
                <w:rFonts w:cs="Arial"/>
                <w:sz w:val="22"/>
                <w:szCs w:val="22"/>
              </w:rPr>
              <w:t xml:space="preserve"> on </w:t>
            </w:r>
            <w:r w:rsidR="00F821D6">
              <w:rPr>
                <w:rFonts w:cs="Arial"/>
                <w:sz w:val="22"/>
                <w:szCs w:val="22"/>
              </w:rPr>
              <w:t xml:space="preserve">unfunded and over-the-counter </w:t>
            </w:r>
            <w:r w:rsidR="00692871">
              <w:rPr>
                <w:rFonts w:cs="Arial"/>
                <w:sz w:val="22"/>
                <w:szCs w:val="22"/>
              </w:rPr>
              <w:t>prescription medications</w:t>
            </w:r>
            <w:r w:rsidR="009A7868">
              <w:rPr>
                <w:rFonts w:cs="Arial"/>
                <w:sz w:val="22"/>
                <w:szCs w:val="22"/>
              </w:rPr>
              <w:t>,</w:t>
            </w:r>
            <w:r w:rsidR="00692871">
              <w:rPr>
                <w:rFonts w:cs="Arial"/>
                <w:sz w:val="22"/>
                <w:szCs w:val="22"/>
              </w:rPr>
              <w:t xml:space="preserve"> which </w:t>
            </w:r>
            <w:r w:rsidR="00F047EB">
              <w:rPr>
                <w:rFonts w:cs="Arial"/>
                <w:sz w:val="22"/>
                <w:szCs w:val="22"/>
              </w:rPr>
              <w:t>creates</w:t>
            </w:r>
            <w:r w:rsidR="00985CEA">
              <w:rPr>
                <w:rFonts w:cs="Arial"/>
                <w:sz w:val="22"/>
                <w:szCs w:val="22"/>
              </w:rPr>
              <w:t xml:space="preserve"> </w:t>
            </w:r>
            <w:r w:rsidR="00F047EB">
              <w:rPr>
                <w:rFonts w:cs="Arial"/>
                <w:sz w:val="22"/>
                <w:szCs w:val="22"/>
              </w:rPr>
              <w:t xml:space="preserve">further </w:t>
            </w:r>
            <w:r w:rsidR="00985CEA">
              <w:rPr>
                <w:rFonts w:cs="Arial"/>
                <w:sz w:val="22"/>
                <w:szCs w:val="22"/>
              </w:rPr>
              <w:t>equity of access</w:t>
            </w:r>
            <w:r w:rsidR="00F047EB">
              <w:rPr>
                <w:rFonts w:cs="Arial"/>
                <w:sz w:val="22"/>
                <w:szCs w:val="22"/>
              </w:rPr>
              <w:t xml:space="preserve"> issues</w:t>
            </w:r>
            <w:r w:rsidR="00985CEA">
              <w:rPr>
                <w:rFonts w:cs="Arial"/>
                <w:sz w:val="22"/>
                <w:szCs w:val="22"/>
              </w:rPr>
              <w:t xml:space="preserve">. </w:t>
            </w:r>
            <w:r w:rsidR="008E6B0B">
              <w:rPr>
                <w:rFonts w:cs="Arial"/>
                <w:sz w:val="22"/>
                <w:szCs w:val="22"/>
              </w:rPr>
              <w:t xml:space="preserve">The Advisory Group also noted </w:t>
            </w:r>
            <w:r w:rsidR="00985CEA">
              <w:rPr>
                <w:rFonts w:cs="Arial"/>
                <w:sz w:val="22"/>
                <w:szCs w:val="22"/>
              </w:rPr>
              <w:t xml:space="preserve">that in Canada </w:t>
            </w:r>
            <w:r w:rsidR="001913F4" w:rsidRPr="003204EE">
              <w:rPr>
                <w:rFonts w:cs="Arial"/>
                <w:sz w:val="22"/>
                <w:szCs w:val="22"/>
              </w:rPr>
              <w:t>pr</w:t>
            </w:r>
            <w:r w:rsidR="003204EE" w:rsidRPr="003204EE">
              <w:rPr>
                <w:rFonts w:cs="Arial"/>
                <w:sz w:val="22"/>
                <w:szCs w:val="22"/>
              </w:rPr>
              <w:t>oducts</w:t>
            </w:r>
            <w:r w:rsidR="00692871" w:rsidRPr="003204EE">
              <w:rPr>
                <w:rFonts w:cs="Arial"/>
                <w:sz w:val="22"/>
                <w:szCs w:val="22"/>
              </w:rPr>
              <w:t xml:space="preserve"> </w:t>
            </w:r>
            <w:r w:rsidR="00F047EB" w:rsidRPr="003204EE">
              <w:rPr>
                <w:rFonts w:cs="Arial"/>
                <w:sz w:val="22"/>
                <w:szCs w:val="22"/>
              </w:rPr>
              <w:t xml:space="preserve">can be obtained </w:t>
            </w:r>
            <w:r w:rsidR="00985CEA" w:rsidRPr="003204EE">
              <w:rPr>
                <w:rFonts w:cs="Arial"/>
                <w:sz w:val="22"/>
                <w:szCs w:val="22"/>
              </w:rPr>
              <w:t xml:space="preserve">directly from the </w:t>
            </w:r>
            <w:r w:rsidR="003204EE" w:rsidRPr="003204EE">
              <w:rPr>
                <w:rFonts w:cs="Arial"/>
                <w:sz w:val="22"/>
                <w:szCs w:val="22"/>
              </w:rPr>
              <w:t>producer</w:t>
            </w:r>
            <w:r w:rsidR="00985CEA" w:rsidRPr="003204EE">
              <w:rPr>
                <w:rFonts w:cs="Arial"/>
                <w:sz w:val="22"/>
                <w:szCs w:val="22"/>
              </w:rPr>
              <w:t xml:space="preserve"> </w:t>
            </w:r>
            <w:r w:rsidR="00F821D6">
              <w:rPr>
                <w:rFonts w:cs="Arial"/>
                <w:sz w:val="22"/>
                <w:szCs w:val="22"/>
              </w:rPr>
              <w:t xml:space="preserve">or an online pharmacy </w:t>
            </w:r>
            <w:r w:rsidR="00985CEA" w:rsidRPr="003204EE">
              <w:rPr>
                <w:rFonts w:cs="Arial"/>
                <w:sz w:val="22"/>
                <w:szCs w:val="22"/>
              </w:rPr>
              <w:t xml:space="preserve">and that </w:t>
            </w:r>
            <w:r w:rsidR="008E6B0B" w:rsidRPr="003204EE">
              <w:rPr>
                <w:rFonts w:cs="Arial"/>
                <w:sz w:val="22"/>
                <w:szCs w:val="22"/>
              </w:rPr>
              <w:t>th</w:t>
            </w:r>
            <w:r w:rsidR="00F821D6">
              <w:rPr>
                <w:rFonts w:cs="Arial"/>
                <w:sz w:val="22"/>
                <w:szCs w:val="22"/>
              </w:rPr>
              <w:t>ese</w:t>
            </w:r>
            <w:r w:rsidR="008E6B0B" w:rsidRPr="003204EE">
              <w:rPr>
                <w:rFonts w:cs="Arial"/>
                <w:sz w:val="22"/>
                <w:szCs w:val="22"/>
              </w:rPr>
              <w:t xml:space="preserve"> </w:t>
            </w:r>
            <w:r w:rsidR="00985CEA" w:rsidRPr="003204EE">
              <w:rPr>
                <w:rFonts w:cs="Arial"/>
                <w:sz w:val="22"/>
                <w:szCs w:val="22"/>
              </w:rPr>
              <w:t>option</w:t>
            </w:r>
            <w:r w:rsidR="00F821D6">
              <w:rPr>
                <w:rFonts w:cs="Arial"/>
                <w:sz w:val="22"/>
                <w:szCs w:val="22"/>
              </w:rPr>
              <w:t>s</w:t>
            </w:r>
            <w:r w:rsidR="00985CEA" w:rsidRPr="003204EE">
              <w:rPr>
                <w:rFonts w:cs="Arial"/>
                <w:sz w:val="22"/>
                <w:szCs w:val="22"/>
              </w:rPr>
              <w:t xml:space="preserve"> should be presented</w:t>
            </w:r>
            <w:r w:rsidR="00BF0A6B">
              <w:rPr>
                <w:rFonts w:cs="Arial"/>
                <w:sz w:val="22"/>
                <w:szCs w:val="22"/>
              </w:rPr>
              <w:t>.</w:t>
            </w:r>
          </w:p>
          <w:p w:rsidR="00BC1689" w:rsidRDefault="00BC1689" w:rsidP="00883BA4">
            <w:pPr>
              <w:tabs>
                <w:tab w:val="right" w:leader="underscore" w:pos="5670"/>
                <w:tab w:val="left" w:pos="6237"/>
              </w:tabs>
              <w:rPr>
                <w:rFonts w:cs="Arial"/>
                <w:sz w:val="22"/>
                <w:szCs w:val="22"/>
              </w:rPr>
            </w:pPr>
          </w:p>
          <w:p w:rsidR="002C27AC" w:rsidRPr="00705416" w:rsidRDefault="00C90B94" w:rsidP="00C90B94">
            <w:pPr>
              <w:tabs>
                <w:tab w:val="right" w:leader="underscore" w:pos="5670"/>
                <w:tab w:val="left" w:pos="6237"/>
              </w:tabs>
              <w:spacing w:after="18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Other members of t</w:t>
            </w:r>
            <w:r w:rsidR="0095024B">
              <w:rPr>
                <w:rFonts w:cs="Arial"/>
                <w:sz w:val="22"/>
                <w:szCs w:val="22"/>
              </w:rPr>
              <w:t>he Advisory Group supported the idea of</w:t>
            </w:r>
            <w:r w:rsidR="00BC1689">
              <w:rPr>
                <w:rFonts w:cs="Arial"/>
                <w:sz w:val="22"/>
                <w:szCs w:val="22"/>
              </w:rPr>
              <w:t xml:space="preserve"> </w:t>
            </w:r>
            <w:r w:rsidR="00407291">
              <w:rPr>
                <w:rFonts w:cs="Arial"/>
                <w:sz w:val="22"/>
                <w:szCs w:val="22"/>
              </w:rPr>
              <w:t xml:space="preserve">the requirement for </w:t>
            </w:r>
            <w:r w:rsidR="00BC1689">
              <w:rPr>
                <w:rFonts w:cs="Arial"/>
                <w:sz w:val="22"/>
                <w:szCs w:val="22"/>
              </w:rPr>
              <w:t>prescription</w:t>
            </w:r>
            <w:r w:rsidR="0095024B">
              <w:rPr>
                <w:rFonts w:cs="Arial"/>
                <w:sz w:val="22"/>
                <w:szCs w:val="22"/>
              </w:rPr>
              <w:t>s for medicinal cannabis products</w:t>
            </w:r>
            <w:r w:rsidR="00407291">
              <w:rPr>
                <w:rFonts w:cs="Arial"/>
                <w:sz w:val="22"/>
                <w:szCs w:val="22"/>
              </w:rPr>
              <w:t>, and products only</w:t>
            </w:r>
            <w:r w:rsidR="00BC1689">
              <w:rPr>
                <w:rFonts w:cs="Arial"/>
                <w:sz w:val="22"/>
                <w:szCs w:val="22"/>
              </w:rPr>
              <w:t xml:space="preserve"> bei</w:t>
            </w:r>
            <w:r w:rsidR="0095024B">
              <w:rPr>
                <w:rFonts w:cs="Arial"/>
                <w:sz w:val="22"/>
                <w:szCs w:val="22"/>
              </w:rPr>
              <w:t>ng available through pharmacies</w:t>
            </w:r>
            <w:r w:rsidR="00363E91">
              <w:rPr>
                <w:rFonts w:cs="Arial"/>
                <w:sz w:val="22"/>
                <w:szCs w:val="22"/>
              </w:rPr>
              <w:t>.</w:t>
            </w:r>
            <w:r w:rsidR="0095024B">
              <w:rPr>
                <w:rFonts w:cs="Arial"/>
                <w:sz w:val="22"/>
                <w:szCs w:val="22"/>
              </w:rPr>
              <w:t xml:space="preserve"> The Advisory group agreed that there is a</w:t>
            </w:r>
            <w:r w:rsidR="00BC1689">
              <w:rPr>
                <w:rFonts w:cs="Arial"/>
                <w:sz w:val="22"/>
                <w:szCs w:val="22"/>
              </w:rPr>
              <w:t xml:space="preserve">n overriding equity </w:t>
            </w:r>
            <w:r w:rsidR="0095024B">
              <w:rPr>
                <w:rFonts w:cs="Arial"/>
                <w:sz w:val="22"/>
                <w:szCs w:val="22"/>
              </w:rPr>
              <w:t xml:space="preserve">issue </w:t>
            </w:r>
            <w:r w:rsidR="00BC1689">
              <w:rPr>
                <w:rFonts w:cs="Arial"/>
                <w:sz w:val="22"/>
                <w:szCs w:val="22"/>
              </w:rPr>
              <w:t xml:space="preserve">that high </w:t>
            </w:r>
            <w:r w:rsidR="0095024B">
              <w:rPr>
                <w:rFonts w:cs="Arial"/>
                <w:sz w:val="22"/>
                <w:szCs w:val="22"/>
              </w:rPr>
              <w:t>mark-ups</w:t>
            </w:r>
            <w:r w:rsidR="00BC1689">
              <w:rPr>
                <w:rFonts w:cs="Arial"/>
                <w:sz w:val="22"/>
                <w:szCs w:val="22"/>
              </w:rPr>
              <w:t xml:space="preserve"> </w:t>
            </w:r>
            <w:r w:rsidR="0095024B">
              <w:rPr>
                <w:rFonts w:cs="Arial"/>
                <w:sz w:val="22"/>
                <w:szCs w:val="22"/>
              </w:rPr>
              <w:t>from pharmacies is likely to</w:t>
            </w:r>
            <w:r w:rsidR="00BC1689">
              <w:rPr>
                <w:rFonts w:cs="Arial"/>
                <w:sz w:val="22"/>
                <w:szCs w:val="22"/>
              </w:rPr>
              <w:t xml:space="preserve"> be a barrier</w:t>
            </w:r>
            <w:r w:rsidR="0095024B">
              <w:rPr>
                <w:rFonts w:cs="Arial"/>
                <w:sz w:val="22"/>
                <w:szCs w:val="22"/>
              </w:rPr>
              <w:t xml:space="preserve"> for patients</w:t>
            </w:r>
            <w:r w:rsidR="00BC1689">
              <w:rPr>
                <w:rFonts w:cs="Arial"/>
                <w:sz w:val="22"/>
                <w:szCs w:val="22"/>
              </w:rPr>
              <w:t>.</w:t>
            </w:r>
          </w:p>
        </w:tc>
      </w:tr>
      <w:bookmarkEnd w:id="0"/>
      <w:tr w:rsidR="001F060D" w:rsidRPr="001F060D" w:rsidTr="00B31BC0">
        <w:trPr>
          <w:trHeight w:val="1576"/>
        </w:trPr>
        <w:tc>
          <w:tcPr>
            <w:tcW w:w="810" w:type="dxa"/>
          </w:tcPr>
          <w:p w:rsidR="001F060D" w:rsidRPr="00B31BC0" w:rsidRDefault="00B31BC0" w:rsidP="00B31BC0">
            <w:pPr>
              <w:tabs>
                <w:tab w:val="right" w:leader="underscore" w:pos="5670"/>
                <w:tab w:val="left" w:pos="6237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</w:t>
            </w:r>
          </w:p>
        </w:tc>
        <w:tc>
          <w:tcPr>
            <w:tcW w:w="9180" w:type="dxa"/>
          </w:tcPr>
          <w:p w:rsidR="001F060D" w:rsidRDefault="00F11CA4" w:rsidP="00B31BC0">
            <w:pPr>
              <w:tabs>
                <w:tab w:val="right" w:leader="underscore" w:pos="5670"/>
                <w:tab w:val="left" w:pos="6237"/>
              </w:tabs>
              <w:spacing w:before="60" w:after="180"/>
              <w:rPr>
                <w:rFonts w:cs="Arial"/>
                <w:b/>
                <w:sz w:val="22"/>
                <w:szCs w:val="22"/>
              </w:rPr>
            </w:pPr>
            <w:r w:rsidRPr="001F060D">
              <w:rPr>
                <w:rFonts w:cs="Arial"/>
                <w:b/>
                <w:sz w:val="22"/>
                <w:szCs w:val="22"/>
              </w:rPr>
              <w:t>Prescri</w:t>
            </w:r>
            <w:r>
              <w:rPr>
                <w:rFonts w:cs="Arial"/>
                <w:b/>
                <w:sz w:val="22"/>
                <w:szCs w:val="22"/>
              </w:rPr>
              <w:t>bing</w:t>
            </w:r>
            <w:r w:rsidRPr="001F060D">
              <w:rPr>
                <w:rFonts w:cs="Arial"/>
                <w:b/>
                <w:sz w:val="22"/>
                <w:szCs w:val="22"/>
              </w:rPr>
              <w:t xml:space="preserve"> </w:t>
            </w:r>
            <w:r w:rsidR="001F060D" w:rsidRPr="001F060D">
              <w:rPr>
                <w:rFonts w:cs="Arial"/>
                <w:b/>
                <w:sz w:val="22"/>
                <w:szCs w:val="22"/>
              </w:rPr>
              <w:t>Requirements</w:t>
            </w:r>
          </w:p>
          <w:p w:rsidR="00BC1689" w:rsidRDefault="0095024B" w:rsidP="00883BA4">
            <w:pPr>
              <w:tabs>
                <w:tab w:val="right" w:leader="underscore" w:pos="5670"/>
                <w:tab w:val="left" w:pos="6237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The </w:t>
            </w:r>
            <w:r w:rsidR="00BC1689">
              <w:rPr>
                <w:rFonts w:cs="Arial"/>
                <w:sz w:val="22"/>
                <w:szCs w:val="22"/>
              </w:rPr>
              <w:t>A</w:t>
            </w:r>
            <w:r>
              <w:rPr>
                <w:rFonts w:cs="Arial"/>
                <w:sz w:val="22"/>
                <w:szCs w:val="22"/>
              </w:rPr>
              <w:t>dvisory G</w:t>
            </w:r>
            <w:r w:rsidR="00BC1689">
              <w:rPr>
                <w:rFonts w:cs="Arial"/>
                <w:sz w:val="22"/>
                <w:szCs w:val="22"/>
              </w:rPr>
              <w:t xml:space="preserve">roup noted that </w:t>
            </w:r>
            <w:r w:rsidR="00CD32AC">
              <w:rPr>
                <w:rFonts w:cs="Arial"/>
                <w:sz w:val="22"/>
                <w:szCs w:val="22"/>
              </w:rPr>
              <w:t>the C</w:t>
            </w:r>
            <w:r>
              <w:rPr>
                <w:rFonts w:cs="Arial"/>
                <w:sz w:val="22"/>
                <w:szCs w:val="22"/>
              </w:rPr>
              <w:t>onsultation</w:t>
            </w:r>
            <w:r w:rsidR="00CD32AC">
              <w:rPr>
                <w:rFonts w:cs="Arial"/>
                <w:sz w:val="22"/>
                <w:szCs w:val="22"/>
              </w:rPr>
              <w:t xml:space="preserve"> D</w:t>
            </w:r>
            <w:r>
              <w:rPr>
                <w:rFonts w:cs="Arial"/>
                <w:sz w:val="22"/>
                <w:szCs w:val="22"/>
              </w:rPr>
              <w:t>ocument currently</w:t>
            </w:r>
            <w:r w:rsidR="00BC1689">
              <w:rPr>
                <w:rFonts w:cs="Arial"/>
                <w:sz w:val="22"/>
                <w:szCs w:val="22"/>
              </w:rPr>
              <w:t xml:space="preserve"> doesn’t give </w:t>
            </w:r>
            <w:r w:rsidR="007279AA">
              <w:rPr>
                <w:rFonts w:cs="Arial"/>
                <w:sz w:val="22"/>
                <w:szCs w:val="22"/>
              </w:rPr>
              <w:t xml:space="preserve">the advantages and disadvantages of the </w:t>
            </w:r>
            <w:r w:rsidR="00407291">
              <w:rPr>
                <w:rFonts w:cs="Arial"/>
                <w:sz w:val="22"/>
                <w:szCs w:val="22"/>
              </w:rPr>
              <w:t xml:space="preserve">current </w:t>
            </w:r>
            <w:r w:rsidR="008E6B0B">
              <w:rPr>
                <w:rFonts w:cs="Arial"/>
                <w:sz w:val="22"/>
                <w:szCs w:val="22"/>
              </w:rPr>
              <w:t>requirement</w:t>
            </w:r>
            <w:r w:rsidR="0067671F">
              <w:rPr>
                <w:rFonts w:cs="Arial"/>
                <w:sz w:val="22"/>
                <w:szCs w:val="22"/>
              </w:rPr>
              <w:t>s</w:t>
            </w:r>
            <w:r w:rsidR="00AD4FD4">
              <w:rPr>
                <w:rFonts w:cs="Arial"/>
                <w:sz w:val="22"/>
                <w:szCs w:val="22"/>
              </w:rPr>
              <w:t xml:space="preserve"> for</w:t>
            </w:r>
            <w:r w:rsidR="007279AA">
              <w:rPr>
                <w:rFonts w:cs="Arial"/>
                <w:sz w:val="22"/>
                <w:szCs w:val="22"/>
              </w:rPr>
              <w:t xml:space="preserve"> approval from the Ministry of Health to prescribe unapproved medicines and</w:t>
            </w:r>
            <w:r>
              <w:rPr>
                <w:rFonts w:cs="Arial"/>
                <w:sz w:val="22"/>
                <w:szCs w:val="22"/>
              </w:rPr>
              <w:t xml:space="preserve"> a </w:t>
            </w:r>
            <w:r w:rsidR="007279AA">
              <w:rPr>
                <w:rFonts w:cs="Arial"/>
                <w:sz w:val="22"/>
                <w:szCs w:val="22"/>
              </w:rPr>
              <w:t>prescription from a specialist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:rsidR="00E7368B" w:rsidRDefault="00E7368B" w:rsidP="00883BA4">
            <w:pPr>
              <w:tabs>
                <w:tab w:val="right" w:leader="underscore" w:pos="5670"/>
                <w:tab w:val="left" w:pos="6237"/>
              </w:tabs>
              <w:rPr>
                <w:rFonts w:cs="Arial"/>
                <w:sz w:val="22"/>
                <w:szCs w:val="22"/>
              </w:rPr>
            </w:pPr>
          </w:p>
          <w:p w:rsidR="00F768FE" w:rsidRDefault="00E7368B" w:rsidP="00883BA4">
            <w:pPr>
              <w:tabs>
                <w:tab w:val="right" w:leader="underscore" w:pos="5670"/>
                <w:tab w:val="left" w:pos="6237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The </w:t>
            </w:r>
            <w:r w:rsidR="00F543BA">
              <w:rPr>
                <w:rFonts w:cs="Arial"/>
                <w:sz w:val="22"/>
                <w:szCs w:val="22"/>
              </w:rPr>
              <w:t xml:space="preserve">Advisory </w:t>
            </w:r>
            <w:r>
              <w:rPr>
                <w:rFonts w:cs="Arial"/>
                <w:sz w:val="22"/>
                <w:szCs w:val="22"/>
              </w:rPr>
              <w:t xml:space="preserve">Group </w:t>
            </w:r>
            <w:r w:rsidR="002C27AC">
              <w:rPr>
                <w:rFonts w:cs="Arial"/>
                <w:sz w:val="22"/>
                <w:szCs w:val="22"/>
              </w:rPr>
              <w:t xml:space="preserve">advised </w:t>
            </w:r>
            <w:r w:rsidR="00347444">
              <w:rPr>
                <w:rFonts w:cs="Arial"/>
                <w:sz w:val="22"/>
                <w:szCs w:val="22"/>
              </w:rPr>
              <w:t xml:space="preserve">that </w:t>
            </w:r>
            <w:r>
              <w:rPr>
                <w:rFonts w:cs="Arial"/>
                <w:sz w:val="22"/>
                <w:szCs w:val="22"/>
              </w:rPr>
              <w:t>the process for Ministerial Approval is long and present</w:t>
            </w:r>
            <w:r w:rsidR="00DA4EC6">
              <w:rPr>
                <w:rFonts w:cs="Arial"/>
                <w:sz w:val="22"/>
                <w:szCs w:val="22"/>
              </w:rPr>
              <w:t>s</w:t>
            </w:r>
            <w:r>
              <w:rPr>
                <w:rFonts w:cs="Arial"/>
                <w:sz w:val="22"/>
                <w:szCs w:val="22"/>
              </w:rPr>
              <w:t xml:space="preserve"> a </w:t>
            </w:r>
            <w:r w:rsidR="00407291">
              <w:rPr>
                <w:rFonts w:cs="Arial"/>
                <w:sz w:val="22"/>
                <w:szCs w:val="22"/>
              </w:rPr>
              <w:t>significant</w:t>
            </w:r>
            <w:r>
              <w:rPr>
                <w:rFonts w:cs="Arial"/>
                <w:sz w:val="22"/>
                <w:szCs w:val="22"/>
              </w:rPr>
              <w:t xml:space="preserve"> barrier to patient access. </w:t>
            </w:r>
            <w:r w:rsidR="00F768FE">
              <w:rPr>
                <w:rFonts w:cs="Arial"/>
                <w:sz w:val="22"/>
                <w:szCs w:val="22"/>
              </w:rPr>
              <w:t>Some members of the Advisory Group discussed controlled drug prescription requirements and how current prescribing requirements (i.e., writing the prescription on a controlled drug triplicate form) may be another barrier f</w:t>
            </w:r>
            <w:r w:rsidR="00A37833">
              <w:rPr>
                <w:rFonts w:cs="Arial"/>
                <w:sz w:val="22"/>
                <w:szCs w:val="22"/>
              </w:rPr>
              <w:t>or prescribers, limiting quantity</w:t>
            </w:r>
            <w:r w:rsidR="00F768FE">
              <w:rPr>
                <w:rFonts w:cs="Arial"/>
                <w:sz w:val="22"/>
                <w:szCs w:val="22"/>
              </w:rPr>
              <w:t xml:space="preserve"> of supply and therefore adding cost to patients.</w:t>
            </w:r>
          </w:p>
          <w:p w:rsidR="00627FE5" w:rsidRDefault="00627FE5" w:rsidP="00883BA4">
            <w:pPr>
              <w:tabs>
                <w:tab w:val="right" w:leader="underscore" w:pos="5670"/>
                <w:tab w:val="left" w:pos="6237"/>
              </w:tabs>
              <w:rPr>
                <w:rFonts w:cs="Arial"/>
                <w:sz w:val="22"/>
                <w:szCs w:val="22"/>
              </w:rPr>
            </w:pPr>
          </w:p>
          <w:p w:rsidR="00E422E0" w:rsidRDefault="00627FE5" w:rsidP="00883BA4">
            <w:pPr>
              <w:tabs>
                <w:tab w:val="right" w:leader="underscore" w:pos="5670"/>
                <w:tab w:val="left" w:pos="6237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The Advisory Group </w:t>
            </w:r>
            <w:r w:rsidR="00430DC5">
              <w:rPr>
                <w:rFonts w:cs="Arial"/>
                <w:sz w:val="22"/>
                <w:szCs w:val="22"/>
              </w:rPr>
              <w:t xml:space="preserve">agreed that they </w:t>
            </w:r>
            <w:r>
              <w:rPr>
                <w:rFonts w:cs="Arial"/>
                <w:sz w:val="22"/>
                <w:szCs w:val="22"/>
              </w:rPr>
              <w:t xml:space="preserve">would like </w:t>
            </w:r>
            <w:r w:rsidR="00CD32AC">
              <w:rPr>
                <w:rFonts w:cs="Arial"/>
                <w:sz w:val="22"/>
                <w:szCs w:val="22"/>
              </w:rPr>
              <w:t>a system similar to the [PHARMAC</w:t>
            </w:r>
            <w:r w:rsidR="00F543BA">
              <w:rPr>
                <w:rFonts w:cs="Arial"/>
                <w:sz w:val="22"/>
                <w:szCs w:val="22"/>
              </w:rPr>
              <w:t xml:space="preserve">] </w:t>
            </w:r>
            <w:r w:rsidR="00F821D6">
              <w:rPr>
                <w:rFonts w:cs="Arial"/>
                <w:sz w:val="22"/>
                <w:szCs w:val="22"/>
              </w:rPr>
              <w:t xml:space="preserve">electronic </w:t>
            </w:r>
            <w:r>
              <w:rPr>
                <w:rFonts w:cs="Arial"/>
                <w:sz w:val="22"/>
                <w:szCs w:val="22"/>
              </w:rPr>
              <w:t xml:space="preserve">Special Authority </w:t>
            </w:r>
            <w:r w:rsidR="00BF0A6B">
              <w:rPr>
                <w:rFonts w:cs="Arial"/>
                <w:sz w:val="22"/>
                <w:szCs w:val="22"/>
              </w:rPr>
              <w:t xml:space="preserve">process </w:t>
            </w:r>
            <w:r w:rsidR="00F821D6">
              <w:rPr>
                <w:rFonts w:cs="Arial"/>
                <w:sz w:val="22"/>
                <w:szCs w:val="22"/>
              </w:rPr>
              <w:t xml:space="preserve">to approve </w:t>
            </w:r>
            <w:r>
              <w:rPr>
                <w:rFonts w:cs="Arial"/>
                <w:sz w:val="22"/>
                <w:szCs w:val="22"/>
              </w:rPr>
              <w:t>medicinal cannabis products</w:t>
            </w:r>
            <w:r w:rsidR="00F821D6">
              <w:rPr>
                <w:rFonts w:cs="Arial"/>
                <w:sz w:val="22"/>
                <w:szCs w:val="22"/>
              </w:rPr>
              <w:t>. The system is immediate and approves specific prescribers to prescribe for specific patients and conditions.  This also creates a prospective database and register of prescribers and consumers for post-market active surveillance</w:t>
            </w:r>
            <w:r w:rsidR="00D36760">
              <w:rPr>
                <w:rFonts w:cs="Arial"/>
                <w:sz w:val="22"/>
                <w:szCs w:val="22"/>
              </w:rPr>
              <w:t xml:space="preserve"> (see 7 below)</w:t>
            </w:r>
            <w:r w:rsidR="00F821D6">
              <w:rPr>
                <w:rFonts w:cs="Arial"/>
                <w:sz w:val="22"/>
                <w:szCs w:val="22"/>
              </w:rPr>
              <w:t xml:space="preserve">. </w:t>
            </w:r>
            <w:r w:rsidR="007279AA">
              <w:rPr>
                <w:rFonts w:cs="Arial"/>
                <w:sz w:val="22"/>
                <w:szCs w:val="22"/>
              </w:rPr>
              <w:t xml:space="preserve"> </w:t>
            </w:r>
            <w:r w:rsidR="00F821D6">
              <w:rPr>
                <w:rFonts w:cs="Arial"/>
                <w:sz w:val="22"/>
                <w:szCs w:val="22"/>
              </w:rPr>
              <w:t xml:space="preserve">This would be superior to </w:t>
            </w:r>
            <w:r w:rsidR="00407291">
              <w:rPr>
                <w:rFonts w:cs="Arial"/>
                <w:sz w:val="22"/>
                <w:szCs w:val="22"/>
              </w:rPr>
              <w:t>M</w:t>
            </w:r>
            <w:r w:rsidR="009A7868">
              <w:rPr>
                <w:rFonts w:cs="Arial"/>
                <w:sz w:val="22"/>
                <w:szCs w:val="22"/>
              </w:rPr>
              <w:t xml:space="preserve">inistry </w:t>
            </w:r>
            <w:r w:rsidR="00407291">
              <w:rPr>
                <w:rFonts w:cs="Arial"/>
                <w:sz w:val="22"/>
                <w:szCs w:val="22"/>
              </w:rPr>
              <w:t>o</w:t>
            </w:r>
            <w:r w:rsidR="009A7868">
              <w:rPr>
                <w:rFonts w:cs="Arial"/>
                <w:sz w:val="22"/>
                <w:szCs w:val="22"/>
              </w:rPr>
              <w:t xml:space="preserve">f </w:t>
            </w:r>
            <w:r w:rsidR="00407291">
              <w:rPr>
                <w:rFonts w:cs="Arial"/>
                <w:sz w:val="22"/>
                <w:szCs w:val="22"/>
              </w:rPr>
              <w:t>H</w:t>
            </w:r>
            <w:r w:rsidR="009A7868">
              <w:rPr>
                <w:rFonts w:cs="Arial"/>
                <w:sz w:val="22"/>
                <w:szCs w:val="22"/>
              </w:rPr>
              <w:t xml:space="preserve">ealth </w:t>
            </w:r>
            <w:r w:rsidR="00407291">
              <w:rPr>
                <w:rFonts w:cs="Arial"/>
                <w:sz w:val="22"/>
                <w:szCs w:val="22"/>
              </w:rPr>
              <w:t>approval</w:t>
            </w:r>
            <w:r w:rsidR="00F821D6">
              <w:rPr>
                <w:rFonts w:cs="Arial"/>
                <w:sz w:val="22"/>
                <w:szCs w:val="22"/>
              </w:rPr>
              <w:t xml:space="preserve"> and allows restrictions on prescribing to be proportional to risk,</w:t>
            </w:r>
            <w:r>
              <w:rPr>
                <w:rFonts w:cs="Arial"/>
                <w:sz w:val="22"/>
                <w:szCs w:val="22"/>
              </w:rPr>
              <w:t xml:space="preserve"> where the risks warrant </w:t>
            </w:r>
            <w:r w:rsidR="008E6B0B">
              <w:rPr>
                <w:rFonts w:cs="Arial"/>
                <w:sz w:val="22"/>
                <w:szCs w:val="22"/>
              </w:rPr>
              <w:t>more control</w:t>
            </w:r>
            <w:r>
              <w:rPr>
                <w:rFonts w:cs="Arial"/>
                <w:sz w:val="22"/>
                <w:szCs w:val="22"/>
              </w:rPr>
              <w:t>.</w:t>
            </w:r>
            <w:r w:rsidR="00E7368B">
              <w:rPr>
                <w:rFonts w:cs="Arial"/>
                <w:sz w:val="22"/>
                <w:szCs w:val="22"/>
              </w:rPr>
              <w:t xml:space="preserve"> The Advisory Group also agreed that Ministerial Approval was a large barrier to patient access and should </w:t>
            </w:r>
            <w:r w:rsidR="008E6B0B">
              <w:rPr>
                <w:rFonts w:cs="Arial"/>
                <w:sz w:val="22"/>
                <w:szCs w:val="22"/>
              </w:rPr>
              <w:t>b</w:t>
            </w:r>
            <w:r w:rsidR="00E7368B">
              <w:rPr>
                <w:rFonts w:cs="Arial"/>
                <w:sz w:val="22"/>
                <w:szCs w:val="22"/>
              </w:rPr>
              <w:t xml:space="preserve">e removed for </w:t>
            </w:r>
            <w:r w:rsidR="008E6B0B">
              <w:rPr>
                <w:rFonts w:cs="Arial"/>
                <w:sz w:val="22"/>
                <w:szCs w:val="22"/>
              </w:rPr>
              <w:t xml:space="preserve">prescribing </w:t>
            </w:r>
            <w:r w:rsidR="00E7368B">
              <w:rPr>
                <w:rFonts w:cs="Arial"/>
                <w:sz w:val="22"/>
                <w:szCs w:val="22"/>
              </w:rPr>
              <w:t>medicinal cannabis products.</w:t>
            </w:r>
          </w:p>
          <w:p w:rsidR="000334F8" w:rsidRDefault="000334F8" w:rsidP="00883BA4">
            <w:pPr>
              <w:tabs>
                <w:tab w:val="right" w:leader="underscore" w:pos="5670"/>
                <w:tab w:val="left" w:pos="6237"/>
              </w:tabs>
              <w:rPr>
                <w:rFonts w:cs="Arial"/>
                <w:sz w:val="22"/>
                <w:szCs w:val="22"/>
              </w:rPr>
            </w:pPr>
          </w:p>
          <w:p w:rsidR="00430DC5" w:rsidRPr="00430DC5" w:rsidRDefault="00430DC5" w:rsidP="00883BA4">
            <w:pPr>
              <w:tabs>
                <w:tab w:val="right" w:leader="underscore" w:pos="5670"/>
                <w:tab w:val="left" w:pos="6237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Action:</w:t>
            </w:r>
          </w:p>
          <w:p w:rsidR="002C27AC" w:rsidRPr="00BC1689" w:rsidRDefault="00E7368B" w:rsidP="00B31BC0">
            <w:pPr>
              <w:tabs>
                <w:tab w:val="right" w:leader="underscore" w:pos="5670"/>
                <w:tab w:val="left" w:pos="6237"/>
              </w:tabs>
              <w:spacing w:after="18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Secretariat to </w:t>
            </w:r>
            <w:r w:rsidR="00BF0A6B">
              <w:rPr>
                <w:rFonts w:cs="Arial"/>
                <w:sz w:val="22"/>
                <w:szCs w:val="22"/>
              </w:rPr>
              <w:t>investigate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407291">
              <w:rPr>
                <w:rFonts w:cs="Arial"/>
                <w:sz w:val="22"/>
                <w:szCs w:val="22"/>
              </w:rPr>
              <w:t>options for</w:t>
            </w:r>
            <w:r w:rsidR="000334F8">
              <w:rPr>
                <w:rFonts w:cs="Arial"/>
                <w:sz w:val="22"/>
                <w:szCs w:val="22"/>
              </w:rPr>
              <w:t xml:space="preserve"> </w:t>
            </w:r>
            <w:r w:rsidR="00F11CA4">
              <w:rPr>
                <w:rFonts w:cs="Arial"/>
                <w:sz w:val="22"/>
                <w:szCs w:val="22"/>
              </w:rPr>
              <w:t xml:space="preserve">streamlining the approval process and </w:t>
            </w:r>
            <w:r w:rsidR="00407291">
              <w:rPr>
                <w:rFonts w:cs="Arial"/>
                <w:sz w:val="22"/>
                <w:szCs w:val="22"/>
              </w:rPr>
              <w:t>on</w:t>
            </w:r>
            <w:r w:rsidR="009A7868">
              <w:rPr>
                <w:rFonts w:cs="Arial"/>
                <w:sz w:val="22"/>
                <w:szCs w:val="22"/>
              </w:rPr>
              <w:t>-</w:t>
            </w:r>
            <w:r w:rsidR="00407291">
              <w:rPr>
                <w:rFonts w:cs="Arial"/>
                <w:sz w:val="22"/>
                <w:szCs w:val="22"/>
              </w:rPr>
              <w:t xml:space="preserve">line data </w:t>
            </w:r>
            <w:r>
              <w:rPr>
                <w:rFonts w:cs="Arial"/>
                <w:sz w:val="22"/>
                <w:szCs w:val="22"/>
              </w:rPr>
              <w:t>gathering</w:t>
            </w:r>
            <w:r w:rsidR="00F11CA4">
              <w:rPr>
                <w:rFonts w:cs="Arial"/>
                <w:sz w:val="22"/>
                <w:szCs w:val="22"/>
              </w:rPr>
              <w:t xml:space="preserve"> system</w:t>
            </w:r>
            <w:r>
              <w:rPr>
                <w:rFonts w:cs="Arial"/>
                <w:sz w:val="22"/>
                <w:szCs w:val="22"/>
              </w:rPr>
              <w:t xml:space="preserve"> that </w:t>
            </w:r>
            <w:r w:rsidR="00407291">
              <w:rPr>
                <w:rFonts w:cs="Arial"/>
                <w:sz w:val="22"/>
                <w:szCs w:val="22"/>
              </w:rPr>
              <w:t>are</w:t>
            </w:r>
            <w:r>
              <w:rPr>
                <w:rFonts w:cs="Arial"/>
                <w:sz w:val="22"/>
                <w:szCs w:val="22"/>
              </w:rPr>
              <w:t xml:space="preserve"> quick and easy to use for prescribers</w:t>
            </w:r>
            <w:r w:rsidR="000334F8">
              <w:rPr>
                <w:rFonts w:cs="Arial"/>
                <w:sz w:val="22"/>
                <w:szCs w:val="22"/>
              </w:rPr>
              <w:t>.</w:t>
            </w:r>
          </w:p>
        </w:tc>
      </w:tr>
      <w:tr w:rsidR="001F060D" w:rsidRPr="001F060D" w:rsidTr="00B31BC0">
        <w:trPr>
          <w:trHeight w:val="845"/>
        </w:trPr>
        <w:tc>
          <w:tcPr>
            <w:tcW w:w="810" w:type="dxa"/>
          </w:tcPr>
          <w:p w:rsidR="001F060D" w:rsidRPr="00B31BC0" w:rsidRDefault="00B31BC0" w:rsidP="00B31BC0">
            <w:pPr>
              <w:tabs>
                <w:tab w:val="right" w:leader="underscore" w:pos="5670"/>
                <w:tab w:val="left" w:pos="6237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7</w:t>
            </w:r>
          </w:p>
        </w:tc>
        <w:tc>
          <w:tcPr>
            <w:tcW w:w="9180" w:type="dxa"/>
          </w:tcPr>
          <w:p w:rsidR="001F060D" w:rsidRPr="001F060D" w:rsidRDefault="001F060D" w:rsidP="00B31BC0">
            <w:pPr>
              <w:tabs>
                <w:tab w:val="right" w:leader="underscore" w:pos="5670"/>
                <w:tab w:val="left" w:pos="6237"/>
              </w:tabs>
              <w:spacing w:before="60" w:after="180"/>
              <w:rPr>
                <w:rFonts w:cs="Arial"/>
                <w:b/>
                <w:sz w:val="22"/>
                <w:szCs w:val="22"/>
              </w:rPr>
            </w:pPr>
            <w:r w:rsidRPr="001F060D">
              <w:rPr>
                <w:rFonts w:cs="Arial"/>
                <w:b/>
                <w:sz w:val="22"/>
                <w:szCs w:val="22"/>
              </w:rPr>
              <w:t>Guidance to Prescribers</w:t>
            </w:r>
          </w:p>
          <w:p w:rsidR="001F060D" w:rsidRDefault="00E1285B" w:rsidP="00883BA4">
            <w:pPr>
              <w:tabs>
                <w:tab w:val="right" w:leader="underscore" w:pos="5670"/>
                <w:tab w:val="left" w:pos="6237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The Advisory Group noted that He</w:t>
            </w:r>
            <w:r w:rsidR="000334F8">
              <w:rPr>
                <w:rFonts w:cs="Arial"/>
                <w:sz w:val="22"/>
                <w:szCs w:val="22"/>
              </w:rPr>
              <w:t>a</w:t>
            </w:r>
            <w:r>
              <w:rPr>
                <w:rFonts w:cs="Arial"/>
                <w:sz w:val="22"/>
                <w:szCs w:val="22"/>
              </w:rPr>
              <w:t>l</w:t>
            </w:r>
            <w:r w:rsidR="000334F8">
              <w:rPr>
                <w:rFonts w:cs="Arial"/>
                <w:sz w:val="22"/>
                <w:szCs w:val="22"/>
              </w:rPr>
              <w:t xml:space="preserve">th </w:t>
            </w:r>
            <w:r>
              <w:rPr>
                <w:rFonts w:cs="Arial"/>
                <w:sz w:val="22"/>
                <w:szCs w:val="22"/>
              </w:rPr>
              <w:t>Canada and the Royal C</w:t>
            </w:r>
            <w:r w:rsidR="000334F8">
              <w:rPr>
                <w:rFonts w:cs="Arial"/>
                <w:sz w:val="22"/>
                <w:szCs w:val="22"/>
              </w:rPr>
              <w:t xml:space="preserve">ollege </w:t>
            </w:r>
            <w:r>
              <w:rPr>
                <w:rFonts w:cs="Arial"/>
                <w:sz w:val="22"/>
                <w:szCs w:val="22"/>
              </w:rPr>
              <w:t xml:space="preserve">of Physicians and Surgeons of Canada </w:t>
            </w:r>
            <w:r w:rsidR="000334F8">
              <w:rPr>
                <w:rFonts w:cs="Arial"/>
                <w:sz w:val="22"/>
                <w:szCs w:val="22"/>
              </w:rPr>
              <w:t>have pa</w:t>
            </w:r>
            <w:r>
              <w:rPr>
                <w:rFonts w:cs="Arial"/>
                <w:sz w:val="22"/>
                <w:szCs w:val="22"/>
              </w:rPr>
              <w:t>r</w:t>
            </w:r>
            <w:r w:rsidR="000334F8">
              <w:rPr>
                <w:rFonts w:cs="Arial"/>
                <w:sz w:val="22"/>
                <w:szCs w:val="22"/>
              </w:rPr>
              <w:t>tnered</w:t>
            </w:r>
            <w:r>
              <w:rPr>
                <w:rFonts w:cs="Arial"/>
                <w:sz w:val="22"/>
                <w:szCs w:val="22"/>
              </w:rPr>
              <w:t xml:space="preserve"> to provide </w:t>
            </w:r>
            <w:r w:rsidR="006D7670">
              <w:rPr>
                <w:rFonts w:cs="Arial"/>
                <w:sz w:val="22"/>
                <w:szCs w:val="22"/>
              </w:rPr>
              <w:t xml:space="preserve">credible, current and accessible </w:t>
            </w:r>
            <w:r>
              <w:rPr>
                <w:rFonts w:cs="Arial"/>
                <w:sz w:val="22"/>
                <w:szCs w:val="22"/>
              </w:rPr>
              <w:t>information to prescribers</w:t>
            </w:r>
            <w:r w:rsidR="006D7670">
              <w:rPr>
                <w:rFonts w:cs="Arial"/>
                <w:sz w:val="22"/>
                <w:szCs w:val="22"/>
              </w:rPr>
              <w:t xml:space="preserve"> and consumers, and the Therapeutic Goods Administration do so in Australia</w:t>
            </w:r>
            <w:r w:rsidR="00610312">
              <w:rPr>
                <w:rFonts w:cs="Arial"/>
                <w:sz w:val="22"/>
                <w:szCs w:val="22"/>
              </w:rPr>
              <w:t xml:space="preserve">. </w:t>
            </w:r>
            <w:r>
              <w:rPr>
                <w:rFonts w:cs="Arial"/>
                <w:sz w:val="22"/>
                <w:szCs w:val="22"/>
              </w:rPr>
              <w:t>A discussion took place as to whether or not a similar partnership could occur in New Zealand and what this would look like.</w:t>
            </w:r>
          </w:p>
          <w:p w:rsidR="0009575D" w:rsidRDefault="0009575D" w:rsidP="00883BA4">
            <w:pPr>
              <w:tabs>
                <w:tab w:val="right" w:leader="underscore" w:pos="5670"/>
                <w:tab w:val="left" w:pos="6237"/>
              </w:tabs>
              <w:rPr>
                <w:rFonts w:cs="Arial"/>
                <w:sz w:val="22"/>
                <w:szCs w:val="22"/>
              </w:rPr>
            </w:pPr>
          </w:p>
          <w:p w:rsidR="00E1285B" w:rsidRDefault="00E1285B" w:rsidP="00883BA4">
            <w:pPr>
              <w:tabs>
                <w:tab w:val="right" w:leader="underscore" w:pos="5670"/>
                <w:tab w:val="left" w:pos="6237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The Secretariat noted that it is already their intention to let prescribers </w:t>
            </w:r>
            <w:r w:rsidR="006D7670">
              <w:rPr>
                <w:rFonts w:cs="Arial"/>
                <w:sz w:val="22"/>
                <w:szCs w:val="22"/>
              </w:rPr>
              <w:t xml:space="preserve">and consumers </w:t>
            </w:r>
            <w:r>
              <w:rPr>
                <w:rFonts w:cs="Arial"/>
                <w:sz w:val="22"/>
                <w:szCs w:val="22"/>
              </w:rPr>
              <w:t>know what medicinal cannabis products are available and which medicinal cannabis products meet the quality standards.</w:t>
            </w:r>
          </w:p>
          <w:p w:rsidR="00E1285B" w:rsidRDefault="00E1285B" w:rsidP="00883BA4">
            <w:pPr>
              <w:tabs>
                <w:tab w:val="right" w:leader="underscore" w:pos="5670"/>
                <w:tab w:val="left" w:pos="6237"/>
              </w:tabs>
              <w:rPr>
                <w:rFonts w:cs="Arial"/>
                <w:sz w:val="22"/>
                <w:szCs w:val="22"/>
              </w:rPr>
            </w:pPr>
          </w:p>
          <w:p w:rsidR="00E1285B" w:rsidRPr="00E1285B" w:rsidRDefault="00E1285B" w:rsidP="00883BA4">
            <w:pPr>
              <w:tabs>
                <w:tab w:val="right" w:leader="underscore" w:pos="5670"/>
                <w:tab w:val="left" w:pos="6237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The Advisory Group agreed that it was important that prescribers </w:t>
            </w:r>
            <w:r w:rsidR="006D7670">
              <w:rPr>
                <w:rFonts w:cs="Arial"/>
                <w:sz w:val="22"/>
                <w:szCs w:val="22"/>
              </w:rPr>
              <w:t xml:space="preserve">and consumers </w:t>
            </w:r>
            <w:r>
              <w:rPr>
                <w:rFonts w:cs="Arial"/>
                <w:sz w:val="22"/>
                <w:szCs w:val="22"/>
              </w:rPr>
              <w:t>were given information about medicinal cannabis products from a credible source.</w:t>
            </w:r>
          </w:p>
          <w:p w:rsidR="0009575D" w:rsidRDefault="0009575D" w:rsidP="00883BA4">
            <w:pPr>
              <w:tabs>
                <w:tab w:val="right" w:leader="underscore" w:pos="5670"/>
                <w:tab w:val="left" w:pos="6237"/>
              </w:tabs>
              <w:rPr>
                <w:rFonts w:cs="Arial"/>
                <w:sz w:val="22"/>
                <w:szCs w:val="22"/>
              </w:rPr>
            </w:pPr>
          </w:p>
          <w:p w:rsidR="00363E91" w:rsidRDefault="003204EE" w:rsidP="00883BA4">
            <w:pPr>
              <w:tabs>
                <w:tab w:val="right" w:leader="underscore" w:pos="5670"/>
                <w:tab w:val="left" w:pos="6237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Action:</w:t>
            </w:r>
            <w:r w:rsidR="00E1285B">
              <w:rPr>
                <w:rFonts w:cs="Arial"/>
                <w:sz w:val="22"/>
                <w:szCs w:val="22"/>
              </w:rPr>
              <w:t xml:space="preserve"> </w:t>
            </w:r>
          </w:p>
          <w:p w:rsidR="002C27AC" w:rsidRPr="00E1285B" w:rsidRDefault="00E1285B" w:rsidP="00B31BC0">
            <w:pPr>
              <w:tabs>
                <w:tab w:val="right" w:leader="underscore" w:pos="5670"/>
                <w:tab w:val="left" w:pos="6237"/>
              </w:tabs>
              <w:spacing w:after="18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Secretariat to</w:t>
            </w:r>
            <w:r w:rsidR="00742D09">
              <w:rPr>
                <w:rFonts w:cs="Arial"/>
                <w:sz w:val="22"/>
                <w:szCs w:val="22"/>
              </w:rPr>
              <w:t xml:space="preserve"> look into information prescribers might require</w:t>
            </w:r>
            <w:r w:rsidR="009A7868">
              <w:rPr>
                <w:rFonts w:cs="Arial"/>
                <w:sz w:val="22"/>
                <w:szCs w:val="22"/>
              </w:rPr>
              <w:t>,</w:t>
            </w:r>
            <w:r w:rsidR="00742D09">
              <w:rPr>
                <w:rFonts w:cs="Arial"/>
                <w:sz w:val="22"/>
                <w:szCs w:val="22"/>
              </w:rPr>
              <w:t xml:space="preserve"> as well as possible mechanisms for</w:t>
            </w:r>
            <w:r>
              <w:rPr>
                <w:rFonts w:cs="Arial"/>
                <w:sz w:val="22"/>
                <w:szCs w:val="22"/>
              </w:rPr>
              <w:t xml:space="preserve"> provid</w:t>
            </w:r>
            <w:r w:rsidR="00742D09">
              <w:rPr>
                <w:rFonts w:cs="Arial"/>
                <w:sz w:val="22"/>
                <w:szCs w:val="22"/>
              </w:rPr>
              <w:t>ing</w:t>
            </w:r>
            <w:r>
              <w:rPr>
                <w:rFonts w:cs="Arial"/>
                <w:sz w:val="22"/>
                <w:szCs w:val="22"/>
              </w:rPr>
              <w:t xml:space="preserve"> information to prescribers regarding what medicinal cannabis products are available and which medicinal cannabis products meet the quality standards.</w:t>
            </w:r>
          </w:p>
        </w:tc>
      </w:tr>
      <w:tr w:rsidR="001F060D" w:rsidRPr="001F060D" w:rsidTr="00B31BC0">
        <w:trPr>
          <w:trHeight w:val="845"/>
        </w:trPr>
        <w:tc>
          <w:tcPr>
            <w:tcW w:w="810" w:type="dxa"/>
          </w:tcPr>
          <w:p w:rsidR="001F060D" w:rsidRPr="00B31BC0" w:rsidRDefault="00B31BC0" w:rsidP="00B31BC0">
            <w:pPr>
              <w:tabs>
                <w:tab w:val="right" w:leader="underscore" w:pos="5670"/>
                <w:tab w:val="left" w:pos="6237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8</w:t>
            </w:r>
          </w:p>
        </w:tc>
        <w:tc>
          <w:tcPr>
            <w:tcW w:w="9180" w:type="dxa"/>
          </w:tcPr>
          <w:p w:rsidR="001F060D" w:rsidRDefault="001F060D" w:rsidP="00B31BC0">
            <w:pPr>
              <w:tabs>
                <w:tab w:val="right" w:leader="underscore" w:pos="5670"/>
                <w:tab w:val="left" w:pos="6237"/>
              </w:tabs>
              <w:spacing w:before="60" w:after="180"/>
              <w:rPr>
                <w:rFonts w:cs="Arial"/>
                <w:b/>
                <w:sz w:val="22"/>
                <w:szCs w:val="22"/>
              </w:rPr>
            </w:pPr>
            <w:r w:rsidRPr="001F060D">
              <w:rPr>
                <w:rFonts w:cs="Arial"/>
                <w:b/>
                <w:sz w:val="22"/>
                <w:szCs w:val="22"/>
              </w:rPr>
              <w:t>Post Market Controls</w:t>
            </w:r>
          </w:p>
          <w:p w:rsidR="002C27AC" w:rsidRDefault="0095024B" w:rsidP="00883BA4">
            <w:pPr>
              <w:tabs>
                <w:tab w:val="right" w:leader="underscore" w:pos="5670"/>
                <w:tab w:val="left" w:pos="6237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The Advisory Group discussed passive </w:t>
            </w:r>
            <w:r w:rsidR="00A87C21">
              <w:rPr>
                <w:rFonts w:cs="Arial"/>
                <w:sz w:val="22"/>
                <w:szCs w:val="22"/>
              </w:rPr>
              <w:t xml:space="preserve">surveillance (relying </w:t>
            </w:r>
            <w:r w:rsidR="00BF0A6B">
              <w:rPr>
                <w:rFonts w:cs="Arial"/>
                <w:sz w:val="22"/>
                <w:szCs w:val="22"/>
              </w:rPr>
              <w:t>o</w:t>
            </w:r>
            <w:r w:rsidR="00A87C21">
              <w:rPr>
                <w:rFonts w:cs="Arial"/>
                <w:sz w:val="22"/>
                <w:szCs w:val="22"/>
              </w:rPr>
              <w:t xml:space="preserve">n the cooperation of health-care providers, hospitals </w:t>
            </w:r>
            <w:r w:rsidR="00517A30">
              <w:rPr>
                <w:rFonts w:cs="Arial"/>
                <w:sz w:val="22"/>
                <w:szCs w:val="22"/>
              </w:rPr>
              <w:t>etc.</w:t>
            </w:r>
            <w:r w:rsidR="00A87C21">
              <w:rPr>
                <w:rFonts w:cs="Arial"/>
                <w:sz w:val="22"/>
                <w:szCs w:val="22"/>
              </w:rPr>
              <w:t xml:space="preserve"> to report information) </w:t>
            </w:r>
            <w:r>
              <w:rPr>
                <w:rFonts w:cs="Arial"/>
                <w:sz w:val="22"/>
                <w:szCs w:val="22"/>
              </w:rPr>
              <w:t>and active surveillance</w:t>
            </w:r>
            <w:r w:rsidR="00A87C21">
              <w:rPr>
                <w:rFonts w:cs="Arial"/>
                <w:sz w:val="22"/>
                <w:szCs w:val="22"/>
              </w:rPr>
              <w:t xml:space="preserve"> (a systematic approach to proactively seek information). Advisory Group members</w:t>
            </w:r>
            <w:r>
              <w:rPr>
                <w:rFonts w:cs="Arial"/>
                <w:sz w:val="22"/>
                <w:szCs w:val="22"/>
              </w:rPr>
              <w:t xml:space="preserve"> flagged a strong preference </w:t>
            </w:r>
            <w:r w:rsidR="00967179">
              <w:rPr>
                <w:rFonts w:cs="Arial"/>
                <w:sz w:val="22"/>
                <w:szCs w:val="22"/>
              </w:rPr>
              <w:t>for</w:t>
            </w:r>
            <w:r>
              <w:rPr>
                <w:rFonts w:cs="Arial"/>
                <w:sz w:val="22"/>
                <w:szCs w:val="22"/>
              </w:rPr>
              <w:t xml:space="preserve"> active surveillance for medicinal cannabis products</w:t>
            </w:r>
            <w:r w:rsidR="00BB7071">
              <w:rPr>
                <w:rFonts w:cs="Arial"/>
                <w:sz w:val="22"/>
                <w:szCs w:val="22"/>
              </w:rPr>
              <w:t xml:space="preserve">, </w:t>
            </w:r>
            <w:r w:rsidR="00497F56">
              <w:rPr>
                <w:rFonts w:cs="Arial"/>
                <w:sz w:val="22"/>
                <w:szCs w:val="22"/>
              </w:rPr>
              <w:t>a</w:t>
            </w:r>
            <w:r w:rsidR="00BB7071">
              <w:rPr>
                <w:rFonts w:cs="Arial"/>
                <w:sz w:val="22"/>
                <w:szCs w:val="22"/>
              </w:rPr>
              <w:t>s is the case in Germany</w:t>
            </w:r>
            <w:r>
              <w:rPr>
                <w:rFonts w:cs="Arial"/>
                <w:sz w:val="22"/>
                <w:szCs w:val="22"/>
              </w:rPr>
              <w:t xml:space="preserve">. </w:t>
            </w:r>
          </w:p>
          <w:p w:rsidR="00EA55F0" w:rsidRDefault="00EA55F0" w:rsidP="00883BA4">
            <w:pPr>
              <w:tabs>
                <w:tab w:val="right" w:leader="underscore" w:pos="5670"/>
                <w:tab w:val="left" w:pos="6237"/>
              </w:tabs>
              <w:rPr>
                <w:rFonts w:cs="Arial"/>
                <w:sz w:val="22"/>
                <w:szCs w:val="22"/>
              </w:rPr>
            </w:pPr>
          </w:p>
          <w:p w:rsidR="0095024B" w:rsidRDefault="00C9702A" w:rsidP="00883BA4">
            <w:pPr>
              <w:tabs>
                <w:tab w:val="right" w:leader="underscore" w:pos="5670"/>
                <w:tab w:val="left" w:pos="6237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Some members of the</w:t>
            </w:r>
            <w:r w:rsidR="0095024B">
              <w:rPr>
                <w:rFonts w:cs="Arial"/>
                <w:sz w:val="22"/>
                <w:szCs w:val="22"/>
              </w:rPr>
              <w:t xml:space="preserve"> Advisory Group agreed that they would like an active monitoring approach </w:t>
            </w:r>
            <w:r w:rsidR="008E6B0B">
              <w:rPr>
                <w:rFonts w:cs="Arial"/>
                <w:sz w:val="22"/>
                <w:szCs w:val="22"/>
              </w:rPr>
              <w:t>for</w:t>
            </w:r>
            <w:r w:rsidR="0095024B">
              <w:rPr>
                <w:rFonts w:cs="Arial"/>
                <w:sz w:val="22"/>
                <w:szCs w:val="22"/>
              </w:rPr>
              <w:t xml:space="preserve"> medicinal cannabis products</w:t>
            </w:r>
            <w:r w:rsidR="009E4B50">
              <w:rPr>
                <w:rFonts w:cs="Arial"/>
                <w:sz w:val="22"/>
                <w:szCs w:val="22"/>
              </w:rPr>
              <w:t xml:space="preserve"> (see 5 above)</w:t>
            </w:r>
            <w:r w:rsidR="0095024B">
              <w:rPr>
                <w:rFonts w:cs="Arial"/>
                <w:sz w:val="22"/>
                <w:szCs w:val="22"/>
              </w:rPr>
              <w:t>.</w:t>
            </w:r>
          </w:p>
          <w:p w:rsidR="00EA55F0" w:rsidRDefault="00EA55F0" w:rsidP="00883BA4">
            <w:pPr>
              <w:tabs>
                <w:tab w:val="right" w:leader="underscore" w:pos="5670"/>
                <w:tab w:val="left" w:pos="6237"/>
              </w:tabs>
              <w:rPr>
                <w:rFonts w:cs="Arial"/>
                <w:sz w:val="22"/>
                <w:szCs w:val="22"/>
              </w:rPr>
            </w:pPr>
          </w:p>
          <w:p w:rsidR="00E1285B" w:rsidRPr="00E1285B" w:rsidRDefault="00E1285B" w:rsidP="00883BA4">
            <w:pPr>
              <w:tabs>
                <w:tab w:val="left" w:pos="3930"/>
              </w:tabs>
              <w:rPr>
                <w:rFonts w:cs="Arial"/>
                <w:b/>
                <w:sz w:val="22"/>
                <w:szCs w:val="22"/>
              </w:rPr>
            </w:pPr>
            <w:r w:rsidRPr="00E1285B">
              <w:rPr>
                <w:rFonts w:cs="Arial"/>
                <w:b/>
                <w:sz w:val="22"/>
                <w:szCs w:val="22"/>
              </w:rPr>
              <w:t xml:space="preserve">Action: </w:t>
            </w:r>
          </w:p>
          <w:p w:rsidR="00363E91" w:rsidRPr="00627FE5" w:rsidRDefault="00E1285B" w:rsidP="00B31BC0">
            <w:pPr>
              <w:tabs>
                <w:tab w:val="left" w:pos="3930"/>
              </w:tabs>
              <w:spacing w:after="18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</w:t>
            </w:r>
            <w:r w:rsidR="00EA55F0">
              <w:rPr>
                <w:rFonts w:cs="Arial"/>
                <w:sz w:val="22"/>
                <w:szCs w:val="22"/>
              </w:rPr>
              <w:t>ecr</w:t>
            </w:r>
            <w:r>
              <w:rPr>
                <w:rFonts w:cs="Arial"/>
                <w:sz w:val="22"/>
                <w:szCs w:val="22"/>
              </w:rPr>
              <w:t xml:space="preserve">etariat </w:t>
            </w:r>
            <w:r w:rsidR="00F6088E">
              <w:rPr>
                <w:rFonts w:cs="Arial"/>
                <w:sz w:val="22"/>
                <w:szCs w:val="22"/>
              </w:rPr>
              <w:t xml:space="preserve">to </w:t>
            </w:r>
            <w:r w:rsidR="004B6CD0">
              <w:rPr>
                <w:rFonts w:cs="Arial"/>
                <w:sz w:val="22"/>
                <w:szCs w:val="22"/>
              </w:rPr>
              <w:t>look at options for</w:t>
            </w:r>
            <w:r>
              <w:rPr>
                <w:rFonts w:cs="Arial"/>
                <w:sz w:val="22"/>
                <w:szCs w:val="22"/>
              </w:rPr>
              <w:t xml:space="preserve"> active monitoring for medicinal cannabis products </w:t>
            </w:r>
          </w:p>
        </w:tc>
      </w:tr>
      <w:tr w:rsidR="00EA55F0" w:rsidRPr="001F060D" w:rsidTr="00B31BC0">
        <w:trPr>
          <w:trHeight w:val="575"/>
        </w:trPr>
        <w:tc>
          <w:tcPr>
            <w:tcW w:w="810" w:type="dxa"/>
          </w:tcPr>
          <w:p w:rsidR="00EA55F0" w:rsidRPr="00B31BC0" w:rsidRDefault="00B31BC0" w:rsidP="00B31BC0">
            <w:pPr>
              <w:tabs>
                <w:tab w:val="right" w:leader="underscore" w:pos="5670"/>
                <w:tab w:val="left" w:pos="6237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9</w:t>
            </w:r>
          </w:p>
        </w:tc>
        <w:tc>
          <w:tcPr>
            <w:tcW w:w="9180" w:type="dxa"/>
          </w:tcPr>
          <w:p w:rsidR="00EA55F0" w:rsidRDefault="00EA55F0" w:rsidP="00B31BC0">
            <w:pPr>
              <w:tabs>
                <w:tab w:val="right" w:leader="underscore" w:pos="5670"/>
                <w:tab w:val="left" w:pos="6237"/>
              </w:tabs>
              <w:spacing w:before="60" w:after="18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Equity</w:t>
            </w:r>
          </w:p>
          <w:p w:rsidR="00EA55F0" w:rsidRDefault="00430DC5" w:rsidP="00883BA4">
            <w:pPr>
              <w:tabs>
                <w:tab w:val="right" w:leader="underscore" w:pos="5670"/>
                <w:tab w:val="left" w:pos="6237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The Advisory Group noted</w:t>
            </w:r>
            <w:r w:rsidR="00EA55F0">
              <w:rPr>
                <w:rFonts w:cs="Arial"/>
                <w:sz w:val="22"/>
                <w:szCs w:val="22"/>
              </w:rPr>
              <w:t xml:space="preserve"> that the </w:t>
            </w:r>
            <w:r>
              <w:rPr>
                <w:rFonts w:cs="Arial"/>
                <w:sz w:val="22"/>
                <w:szCs w:val="22"/>
              </w:rPr>
              <w:t>Consultation Document h</w:t>
            </w:r>
            <w:r w:rsidR="00EA55F0">
              <w:rPr>
                <w:rFonts w:cs="Arial"/>
                <w:sz w:val="22"/>
                <w:szCs w:val="22"/>
              </w:rPr>
              <w:t>as improved considerably</w:t>
            </w:r>
            <w:r>
              <w:rPr>
                <w:rFonts w:cs="Arial"/>
                <w:sz w:val="22"/>
                <w:szCs w:val="22"/>
              </w:rPr>
              <w:t xml:space="preserve"> but the</w:t>
            </w:r>
            <w:r w:rsidR="00E14119">
              <w:rPr>
                <w:rFonts w:cs="Arial"/>
                <w:sz w:val="22"/>
                <w:szCs w:val="22"/>
              </w:rPr>
              <w:t>re remained</w:t>
            </w:r>
            <w:r>
              <w:rPr>
                <w:rFonts w:cs="Arial"/>
                <w:sz w:val="22"/>
                <w:szCs w:val="22"/>
              </w:rPr>
              <w:t xml:space="preserve"> issue</w:t>
            </w:r>
            <w:r w:rsidR="00E14119">
              <w:rPr>
                <w:rFonts w:cs="Arial"/>
                <w:sz w:val="22"/>
                <w:szCs w:val="22"/>
              </w:rPr>
              <w:t>s</w:t>
            </w:r>
            <w:r>
              <w:rPr>
                <w:rFonts w:cs="Arial"/>
                <w:sz w:val="22"/>
                <w:szCs w:val="22"/>
              </w:rPr>
              <w:t xml:space="preserve"> in how equity</w:t>
            </w:r>
            <w:r w:rsidR="00EA55F0">
              <w:rPr>
                <w:rFonts w:cs="Arial"/>
                <w:sz w:val="22"/>
                <w:szCs w:val="22"/>
              </w:rPr>
              <w:t xml:space="preserve"> will apply across t</w:t>
            </w:r>
            <w:r w:rsidR="00CD32AC">
              <w:rPr>
                <w:rFonts w:cs="Arial"/>
                <w:sz w:val="22"/>
                <w:szCs w:val="22"/>
              </w:rPr>
              <w:t>he whole Consultation D</w:t>
            </w:r>
            <w:r>
              <w:rPr>
                <w:rFonts w:cs="Arial"/>
                <w:sz w:val="22"/>
                <w:szCs w:val="22"/>
              </w:rPr>
              <w:t>ocument</w:t>
            </w:r>
            <w:r w:rsidR="00E7368B">
              <w:rPr>
                <w:rFonts w:cs="Arial"/>
                <w:sz w:val="22"/>
                <w:szCs w:val="22"/>
              </w:rPr>
              <w:t xml:space="preserve"> and how it will be built into the Scheme</w:t>
            </w:r>
            <w:r w:rsidR="009E4B50">
              <w:rPr>
                <w:rFonts w:cs="Arial"/>
                <w:sz w:val="22"/>
                <w:szCs w:val="22"/>
              </w:rPr>
              <w:t xml:space="preserve"> for growers, manufacturers and consumers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:rsidR="005C2D9C" w:rsidRDefault="005C2D9C" w:rsidP="00883BA4">
            <w:pPr>
              <w:tabs>
                <w:tab w:val="right" w:leader="underscore" w:pos="5670"/>
                <w:tab w:val="left" w:pos="6237"/>
              </w:tabs>
              <w:rPr>
                <w:rFonts w:cs="Arial"/>
                <w:sz w:val="22"/>
                <w:szCs w:val="22"/>
              </w:rPr>
            </w:pPr>
          </w:p>
          <w:p w:rsidR="005C2D9C" w:rsidRDefault="00E7368B" w:rsidP="00883BA4">
            <w:pPr>
              <w:tabs>
                <w:tab w:val="right" w:leader="underscore" w:pos="5670"/>
                <w:tab w:val="left" w:pos="6237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The Advisory Group noted that the f</w:t>
            </w:r>
            <w:r w:rsidR="005C2D9C">
              <w:rPr>
                <w:rFonts w:cs="Arial"/>
                <w:sz w:val="22"/>
                <w:szCs w:val="22"/>
              </w:rPr>
              <w:t xml:space="preserve">unding </w:t>
            </w:r>
            <w:r>
              <w:rPr>
                <w:rFonts w:cs="Arial"/>
                <w:sz w:val="22"/>
                <w:szCs w:val="22"/>
              </w:rPr>
              <w:t xml:space="preserve">of medicinal cannabis products </w:t>
            </w:r>
            <w:r w:rsidR="004B6CD0">
              <w:rPr>
                <w:rFonts w:cs="Arial"/>
                <w:sz w:val="22"/>
                <w:szCs w:val="22"/>
              </w:rPr>
              <w:t>was still an issue</w:t>
            </w:r>
            <w:r w:rsidR="005C2D9C">
              <w:rPr>
                <w:rFonts w:cs="Arial"/>
                <w:sz w:val="22"/>
                <w:szCs w:val="22"/>
              </w:rPr>
              <w:t xml:space="preserve">. </w:t>
            </w:r>
            <w:r w:rsidR="00E14119">
              <w:rPr>
                <w:rFonts w:cs="Arial"/>
                <w:sz w:val="22"/>
                <w:szCs w:val="22"/>
              </w:rPr>
              <w:t>A discussion took place</w:t>
            </w:r>
            <w:r w:rsidR="00011261">
              <w:rPr>
                <w:rFonts w:cs="Arial"/>
                <w:sz w:val="22"/>
                <w:szCs w:val="22"/>
              </w:rPr>
              <w:t xml:space="preserve"> around </w:t>
            </w:r>
            <w:r w:rsidR="00967179">
              <w:rPr>
                <w:rFonts w:cs="Arial"/>
                <w:sz w:val="22"/>
                <w:szCs w:val="22"/>
              </w:rPr>
              <w:t>the flow on effects of</w:t>
            </w:r>
            <w:r w:rsidR="00F543BA">
              <w:rPr>
                <w:rFonts w:cs="Arial"/>
                <w:sz w:val="22"/>
                <w:szCs w:val="22"/>
              </w:rPr>
              <w:t xml:space="preserve"> costs </w:t>
            </w:r>
            <w:r w:rsidR="00967179">
              <w:rPr>
                <w:rFonts w:cs="Arial"/>
                <w:sz w:val="22"/>
                <w:szCs w:val="22"/>
              </w:rPr>
              <w:t>from the regulator and industry on</w:t>
            </w:r>
            <w:r w:rsidR="00705416">
              <w:rPr>
                <w:rFonts w:cs="Arial"/>
                <w:sz w:val="22"/>
                <w:szCs w:val="22"/>
              </w:rPr>
              <w:t xml:space="preserve"> to patients</w:t>
            </w:r>
            <w:r w:rsidR="00E14119">
              <w:rPr>
                <w:rFonts w:cs="Arial"/>
                <w:sz w:val="22"/>
                <w:szCs w:val="22"/>
              </w:rPr>
              <w:t>.</w:t>
            </w:r>
            <w:r w:rsidR="005C2D9C">
              <w:rPr>
                <w:rFonts w:cs="Arial"/>
                <w:sz w:val="22"/>
                <w:szCs w:val="22"/>
              </w:rPr>
              <w:t xml:space="preserve"> </w:t>
            </w:r>
          </w:p>
          <w:p w:rsidR="00011261" w:rsidRDefault="00011261" w:rsidP="00883BA4">
            <w:pPr>
              <w:tabs>
                <w:tab w:val="right" w:leader="underscore" w:pos="5670"/>
                <w:tab w:val="left" w:pos="6237"/>
              </w:tabs>
              <w:rPr>
                <w:rFonts w:cs="Arial"/>
                <w:sz w:val="22"/>
                <w:szCs w:val="22"/>
              </w:rPr>
            </w:pPr>
          </w:p>
          <w:p w:rsidR="009C31C5" w:rsidRPr="00EA55F0" w:rsidRDefault="00E14119" w:rsidP="00B31BC0">
            <w:pPr>
              <w:tabs>
                <w:tab w:val="right" w:leader="underscore" w:pos="5670"/>
                <w:tab w:val="left" w:pos="6237"/>
              </w:tabs>
              <w:spacing w:after="18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The Advisory Group agreed that work needed to continue to address equity issues in the</w:t>
            </w:r>
            <w:r w:rsidR="006F0F61">
              <w:rPr>
                <w:rFonts w:cs="Arial"/>
                <w:sz w:val="22"/>
                <w:szCs w:val="22"/>
              </w:rPr>
              <w:t xml:space="preserve"> development of the</w:t>
            </w:r>
            <w:r>
              <w:rPr>
                <w:rFonts w:cs="Arial"/>
                <w:sz w:val="22"/>
                <w:szCs w:val="22"/>
              </w:rPr>
              <w:t xml:space="preserve"> scheme.</w:t>
            </w:r>
          </w:p>
        </w:tc>
      </w:tr>
      <w:tr w:rsidR="001F060D" w:rsidRPr="001F060D" w:rsidTr="00B31BC0">
        <w:trPr>
          <w:trHeight w:val="304"/>
        </w:trPr>
        <w:tc>
          <w:tcPr>
            <w:tcW w:w="810" w:type="dxa"/>
          </w:tcPr>
          <w:p w:rsidR="001F060D" w:rsidRPr="00B31BC0" w:rsidRDefault="00B31BC0" w:rsidP="00B31BC0">
            <w:pPr>
              <w:tabs>
                <w:tab w:val="right" w:leader="underscore" w:pos="5670"/>
                <w:tab w:val="left" w:pos="6237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10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1F060D" w:rsidRDefault="001F060D" w:rsidP="00B31BC0">
            <w:pPr>
              <w:tabs>
                <w:tab w:val="right" w:leader="underscore" w:pos="5670"/>
                <w:tab w:val="left" w:pos="6237"/>
              </w:tabs>
              <w:spacing w:before="60" w:after="180"/>
              <w:rPr>
                <w:rFonts w:cs="Arial"/>
                <w:b/>
                <w:sz w:val="22"/>
                <w:szCs w:val="22"/>
              </w:rPr>
            </w:pPr>
            <w:r w:rsidRPr="001F060D">
              <w:rPr>
                <w:rFonts w:cs="Arial"/>
                <w:b/>
                <w:sz w:val="22"/>
                <w:szCs w:val="22"/>
              </w:rPr>
              <w:t>Process from here</w:t>
            </w:r>
          </w:p>
          <w:p w:rsidR="002C27AC" w:rsidRPr="00E1285B" w:rsidRDefault="00E1285B" w:rsidP="00B31BC0">
            <w:pPr>
              <w:tabs>
                <w:tab w:val="right" w:leader="underscore" w:pos="5670"/>
                <w:tab w:val="left" w:pos="6237"/>
              </w:tabs>
              <w:spacing w:after="18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The Ministry of Health will incorporate</w:t>
            </w:r>
            <w:r w:rsidR="00430DC5">
              <w:rPr>
                <w:rFonts w:cs="Arial"/>
                <w:sz w:val="22"/>
                <w:szCs w:val="22"/>
              </w:rPr>
              <w:t xml:space="preserve"> any significant changes that were addressed via the Advisory Group’s feedback.</w:t>
            </w:r>
          </w:p>
        </w:tc>
      </w:tr>
    </w:tbl>
    <w:p w:rsidR="00B31BC0" w:rsidRDefault="00B31BC0" w:rsidP="00883BA4">
      <w:pPr>
        <w:rPr>
          <w:rFonts w:cs="Arial"/>
          <w:sz w:val="22"/>
          <w:szCs w:val="22"/>
        </w:rPr>
      </w:pPr>
    </w:p>
    <w:p w:rsidR="001F060D" w:rsidRPr="00B31BC0" w:rsidRDefault="00B31BC0" w:rsidP="00B31BC0">
      <w:r w:rsidRPr="00B31BC0">
        <w:rPr>
          <w:rFonts w:cs="Arial"/>
          <w:sz w:val="22"/>
          <w:szCs w:val="22"/>
        </w:rPr>
        <w:t>Teleconference ended 7.20pm</w:t>
      </w:r>
    </w:p>
    <w:sectPr w:rsidR="001F060D" w:rsidRPr="00B31BC0" w:rsidSect="006C36DB">
      <w:pgSz w:w="11907" w:h="16840" w:code="9"/>
      <w:pgMar w:top="567" w:right="992" w:bottom="992" w:left="992" w:header="567" w:footer="567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2C9D"/>
    <w:multiLevelType w:val="hybridMultilevel"/>
    <w:tmpl w:val="DBFCDD5C"/>
    <w:lvl w:ilvl="0" w:tplc="6DB4E9B8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3101BA4"/>
    <w:multiLevelType w:val="hybridMultilevel"/>
    <w:tmpl w:val="345C3C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05A80"/>
    <w:multiLevelType w:val="hybridMultilevel"/>
    <w:tmpl w:val="6CF2F3AA"/>
    <w:lvl w:ilvl="0" w:tplc="A6D270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E66D1"/>
    <w:multiLevelType w:val="hybridMultilevel"/>
    <w:tmpl w:val="DDB86732"/>
    <w:lvl w:ilvl="0" w:tplc="D19249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D08A3"/>
    <w:multiLevelType w:val="hybridMultilevel"/>
    <w:tmpl w:val="108414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622A9"/>
    <w:multiLevelType w:val="hybridMultilevel"/>
    <w:tmpl w:val="B71076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B48B7"/>
    <w:multiLevelType w:val="hybridMultilevel"/>
    <w:tmpl w:val="914EC0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A6D87"/>
    <w:multiLevelType w:val="hybridMultilevel"/>
    <w:tmpl w:val="91A613D8"/>
    <w:lvl w:ilvl="0" w:tplc="B3FEC5F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07D19"/>
    <w:multiLevelType w:val="hybridMultilevel"/>
    <w:tmpl w:val="6ED45964"/>
    <w:lvl w:ilvl="0" w:tplc="64E8896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B6FFF"/>
    <w:multiLevelType w:val="hybridMultilevel"/>
    <w:tmpl w:val="BE8EE6C8"/>
    <w:lvl w:ilvl="0" w:tplc="1409000F">
      <w:start w:val="1"/>
      <w:numFmt w:val="decimal"/>
      <w:lvlText w:val="%1."/>
      <w:lvlJc w:val="left"/>
      <w:pPr>
        <w:ind w:left="785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A325D2"/>
    <w:multiLevelType w:val="hybridMultilevel"/>
    <w:tmpl w:val="BF4419F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A4BDA"/>
    <w:multiLevelType w:val="hybridMultilevel"/>
    <w:tmpl w:val="E9ACE8A8"/>
    <w:lvl w:ilvl="0" w:tplc="28F6C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2"/>
  </w:num>
  <w:num w:numId="9">
    <w:abstractNumId w:val="8"/>
  </w:num>
  <w:num w:numId="10">
    <w:abstractNumId w:val="7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AF3"/>
    <w:rsid w:val="0000065C"/>
    <w:rsid w:val="00011261"/>
    <w:rsid w:val="000334F8"/>
    <w:rsid w:val="0005562B"/>
    <w:rsid w:val="0007733C"/>
    <w:rsid w:val="0009575D"/>
    <w:rsid w:val="00096549"/>
    <w:rsid w:val="000A2563"/>
    <w:rsid w:val="000B5979"/>
    <w:rsid w:val="000C0A63"/>
    <w:rsid w:val="000D7084"/>
    <w:rsid w:val="000E3E08"/>
    <w:rsid w:val="000F1560"/>
    <w:rsid w:val="00106AEE"/>
    <w:rsid w:val="00183AA9"/>
    <w:rsid w:val="001913F4"/>
    <w:rsid w:val="001F060D"/>
    <w:rsid w:val="0020002B"/>
    <w:rsid w:val="00241780"/>
    <w:rsid w:val="002417A2"/>
    <w:rsid w:val="0027024E"/>
    <w:rsid w:val="00271F76"/>
    <w:rsid w:val="00284F65"/>
    <w:rsid w:val="00287FAF"/>
    <w:rsid w:val="002A3535"/>
    <w:rsid w:val="002C27AC"/>
    <w:rsid w:val="003204EE"/>
    <w:rsid w:val="00332AA4"/>
    <w:rsid w:val="00347444"/>
    <w:rsid w:val="003567EB"/>
    <w:rsid w:val="00363E91"/>
    <w:rsid w:val="003B6515"/>
    <w:rsid w:val="003E4C72"/>
    <w:rsid w:val="00407291"/>
    <w:rsid w:val="00421D10"/>
    <w:rsid w:val="00430DC5"/>
    <w:rsid w:val="004356B4"/>
    <w:rsid w:val="00462B85"/>
    <w:rsid w:val="004728AD"/>
    <w:rsid w:val="00476DE1"/>
    <w:rsid w:val="0048773E"/>
    <w:rsid w:val="00497F56"/>
    <w:rsid w:val="004A2845"/>
    <w:rsid w:val="004B6CD0"/>
    <w:rsid w:val="004E089E"/>
    <w:rsid w:val="0050579C"/>
    <w:rsid w:val="00516290"/>
    <w:rsid w:val="00517A30"/>
    <w:rsid w:val="005C2D9C"/>
    <w:rsid w:val="005F2AA4"/>
    <w:rsid w:val="0060262E"/>
    <w:rsid w:val="00610312"/>
    <w:rsid w:val="00627FE5"/>
    <w:rsid w:val="00641CE8"/>
    <w:rsid w:val="0067671F"/>
    <w:rsid w:val="00680BF9"/>
    <w:rsid w:val="00692871"/>
    <w:rsid w:val="006C36DB"/>
    <w:rsid w:val="006D0605"/>
    <w:rsid w:val="006D7670"/>
    <w:rsid w:val="006F0079"/>
    <w:rsid w:val="006F0F61"/>
    <w:rsid w:val="00705416"/>
    <w:rsid w:val="007279AA"/>
    <w:rsid w:val="007363FD"/>
    <w:rsid w:val="00742D09"/>
    <w:rsid w:val="00746AF3"/>
    <w:rsid w:val="00750DD5"/>
    <w:rsid w:val="007850C5"/>
    <w:rsid w:val="00797AD7"/>
    <w:rsid w:val="007A29AC"/>
    <w:rsid w:val="007E68C6"/>
    <w:rsid w:val="00867423"/>
    <w:rsid w:val="00883BA4"/>
    <w:rsid w:val="008E6B0B"/>
    <w:rsid w:val="009028E5"/>
    <w:rsid w:val="00913CD4"/>
    <w:rsid w:val="00926898"/>
    <w:rsid w:val="0095024B"/>
    <w:rsid w:val="00967179"/>
    <w:rsid w:val="00985CEA"/>
    <w:rsid w:val="009A1030"/>
    <w:rsid w:val="009A7868"/>
    <w:rsid w:val="009B3DBF"/>
    <w:rsid w:val="009C31C5"/>
    <w:rsid w:val="009E1439"/>
    <w:rsid w:val="009E4B50"/>
    <w:rsid w:val="009F1169"/>
    <w:rsid w:val="009F7AE9"/>
    <w:rsid w:val="00A231E3"/>
    <w:rsid w:val="00A37833"/>
    <w:rsid w:val="00A5108E"/>
    <w:rsid w:val="00A73252"/>
    <w:rsid w:val="00A813A3"/>
    <w:rsid w:val="00A84369"/>
    <w:rsid w:val="00A87C21"/>
    <w:rsid w:val="00AA31CE"/>
    <w:rsid w:val="00AD4FD4"/>
    <w:rsid w:val="00AE7DB2"/>
    <w:rsid w:val="00B22FF7"/>
    <w:rsid w:val="00B314B8"/>
    <w:rsid w:val="00B31BC0"/>
    <w:rsid w:val="00B927BD"/>
    <w:rsid w:val="00B93E42"/>
    <w:rsid w:val="00BB64F4"/>
    <w:rsid w:val="00BB7071"/>
    <w:rsid w:val="00BC1689"/>
    <w:rsid w:val="00BE7CAB"/>
    <w:rsid w:val="00BF0A6B"/>
    <w:rsid w:val="00C53595"/>
    <w:rsid w:val="00C90B94"/>
    <w:rsid w:val="00C95871"/>
    <w:rsid w:val="00C9702A"/>
    <w:rsid w:val="00CB6C9D"/>
    <w:rsid w:val="00CD32AC"/>
    <w:rsid w:val="00CD4E67"/>
    <w:rsid w:val="00CD7854"/>
    <w:rsid w:val="00CF3DA3"/>
    <w:rsid w:val="00D049ED"/>
    <w:rsid w:val="00D10D58"/>
    <w:rsid w:val="00D1760E"/>
    <w:rsid w:val="00D34E5F"/>
    <w:rsid w:val="00D36760"/>
    <w:rsid w:val="00D42A61"/>
    <w:rsid w:val="00D44190"/>
    <w:rsid w:val="00D65C6D"/>
    <w:rsid w:val="00D96087"/>
    <w:rsid w:val="00DA4EC6"/>
    <w:rsid w:val="00DE149B"/>
    <w:rsid w:val="00E1285B"/>
    <w:rsid w:val="00E14119"/>
    <w:rsid w:val="00E422E0"/>
    <w:rsid w:val="00E7368B"/>
    <w:rsid w:val="00EA55F0"/>
    <w:rsid w:val="00EC51FE"/>
    <w:rsid w:val="00EC5E5B"/>
    <w:rsid w:val="00EC668D"/>
    <w:rsid w:val="00F047EB"/>
    <w:rsid w:val="00F11CA4"/>
    <w:rsid w:val="00F543BA"/>
    <w:rsid w:val="00F6088E"/>
    <w:rsid w:val="00F63908"/>
    <w:rsid w:val="00F768FE"/>
    <w:rsid w:val="00F821D6"/>
    <w:rsid w:val="00FB08F5"/>
    <w:rsid w:val="00FE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120DAF-CB44-45A3-961E-D93B03331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AF3"/>
    <w:pPr>
      <w:spacing w:after="0" w:line="240" w:lineRule="auto"/>
    </w:pPr>
    <w:rPr>
      <w:rFonts w:ascii="Arial" w:eastAsia="Times New Roman" w:hAnsi="Arial" w:cs="Times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46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Text"/>
    <w:basedOn w:val="Normal"/>
    <w:rsid w:val="00746AF3"/>
    <w:pPr>
      <w:spacing w:before="120" w:after="120"/>
    </w:pPr>
  </w:style>
  <w:style w:type="paragraph" w:styleId="ListParagraph">
    <w:name w:val="List Paragraph"/>
    <w:basedOn w:val="Normal"/>
    <w:uiPriority w:val="1"/>
    <w:qFormat/>
    <w:rsid w:val="00746A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4F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F65"/>
    <w:rPr>
      <w:rFonts w:ascii="Segoe UI" w:eastAsia="Times New Roman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958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58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5871"/>
    <w:rPr>
      <w:rFonts w:ascii="Arial" w:eastAsia="Times New Roman" w:hAnsi="Arial" w:cs="Times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8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871"/>
    <w:rPr>
      <w:rFonts w:ascii="Arial" w:eastAsia="Times New Roman" w:hAnsi="Arial" w:cs="Times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9A7868"/>
    <w:pPr>
      <w:spacing w:after="0" w:line="240" w:lineRule="auto"/>
    </w:pPr>
    <w:rPr>
      <w:rFonts w:ascii="Arial" w:eastAsia="Times New Roman" w:hAnsi="Arial" w:cs="Times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7B0080C6</Template>
  <TotalTime>21</TotalTime>
  <Pages>3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Health</Company>
  <LinksUpToDate>false</LinksUpToDate>
  <CharactersWithSpaces>7767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Cook</dc:creator>
  <cp:keywords/>
  <dc:description/>
  <cp:lastModifiedBy>Kayla Cook</cp:lastModifiedBy>
  <cp:revision>9</cp:revision>
  <dcterms:created xsi:type="dcterms:W3CDTF">2019-07-16T11:38:00Z</dcterms:created>
  <dcterms:modified xsi:type="dcterms:W3CDTF">2019-08-14T01:34:00Z</dcterms:modified>
</cp:coreProperties>
</file>