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AEAC8" w14:textId="77777777" w:rsidR="004C36DD" w:rsidRDefault="009B0D92">
      <w:pPr>
        <w:rPr>
          <w:rFonts w:ascii="Arial" w:hAnsi="Arial" w:cs="Arial"/>
          <w:b/>
          <w:sz w:val="22"/>
          <w:szCs w:val="22"/>
        </w:rPr>
      </w:pPr>
      <w:r>
        <w:rPr>
          <w:rFonts w:ascii="Arial" w:hAnsi="Arial" w:cs="Arial"/>
          <w:b/>
          <w:sz w:val="22"/>
          <w:szCs w:val="22"/>
        </w:rPr>
        <w:t xml:space="preserve">PSYCHOACTIVE SUBSTANCES </w:t>
      </w:r>
    </w:p>
    <w:p w14:paraId="1C8DAA63" w14:textId="77777777" w:rsidR="009B0D92" w:rsidRPr="00EA46FC" w:rsidRDefault="009B0D92">
      <w:pPr>
        <w:rPr>
          <w:rFonts w:ascii="Arial" w:hAnsi="Arial" w:cs="Arial"/>
          <w:b/>
          <w:sz w:val="22"/>
          <w:szCs w:val="22"/>
        </w:rPr>
      </w:pPr>
      <w:r>
        <w:rPr>
          <w:rFonts w:ascii="Arial" w:hAnsi="Arial" w:cs="Arial"/>
          <w:b/>
          <w:sz w:val="22"/>
          <w:szCs w:val="22"/>
        </w:rPr>
        <w:t>APPEALS COMMITTEE</w:t>
      </w:r>
    </w:p>
    <w:p w14:paraId="01CE667E" w14:textId="77777777" w:rsidR="00D1789D" w:rsidRPr="00EA46FC" w:rsidRDefault="00D1789D">
      <w:pPr>
        <w:rPr>
          <w:rFonts w:ascii="Arial" w:hAnsi="Arial" w:cs="Arial"/>
          <w:b/>
          <w:sz w:val="22"/>
          <w:szCs w:val="22"/>
          <w:u w:val="single"/>
        </w:rPr>
      </w:pPr>
    </w:p>
    <w:p w14:paraId="663EB109" w14:textId="77777777" w:rsidR="009B0D92" w:rsidRDefault="009B0D92" w:rsidP="009B0D92">
      <w:pPr>
        <w:ind w:left="4320" w:hanging="2335"/>
        <w:rPr>
          <w:rFonts w:ascii="Arial" w:hAnsi="Arial" w:cs="Arial"/>
          <w:b/>
          <w:noProof/>
          <w:sz w:val="22"/>
          <w:szCs w:val="22"/>
        </w:rPr>
      </w:pPr>
    </w:p>
    <w:p w14:paraId="0E1A8822" w14:textId="77777777" w:rsidR="002400F9" w:rsidRDefault="003C620C" w:rsidP="004C36DD">
      <w:pPr>
        <w:ind w:left="4320" w:hanging="2335"/>
        <w:jc w:val="right"/>
        <w:rPr>
          <w:rFonts w:ascii="Arial" w:hAnsi="Arial" w:cs="Arial"/>
          <w:b/>
          <w:noProof/>
          <w:sz w:val="22"/>
          <w:szCs w:val="22"/>
        </w:rPr>
      </w:pPr>
      <w:r>
        <w:rPr>
          <w:rFonts w:ascii="Arial" w:hAnsi="Arial" w:cs="Arial"/>
          <w:b/>
          <w:noProof/>
          <w:sz w:val="22"/>
          <w:szCs w:val="22"/>
        </w:rPr>
        <w:t>PSA 2013/003</w:t>
      </w:r>
    </w:p>
    <w:p w14:paraId="2AE52D03" w14:textId="77777777" w:rsidR="002400F9" w:rsidRDefault="002400F9" w:rsidP="009B0D92">
      <w:pPr>
        <w:ind w:left="4320" w:hanging="2335"/>
        <w:rPr>
          <w:rFonts w:ascii="Arial" w:hAnsi="Arial" w:cs="Arial"/>
          <w:b/>
          <w:noProof/>
          <w:sz w:val="22"/>
          <w:szCs w:val="22"/>
        </w:rPr>
      </w:pPr>
    </w:p>
    <w:p w14:paraId="34FC8975" w14:textId="77777777" w:rsidR="002400F9" w:rsidRDefault="002400F9" w:rsidP="009B0D92">
      <w:pPr>
        <w:ind w:left="4320" w:hanging="2335"/>
        <w:rPr>
          <w:rFonts w:ascii="Arial" w:hAnsi="Arial" w:cs="Arial"/>
          <w:b/>
          <w:noProof/>
          <w:sz w:val="22"/>
          <w:szCs w:val="22"/>
        </w:rPr>
      </w:pPr>
    </w:p>
    <w:p w14:paraId="57321E47" w14:textId="77777777" w:rsidR="004C36DD" w:rsidRDefault="004C36DD" w:rsidP="009B0D92">
      <w:pPr>
        <w:ind w:left="4320" w:hanging="2335"/>
        <w:rPr>
          <w:rFonts w:ascii="Arial" w:hAnsi="Arial" w:cs="Arial"/>
          <w:b/>
          <w:noProof/>
          <w:sz w:val="22"/>
          <w:szCs w:val="22"/>
        </w:rPr>
      </w:pPr>
    </w:p>
    <w:p w14:paraId="38C05C4A" w14:textId="77777777" w:rsidR="009B0D92" w:rsidRDefault="009B0D92" w:rsidP="009B0D92">
      <w:pPr>
        <w:ind w:left="4320" w:hanging="2335"/>
        <w:rPr>
          <w:rFonts w:ascii="Arial" w:hAnsi="Arial" w:cs="Arial"/>
          <w:noProof/>
          <w:sz w:val="22"/>
          <w:szCs w:val="22"/>
        </w:rPr>
      </w:pPr>
      <w:r>
        <w:rPr>
          <w:rFonts w:ascii="Arial" w:hAnsi="Arial" w:cs="Arial"/>
          <w:b/>
          <w:noProof/>
          <w:sz w:val="22"/>
          <w:szCs w:val="22"/>
        </w:rPr>
        <w:t>IN THE MATTER OF</w:t>
      </w:r>
      <w:r>
        <w:rPr>
          <w:rFonts w:ascii="Arial" w:hAnsi="Arial" w:cs="Arial"/>
          <w:b/>
          <w:noProof/>
          <w:sz w:val="22"/>
          <w:szCs w:val="22"/>
        </w:rPr>
        <w:tab/>
      </w:r>
      <w:r>
        <w:rPr>
          <w:rFonts w:ascii="Arial" w:hAnsi="Arial" w:cs="Arial"/>
          <w:noProof/>
          <w:sz w:val="22"/>
          <w:szCs w:val="22"/>
        </w:rPr>
        <w:t>An appeal against the Psychoactive Substances Regulatory Authority’s decision</w:t>
      </w:r>
    </w:p>
    <w:p w14:paraId="46A15C32" w14:textId="77777777" w:rsidR="009B0D92" w:rsidRDefault="009B0D92" w:rsidP="009B0D92">
      <w:pPr>
        <w:ind w:left="4320" w:hanging="2335"/>
        <w:rPr>
          <w:rFonts w:ascii="Arial" w:hAnsi="Arial" w:cs="Arial"/>
          <w:noProof/>
          <w:sz w:val="22"/>
          <w:szCs w:val="22"/>
        </w:rPr>
      </w:pPr>
    </w:p>
    <w:p w14:paraId="375AD7C9" w14:textId="77777777" w:rsidR="009B0D92" w:rsidRDefault="009B0D92" w:rsidP="009B0D92">
      <w:pPr>
        <w:ind w:left="4320" w:hanging="2335"/>
        <w:rPr>
          <w:rFonts w:ascii="Arial" w:hAnsi="Arial" w:cs="Arial"/>
          <w:noProof/>
          <w:sz w:val="22"/>
          <w:szCs w:val="22"/>
        </w:rPr>
      </w:pPr>
      <w:bookmarkStart w:id="0" w:name="_GoBack"/>
    </w:p>
    <w:bookmarkEnd w:id="0"/>
    <w:p w14:paraId="331509E5" w14:textId="77777777" w:rsidR="009B0D92" w:rsidRPr="009B0D92" w:rsidRDefault="009B0D92" w:rsidP="009B0D92">
      <w:pPr>
        <w:ind w:left="4320" w:hanging="2335"/>
        <w:rPr>
          <w:rFonts w:ascii="Arial" w:hAnsi="Arial" w:cs="Arial"/>
          <w:noProof/>
          <w:sz w:val="22"/>
          <w:szCs w:val="22"/>
        </w:rPr>
      </w:pPr>
    </w:p>
    <w:p w14:paraId="492961CB" w14:textId="77777777" w:rsidR="00D1789D" w:rsidRPr="00EA46FC" w:rsidRDefault="00D1789D" w:rsidP="009B0D92">
      <w:pPr>
        <w:ind w:left="4320" w:hanging="2335"/>
        <w:rPr>
          <w:rFonts w:ascii="Arial" w:hAnsi="Arial" w:cs="Arial"/>
          <w:noProof/>
          <w:sz w:val="22"/>
          <w:szCs w:val="22"/>
        </w:rPr>
      </w:pPr>
      <w:r w:rsidRPr="00EA46FC">
        <w:rPr>
          <w:rFonts w:ascii="Arial" w:hAnsi="Arial" w:cs="Arial"/>
          <w:b/>
          <w:sz w:val="22"/>
          <w:szCs w:val="22"/>
        </w:rPr>
        <w:t>BETWEEN</w:t>
      </w:r>
      <w:r w:rsidRPr="00EA46FC">
        <w:rPr>
          <w:rFonts w:ascii="Arial" w:hAnsi="Arial" w:cs="Arial"/>
          <w:noProof/>
          <w:sz w:val="22"/>
          <w:szCs w:val="22"/>
        </w:rPr>
        <w:tab/>
      </w:r>
      <w:r w:rsidR="009B0D92">
        <w:rPr>
          <w:rFonts w:ascii="Arial" w:hAnsi="Arial" w:cs="Arial"/>
          <w:b/>
          <w:noProof/>
          <w:sz w:val="22"/>
          <w:szCs w:val="22"/>
        </w:rPr>
        <w:t>LIGHT YEARS AHEAD LIMITED</w:t>
      </w:r>
    </w:p>
    <w:p w14:paraId="53998D26" w14:textId="77777777" w:rsidR="00D1789D" w:rsidRPr="00EA46FC" w:rsidRDefault="00D1789D" w:rsidP="009B0D92">
      <w:pPr>
        <w:ind w:left="4320" w:hanging="2335"/>
        <w:rPr>
          <w:rFonts w:ascii="Arial" w:hAnsi="Arial" w:cs="Arial"/>
          <w:noProof/>
          <w:sz w:val="22"/>
          <w:szCs w:val="22"/>
        </w:rPr>
      </w:pPr>
    </w:p>
    <w:p w14:paraId="44C8D3EE" w14:textId="77777777" w:rsidR="00D1789D" w:rsidRPr="00EA46FC" w:rsidRDefault="009B0D92" w:rsidP="009B0D92">
      <w:pPr>
        <w:ind w:left="4320" w:hanging="2335"/>
        <w:rPr>
          <w:rFonts w:ascii="Arial" w:hAnsi="Arial" w:cs="Arial"/>
          <w:noProof/>
          <w:sz w:val="22"/>
          <w:szCs w:val="22"/>
        </w:rPr>
      </w:pPr>
      <w:r>
        <w:rPr>
          <w:rFonts w:ascii="Arial" w:hAnsi="Arial" w:cs="Arial"/>
          <w:noProof/>
          <w:sz w:val="22"/>
          <w:szCs w:val="22"/>
        </w:rPr>
        <w:tab/>
        <w:t xml:space="preserve">Appellant </w:t>
      </w:r>
    </w:p>
    <w:p w14:paraId="6777253B" w14:textId="77777777" w:rsidR="00D1789D" w:rsidRPr="00EA46FC" w:rsidRDefault="00D1789D" w:rsidP="009B0D92">
      <w:pPr>
        <w:ind w:left="4320" w:hanging="2335"/>
        <w:rPr>
          <w:rFonts w:ascii="Arial" w:hAnsi="Arial" w:cs="Arial"/>
          <w:noProof/>
          <w:sz w:val="22"/>
          <w:szCs w:val="22"/>
        </w:rPr>
      </w:pPr>
      <w:r w:rsidRPr="00EA46FC">
        <w:rPr>
          <w:rFonts w:ascii="Arial" w:hAnsi="Arial" w:cs="Arial"/>
          <w:noProof/>
          <w:sz w:val="22"/>
          <w:szCs w:val="22"/>
        </w:rPr>
        <w:tab/>
      </w:r>
    </w:p>
    <w:p w14:paraId="60DC251E" w14:textId="77777777" w:rsidR="00D1789D" w:rsidRPr="00EA46FC" w:rsidRDefault="00D1789D" w:rsidP="009B0D92">
      <w:pPr>
        <w:ind w:left="4320" w:hanging="2335"/>
        <w:rPr>
          <w:rFonts w:ascii="Arial" w:hAnsi="Arial" w:cs="Arial"/>
          <w:sz w:val="22"/>
          <w:szCs w:val="22"/>
        </w:rPr>
      </w:pPr>
    </w:p>
    <w:p w14:paraId="7888E42F" w14:textId="77777777" w:rsidR="00D1789D" w:rsidRPr="00386F72" w:rsidRDefault="00D1789D" w:rsidP="009B0D92">
      <w:pPr>
        <w:ind w:left="4320" w:hanging="2335"/>
        <w:rPr>
          <w:rFonts w:ascii="Arial" w:hAnsi="Arial" w:cs="Arial"/>
          <w:b/>
          <w:noProof/>
          <w:sz w:val="22"/>
          <w:szCs w:val="22"/>
        </w:rPr>
      </w:pPr>
      <w:r w:rsidRPr="00EA46FC">
        <w:rPr>
          <w:rFonts w:ascii="Arial" w:hAnsi="Arial" w:cs="Arial"/>
          <w:b/>
          <w:noProof/>
          <w:sz w:val="22"/>
          <w:szCs w:val="22"/>
        </w:rPr>
        <w:t>AND</w:t>
      </w:r>
      <w:r w:rsidRPr="00386F72">
        <w:rPr>
          <w:rFonts w:ascii="Arial" w:hAnsi="Arial" w:cs="Arial"/>
          <w:b/>
          <w:noProof/>
          <w:sz w:val="22"/>
          <w:szCs w:val="22"/>
        </w:rPr>
        <w:tab/>
      </w:r>
      <w:r w:rsidR="009B0D92">
        <w:rPr>
          <w:rFonts w:ascii="Arial" w:hAnsi="Arial" w:cs="Arial"/>
          <w:b/>
          <w:noProof/>
          <w:sz w:val="22"/>
          <w:szCs w:val="22"/>
        </w:rPr>
        <w:t>PSYCHOACTIVE SUBSTANCES REGULATORY AUTHORITY</w:t>
      </w:r>
    </w:p>
    <w:p w14:paraId="36A6DBAE" w14:textId="77777777" w:rsidR="00C33414" w:rsidRDefault="00C33414" w:rsidP="009B0D92">
      <w:pPr>
        <w:ind w:left="4320" w:hanging="2335"/>
        <w:rPr>
          <w:rFonts w:ascii="Arial" w:hAnsi="Arial" w:cs="Arial"/>
          <w:b/>
          <w:noProof/>
          <w:sz w:val="22"/>
          <w:szCs w:val="22"/>
        </w:rPr>
      </w:pPr>
    </w:p>
    <w:p w14:paraId="3A467EC0" w14:textId="77777777" w:rsidR="00C33414" w:rsidRDefault="009B0D92" w:rsidP="009B0D92">
      <w:pPr>
        <w:ind w:left="4320" w:hanging="2335"/>
        <w:rPr>
          <w:rFonts w:ascii="Arial" w:hAnsi="Arial" w:cs="Arial"/>
          <w:noProof/>
          <w:sz w:val="22"/>
          <w:szCs w:val="22"/>
        </w:rPr>
      </w:pPr>
      <w:r>
        <w:rPr>
          <w:rFonts w:ascii="Arial" w:hAnsi="Arial" w:cs="Arial"/>
          <w:noProof/>
          <w:sz w:val="22"/>
          <w:szCs w:val="22"/>
        </w:rPr>
        <w:tab/>
        <w:t xml:space="preserve">Respondent </w:t>
      </w:r>
    </w:p>
    <w:p w14:paraId="3D794BBD" w14:textId="77777777" w:rsidR="009B0D92" w:rsidRDefault="009B0D92" w:rsidP="009B0D92">
      <w:pPr>
        <w:ind w:left="4320" w:hanging="2335"/>
        <w:rPr>
          <w:rFonts w:ascii="Arial" w:hAnsi="Arial" w:cs="Arial"/>
          <w:noProof/>
          <w:sz w:val="22"/>
          <w:szCs w:val="22"/>
        </w:rPr>
      </w:pPr>
    </w:p>
    <w:p w14:paraId="715B7024" w14:textId="77777777" w:rsidR="00D1789D" w:rsidRPr="00EA46FC" w:rsidRDefault="00D1789D">
      <w:pPr>
        <w:ind w:left="4320" w:hanging="2160"/>
        <w:rPr>
          <w:rFonts w:ascii="Arial" w:hAnsi="Arial" w:cs="Arial"/>
          <w:noProof/>
          <w:sz w:val="22"/>
          <w:szCs w:val="22"/>
          <w:u w:val="single"/>
        </w:rPr>
      </w:pPr>
    </w:p>
    <w:p w14:paraId="5BEA1727" w14:textId="77777777" w:rsidR="00D1789D" w:rsidRPr="00EA46FC" w:rsidRDefault="00D1789D">
      <w:pPr>
        <w:ind w:left="4320" w:hanging="2160"/>
        <w:rPr>
          <w:rFonts w:ascii="Arial" w:hAnsi="Arial" w:cs="Arial"/>
          <w:sz w:val="22"/>
          <w:szCs w:val="22"/>
        </w:rPr>
      </w:pPr>
    </w:p>
    <w:p w14:paraId="3E871998" w14:textId="77777777" w:rsidR="00D1789D" w:rsidRPr="00EA46FC" w:rsidRDefault="00D1789D">
      <w:pPr>
        <w:ind w:left="2268" w:hanging="2268"/>
        <w:rPr>
          <w:rFonts w:ascii="Arial" w:hAnsi="Arial" w:cs="Arial"/>
          <w:sz w:val="22"/>
          <w:szCs w:val="22"/>
        </w:rPr>
      </w:pPr>
      <w:bookmarkStart w:id="1" w:name="FirstPgEntry"/>
      <w:bookmarkEnd w:id="1"/>
    </w:p>
    <w:p w14:paraId="5FEDC1AC" w14:textId="77777777" w:rsidR="00D1789D" w:rsidRPr="00EA46FC" w:rsidRDefault="00D1789D">
      <w:pPr>
        <w:rPr>
          <w:rFonts w:ascii="Arial" w:hAnsi="Arial" w:cs="Arial"/>
          <w:sz w:val="22"/>
          <w:szCs w:val="22"/>
        </w:rPr>
      </w:pPr>
    </w:p>
    <w:p w14:paraId="3F2BBB13" w14:textId="77777777" w:rsidR="00D1789D" w:rsidRPr="00EA46FC" w:rsidRDefault="00D1789D" w:rsidP="00F11A1C">
      <w:pPr>
        <w:pBdr>
          <w:top w:val="single" w:sz="4" w:space="1" w:color="auto"/>
        </w:pBdr>
        <w:rPr>
          <w:rFonts w:ascii="Arial" w:hAnsi="Arial" w:cs="Arial"/>
          <w:sz w:val="22"/>
          <w:szCs w:val="22"/>
        </w:rPr>
      </w:pPr>
    </w:p>
    <w:p w14:paraId="0BB4AEB5" w14:textId="77777777" w:rsidR="00D1789D" w:rsidRDefault="00D34E3E">
      <w:pPr>
        <w:jc w:val="center"/>
        <w:rPr>
          <w:rFonts w:ascii="Arial" w:hAnsi="Arial" w:cs="Arial"/>
          <w:b/>
          <w:sz w:val="22"/>
          <w:szCs w:val="22"/>
        </w:rPr>
      </w:pPr>
      <w:r>
        <w:rPr>
          <w:rFonts w:ascii="Arial" w:hAnsi="Arial" w:cs="Arial"/>
          <w:b/>
          <w:sz w:val="22"/>
          <w:szCs w:val="22"/>
        </w:rPr>
        <w:t xml:space="preserve">DECISION </w:t>
      </w:r>
      <w:r w:rsidR="009B0D92">
        <w:rPr>
          <w:rFonts w:ascii="Arial" w:hAnsi="Arial" w:cs="Arial"/>
          <w:b/>
          <w:sz w:val="22"/>
          <w:szCs w:val="22"/>
        </w:rPr>
        <w:t>OF APPEALS COMMITTEE</w:t>
      </w:r>
    </w:p>
    <w:p w14:paraId="2D9F1153" w14:textId="77777777" w:rsidR="00D1789D" w:rsidRPr="00EA46FC" w:rsidRDefault="00D1789D" w:rsidP="00474A5B">
      <w:pPr>
        <w:pBdr>
          <w:bottom w:val="single" w:sz="4" w:space="1" w:color="auto"/>
        </w:pBdr>
        <w:tabs>
          <w:tab w:val="right" w:leader="underscore" w:pos="7655"/>
        </w:tabs>
        <w:rPr>
          <w:rFonts w:ascii="Arial" w:hAnsi="Arial" w:cs="Arial"/>
          <w:sz w:val="22"/>
          <w:szCs w:val="22"/>
        </w:rPr>
      </w:pPr>
    </w:p>
    <w:p w14:paraId="4A686023" w14:textId="77777777" w:rsidR="00D1789D" w:rsidRPr="00EA46FC" w:rsidRDefault="00D1789D">
      <w:pPr>
        <w:rPr>
          <w:rFonts w:ascii="Arial" w:hAnsi="Arial" w:cs="Arial"/>
          <w:sz w:val="22"/>
          <w:szCs w:val="22"/>
        </w:rPr>
      </w:pPr>
    </w:p>
    <w:p w14:paraId="213D0764" w14:textId="77777777" w:rsidR="00D1789D" w:rsidRPr="00EA46FC" w:rsidRDefault="00D1789D">
      <w:pPr>
        <w:rPr>
          <w:rFonts w:ascii="Arial" w:hAnsi="Arial" w:cs="Arial"/>
          <w:sz w:val="22"/>
          <w:szCs w:val="22"/>
        </w:rPr>
      </w:pPr>
    </w:p>
    <w:p w14:paraId="3D5157A7" w14:textId="77777777" w:rsidR="00D1789D" w:rsidRPr="00EA46FC" w:rsidRDefault="00D1789D">
      <w:pPr>
        <w:rPr>
          <w:rFonts w:ascii="Arial" w:hAnsi="Arial" w:cs="Arial"/>
          <w:sz w:val="22"/>
          <w:szCs w:val="22"/>
        </w:rPr>
      </w:pPr>
    </w:p>
    <w:p w14:paraId="749C70B7" w14:textId="77777777" w:rsidR="00D1789D" w:rsidRPr="00EA46FC" w:rsidRDefault="00D1789D">
      <w:pPr>
        <w:rPr>
          <w:rFonts w:ascii="Arial" w:hAnsi="Arial" w:cs="Arial"/>
          <w:sz w:val="22"/>
          <w:szCs w:val="22"/>
        </w:rPr>
      </w:pPr>
    </w:p>
    <w:p w14:paraId="309D0E86" w14:textId="77777777" w:rsidR="00D1789D" w:rsidRPr="00EA46FC" w:rsidRDefault="00D1789D">
      <w:pPr>
        <w:rPr>
          <w:rFonts w:ascii="Arial" w:hAnsi="Arial" w:cs="Arial"/>
          <w:sz w:val="22"/>
          <w:szCs w:val="22"/>
        </w:rPr>
      </w:pPr>
    </w:p>
    <w:p w14:paraId="1442EFD7" w14:textId="77777777" w:rsidR="00D1789D" w:rsidRPr="00EA46FC" w:rsidRDefault="00D1789D">
      <w:pPr>
        <w:rPr>
          <w:rFonts w:ascii="Arial" w:hAnsi="Arial" w:cs="Arial"/>
          <w:sz w:val="22"/>
          <w:szCs w:val="22"/>
        </w:rPr>
      </w:pPr>
    </w:p>
    <w:p w14:paraId="66F7D7AE" w14:textId="77777777" w:rsidR="00D1789D" w:rsidRPr="00EA46FC" w:rsidRDefault="00D1789D">
      <w:pPr>
        <w:rPr>
          <w:rFonts w:ascii="Arial" w:hAnsi="Arial" w:cs="Arial"/>
          <w:sz w:val="22"/>
          <w:szCs w:val="22"/>
        </w:rPr>
      </w:pPr>
    </w:p>
    <w:p w14:paraId="4D1A207A" w14:textId="77777777" w:rsidR="00D1789D" w:rsidRPr="00EA46FC" w:rsidRDefault="00D1789D">
      <w:pPr>
        <w:rPr>
          <w:rFonts w:ascii="Arial" w:hAnsi="Arial" w:cs="Arial"/>
          <w:sz w:val="22"/>
          <w:szCs w:val="22"/>
        </w:rPr>
      </w:pPr>
    </w:p>
    <w:p w14:paraId="7E5CC23B" w14:textId="77777777" w:rsidR="00D1789D" w:rsidRPr="00EA46FC" w:rsidRDefault="00D1789D">
      <w:pPr>
        <w:rPr>
          <w:rFonts w:ascii="Arial" w:hAnsi="Arial" w:cs="Arial"/>
          <w:sz w:val="22"/>
          <w:szCs w:val="22"/>
        </w:rPr>
      </w:pPr>
    </w:p>
    <w:p w14:paraId="47945070" w14:textId="77777777" w:rsidR="00D1789D" w:rsidRPr="00EA46FC" w:rsidRDefault="00D1789D">
      <w:pPr>
        <w:rPr>
          <w:rFonts w:ascii="Arial" w:hAnsi="Arial" w:cs="Arial"/>
          <w:sz w:val="22"/>
          <w:szCs w:val="22"/>
        </w:rPr>
      </w:pPr>
    </w:p>
    <w:p w14:paraId="1FDEAE08" w14:textId="77777777" w:rsidR="00D1789D" w:rsidRPr="00EA46FC" w:rsidRDefault="00D1789D">
      <w:pPr>
        <w:rPr>
          <w:rFonts w:ascii="Arial" w:hAnsi="Arial" w:cs="Arial"/>
          <w:sz w:val="22"/>
          <w:szCs w:val="22"/>
        </w:rPr>
      </w:pPr>
    </w:p>
    <w:p w14:paraId="3CC73E7A" w14:textId="77777777" w:rsidR="00D1789D" w:rsidRPr="00EA46FC" w:rsidRDefault="00D1789D">
      <w:pPr>
        <w:rPr>
          <w:rFonts w:ascii="Arial" w:hAnsi="Arial" w:cs="Arial"/>
          <w:sz w:val="22"/>
          <w:szCs w:val="22"/>
        </w:rPr>
      </w:pPr>
    </w:p>
    <w:p w14:paraId="42B4926E" w14:textId="77777777" w:rsidR="00D1789D" w:rsidRPr="00EA46FC" w:rsidRDefault="00D1789D">
      <w:pPr>
        <w:rPr>
          <w:rFonts w:ascii="Arial" w:hAnsi="Arial" w:cs="Arial"/>
          <w:sz w:val="22"/>
          <w:szCs w:val="22"/>
        </w:rPr>
      </w:pPr>
    </w:p>
    <w:p w14:paraId="24626413" w14:textId="77777777" w:rsidR="00D1789D" w:rsidRPr="00EA46FC" w:rsidRDefault="00D1789D">
      <w:pPr>
        <w:rPr>
          <w:rFonts w:ascii="Arial" w:hAnsi="Arial" w:cs="Arial"/>
          <w:sz w:val="22"/>
          <w:szCs w:val="22"/>
        </w:rPr>
      </w:pPr>
    </w:p>
    <w:p w14:paraId="6DA5E5C5" w14:textId="77777777" w:rsidR="00D1789D" w:rsidRPr="00EA46FC" w:rsidRDefault="00D1789D">
      <w:pPr>
        <w:rPr>
          <w:rFonts w:ascii="Arial" w:hAnsi="Arial" w:cs="Arial"/>
          <w:sz w:val="22"/>
          <w:szCs w:val="22"/>
        </w:rPr>
      </w:pPr>
    </w:p>
    <w:p w14:paraId="106CB19A" w14:textId="77777777" w:rsidR="00D1789D" w:rsidRPr="00EA46FC" w:rsidRDefault="00D1789D">
      <w:pPr>
        <w:tabs>
          <w:tab w:val="right" w:leader="underscore" w:pos="7655"/>
        </w:tabs>
        <w:rPr>
          <w:rFonts w:ascii="Arial" w:hAnsi="Arial" w:cs="Arial"/>
          <w:sz w:val="22"/>
          <w:szCs w:val="22"/>
        </w:rPr>
      </w:pPr>
      <w:r w:rsidRPr="00EA46FC">
        <w:rPr>
          <w:rFonts w:ascii="Arial" w:hAnsi="Arial" w:cs="Arial"/>
          <w:sz w:val="22"/>
          <w:szCs w:val="22"/>
        </w:rPr>
        <w:t>______________________________________________________________</w:t>
      </w:r>
    </w:p>
    <w:p w14:paraId="34E61E50" w14:textId="77777777" w:rsidR="00D1789D" w:rsidRPr="00EA46FC" w:rsidRDefault="00D1789D">
      <w:pPr>
        <w:rPr>
          <w:rFonts w:ascii="Arial" w:hAnsi="Arial" w:cs="Arial"/>
          <w:sz w:val="22"/>
          <w:szCs w:val="22"/>
        </w:rPr>
      </w:pPr>
    </w:p>
    <w:p w14:paraId="7B25B3D5" w14:textId="77777777" w:rsidR="00D1789D" w:rsidRPr="00EA46FC" w:rsidRDefault="00D1789D">
      <w:pPr>
        <w:rPr>
          <w:rFonts w:ascii="Arial" w:hAnsi="Arial" w:cs="Arial"/>
          <w:sz w:val="22"/>
          <w:szCs w:val="22"/>
        </w:rPr>
        <w:sectPr w:rsidR="00D1789D" w:rsidRPr="00EA46FC">
          <w:headerReference w:type="even" r:id="rId12"/>
          <w:footerReference w:type="default" r:id="rId13"/>
          <w:footerReference w:type="first" r:id="rId14"/>
          <w:type w:val="continuous"/>
          <w:pgSz w:w="11909" w:h="16834" w:code="9"/>
          <w:pgMar w:top="1440" w:right="1368" w:bottom="1440" w:left="2938" w:header="706" w:footer="706" w:gutter="0"/>
          <w:pgNumType w:start="1"/>
          <w:cols w:space="720"/>
          <w:titlePg/>
        </w:sectPr>
      </w:pPr>
    </w:p>
    <w:p w14:paraId="7070EB3C" w14:textId="77777777" w:rsidR="003C620C" w:rsidRPr="006D427D" w:rsidRDefault="003C620C" w:rsidP="003C620C">
      <w:pPr>
        <w:spacing w:line="360" w:lineRule="auto"/>
        <w:ind w:left="720"/>
        <w:jc w:val="both"/>
        <w:rPr>
          <w:rFonts w:ascii="Tahoma" w:hAnsi="Tahoma" w:cs="Tahoma"/>
          <w:b/>
          <w:sz w:val="22"/>
          <w:szCs w:val="22"/>
        </w:rPr>
      </w:pPr>
      <w:r w:rsidRPr="006D427D">
        <w:rPr>
          <w:rFonts w:ascii="Tahoma" w:hAnsi="Tahoma" w:cs="Tahoma"/>
          <w:b/>
          <w:sz w:val="22"/>
          <w:szCs w:val="22"/>
        </w:rPr>
        <w:lastRenderedPageBreak/>
        <w:t>Introduction</w:t>
      </w:r>
    </w:p>
    <w:p w14:paraId="36FD5C8D" w14:textId="77777777" w:rsidR="003C620C" w:rsidRPr="006D427D" w:rsidRDefault="003C620C" w:rsidP="003C620C">
      <w:pPr>
        <w:spacing w:line="360" w:lineRule="auto"/>
        <w:ind w:left="720"/>
        <w:jc w:val="both"/>
        <w:rPr>
          <w:rFonts w:ascii="Tahoma" w:hAnsi="Tahoma" w:cs="Tahoma"/>
          <w:sz w:val="22"/>
          <w:szCs w:val="22"/>
        </w:rPr>
      </w:pPr>
    </w:p>
    <w:p w14:paraId="30D45B86" w14:textId="228CD913" w:rsidR="00A328D4" w:rsidRPr="006D427D" w:rsidRDefault="003C620C"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appellant is a company that applied for interim approvals of a variety of psychoactive products under the Psychoactive S</w:t>
      </w:r>
      <w:r w:rsidR="00711351">
        <w:rPr>
          <w:rFonts w:ascii="Tahoma" w:hAnsi="Tahoma" w:cs="Tahoma"/>
          <w:sz w:val="22"/>
          <w:szCs w:val="22"/>
        </w:rPr>
        <w:t xml:space="preserve">ubstances Act 2013 (“the Act”).  </w:t>
      </w:r>
      <w:r w:rsidRPr="006D427D">
        <w:rPr>
          <w:rFonts w:ascii="Tahoma" w:hAnsi="Tahoma" w:cs="Tahoma"/>
          <w:sz w:val="22"/>
          <w:szCs w:val="22"/>
        </w:rPr>
        <w:t xml:space="preserve">The applications related to a variety of </w:t>
      </w:r>
      <w:r w:rsidR="00A328D4" w:rsidRPr="006D427D">
        <w:rPr>
          <w:rFonts w:ascii="Tahoma" w:hAnsi="Tahoma" w:cs="Tahoma"/>
          <w:sz w:val="22"/>
          <w:szCs w:val="22"/>
        </w:rPr>
        <w:t xml:space="preserve">psychoactive substances which included three products called “Kronic Skunk”, “Kronic Pineapple Express” and “Kronic Tropical Explosion” (“the Kronic products”).  </w:t>
      </w:r>
    </w:p>
    <w:p w14:paraId="5DC7F666" w14:textId="77777777" w:rsidR="00A328D4" w:rsidRPr="006D427D" w:rsidRDefault="00A328D4" w:rsidP="00A328D4">
      <w:pPr>
        <w:pStyle w:val="ListParagraph"/>
        <w:spacing w:line="360" w:lineRule="auto"/>
        <w:jc w:val="both"/>
        <w:rPr>
          <w:rFonts w:ascii="Tahoma" w:hAnsi="Tahoma" w:cs="Tahoma"/>
          <w:sz w:val="22"/>
          <w:szCs w:val="22"/>
        </w:rPr>
      </w:pPr>
    </w:p>
    <w:p w14:paraId="5B449546" w14:textId="77777777" w:rsidR="00BC6F15" w:rsidRPr="006D427D" w:rsidRDefault="00A328D4"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By letter dated 26 September 2013, the Psychoactive Substances Regulatory Authority (“the Authority”) declined to grant interim approval </w:t>
      </w:r>
      <w:r w:rsidR="001D46D8" w:rsidRPr="006D427D">
        <w:rPr>
          <w:rFonts w:ascii="Tahoma" w:hAnsi="Tahoma" w:cs="Tahoma"/>
          <w:sz w:val="22"/>
          <w:szCs w:val="22"/>
        </w:rPr>
        <w:t xml:space="preserve">for the Kronic products to be sold.  </w:t>
      </w:r>
    </w:p>
    <w:p w14:paraId="711F7FAF" w14:textId="77777777" w:rsidR="001D46D8" w:rsidRPr="006D427D" w:rsidRDefault="001D46D8" w:rsidP="001D46D8">
      <w:pPr>
        <w:pStyle w:val="ListParagraph"/>
        <w:rPr>
          <w:rFonts w:ascii="Tahoma" w:hAnsi="Tahoma" w:cs="Tahoma"/>
          <w:sz w:val="22"/>
          <w:szCs w:val="22"/>
        </w:rPr>
      </w:pPr>
    </w:p>
    <w:p w14:paraId="607253EF" w14:textId="77777777" w:rsidR="001D46D8" w:rsidRPr="006D427D" w:rsidRDefault="00AB6A5F"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By way of email dated 8 October 2013 t</w:t>
      </w:r>
      <w:r w:rsidR="001D46D8" w:rsidRPr="006D427D">
        <w:rPr>
          <w:rFonts w:ascii="Tahoma" w:hAnsi="Tahoma" w:cs="Tahoma"/>
          <w:sz w:val="22"/>
          <w:szCs w:val="22"/>
        </w:rPr>
        <w:t xml:space="preserve">he </w:t>
      </w:r>
      <w:r w:rsidRPr="006D427D">
        <w:rPr>
          <w:rFonts w:ascii="Tahoma" w:hAnsi="Tahoma" w:cs="Tahoma"/>
          <w:sz w:val="22"/>
          <w:szCs w:val="22"/>
        </w:rPr>
        <w:t>ap</w:t>
      </w:r>
      <w:r w:rsidR="006D318A" w:rsidRPr="006D427D">
        <w:rPr>
          <w:rFonts w:ascii="Tahoma" w:hAnsi="Tahoma" w:cs="Tahoma"/>
          <w:sz w:val="22"/>
          <w:szCs w:val="22"/>
        </w:rPr>
        <w:t xml:space="preserve">pellant appealed this decision to the appeals committee.  </w:t>
      </w:r>
    </w:p>
    <w:p w14:paraId="1D0ADF4D" w14:textId="77777777" w:rsidR="00795C45" w:rsidRPr="006D427D" w:rsidRDefault="00795C45" w:rsidP="00795C45">
      <w:pPr>
        <w:pStyle w:val="ListParagraph"/>
        <w:rPr>
          <w:rFonts w:ascii="Tahoma" w:hAnsi="Tahoma" w:cs="Tahoma"/>
          <w:sz w:val="22"/>
          <w:szCs w:val="22"/>
        </w:rPr>
      </w:pPr>
    </w:p>
    <w:p w14:paraId="452560E4" w14:textId="77777777" w:rsidR="00795C45" w:rsidRPr="006D427D" w:rsidRDefault="00795C45"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In essence there were two grounds of appeal:</w:t>
      </w:r>
    </w:p>
    <w:p w14:paraId="4602F573" w14:textId="77777777" w:rsidR="00795C45" w:rsidRPr="006D427D" w:rsidRDefault="00795C45" w:rsidP="00795C45">
      <w:pPr>
        <w:pStyle w:val="ListParagraph"/>
        <w:rPr>
          <w:rFonts w:ascii="Tahoma" w:hAnsi="Tahoma" w:cs="Tahoma"/>
          <w:sz w:val="22"/>
          <w:szCs w:val="22"/>
        </w:rPr>
      </w:pPr>
    </w:p>
    <w:p w14:paraId="7A8F28D2" w14:textId="18C3A800" w:rsidR="00795C45" w:rsidRPr="006D427D" w:rsidRDefault="00795C45" w:rsidP="00612F2D">
      <w:pPr>
        <w:pStyle w:val="ListParagraph"/>
        <w:numPr>
          <w:ilvl w:val="0"/>
          <w:numId w:val="7"/>
        </w:numPr>
        <w:spacing w:line="360" w:lineRule="auto"/>
        <w:jc w:val="both"/>
        <w:rPr>
          <w:rFonts w:ascii="Tahoma" w:hAnsi="Tahoma" w:cs="Tahoma"/>
          <w:sz w:val="22"/>
          <w:szCs w:val="22"/>
        </w:rPr>
      </w:pPr>
      <w:r w:rsidRPr="006D427D">
        <w:rPr>
          <w:rFonts w:ascii="Tahoma" w:hAnsi="Tahoma" w:cs="Tahoma"/>
          <w:sz w:val="22"/>
          <w:szCs w:val="22"/>
        </w:rPr>
        <w:t xml:space="preserve">That the Authority failed </w:t>
      </w:r>
      <w:r w:rsidR="00083B29" w:rsidRPr="006D427D">
        <w:rPr>
          <w:rFonts w:ascii="Tahoma" w:hAnsi="Tahoma" w:cs="Tahoma"/>
          <w:sz w:val="22"/>
          <w:szCs w:val="22"/>
        </w:rPr>
        <w:t xml:space="preserve">in its obligation to comply with s39(1) of the Act </w:t>
      </w:r>
      <w:r w:rsidR="00374DB6">
        <w:rPr>
          <w:rFonts w:ascii="Tahoma" w:hAnsi="Tahoma" w:cs="Tahoma"/>
          <w:sz w:val="22"/>
          <w:szCs w:val="22"/>
        </w:rPr>
        <w:t>by not giving</w:t>
      </w:r>
      <w:r w:rsidR="00083B29" w:rsidRPr="006D427D">
        <w:rPr>
          <w:rFonts w:ascii="Tahoma" w:hAnsi="Tahoma" w:cs="Tahoma"/>
          <w:sz w:val="22"/>
          <w:szCs w:val="22"/>
        </w:rPr>
        <w:t xml:space="preserve"> appellant an opportunity to respond to evidence the Authority relied on in making its decision to decline interim product approval</w:t>
      </w:r>
      <w:r w:rsidR="00612F2D" w:rsidRPr="006D427D">
        <w:rPr>
          <w:rFonts w:ascii="Tahoma" w:hAnsi="Tahoma" w:cs="Tahoma"/>
          <w:sz w:val="22"/>
          <w:szCs w:val="22"/>
        </w:rPr>
        <w:t xml:space="preserve">; and </w:t>
      </w:r>
    </w:p>
    <w:p w14:paraId="611DFDA4" w14:textId="77777777" w:rsidR="00612F2D" w:rsidRPr="006D427D" w:rsidRDefault="00612F2D" w:rsidP="00612F2D">
      <w:pPr>
        <w:pStyle w:val="ListParagraph"/>
        <w:spacing w:line="360" w:lineRule="auto"/>
        <w:ind w:left="1440"/>
        <w:jc w:val="both"/>
        <w:rPr>
          <w:rFonts w:ascii="Tahoma" w:hAnsi="Tahoma" w:cs="Tahoma"/>
          <w:sz w:val="22"/>
          <w:szCs w:val="22"/>
        </w:rPr>
      </w:pPr>
    </w:p>
    <w:p w14:paraId="5698786F" w14:textId="107069B3" w:rsidR="00612F2D" w:rsidRPr="006D427D" w:rsidRDefault="00612F2D" w:rsidP="00612F2D">
      <w:pPr>
        <w:pStyle w:val="ListParagraph"/>
        <w:numPr>
          <w:ilvl w:val="0"/>
          <w:numId w:val="7"/>
        </w:numPr>
        <w:spacing w:line="360" w:lineRule="auto"/>
        <w:jc w:val="both"/>
        <w:rPr>
          <w:rFonts w:ascii="Tahoma" w:hAnsi="Tahoma" w:cs="Tahoma"/>
          <w:sz w:val="22"/>
          <w:szCs w:val="22"/>
        </w:rPr>
      </w:pPr>
      <w:r w:rsidRPr="006D427D">
        <w:rPr>
          <w:rFonts w:ascii="Tahoma" w:hAnsi="Tahoma" w:cs="Tahoma"/>
          <w:sz w:val="22"/>
          <w:szCs w:val="22"/>
        </w:rPr>
        <w:t xml:space="preserve">The evidential basis on which </w:t>
      </w:r>
      <w:r w:rsidR="0044694E" w:rsidRPr="006D427D">
        <w:rPr>
          <w:rFonts w:ascii="Tahoma" w:hAnsi="Tahoma" w:cs="Tahoma"/>
          <w:sz w:val="22"/>
          <w:szCs w:val="22"/>
        </w:rPr>
        <w:t>the Authority relied in making its decision was substantially flawed leading</w:t>
      </w:r>
      <w:r w:rsidR="00711351">
        <w:rPr>
          <w:rFonts w:ascii="Tahoma" w:hAnsi="Tahoma" w:cs="Tahoma"/>
          <w:sz w:val="22"/>
          <w:szCs w:val="22"/>
        </w:rPr>
        <w:t>,</w:t>
      </w:r>
      <w:r w:rsidR="0044694E" w:rsidRPr="006D427D">
        <w:rPr>
          <w:rFonts w:ascii="Tahoma" w:hAnsi="Tahoma" w:cs="Tahoma"/>
          <w:sz w:val="22"/>
          <w:szCs w:val="22"/>
        </w:rPr>
        <w:t xml:space="preserve"> to a decision </w:t>
      </w:r>
      <w:r w:rsidR="00C668CF" w:rsidRPr="006D427D">
        <w:rPr>
          <w:rFonts w:ascii="Tahoma" w:hAnsi="Tahoma" w:cs="Tahoma"/>
          <w:sz w:val="22"/>
          <w:szCs w:val="22"/>
        </w:rPr>
        <w:t xml:space="preserve">that was both unreasonable and wrong in law.  </w:t>
      </w:r>
    </w:p>
    <w:p w14:paraId="32511DD5" w14:textId="77777777" w:rsidR="00C668CF" w:rsidRPr="006D427D" w:rsidRDefault="00C668CF" w:rsidP="00C668CF">
      <w:pPr>
        <w:pStyle w:val="ListParagraph"/>
        <w:rPr>
          <w:rFonts w:ascii="Tahoma" w:hAnsi="Tahoma" w:cs="Tahoma"/>
          <w:sz w:val="22"/>
          <w:szCs w:val="22"/>
        </w:rPr>
      </w:pPr>
    </w:p>
    <w:p w14:paraId="6CF2303F" w14:textId="3A0DC00E" w:rsidR="00C668CF" w:rsidRPr="006D427D" w:rsidRDefault="00D0057E" w:rsidP="00C668C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Because the first ground of appeal related to </w:t>
      </w:r>
      <w:r w:rsidR="0012474F" w:rsidRPr="006D427D">
        <w:rPr>
          <w:rFonts w:ascii="Tahoma" w:hAnsi="Tahoma" w:cs="Tahoma"/>
          <w:sz w:val="22"/>
          <w:szCs w:val="22"/>
        </w:rPr>
        <w:t xml:space="preserve">a failure by </w:t>
      </w:r>
      <w:r w:rsidR="003D279A" w:rsidRPr="006D427D">
        <w:rPr>
          <w:rFonts w:ascii="Tahoma" w:hAnsi="Tahoma" w:cs="Tahoma"/>
          <w:sz w:val="22"/>
          <w:szCs w:val="22"/>
        </w:rPr>
        <w:t>the Authority to consider submissions and evidence the appellant could have provided we gave leave to the appellant to file additional evidence</w:t>
      </w:r>
      <w:r w:rsidR="00711351">
        <w:rPr>
          <w:rFonts w:ascii="Tahoma" w:hAnsi="Tahoma" w:cs="Tahoma"/>
          <w:sz w:val="22"/>
          <w:szCs w:val="22"/>
        </w:rPr>
        <w:t>.  This was</w:t>
      </w:r>
      <w:r w:rsidR="003D279A" w:rsidRPr="006D427D">
        <w:rPr>
          <w:rFonts w:ascii="Tahoma" w:hAnsi="Tahoma" w:cs="Tahoma"/>
          <w:sz w:val="22"/>
          <w:szCs w:val="22"/>
        </w:rPr>
        <w:t xml:space="preserve"> subject to </w:t>
      </w:r>
      <w:r w:rsidR="00882EBB" w:rsidRPr="006D427D">
        <w:rPr>
          <w:rFonts w:ascii="Tahoma" w:hAnsi="Tahoma" w:cs="Tahoma"/>
          <w:sz w:val="22"/>
          <w:szCs w:val="22"/>
        </w:rPr>
        <w:t xml:space="preserve">being satisfied, as a matter of law, </w:t>
      </w:r>
      <w:r w:rsidR="003D279A" w:rsidRPr="006D427D">
        <w:rPr>
          <w:rFonts w:ascii="Tahoma" w:hAnsi="Tahoma" w:cs="Tahoma"/>
          <w:sz w:val="22"/>
          <w:szCs w:val="22"/>
        </w:rPr>
        <w:t xml:space="preserve">that </w:t>
      </w:r>
      <w:r w:rsidR="00882EBB" w:rsidRPr="006D427D">
        <w:rPr>
          <w:rFonts w:ascii="Tahoma" w:hAnsi="Tahoma" w:cs="Tahoma"/>
          <w:sz w:val="22"/>
          <w:szCs w:val="22"/>
        </w:rPr>
        <w:t xml:space="preserve">this </w:t>
      </w:r>
      <w:r w:rsidR="00711351">
        <w:rPr>
          <w:rFonts w:ascii="Tahoma" w:hAnsi="Tahoma" w:cs="Tahoma"/>
          <w:sz w:val="22"/>
          <w:szCs w:val="22"/>
        </w:rPr>
        <w:t>C</w:t>
      </w:r>
      <w:r w:rsidR="00267989" w:rsidRPr="006D427D">
        <w:rPr>
          <w:rFonts w:ascii="Tahoma" w:hAnsi="Tahoma" w:cs="Tahoma"/>
          <w:sz w:val="22"/>
          <w:szCs w:val="22"/>
        </w:rPr>
        <w:t xml:space="preserve">ommittee could receive fresh evidence on an appeal which is to be by way of </w:t>
      </w:r>
      <w:r w:rsidR="00222FFD" w:rsidRPr="006D427D">
        <w:rPr>
          <w:rFonts w:ascii="Tahoma" w:hAnsi="Tahoma" w:cs="Tahoma"/>
          <w:sz w:val="22"/>
          <w:szCs w:val="22"/>
        </w:rPr>
        <w:t>rehearing.</w:t>
      </w:r>
      <w:r w:rsidR="007E6868" w:rsidRPr="006D427D">
        <w:rPr>
          <w:rStyle w:val="FootnoteReference"/>
          <w:rFonts w:ascii="Tahoma" w:hAnsi="Tahoma" w:cs="Tahoma"/>
          <w:sz w:val="22"/>
          <w:szCs w:val="22"/>
        </w:rPr>
        <w:footnoteReference w:id="1"/>
      </w:r>
      <w:r w:rsidR="00711351">
        <w:rPr>
          <w:rFonts w:ascii="Tahoma" w:hAnsi="Tahoma" w:cs="Tahoma"/>
          <w:sz w:val="22"/>
          <w:szCs w:val="22"/>
        </w:rPr>
        <w:t xml:space="preserve">  </w:t>
      </w:r>
      <w:r w:rsidR="007E6868" w:rsidRPr="006D427D">
        <w:rPr>
          <w:rFonts w:ascii="Tahoma" w:hAnsi="Tahoma" w:cs="Tahoma"/>
          <w:sz w:val="22"/>
          <w:szCs w:val="22"/>
        </w:rPr>
        <w:t>Equally we gave leave to the Authority to file fresh evidence by way of a response.</w:t>
      </w:r>
    </w:p>
    <w:p w14:paraId="2231BFC0" w14:textId="77777777" w:rsidR="007E6868" w:rsidRPr="006D427D" w:rsidRDefault="007E6868" w:rsidP="007E6868">
      <w:pPr>
        <w:pStyle w:val="ListParagraph"/>
        <w:spacing w:line="360" w:lineRule="auto"/>
        <w:jc w:val="both"/>
        <w:rPr>
          <w:rFonts w:ascii="Tahoma" w:hAnsi="Tahoma" w:cs="Tahoma"/>
          <w:sz w:val="22"/>
          <w:szCs w:val="22"/>
        </w:rPr>
      </w:pPr>
    </w:p>
    <w:p w14:paraId="6995DABA" w14:textId="577BBC4D" w:rsidR="00C668CF" w:rsidRPr="006D427D" w:rsidRDefault="00E271F9"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lastRenderedPageBreak/>
        <w:t xml:space="preserve">Once the </w:t>
      </w:r>
      <w:r w:rsidR="006D427D" w:rsidRPr="006D427D">
        <w:rPr>
          <w:rFonts w:ascii="Tahoma" w:hAnsi="Tahoma" w:cs="Tahoma"/>
          <w:sz w:val="22"/>
          <w:szCs w:val="22"/>
        </w:rPr>
        <w:t>Authority</w:t>
      </w:r>
      <w:r w:rsidRPr="006D427D">
        <w:rPr>
          <w:rFonts w:ascii="Tahoma" w:hAnsi="Tahoma" w:cs="Tahoma"/>
          <w:sz w:val="22"/>
          <w:szCs w:val="22"/>
        </w:rPr>
        <w:t xml:space="preserve"> </w:t>
      </w:r>
      <w:r w:rsidR="006D427D" w:rsidRPr="006D427D">
        <w:rPr>
          <w:rFonts w:ascii="Tahoma" w:hAnsi="Tahoma" w:cs="Tahoma"/>
          <w:sz w:val="22"/>
          <w:szCs w:val="22"/>
        </w:rPr>
        <w:t>had</w:t>
      </w:r>
      <w:r w:rsidR="007E6868" w:rsidRPr="006D427D">
        <w:rPr>
          <w:rFonts w:ascii="Tahoma" w:hAnsi="Tahoma" w:cs="Tahoma"/>
          <w:sz w:val="22"/>
          <w:szCs w:val="22"/>
        </w:rPr>
        <w:t xml:space="preserve"> filed a record of its</w:t>
      </w:r>
      <w:r w:rsidRPr="006D427D">
        <w:rPr>
          <w:rFonts w:ascii="Tahoma" w:hAnsi="Tahoma" w:cs="Tahoma"/>
          <w:sz w:val="22"/>
          <w:szCs w:val="22"/>
        </w:rPr>
        <w:t xml:space="preserve"> decision, and</w:t>
      </w:r>
      <w:r w:rsidR="00711351">
        <w:rPr>
          <w:rFonts w:ascii="Tahoma" w:hAnsi="Tahoma" w:cs="Tahoma"/>
          <w:sz w:val="22"/>
          <w:szCs w:val="22"/>
        </w:rPr>
        <w:t xml:space="preserve"> received</w:t>
      </w:r>
      <w:r w:rsidRPr="006D427D">
        <w:rPr>
          <w:rFonts w:ascii="Tahoma" w:hAnsi="Tahoma" w:cs="Tahoma"/>
          <w:sz w:val="22"/>
          <w:szCs w:val="22"/>
        </w:rPr>
        <w:t xml:space="preserve"> the fresh evidence on which both parties relied, </w:t>
      </w:r>
      <w:r w:rsidR="00BB7877" w:rsidRPr="006D427D">
        <w:rPr>
          <w:rFonts w:ascii="Tahoma" w:hAnsi="Tahoma" w:cs="Tahoma"/>
          <w:sz w:val="22"/>
          <w:szCs w:val="22"/>
        </w:rPr>
        <w:t>we sought views from the parties as to whether an oral hearing was required</w:t>
      </w:r>
      <w:r w:rsidR="00711351">
        <w:rPr>
          <w:rFonts w:ascii="Tahoma" w:hAnsi="Tahoma" w:cs="Tahoma"/>
          <w:sz w:val="22"/>
          <w:szCs w:val="22"/>
        </w:rPr>
        <w:t xml:space="preserve">.  </w:t>
      </w:r>
      <w:r w:rsidR="000D78A0" w:rsidRPr="006D427D">
        <w:rPr>
          <w:rFonts w:ascii="Tahoma" w:hAnsi="Tahoma" w:cs="Tahoma"/>
          <w:sz w:val="22"/>
          <w:szCs w:val="22"/>
        </w:rPr>
        <w:t>Both parties confirmed that an oral hearing was sought and accordingly the matter was set down for hearing i</w:t>
      </w:r>
      <w:r w:rsidR="00711351">
        <w:rPr>
          <w:rFonts w:ascii="Tahoma" w:hAnsi="Tahoma" w:cs="Tahoma"/>
          <w:sz w:val="22"/>
          <w:szCs w:val="22"/>
        </w:rPr>
        <w:t xml:space="preserve">n Wellington on 31 April 2014.  </w:t>
      </w:r>
      <w:r w:rsidR="000D78A0" w:rsidRPr="006D427D">
        <w:rPr>
          <w:rFonts w:ascii="Tahoma" w:hAnsi="Tahoma" w:cs="Tahoma"/>
          <w:sz w:val="22"/>
          <w:szCs w:val="22"/>
        </w:rPr>
        <w:t>At that hearing Mr Dunn</w:t>
      </w:r>
      <w:r w:rsidR="0015235C">
        <w:rPr>
          <w:rFonts w:ascii="Tahoma" w:hAnsi="Tahoma" w:cs="Tahoma"/>
          <w:sz w:val="22"/>
          <w:szCs w:val="22"/>
        </w:rPr>
        <w:t>e</w:t>
      </w:r>
      <w:r w:rsidR="000D78A0" w:rsidRPr="006D427D">
        <w:rPr>
          <w:rFonts w:ascii="Tahoma" w:hAnsi="Tahoma" w:cs="Tahoma"/>
          <w:sz w:val="22"/>
          <w:szCs w:val="22"/>
        </w:rPr>
        <w:t xml:space="preserve"> and Mr Russell appeared for the appellant, and Ms Miller appeared for the Authority.  Counsel for both parties filed submissions in advance of the hearing which were of significant assistance to us</w:t>
      </w:r>
      <w:r w:rsidR="00E22397" w:rsidRPr="006D427D">
        <w:rPr>
          <w:rFonts w:ascii="Tahoma" w:hAnsi="Tahoma" w:cs="Tahoma"/>
          <w:sz w:val="22"/>
          <w:szCs w:val="22"/>
        </w:rPr>
        <w:t xml:space="preserve">.  </w:t>
      </w:r>
    </w:p>
    <w:p w14:paraId="34F4F154" w14:textId="77777777" w:rsidR="00E22397" w:rsidRPr="006D427D" w:rsidRDefault="00E22397" w:rsidP="00E22397">
      <w:pPr>
        <w:pStyle w:val="ListParagraph"/>
        <w:rPr>
          <w:rFonts w:ascii="Tahoma" w:hAnsi="Tahoma" w:cs="Tahoma"/>
          <w:sz w:val="22"/>
          <w:szCs w:val="22"/>
        </w:rPr>
      </w:pPr>
    </w:p>
    <w:p w14:paraId="33DB029A" w14:textId="1ED44B8C" w:rsidR="00E22397" w:rsidRPr="006D427D" w:rsidRDefault="00E22397"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At the conclusion of the hearing, </w:t>
      </w:r>
      <w:r w:rsidR="00380B89" w:rsidRPr="006D427D">
        <w:rPr>
          <w:rFonts w:ascii="Tahoma" w:hAnsi="Tahoma" w:cs="Tahoma"/>
          <w:sz w:val="22"/>
          <w:szCs w:val="22"/>
        </w:rPr>
        <w:t>we gave an indication of the result, on the basis that our reasons would follow.  We determined to grant the appeal</w:t>
      </w:r>
      <w:r w:rsidR="000214B3" w:rsidRPr="006D427D">
        <w:rPr>
          <w:rFonts w:ascii="Tahoma" w:hAnsi="Tahoma" w:cs="Tahoma"/>
          <w:sz w:val="22"/>
          <w:szCs w:val="22"/>
        </w:rPr>
        <w:t xml:space="preserve"> but rather than </w:t>
      </w:r>
      <w:r w:rsidR="0015235C">
        <w:rPr>
          <w:rFonts w:ascii="Tahoma" w:hAnsi="Tahoma" w:cs="Tahoma"/>
          <w:sz w:val="22"/>
          <w:szCs w:val="22"/>
        </w:rPr>
        <w:t>approve the product</w:t>
      </w:r>
      <w:r w:rsidR="000214B3" w:rsidRPr="006D427D">
        <w:rPr>
          <w:rFonts w:ascii="Tahoma" w:hAnsi="Tahoma" w:cs="Tahoma"/>
          <w:sz w:val="22"/>
          <w:szCs w:val="22"/>
        </w:rPr>
        <w:t xml:space="preserve"> on an interim basis, we instead indicated that we would direct that the matter be referred back to the </w:t>
      </w:r>
      <w:r w:rsidR="006D427D" w:rsidRPr="006D427D">
        <w:rPr>
          <w:rFonts w:ascii="Tahoma" w:hAnsi="Tahoma" w:cs="Tahoma"/>
          <w:sz w:val="22"/>
          <w:szCs w:val="22"/>
        </w:rPr>
        <w:t>Authority</w:t>
      </w:r>
      <w:r w:rsidR="000214B3" w:rsidRPr="006D427D">
        <w:rPr>
          <w:rFonts w:ascii="Tahoma" w:hAnsi="Tahoma" w:cs="Tahoma"/>
          <w:sz w:val="22"/>
          <w:szCs w:val="22"/>
        </w:rPr>
        <w:t xml:space="preserve"> for reconsideration under s46 of the Act.  </w:t>
      </w:r>
    </w:p>
    <w:p w14:paraId="73FF94AD" w14:textId="77777777" w:rsidR="000214B3" w:rsidRPr="006D427D" w:rsidRDefault="000214B3" w:rsidP="000214B3">
      <w:pPr>
        <w:pStyle w:val="ListParagraph"/>
        <w:rPr>
          <w:rFonts w:ascii="Tahoma" w:hAnsi="Tahoma" w:cs="Tahoma"/>
          <w:sz w:val="22"/>
          <w:szCs w:val="22"/>
        </w:rPr>
      </w:pPr>
    </w:p>
    <w:p w14:paraId="2EF79CAC" w14:textId="5714EA14" w:rsidR="000214B3" w:rsidRPr="006D427D" w:rsidRDefault="000214B3"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We record our reasons</w:t>
      </w:r>
      <w:r w:rsidR="00711351">
        <w:rPr>
          <w:rFonts w:ascii="Tahoma" w:hAnsi="Tahoma" w:cs="Tahoma"/>
          <w:sz w:val="22"/>
          <w:szCs w:val="22"/>
        </w:rPr>
        <w:t xml:space="preserve"> in this d</w:t>
      </w:r>
      <w:r w:rsidR="004E75EB" w:rsidRPr="006D427D">
        <w:rPr>
          <w:rFonts w:ascii="Tahoma" w:hAnsi="Tahoma" w:cs="Tahoma"/>
          <w:sz w:val="22"/>
          <w:szCs w:val="22"/>
        </w:rPr>
        <w:t>ecision for that outcome but we mu</w:t>
      </w:r>
      <w:r w:rsidR="00D52FDA" w:rsidRPr="006D427D">
        <w:rPr>
          <w:rFonts w:ascii="Tahoma" w:hAnsi="Tahoma" w:cs="Tahoma"/>
          <w:sz w:val="22"/>
          <w:szCs w:val="22"/>
        </w:rPr>
        <w:t>s</w:t>
      </w:r>
      <w:r w:rsidR="004E75EB" w:rsidRPr="006D427D">
        <w:rPr>
          <w:rFonts w:ascii="Tahoma" w:hAnsi="Tahoma" w:cs="Tahoma"/>
          <w:sz w:val="22"/>
          <w:szCs w:val="22"/>
        </w:rPr>
        <w:t xml:space="preserve">t also record that </w:t>
      </w:r>
      <w:r w:rsidR="00D52FDA" w:rsidRPr="006D427D">
        <w:rPr>
          <w:rFonts w:ascii="Tahoma" w:hAnsi="Tahoma" w:cs="Tahoma"/>
          <w:sz w:val="22"/>
          <w:szCs w:val="22"/>
        </w:rPr>
        <w:t xml:space="preserve">legislative events that occurred </w:t>
      </w:r>
      <w:r w:rsidR="00711351">
        <w:rPr>
          <w:rFonts w:ascii="Tahoma" w:hAnsi="Tahoma" w:cs="Tahoma"/>
          <w:sz w:val="22"/>
          <w:szCs w:val="22"/>
        </w:rPr>
        <w:t>while we prepared our</w:t>
      </w:r>
      <w:r w:rsidR="00D52FDA" w:rsidRPr="006D427D">
        <w:rPr>
          <w:rFonts w:ascii="Tahoma" w:hAnsi="Tahoma" w:cs="Tahoma"/>
          <w:sz w:val="22"/>
          <w:szCs w:val="22"/>
        </w:rPr>
        <w:t xml:space="preserve"> reasons have overtaken this appeal</w:t>
      </w:r>
      <w:r w:rsidR="00930723" w:rsidRPr="006D427D">
        <w:rPr>
          <w:rFonts w:ascii="Tahoma" w:hAnsi="Tahoma" w:cs="Tahoma"/>
          <w:sz w:val="22"/>
          <w:szCs w:val="22"/>
        </w:rPr>
        <w:t xml:space="preserve"> rendering our decision nugatory</w:t>
      </w:r>
      <w:r w:rsidR="00233CDB" w:rsidRPr="006D427D">
        <w:rPr>
          <w:rFonts w:ascii="Tahoma" w:hAnsi="Tahoma" w:cs="Tahoma"/>
          <w:sz w:val="22"/>
          <w:szCs w:val="22"/>
        </w:rPr>
        <w:t xml:space="preserve">.  </w:t>
      </w:r>
    </w:p>
    <w:p w14:paraId="6C4234A5" w14:textId="77777777" w:rsidR="00233CDB" w:rsidRPr="006D427D" w:rsidRDefault="00233CDB" w:rsidP="00233CDB">
      <w:pPr>
        <w:pStyle w:val="ListParagraph"/>
        <w:rPr>
          <w:rFonts w:ascii="Tahoma" w:hAnsi="Tahoma" w:cs="Tahoma"/>
          <w:sz w:val="22"/>
          <w:szCs w:val="22"/>
        </w:rPr>
      </w:pPr>
    </w:p>
    <w:p w14:paraId="42EA86B1" w14:textId="2D574EF4" w:rsidR="00233CDB" w:rsidRPr="006D427D" w:rsidRDefault="00233CDB"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Some weeks after this</w:t>
      </w:r>
      <w:r w:rsidR="00D601F7" w:rsidRPr="006D427D">
        <w:rPr>
          <w:rFonts w:ascii="Tahoma" w:hAnsi="Tahoma" w:cs="Tahoma"/>
          <w:sz w:val="22"/>
          <w:szCs w:val="22"/>
        </w:rPr>
        <w:t xml:space="preserve"> and other appe</w:t>
      </w:r>
      <w:r w:rsidR="00191E3A" w:rsidRPr="006D427D">
        <w:rPr>
          <w:rFonts w:ascii="Tahoma" w:hAnsi="Tahoma" w:cs="Tahoma"/>
          <w:sz w:val="22"/>
          <w:szCs w:val="22"/>
        </w:rPr>
        <w:t xml:space="preserve">als were heard, the Associate Minister of Health communicated to media </w:t>
      </w:r>
      <w:r w:rsidR="00430ED0" w:rsidRPr="006D427D">
        <w:rPr>
          <w:rFonts w:ascii="Tahoma" w:hAnsi="Tahoma" w:cs="Tahoma"/>
          <w:sz w:val="22"/>
          <w:szCs w:val="22"/>
        </w:rPr>
        <w:t xml:space="preserve">that the Government intended to pass </w:t>
      </w:r>
      <w:r w:rsidR="00B879A0" w:rsidRPr="006D427D">
        <w:rPr>
          <w:rFonts w:ascii="Tahoma" w:hAnsi="Tahoma" w:cs="Tahoma"/>
          <w:sz w:val="22"/>
          <w:szCs w:val="22"/>
        </w:rPr>
        <w:t>law amending the principle Act in a number of ways</w:t>
      </w:r>
      <w:r w:rsidR="00711351">
        <w:rPr>
          <w:rFonts w:ascii="Tahoma" w:hAnsi="Tahoma" w:cs="Tahoma"/>
          <w:sz w:val="22"/>
          <w:szCs w:val="22"/>
        </w:rPr>
        <w:t xml:space="preserve">.  </w:t>
      </w:r>
      <w:r w:rsidR="00843145" w:rsidRPr="006D427D">
        <w:rPr>
          <w:rFonts w:ascii="Tahoma" w:hAnsi="Tahoma" w:cs="Tahoma"/>
          <w:sz w:val="22"/>
          <w:szCs w:val="22"/>
        </w:rPr>
        <w:t xml:space="preserve">Included in those amendments </w:t>
      </w:r>
      <w:r w:rsidR="00CE0255" w:rsidRPr="006D427D">
        <w:rPr>
          <w:rFonts w:ascii="Tahoma" w:hAnsi="Tahoma" w:cs="Tahoma"/>
          <w:sz w:val="22"/>
          <w:szCs w:val="22"/>
        </w:rPr>
        <w:t xml:space="preserve">was an intention to effectively ban the manufacture, distribution, and sale of psychoactive substances and </w:t>
      </w:r>
      <w:r w:rsidR="00687275" w:rsidRPr="006D427D">
        <w:rPr>
          <w:rFonts w:ascii="Tahoma" w:hAnsi="Tahoma" w:cs="Tahoma"/>
          <w:sz w:val="22"/>
          <w:szCs w:val="22"/>
        </w:rPr>
        <w:t>products</w:t>
      </w:r>
      <w:r w:rsidR="00DA4C51" w:rsidRPr="006D427D">
        <w:rPr>
          <w:rFonts w:ascii="Tahoma" w:hAnsi="Tahoma" w:cs="Tahoma"/>
          <w:sz w:val="22"/>
          <w:szCs w:val="22"/>
        </w:rPr>
        <w:t xml:space="preserve"> on an interim basis</w:t>
      </w:r>
      <w:r w:rsidR="00711351">
        <w:rPr>
          <w:rFonts w:ascii="Tahoma" w:hAnsi="Tahoma" w:cs="Tahoma"/>
          <w:sz w:val="22"/>
          <w:szCs w:val="22"/>
        </w:rPr>
        <w:t>,</w:t>
      </w:r>
      <w:r w:rsidR="00DA4C51" w:rsidRPr="006D427D">
        <w:rPr>
          <w:rFonts w:ascii="Tahoma" w:hAnsi="Tahoma" w:cs="Tahoma"/>
          <w:sz w:val="22"/>
          <w:szCs w:val="22"/>
        </w:rPr>
        <w:t xml:space="preserve"> which had been </w:t>
      </w:r>
      <w:r w:rsidR="00132F30" w:rsidRPr="006D427D">
        <w:rPr>
          <w:rFonts w:ascii="Tahoma" w:hAnsi="Tahoma" w:cs="Tahoma"/>
          <w:sz w:val="22"/>
          <w:szCs w:val="22"/>
        </w:rPr>
        <w:t>permitted by Schedule 1 of the principle Act</w:t>
      </w:r>
      <w:r w:rsidR="00562927" w:rsidRPr="006D427D">
        <w:rPr>
          <w:rFonts w:ascii="Tahoma" w:hAnsi="Tahoma" w:cs="Tahoma"/>
          <w:sz w:val="22"/>
          <w:szCs w:val="22"/>
        </w:rPr>
        <w:t xml:space="preserve"> until that point. </w:t>
      </w:r>
    </w:p>
    <w:p w14:paraId="3A3E0BBE" w14:textId="77777777" w:rsidR="00007A6A" w:rsidRPr="006D427D" w:rsidRDefault="00007A6A" w:rsidP="00007A6A">
      <w:pPr>
        <w:pStyle w:val="ListParagraph"/>
        <w:rPr>
          <w:rFonts w:ascii="Tahoma" w:hAnsi="Tahoma" w:cs="Tahoma"/>
          <w:sz w:val="22"/>
          <w:szCs w:val="22"/>
        </w:rPr>
      </w:pPr>
    </w:p>
    <w:p w14:paraId="795550E3" w14:textId="77777777" w:rsidR="00007A6A" w:rsidRPr="006D427D" w:rsidRDefault="00007A6A"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This legislation was passed under urgency on 6 May 2014, and came into effect at midnight on 7 May 2014.</w:t>
      </w:r>
    </w:p>
    <w:p w14:paraId="590CFEA3" w14:textId="77777777" w:rsidR="00007A6A" w:rsidRPr="006D427D" w:rsidRDefault="00007A6A" w:rsidP="00007A6A">
      <w:pPr>
        <w:pStyle w:val="ListParagraph"/>
        <w:rPr>
          <w:rFonts w:ascii="Tahoma" w:hAnsi="Tahoma" w:cs="Tahoma"/>
          <w:sz w:val="22"/>
          <w:szCs w:val="22"/>
        </w:rPr>
      </w:pPr>
    </w:p>
    <w:p w14:paraId="62919BE3" w14:textId="77777777" w:rsidR="00007A6A" w:rsidRPr="006D427D" w:rsidRDefault="00007A6A"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Critical to the present appeal the Psychoactive Substances Amendment Act 2014 revokes every interim approval granted in respect of a psychoactive product under clause 4 of Schedule 1 of the principle Act.</w:t>
      </w:r>
      <w:r w:rsidRPr="006D427D">
        <w:rPr>
          <w:rStyle w:val="FootnoteReference"/>
          <w:rFonts w:ascii="Tahoma" w:hAnsi="Tahoma" w:cs="Tahoma"/>
          <w:sz w:val="22"/>
          <w:szCs w:val="22"/>
        </w:rPr>
        <w:footnoteReference w:id="2"/>
      </w:r>
    </w:p>
    <w:p w14:paraId="07164A28" w14:textId="77777777" w:rsidR="00007A6A" w:rsidRPr="006D427D" w:rsidRDefault="00007A6A" w:rsidP="00007A6A">
      <w:pPr>
        <w:pStyle w:val="ListParagraph"/>
        <w:rPr>
          <w:rFonts w:ascii="Tahoma" w:hAnsi="Tahoma" w:cs="Tahoma"/>
          <w:sz w:val="22"/>
          <w:szCs w:val="22"/>
        </w:rPr>
      </w:pPr>
    </w:p>
    <w:p w14:paraId="7D278937" w14:textId="070C35EA" w:rsidR="00007A6A" w:rsidRPr="006D427D" w:rsidRDefault="00007A6A"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lastRenderedPageBreak/>
        <w:t xml:space="preserve">Further, the Authority is </w:t>
      </w:r>
      <w:r w:rsidR="007C0FC1" w:rsidRPr="006D427D">
        <w:rPr>
          <w:rFonts w:ascii="Tahoma" w:hAnsi="Tahoma" w:cs="Tahoma"/>
          <w:sz w:val="22"/>
          <w:szCs w:val="22"/>
        </w:rPr>
        <w:t xml:space="preserve">required before the close of day </w:t>
      </w:r>
      <w:r w:rsidR="00652715" w:rsidRPr="006D427D">
        <w:rPr>
          <w:rFonts w:ascii="Tahoma" w:hAnsi="Tahoma" w:cs="Tahoma"/>
          <w:sz w:val="22"/>
          <w:szCs w:val="22"/>
        </w:rPr>
        <w:t xml:space="preserve">after the date of commencement </w:t>
      </w:r>
      <w:r w:rsidR="00850326" w:rsidRPr="006D427D">
        <w:rPr>
          <w:rFonts w:ascii="Tahoma" w:hAnsi="Tahoma" w:cs="Tahoma"/>
          <w:sz w:val="22"/>
          <w:szCs w:val="22"/>
        </w:rPr>
        <w:t xml:space="preserve">to </w:t>
      </w:r>
      <w:r w:rsidR="00652715" w:rsidRPr="006D427D">
        <w:rPr>
          <w:rFonts w:ascii="Tahoma" w:hAnsi="Tahoma" w:cs="Tahoma"/>
          <w:sz w:val="22"/>
          <w:szCs w:val="22"/>
        </w:rPr>
        <w:t xml:space="preserve">recall </w:t>
      </w:r>
      <w:r w:rsidR="00850326" w:rsidRPr="006D427D">
        <w:rPr>
          <w:rFonts w:ascii="Tahoma" w:hAnsi="Tahoma" w:cs="Tahoma"/>
          <w:sz w:val="22"/>
          <w:szCs w:val="22"/>
        </w:rPr>
        <w:t>every psychoactive product</w:t>
      </w:r>
      <w:r w:rsidR="00711351" w:rsidRPr="00711351">
        <w:rPr>
          <w:rFonts w:ascii="Tahoma" w:hAnsi="Tahoma" w:cs="Tahoma"/>
          <w:sz w:val="22"/>
          <w:szCs w:val="22"/>
        </w:rPr>
        <w:t xml:space="preserve"> </w:t>
      </w:r>
      <w:r w:rsidR="00711351" w:rsidRPr="006D427D">
        <w:rPr>
          <w:rFonts w:ascii="Tahoma" w:hAnsi="Tahoma" w:cs="Tahoma"/>
          <w:sz w:val="22"/>
          <w:szCs w:val="22"/>
        </w:rPr>
        <w:t>under s88 of the principle Act</w:t>
      </w:r>
      <w:r w:rsidR="00850326" w:rsidRPr="006D427D">
        <w:rPr>
          <w:rFonts w:ascii="Tahoma" w:hAnsi="Tahoma" w:cs="Tahoma"/>
          <w:sz w:val="22"/>
          <w:szCs w:val="22"/>
        </w:rPr>
        <w:t>.</w:t>
      </w:r>
      <w:r w:rsidR="00850326" w:rsidRPr="006D427D">
        <w:rPr>
          <w:rStyle w:val="FootnoteReference"/>
          <w:rFonts w:ascii="Tahoma" w:hAnsi="Tahoma" w:cs="Tahoma"/>
          <w:sz w:val="22"/>
          <w:szCs w:val="22"/>
        </w:rPr>
        <w:footnoteReference w:id="3"/>
      </w:r>
      <w:r w:rsidR="00850326" w:rsidRPr="006D427D">
        <w:rPr>
          <w:rFonts w:ascii="Tahoma" w:hAnsi="Tahoma" w:cs="Tahoma"/>
          <w:sz w:val="22"/>
          <w:szCs w:val="22"/>
        </w:rPr>
        <w:t xml:space="preserve">   </w:t>
      </w:r>
      <w:r w:rsidR="00711351">
        <w:rPr>
          <w:rFonts w:ascii="Tahoma" w:hAnsi="Tahoma" w:cs="Tahoma"/>
          <w:sz w:val="22"/>
          <w:szCs w:val="22"/>
        </w:rPr>
        <w:t>E</w:t>
      </w:r>
      <w:r w:rsidR="00850326" w:rsidRPr="006D427D">
        <w:rPr>
          <w:rFonts w:ascii="Tahoma" w:hAnsi="Tahoma" w:cs="Tahoma"/>
          <w:sz w:val="22"/>
          <w:szCs w:val="22"/>
        </w:rPr>
        <w:t>very interim licence to sell by retail or wholesale is also revoked in the same manner</w:t>
      </w:r>
      <w:r w:rsidR="00850326" w:rsidRPr="006D427D">
        <w:rPr>
          <w:rStyle w:val="FootnoteReference"/>
          <w:rFonts w:ascii="Tahoma" w:hAnsi="Tahoma" w:cs="Tahoma"/>
          <w:sz w:val="22"/>
          <w:szCs w:val="22"/>
        </w:rPr>
        <w:footnoteReference w:id="4"/>
      </w:r>
      <w:r w:rsidR="00711351">
        <w:rPr>
          <w:rFonts w:ascii="Tahoma" w:hAnsi="Tahoma" w:cs="Tahoma"/>
          <w:sz w:val="22"/>
          <w:szCs w:val="22"/>
        </w:rPr>
        <w:t>.  F</w:t>
      </w:r>
      <w:r w:rsidR="00850326" w:rsidRPr="006D427D">
        <w:rPr>
          <w:rFonts w:ascii="Tahoma" w:hAnsi="Tahoma" w:cs="Tahoma"/>
          <w:sz w:val="22"/>
          <w:szCs w:val="22"/>
        </w:rPr>
        <w:t xml:space="preserve">or the avoidance of doubt, regardless of the outcome of any appeal under Subpart 3 of Part 2, interim licences to sell by retail or wholesale or interim approvals </w:t>
      </w:r>
      <w:r w:rsidR="0021260D" w:rsidRPr="006D427D">
        <w:rPr>
          <w:rFonts w:ascii="Tahoma" w:hAnsi="Tahoma" w:cs="Tahoma"/>
          <w:sz w:val="22"/>
          <w:szCs w:val="22"/>
        </w:rPr>
        <w:t xml:space="preserve">may not be granted.  </w:t>
      </w:r>
    </w:p>
    <w:p w14:paraId="70C7F505" w14:textId="77777777" w:rsidR="00B53326" w:rsidRPr="006D427D" w:rsidRDefault="00B53326" w:rsidP="00B53326">
      <w:pPr>
        <w:pStyle w:val="ListParagraph"/>
        <w:rPr>
          <w:rFonts w:ascii="Tahoma" w:hAnsi="Tahoma" w:cs="Tahoma"/>
          <w:sz w:val="22"/>
          <w:szCs w:val="22"/>
        </w:rPr>
      </w:pPr>
    </w:p>
    <w:p w14:paraId="420FAC57" w14:textId="07ACB13E" w:rsidR="00B53326" w:rsidRPr="006D427D" w:rsidRDefault="00B53326"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Accordingly, we now have no power to exercise any of the remedies available to us under s45 of the Act</w:t>
      </w:r>
      <w:r w:rsidR="00711351">
        <w:rPr>
          <w:rFonts w:ascii="Tahoma" w:hAnsi="Tahoma" w:cs="Tahoma"/>
          <w:sz w:val="22"/>
          <w:szCs w:val="22"/>
        </w:rPr>
        <w:t xml:space="preserve"> on an interim basis</w:t>
      </w:r>
      <w:r w:rsidRPr="006D427D">
        <w:rPr>
          <w:rFonts w:ascii="Tahoma" w:hAnsi="Tahoma" w:cs="Tahoma"/>
          <w:sz w:val="22"/>
          <w:szCs w:val="22"/>
        </w:rPr>
        <w:t>.  While the power under s46, which we propose</w:t>
      </w:r>
      <w:r w:rsidR="00711351">
        <w:rPr>
          <w:rFonts w:ascii="Tahoma" w:hAnsi="Tahoma" w:cs="Tahoma"/>
          <w:sz w:val="22"/>
          <w:szCs w:val="22"/>
        </w:rPr>
        <w:t>d</w:t>
      </w:r>
      <w:r w:rsidRPr="006D427D">
        <w:rPr>
          <w:rFonts w:ascii="Tahoma" w:hAnsi="Tahoma" w:cs="Tahoma"/>
          <w:sz w:val="22"/>
          <w:szCs w:val="22"/>
        </w:rPr>
        <w:t xml:space="preserve"> to exercise in the present case, directing that the Authority reconsider an application</w:t>
      </w:r>
      <w:r w:rsidR="0018067D">
        <w:rPr>
          <w:rFonts w:ascii="Tahoma" w:hAnsi="Tahoma" w:cs="Tahoma"/>
          <w:sz w:val="22"/>
          <w:szCs w:val="22"/>
        </w:rPr>
        <w:t>,</w:t>
      </w:r>
      <w:r w:rsidRPr="006D427D">
        <w:rPr>
          <w:rFonts w:ascii="Tahoma" w:hAnsi="Tahoma" w:cs="Tahoma"/>
          <w:sz w:val="22"/>
          <w:szCs w:val="22"/>
        </w:rPr>
        <w:t xml:space="preserve"> may theoretically still exist, s14 of the Amendment Act binds the Authority and so they may not grant an interim approval </w:t>
      </w:r>
      <w:r w:rsidR="00C61081" w:rsidRPr="006D427D">
        <w:rPr>
          <w:rFonts w:ascii="Tahoma" w:hAnsi="Tahoma" w:cs="Tahoma"/>
          <w:sz w:val="22"/>
          <w:szCs w:val="22"/>
        </w:rPr>
        <w:t>after the commencement of the amending legislation</w:t>
      </w:r>
      <w:r w:rsidR="00F6269B" w:rsidRPr="006D427D">
        <w:rPr>
          <w:rFonts w:ascii="Tahoma" w:hAnsi="Tahoma" w:cs="Tahoma"/>
          <w:sz w:val="22"/>
          <w:szCs w:val="22"/>
        </w:rPr>
        <w:t xml:space="preserve">.  </w:t>
      </w:r>
    </w:p>
    <w:p w14:paraId="6E535241" w14:textId="77777777" w:rsidR="00F6269B" w:rsidRPr="006D427D" w:rsidRDefault="00F6269B" w:rsidP="00F6269B">
      <w:pPr>
        <w:pStyle w:val="ListParagraph"/>
        <w:rPr>
          <w:rFonts w:ascii="Tahoma" w:hAnsi="Tahoma" w:cs="Tahoma"/>
          <w:sz w:val="22"/>
          <w:szCs w:val="22"/>
        </w:rPr>
      </w:pPr>
    </w:p>
    <w:p w14:paraId="0D8780DA" w14:textId="7669E43A" w:rsidR="00F6269B" w:rsidRPr="006D427D" w:rsidRDefault="00F6269B"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the circumstances we do not consider that we are able to grant </w:t>
      </w:r>
      <w:r w:rsidR="00D947BF" w:rsidRPr="006D427D">
        <w:rPr>
          <w:rFonts w:ascii="Tahoma" w:hAnsi="Tahoma" w:cs="Tahoma"/>
          <w:sz w:val="22"/>
          <w:szCs w:val="22"/>
        </w:rPr>
        <w:t xml:space="preserve">the relief we had earlier indicated to the appellant because to do so would be a vacuous </w:t>
      </w:r>
      <w:r w:rsidR="00711351">
        <w:rPr>
          <w:rFonts w:ascii="Tahoma" w:hAnsi="Tahoma" w:cs="Tahoma"/>
          <w:sz w:val="22"/>
          <w:szCs w:val="22"/>
        </w:rPr>
        <w:t xml:space="preserve">exercise.  </w:t>
      </w:r>
      <w:r w:rsidR="00B06132" w:rsidRPr="006D427D">
        <w:rPr>
          <w:rFonts w:ascii="Tahoma" w:hAnsi="Tahoma" w:cs="Tahoma"/>
          <w:sz w:val="22"/>
          <w:szCs w:val="22"/>
        </w:rPr>
        <w:t xml:space="preserve">We therefore decline </w:t>
      </w:r>
      <w:r w:rsidR="005638BC" w:rsidRPr="006D427D">
        <w:rPr>
          <w:rFonts w:ascii="Tahoma" w:hAnsi="Tahoma" w:cs="Tahoma"/>
          <w:sz w:val="22"/>
          <w:szCs w:val="22"/>
        </w:rPr>
        <w:t>the appeal because no other course is sensibly open to us</w:t>
      </w:r>
      <w:r w:rsidR="007B2454" w:rsidRPr="006D427D">
        <w:rPr>
          <w:rFonts w:ascii="Tahoma" w:hAnsi="Tahoma" w:cs="Tahoma"/>
          <w:sz w:val="22"/>
          <w:szCs w:val="22"/>
        </w:rPr>
        <w:t xml:space="preserve">. </w:t>
      </w:r>
    </w:p>
    <w:p w14:paraId="2266DAC7" w14:textId="77777777" w:rsidR="007B2454" w:rsidRPr="006D427D" w:rsidRDefault="007B2454" w:rsidP="007B2454">
      <w:pPr>
        <w:pStyle w:val="ListParagraph"/>
        <w:rPr>
          <w:rFonts w:ascii="Tahoma" w:hAnsi="Tahoma" w:cs="Tahoma"/>
          <w:sz w:val="22"/>
          <w:szCs w:val="22"/>
        </w:rPr>
      </w:pPr>
    </w:p>
    <w:p w14:paraId="5EE3C4E1" w14:textId="2ABAFB07" w:rsidR="007B2454" w:rsidRPr="006D427D" w:rsidRDefault="007B2454"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However, out of deference to the careful and thorough manner in which both the appellant and </w:t>
      </w:r>
      <w:r w:rsidR="005B7B90" w:rsidRPr="006D427D">
        <w:rPr>
          <w:rFonts w:ascii="Tahoma" w:hAnsi="Tahoma" w:cs="Tahoma"/>
          <w:sz w:val="22"/>
          <w:szCs w:val="22"/>
        </w:rPr>
        <w:t xml:space="preserve">the Authority advanced their cases in the </w:t>
      </w:r>
      <w:r w:rsidR="007E7889" w:rsidRPr="006D427D">
        <w:rPr>
          <w:rFonts w:ascii="Tahoma" w:hAnsi="Tahoma" w:cs="Tahoma"/>
          <w:sz w:val="22"/>
          <w:szCs w:val="22"/>
        </w:rPr>
        <w:t xml:space="preserve">appeal, and because </w:t>
      </w:r>
      <w:r w:rsidR="00711351">
        <w:rPr>
          <w:rFonts w:ascii="Tahoma" w:hAnsi="Tahoma" w:cs="Tahoma"/>
          <w:sz w:val="22"/>
          <w:szCs w:val="22"/>
        </w:rPr>
        <w:t>the A</w:t>
      </w:r>
      <w:r w:rsidR="00D37C29" w:rsidRPr="006D427D">
        <w:rPr>
          <w:rFonts w:ascii="Tahoma" w:hAnsi="Tahoma" w:cs="Tahoma"/>
          <w:sz w:val="22"/>
          <w:szCs w:val="22"/>
        </w:rPr>
        <w:t>ct may nevertheless be utilised in the future for the regulation of psychoactive substances and products, we provide the reasons for our earlier indications</w:t>
      </w:r>
      <w:r w:rsidR="003C4D1E" w:rsidRPr="006D427D">
        <w:rPr>
          <w:rFonts w:ascii="Tahoma" w:hAnsi="Tahoma" w:cs="Tahoma"/>
          <w:sz w:val="22"/>
          <w:szCs w:val="22"/>
        </w:rPr>
        <w:t xml:space="preserve">.  </w:t>
      </w:r>
      <w:r w:rsidR="00D22332" w:rsidRPr="006D427D">
        <w:rPr>
          <w:rFonts w:ascii="Tahoma" w:hAnsi="Tahoma" w:cs="Tahoma"/>
          <w:sz w:val="22"/>
          <w:szCs w:val="22"/>
        </w:rPr>
        <w:t>For the avoidance of any doubt</w:t>
      </w:r>
      <w:r w:rsidR="009F45C8" w:rsidRPr="006D427D">
        <w:rPr>
          <w:rFonts w:ascii="Tahoma" w:hAnsi="Tahoma" w:cs="Tahoma"/>
          <w:sz w:val="22"/>
          <w:szCs w:val="22"/>
        </w:rPr>
        <w:t xml:space="preserve"> this does not amount to us </w:t>
      </w:r>
      <w:r w:rsidR="00F92FBE" w:rsidRPr="006D427D">
        <w:rPr>
          <w:rFonts w:ascii="Tahoma" w:hAnsi="Tahoma" w:cs="Tahoma"/>
          <w:sz w:val="22"/>
          <w:szCs w:val="22"/>
        </w:rPr>
        <w:t xml:space="preserve">granting relief in any way </w:t>
      </w:r>
      <w:r w:rsidR="00DA1C53" w:rsidRPr="006D427D">
        <w:rPr>
          <w:rFonts w:ascii="Tahoma" w:hAnsi="Tahoma" w:cs="Tahoma"/>
          <w:sz w:val="22"/>
          <w:szCs w:val="22"/>
        </w:rPr>
        <w:t xml:space="preserve">for the reasons we have already outlined.  </w:t>
      </w:r>
    </w:p>
    <w:p w14:paraId="6304DB9B" w14:textId="77777777" w:rsidR="00DA1C53" w:rsidRPr="006D427D" w:rsidRDefault="00DA1C53" w:rsidP="00DA1C53">
      <w:pPr>
        <w:pStyle w:val="ListParagraph"/>
        <w:rPr>
          <w:rFonts w:ascii="Tahoma" w:hAnsi="Tahoma" w:cs="Tahoma"/>
          <w:sz w:val="22"/>
          <w:szCs w:val="22"/>
        </w:rPr>
      </w:pPr>
    </w:p>
    <w:p w14:paraId="623D1395" w14:textId="77777777" w:rsidR="00711351" w:rsidRDefault="00711351" w:rsidP="009F4281">
      <w:pPr>
        <w:pStyle w:val="ListParagraph"/>
        <w:ind w:left="0"/>
        <w:rPr>
          <w:rFonts w:ascii="Tahoma" w:hAnsi="Tahoma" w:cs="Tahoma"/>
          <w:b/>
          <w:sz w:val="22"/>
          <w:szCs w:val="22"/>
        </w:rPr>
      </w:pPr>
    </w:p>
    <w:p w14:paraId="05CCBDE8" w14:textId="77777777" w:rsidR="0018067D" w:rsidRDefault="0018067D">
      <w:pPr>
        <w:rPr>
          <w:rFonts w:ascii="Tahoma" w:hAnsi="Tahoma" w:cs="Tahoma"/>
          <w:b/>
          <w:sz w:val="22"/>
          <w:szCs w:val="22"/>
        </w:rPr>
      </w:pPr>
      <w:r>
        <w:rPr>
          <w:rFonts w:ascii="Tahoma" w:hAnsi="Tahoma" w:cs="Tahoma"/>
          <w:b/>
          <w:sz w:val="22"/>
          <w:szCs w:val="22"/>
        </w:rPr>
        <w:br w:type="page"/>
      </w:r>
    </w:p>
    <w:p w14:paraId="4C69AA6A" w14:textId="1EE301E7" w:rsidR="009F4281" w:rsidRPr="006D427D" w:rsidRDefault="009F4281" w:rsidP="009F4281">
      <w:pPr>
        <w:pStyle w:val="ListParagraph"/>
        <w:ind w:left="0"/>
        <w:rPr>
          <w:rFonts w:ascii="Tahoma" w:hAnsi="Tahoma" w:cs="Tahoma"/>
          <w:b/>
          <w:sz w:val="22"/>
          <w:szCs w:val="22"/>
        </w:rPr>
      </w:pPr>
      <w:r w:rsidRPr="006D427D">
        <w:rPr>
          <w:rFonts w:ascii="Tahoma" w:hAnsi="Tahoma" w:cs="Tahoma"/>
          <w:b/>
          <w:sz w:val="22"/>
          <w:szCs w:val="22"/>
        </w:rPr>
        <w:lastRenderedPageBreak/>
        <w:t>Background</w:t>
      </w:r>
    </w:p>
    <w:p w14:paraId="0CBB8DEF" w14:textId="77777777" w:rsidR="009F4281" w:rsidRPr="006D427D" w:rsidRDefault="009F4281" w:rsidP="009F4281">
      <w:pPr>
        <w:pStyle w:val="ListParagraph"/>
        <w:ind w:left="0"/>
        <w:rPr>
          <w:rFonts w:ascii="Tahoma" w:hAnsi="Tahoma" w:cs="Tahoma"/>
          <w:sz w:val="22"/>
          <w:szCs w:val="22"/>
        </w:rPr>
      </w:pPr>
    </w:p>
    <w:p w14:paraId="1240D31B" w14:textId="1C13F64B"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It is important to canvass both the legislative and fa</w:t>
      </w:r>
      <w:r w:rsidR="00711351">
        <w:rPr>
          <w:rFonts w:ascii="Tahoma" w:hAnsi="Tahoma" w:cs="Tahoma"/>
          <w:sz w:val="22"/>
          <w:szCs w:val="22"/>
        </w:rPr>
        <w:t>ctual background to this appeal</w:t>
      </w:r>
      <w:r w:rsidRPr="006D427D">
        <w:rPr>
          <w:rFonts w:ascii="Tahoma" w:hAnsi="Tahoma" w:cs="Tahoma"/>
          <w:sz w:val="22"/>
          <w:szCs w:val="22"/>
        </w:rPr>
        <w:t xml:space="preserve">.  </w:t>
      </w:r>
    </w:p>
    <w:p w14:paraId="5BEF7F02" w14:textId="77777777" w:rsidR="009F4281" w:rsidRPr="006D427D" w:rsidRDefault="009F4281" w:rsidP="009F4281">
      <w:pPr>
        <w:pStyle w:val="ListParagraph"/>
        <w:spacing w:line="360" w:lineRule="auto"/>
        <w:jc w:val="both"/>
        <w:rPr>
          <w:rFonts w:ascii="Tahoma" w:hAnsi="Tahoma" w:cs="Tahoma"/>
          <w:sz w:val="22"/>
          <w:szCs w:val="22"/>
        </w:rPr>
      </w:pPr>
    </w:p>
    <w:p w14:paraId="0DE86584" w14:textId="09C7778A"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Act came into force on 18 July 2013.  The purpose as set out in </w:t>
      </w:r>
      <w:r w:rsidR="0018067D">
        <w:rPr>
          <w:rFonts w:ascii="Tahoma" w:hAnsi="Tahoma" w:cs="Tahoma"/>
          <w:sz w:val="22"/>
          <w:szCs w:val="22"/>
        </w:rPr>
        <w:t>s</w:t>
      </w:r>
      <w:r w:rsidRPr="006D427D">
        <w:rPr>
          <w:rFonts w:ascii="Tahoma" w:hAnsi="Tahoma" w:cs="Tahoma"/>
          <w:sz w:val="22"/>
          <w:szCs w:val="22"/>
        </w:rPr>
        <w:t xml:space="preserve">3 was to regulate the availability of psychoactive substances in New Zealand “to protect the health of, and minimise harm to, individuals who use psychoactive substances”.  </w:t>
      </w:r>
    </w:p>
    <w:p w14:paraId="278B411C" w14:textId="77777777" w:rsidR="009F4281" w:rsidRPr="006D427D" w:rsidRDefault="009F4281" w:rsidP="009F4281">
      <w:pPr>
        <w:pStyle w:val="ListParagraph"/>
        <w:rPr>
          <w:rFonts w:ascii="Tahoma" w:hAnsi="Tahoma" w:cs="Tahoma"/>
          <w:sz w:val="22"/>
          <w:szCs w:val="22"/>
        </w:rPr>
      </w:pPr>
    </w:p>
    <w:p w14:paraId="244DA5F1"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term “psychoactive substance” is defined broadly in s9 as “a substance, mixture, preparation, article, device or thing that is capable of inducing a psychoactive effect (by any means) in an individual who uses the psychoactive substance”. </w:t>
      </w:r>
    </w:p>
    <w:p w14:paraId="51E3CF10" w14:textId="77777777" w:rsidR="009F4281" w:rsidRPr="006D427D" w:rsidRDefault="009F4281" w:rsidP="009F4281">
      <w:pPr>
        <w:pStyle w:val="ListParagraph"/>
        <w:rPr>
          <w:rFonts w:ascii="Tahoma" w:hAnsi="Tahoma" w:cs="Tahoma"/>
          <w:sz w:val="22"/>
          <w:szCs w:val="22"/>
        </w:rPr>
      </w:pPr>
    </w:p>
    <w:p w14:paraId="2B8B81B7"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In turn, a “psychoactive effect” means an effect of the substance on an individual’s mind.</w:t>
      </w:r>
    </w:p>
    <w:p w14:paraId="21FC0859" w14:textId="77777777" w:rsidR="009F4281" w:rsidRPr="006D427D" w:rsidRDefault="009F4281" w:rsidP="009F4281">
      <w:pPr>
        <w:pStyle w:val="ListParagraph"/>
        <w:rPr>
          <w:rFonts w:ascii="Tahoma" w:hAnsi="Tahoma" w:cs="Tahoma"/>
          <w:sz w:val="22"/>
          <w:szCs w:val="22"/>
        </w:rPr>
      </w:pPr>
    </w:p>
    <w:p w14:paraId="5CD90104"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A “psychoactive product” is a finished product packaged and ready for retail sale that either is a psychoactive substance or contains one or more psychoactive substances.</w:t>
      </w:r>
    </w:p>
    <w:p w14:paraId="0C08E99F" w14:textId="77777777" w:rsidR="009F4281" w:rsidRPr="006D427D" w:rsidRDefault="009F4281" w:rsidP="009F4281">
      <w:pPr>
        <w:pStyle w:val="ListParagraph"/>
        <w:rPr>
          <w:rFonts w:ascii="Tahoma" w:hAnsi="Tahoma" w:cs="Tahoma"/>
          <w:sz w:val="22"/>
          <w:szCs w:val="22"/>
        </w:rPr>
      </w:pPr>
    </w:p>
    <w:p w14:paraId="4CF73335" w14:textId="77777777" w:rsidR="009F4281"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Act was introduced to bring regulation to a pre-existing industry that manufactured, distributed, and sold a variety of substances that were commonly known as “legal highs”.  The notion that they were “legal” is something of a misnomer.  Many of the substances were not classified as controlled drugs under the Schedule to the Misuse of Drugs Act 1975, but nor were the substances that were intended for consumption by people in New Zealand, regulated in any way.  The substances appeared to occupy a space between prohibition and explicit regulation and therefore there were no controls as to the manner in which the substances were composed, packaged, marketed, sold, and eventually consumed.  This was of concern to the public and Parliament responded with the Act.  </w:t>
      </w:r>
    </w:p>
    <w:p w14:paraId="5CBD1A80" w14:textId="77777777" w:rsidR="0018067D" w:rsidRPr="0018067D" w:rsidRDefault="0018067D" w:rsidP="0018067D">
      <w:pPr>
        <w:pStyle w:val="ListParagraph"/>
        <w:rPr>
          <w:rFonts w:ascii="Tahoma" w:hAnsi="Tahoma" w:cs="Tahoma"/>
          <w:sz w:val="22"/>
          <w:szCs w:val="22"/>
        </w:rPr>
      </w:pPr>
    </w:p>
    <w:p w14:paraId="6B454D8D" w14:textId="77777777" w:rsidR="0018067D" w:rsidRDefault="0018067D" w:rsidP="0018067D">
      <w:pPr>
        <w:pStyle w:val="ListParagraph"/>
        <w:spacing w:line="360" w:lineRule="auto"/>
        <w:jc w:val="both"/>
        <w:rPr>
          <w:rFonts w:ascii="Tahoma" w:hAnsi="Tahoma" w:cs="Tahoma"/>
          <w:sz w:val="22"/>
          <w:szCs w:val="22"/>
        </w:rPr>
      </w:pPr>
    </w:p>
    <w:p w14:paraId="4A8657C7" w14:textId="77777777" w:rsidR="0018067D" w:rsidRPr="006D427D" w:rsidRDefault="0018067D" w:rsidP="0018067D">
      <w:pPr>
        <w:pStyle w:val="ListParagraph"/>
        <w:spacing w:line="360" w:lineRule="auto"/>
        <w:jc w:val="both"/>
        <w:rPr>
          <w:rFonts w:ascii="Tahoma" w:hAnsi="Tahoma" w:cs="Tahoma"/>
          <w:sz w:val="22"/>
          <w:szCs w:val="22"/>
        </w:rPr>
      </w:pPr>
    </w:p>
    <w:p w14:paraId="427445CE" w14:textId="77777777" w:rsidR="009F4281" w:rsidRPr="006D427D" w:rsidRDefault="009F4281" w:rsidP="009F4281">
      <w:pPr>
        <w:pStyle w:val="ListParagraph"/>
        <w:rPr>
          <w:rFonts w:ascii="Tahoma" w:hAnsi="Tahoma" w:cs="Tahoma"/>
          <w:sz w:val="22"/>
          <w:szCs w:val="22"/>
        </w:rPr>
      </w:pPr>
    </w:p>
    <w:p w14:paraId="01A6C99B" w14:textId="161113AE"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substantive architecture of the Act established the Regulatory Authority which is taxed with the responsibility </w:t>
      </w:r>
      <w:r w:rsidR="00711351">
        <w:rPr>
          <w:rFonts w:ascii="Tahoma" w:hAnsi="Tahoma" w:cs="Tahoma"/>
          <w:sz w:val="22"/>
          <w:szCs w:val="22"/>
        </w:rPr>
        <w:t>of</w:t>
      </w:r>
      <w:r w:rsidRPr="006D427D">
        <w:rPr>
          <w:rFonts w:ascii="Tahoma" w:hAnsi="Tahoma" w:cs="Tahoma"/>
          <w:sz w:val="22"/>
          <w:szCs w:val="22"/>
        </w:rPr>
        <w:t xml:space="preserve"> determining whether psychoactive substances and psychoactive products could be imported, manufactured, distributed or sold in New Zealand and who should hold licences that would permit them to conduct these activities.</w:t>
      </w:r>
    </w:p>
    <w:p w14:paraId="7690E3A5" w14:textId="77777777" w:rsidR="009F4281" w:rsidRPr="006D427D" w:rsidRDefault="009F4281" w:rsidP="009F4281">
      <w:pPr>
        <w:pStyle w:val="ListParagraph"/>
        <w:rPr>
          <w:rFonts w:ascii="Tahoma" w:hAnsi="Tahoma" w:cs="Tahoma"/>
          <w:sz w:val="22"/>
          <w:szCs w:val="22"/>
        </w:rPr>
      </w:pPr>
    </w:p>
    <w:p w14:paraId="2F7A34D1"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At the core of the Regulatory Authority’s function was the need to reflect the principles set out in Schedule 4 which in essence governed the manner in which psychoactive substances and products should be assessed.  </w:t>
      </w:r>
    </w:p>
    <w:p w14:paraId="7E490F50" w14:textId="77777777" w:rsidR="009F4281" w:rsidRPr="006D427D" w:rsidRDefault="009F4281" w:rsidP="009F4281">
      <w:pPr>
        <w:pStyle w:val="ListParagraph"/>
        <w:rPr>
          <w:rFonts w:ascii="Tahoma" w:hAnsi="Tahoma" w:cs="Tahoma"/>
          <w:sz w:val="22"/>
          <w:szCs w:val="22"/>
        </w:rPr>
      </w:pPr>
    </w:p>
    <w:p w14:paraId="53DD64A6"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Psychoactive products should pose no more than a low risk of harm to individuals who use it and those products that manifest no more than a low risk of harm should be approved.  Conversely a psychoactive product that poses more than a low risk of harm to individuals should be prohibited.  </w:t>
      </w:r>
    </w:p>
    <w:p w14:paraId="6F6B266B" w14:textId="77777777" w:rsidR="009F4281" w:rsidRPr="006D427D" w:rsidRDefault="009F4281" w:rsidP="009F4281">
      <w:pPr>
        <w:pStyle w:val="ListParagraph"/>
        <w:rPr>
          <w:rFonts w:ascii="Tahoma" w:hAnsi="Tahoma" w:cs="Tahoma"/>
          <w:sz w:val="22"/>
          <w:szCs w:val="22"/>
        </w:rPr>
      </w:pPr>
    </w:p>
    <w:p w14:paraId="7CADC935"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A psychoactive substance or product that has not been approved, should be prohibited on a precautionary basis until it has been assessed.  Assessments should be made on the basis of advice of an expert advisory committee and evidence including the results of preclinical and clinical trials.</w:t>
      </w:r>
    </w:p>
    <w:p w14:paraId="320CFDA7" w14:textId="77777777" w:rsidR="009F4281" w:rsidRPr="006D427D" w:rsidRDefault="009F4281" w:rsidP="009F4281">
      <w:pPr>
        <w:pStyle w:val="ListParagraph"/>
        <w:rPr>
          <w:rFonts w:ascii="Tahoma" w:hAnsi="Tahoma" w:cs="Tahoma"/>
          <w:sz w:val="22"/>
          <w:szCs w:val="22"/>
        </w:rPr>
      </w:pPr>
    </w:p>
    <w:p w14:paraId="376BABD6"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Subpart 3, in addition to establishing the Regulatory Authority, also established the Psychoactive Substances Expert Advisory Committee.  </w:t>
      </w:r>
    </w:p>
    <w:p w14:paraId="38AC051D" w14:textId="77777777" w:rsidR="009F4281" w:rsidRPr="006D427D" w:rsidRDefault="009F4281" w:rsidP="009F4281">
      <w:pPr>
        <w:pStyle w:val="ListParagraph"/>
        <w:rPr>
          <w:rFonts w:ascii="Tahoma" w:hAnsi="Tahoma" w:cs="Tahoma"/>
          <w:sz w:val="22"/>
          <w:szCs w:val="22"/>
        </w:rPr>
      </w:pPr>
    </w:p>
    <w:p w14:paraId="3A4CF13E"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Part 2 of the Act prescribes the regime by which people could apply for licences to import, manufacture, research, or sell psychoactive substances and products by retail or by wholesale.  The provisions in Part 2 are the key mechanics of the Act by which applicants can seek approval for products and licences to sell those products.  It is in this Part, Subpart 3, that this Appeal Committee is established.  </w:t>
      </w:r>
    </w:p>
    <w:p w14:paraId="34CFAAD8" w14:textId="77777777" w:rsidR="009F4281" w:rsidRPr="006D427D" w:rsidRDefault="009F4281" w:rsidP="009F4281">
      <w:pPr>
        <w:pStyle w:val="ListParagraph"/>
        <w:rPr>
          <w:rFonts w:ascii="Tahoma" w:hAnsi="Tahoma" w:cs="Tahoma"/>
          <w:sz w:val="22"/>
          <w:szCs w:val="22"/>
        </w:rPr>
      </w:pPr>
    </w:p>
    <w:p w14:paraId="1DD9F9B6"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Part 3 of the Act imposes a variety of controls on approved products including age restrictions and restrictions on where approved products could be sold.  There are requirements concerning marketing of the </w:t>
      </w:r>
      <w:r w:rsidRPr="006D427D">
        <w:rPr>
          <w:rFonts w:ascii="Tahoma" w:hAnsi="Tahoma" w:cs="Tahoma"/>
          <w:sz w:val="22"/>
          <w:szCs w:val="22"/>
        </w:rPr>
        <w:lastRenderedPageBreak/>
        <w:t xml:space="preserve">products, in addition to offence provisions for when the Act is breached.  The Subpart also provides a mechanism by which territorial authorities can establish policies about the location of stores selling approved psychoactive products within its territorial boundaries.  </w:t>
      </w:r>
    </w:p>
    <w:p w14:paraId="4E4D7B68" w14:textId="77777777" w:rsidR="009F4281" w:rsidRPr="006D427D" w:rsidRDefault="009F4281" w:rsidP="009F4281">
      <w:pPr>
        <w:pStyle w:val="ListParagraph"/>
        <w:rPr>
          <w:rFonts w:ascii="Tahoma" w:hAnsi="Tahoma" w:cs="Tahoma"/>
          <w:sz w:val="22"/>
          <w:szCs w:val="22"/>
        </w:rPr>
      </w:pPr>
    </w:p>
    <w:p w14:paraId="0D8418C7" w14:textId="282CB1CF"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In Subpart 6 of Part 3, the Act provides for regulations to be created covering many aspects the trade in psychoactive substances and products.  Included in the regulation making powers, is the ability to make regulations determining those substances that should or should not be psychoactive substances that are approved for the purpose of the Act.  This in turn references back to the core architecture establishing the Regulatory Authority, the Expert Advisory Committee and the need for evidence of low risk of harm before psychoactive substances and products</w:t>
      </w:r>
      <w:r w:rsidRPr="006D427D">
        <w:rPr>
          <w:rFonts w:ascii="Tahoma" w:hAnsi="Tahoma" w:cs="Tahoma"/>
          <w:b/>
          <w:sz w:val="22"/>
          <w:szCs w:val="22"/>
        </w:rPr>
        <w:t xml:space="preserve"> </w:t>
      </w:r>
      <w:r w:rsidRPr="006D427D">
        <w:rPr>
          <w:rFonts w:ascii="Tahoma" w:hAnsi="Tahoma" w:cs="Tahoma"/>
          <w:sz w:val="22"/>
          <w:szCs w:val="22"/>
        </w:rPr>
        <w:t xml:space="preserve">could be approved. </w:t>
      </w:r>
    </w:p>
    <w:p w14:paraId="1FB75586" w14:textId="77777777" w:rsidR="009F4281" w:rsidRPr="006D427D" w:rsidRDefault="009F4281" w:rsidP="009F4281">
      <w:pPr>
        <w:pStyle w:val="ListParagraph"/>
        <w:rPr>
          <w:rFonts w:ascii="Tahoma" w:hAnsi="Tahoma" w:cs="Tahoma"/>
          <w:sz w:val="22"/>
          <w:szCs w:val="22"/>
        </w:rPr>
      </w:pPr>
    </w:p>
    <w:p w14:paraId="5758B73E"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have been informed by counsel for the Regulatory Authority that the Ministry of Health responsible for administering this Act has expended considerable time to the exercise of preparing Regulations which will support the function of the Act and achieve its purposes.  The preparation of those regulations is necessarily complicated and involved due to complex issues concerning the nature of the product and the need to provide reliable frameworks in which the products can be assessed. Although it had been hoped that the regulations would come into force by now, that has not occurred.  </w:t>
      </w:r>
    </w:p>
    <w:p w14:paraId="017A9CE5" w14:textId="77777777" w:rsidR="009F4281" w:rsidRPr="006D427D" w:rsidRDefault="009F4281" w:rsidP="009F4281">
      <w:pPr>
        <w:pStyle w:val="ListParagraph"/>
        <w:rPr>
          <w:rFonts w:ascii="Tahoma" w:hAnsi="Tahoma" w:cs="Tahoma"/>
          <w:sz w:val="22"/>
          <w:szCs w:val="22"/>
        </w:rPr>
      </w:pPr>
    </w:p>
    <w:p w14:paraId="57E1A8B9"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gap between the Act coming into force and the creation of Regulations, was anticipated by Parliament which ultimately resolved that this essentially non-regulated market need regulation immediately. </w:t>
      </w:r>
    </w:p>
    <w:p w14:paraId="0712AF82" w14:textId="77777777" w:rsidR="009F4281" w:rsidRPr="006D427D" w:rsidRDefault="009F4281" w:rsidP="009F4281">
      <w:pPr>
        <w:pStyle w:val="ListParagraph"/>
        <w:rPr>
          <w:rFonts w:ascii="Tahoma" w:hAnsi="Tahoma" w:cs="Tahoma"/>
          <w:sz w:val="22"/>
          <w:szCs w:val="22"/>
        </w:rPr>
      </w:pPr>
    </w:p>
    <w:p w14:paraId="72E3B530"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Although psychoactive substances and psychoactive products cannot be assessed in the manner the legislation intends without the Regulations, Parliament nevertheless sought to bring the manufacture, distribution and sale of psychoactive substances and products within a regulatory environment in the interim.  </w:t>
      </w:r>
    </w:p>
    <w:p w14:paraId="24AADDA9" w14:textId="77777777" w:rsidR="009F4281" w:rsidRPr="006D427D" w:rsidRDefault="009F4281" w:rsidP="009F4281">
      <w:pPr>
        <w:pStyle w:val="ListParagraph"/>
        <w:rPr>
          <w:rFonts w:ascii="Tahoma" w:hAnsi="Tahoma" w:cs="Tahoma"/>
          <w:sz w:val="22"/>
          <w:szCs w:val="22"/>
        </w:rPr>
      </w:pPr>
    </w:p>
    <w:p w14:paraId="4A067389"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As a consequence, Schedule 1 to the Act created an interim regime by which people could apply for interim approvals for products and </w:t>
      </w:r>
      <w:r w:rsidRPr="006D427D">
        <w:rPr>
          <w:rFonts w:ascii="Tahoma" w:hAnsi="Tahoma" w:cs="Tahoma"/>
          <w:sz w:val="22"/>
          <w:szCs w:val="22"/>
        </w:rPr>
        <w:lastRenderedPageBreak/>
        <w:t xml:space="preserve">correspondingly could apply for interim licences to sell those products pending the creation of the Regulations.  </w:t>
      </w:r>
    </w:p>
    <w:p w14:paraId="748B321F" w14:textId="77777777" w:rsidR="009F4281" w:rsidRPr="006D427D" w:rsidRDefault="009F4281" w:rsidP="009F4281">
      <w:pPr>
        <w:pStyle w:val="ListParagraph"/>
        <w:rPr>
          <w:rFonts w:ascii="Tahoma" w:hAnsi="Tahoma" w:cs="Tahoma"/>
          <w:sz w:val="22"/>
          <w:szCs w:val="22"/>
        </w:rPr>
      </w:pPr>
    </w:p>
    <w:p w14:paraId="1B0EC9EC" w14:textId="0ACC0C16"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Under Schedule 1, Subpart 3</w:t>
      </w:r>
      <w:r w:rsidR="00C72BA0">
        <w:rPr>
          <w:rFonts w:ascii="Tahoma" w:hAnsi="Tahoma" w:cs="Tahoma"/>
          <w:sz w:val="22"/>
          <w:szCs w:val="22"/>
        </w:rPr>
        <w:t xml:space="preserve"> of the Act</w:t>
      </w:r>
      <w:r w:rsidRPr="006D427D">
        <w:rPr>
          <w:rFonts w:ascii="Tahoma" w:hAnsi="Tahoma" w:cs="Tahoma"/>
          <w:sz w:val="22"/>
          <w:szCs w:val="22"/>
        </w:rPr>
        <w:t xml:space="preserve"> </w:t>
      </w:r>
      <w:r w:rsidR="00711351">
        <w:rPr>
          <w:rFonts w:ascii="Tahoma" w:hAnsi="Tahoma" w:cs="Tahoma"/>
          <w:sz w:val="22"/>
          <w:szCs w:val="22"/>
        </w:rPr>
        <w:t>was</w:t>
      </w:r>
      <w:r w:rsidRPr="006D427D">
        <w:rPr>
          <w:rFonts w:ascii="Tahoma" w:hAnsi="Tahoma" w:cs="Tahoma"/>
          <w:sz w:val="22"/>
          <w:szCs w:val="22"/>
        </w:rPr>
        <w:t xml:space="preserve"> utilised by applicants to apply for interim approvals of psychoactive products and interim licences.  Those applications had to be made within 28 days of the Act coming into force. The schedule only applied to psychoactive substances or products that were lawfully being imported, manufactured, researched, or sold throughout the period of three months immediately before the commencement of the Act.  </w:t>
      </w:r>
    </w:p>
    <w:p w14:paraId="2165238D" w14:textId="77777777" w:rsidR="009F4281" w:rsidRPr="006D427D" w:rsidRDefault="009F4281" w:rsidP="009F4281">
      <w:pPr>
        <w:spacing w:line="360" w:lineRule="auto"/>
        <w:jc w:val="both"/>
        <w:rPr>
          <w:rFonts w:ascii="Tahoma" w:hAnsi="Tahoma" w:cs="Tahoma"/>
          <w:sz w:val="22"/>
          <w:szCs w:val="22"/>
        </w:rPr>
      </w:pPr>
    </w:p>
    <w:p w14:paraId="40119045" w14:textId="2C7498A1"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Because the Regulations </w:t>
      </w:r>
      <w:r w:rsidR="00711351">
        <w:rPr>
          <w:rFonts w:ascii="Tahoma" w:hAnsi="Tahoma" w:cs="Tahoma"/>
          <w:sz w:val="22"/>
          <w:szCs w:val="22"/>
        </w:rPr>
        <w:t>will</w:t>
      </w:r>
      <w:r w:rsidRPr="006D427D">
        <w:rPr>
          <w:rFonts w:ascii="Tahoma" w:hAnsi="Tahoma" w:cs="Tahoma"/>
          <w:sz w:val="22"/>
          <w:szCs w:val="22"/>
        </w:rPr>
        <w:t xml:space="preserve"> introduce permanent mechanisms and standards for assessing psychoactive substances, all interim approvals or interim licences extended only to the point when the Regulations came into force.  At that point the licence was deemed to be cancelled unless the licence holder made a “full application” to carry on the activity to which the interim licence related.  This application would then be assessed in terms of the Act and Regulations rather than on an interim basis.</w:t>
      </w:r>
    </w:p>
    <w:p w14:paraId="7CD87BCF" w14:textId="77777777" w:rsidR="009F4281" w:rsidRPr="006D427D" w:rsidRDefault="009F4281" w:rsidP="009F4281">
      <w:pPr>
        <w:pStyle w:val="ListParagraph"/>
        <w:rPr>
          <w:rFonts w:ascii="Tahoma" w:hAnsi="Tahoma" w:cs="Tahoma"/>
          <w:sz w:val="22"/>
          <w:szCs w:val="22"/>
        </w:rPr>
      </w:pPr>
    </w:p>
    <w:p w14:paraId="18129EC0" w14:textId="562E6BCB"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This is significant.  Interim approvals have been assessed on what data is available, which is limite</w:t>
      </w:r>
      <w:r w:rsidR="00711351">
        <w:rPr>
          <w:rFonts w:ascii="Tahoma" w:hAnsi="Tahoma" w:cs="Tahoma"/>
          <w:sz w:val="22"/>
          <w:szCs w:val="22"/>
        </w:rPr>
        <w:t>d.  “Full Applications” will no</w:t>
      </w:r>
      <w:r w:rsidRPr="006D427D">
        <w:rPr>
          <w:rFonts w:ascii="Tahoma" w:hAnsi="Tahoma" w:cs="Tahoma"/>
          <w:sz w:val="22"/>
          <w:szCs w:val="22"/>
        </w:rPr>
        <w:t xml:space="preserve"> doubt need to be advanced on the basis of pre-clinical and clinical trials.   </w:t>
      </w:r>
    </w:p>
    <w:p w14:paraId="1D60EA9E" w14:textId="77777777" w:rsidR="009F4281" w:rsidRPr="006D427D" w:rsidRDefault="009F4281" w:rsidP="009F4281">
      <w:pPr>
        <w:pStyle w:val="ListParagraph"/>
        <w:rPr>
          <w:rFonts w:ascii="Tahoma" w:hAnsi="Tahoma" w:cs="Tahoma"/>
          <w:sz w:val="22"/>
          <w:szCs w:val="22"/>
        </w:rPr>
      </w:pPr>
    </w:p>
    <w:p w14:paraId="2A157216"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have been informed that there was a deluge of applications by persons previously engaged in the unregulated market for psychoactive substances and products to achieve interim approval for products and interim licences to continue to sell those products.  The Regulatory Authority had to manage many applications based on what information was available to it about the psychoactive products and the applicants who intended to sell them.  </w:t>
      </w:r>
    </w:p>
    <w:p w14:paraId="13C682CC" w14:textId="77777777" w:rsidR="009F4281" w:rsidRPr="006D427D" w:rsidRDefault="009F4281" w:rsidP="009F4281">
      <w:pPr>
        <w:pStyle w:val="ListParagraph"/>
        <w:rPr>
          <w:rFonts w:ascii="Tahoma" w:hAnsi="Tahoma" w:cs="Tahoma"/>
          <w:sz w:val="22"/>
          <w:szCs w:val="22"/>
        </w:rPr>
      </w:pPr>
    </w:p>
    <w:p w14:paraId="4194868E" w14:textId="77777777"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understand that approximately 42 psychoactive substances/products were approved and many have not been approved (some of which have been the subject of appeals to this Committee). Equally a number of </w:t>
      </w:r>
      <w:r w:rsidRPr="006D427D">
        <w:rPr>
          <w:rFonts w:ascii="Tahoma" w:hAnsi="Tahoma" w:cs="Tahoma"/>
          <w:sz w:val="22"/>
          <w:szCs w:val="22"/>
        </w:rPr>
        <w:lastRenderedPageBreak/>
        <w:t>interim retail licences were issued and again, some declined, (again some being the subject of appeals to this Committee).</w:t>
      </w:r>
    </w:p>
    <w:p w14:paraId="79FAC322" w14:textId="77777777" w:rsidR="009F4281" w:rsidRPr="006D427D" w:rsidRDefault="009F4281" w:rsidP="009F4281">
      <w:pPr>
        <w:pStyle w:val="ListParagraph"/>
        <w:rPr>
          <w:rFonts w:ascii="Tahoma" w:hAnsi="Tahoma" w:cs="Tahoma"/>
          <w:sz w:val="22"/>
          <w:szCs w:val="22"/>
        </w:rPr>
      </w:pPr>
    </w:p>
    <w:p w14:paraId="241CEF7B" w14:textId="5ECD2E38"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It is therefore in this interim re</w:t>
      </w:r>
      <w:r w:rsidR="00711351">
        <w:rPr>
          <w:rFonts w:ascii="Tahoma" w:hAnsi="Tahoma" w:cs="Tahoma"/>
          <w:sz w:val="22"/>
          <w:szCs w:val="22"/>
        </w:rPr>
        <w:t>gime that the present appeal was</w:t>
      </w:r>
      <w:r w:rsidRPr="006D427D">
        <w:rPr>
          <w:rFonts w:ascii="Tahoma" w:hAnsi="Tahoma" w:cs="Tahoma"/>
          <w:sz w:val="22"/>
          <w:szCs w:val="22"/>
        </w:rPr>
        <w:t xml:space="preserve"> brought and </w:t>
      </w:r>
      <w:r w:rsidR="00711351">
        <w:rPr>
          <w:rFonts w:ascii="Tahoma" w:hAnsi="Tahoma" w:cs="Tahoma"/>
          <w:sz w:val="22"/>
          <w:szCs w:val="22"/>
        </w:rPr>
        <w:t>was</w:t>
      </w:r>
      <w:r w:rsidRPr="006D427D">
        <w:rPr>
          <w:rFonts w:ascii="Tahoma" w:hAnsi="Tahoma" w:cs="Tahoma"/>
          <w:sz w:val="22"/>
          <w:szCs w:val="22"/>
        </w:rPr>
        <w:t xml:space="preserve"> considered by us.  </w:t>
      </w:r>
    </w:p>
    <w:p w14:paraId="051C0C8A" w14:textId="77777777" w:rsidR="009F4281" w:rsidRPr="006D427D" w:rsidRDefault="009F4281" w:rsidP="009F4281">
      <w:pPr>
        <w:pStyle w:val="ListParagraph"/>
        <w:rPr>
          <w:rFonts w:ascii="Tahoma" w:hAnsi="Tahoma" w:cs="Tahoma"/>
          <w:sz w:val="22"/>
          <w:szCs w:val="22"/>
        </w:rPr>
      </w:pPr>
    </w:p>
    <w:p w14:paraId="5BC5293E" w14:textId="7BA7EC6B" w:rsidR="00711351" w:rsidRDefault="00711351" w:rsidP="00711351">
      <w:pPr>
        <w:pStyle w:val="ListParagraph"/>
        <w:numPr>
          <w:ilvl w:val="0"/>
          <w:numId w:val="6"/>
        </w:numPr>
        <w:spacing w:line="360" w:lineRule="auto"/>
        <w:ind w:hanging="720"/>
        <w:jc w:val="both"/>
        <w:rPr>
          <w:rFonts w:ascii="Tahoma" w:hAnsi="Tahoma" w:cs="Tahoma"/>
          <w:sz w:val="22"/>
          <w:szCs w:val="22"/>
        </w:rPr>
      </w:pPr>
      <w:r>
        <w:rPr>
          <w:rFonts w:ascii="Tahoma" w:hAnsi="Tahoma" w:cs="Tahoma"/>
          <w:sz w:val="22"/>
          <w:szCs w:val="22"/>
        </w:rPr>
        <w:t>As noted above, the Psychoactive Substances Amendment Act 2014 must now alter the approach that we take.</w:t>
      </w:r>
    </w:p>
    <w:p w14:paraId="7015B067" w14:textId="77777777" w:rsidR="00711351" w:rsidRPr="00711351" w:rsidRDefault="00711351" w:rsidP="00711351">
      <w:pPr>
        <w:pStyle w:val="ListParagraph"/>
        <w:rPr>
          <w:rFonts w:ascii="Tahoma" w:hAnsi="Tahoma" w:cs="Tahoma"/>
          <w:sz w:val="22"/>
          <w:szCs w:val="22"/>
        </w:rPr>
      </w:pPr>
    </w:p>
    <w:p w14:paraId="1EF39C22" w14:textId="2E20B666" w:rsidR="009F4281" w:rsidRPr="00042A75" w:rsidRDefault="009F4281" w:rsidP="00B7793B">
      <w:pPr>
        <w:pStyle w:val="ListParagraph"/>
        <w:numPr>
          <w:ilvl w:val="0"/>
          <w:numId w:val="6"/>
        </w:numPr>
        <w:spacing w:line="360" w:lineRule="auto"/>
        <w:ind w:hanging="720"/>
        <w:jc w:val="both"/>
        <w:rPr>
          <w:rFonts w:ascii="Tahoma" w:hAnsi="Tahoma" w:cs="Tahoma"/>
          <w:sz w:val="22"/>
          <w:szCs w:val="22"/>
        </w:rPr>
      </w:pPr>
      <w:r w:rsidRPr="00042A75">
        <w:rPr>
          <w:rFonts w:ascii="Tahoma" w:hAnsi="Tahoma" w:cs="Tahoma"/>
          <w:sz w:val="22"/>
          <w:szCs w:val="22"/>
        </w:rPr>
        <w:t>It is therefore important to record that although we previously indicated an intention of granting the appeal</w:t>
      </w:r>
      <w:r w:rsidR="00042A75" w:rsidRPr="00042A75">
        <w:rPr>
          <w:rFonts w:ascii="Tahoma" w:hAnsi="Tahoma" w:cs="Tahoma"/>
          <w:sz w:val="22"/>
          <w:szCs w:val="22"/>
        </w:rPr>
        <w:t xml:space="preserve"> in part</w:t>
      </w:r>
      <w:r w:rsidRPr="00042A75">
        <w:rPr>
          <w:rFonts w:ascii="Tahoma" w:hAnsi="Tahoma" w:cs="Tahoma"/>
          <w:sz w:val="22"/>
          <w:szCs w:val="22"/>
        </w:rPr>
        <w:t xml:space="preserve">, nothing that we say in this decision can derogate or contradict Parliament’s clear intent to ban these products in the interim.  </w:t>
      </w:r>
    </w:p>
    <w:p w14:paraId="02B99607" w14:textId="14AF7249" w:rsidR="009F4281" w:rsidRPr="006D427D" w:rsidRDefault="009F4281"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However we consider it important that we do provide reasons, notwithstanding the most recent developments of this legislation, because eventually the appellant may wish to make a full application.  Our reasons may assist both the appellant but also the Regulatory Authority in any future application under the Regulations made by it.  </w:t>
      </w:r>
    </w:p>
    <w:p w14:paraId="24BD3D92" w14:textId="77777777" w:rsidR="009F4281" w:rsidRPr="006D427D" w:rsidRDefault="009F4281" w:rsidP="009F4281">
      <w:pPr>
        <w:pStyle w:val="ListParagraph"/>
        <w:rPr>
          <w:rFonts w:ascii="Tahoma" w:hAnsi="Tahoma" w:cs="Tahoma"/>
          <w:sz w:val="22"/>
          <w:szCs w:val="22"/>
        </w:rPr>
      </w:pPr>
    </w:p>
    <w:p w14:paraId="3100DB16" w14:textId="77777777" w:rsidR="00042A75" w:rsidRDefault="00042A75" w:rsidP="009F4281">
      <w:pPr>
        <w:pStyle w:val="ListParagraph"/>
        <w:spacing w:line="360" w:lineRule="auto"/>
        <w:ind w:left="0"/>
        <w:jc w:val="both"/>
        <w:rPr>
          <w:rFonts w:ascii="Tahoma" w:hAnsi="Tahoma" w:cs="Tahoma"/>
          <w:b/>
          <w:sz w:val="22"/>
          <w:szCs w:val="22"/>
        </w:rPr>
      </w:pPr>
    </w:p>
    <w:p w14:paraId="0AEFD845" w14:textId="77777777" w:rsidR="009F4281" w:rsidRPr="006D427D" w:rsidRDefault="009F4281" w:rsidP="009F4281">
      <w:pPr>
        <w:pStyle w:val="ListParagraph"/>
        <w:spacing w:line="360" w:lineRule="auto"/>
        <w:ind w:left="0"/>
        <w:jc w:val="both"/>
        <w:rPr>
          <w:rFonts w:ascii="Tahoma" w:hAnsi="Tahoma" w:cs="Tahoma"/>
          <w:sz w:val="22"/>
          <w:szCs w:val="22"/>
        </w:rPr>
      </w:pPr>
      <w:r w:rsidRPr="006D427D">
        <w:rPr>
          <w:rFonts w:ascii="Tahoma" w:hAnsi="Tahoma" w:cs="Tahoma"/>
          <w:b/>
          <w:sz w:val="22"/>
          <w:szCs w:val="22"/>
        </w:rPr>
        <w:t>Issues</w:t>
      </w:r>
    </w:p>
    <w:p w14:paraId="2E488B76" w14:textId="77777777" w:rsidR="009F4281" w:rsidRPr="006D427D" w:rsidRDefault="009F4281" w:rsidP="009F4281">
      <w:pPr>
        <w:pStyle w:val="ListParagraph"/>
        <w:rPr>
          <w:rFonts w:ascii="Tahoma" w:hAnsi="Tahoma" w:cs="Tahoma"/>
          <w:sz w:val="22"/>
          <w:szCs w:val="22"/>
        </w:rPr>
      </w:pPr>
    </w:p>
    <w:p w14:paraId="301AF0C8" w14:textId="486D94A4" w:rsidR="00330A49" w:rsidRPr="006D427D" w:rsidRDefault="0019510F"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points raised on appeal pertain</w:t>
      </w:r>
      <w:r w:rsidR="00042A75">
        <w:rPr>
          <w:rFonts w:ascii="Tahoma" w:hAnsi="Tahoma" w:cs="Tahoma"/>
          <w:sz w:val="22"/>
          <w:szCs w:val="22"/>
        </w:rPr>
        <w:t>s</w:t>
      </w:r>
      <w:r w:rsidRPr="006D427D">
        <w:rPr>
          <w:rFonts w:ascii="Tahoma" w:hAnsi="Tahoma" w:cs="Tahoma"/>
          <w:sz w:val="22"/>
          <w:szCs w:val="22"/>
        </w:rPr>
        <w:t xml:space="preserve"> to the manner in which the Authority </w:t>
      </w:r>
      <w:r w:rsidR="00042A75">
        <w:rPr>
          <w:rFonts w:ascii="Tahoma" w:hAnsi="Tahoma" w:cs="Tahoma"/>
          <w:sz w:val="22"/>
          <w:szCs w:val="22"/>
        </w:rPr>
        <w:t>undertook</w:t>
      </w:r>
      <w:r w:rsidRPr="006D427D">
        <w:rPr>
          <w:rFonts w:ascii="Tahoma" w:hAnsi="Tahoma" w:cs="Tahoma"/>
          <w:sz w:val="22"/>
          <w:szCs w:val="22"/>
        </w:rPr>
        <w:t xml:space="preserve"> the decision making process concerning the Kronic products</w:t>
      </w:r>
      <w:r w:rsidR="00BE04D8" w:rsidRPr="006D427D">
        <w:rPr>
          <w:rFonts w:ascii="Tahoma" w:hAnsi="Tahoma" w:cs="Tahoma"/>
          <w:sz w:val="22"/>
          <w:szCs w:val="22"/>
        </w:rPr>
        <w:t xml:space="preserve"> and </w:t>
      </w:r>
      <w:r w:rsidR="00484FC6" w:rsidRPr="006D427D">
        <w:rPr>
          <w:rFonts w:ascii="Tahoma" w:hAnsi="Tahoma" w:cs="Tahoma"/>
          <w:sz w:val="22"/>
          <w:szCs w:val="22"/>
        </w:rPr>
        <w:t>the evidence that the Authority had relied on</w:t>
      </w:r>
      <w:r w:rsidR="00101310" w:rsidRPr="006D427D">
        <w:rPr>
          <w:rFonts w:ascii="Tahoma" w:hAnsi="Tahoma" w:cs="Tahoma"/>
          <w:sz w:val="22"/>
          <w:szCs w:val="22"/>
        </w:rPr>
        <w:t xml:space="preserve"> in reaching its conclusion.  </w:t>
      </w:r>
    </w:p>
    <w:p w14:paraId="1493E401" w14:textId="77777777" w:rsidR="00330A49" w:rsidRPr="006D427D" w:rsidRDefault="00330A49" w:rsidP="00330A49">
      <w:pPr>
        <w:pStyle w:val="ListParagraph"/>
        <w:spacing w:line="360" w:lineRule="auto"/>
        <w:jc w:val="both"/>
        <w:rPr>
          <w:rFonts w:ascii="Tahoma" w:hAnsi="Tahoma" w:cs="Tahoma"/>
          <w:sz w:val="22"/>
          <w:szCs w:val="22"/>
        </w:rPr>
      </w:pPr>
    </w:p>
    <w:p w14:paraId="089EA873" w14:textId="77777777" w:rsidR="009F4281" w:rsidRPr="006D427D" w:rsidRDefault="00330A49"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As to the first ground, it is necessary to briefly set out the chronology and the compl</w:t>
      </w:r>
      <w:r w:rsidR="00C40D81" w:rsidRPr="006D427D">
        <w:rPr>
          <w:rFonts w:ascii="Tahoma" w:hAnsi="Tahoma" w:cs="Tahoma"/>
          <w:sz w:val="22"/>
          <w:szCs w:val="22"/>
        </w:rPr>
        <w:t xml:space="preserve">aint advanced by the </w:t>
      </w:r>
      <w:r w:rsidR="007B72D4" w:rsidRPr="006D427D">
        <w:rPr>
          <w:rFonts w:ascii="Tahoma" w:hAnsi="Tahoma" w:cs="Tahoma"/>
          <w:sz w:val="22"/>
          <w:szCs w:val="22"/>
        </w:rPr>
        <w:t xml:space="preserve">appellant.  This was helpfully summarised </w:t>
      </w:r>
      <w:r w:rsidR="00B524C4" w:rsidRPr="006D427D">
        <w:rPr>
          <w:rFonts w:ascii="Tahoma" w:hAnsi="Tahoma" w:cs="Tahoma"/>
          <w:sz w:val="22"/>
          <w:szCs w:val="22"/>
        </w:rPr>
        <w:t xml:space="preserve">in the submissions of the appellant at paragraphs 14 to 25 in addition to a full chronology at Appendix 1.  </w:t>
      </w:r>
    </w:p>
    <w:p w14:paraId="49B0EC17" w14:textId="77777777" w:rsidR="001B1F68" w:rsidRPr="006D427D" w:rsidRDefault="001B1F68" w:rsidP="001B1F68">
      <w:pPr>
        <w:pStyle w:val="ListParagraph"/>
        <w:rPr>
          <w:rFonts w:ascii="Tahoma" w:hAnsi="Tahoma" w:cs="Tahoma"/>
          <w:sz w:val="22"/>
          <w:szCs w:val="22"/>
        </w:rPr>
      </w:pPr>
    </w:p>
    <w:p w14:paraId="235DFD8F" w14:textId="77777777" w:rsidR="006D427D" w:rsidRDefault="006D427D">
      <w:r>
        <w:br w:type="page"/>
      </w:r>
    </w:p>
    <w:tbl>
      <w:tblPr>
        <w:tblStyle w:val="TableGrid"/>
        <w:tblW w:w="0" w:type="auto"/>
        <w:tblInd w:w="720" w:type="dxa"/>
        <w:tblLook w:val="04A0" w:firstRow="1" w:lastRow="0" w:firstColumn="1" w:lastColumn="0" w:noHBand="0" w:noVBand="1"/>
      </w:tblPr>
      <w:tblGrid>
        <w:gridCol w:w="2394"/>
        <w:gridCol w:w="4715"/>
      </w:tblGrid>
      <w:tr w:rsidR="00AC7CB6" w:rsidRPr="006D427D" w14:paraId="424BF7C9" w14:textId="77777777" w:rsidTr="006D427D">
        <w:tc>
          <w:tcPr>
            <w:tcW w:w="2394" w:type="dxa"/>
          </w:tcPr>
          <w:p w14:paraId="67D50A33" w14:textId="77777777" w:rsidR="001B1F68" w:rsidRPr="006D427D" w:rsidRDefault="001B1F68" w:rsidP="001B1F68">
            <w:pPr>
              <w:spacing w:line="360" w:lineRule="auto"/>
              <w:jc w:val="both"/>
              <w:rPr>
                <w:rFonts w:ascii="Tahoma" w:hAnsi="Tahoma" w:cs="Tahoma"/>
                <w:sz w:val="22"/>
                <w:szCs w:val="22"/>
              </w:rPr>
            </w:pPr>
            <w:r w:rsidRPr="006D427D">
              <w:rPr>
                <w:rFonts w:ascii="Tahoma" w:hAnsi="Tahoma" w:cs="Tahoma"/>
                <w:sz w:val="22"/>
                <w:szCs w:val="22"/>
              </w:rPr>
              <w:lastRenderedPageBreak/>
              <w:t>14 August 2013</w:t>
            </w:r>
          </w:p>
        </w:tc>
        <w:tc>
          <w:tcPr>
            <w:tcW w:w="4715" w:type="dxa"/>
          </w:tcPr>
          <w:p w14:paraId="72F529A8" w14:textId="77777777" w:rsidR="001B1F68" w:rsidRPr="00511128" w:rsidRDefault="001B1F68" w:rsidP="001B1F68">
            <w:pPr>
              <w:pStyle w:val="ListParagraph"/>
              <w:ind w:left="0"/>
              <w:jc w:val="both"/>
              <w:rPr>
                <w:rFonts w:ascii="Tahoma" w:hAnsi="Tahoma" w:cs="Tahoma"/>
                <w:sz w:val="20"/>
                <w:szCs w:val="20"/>
              </w:rPr>
            </w:pPr>
            <w:r w:rsidRPr="00511128">
              <w:rPr>
                <w:rFonts w:ascii="Tahoma" w:hAnsi="Tahoma" w:cs="Tahoma"/>
                <w:sz w:val="20"/>
                <w:szCs w:val="20"/>
              </w:rPr>
              <w:t>Application for interim approval of Kronic products.</w:t>
            </w:r>
          </w:p>
        </w:tc>
      </w:tr>
      <w:tr w:rsidR="00AC7CB6" w:rsidRPr="006D427D" w14:paraId="37AEB321" w14:textId="77777777" w:rsidTr="006D427D">
        <w:tc>
          <w:tcPr>
            <w:tcW w:w="2394" w:type="dxa"/>
          </w:tcPr>
          <w:p w14:paraId="776DA744" w14:textId="77777777" w:rsidR="001B1F68" w:rsidRPr="006D427D" w:rsidRDefault="001B1F68" w:rsidP="001B1F68">
            <w:pPr>
              <w:pStyle w:val="ListParagraph"/>
              <w:ind w:left="0"/>
              <w:rPr>
                <w:rFonts w:ascii="Tahoma" w:hAnsi="Tahoma" w:cs="Tahoma"/>
                <w:sz w:val="22"/>
                <w:szCs w:val="22"/>
              </w:rPr>
            </w:pPr>
            <w:r w:rsidRPr="006D427D">
              <w:rPr>
                <w:rFonts w:ascii="Tahoma" w:hAnsi="Tahoma" w:cs="Tahoma"/>
                <w:sz w:val="22"/>
                <w:szCs w:val="22"/>
              </w:rPr>
              <w:t>11 September 2013</w:t>
            </w:r>
          </w:p>
        </w:tc>
        <w:tc>
          <w:tcPr>
            <w:tcW w:w="4715" w:type="dxa"/>
          </w:tcPr>
          <w:p w14:paraId="44B6E652" w14:textId="2385DCA9" w:rsidR="001B1F68" w:rsidRPr="00511128" w:rsidRDefault="00856E1B" w:rsidP="00B60049">
            <w:pPr>
              <w:pStyle w:val="ListParagraph"/>
              <w:ind w:left="0"/>
              <w:jc w:val="both"/>
              <w:rPr>
                <w:rFonts w:ascii="Tahoma" w:hAnsi="Tahoma" w:cs="Tahoma"/>
                <w:sz w:val="20"/>
                <w:szCs w:val="20"/>
              </w:rPr>
            </w:pPr>
            <w:r w:rsidRPr="00511128">
              <w:rPr>
                <w:rFonts w:ascii="Tahoma" w:hAnsi="Tahoma" w:cs="Tahoma"/>
                <w:sz w:val="20"/>
                <w:szCs w:val="20"/>
              </w:rPr>
              <w:t xml:space="preserve">The Authority notified a proposed </w:t>
            </w:r>
            <w:r w:rsidR="008050B0" w:rsidRPr="00511128">
              <w:rPr>
                <w:rFonts w:ascii="Tahoma" w:hAnsi="Tahoma" w:cs="Tahoma"/>
                <w:sz w:val="20"/>
                <w:szCs w:val="20"/>
              </w:rPr>
              <w:t xml:space="preserve">adverse decision under s39 of the Act suggesting that the products posed </w:t>
            </w:r>
            <w:r w:rsidR="00774829" w:rsidRPr="00511128">
              <w:rPr>
                <w:rFonts w:ascii="Tahoma" w:hAnsi="Tahoma" w:cs="Tahoma"/>
                <w:sz w:val="20"/>
                <w:szCs w:val="20"/>
              </w:rPr>
              <w:t xml:space="preserve">more than a low risk of harm. In accordance </w:t>
            </w:r>
            <w:r w:rsidR="00EE5117" w:rsidRPr="00511128">
              <w:rPr>
                <w:rFonts w:ascii="Tahoma" w:hAnsi="Tahoma" w:cs="Tahoma"/>
                <w:sz w:val="20"/>
                <w:szCs w:val="20"/>
              </w:rPr>
              <w:t>w</w:t>
            </w:r>
            <w:r w:rsidR="00774829" w:rsidRPr="00511128">
              <w:rPr>
                <w:rFonts w:ascii="Tahoma" w:hAnsi="Tahoma" w:cs="Tahoma"/>
                <w:sz w:val="20"/>
                <w:szCs w:val="20"/>
              </w:rPr>
              <w:t xml:space="preserve">ith </w:t>
            </w:r>
            <w:r w:rsidR="00006716" w:rsidRPr="00511128">
              <w:rPr>
                <w:rFonts w:ascii="Tahoma" w:hAnsi="Tahoma" w:cs="Tahoma"/>
                <w:sz w:val="20"/>
                <w:szCs w:val="20"/>
              </w:rPr>
              <w:t xml:space="preserve">s39(1)(a), the Authority </w:t>
            </w:r>
            <w:r w:rsidR="00AC7CB6" w:rsidRPr="00511128">
              <w:rPr>
                <w:rFonts w:ascii="Tahoma" w:hAnsi="Tahoma" w:cs="Tahoma"/>
                <w:sz w:val="20"/>
                <w:szCs w:val="20"/>
              </w:rPr>
              <w:t xml:space="preserve">informed the appellant of the grounds for the proposed refusal citing </w:t>
            </w:r>
            <w:r w:rsidR="00D51445" w:rsidRPr="00511128">
              <w:rPr>
                <w:rFonts w:ascii="Tahoma" w:hAnsi="Tahoma" w:cs="Tahoma"/>
                <w:sz w:val="20"/>
                <w:szCs w:val="20"/>
              </w:rPr>
              <w:t>five adverse reports that had been documented in relation to Kronic products by the National Poison</w:t>
            </w:r>
            <w:r w:rsidR="00B60049" w:rsidRPr="00511128">
              <w:rPr>
                <w:rFonts w:ascii="Tahoma" w:hAnsi="Tahoma" w:cs="Tahoma"/>
                <w:sz w:val="20"/>
                <w:szCs w:val="20"/>
              </w:rPr>
              <w:t>s</w:t>
            </w:r>
            <w:r w:rsidR="00D51445" w:rsidRPr="00511128">
              <w:rPr>
                <w:rFonts w:ascii="Tahoma" w:hAnsi="Tahoma" w:cs="Tahoma"/>
                <w:sz w:val="20"/>
                <w:szCs w:val="20"/>
              </w:rPr>
              <w:t xml:space="preserve"> Centre (“NPC”).  </w:t>
            </w:r>
          </w:p>
        </w:tc>
      </w:tr>
      <w:tr w:rsidR="00D51445" w:rsidRPr="006D427D" w14:paraId="1D05BFCD" w14:textId="77777777" w:rsidTr="006D427D">
        <w:tc>
          <w:tcPr>
            <w:tcW w:w="2394" w:type="dxa"/>
          </w:tcPr>
          <w:p w14:paraId="441ABC93" w14:textId="77777777" w:rsidR="00D51445" w:rsidRPr="006D427D" w:rsidRDefault="00D51445" w:rsidP="001B1F68">
            <w:pPr>
              <w:pStyle w:val="ListParagraph"/>
              <w:ind w:left="0"/>
              <w:rPr>
                <w:rFonts w:ascii="Tahoma" w:hAnsi="Tahoma" w:cs="Tahoma"/>
                <w:sz w:val="22"/>
                <w:szCs w:val="22"/>
              </w:rPr>
            </w:pPr>
            <w:r w:rsidRPr="006D427D">
              <w:rPr>
                <w:rFonts w:ascii="Tahoma" w:hAnsi="Tahoma" w:cs="Tahoma"/>
                <w:sz w:val="22"/>
                <w:szCs w:val="22"/>
              </w:rPr>
              <w:t>19 September 2013</w:t>
            </w:r>
          </w:p>
        </w:tc>
        <w:tc>
          <w:tcPr>
            <w:tcW w:w="4715" w:type="dxa"/>
          </w:tcPr>
          <w:p w14:paraId="50C12719" w14:textId="147F83D2" w:rsidR="00D51445" w:rsidRPr="00511128" w:rsidRDefault="00905AA6" w:rsidP="00EA2FB1">
            <w:pPr>
              <w:pStyle w:val="ListParagraph"/>
              <w:ind w:left="0"/>
              <w:jc w:val="both"/>
              <w:rPr>
                <w:rFonts w:ascii="Tahoma" w:hAnsi="Tahoma" w:cs="Tahoma"/>
                <w:sz w:val="20"/>
                <w:szCs w:val="20"/>
              </w:rPr>
            </w:pPr>
            <w:r w:rsidRPr="00511128">
              <w:rPr>
                <w:rFonts w:ascii="Tahoma" w:hAnsi="Tahoma" w:cs="Tahoma"/>
                <w:sz w:val="20"/>
                <w:szCs w:val="20"/>
              </w:rPr>
              <w:t>The appellant respo</w:t>
            </w:r>
            <w:r w:rsidR="00D51445" w:rsidRPr="00511128">
              <w:rPr>
                <w:rFonts w:ascii="Tahoma" w:hAnsi="Tahoma" w:cs="Tahoma"/>
                <w:sz w:val="20"/>
                <w:szCs w:val="20"/>
              </w:rPr>
              <w:t xml:space="preserve">nded </w:t>
            </w:r>
            <w:r w:rsidRPr="00511128">
              <w:rPr>
                <w:rFonts w:ascii="Tahoma" w:hAnsi="Tahoma" w:cs="Tahoma"/>
                <w:sz w:val="20"/>
                <w:szCs w:val="20"/>
              </w:rPr>
              <w:t>through is solicitors indicating that the adverse reports</w:t>
            </w:r>
            <w:r w:rsidR="005E7845" w:rsidRPr="00511128">
              <w:rPr>
                <w:rFonts w:ascii="Tahoma" w:hAnsi="Tahoma" w:cs="Tahoma"/>
                <w:sz w:val="20"/>
                <w:szCs w:val="20"/>
              </w:rPr>
              <w:t xml:space="preserve"> to the NPC prior to mid-April 2013 had to be disregarded</w:t>
            </w:r>
            <w:r w:rsidR="008966C9" w:rsidRPr="00511128">
              <w:rPr>
                <w:rFonts w:ascii="Tahoma" w:hAnsi="Tahoma" w:cs="Tahoma"/>
                <w:sz w:val="20"/>
                <w:szCs w:val="20"/>
              </w:rPr>
              <w:t xml:space="preserve"> because the Kronic products which were subject to the </w:t>
            </w:r>
            <w:r w:rsidR="00452584" w:rsidRPr="00511128">
              <w:rPr>
                <w:rFonts w:ascii="Tahoma" w:hAnsi="Tahoma" w:cs="Tahoma"/>
                <w:sz w:val="20"/>
                <w:szCs w:val="20"/>
              </w:rPr>
              <w:t>application contained a different psychoactive substance from that to which the earlier reports related</w:t>
            </w:r>
            <w:r w:rsidR="00042A75" w:rsidRPr="00511128">
              <w:rPr>
                <w:rFonts w:ascii="Tahoma" w:hAnsi="Tahoma" w:cs="Tahoma"/>
                <w:sz w:val="20"/>
                <w:szCs w:val="20"/>
              </w:rPr>
              <w:t xml:space="preserve">.  </w:t>
            </w:r>
            <w:r w:rsidR="004C511B" w:rsidRPr="00511128">
              <w:rPr>
                <w:rFonts w:ascii="Tahoma" w:hAnsi="Tahoma" w:cs="Tahoma"/>
                <w:sz w:val="20"/>
                <w:szCs w:val="20"/>
              </w:rPr>
              <w:t xml:space="preserve">As a consequence only one of the </w:t>
            </w:r>
            <w:r w:rsidR="00A5219E" w:rsidRPr="00511128">
              <w:rPr>
                <w:rFonts w:ascii="Tahoma" w:hAnsi="Tahoma" w:cs="Tahoma"/>
                <w:sz w:val="20"/>
                <w:szCs w:val="20"/>
              </w:rPr>
              <w:t>NPC repo</w:t>
            </w:r>
            <w:r w:rsidR="005435AA" w:rsidRPr="00511128">
              <w:rPr>
                <w:rFonts w:ascii="Tahoma" w:hAnsi="Tahoma" w:cs="Tahoma"/>
                <w:sz w:val="20"/>
                <w:szCs w:val="20"/>
              </w:rPr>
              <w:t>rts related to the product that was subject to the application and therefore the risk assessment was below the threshold</w:t>
            </w:r>
            <w:r w:rsidR="00EA2FB1" w:rsidRPr="00511128">
              <w:rPr>
                <w:rFonts w:ascii="Tahoma" w:hAnsi="Tahoma" w:cs="Tahoma"/>
                <w:sz w:val="20"/>
                <w:szCs w:val="20"/>
              </w:rPr>
              <w:t xml:space="preserve"> at which product approval would be declined.  The appellant’s correspondence also questioned the reliability of the NPC data.</w:t>
            </w:r>
          </w:p>
        </w:tc>
      </w:tr>
      <w:tr w:rsidR="00EA2FB1" w:rsidRPr="006D427D" w14:paraId="3E79340F" w14:textId="77777777" w:rsidTr="006D427D">
        <w:tc>
          <w:tcPr>
            <w:tcW w:w="2394" w:type="dxa"/>
          </w:tcPr>
          <w:p w14:paraId="009BED86" w14:textId="77777777" w:rsidR="00EA2FB1" w:rsidRPr="006D427D" w:rsidRDefault="00EA2FB1" w:rsidP="001B1F68">
            <w:pPr>
              <w:pStyle w:val="ListParagraph"/>
              <w:ind w:left="0"/>
              <w:rPr>
                <w:rFonts w:ascii="Tahoma" w:hAnsi="Tahoma" w:cs="Tahoma"/>
                <w:sz w:val="22"/>
                <w:szCs w:val="22"/>
              </w:rPr>
            </w:pPr>
            <w:r w:rsidRPr="006D427D">
              <w:rPr>
                <w:rFonts w:ascii="Tahoma" w:hAnsi="Tahoma" w:cs="Tahoma"/>
                <w:sz w:val="22"/>
                <w:szCs w:val="22"/>
              </w:rPr>
              <w:t>25 September 2013</w:t>
            </w:r>
          </w:p>
        </w:tc>
        <w:tc>
          <w:tcPr>
            <w:tcW w:w="4715" w:type="dxa"/>
          </w:tcPr>
          <w:p w14:paraId="4309DF23" w14:textId="77777777" w:rsidR="00042A75" w:rsidRPr="00511128" w:rsidRDefault="0031791C" w:rsidP="00886C20">
            <w:pPr>
              <w:pStyle w:val="ListParagraph"/>
              <w:ind w:left="0"/>
              <w:jc w:val="both"/>
              <w:rPr>
                <w:rFonts w:ascii="Tahoma" w:hAnsi="Tahoma" w:cs="Tahoma"/>
                <w:sz w:val="20"/>
                <w:szCs w:val="20"/>
              </w:rPr>
            </w:pPr>
            <w:r w:rsidRPr="00511128">
              <w:rPr>
                <w:rFonts w:ascii="Tahoma" w:hAnsi="Tahoma" w:cs="Tahoma"/>
                <w:sz w:val="20"/>
                <w:szCs w:val="20"/>
              </w:rPr>
              <w:t>After a further exchange of emails, the Authority wrote to the appellant formally declining the application for interim approval on the</w:t>
            </w:r>
            <w:r w:rsidR="00FD02DA" w:rsidRPr="00511128">
              <w:rPr>
                <w:rFonts w:ascii="Tahoma" w:hAnsi="Tahoma" w:cs="Tahoma"/>
                <w:sz w:val="20"/>
                <w:szCs w:val="20"/>
              </w:rPr>
              <w:t xml:space="preserve"> </w:t>
            </w:r>
            <w:r w:rsidRPr="00511128">
              <w:rPr>
                <w:rFonts w:ascii="Tahoma" w:hAnsi="Tahoma" w:cs="Tahoma"/>
                <w:sz w:val="20"/>
                <w:szCs w:val="20"/>
              </w:rPr>
              <w:t xml:space="preserve">grounds that </w:t>
            </w:r>
            <w:r w:rsidR="00FD02DA" w:rsidRPr="00511128">
              <w:rPr>
                <w:rFonts w:ascii="Tahoma" w:hAnsi="Tahoma" w:cs="Tahoma"/>
                <w:sz w:val="20"/>
                <w:szCs w:val="20"/>
              </w:rPr>
              <w:t>the Authority had identified two further adv</w:t>
            </w:r>
            <w:r w:rsidR="00D66EF6" w:rsidRPr="00511128">
              <w:rPr>
                <w:rFonts w:ascii="Tahoma" w:hAnsi="Tahoma" w:cs="Tahoma"/>
                <w:sz w:val="20"/>
                <w:szCs w:val="20"/>
              </w:rPr>
              <w:t>erse reports</w:t>
            </w:r>
            <w:r w:rsidR="00FC159F" w:rsidRPr="00511128">
              <w:rPr>
                <w:rFonts w:ascii="Tahoma" w:hAnsi="Tahoma" w:cs="Tahoma"/>
                <w:sz w:val="20"/>
                <w:szCs w:val="20"/>
              </w:rPr>
              <w:t xml:space="preserve"> on the NPC database in the month of August 2013 which post-dated the appellant’s change to its psychoactive product</w:t>
            </w:r>
            <w:r w:rsidR="00944C43" w:rsidRPr="00511128">
              <w:rPr>
                <w:rFonts w:ascii="Tahoma" w:hAnsi="Tahoma" w:cs="Tahoma"/>
                <w:sz w:val="20"/>
                <w:szCs w:val="20"/>
              </w:rPr>
              <w:t xml:space="preserve"> formulation.  Its assessment of </w:t>
            </w:r>
            <w:r w:rsidR="009D2048" w:rsidRPr="00511128">
              <w:rPr>
                <w:rFonts w:ascii="Tahoma" w:hAnsi="Tahoma" w:cs="Tahoma"/>
                <w:sz w:val="20"/>
                <w:szCs w:val="20"/>
              </w:rPr>
              <w:t xml:space="preserve">these two additional reports elevated the </w:t>
            </w:r>
            <w:r w:rsidR="007C6EBB" w:rsidRPr="00511128">
              <w:rPr>
                <w:rFonts w:ascii="Tahoma" w:hAnsi="Tahoma" w:cs="Tahoma"/>
                <w:sz w:val="20"/>
                <w:szCs w:val="20"/>
              </w:rPr>
              <w:t>risk</w:t>
            </w:r>
            <w:r w:rsidR="00042A75" w:rsidRPr="00511128">
              <w:rPr>
                <w:rFonts w:ascii="Tahoma" w:hAnsi="Tahoma" w:cs="Tahoma"/>
                <w:sz w:val="20"/>
                <w:szCs w:val="20"/>
              </w:rPr>
              <w:t xml:space="preserve"> sc</w:t>
            </w:r>
            <w:r w:rsidR="007C6EBB" w:rsidRPr="00511128">
              <w:rPr>
                <w:rFonts w:ascii="Tahoma" w:hAnsi="Tahoma" w:cs="Tahoma"/>
                <w:sz w:val="20"/>
                <w:szCs w:val="20"/>
              </w:rPr>
              <w:t>or</w:t>
            </w:r>
            <w:r w:rsidR="00042A75" w:rsidRPr="00511128">
              <w:rPr>
                <w:rFonts w:ascii="Tahoma" w:hAnsi="Tahoma" w:cs="Tahoma"/>
                <w:sz w:val="20"/>
                <w:szCs w:val="20"/>
              </w:rPr>
              <w:t>e</w:t>
            </w:r>
            <w:r w:rsidR="007C6EBB" w:rsidRPr="00511128">
              <w:rPr>
                <w:rFonts w:ascii="Tahoma" w:hAnsi="Tahoma" w:cs="Tahoma"/>
                <w:sz w:val="20"/>
                <w:szCs w:val="20"/>
              </w:rPr>
              <w:t xml:space="preserve"> to a point where it exceeded </w:t>
            </w:r>
            <w:r w:rsidR="00B13244" w:rsidRPr="00511128">
              <w:rPr>
                <w:rFonts w:ascii="Tahoma" w:hAnsi="Tahoma" w:cs="Tahoma"/>
                <w:sz w:val="20"/>
                <w:szCs w:val="20"/>
              </w:rPr>
              <w:t xml:space="preserve">the threshold </w:t>
            </w:r>
            <w:r w:rsidR="007C12AB" w:rsidRPr="00511128">
              <w:rPr>
                <w:rFonts w:ascii="Tahoma" w:hAnsi="Tahoma" w:cs="Tahoma"/>
                <w:sz w:val="20"/>
                <w:szCs w:val="20"/>
              </w:rPr>
              <w:t xml:space="preserve">established by the </w:t>
            </w:r>
            <w:r w:rsidR="006D427D" w:rsidRPr="00511128">
              <w:rPr>
                <w:rFonts w:ascii="Tahoma" w:hAnsi="Tahoma" w:cs="Tahoma"/>
                <w:sz w:val="20"/>
                <w:szCs w:val="20"/>
              </w:rPr>
              <w:t>Authority</w:t>
            </w:r>
            <w:r w:rsidR="00042A75" w:rsidRPr="00511128">
              <w:rPr>
                <w:rFonts w:ascii="Tahoma" w:hAnsi="Tahoma" w:cs="Tahoma"/>
                <w:sz w:val="20"/>
                <w:szCs w:val="20"/>
              </w:rPr>
              <w:t>,</w:t>
            </w:r>
            <w:r w:rsidR="007C12AB" w:rsidRPr="00511128">
              <w:rPr>
                <w:rFonts w:ascii="Tahoma" w:hAnsi="Tahoma" w:cs="Tahoma"/>
                <w:sz w:val="20"/>
                <w:szCs w:val="20"/>
              </w:rPr>
              <w:t xml:space="preserve"> indicating the Kronic </w:t>
            </w:r>
            <w:r w:rsidR="00BB64CB" w:rsidRPr="00511128">
              <w:rPr>
                <w:rFonts w:ascii="Tahoma" w:hAnsi="Tahoma" w:cs="Tahoma"/>
                <w:sz w:val="20"/>
                <w:szCs w:val="20"/>
              </w:rPr>
              <w:t>products</w:t>
            </w:r>
            <w:r w:rsidR="001C4C33" w:rsidRPr="00511128">
              <w:rPr>
                <w:rFonts w:ascii="Tahoma" w:hAnsi="Tahoma" w:cs="Tahoma"/>
                <w:sz w:val="20"/>
                <w:szCs w:val="20"/>
              </w:rPr>
              <w:t xml:space="preserve"> posed more than a low risk of harm to individuals who used it.  </w:t>
            </w:r>
          </w:p>
          <w:p w14:paraId="78F3DD2E" w14:textId="79E0A42F" w:rsidR="003C5EF7" w:rsidRPr="00511128" w:rsidRDefault="003C5EF7" w:rsidP="00886C20">
            <w:pPr>
              <w:pStyle w:val="ListParagraph"/>
              <w:ind w:left="0"/>
              <w:jc w:val="both"/>
              <w:rPr>
                <w:rFonts w:ascii="Tahoma" w:hAnsi="Tahoma" w:cs="Tahoma"/>
                <w:sz w:val="20"/>
                <w:szCs w:val="20"/>
              </w:rPr>
            </w:pPr>
          </w:p>
        </w:tc>
      </w:tr>
    </w:tbl>
    <w:p w14:paraId="4ACEFCB0" w14:textId="77777777" w:rsidR="001B1F68" w:rsidRPr="006D427D" w:rsidRDefault="001B1F68" w:rsidP="001B1F68">
      <w:pPr>
        <w:pStyle w:val="ListParagraph"/>
        <w:rPr>
          <w:rFonts w:ascii="Tahoma" w:hAnsi="Tahoma" w:cs="Tahoma"/>
          <w:sz w:val="22"/>
          <w:szCs w:val="22"/>
        </w:rPr>
      </w:pPr>
    </w:p>
    <w:p w14:paraId="451892AF" w14:textId="1EE8DB15" w:rsidR="00B60049" w:rsidRDefault="00B60049" w:rsidP="0017796B">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was common ground that these two additional NPC reports had not been referred to the appellant for comment prior to the Authority making its decision.  </w:t>
      </w:r>
    </w:p>
    <w:p w14:paraId="110599C5" w14:textId="77777777" w:rsidR="00B60049" w:rsidRDefault="00B60049" w:rsidP="00B60049">
      <w:pPr>
        <w:pStyle w:val="ListParagraph"/>
        <w:spacing w:line="360" w:lineRule="auto"/>
        <w:jc w:val="both"/>
        <w:rPr>
          <w:rFonts w:ascii="Tahoma" w:hAnsi="Tahoma" w:cs="Tahoma"/>
          <w:sz w:val="22"/>
          <w:szCs w:val="22"/>
        </w:rPr>
      </w:pPr>
    </w:p>
    <w:p w14:paraId="01C0D298" w14:textId="2E16DABA" w:rsidR="0017796B" w:rsidRPr="006D427D" w:rsidRDefault="0017796B" w:rsidP="0017796B">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grounds of appeal therefore focused on the failure by the Authority to afford the appellant an opportunity to comment on the new information on which the Authority relied</w:t>
      </w:r>
      <w:r w:rsidR="00042A75">
        <w:rPr>
          <w:rFonts w:ascii="Tahoma" w:hAnsi="Tahoma" w:cs="Tahoma"/>
          <w:sz w:val="22"/>
          <w:szCs w:val="22"/>
        </w:rPr>
        <w:t>,</w:t>
      </w:r>
      <w:r w:rsidRPr="006D427D">
        <w:rPr>
          <w:rFonts w:ascii="Tahoma" w:hAnsi="Tahoma" w:cs="Tahoma"/>
          <w:sz w:val="22"/>
          <w:szCs w:val="22"/>
        </w:rPr>
        <w:t xml:space="preserve"> and then the quality of that data in terms of the Authority making its substantive decision.</w:t>
      </w:r>
    </w:p>
    <w:p w14:paraId="5D5BBED9" w14:textId="77777777" w:rsidR="0017796B" w:rsidRPr="006D427D" w:rsidRDefault="0017796B" w:rsidP="0017796B">
      <w:pPr>
        <w:pStyle w:val="ListParagraph"/>
        <w:ind w:left="0"/>
        <w:rPr>
          <w:rFonts w:ascii="Tahoma" w:hAnsi="Tahoma" w:cs="Tahoma"/>
          <w:sz w:val="22"/>
          <w:szCs w:val="22"/>
        </w:rPr>
      </w:pPr>
    </w:p>
    <w:p w14:paraId="23B57C6D" w14:textId="77777777" w:rsidR="006D427D" w:rsidRDefault="006D427D">
      <w:pPr>
        <w:rPr>
          <w:rFonts w:ascii="Tahoma" w:hAnsi="Tahoma" w:cs="Tahoma"/>
          <w:b/>
          <w:sz w:val="22"/>
          <w:szCs w:val="22"/>
        </w:rPr>
      </w:pPr>
      <w:r>
        <w:rPr>
          <w:rFonts w:ascii="Tahoma" w:hAnsi="Tahoma" w:cs="Tahoma"/>
          <w:b/>
          <w:sz w:val="22"/>
          <w:szCs w:val="22"/>
        </w:rPr>
        <w:br w:type="page"/>
      </w:r>
    </w:p>
    <w:p w14:paraId="04733A2B" w14:textId="77777777" w:rsidR="0017796B" w:rsidRPr="006D427D" w:rsidRDefault="0017796B" w:rsidP="0017796B">
      <w:pPr>
        <w:pStyle w:val="ListParagraph"/>
        <w:ind w:left="0"/>
        <w:rPr>
          <w:rFonts w:ascii="Tahoma" w:hAnsi="Tahoma" w:cs="Tahoma"/>
          <w:b/>
          <w:sz w:val="22"/>
          <w:szCs w:val="22"/>
        </w:rPr>
      </w:pPr>
      <w:r w:rsidRPr="006D427D">
        <w:rPr>
          <w:rFonts w:ascii="Tahoma" w:hAnsi="Tahoma" w:cs="Tahoma"/>
          <w:b/>
          <w:sz w:val="22"/>
          <w:szCs w:val="22"/>
        </w:rPr>
        <w:lastRenderedPageBreak/>
        <w:t>Approach</w:t>
      </w:r>
    </w:p>
    <w:p w14:paraId="538B2B8F" w14:textId="77777777" w:rsidR="0017796B" w:rsidRPr="006D427D" w:rsidRDefault="0017796B" w:rsidP="0017796B">
      <w:pPr>
        <w:pStyle w:val="ListParagraph"/>
        <w:ind w:left="0"/>
        <w:rPr>
          <w:rFonts w:ascii="Tahoma" w:hAnsi="Tahoma" w:cs="Tahoma"/>
          <w:b/>
          <w:sz w:val="22"/>
          <w:szCs w:val="22"/>
        </w:rPr>
      </w:pPr>
    </w:p>
    <w:p w14:paraId="1D12DFAC" w14:textId="77777777" w:rsidR="0017796B" w:rsidRPr="006D427D" w:rsidRDefault="0017796B" w:rsidP="0017796B">
      <w:pPr>
        <w:pStyle w:val="ListParagraph"/>
        <w:ind w:left="0"/>
        <w:rPr>
          <w:rFonts w:ascii="Tahoma" w:hAnsi="Tahoma" w:cs="Tahoma"/>
          <w:sz w:val="22"/>
          <w:szCs w:val="22"/>
        </w:rPr>
      </w:pPr>
    </w:p>
    <w:p w14:paraId="781B9156" w14:textId="56CFB10C" w:rsidR="009F4281" w:rsidRPr="006D427D" w:rsidRDefault="00042A75" w:rsidP="009F4281">
      <w:pPr>
        <w:pStyle w:val="ListParagraph"/>
        <w:numPr>
          <w:ilvl w:val="0"/>
          <w:numId w:val="6"/>
        </w:numPr>
        <w:spacing w:line="360" w:lineRule="auto"/>
        <w:ind w:hanging="720"/>
        <w:jc w:val="both"/>
        <w:rPr>
          <w:rFonts w:ascii="Tahoma" w:hAnsi="Tahoma" w:cs="Tahoma"/>
          <w:sz w:val="22"/>
          <w:szCs w:val="22"/>
        </w:rPr>
      </w:pPr>
      <w:r>
        <w:rPr>
          <w:rFonts w:ascii="Tahoma" w:hAnsi="Tahoma" w:cs="Tahoma"/>
          <w:sz w:val="22"/>
          <w:szCs w:val="22"/>
        </w:rPr>
        <w:t>As we noted above, b</w:t>
      </w:r>
      <w:r w:rsidR="0017796B" w:rsidRPr="006D427D">
        <w:rPr>
          <w:rFonts w:ascii="Tahoma" w:hAnsi="Tahoma" w:cs="Tahoma"/>
          <w:sz w:val="22"/>
          <w:szCs w:val="22"/>
        </w:rPr>
        <w:t>ecause the first ground of appeal pertained to what the appellant asserted was both a breach of s39(1) and also generally</w:t>
      </w:r>
      <w:r>
        <w:rPr>
          <w:rFonts w:ascii="Tahoma" w:hAnsi="Tahoma" w:cs="Tahoma"/>
          <w:sz w:val="22"/>
          <w:szCs w:val="22"/>
        </w:rPr>
        <w:t xml:space="preserve"> a</w:t>
      </w:r>
      <w:r w:rsidR="00511128">
        <w:rPr>
          <w:rFonts w:ascii="Tahoma" w:hAnsi="Tahoma" w:cs="Tahoma"/>
          <w:sz w:val="22"/>
          <w:szCs w:val="22"/>
        </w:rPr>
        <w:t xml:space="preserve"> natural</w:t>
      </w:r>
      <w:r w:rsidR="0017796B" w:rsidRPr="006D427D">
        <w:rPr>
          <w:rFonts w:ascii="Tahoma" w:hAnsi="Tahoma" w:cs="Tahoma"/>
          <w:sz w:val="22"/>
          <w:szCs w:val="22"/>
        </w:rPr>
        <w:t xml:space="preserve"> justice obligation, </w:t>
      </w:r>
      <w:r w:rsidR="008C3F28" w:rsidRPr="006D427D">
        <w:rPr>
          <w:rFonts w:ascii="Tahoma" w:hAnsi="Tahoma" w:cs="Tahoma"/>
          <w:sz w:val="22"/>
          <w:szCs w:val="22"/>
        </w:rPr>
        <w:t xml:space="preserve">we granted leave to the appellant to file fresh evidence relating to those two reports for which the opportunity of </w:t>
      </w:r>
      <w:r w:rsidR="00F8221F" w:rsidRPr="006D427D">
        <w:rPr>
          <w:rFonts w:ascii="Tahoma" w:hAnsi="Tahoma" w:cs="Tahoma"/>
          <w:sz w:val="22"/>
          <w:szCs w:val="22"/>
        </w:rPr>
        <w:t>comment was not afforded during the Authority’s decision making process</w:t>
      </w:r>
      <w:r w:rsidR="001047A5" w:rsidRPr="006D427D">
        <w:rPr>
          <w:rFonts w:ascii="Tahoma" w:hAnsi="Tahoma" w:cs="Tahoma"/>
          <w:sz w:val="22"/>
          <w:szCs w:val="22"/>
        </w:rPr>
        <w:t xml:space="preserve">.  The respondent also filed fresh evidence in response.  </w:t>
      </w:r>
    </w:p>
    <w:p w14:paraId="54A397DD" w14:textId="77777777" w:rsidR="00743DFC" w:rsidRPr="006D427D" w:rsidRDefault="00743DFC" w:rsidP="00743DFC">
      <w:pPr>
        <w:pStyle w:val="ListParagraph"/>
        <w:spacing w:line="360" w:lineRule="auto"/>
        <w:jc w:val="both"/>
        <w:rPr>
          <w:rFonts w:ascii="Tahoma" w:hAnsi="Tahoma" w:cs="Tahoma"/>
          <w:sz w:val="22"/>
          <w:szCs w:val="22"/>
        </w:rPr>
      </w:pPr>
    </w:p>
    <w:p w14:paraId="2305CA6F" w14:textId="548F78AE" w:rsidR="00743DFC" w:rsidRPr="006D427D" w:rsidRDefault="00743DFC"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Leave was granted on a preliminary basis </w:t>
      </w:r>
      <w:r w:rsidR="005A7953" w:rsidRPr="006D427D">
        <w:rPr>
          <w:rFonts w:ascii="Tahoma" w:hAnsi="Tahoma" w:cs="Tahoma"/>
          <w:sz w:val="22"/>
          <w:szCs w:val="22"/>
        </w:rPr>
        <w:t>because we were conscious that s45(5)</w:t>
      </w:r>
      <w:r w:rsidR="00146E2A" w:rsidRPr="006D427D">
        <w:rPr>
          <w:rFonts w:ascii="Tahoma" w:hAnsi="Tahoma" w:cs="Tahoma"/>
          <w:sz w:val="22"/>
          <w:szCs w:val="22"/>
        </w:rPr>
        <w:t xml:space="preserve"> of the Act </w:t>
      </w:r>
      <w:r w:rsidR="004B4377" w:rsidRPr="006D427D">
        <w:rPr>
          <w:rFonts w:ascii="Tahoma" w:hAnsi="Tahoma" w:cs="Tahoma"/>
          <w:sz w:val="22"/>
          <w:szCs w:val="22"/>
        </w:rPr>
        <w:t xml:space="preserve">directs that an appeal to us is by way of </w:t>
      </w:r>
      <w:r w:rsidR="00E2521F" w:rsidRPr="006D427D">
        <w:rPr>
          <w:rFonts w:ascii="Tahoma" w:hAnsi="Tahoma" w:cs="Tahoma"/>
          <w:sz w:val="22"/>
          <w:szCs w:val="22"/>
        </w:rPr>
        <w:t>rehearing</w:t>
      </w:r>
      <w:r w:rsidR="00553D78" w:rsidRPr="006D427D">
        <w:rPr>
          <w:rFonts w:ascii="Tahoma" w:hAnsi="Tahoma" w:cs="Tahoma"/>
          <w:sz w:val="22"/>
          <w:szCs w:val="22"/>
        </w:rPr>
        <w:t xml:space="preserve">.  Ordinarily an appellate body would consider </w:t>
      </w:r>
      <w:r w:rsidR="00042A75">
        <w:rPr>
          <w:rFonts w:ascii="Tahoma" w:hAnsi="Tahoma" w:cs="Tahoma"/>
          <w:sz w:val="22"/>
          <w:szCs w:val="22"/>
        </w:rPr>
        <w:t>the evidence that was pres</w:t>
      </w:r>
      <w:r w:rsidR="00553D78" w:rsidRPr="006D427D">
        <w:rPr>
          <w:rFonts w:ascii="Tahoma" w:hAnsi="Tahoma" w:cs="Tahoma"/>
          <w:sz w:val="22"/>
          <w:szCs w:val="22"/>
        </w:rPr>
        <w:t>ented in the lower Tribunal</w:t>
      </w:r>
      <w:r w:rsidR="00042A75">
        <w:rPr>
          <w:rFonts w:ascii="Tahoma" w:hAnsi="Tahoma" w:cs="Tahoma"/>
          <w:sz w:val="22"/>
          <w:szCs w:val="22"/>
        </w:rPr>
        <w:t>,</w:t>
      </w:r>
      <w:r w:rsidR="00553D78" w:rsidRPr="006D427D">
        <w:rPr>
          <w:rFonts w:ascii="Tahoma" w:hAnsi="Tahoma" w:cs="Tahoma"/>
          <w:sz w:val="22"/>
          <w:szCs w:val="22"/>
        </w:rPr>
        <w:t xml:space="preserve"> but an appeal by way of </w:t>
      </w:r>
      <w:r w:rsidR="00937967" w:rsidRPr="006D427D">
        <w:rPr>
          <w:rFonts w:ascii="Tahoma" w:hAnsi="Tahoma" w:cs="Tahoma"/>
          <w:sz w:val="22"/>
          <w:szCs w:val="22"/>
        </w:rPr>
        <w:t>rehearin</w:t>
      </w:r>
      <w:r w:rsidR="00042A75">
        <w:rPr>
          <w:rFonts w:ascii="Tahoma" w:hAnsi="Tahoma" w:cs="Tahoma"/>
          <w:sz w:val="22"/>
          <w:szCs w:val="22"/>
        </w:rPr>
        <w:t>g is not a hearing de novo.  W</w:t>
      </w:r>
      <w:r w:rsidR="00937967" w:rsidRPr="006D427D">
        <w:rPr>
          <w:rFonts w:ascii="Tahoma" w:hAnsi="Tahoma" w:cs="Tahoma"/>
          <w:sz w:val="22"/>
          <w:szCs w:val="22"/>
        </w:rPr>
        <w:t xml:space="preserve">e would not ordinarily expect </w:t>
      </w:r>
      <w:r w:rsidR="0056033D" w:rsidRPr="006D427D">
        <w:rPr>
          <w:rFonts w:ascii="Tahoma" w:hAnsi="Tahoma" w:cs="Tahoma"/>
          <w:sz w:val="22"/>
          <w:szCs w:val="22"/>
        </w:rPr>
        <w:t>to receive evidence that wa</w:t>
      </w:r>
      <w:r w:rsidR="00042A75">
        <w:rPr>
          <w:rFonts w:ascii="Tahoma" w:hAnsi="Tahoma" w:cs="Tahoma"/>
          <w:sz w:val="22"/>
          <w:szCs w:val="22"/>
        </w:rPr>
        <w:t>s not before the lower Tribunal</w:t>
      </w:r>
      <w:r w:rsidR="0056033D" w:rsidRPr="006D427D">
        <w:rPr>
          <w:rFonts w:ascii="Tahoma" w:hAnsi="Tahoma" w:cs="Tahoma"/>
          <w:sz w:val="22"/>
          <w:szCs w:val="22"/>
        </w:rPr>
        <w:t xml:space="preserve">. We identified this issue </w:t>
      </w:r>
      <w:r w:rsidR="00C806D5" w:rsidRPr="006D427D">
        <w:rPr>
          <w:rFonts w:ascii="Tahoma" w:hAnsi="Tahoma" w:cs="Tahoma"/>
          <w:sz w:val="22"/>
          <w:szCs w:val="22"/>
        </w:rPr>
        <w:t xml:space="preserve">to the </w:t>
      </w:r>
      <w:r w:rsidR="00867674" w:rsidRPr="006D427D">
        <w:rPr>
          <w:rFonts w:ascii="Tahoma" w:hAnsi="Tahoma" w:cs="Tahoma"/>
          <w:sz w:val="22"/>
          <w:szCs w:val="22"/>
        </w:rPr>
        <w:t xml:space="preserve">parties in pre-trial conferences.  The parties were content to deal with this preliminary point at the substantive </w:t>
      </w:r>
      <w:r w:rsidR="00AA0BC7" w:rsidRPr="006D427D">
        <w:rPr>
          <w:rFonts w:ascii="Tahoma" w:hAnsi="Tahoma" w:cs="Tahoma"/>
          <w:sz w:val="22"/>
          <w:szCs w:val="22"/>
        </w:rPr>
        <w:t xml:space="preserve">appeal.  </w:t>
      </w:r>
    </w:p>
    <w:p w14:paraId="3033D34D" w14:textId="77777777" w:rsidR="00100822" w:rsidRPr="006D427D" w:rsidRDefault="00100822" w:rsidP="00100822">
      <w:pPr>
        <w:pStyle w:val="ListParagraph"/>
        <w:rPr>
          <w:rFonts w:ascii="Tahoma" w:hAnsi="Tahoma" w:cs="Tahoma"/>
          <w:sz w:val="22"/>
          <w:szCs w:val="22"/>
        </w:rPr>
      </w:pPr>
    </w:p>
    <w:p w14:paraId="4F3DF5AE" w14:textId="77777777" w:rsidR="00100822" w:rsidRPr="006D427D" w:rsidRDefault="00100822" w:rsidP="009F428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w:t>
      </w:r>
      <w:r w:rsidR="00B047BD" w:rsidRPr="006D427D">
        <w:rPr>
          <w:rFonts w:ascii="Tahoma" w:hAnsi="Tahoma" w:cs="Tahoma"/>
          <w:sz w:val="22"/>
          <w:szCs w:val="22"/>
        </w:rPr>
        <w:t xml:space="preserve">were assisted by the submissions in this regard, the appellant citing numerous authorities supporting the proposition that fresh evidence can be adduced </w:t>
      </w:r>
      <w:r w:rsidR="002C3CBA" w:rsidRPr="006D427D">
        <w:rPr>
          <w:rFonts w:ascii="Tahoma" w:hAnsi="Tahoma" w:cs="Tahoma"/>
          <w:sz w:val="22"/>
          <w:szCs w:val="22"/>
        </w:rPr>
        <w:t>if:</w:t>
      </w:r>
    </w:p>
    <w:p w14:paraId="170703B5" w14:textId="77777777" w:rsidR="002C3CBA" w:rsidRPr="006D427D" w:rsidRDefault="002C3CBA" w:rsidP="002C3CBA">
      <w:pPr>
        <w:pStyle w:val="ListParagraph"/>
        <w:rPr>
          <w:rFonts w:ascii="Tahoma" w:hAnsi="Tahoma" w:cs="Tahoma"/>
          <w:sz w:val="22"/>
          <w:szCs w:val="22"/>
        </w:rPr>
      </w:pPr>
    </w:p>
    <w:p w14:paraId="0325F506" w14:textId="77777777" w:rsidR="002C3CBA" w:rsidRPr="006D427D" w:rsidRDefault="002C3CBA" w:rsidP="003C4817">
      <w:pPr>
        <w:pStyle w:val="ListParagraph"/>
        <w:numPr>
          <w:ilvl w:val="0"/>
          <w:numId w:val="8"/>
        </w:numPr>
        <w:spacing w:line="360" w:lineRule="auto"/>
        <w:jc w:val="both"/>
        <w:rPr>
          <w:rFonts w:ascii="Tahoma" w:hAnsi="Tahoma" w:cs="Tahoma"/>
          <w:sz w:val="22"/>
          <w:szCs w:val="22"/>
        </w:rPr>
      </w:pPr>
      <w:r w:rsidRPr="006D427D">
        <w:rPr>
          <w:rFonts w:ascii="Tahoma" w:hAnsi="Tahoma" w:cs="Tahoma"/>
          <w:sz w:val="22"/>
          <w:szCs w:val="22"/>
        </w:rPr>
        <w:t>The evidence could not have been obtained with reasonable diligence for presen</w:t>
      </w:r>
      <w:r w:rsidR="003C4817" w:rsidRPr="006D427D">
        <w:rPr>
          <w:rFonts w:ascii="Tahoma" w:hAnsi="Tahoma" w:cs="Tahoma"/>
          <w:sz w:val="22"/>
          <w:szCs w:val="22"/>
        </w:rPr>
        <w:t>tation to the original decision maker;</w:t>
      </w:r>
    </w:p>
    <w:p w14:paraId="6235987B" w14:textId="77777777" w:rsidR="003C4817" w:rsidRPr="006D427D" w:rsidRDefault="003C4817" w:rsidP="003C4817">
      <w:pPr>
        <w:pStyle w:val="ListParagraph"/>
        <w:spacing w:line="360" w:lineRule="auto"/>
        <w:ind w:left="1440"/>
        <w:jc w:val="both"/>
        <w:rPr>
          <w:rFonts w:ascii="Tahoma" w:hAnsi="Tahoma" w:cs="Tahoma"/>
          <w:sz w:val="22"/>
          <w:szCs w:val="22"/>
        </w:rPr>
      </w:pPr>
    </w:p>
    <w:p w14:paraId="3D279475" w14:textId="77777777" w:rsidR="003C4817" w:rsidRPr="006D427D" w:rsidRDefault="003C4817" w:rsidP="003C4817">
      <w:pPr>
        <w:pStyle w:val="ListParagraph"/>
        <w:numPr>
          <w:ilvl w:val="0"/>
          <w:numId w:val="8"/>
        </w:numPr>
        <w:spacing w:line="360" w:lineRule="auto"/>
        <w:jc w:val="both"/>
        <w:rPr>
          <w:rFonts w:ascii="Tahoma" w:hAnsi="Tahoma" w:cs="Tahoma"/>
          <w:sz w:val="22"/>
          <w:szCs w:val="22"/>
        </w:rPr>
      </w:pPr>
      <w:r w:rsidRPr="006D427D">
        <w:rPr>
          <w:rFonts w:ascii="Tahoma" w:hAnsi="Tahoma" w:cs="Tahoma"/>
          <w:sz w:val="22"/>
          <w:szCs w:val="22"/>
        </w:rPr>
        <w:t>Would have influenced the result had it been available</w:t>
      </w:r>
      <w:r w:rsidR="00A40DF2" w:rsidRPr="006D427D">
        <w:rPr>
          <w:rFonts w:ascii="Tahoma" w:hAnsi="Tahoma" w:cs="Tahoma"/>
          <w:sz w:val="22"/>
          <w:szCs w:val="22"/>
        </w:rPr>
        <w:t xml:space="preserve">; and </w:t>
      </w:r>
    </w:p>
    <w:p w14:paraId="32771AF4" w14:textId="77777777" w:rsidR="00A40DF2" w:rsidRPr="006D427D" w:rsidRDefault="00A40DF2" w:rsidP="00A40DF2">
      <w:pPr>
        <w:pStyle w:val="ListParagraph"/>
        <w:rPr>
          <w:rFonts w:ascii="Tahoma" w:hAnsi="Tahoma" w:cs="Tahoma"/>
          <w:sz w:val="22"/>
          <w:szCs w:val="22"/>
        </w:rPr>
      </w:pPr>
    </w:p>
    <w:p w14:paraId="1E51E34D" w14:textId="77777777" w:rsidR="00A40DF2" w:rsidRPr="006D427D" w:rsidRDefault="00A40DF2" w:rsidP="003C4817">
      <w:pPr>
        <w:pStyle w:val="ListParagraph"/>
        <w:numPr>
          <w:ilvl w:val="0"/>
          <w:numId w:val="8"/>
        </w:numPr>
        <w:spacing w:line="360" w:lineRule="auto"/>
        <w:jc w:val="both"/>
        <w:rPr>
          <w:rFonts w:ascii="Tahoma" w:hAnsi="Tahoma" w:cs="Tahoma"/>
          <w:sz w:val="22"/>
          <w:szCs w:val="22"/>
        </w:rPr>
      </w:pPr>
      <w:r w:rsidRPr="006D427D">
        <w:rPr>
          <w:rFonts w:ascii="Tahoma" w:hAnsi="Tahoma" w:cs="Tahoma"/>
          <w:sz w:val="22"/>
          <w:szCs w:val="22"/>
        </w:rPr>
        <w:t>Appears credible.</w:t>
      </w:r>
    </w:p>
    <w:p w14:paraId="4689C096" w14:textId="77777777" w:rsidR="00A40DF2" w:rsidRPr="006D427D" w:rsidRDefault="00A40DF2" w:rsidP="00A40DF2">
      <w:pPr>
        <w:pStyle w:val="ListParagraph"/>
        <w:rPr>
          <w:rFonts w:ascii="Tahoma" w:hAnsi="Tahoma" w:cs="Tahoma"/>
          <w:sz w:val="22"/>
          <w:szCs w:val="22"/>
        </w:rPr>
      </w:pPr>
    </w:p>
    <w:p w14:paraId="2DAE1C80" w14:textId="7454485A" w:rsidR="00A40DF2" w:rsidRPr="006D427D" w:rsidRDefault="005A6EFB" w:rsidP="00A40DF2">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princ</w:t>
      </w:r>
      <w:r w:rsidR="0076528C" w:rsidRPr="006D427D">
        <w:rPr>
          <w:rFonts w:ascii="Tahoma" w:hAnsi="Tahoma" w:cs="Tahoma"/>
          <w:sz w:val="22"/>
          <w:szCs w:val="22"/>
        </w:rPr>
        <w:t xml:space="preserve">iples </w:t>
      </w:r>
      <w:r w:rsidRPr="006D427D">
        <w:rPr>
          <w:rFonts w:ascii="Tahoma" w:hAnsi="Tahoma" w:cs="Tahoma"/>
          <w:sz w:val="22"/>
          <w:szCs w:val="22"/>
        </w:rPr>
        <w:t xml:space="preserve">are helpfully summarised </w:t>
      </w:r>
      <w:r w:rsidR="00B354A3" w:rsidRPr="006D427D">
        <w:rPr>
          <w:rFonts w:ascii="Tahoma" w:hAnsi="Tahoma" w:cs="Tahoma"/>
          <w:sz w:val="22"/>
          <w:szCs w:val="22"/>
        </w:rPr>
        <w:t xml:space="preserve">in </w:t>
      </w:r>
      <w:r w:rsidR="00B354A3" w:rsidRPr="006D427D">
        <w:rPr>
          <w:rFonts w:ascii="Tahoma" w:hAnsi="Tahoma" w:cs="Tahoma"/>
          <w:i/>
          <w:sz w:val="22"/>
          <w:szCs w:val="22"/>
        </w:rPr>
        <w:t>Power NZ Limited v Mercury Energy Limited</w:t>
      </w:r>
      <w:r w:rsidR="00B24658">
        <w:rPr>
          <w:rFonts w:ascii="Tahoma" w:hAnsi="Tahoma" w:cs="Tahoma"/>
          <w:i/>
          <w:sz w:val="22"/>
          <w:szCs w:val="22"/>
        </w:rPr>
        <w:t xml:space="preserve"> </w:t>
      </w:r>
      <w:r w:rsidR="00B354A3" w:rsidRPr="006D427D">
        <w:rPr>
          <w:rStyle w:val="FootnoteReference"/>
          <w:rFonts w:ascii="Tahoma" w:hAnsi="Tahoma" w:cs="Tahoma"/>
          <w:sz w:val="22"/>
          <w:szCs w:val="22"/>
        </w:rPr>
        <w:footnoteReference w:id="5"/>
      </w:r>
      <w:r w:rsidR="00B354A3" w:rsidRPr="006D427D">
        <w:rPr>
          <w:rFonts w:ascii="Tahoma" w:hAnsi="Tahoma" w:cs="Tahoma"/>
          <w:i/>
          <w:sz w:val="22"/>
          <w:szCs w:val="22"/>
        </w:rPr>
        <w:t xml:space="preserve"> </w:t>
      </w:r>
      <w:r w:rsidR="00B354A3" w:rsidRPr="006D427D">
        <w:rPr>
          <w:rFonts w:ascii="Tahoma" w:hAnsi="Tahoma" w:cs="Tahoma"/>
          <w:sz w:val="22"/>
          <w:szCs w:val="22"/>
        </w:rPr>
        <w:t>which</w:t>
      </w:r>
      <w:r w:rsidR="00B354A3" w:rsidRPr="006D427D">
        <w:rPr>
          <w:rFonts w:ascii="Tahoma" w:hAnsi="Tahoma" w:cs="Tahoma"/>
          <w:i/>
          <w:sz w:val="22"/>
          <w:szCs w:val="22"/>
        </w:rPr>
        <w:t xml:space="preserve"> </w:t>
      </w:r>
      <w:r w:rsidR="00B354A3" w:rsidRPr="006D427D">
        <w:rPr>
          <w:rFonts w:ascii="Tahoma" w:hAnsi="Tahoma" w:cs="Tahoma"/>
          <w:sz w:val="22"/>
          <w:szCs w:val="22"/>
        </w:rPr>
        <w:t xml:space="preserve">was cited </w:t>
      </w:r>
      <w:r w:rsidR="0076528C" w:rsidRPr="006D427D">
        <w:rPr>
          <w:rFonts w:ascii="Tahoma" w:hAnsi="Tahoma" w:cs="Tahoma"/>
          <w:sz w:val="22"/>
          <w:szCs w:val="22"/>
        </w:rPr>
        <w:t>to us</w:t>
      </w:r>
      <w:r w:rsidR="00851CD9" w:rsidRPr="006D427D">
        <w:rPr>
          <w:rFonts w:ascii="Tahoma" w:hAnsi="Tahoma" w:cs="Tahoma"/>
          <w:sz w:val="22"/>
          <w:szCs w:val="22"/>
        </w:rPr>
        <w:t xml:space="preserve">.  </w:t>
      </w:r>
    </w:p>
    <w:p w14:paraId="0B882475" w14:textId="77777777" w:rsidR="00851CD9" w:rsidRDefault="00851CD9" w:rsidP="00851CD9">
      <w:pPr>
        <w:pStyle w:val="ListParagraph"/>
        <w:spacing w:line="360" w:lineRule="auto"/>
        <w:jc w:val="both"/>
        <w:rPr>
          <w:rFonts w:ascii="Tahoma" w:hAnsi="Tahoma" w:cs="Tahoma"/>
          <w:sz w:val="22"/>
          <w:szCs w:val="22"/>
        </w:rPr>
      </w:pPr>
    </w:p>
    <w:p w14:paraId="08CCD259" w14:textId="3B08A535" w:rsidR="00B24658" w:rsidRDefault="00B24658" w:rsidP="00851CD9">
      <w:pPr>
        <w:pStyle w:val="ListParagraph"/>
        <w:spacing w:line="360" w:lineRule="auto"/>
        <w:jc w:val="both"/>
        <w:rPr>
          <w:rFonts w:ascii="Tahoma" w:hAnsi="Tahoma" w:cs="Tahoma"/>
          <w:sz w:val="22"/>
          <w:szCs w:val="22"/>
        </w:rPr>
      </w:pPr>
    </w:p>
    <w:p w14:paraId="6D5D9ACD" w14:textId="77777777" w:rsidR="00B24658" w:rsidRPr="006D427D" w:rsidRDefault="00B24658" w:rsidP="00851CD9">
      <w:pPr>
        <w:pStyle w:val="ListParagraph"/>
        <w:spacing w:line="360" w:lineRule="auto"/>
        <w:jc w:val="both"/>
        <w:rPr>
          <w:rFonts w:ascii="Tahoma" w:hAnsi="Tahoma" w:cs="Tahoma"/>
          <w:sz w:val="22"/>
          <w:szCs w:val="22"/>
        </w:rPr>
      </w:pPr>
    </w:p>
    <w:p w14:paraId="00EB5AB3" w14:textId="118C4D61" w:rsidR="00851CD9" w:rsidRPr="006D427D" w:rsidRDefault="00851CD9" w:rsidP="00A40DF2">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lastRenderedPageBreak/>
        <w:t xml:space="preserve">The fresh evidence filed by the appellant was comprised of a statement of Matthew Wielenga who is a director of the appellant who undertook to try and identify </w:t>
      </w:r>
      <w:r w:rsidR="00245D69" w:rsidRPr="006D427D">
        <w:rPr>
          <w:rFonts w:ascii="Tahoma" w:hAnsi="Tahoma" w:cs="Tahoma"/>
          <w:sz w:val="22"/>
          <w:szCs w:val="22"/>
        </w:rPr>
        <w:t xml:space="preserve">from its sales data who </w:t>
      </w:r>
      <w:r w:rsidR="00A8227D" w:rsidRPr="006D427D">
        <w:rPr>
          <w:rFonts w:ascii="Tahoma" w:hAnsi="Tahoma" w:cs="Tahoma"/>
          <w:sz w:val="22"/>
          <w:szCs w:val="22"/>
        </w:rPr>
        <w:t>may have contacted the NPC in relation to the two adverse reports</w:t>
      </w:r>
      <w:r w:rsidR="000F3DCC" w:rsidRPr="006D427D">
        <w:rPr>
          <w:rFonts w:ascii="Tahoma" w:hAnsi="Tahoma" w:cs="Tahoma"/>
          <w:sz w:val="22"/>
          <w:szCs w:val="22"/>
        </w:rPr>
        <w:t xml:space="preserve"> relied on by the Authority.  Based on information about its customers to whom Kronic products </w:t>
      </w:r>
      <w:r w:rsidR="00157804" w:rsidRPr="006D427D">
        <w:rPr>
          <w:rFonts w:ascii="Tahoma" w:hAnsi="Tahoma" w:cs="Tahoma"/>
          <w:sz w:val="22"/>
          <w:szCs w:val="22"/>
        </w:rPr>
        <w:t>had been sold in the period following the formulation change, Mr Wi</w:t>
      </w:r>
      <w:r w:rsidR="00B24658">
        <w:rPr>
          <w:rFonts w:ascii="Tahoma" w:hAnsi="Tahoma" w:cs="Tahoma"/>
          <w:sz w:val="22"/>
          <w:szCs w:val="22"/>
        </w:rPr>
        <w:t xml:space="preserve">elenga, by email, contacted </w:t>
      </w:r>
      <w:r w:rsidR="00157804" w:rsidRPr="006D427D">
        <w:rPr>
          <w:rFonts w:ascii="Tahoma" w:hAnsi="Tahoma" w:cs="Tahoma"/>
          <w:sz w:val="22"/>
          <w:szCs w:val="22"/>
        </w:rPr>
        <w:t>customers that could be identified</w:t>
      </w:r>
      <w:r w:rsidR="00F90832">
        <w:rPr>
          <w:rFonts w:ascii="Tahoma" w:hAnsi="Tahoma" w:cs="Tahoma"/>
          <w:sz w:val="22"/>
          <w:szCs w:val="22"/>
        </w:rPr>
        <w:t>,</w:t>
      </w:r>
      <w:r w:rsidR="00157804" w:rsidRPr="006D427D">
        <w:rPr>
          <w:rFonts w:ascii="Tahoma" w:hAnsi="Tahoma" w:cs="Tahoma"/>
          <w:sz w:val="22"/>
          <w:szCs w:val="22"/>
        </w:rPr>
        <w:t xml:space="preserve"> inviting them to comment on their use of Kronic </w:t>
      </w:r>
      <w:r w:rsidR="001A4BC4" w:rsidRPr="006D427D">
        <w:rPr>
          <w:rFonts w:ascii="Tahoma" w:hAnsi="Tahoma" w:cs="Tahoma"/>
          <w:sz w:val="22"/>
          <w:szCs w:val="22"/>
        </w:rPr>
        <w:t xml:space="preserve">products and whether they contacted the NPC.  </w:t>
      </w:r>
    </w:p>
    <w:p w14:paraId="60032F5C" w14:textId="77777777" w:rsidR="001A4BC4" w:rsidRPr="006D427D" w:rsidRDefault="001A4BC4" w:rsidP="001A4BC4">
      <w:pPr>
        <w:pStyle w:val="ListParagraph"/>
        <w:rPr>
          <w:rFonts w:ascii="Tahoma" w:hAnsi="Tahoma" w:cs="Tahoma"/>
          <w:sz w:val="22"/>
          <w:szCs w:val="22"/>
        </w:rPr>
      </w:pPr>
    </w:p>
    <w:p w14:paraId="753CCE50" w14:textId="77777777" w:rsidR="001A4BC4" w:rsidRPr="006D427D" w:rsidRDefault="001A4BC4" w:rsidP="00A40DF2">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Of 18 separate purchases of the Kronic brands during August 2013, the appellant was able to cont</w:t>
      </w:r>
      <w:r w:rsidR="004019EC" w:rsidRPr="006D427D">
        <w:rPr>
          <w:rFonts w:ascii="Tahoma" w:hAnsi="Tahoma" w:cs="Tahoma"/>
          <w:sz w:val="22"/>
          <w:szCs w:val="22"/>
        </w:rPr>
        <w:t xml:space="preserve">act nine customers who provided declarations that they did not suffer adverse effects from using the products or contact the NPC.  </w:t>
      </w:r>
    </w:p>
    <w:p w14:paraId="38C3BBF6" w14:textId="77777777" w:rsidR="004019EC" w:rsidRPr="006D427D" w:rsidRDefault="004019EC" w:rsidP="004019EC">
      <w:pPr>
        <w:pStyle w:val="ListParagraph"/>
        <w:rPr>
          <w:rFonts w:ascii="Tahoma" w:hAnsi="Tahoma" w:cs="Tahoma"/>
          <w:sz w:val="22"/>
          <w:szCs w:val="22"/>
        </w:rPr>
      </w:pPr>
    </w:p>
    <w:p w14:paraId="480EB198" w14:textId="3E3E5FC6" w:rsidR="00724443" w:rsidRPr="006D427D" w:rsidRDefault="004019EC"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w:t>
      </w:r>
      <w:r w:rsidR="00563F74" w:rsidRPr="006D427D">
        <w:rPr>
          <w:rFonts w:ascii="Tahoma" w:hAnsi="Tahoma" w:cs="Tahoma"/>
          <w:sz w:val="22"/>
          <w:szCs w:val="22"/>
        </w:rPr>
        <w:t>is</w:t>
      </w:r>
      <w:r w:rsidR="00042A75">
        <w:rPr>
          <w:rFonts w:ascii="Tahoma" w:hAnsi="Tahoma" w:cs="Tahoma"/>
          <w:sz w:val="22"/>
          <w:szCs w:val="22"/>
        </w:rPr>
        <w:t>,</w:t>
      </w:r>
      <w:r w:rsidR="008B7183">
        <w:rPr>
          <w:rFonts w:ascii="Tahoma" w:hAnsi="Tahoma" w:cs="Tahoma"/>
          <w:sz w:val="22"/>
          <w:szCs w:val="22"/>
        </w:rPr>
        <w:t xml:space="preserve"> the appellant </w:t>
      </w:r>
      <w:r w:rsidR="00563F74" w:rsidRPr="006D427D">
        <w:rPr>
          <w:rFonts w:ascii="Tahoma" w:hAnsi="Tahoma" w:cs="Tahoma"/>
          <w:sz w:val="22"/>
          <w:szCs w:val="22"/>
        </w:rPr>
        <w:t>submitted was germane to a consideration of the NPC data and called into question its reliability</w:t>
      </w:r>
      <w:r w:rsidR="002E688F" w:rsidRPr="006D427D">
        <w:rPr>
          <w:rFonts w:ascii="Tahoma" w:hAnsi="Tahoma" w:cs="Tahoma"/>
          <w:sz w:val="22"/>
          <w:szCs w:val="22"/>
        </w:rPr>
        <w:t>, while acknowledging that the appellant had not been able to identify and therefore obtain declarations from every customer who used the product over that period.</w:t>
      </w:r>
    </w:p>
    <w:p w14:paraId="76BFFD44" w14:textId="77777777" w:rsidR="00724443" w:rsidRPr="006D427D" w:rsidRDefault="00724443" w:rsidP="00724443">
      <w:pPr>
        <w:pStyle w:val="ListParagraph"/>
        <w:rPr>
          <w:rFonts w:ascii="Tahoma" w:hAnsi="Tahoma" w:cs="Tahoma"/>
          <w:sz w:val="22"/>
          <w:szCs w:val="22"/>
        </w:rPr>
      </w:pPr>
    </w:p>
    <w:p w14:paraId="3E640CDE" w14:textId="24FE3F5B" w:rsidR="00DA1C53" w:rsidRPr="006D427D" w:rsidRDefault="00724443"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Ms Miller for the Authority responsibly acknowledged that the two adverse reports on which the Authority eventually relied</w:t>
      </w:r>
      <w:r w:rsidR="006B67C4" w:rsidRPr="006D427D">
        <w:rPr>
          <w:rFonts w:ascii="Tahoma" w:hAnsi="Tahoma" w:cs="Tahoma"/>
          <w:sz w:val="22"/>
          <w:szCs w:val="22"/>
        </w:rPr>
        <w:t xml:space="preserve"> in making its decision had not</w:t>
      </w:r>
      <w:r w:rsidR="00042A75">
        <w:rPr>
          <w:rFonts w:ascii="Tahoma" w:hAnsi="Tahoma" w:cs="Tahoma"/>
          <w:sz w:val="22"/>
          <w:szCs w:val="22"/>
        </w:rPr>
        <w:t xml:space="preserve"> been</w:t>
      </w:r>
      <w:r w:rsidR="006B67C4" w:rsidRPr="006D427D">
        <w:rPr>
          <w:rFonts w:ascii="Tahoma" w:hAnsi="Tahoma" w:cs="Tahoma"/>
          <w:sz w:val="22"/>
          <w:szCs w:val="22"/>
        </w:rPr>
        <w:t xml:space="preserve"> provided to the appellant during the decision making process</w:t>
      </w:r>
      <w:r w:rsidR="00F90832">
        <w:rPr>
          <w:rFonts w:ascii="Tahoma" w:hAnsi="Tahoma" w:cs="Tahoma"/>
          <w:sz w:val="22"/>
          <w:szCs w:val="22"/>
        </w:rPr>
        <w:t>.  F</w:t>
      </w:r>
      <w:r w:rsidR="006B67C4" w:rsidRPr="006D427D">
        <w:rPr>
          <w:rFonts w:ascii="Tahoma" w:hAnsi="Tahoma" w:cs="Tahoma"/>
          <w:sz w:val="22"/>
          <w:szCs w:val="22"/>
        </w:rPr>
        <w:t>or this reason the Appeals Committee was likely to regard the evidence as material</w:t>
      </w:r>
      <w:r w:rsidR="00042A75">
        <w:rPr>
          <w:rFonts w:ascii="Tahoma" w:hAnsi="Tahoma" w:cs="Tahoma"/>
          <w:sz w:val="22"/>
          <w:szCs w:val="22"/>
        </w:rPr>
        <w:t>,</w:t>
      </w:r>
      <w:r w:rsidR="006B67C4" w:rsidRPr="006D427D">
        <w:rPr>
          <w:rFonts w:ascii="Tahoma" w:hAnsi="Tahoma" w:cs="Tahoma"/>
          <w:sz w:val="22"/>
          <w:szCs w:val="22"/>
        </w:rPr>
        <w:t xml:space="preserve"> and evidence which the appellant could not have provided at the time the Authority’s decision was made</w:t>
      </w:r>
      <w:r w:rsidR="00FD2FD7" w:rsidRPr="006D427D">
        <w:rPr>
          <w:rFonts w:ascii="Tahoma" w:hAnsi="Tahoma" w:cs="Tahoma"/>
          <w:sz w:val="22"/>
          <w:szCs w:val="22"/>
        </w:rPr>
        <w:t xml:space="preserve">.  That concession is of course correct because the appellant did not know of the adverse reports relied on. Therefore it was impossible for them to respond with the evidence that they have now adduced.  </w:t>
      </w:r>
    </w:p>
    <w:p w14:paraId="1F4E8188" w14:textId="77777777" w:rsidR="009948A1" w:rsidRPr="006D427D" w:rsidRDefault="009948A1" w:rsidP="009948A1">
      <w:pPr>
        <w:pStyle w:val="ListParagraph"/>
        <w:rPr>
          <w:rFonts w:ascii="Tahoma" w:hAnsi="Tahoma" w:cs="Tahoma"/>
          <w:sz w:val="22"/>
          <w:szCs w:val="22"/>
        </w:rPr>
      </w:pPr>
    </w:p>
    <w:p w14:paraId="21CC12ED" w14:textId="5853E2AE" w:rsidR="009948A1" w:rsidRDefault="009948A1"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That concession necessarily flows to the first substantive ground of appeal which </w:t>
      </w:r>
      <w:r w:rsidR="00241C4B" w:rsidRPr="006D427D">
        <w:rPr>
          <w:rFonts w:ascii="Tahoma" w:hAnsi="Tahoma" w:cs="Tahoma"/>
          <w:sz w:val="22"/>
          <w:szCs w:val="22"/>
        </w:rPr>
        <w:t>we address below</w:t>
      </w:r>
      <w:r w:rsidR="00042A75">
        <w:rPr>
          <w:rFonts w:ascii="Tahoma" w:hAnsi="Tahoma" w:cs="Tahoma"/>
          <w:sz w:val="22"/>
          <w:szCs w:val="22"/>
        </w:rPr>
        <w:t>,</w:t>
      </w:r>
      <w:r w:rsidR="00241C4B" w:rsidRPr="006D427D">
        <w:rPr>
          <w:rFonts w:ascii="Tahoma" w:hAnsi="Tahoma" w:cs="Tahoma"/>
          <w:sz w:val="22"/>
          <w:szCs w:val="22"/>
        </w:rPr>
        <w:t xml:space="preserve"> but for present purposes, we have little hesitation granting leave for the fresh evidence to be received and considered by us for the purposes of the appeal</w:t>
      </w:r>
      <w:r w:rsidR="00BB4613" w:rsidRPr="006D427D">
        <w:rPr>
          <w:rFonts w:ascii="Tahoma" w:hAnsi="Tahoma" w:cs="Tahoma"/>
          <w:sz w:val="22"/>
          <w:szCs w:val="22"/>
        </w:rPr>
        <w:t>.</w:t>
      </w:r>
    </w:p>
    <w:p w14:paraId="1E98E2EF" w14:textId="77777777" w:rsidR="00F90832" w:rsidRPr="00F90832" w:rsidRDefault="00F90832" w:rsidP="00F90832">
      <w:pPr>
        <w:pStyle w:val="ListParagraph"/>
        <w:rPr>
          <w:rFonts w:ascii="Tahoma" w:hAnsi="Tahoma" w:cs="Tahoma"/>
          <w:sz w:val="22"/>
          <w:szCs w:val="22"/>
        </w:rPr>
      </w:pPr>
    </w:p>
    <w:p w14:paraId="48D14034" w14:textId="77777777" w:rsidR="00F90832" w:rsidRPr="006D427D" w:rsidRDefault="00F90832" w:rsidP="00F90832">
      <w:pPr>
        <w:pStyle w:val="ListParagraph"/>
        <w:spacing w:line="360" w:lineRule="auto"/>
        <w:jc w:val="both"/>
        <w:rPr>
          <w:rFonts w:ascii="Tahoma" w:hAnsi="Tahoma" w:cs="Tahoma"/>
          <w:sz w:val="22"/>
          <w:szCs w:val="22"/>
        </w:rPr>
      </w:pPr>
    </w:p>
    <w:p w14:paraId="2CFEE3BE" w14:textId="77777777" w:rsidR="00BB4613" w:rsidRPr="006D427D" w:rsidRDefault="00BB4613" w:rsidP="00BB4613">
      <w:pPr>
        <w:pStyle w:val="ListParagraph"/>
        <w:rPr>
          <w:rFonts w:ascii="Tahoma" w:hAnsi="Tahoma" w:cs="Tahoma"/>
          <w:sz w:val="22"/>
          <w:szCs w:val="22"/>
        </w:rPr>
      </w:pPr>
    </w:p>
    <w:p w14:paraId="4973BB1A" w14:textId="5B11F9E2" w:rsidR="00BB4613" w:rsidRPr="006D427D" w:rsidRDefault="00BB4613"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lastRenderedPageBreak/>
        <w:t xml:space="preserve">In terms of how we were to approach our decision, it was common ground that the Supreme Court’s dicta in </w:t>
      </w:r>
      <w:r w:rsidRPr="006D427D">
        <w:rPr>
          <w:rFonts w:ascii="Tahoma" w:hAnsi="Tahoma" w:cs="Tahoma"/>
          <w:i/>
          <w:sz w:val="22"/>
          <w:szCs w:val="22"/>
        </w:rPr>
        <w:t>Austin Nicholls &amp; Co Inc v Stitching Lodestar</w:t>
      </w:r>
      <w:r w:rsidR="00F90832">
        <w:rPr>
          <w:rFonts w:ascii="Tahoma" w:hAnsi="Tahoma" w:cs="Tahoma"/>
          <w:i/>
          <w:sz w:val="22"/>
          <w:szCs w:val="22"/>
        </w:rPr>
        <w:t xml:space="preserve"> </w:t>
      </w:r>
      <w:r w:rsidRPr="006D427D">
        <w:rPr>
          <w:rStyle w:val="FootnoteReference"/>
          <w:rFonts w:ascii="Tahoma" w:hAnsi="Tahoma" w:cs="Tahoma"/>
          <w:sz w:val="22"/>
          <w:szCs w:val="22"/>
        </w:rPr>
        <w:footnoteReference w:id="6"/>
      </w:r>
      <w:r w:rsidRPr="006D427D">
        <w:rPr>
          <w:rFonts w:ascii="Tahoma" w:hAnsi="Tahoma" w:cs="Tahoma"/>
          <w:sz w:val="22"/>
          <w:szCs w:val="22"/>
        </w:rPr>
        <w:t xml:space="preserve"> applied to us and </w:t>
      </w:r>
      <w:r w:rsidR="00246974" w:rsidRPr="006D427D">
        <w:rPr>
          <w:rFonts w:ascii="Tahoma" w:hAnsi="Tahoma" w:cs="Tahoma"/>
          <w:sz w:val="22"/>
          <w:szCs w:val="22"/>
        </w:rPr>
        <w:t>we adopt that approach in this appeal.  We must come to our conclusion on the assessment of the evidence and merits generally and no par</w:t>
      </w:r>
      <w:r w:rsidR="00042A75">
        <w:rPr>
          <w:rFonts w:ascii="Tahoma" w:hAnsi="Tahoma" w:cs="Tahoma"/>
          <w:sz w:val="22"/>
          <w:szCs w:val="22"/>
        </w:rPr>
        <w:t>ticular weight must be placed on</w:t>
      </w:r>
      <w:r w:rsidR="00246974" w:rsidRPr="006D427D">
        <w:rPr>
          <w:rFonts w:ascii="Tahoma" w:hAnsi="Tahoma" w:cs="Tahoma"/>
          <w:sz w:val="22"/>
          <w:szCs w:val="22"/>
        </w:rPr>
        <w:t xml:space="preserve"> the manner in which the Authority approached its task.  Of course in </w:t>
      </w:r>
      <w:r w:rsidR="006D427D" w:rsidRPr="006D427D">
        <w:rPr>
          <w:rFonts w:ascii="Tahoma" w:hAnsi="Tahoma" w:cs="Tahoma"/>
          <w:sz w:val="22"/>
          <w:szCs w:val="22"/>
        </w:rPr>
        <w:t>circumstances</w:t>
      </w:r>
      <w:r w:rsidR="00246974" w:rsidRPr="006D427D">
        <w:rPr>
          <w:rFonts w:ascii="Tahoma" w:hAnsi="Tahoma" w:cs="Tahoma"/>
          <w:sz w:val="22"/>
          <w:szCs w:val="22"/>
        </w:rPr>
        <w:t xml:space="preserve"> where the Authority has not complied with s39(1)</w:t>
      </w:r>
      <w:r w:rsidR="00AB4B98">
        <w:rPr>
          <w:rFonts w:ascii="Tahoma" w:hAnsi="Tahoma" w:cs="Tahoma"/>
          <w:sz w:val="22"/>
          <w:szCs w:val="22"/>
        </w:rPr>
        <w:t>,</w:t>
      </w:r>
      <w:r w:rsidR="00246974" w:rsidRPr="006D427D">
        <w:rPr>
          <w:rFonts w:ascii="Tahoma" w:hAnsi="Tahoma" w:cs="Tahoma"/>
          <w:sz w:val="22"/>
          <w:szCs w:val="22"/>
        </w:rPr>
        <w:t xml:space="preserve"> and we have permitted the admission of fresh evidence, our judgment on that</w:t>
      </w:r>
      <w:r w:rsidR="00042A75">
        <w:rPr>
          <w:rFonts w:ascii="Tahoma" w:hAnsi="Tahoma" w:cs="Tahoma"/>
          <w:sz w:val="22"/>
          <w:szCs w:val="22"/>
        </w:rPr>
        <w:t xml:space="preserve"> additional evidence is unique to us in any event.</w:t>
      </w:r>
    </w:p>
    <w:p w14:paraId="77DDAE6E" w14:textId="77777777" w:rsidR="00246974" w:rsidRPr="006D427D" w:rsidRDefault="00246974" w:rsidP="00246974">
      <w:pPr>
        <w:pStyle w:val="ListParagraph"/>
        <w:rPr>
          <w:rFonts w:ascii="Tahoma" w:hAnsi="Tahoma" w:cs="Tahoma"/>
          <w:sz w:val="22"/>
          <w:szCs w:val="22"/>
        </w:rPr>
      </w:pPr>
    </w:p>
    <w:p w14:paraId="0E79B7F0" w14:textId="77777777" w:rsidR="00246974" w:rsidRPr="006D427D" w:rsidRDefault="00A13648" w:rsidP="00A13648">
      <w:pPr>
        <w:spacing w:line="360" w:lineRule="auto"/>
        <w:jc w:val="both"/>
        <w:rPr>
          <w:rFonts w:ascii="Tahoma" w:hAnsi="Tahoma" w:cs="Tahoma"/>
          <w:sz w:val="22"/>
          <w:szCs w:val="22"/>
        </w:rPr>
      </w:pPr>
      <w:r w:rsidRPr="006D427D">
        <w:rPr>
          <w:rFonts w:ascii="Tahoma" w:hAnsi="Tahoma" w:cs="Tahoma"/>
          <w:b/>
          <w:sz w:val="22"/>
          <w:szCs w:val="22"/>
        </w:rPr>
        <w:t>Submissions</w:t>
      </w:r>
    </w:p>
    <w:p w14:paraId="6E921CF8" w14:textId="77777777" w:rsidR="00A13648" w:rsidRPr="006D427D" w:rsidRDefault="00A13648" w:rsidP="00A13648">
      <w:pPr>
        <w:pStyle w:val="ListParagraph"/>
        <w:rPr>
          <w:rFonts w:ascii="Tahoma" w:hAnsi="Tahoma" w:cs="Tahoma"/>
          <w:sz w:val="22"/>
          <w:szCs w:val="22"/>
        </w:rPr>
      </w:pPr>
    </w:p>
    <w:p w14:paraId="766E4B6E" w14:textId="77777777" w:rsidR="00A13648" w:rsidRPr="006D427D" w:rsidRDefault="003B1C85"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We do not traverse the submissions</w:t>
      </w:r>
      <w:r w:rsidR="00F30348" w:rsidRPr="006D427D">
        <w:rPr>
          <w:rFonts w:ascii="Tahoma" w:hAnsi="Tahoma" w:cs="Tahoma"/>
          <w:sz w:val="22"/>
          <w:szCs w:val="22"/>
        </w:rPr>
        <w:t xml:space="preserve"> in detail</w:t>
      </w:r>
      <w:r w:rsidR="000F6A51" w:rsidRPr="006D427D">
        <w:rPr>
          <w:rFonts w:ascii="Tahoma" w:hAnsi="Tahoma" w:cs="Tahoma"/>
          <w:sz w:val="22"/>
          <w:szCs w:val="22"/>
        </w:rPr>
        <w:t xml:space="preserve"> on the first ground because the Authority recognised that both s39(1) and generally the requirements of natural justice</w:t>
      </w:r>
      <w:r w:rsidR="001D1C0A" w:rsidRPr="006D427D">
        <w:rPr>
          <w:rFonts w:ascii="Tahoma" w:hAnsi="Tahoma" w:cs="Tahoma"/>
          <w:sz w:val="22"/>
          <w:szCs w:val="22"/>
        </w:rPr>
        <w:t>,</w:t>
      </w:r>
      <w:r w:rsidR="000F6A51" w:rsidRPr="006D427D">
        <w:rPr>
          <w:rFonts w:ascii="Tahoma" w:hAnsi="Tahoma" w:cs="Tahoma"/>
          <w:sz w:val="22"/>
          <w:szCs w:val="22"/>
        </w:rPr>
        <w:t xml:space="preserve"> placed </w:t>
      </w:r>
      <w:r w:rsidR="001D1C0A" w:rsidRPr="006D427D">
        <w:rPr>
          <w:rFonts w:ascii="Tahoma" w:hAnsi="Tahoma" w:cs="Tahoma"/>
          <w:sz w:val="22"/>
          <w:szCs w:val="22"/>
        </w:rPr>
        <w:t>an onus on it to provide the additional evidence on which it relied</w:t>
      </w:r>
      <w:r w:rsidR="00241A36" w:rsidRPr="006D427D">
        <w:rPr>
          <w:rFonts w:ascii="Tahoma" w:hAnsi="Tahoma" w:cs="Tahoma"/>
          <w:sz w:val="22"/>
          <w:szCs w:val="22"/>
        </w:rPr>
        <w:t xml:space="preserve"> to the appellant so that the appellant was placed in the position of being able to react to it.  </w:t>
      </w:r>
    </w:p>
    <w:p w14:paraId="0050A630" w14:textId="77777777" w:rsidR="00241A36" w:rsidRPr="006D427D" w:rsidRDefault="00241A36" w:rsidP="00241A36">
      <w:pPr>
        <w:pStyle w:val="ListParagraph"/>
        <w:spacing w:line="360" w:lineRule="auto"/>
        <w:jc w:val="both"/>
        <w:rPr>
          <w:rFonts w:ascii="Tahoma" w:hAnsi="Tahoma" w:cs="Tahoma"/>
          <w:sz w:val="22"/>
          <w:szCs w:val="22"/>
        </w:rPr>
      </w:pPr>
    </w:p>
    <w:p w14:paraId="31043038" w14:textId="0B7C8ADC" w:rsidR="00241A36" w:rsidRPr="006D427D" w:rsidRDefault="00241A36"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S</w:t>
      </w:r>
      <w:r w:rsidR="0060431E">
        <w:rPr>
          <w:rFonts w:ascii="Tahoma" w:hAnsi="Tahoma" w:cs="Tahoma"/>
          <w:sz w:val="22"/>
          <w:szCs w:val="22"/>
        </w:rPr>
        <w:t xml:space="preserve">ection </w:t>
      </w:r>
      <w:r w:rsidRPr="006D427D">
        <w:rPr>
          <w:rFonts w:ascii="Tahoma" w:hAnsi="Tahoma" w:cs="Tahoma"/>
          <w:sz w:val="22"/>
          <w:szCs w:val="22"/>
        </w:rPr>
        <w:t>39(1)</w:t>
      </w:r>
      <w:r w:rsidR="00D74C9A" w:rsidRPr="006D427D">
        <w:rPr>
          <w:rFonts w:ascii="Tahoma" w:hAnsi="Tahoma" w:cs="Tahoma"/>
          <w:sz w:val="22"/>
          <w:szCs w:val="22"/>
        </w:rPr>
        <w:t xml:space="preserve"> clearly states that the Authority must give the appellant “written notice that clearly informs the </w:t>
      </w:r>
      <w:r w:rsidR="008C0A5B" w:rsidRPr="006D427D">
        <w:rPr>
          <w:rFonts w:ascii="Tahoma" w:hAnsi="Tahoma" w:cs="Tahoma"/>
          <w:sz w:val="22"/>
          <w:szCs w:val="22"/>
        </w:rPr>
        <w:t>applicant of the grounds for the proposed refusal</w:t>
      </w:r>
      <w:r w:rsidR="006B3FF7" w:rsidRPr="006D427D">
        <w:rPr>
          <w:rFonts w:ascii="Tahoma" w:hAnsi="Tahoma" w:cs="Tahoma"/>
          <w:sz w:val="22"/>
          <w:szCs w:val="22"/>
        </w:rPr>
        <w:t xml:space="preserve">; and </w:t>
      </w:r>
      <w:r w:rsidR="00610880" w:rsidRPr="006D427D">
        <w:rPr>
          <w:rFonts w:ascii="Tahoma" w:hAnsi="Tahoma" w:cs="Tahoma"/>
          <w:sz w:val="22"/>
          <w:szCs w:val="22"/>
        </w:rPr>
        <w:t>a reasonable opportunity to make written submissions</w:t>
      </w:r>
      <w:r w:rsidR="000B56BA" w:rsidRPr="006D427D">
        <w:rPr>
          <w:rFonts w:ascii="Tahoma" w:hAnsi="Tahoma" w:cs="Tahoma"/>
          <w:sz w:val="22"/>
          <w:szCs w:val="22"/>
        </w:rPr>
        <w:t xml:space="preserve">”.  </w:t>
      </w:r>
    </w:p>
    <w:p w14:paraId="08BA9157" w14:textId="77777777" w:rsidR="00F212D9" w:rsidRPr="006D427D" w:rsidRDefault="00F212D9" w:rsidP="00F212D9">
      <w:pPr>
        <w:pStyle w:val="ListParagraph"/>
        <w:rPr>
          <w:rFonts w:ascii="Tahoma" w:hAnsi="Tahoma" w:cs="Tahoma"/>
          <w:sz w:val="22"/>
          <w:szCs w:val="22"/>
        </w:rPr>
      </w:pPr>
    </w:p>
    <w:p w14:paraId="786672EB" w14:textId="77777777" w:rsidR="00F212D9" w:rsidRPr="006D427D" w:rsidRDefault="00F212D9"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Once the Authority intended to rely </w:t>
      </w:r>
      <w:r w:rsidR="0044157D" w:rsidRPr="006D427D">
        <w:rPr>
          <w:rFonts w:ascii="Tahoma" w:hAnsi="Tahoma" w:cs="Tahoma"/>
          <w:sz w:val="22"/>
          <w:szCs w:val="22"/>
        </w:rPr>
        <w:t xml:space="preserve">on additional evidence that had not been referred to the appellant, the s39(1) obligation arose again and should have been complied with to ensure the procedural fairness mandated by the Act was met.  </w:t>
      </w:r>
    </w:p>
    <w:p w14:paraId="0D53AA0B" w14:textId="77777777" w:rsidR="00F961F6" w:rsidRPr="006D427D" w:rsidRDefault="00F961F6" w:rsidP="00F961F6">
      <w:pPr>
        <w:pStyle w:val="ListParagraph"/>
        <w:rPr>
          <w:rFonts w:ascii="Tahoma" w:hAnsi="Tahoma" w:cs="Tahoma"/>
          <w:sz w:val="22"/>
          <w:szCs w:val="22"/>
        </w:rPr>
      </w:pPr>
    </w:p>
    <w:p w14:paraId="5DAF2775" w14:textId="27FBA9F9" w:rsidR="00F961F6" w:rsidRPr="006D427D" w:rsidRDefault="00F961F6"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Correspondingly, having identified that procedural om</w:t>
      </w:r>
      <w:r w:rsidR="00D62363" w:rsidRPr="006D427D">
        <w:rPr>
          <w:rFonts w:ascii="Tahoma" w:hAnsi="Tahoma" w:cs="Tahoma"/>
          <w:sz w:val="22"/>
          <w:szCs w:val="22"/>
        </w:rPr>
        <w:t>ission, the appellant</w:t>
      </w:r>
      <w:r w:rsidRPr="006D427D">
        <w:rPr>
          <w:rFonts w:ascii="Tahoma" w:hAnsi="Tahoma" w:cs="Tahoma"/>
          <w:sz w:val="22"/>
          <w:szCs w:val="22"/>
        </w:rPr>
        <w:t xml:space="preserve"> ultimately agreed that this was remedied by </w:t>
      </w:r>
      <w:r w:rsidR="00323405" w:rsidRPr="006D427D">
        <w:rPr>
          <w:rFonts w:ascii="Tahoma" w:hAnsi="Tahoma" w:cs="Tahoma"/>
          <w:sz w:val="22"/>
          <w:szCs w:val="22"/>
        </w:rPr>
        <w:t xml:space="preserve">us receiving the fresh evidence which would have been provided to </w:t>
      </w:r>
      <w:r w:rsidR="00C36E25" w:rsidRPr="006D427D">
        <w:rPr>
          <w:rFonts w:ascii="Tahoma" w:hAnsi="Tahoma" w:cs="Tahoma"/>
          <w:sz w:val="22"/>
          <w:szCs w:val="22"/>
        </w:rPr>
        <w:t>the Authority</w:t>
      </w:r>
      <w:r w:rsidR="0060431E">
        <w:rPr>
          <w:rFonts w:ascii="Tahoma" w:hAnsi="Tahoma" w:cs="Tahoma"/>
          <w:sz w:val="22"/>
          <w:szCs w:val="22"/>
        </w:rPr>
        <w:t xml:space="preserve">.  </w:t>
      </w:r>
      <w:r w:rsidR="002B46E3" w:rsidRPr="006D427D">
        <w:rPr>
          <w:rFonts w:ascii="Tahoma" w:hAnsi="Tahoma" w:cs="Tahoma"/>
          <w:sz w:val="22"/>
          <w:szCs w:val="22"/>
        </w:rPr>
        <w:t>Therefore the omission to extend</w:t>
      </w:r>
      <w:r w:rsidR="00785A15" w:rsidRPr="006D427D">
        <w:rPr>
          <w:rFonts w:ascii="Tahoma" w:hAnsi="Tahoma" w:cs="Tahoma"/>
          <w:sz w:val="22"/>
          <w:szCs w:val="22"/>
        </w:rPr>
        <w:t xml:space="preserve"> the s39(1) procedure to the additional </w:t>
      </w:r>
      <w:r w:rsidR="0060431E">
        <w:rPr>
          <w:rFonts w:ascii="Tahoma" w:hAnsi="Tahoma" w:cs="Tahoma"/>
          <w:sz w:val="22"/>
          <w:szCs w:val="22"/>
        </w:rPr>
        <w:t xml:space="preserve">NPC </w:t>
      </w:r>
      <w:r w:rsidR="00785A15" w:rsidRPr="006D427D">
        <w:rPr>
          <w:rFonts w:ascii="Tahoma" w:hAnsi="Tahoma" w:cs="Tahoma"/>
          <w:sz w:val="22"/>
          <w:szCs w:val="22"/>
        </w:rPr>
        <w:t>report</w:t>
      </w:r>
      <w:r w:rsidR="0060431E">
        <w:rPr>
          <w:rFonts w:ascii="Tahoma" w:hAnsi="Tahoma" w:cs="Tahoma"/>
          <w:sz w:val="22"/>
          <w:szCs w:val="22"/>
        </w:rPr>
        <w:t>s</w:t>
      </w:r>
      <w:r w:rsidR="00785A15" w:rsidRPr="006D427D">
        <w:rPr>
          <w:rFonts w:ascii="Tahoma" w:hAnsi="Tahoma" w:cs="Tahoma"/>
          <w:sz w:val="22"/>
          <w:szCs w:val="22"/>
        </w:rPr>
        <w:t xml:space="preserve"> would not, of itself</w:t>
      </w:r>
      <w:r w:rsidR="00255B58" w:rsidRPr="006D427D">
        <w:rPr>
          <w:rFonts w:ascii="Tahoma" w:hAnsi="Tahoma" w:cs="Tahoma"/>
          <w:sz w:val="22"/>
          <w:szCs w:val="22"/>
        </w:rPr>
        <w:t xml:space="preserve">, justify us granting an approval unless we were satisfied </w:t>
      </w:r>
      <w:r w:rsidR="00CD32A1" w:rsidRPr="006D427D">
        <w:rPr>
          <w:rFonts w:ascii="Tahoma" w:hAnsi="Tahoma" w:cs="Tahoma"/>
          <w:sz w:val="22"/>
          <w:szCs w:val="22"/>
        </w:rPr>
        <w:t>that substantively the approval should have been granted in light of all of the evidence before us</w:t>
      </w:r>
      <w:r w:rsidR="00DA6E54" w:rsidRPr="006D427D">
        <w:rPr>
          <w:rFonts w:ascii="Tahoma" w:hAnsi="Tahoma" w:cs="Tahoma"/>
          <w:sz w:val="22"/>
          <w:szCs w:val="22"/>
        </w:rPr>
        <w:t xml:space="preserve">.  </w:t>
      </w:r>
    </w:p>
    <w:p w14:paraId="2389ADF0" w14:textId="77777777" w:rsidR="00DA6E54" w:rsidRPr="006D427D" w:rsidRDefault="00DA6E54" w:rsidP="00DA6E54">
      <w:pPr>
        <w:pStyle w:val="ListParagraph"/>
        <w:rPr>
          <w:rFonts w:ascii="Tahoma" w:hAnsi="Tahoma" w:cs="Tahoma"/>
          <w:sz w:val="22"/>
          <w:szCs w:val="22"/>
        </w:rPr>
      </w:pPr>
    </w:p>
    <w:p w14:paraId="73E2A262" w14:textId="14C326F0" w:rsidR="00DA6E54" w:rsidRPr="006D427D" w:rsidRDefault="00DA6E54"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Therefore it was the second ground on which the substantive merits o</w:t>
      </w:r>
      <w:r w:rsidR="00AB4B98">
        <w:rPr>
          <w:rFonts w:ascii="Tahoma" w:hAnsi="Tahoma" w:cs="Tahoma"/>
          <w:sz w:val="22"/>
          <w:szCs w:val="22"/>
        </w:rPr>
        <w:t>f the appeal had to be assessed;</w:t>
      </w:r>
      <w:r w:rsidRPr="006D427D">
        <w:rPr>
          <w:rFonts w:ascii="Tahoma" w:hAnsi="Tahoma" w:cs="Tahoma"/>
          <w:sz w:val="22"/>
          <w:szCs w:val="22"/>
        </w:rPr>
        <w:t xml:space="preserve"> having admitted the fresh evidence in recognition of the procedural error committed by the Authority.  </w:t>
      </w:r>
    </w:p>
    <w:p w14:paraId="587C6D68" w14:textId="77777777" w:rsidR="00DA6E54" w:rsidRPr="006D427D" w:rsidRDefault="00DA6E54" w:rsidP="00DA6E54">
      <w:pPr>
        <w:pStyle w:val="ListParagraph"/>
        <w:rPr>
          <w:rFonts w:ascii="Tahoma" w:hAnsi="Tahoma" w:cs="Tahoma"/>
          <w:sz w:val="22"/>
          <w:szCs w:val="22"/>
        </w:rPr>
      </w:pPr>
    </w:p>
    <w:p w14:paraId="387E0686" w14:textId="269E04D2" w:rsidR="00DA6E54" w:rsidRPr="006D427D" w:rsidRDefault="00DA6E54"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Before leaving this first ground we</w:t>
      </w:r>
      <w:r w:rsidR="00AB4B98">
        <w:rPr>
          <w:rFonts w:ascii="Tahoma" w:hAnsi="Tahoma" w:cs="Tahoma"/>
          <w:sz w:val="22"/>
          <w:szCs w:val="22"/>
        </w:rPr>
        <w:t xml:space="preserve"> note o</w:t>
      </w:r>
      <w:r w:rsidR="00412D89" w:rsidRPr="006D427D">
        <w:rPr>
          <w:rFonts w:ascii="Tahoma" w:hAnsi="Tahoma" w:cs="Tahoma"/>
          <w:sz w:val="22"/>
          <w:szCs w:val="22"/>
        </w:rPr>
        <w:t xml:space="preserve">ur </w:t>
      </w:r>
      <w:r w:rsidR="00073A7F" w:rsidRPr="006D427D">
        <w:rPr>
          <w:rFonts w:ascii="Tahoma" w:hAnsi="Tahoma" w:cs="Tahoma"/>
          <w:sz w:val="22"/>
          <w:szCs w:val="22"/>
        </w:rPr>
        <w:t xml:space="preserve">conclusions </w:t>
      </w:r>
      <w:r w:rsidR="00AB4B98">
        <w:rPr>
          <w:rFonts w:ascii="Tahoma" w:hAnsi="Tahoma" w:cs="Tahoma"/>
          <w:sz w:val="22"/>
          <w:szCs w:val="22"/>
        </w:rPr>
        <w:t xml:space="preserve">are not directed at criticising the </w:t>
      </w:r>
      <w:r w:rsidR="00073A7F" w:rsidRPr="006D427D">
        <w:rPr>
          <w:rFonts w:ascii="Tahoma" w:hAnsi="Tahoma" w:cs="Tahoma"/>
          <w:sz w:val="22"/>
          <w:szCs w:val="22"/>
        </w:rPr>
        <w:t>Authority.  To the contrary, the Authority has undertaken an onerous task w</w:t>
      </w:r>
      <w:r w:rsidR="00A7486E" w:rsidRPr="006D427D">
        <w:rPr>
          <w:rFonts w:ascii="Tahoma" w:hAnsi="Tahoma" w:cs="Tahoma"/>
          <w:sz w:val="22"/>
          <w:szCs w:val="22"/>
        </w:rPr>
        <w:t xml:space="preserve">ith new legislation </w:t>
      </w:r>
      <w:r w:rsidR="00035B39">
        <w:rPr>
          <w:rFonts w:ascii="Tahoma" w:hAnsi="Tahoma" w:cs="Tahoma"/>
          <w:sz w:val="22"/>
          <w:szCs w:val="22"/>
        </w:rPr>
        <w:t xml:space="preserve">with commendable diligence.  </w:t>
      </w:r>
      <w:r w:rsidR="00062B07" w:rsidRPr="006D427D">
        <w:rPr>
          <w:rFonts w:ascii="Tahoma" w:hAnsi="Tahoma" w:cs="Tahoma"/>
          <w:sz w:val="22"/>
          <w:szCs w:val="22"/>
        </w:rPr>
        <w:t>We ho</w:t>
      </w:r>
      <w:r w:rsidR="008B4820" w:rsidRPr="006D427D">
        <w:rPr>
          <w:rFonts w:ascii="Tahoma" w:hAnsi="Tahoma" w:cs="Tahoma"/>
          <w:sz w:val="22"/>
          <w:szCs w:val="22"/>
        </w:rPr>
        <w:t xml:space="preserve">pe our observations concerning </w:t>
      </w:r>
      <w:r w:rsidR="004D6A78" w:rsidRPr="006D427D">
        <w:rPr>
          <w:rFonts w:ascii="Tahoma" w:hAnsi="Tahoma" w:cs="Tahoma"/>
          <w:sz w:val="22"/>
          <w:szCs w:val="22"/>
        </w:rPr>
        <w:t xml:space="preserve">the first ground of the appeal will provide some guidance on how s39 will be met in future cases.  </w:t>
      </w:r>
    </w:p>
    <w:p w14:paraId="55CD110E" w14:textId="77777777" w:rsidR="004D6A78" w:rsidRPr="006D427D" w:rsidRDefault="004D6A78" w:rsidP="004D6A78">
      <w:pPr>
        <w:pStyle w:val="ListParagraph"/>
        <w:rPr>
          <w:rFonts w:ascii="Tahoma" w:hAnsi="Tahoma" w:cs="Tahoma"/>
          <w:sz w:val="22"/>
          <w:szCs w:val="22"/>
        </w:rPr>
      </w:pPr>
    </w:p>
    <w:p w14:paraId="37141FC7" w14:textId="77777777" w:rsidR="004D6A78" w:rsidRPr="006D427D" w:rsidRDefault="004D6A78"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now turn to </w:t>
      </w:r>
      <w:r w:rsidR="00326064" w:rsidRPr="006D427D">
        <w:rPr>
          <w:rFonts w:ascii="Tahoma" w:hAnsi="Tahoma" w:cs="Tahoma"/>
          <w:sz w:val="22"/>
          <w:szCs w:val="22"/>
        </w:rPr>
        <w:t>the second ground of appeal.</w:t>
      </w:r>
    </w:p>
    <w:p w14:paraId="1A13D908" w14:textId="77777777" w:rsidR="00AF0010" w:rsidRPr="006D427D" w:rsidRDefault="00AF0010" w:rsidP="00AF0010">
      <w:pPr>
        <w:pStyle w:val="ListParagraph"/>
        <w:rPr>
          <w:rFonts w:ascii="Tahoma" w:hAnsi="Tahoma" w:cs="Tahoma"/>
          <w:sz w:val="22"/>
          <w:szCs w:val="22"/>
        </w:rPr>
      </w:pPr>
    </w:p>
    <w:p w14:paraId="0679C32E" w14:textId="52FCEB7A" w:rsidR="00AF0010" w:rsidRPr="006D427D" w:rsidRDefault="00AF0010" w:rsidP="0072444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appellant’s submission</w:t>
      </w:r>
      <w:r w:rsidR="00D62363" w:rsidRPr="006D427D">
        <w:rPr>
          <w:rFonts w:ascii="Tahoma" w:hAnsi="Tahoma" w:cs="Tahoma"/>
          <w:sz w:val="22"/>
          <w:szCs w:val="22"/>
        </w:rPr>
        <w:t xml:space="preserve"> was essentially that the two NPC reports relied on by the Authority were unreliable</w:t>
      </w:r>
      <w:r w:rsidR="00183965">
        <w:rPr>
          <w:rFonts w:ascii="Tahoma" w:hAnsi="Tahoma" w:cs="Tahoma"/>
          <w:sz w:val="22"/>
          <w:szCs w:val="22"/>
        </w:rPr>
        <w:t xml:space="preserve">.  That contention was said to be </w:t>
      </w:r>
      <w:r w:rsidR="00D62363" w:rsidRPr="006D427D">
        <w:rPr>
          <w:rFonts w:ascii="Tahoma" w:hAnsi="Tahoma" w:cs="Tahoma"/>
          <w:sz w:val="22"/>
          <w:szCs w:val="22"/>
        </w:rPr>
        <w:t>supported by the appellant’s fresh evidence</w:t>
      </w:r>
      <w:r w:rsidR="00183965">
        <w:rPr>
          <w:rFonts w:ascii="Tahoma" w:hAnsi="Tahoma" w:cs="Tahoma"/>
          <w:sz w:val="22"/>
          <w:szCs w:val="22"/>
        </w:rPr>
        <w:t>, being</w:t>
      </w:r>
      <w:r w:rsidR="00D62363" w:rsidRPr="006D427D">
        <w:rPr>
          <w:rFonts w:ascii="Tahoma" w:hAnsi="Tahoma" w:cs="Tahoma"/>
          <w:sz w:val="22"/>
          <w:szCs w:val="22"/>
        </w:rPr>
        <w:t xml:space="preserve"> and the customer sur</w:t>
      </w:r>
      <w:r w:rsidR="00B56A76" w:rsidRPr="006D427D">
        <w:rPr>
          <w:rFonts w:ascii="Tahoma" w:hAnsi="Tahoma" w:cs="Tahoma"/>
          <w:sz w:val="22"/>
          <w:szCs w:val="22"/>
        </w:rPr>
        <w:t>vey conducted by Mr Wielenga.</w:t>
      </w:r>
      <w:r w:rsidR="00183965">
        <w:rPr>
          <w:rFonts w:ascii="Tahoma" w:hAnsi="Tahoma" w:cs="Tahoma"/>
          <w:sz w:val="22"/>
          <w:szCs w:val="22"/>
        </w:rPr>
        <w:t xml:space="preserve">  It was submitted that the fact that this survey disclosed no adverse effects indicated that the NPC reports could not have been about the Kronic products subject to the application.</w:t>
      </w:r>
    </w:p>
    <w:p w14:paraId="084162D4" w14:textId="77777777" w:rsidR="00B56A76" w:rsidRPr="006D427D" w:rsidRDefault="00B56A76" w:rsidP="00B56A76">
      <w:pPr>
        <w:pStyle w:val="ListParagraph"/>
        <w:rPr>
          <w:rFonts w:ascii="Tahoma" w:hAnsi="Tahoma" w:cs="Tahoma"/>
          <w:sz w:val="22"/>
          <w:szCs w:val="22"/>
        </w:rPr>
      </w:pPr>
    </w:p>
    <w:p w14:paraId="4F790B73" w14:textId="3CC7079B" w:rsidR="00326064" w:rsidRPr="006D427D" w:rsidRDefault="00B56A76"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w:t>
      </w:r>
      <w:r w:rsidR="007A4E0E" w:rsidRPr="006D427D">
        <w:rPr>
          <w:rFonts w:ascii="Tahoma" w:hAnsi="Tahoma" w:cs="Tahoma"/>
          <w:sz w:val="22"/>
          <w:szCs w:val="22"/>
        </w:rPr>
        <w:t xml:space="preserve">Authority provided a substantial body of information </w:t>
      </w:r>
      <w:r w:rsidR="00872F25" w:rsidRPr="006D427D">
        <w:rPr>
          <w:rFonts w:ascii="Tahoma" w:hAnsi="Tahoma" w:cs="Tahoma"/>
          <w:sz w:val="22"/>
          <w:szCs w:val="22"/>
        </w:rPr>
        <w:t>outlining how it endeavoured to und</w:t>
      </w:r>
      <w:r w:rsidR="00D332FB" w:rsidRPr="006D427D">
        <w:rPr>
          <w:rFonts w:ascii="Tahoma" w:hAnsi="Tahoma" w:cs="Tahoma"/>
          <w:sz w:val="22"/>
          <w:szCs w:val="22"/>
        </w:rPr>
        <w:t>ertake its tasks under the Act with respect to the interim approval of psychoactive substances and products based</w:t>
      </w:r>
      <w:r w:rsidR="00035B39">
        <w:rPr>
          <w:rFonts w:ascii="Tahoma" w:hAnsi="Tahoma" w:cs="Tahoma"/>
          <w:sz w:val="22"/>
          <w:szCs w:val="22"/>
        </w:rPr>
        <w:t xml:space="preserve"> on what information was known.  </w:t>
      </w:r>
      <w:r w:rsidR="00D332FB" w:rsidRPr="006D427D">
        <w:rPr>
          <w:rFonts w:ascii="Tahoma" w:hAnsi="Tahoma" w:cs="Tahoma"/>
          <w:sz w:val="22"/>
          <w:szCs w:val="22"/>
        </w:rPr>
        <w:t>As couns</w:t>
      </w:r>
      <w:r w:rsidR="006C3C9E" w:rsidRPr="006D427D">
        <w:rPr>
          <w:rFonts w:ascii="Tahoma" w:hAnsi="Tahoma" w:cs="Tahoma"/>
          <w:sz w:val="22"/>
          <w:szCs w:val="22"/>
        </w:rPr>
        <w:t>el for the appellant emphasised, the A</w:t>
      </w:r>
      <w:r w:rsidR="00035B39">
        <w:rPr>
          <w:rFonts w:ascii="Tahoma" w:hAnsi="Tahoma" w:cs="Tahoma"/>
          <w:sz w:val="22"/>
          <w:szCs w:val="22"/>
        </w:rPr>
        <w:t>uthority was faced with a “data-</w:t>
      </w:r>
      <w:r w:rsidR="006C3C9E" w:rsidRPr="006D427D">
        <w:rPr>
          <w:rFonts w:ascii="Tahoma" w:hAnsi="Tahoma" w:cs="Tahoma"/>
          <w:sz w:val="22"/>
          <w:szCs w:val="22"/>
        </w:rPr>
        <w:t>poor” environment</w:t>
      </w:r>
      <w:r w:rsidR="00AB4B98">
        <w:rPr>
          <w:rFonts w:ascii="Tahoma" w:hAnsi="Tahoma" w:cs="Tahoma"/>
          <w:sz w:val="22"/>
          <w:szCs w:val="22"/>
        </w:rPr>
        <w:t xml:space="preserve"> in which to make its decisions.  T</w:t>
      </w:r>
      <w:r w:rsidR="006C3C9E" w:rsidRPr="006D427D">
        <w:rPr>
          <w:rFonts w:ascii="Tahoma" w:hAnsi="Tahoma" w:cs="Tahoma"/>
          <w:sz w:val="22"/>
          <w:szCs w:val="22"/>
        </w:rPr>
        <w:t xml:space="preserve">he substantive regime </w:t>
      </w:r>
      <w:r w:rsidR="00C863C9" w:rsidRPr="006D427D">
        <w:rPr>
          <w:rFonts w:ascii="Tahoma" w:hAnsi="Tahoma" w:cs="Tahoma"/>
          <w:sz w:val="22"/>
          <w:szCs w:val="22"/>
        </w:rPr>
        <w:t xml:space="preserve">established under the Act which will require products </w:t>
      </w:r>
      <w:r w:rsidR="00C302D5" w:rsidRPr="006D427D">
        <w:rPr>
          <w:rFonts w:ascii="Tahoma" w:hAnsi="Tahoma" w:cs="Tahoma"/>
          <w:sz w:val="22"/>
          <w:szCs w:val="22"/>
        </w:rPr>
        <w:t xml:space="preserve">to undergo pre-clinical and clinical </w:t>
      </w:r>
      <w:r w:rsidR="00BE60FA" w:rsidRPr="006D427D">
        <w:rPr>
          <w:rFonts w:ascii="Tahoma" w:hAnsi="Tahoma" w:cs="Tahoma"/>
          <w:sz w:val="22"/>
          <w:szCs w:val="22"/>
        </w:rPr>
        <w:t>testing</w:t>
      </w:r>
      <w:r w:rsidR="00AB4B98">
        <w:rPr>
          <w:rFonts w:ascii="Tahoma" w:hAnsi="Tahoma" w:cs="Tahoma"/>
          <w:sz w:val="22"/>
          <w:szCs w:val="22"/>
        </w:rPr>
        <w:t>.  But</w:t>
      </w:r>
      <w:r w:rsidR="00E1726D" w:rsidRPr="006D427D">
        <w:rPr>
          <w:rFonts w:ascii="Tahoma" w:hAnsi="Tahoma" w:cs="Tahoma"/>
          <w:sz w:val="22"/>
          <w:szCs w:val="22"/>
        </w:rPr>
        <w:t xml:space="preserve"> no such information was available at the time the interim regime, imposed by Schedule 1 to the Act, came into force.</w:t>
      </w:r>
    </w:p>
    <w:p w14:paraId="71B90999" w14:textId="77777777" w:rsidR="00E1726D" w:rsidRPr="006D427D" w:rsidRDefault="00E1726D" w:rsidP="00E1726D">
      <w:pPr>
        <w:pStyle w:val="ListParagraph"/>
        <w:rPr>
          <w:rFonts w:ascii="Tahoma" w:hAnsi="Tahoma" w:cs="Tahoma"/>
          <w:sz w:val="22"/>
          <w:szCs w:val="22"/>
        </w:rPr>
      </w:pPr>
    </w:p>
    <w:p w14:paraId="62B23614" w14:textId="3137E779" w:rsidR="00E1726D" w:rsidRDefault="00E1726D"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Therefore the Authority looked for other evidence on which it could</w:t>
      </w:r>
      <w:r w:rsidR="000D22C5">
        <w:rPr>
          <w:rFonts w:ascii="Tahoma" w:hAnsi="Tahoma" w:cs="Tahoma"/>
          <w:sz w:val="22"/>
          <w:szCs w:val="22"/>
        </w:rPr>
        <w:t xml:space="preserve"> make</w:t>
      </w:r>
      <w:r w:rsidRPr="006D427D">
        <w:rPr>
          <w:rFonts w:ascii="Tahoma" w:hAnsi="Tahoma" w:cs="Tahoma"/>
          <w:sz w:val="22"/>
          <w:szCs w:val="22"/>
        </w:rPr>
        <w:t xml:space="preserve"> </w:t>
      </w:r>
      <w:r w:rsidR="00184756" w:rsidRPr="006D427D">
        <w:rPr>
          <w:rFonts w:ascii="Tahoma" w:hAnsi="Tahoma" w:cs="Tahoma"/>
          <w:sz w:val="22"/>
          <w:szCs w:val="22"/>
        </w:rPr>
        <w:t xml:space="preserve">an assessment as to the level of risk </w:t>
      </w:r>
      <w:r w:rsidR="007D42D7" w:rsidRPr="006D427D">
        <w:rPr>
          <w:rFonts w:ascii="Tahoma" w:hAnsi="Tahoma" w:cs="Tahoma"/>
          <w:sz w:val="22"/>
          <w:szCs w:val="22"/>
        </w:rPr>
        <w:t xml:space="preserve">posed by a psychoactive substance or product.  </w:t>
      </w:r>
    </w:p>
    <w:p w14:paraId="3392669B" w14:textId="77777777" w:rsidR="00AB4B98" w:rsidRPr="00AB4B98" w:rsidRDefault="00AB4B98" w:rsidP="00AB4B98">
      <w:pPr>
        <w:pStyle w:val="ListParagraph"/>
        <w:rPr>
          <w:rFonts w:ascii="Tahoma" w:hAnsi="Tahoma" w:cs="Tahoma"/>
          <w:sz w:val="22"/>
          <w:szCs w:val="22"/>
        </w:rPr>
      </w:pPr>
    </w:p>
    <w:p w14:paraId="3A7B9F13" w14:textId="77777777" w:rsidR="00AB4B98" w:rsidRDefault="00AB4B98" w:rsidP="00AB4B98">
      <w:pPr>
        <w:pStyle w:val="ListParagraph"/>
        <w:spacing w:line="360" w:lineRule="auto"/>
        <w:jc w:val="both"/>
        <w:rPr>
          <w:rFonts w:ascii="Tahoma" w:hAnsi="Tahoma" w:cs="Tahoma"/>
          <w:sz w:val="22"/>
          <w:szCs w:val="22"/>
        </w:rPr>
      </w:pPr>
    </w:p>
    <w:p w14:paraId="35817C7E" w14:textId="77777777" w:rsidR="00AB4B98" w:rsidRPr="006D427D" w:rsidRDefault="00AB4B98" w:rsidP="00AB4B98">
      <w:pPr>
        <w:pStyle w:val="ListParagraph"/>
        <w:spacing w:line="360" w:lineRule="auto"/>
        <w:jc w:val="both"/>
        <w:rPr>
          <w:rFonts w:ascii="Tahoma" w:hAnsi="Tahoma" w:cs="Tahoma"/>
          <w:sz w:val="22"/>
          <w:szCs w:val="22"/>
        </w:rPr>
      </w:pPr>
    </w:p>
    <w:p w14:paraId="69D19513" w14:textId="77777777" w:rsidR="007D42D7" w:rsidRPr="006D427D" w:rsidRDefault="007D42D7" w:rsidP="007D42D7">
      <w:pPr>
        <w:pStyle w:val="ListParagraph"/>
        <w:rPr>
          <w:rFonts w:ascii="Tahoma" w:hAnsi="Tahoma" w:cs="Tahoma"/>
          <w:sz w:val="22"/>
          <w:szCs w:val="22"/>
        </w:rPr>
      </w:pPr>
    </w:p>
    <w:p w14:paraId="2850E4C0" w14:textId="52ADD9CD" w:rsidR="007D42D7" w:rsidRPr="006D427D" w:rsidRDefault="007D42D7"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additional evidence filed by the Authority, Dr Stewart </w:t>
      </w:r>
      <w:r w:rsidR="00DB1051" w:rsidRPr="006D427D">
        <w:rPr>
          <w:rFonts w:ascii="Tahoma" w:hAnsi="Tahoma" w:cs="Tahoma"/>
          <w:sz w:val="22"/>
          <w:szCs w:val="22"/>
        </w:rPr>
        <w:t>Sinclair</w:t>
      </w:r>
      <w:r w:rsidR="00FD2AA7" w:rsidRPr="006D427D">
        <w:rPr>
          <w:rFonts w:ascii="Tahoma" w:hAnsi="Tahoma" w:cs="Tahoma"/>
          <w:sz w:val="22"/>
          <w:szCs w:val="22"/>
        </w:rPr>
        <w:t xml:space="preserve"> Jessamine, a registered medical practitioner employed as a medical advisor and Dr Donald James Hannah, the manager of the Authority outlined </w:t>
      </w:r>
      <w:r w:rsidR="00DA3DAB" w:rsidRPr="006D427D">
        <w:rPr>
          <w:rFonts w:ascii="Tahoma" w:hAnsi="Tahoma" w:cs="Tahoma"/>
          <w:sz w:val="22"/>
          <w:szCs w:val="22"/>
        </w:rPr>
        <w:t>these issues</w:t>
      </w:r>
      <w:r w:rsidR="00AB4B98">
        <w:rPr>
          <w:rFonts w:ascii="Tahoma" w:hAnsi="Tahoma" w:cs="Tahoma"/>
          <w:sz w:val="22"/>
          <w:szCs w:val="22"/>
        </w:rPr>
        <w:t>.  They detailed</w:t>
      </w:r>
      <w:r w:rsidR="00DA3DAB" w:rsidRPr="006D427D">
        <w:rPr>
          <w:rFonts w:ascii="Tahoma" w:hAnsi="Tahoma" w:cs="Tahoma"/>
          <w:sz w:val="22"/>
          <w:szCs w:val="22"/>
        </w:rPr>
        <w:t xml:space="preserve"> the development of the risk scoring system </w:t>
      </w:r>
      <w:r w:rsidR="00850A4B" w:rsidRPr="006D427D">
        <w:rPr>
          <w:rFonts w:ascii="Tahoma" w:hAnsi="Tahoma" w:cs="Tahoma"/>
          <w:sz w:val="22"/>
          <w:szCs w:val="22"/>
        </w:rPr>
        <w:t xml:space="preserve">the Authority adopted to test </w:t>
      </w:r>
      <w:r w:rsidR="00EB3807" w:rsidRPr="006D427D">
        <w:rPr>
          <w:rFonts w:ascii="Tahoma" w:hAnsi="Tahoma" w:cs="Tahoma"/>
          <w:sz w:val="22"/>
          <w:szCs w:val="22"/>
        </w:rPr>
        <w:t>products.</w:t>
      </w:r>
    </w:p>
    <w:p w14:paraId="42647457" w14:textId="77777777" w:rsidR="00EB3807" w:rsidRPr="006D427D" w:rsidRDefault="00EB3807" w:rsidP="00EB3807">
      <w:pPr>
        <w:pStyle w:val="ListParagraph"/>
        <w:rPr>
          <w:rFonts w:ascii="Tahoma" w:hAnsi="Tahoma" w:cs="Tahoma"/>
          <w:sz w:val="22"/>
          <w:szCs w:val="22"/>
        </w:rPr>
      </w:pPr>
    </w:p>
    <w:p w14:paraId="22CFF83C" w14:textId="532945C1" w:rsidR="00EB3807" w:rsidRPr="006D427D" w:rsidRDefault="000D22C5" w:rsidP="00CA4C8F">
      <w:pPr>
        <w:pStyle w:val="ListParagraph"/>
        <w:numPr>
          <w:ilvl w:val="0"/>
          <w:numId w:val="6"/>
        </w:numPr>
        <w:spacing w:line="360" w:lineRule="auto"/>
        <w:ind w:hanging="720"/>
        <w:jc w:val="both"/>
        <w:rPr>
          <w:rFonts w:ascii="Tahoma" w:hAnsi="Tahoma" w:cs="Tahoma"/>
          <w:sz w:val="22"/>
          <w:szCs w:val="22"/>
        </w:rPr>
      </w:pPr>
      <w:r>
        <w:rPr>
          <w:rFonts w:ascii="Tahoma" w:hAnsi="Tahoma" w:cs="Tahoma"/>
          <w:sz w:val="22"/>
          <w:szCs w:val="22"/>
        </w:rPr>
        <w:t>T</w:t>
      </w:r>
      <w:r w:rsidR="00EB3807" w:rsidRPr="006D427D">
        <w:rPr>
          <w:rFonts w:ascii="Tahoma" w:hAnsi="Tahoma" w:cs="Tahoma"/>
          <w:sz w:val="22"/>
          <w:szCs w:val="22"/>
        </w:rPr>
        <w:t xml:space="preserve">he risk scoring system derived from a paper published by </w:t>
      </w:r>
      <w:r w:rsidR="00F43B1C" w:rsidRPr="006D427D">
        <w:rPr>
          <w:rFonts w:ascii="Tahoma" w:hAnsi="Tahoma" w:cs="Tahoma"/>
          <w:sz w:val="22"/>
          <w:szCs w:val="22"/>
        </w:rPr>
        <w:t xml:space="preserve">a </w:t>
      </w:r>
      <w:r w:rsidR="00EB3807" w:rsidRPr="006D427D">
        <w:rPr>
          <w:rFonts w:ascii="Tahoma" w:hAnsi="Tahoma" w:cs="Tahoma"/>
          <w:sz w:val="22"/>
          <w:szCs w:val="22"/>
        </w:rPr>
        <w:t xml:space="preserve">Freiburg (German) Poison Centre by Hermanns-Clausen which was adopted and adapted by the </w:t>
      </w:r>
      <w:r w:rsidR="00383342" w:rsidRPr="006D427D">
        <w:rPr>
          <w:rFonts w:ascii="Tahoma" w:hAnsi="Tahoma" w:cs="Tahoma"/>
          <w:sz w:val="22"/>
          <w:szCs w:val="22"/>
        </w:rPr>
        <w:t xml:space="preserve">Authority </w:t>
      </w:r>
      <w:r w:rsidR="002F650D" w:rsidRPr="006D427D">
        <w:rPr>
          <w:rFonts w:ascii="Tahoma" w:hAnsi="Tahoma" w:cs="Tahoma"/>
          <w:sz w:val="22"/>
          <w:szCs w:val="22"/>
        </w:rPr>
        <w:t>in the interim regime</w:t>
      </w:r>
      <w:r w:rsidR="002C2343" w:rsidRPr="006D427D">
        <w:rPr>
          <w:rFonts w:ascii="Tahoma" w:hAnsi="Tahoma" w:cs="Tahoma"/>
          <w:sz w:val="22"/>
          <w:szCs w:val="22"/>
        </w:rPr>
        <w:t xml:space="preserve">.  </w:t>
      </w:r>
    </w:p>
    <w:p w14:paraId="1F72EC57" w14:textId="77777777" w:rsidR="00183400" w:rsidRPr="006D427D" w:rsidRDefault="00183400" w:rsidP="00183400">
      <w:pPr>
        <w:pStyle w:val="ListParagraph"/>
        <w:rPr>
          <w:rFonts w:ascii="Tahoma" w:hAnsi="Tahoma" w:cs="Tahoma"/>
          <w:sz w:val="22"/>
          <w:szCs w:val="22"/>
        </w:rPr>
      </w:pPr>
    </w:p>
    <w:p w14:paraId="16E19794" w14:textId="77777777" w:rsidR="00326064" w:rsidRPr="006D427D" w:rsidRDefault="00183400"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rationale and the method was </w:t>
      </w:r>
      <w:r w:rsidR="005C0B79" w:rsidRPr="006D427D">
        <w:rPr>
          <w:rFonts w:ascii="Tahoma" w:hAnsi="Tahoma" w:cs="Tahoma"/>
          <w:sz w:val="22"/>
          <w:szCs w:val="22"/>
        </w:rPr>
        <w:t xml:space="preserve">published by the </w:t>
      </w:r>
      <w:r w:rsidR="00FA7DF8" w:rsidRPr="006D427D">
        <w:rPr>
          <w:rFonts w:ascii="Tahoma" w:hAnsi="Tahoma" w:cs="Tahoma"/>
          <w:sz w:val="22"/>
          <w:szCs w:val="22"/>
        </w:rPr>
        <w:t>Authority via the Ministry of Health’s website</w:t>
      </w:r>
      <w:r w:rsidR="00820434" w:rsidRPr="006D427D">
        <w:rPr>
          <w:rFonts w:ascii="Tahoma" w:hAnsi="Tahoma" w:cs="Tahoma"/>
          <w:sz w:val="22"/>
          <w:szCs w:val="22"/>
        </w:rPr>
        <w:t xml:space="preserve">.  This process was amplified </w:t>
      </w:r>
      <w:r w:rsidR="00F43B1C" w:rsidRPr="006D427D">
        <w:rPr>
          <w:rFonts w:ascii="Tahoma" w:hAnsi="Tahoma" w:cs="Tahoma"/>
          <w:sz w:val="22"/>
          <w:szCs w:val="22"/>
        </w:rPr>
        <w:t xml:space="preserve">by Dr Jessamine who explained that the Freiburg approach assessed scores based on the nature and severity of adverse </w:t>
      </w:r>
      <w:r w:rsidR="002F6022" w:rsidRPr="006D427D">
        <w:rPr>
          <w:rFonts w:ascii="Tahoma" w:hAnsi="Tahoma" w:cs="Tahoma"/>
          <w:sz w:val="22"/>
          <w:szCs w:val="22"/>
        </w:rPr>
        <w:t>e</w:t>
      </w:r>
      <w:r w:rsidR="00F43B1C" w:rsidRPr="006D427D">
        <w:rPr>
          <w:rFonts w:ascii="Tahoma" w:hAnsi="Tahoma" w:cs="Tahoma"/>
          <w:sz w:val="22"/>
          <w:szCs w:val="22"/>
        </w:rPr>
        <w:t>ffects</w:t>
      </w:r>
      <w:r w:rsidR="002F6022" w:rsidRPr="006D427D">
        <w:rPr>
          <w:rFonts w:ascii="Tahoma" w:hAnsi="Tahoma" w:cs="Tahoma"/>
          <w:sz w:val="22"/>
          <w:szCs w:val="22"/>
        </w:rPr>
        <w:t xml:space="preserve">.  The system classified adverse effects into minor, moderate, or severe categories.  </w:t>
      </w:r>
    </w:p>
    <w:p w14:paraId="6780D7AA" w14:textId="77777777" w:rsidR="003A644C" w:rsidRPr="006D427D" w:rsidRDefault="003A644C" w:rsidP="003A644C">
      <w:pPr>
        <w:pStyle w:val="ListParagraph"/>
        <w:rPr>
          <w:rFonts w:ascii="Tahoma" w:hAnsi="Tahoma" w:cs="Tahoma"/>
          <w:sz w:val="22"/>
          <w:szCs w:val="22"/>
        </w:rPr>
      </w:pPr>
    </w:p>
    <w:p w14:paraId="54DE78DC" w14:textId="5E6C9A28" w:rsidR="003A644C" w:rsidRPr="006D427D" w:rsidRDefault="003A644C"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This approach was amended for New Zealand to inclu</w:t>
      </w:r>
      <w:r w:rsidR="00035B39">
        <w:rPr>
          <w:rFonts w:ascii="Tahoma" w:hAnsi="Tahoma" w:cs="Tahoma"/>
          <w:sz w:val="22"/>
          <w:szCs w:val="22"/>
        </w:rPr>
        <w:t>de information associated with ch</w:t>
      </w:r>
      <w:r w:rsidRPr="006D427D">
        <w:rPr>
          <w:rFonts w:ascii="Tahoma" w:hAnsi="Tahoma" w:cs="Tahoma"/>
          <w:sz w:val="22"/>
          <w:szCs w:val="22"/>
        </w:rPr>
        <w:t xml:space="preserve">ronic use, withdrawal of a psychoactive product, sales data (where available) as a surrogate for consumer exposure in order to assess the prevalence of adverse </w:t>
      </w:r>
      <w:r w:rsidR="000D1683" w:rsidRPr="006D427D">
        <w:rPr>
          <w:rFonts w:ascii="Tahoma" w:hAnsi="Tahoma" w:cs="Tahoma"/>
          <w:sz w:val="22"/>
          <w:szCs w:val="22"/>
        </w:rPr>
        <w:t>effects</w:t>
      </w:r>
      <w:r w:rsidR="0047607A" w:rsidRPr="006D427D">
        <w:rPr>
          <w:rFonts w:ascii="Tahoma" w:hAnsi="Tahoma" w:cs="Tahoma"/>
          <w:sz w:val="22"/>
          <w:szCs w:val="22"/>
        </w:rPr>
        <w:t xml:space="preserve"> in New Zealand.</w:t>
      </w:r>
    </w:p>
    <w:p w14:paraId="75CF8389" w14:textId="77777777" w:rsidR="0047607A" w:rsidRPr="006D427D" w:rsidRDefault="0047607A" w:rsidP="0047607A">
      <w:pPr>
        <w:pStyle w:val="ListParagraph"/>
        <w:rPr>
          <w:rFonts w:ascii="Tahoma" w:hAnsi="Tahoma" w:cs="Tahoma"/>
          <w:sz w:val="22"/>
          <w:szCs w:val="22"/>
        </w:rPr>
      </w:pPr>
    </w:p>
    <w:p w14:paraId="34F60306" w14:textId="59839C15" w:rsidR="0047607A" w:rsidRPr="006D427D" w:rsidRDefault="0047607A"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In essence the Authority’s risk scoring system</w:t>
      </w:r>
      <w:r w:rsidR="00F62F2D" w:rsidRPr="006D427D">
        <w:rPr>
          <w:rFonts w:ascii="Tahoma" w:hAnsi="Tahoma" w:cs="Tahoma"/>
          <w:sz w:val="22"/>
          <w:szCs w:val="22"/>
        </w:rPr>
        <w:t xml:space="preserve"> was</w:t>
      </w:r>
      <w:r w:rsidR="000D22C5">
        <w:rPr>
          <w:rFonts w:ascii="Tahoma" w:hAnsi="Tahoma" w:cs="Tahoma"/>
          <w:sz w:val="22"/>
          <w:szCs w:val="22"/>
        </w:rPr>
        <w:t xml:space="preserve"> designed</w:t>
      </w:r>
      <w:r w:rsidR="00F62F2D" w:rsidRPr="006D427D">
        <w:rPr>
          <w:rFonts w:ascii="Tahoma" w:hAnsi="Tahoma" w:cs="Tahoma"/>
          <w:sz w:val="22"/>
          <w:szCs w:val="22"/>
        </w:rPr>
        <w:t xml:space="preserve"> to identify both the nature and number of adverse effects based </w:t>
      </w:r>
      <w:r w:rsidR="002A6B5B" w:rsidRPr="006D427D">
        <w:rPr>
          <w:rFonts w:ascii="Tahoma" w:hAnsi="Tahoma" w:cs="Tahoma"/>
          <w:sz w:val="22"/>
          <w:szCs w:val="22"/>
        </w:rPr>
        <w:t>on data available to it</w:t>
      </w:r>
      <w:r w:rsidR="0011118B">
        <w:rPr>
          <w:rFonts w:ascii="Tahoma" w:hAnsi="Tahoma" w:cs="Tahoma"/>
          <w:sz w:val="22"/>
          <w:szCs w:val="22"/>
        </w:rPr>
        <w:t>,</w:t>
      </w:r>
      <w:r w:rsidR="002A6B5B" w:rsidRPr="006D427D">
        <w:rPr>
          <w:rFonts w:ascii="Tahoma" w:hAnsi="Tahoma" w:cs="Tahoma"/>
          <w:sz w:val="22"/>
          <w:szCs w:val="22"/>
        </w:rPr>
        <w:t xml:space="preserve"> which would produce a </w:t>
      </w:r>
      <w:r w:rsidR="00D260FD" w:rsidRPr="006D427D">
        <w:rPr>
          <w:rFonts w:ascii="Tahoma" w:hAnsi="Tahoma" w:cs="Tahoma"/>
          <w:sz w:val="22"/>
          <w:szCs w:val="22"/>
        </w:rPr>
        <w:t xml:space="preserve">score from </w:t>
      </w:r>
      <w:r w:rsidR="00C16F10" w:rsidRPr="006D427D">
        <w:rPr>
          <w:rFonts w:ascii="Tahoma" w:hAnsi="Tahoma" w:cs="Tahoma"/>
          <w:sz w:val="22"/>
          <w:szCs w:val="22"/>
        </w:rPr>
        <w:t>0</w:t>
      </w:r>
      <w:r w:rsidR="00D260FD" w:rsidRPr="006D427D">
        <w:rPr>
          <w:rFonts w:ascii="Tahoma" w:hAnsi="Tahoma" w:cs="Tahoma"/>
          <w:sz w:val="22"/>
          <w:szCs w:val="22"/>
        </w:rPr>
        <w:t xml:space="preserve"> to </w:t>
      </w:r>
      <w:r w:rsidR="00C16F10" w:rsidRPr="006D427D">
        <w:rPr>
          <w:rFonts w:ascii="Tahoma" w:hAnsi="Tahoma" w:cs="Tahoma"/>
          <w:sz w:val="22"/>
          <w:szCs w:val="22"/>
        </w:rPr>
        <w:t xml:space="preserve">the low 20’s in the </w:t>
      </w:r>
      <w:r w:rsidR="001E641D" w:rsidRPr="006D427D">
        <w:rPr>
          <w:rFonts w:ascii="Tahoma" w:hAnsi="Tahoma" w:cs="Tahoma"/>
          <w:sz w:val="22"/>
          <w:szCs w:val="22"/>
        </w:rPr>
        <w:t>New Zealand contex</w:t>
      </w:r>
      <w:r w:rsidR="00C16F10" w:rsidRPr="006D427D">
        <w:rPr>
          <w:rFonts w:ascii="Tahoma" w:hAnsi="Tahoma" w:cs="Tahoma"/>
          <w:sz w:val="22"/>
          <w:szCs w:val="22"/>
        </w:rPr>
        <w:t xml:space="preserve">t.  </w:t>
      </w:r>
    </w:p>
    <w:p w14:paraId="5CDED884" w14:textId="77777777" w:rsidR="001E641D" w:rsidRPr="006D427D" w:rsidRDefault="001E641D" w:rsidP="001E641D">
      <w:pPr>
        <w:pStyle w:val="ListParagraph"/>
        <w:rPr>
          <w:rFonts w:ascii="Tahoma" w:hAnsi="Tahoma" w:cs="Tahoma"/>
          <w:sz w:val="22"/>
          <w:szCs w:val="22"/>
        </w:rPr>
      </w:pPr>
    </w:p>
    <w:p w14:paraId="6C2529E6" w14:textId="77777777" w:rsidR="001E641D" w:rsidRPr="006D427D" w:rsidRDefault="001E641D"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This </w:t>
      </w:r>
      <w:r w:rsidR="003C25EE" w:rsidRPr="006D427D">
        <w:rPr>
          <w:rFonts w:ascii="Tahoma" w:hAnsi="Tahoma" w:cs="Tahoma"/>
          <w:sz w:val="22"/>
          <w:szCs w:val="22"/>
        </w:rPr>
        <w:t xml:space="preserve">risk scoring system was applied prior to the Authority making </w:t>
      </w:r>
      <w:r w:rsidR="00D660A9" w:rsidRPr="006D427D">
        <w:rPr>
          <w:rFonts w:ascii="Tahoma" w:hAnsi="Tahoma" w:cs="Tahoma"/>
          <w:sz w:val="22"/>
          <w:szCs w:val="22"/>
        </w:rPr>
        <w:t>decisions</w:t>
      </w:r>
      <w:r w:rsidR="009A2CE2" w:rsidRPr="006D427D">
        <w:rPr>
          <w:rFonts w:ascii="Tahoma" w:hAnsi="Tahoma" w:cs="Tahoma"/>
          <w:sz w:val="22"/>
          <w:szCs w:val="22"/>
        </w:rPr>
        <w:t xml:space="preserve"> on interim </w:t>
      </w:r>
      <w:r w:rsidR="0058373C" w:rsidRPr="006D427D">
        <w:rPr>
          <w:rFonts w:ascii="Tahoma" w:hAnsi="Tahoma" w:cs="Tahoma"/>
          <w:sz w:val="22"/>
          <w:szCs w:val="22"/>
        </w:rPr>
        <w:t xml:space="preserve">product approvals.  </w:t>
      </w:r>
    </w:p>
    <w:p w14:paraId="68C5569C" w14:textId="77777777" w:rsidR="0058373C" w:rsidRPr="006D427D" w:rsidRDefault="0058373C" w:rsidP="0058373C">
      <w:pPr>
        <w:pStyle w:val="ListParagraph"/>
        <w:rPr>
          <w:rFonts w:ascii="Tahoma" w:hAnsi="Tahoma" w:cs="Tahoma"/>
          <w:sz w:val="22"/>
          <w:szCs w:val="22"/>
        </w:rPr>
      </w:pPr>
    </w:p>
    <w:p w14:paraId="75989AD3" w14:textId="77777777" w:rsidR="0058373C" w:rsidRDefault="0058373C"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Authority then det</w:t>
      </w:r>
      <w:r w:rsidR="00B423C7" w:rsidRPr="006D427D">
        <w:rPr>
          <w:rFonts w:ascii="Tahoma" w:hAnsi="Tahoma" w:cs="Tahoma"/>
          <w:sz w:val="22"/>
          <w:szCs w:val="22"/>
        </w:rPr>
        <w:t>e</w:t>
      </w:r>
      <w:r w:rsidRPr="006D427D">
        <w:rPr>
          <w:rFonts w:ascii="Tahoma" w:hAnsi="Tahoma" w:cs="Tahoma"/>
          <w:sz w:val="22"/>
          <w:szCs w:val="22"/>
        </w:rPr>
        <w:t xml:space="preserve">rmined, </w:t>
      </w:r>
      <w:r w:rsidR="000C0F97" w:rsidRPr="006D427D">
        <w:rPr>
          <w:rFonts w:ascii="Tahoma" w:hAnsi="Tahoma" w:cs="Tahoma"/>
          <w:sz w:val="22"/>
          <w:szCs w:val="22"/>
        </w:rPr>
        <w:t>on the score produced from the risk assessment, where a “low risk of harm”</w:t>
      </w:r>
      <w:r w:rsidR="00D401E4" w:rsidRPr="006D427D">
        <w:rPr>
          <w:rFonts w:ascii="Tahoma" w:hAnsi="Tahoma" w:cs="Tahoma"/>
          <w:sz w:val="22"/>
          <w:szCs w:val="22"/>
        </w:rPr>
        <w:t xml:space="preserve"> as prescribed by the Act would fall.  </w:t>
      </w:r>
    </w:p>
    <w:p w14:paraId="3E22B0B7" w14:textId="77777777" w:rsidR="00014F93" w:rsidRPr="00014F93" w:rsidRDefault="00014F93" w:rsidP="00014F93">
      <w:pPr>
        <w:pStyle w:val="ListParagraph"/>
        <w:rPr>
          <w:rFonts w:ascii="Tahoma" w:hAnsi="Tahoma" w:cs="Tahoma"/>
          <w:sz w:val="22"/>
          <w:szCs w:val="22"/>
        </w:rPr>
      </w:pPr>
    </w:p>
    <w:p w14:paraId="70F138A6" w14:textId="77777777" w:rsidR="00014F93" w:rsidRDefault="00014F93" w:rsidP="00014F93">
      <w:pPr>
        <w:pStyle w:val="ListParagraph"/>
        <w:spacing w:line="360" w:lineRule="auto"/>
        <w:jc w:val="both"/>
        <w:rPr>
          <w:rFonts w:ascii="Tahoma" w:hAnsi="Tahoma" w:cs="Tahoma"/>
          <w:sz w:val="22"/>
          <w:szCs w:val="22"/>
        </w:rPr>
      </w:pPr>
    </w:p>
    <w:p w14:paraId="61370F82" w14:textId="77777777" w:rsidR="00014F93" w:rsidRDefault="00014F93" w:rsidP="00014F93">
      <w:pPr>
        <w:pStyle w:val="ListParagraph"/>
        <w:spacing w:line="360" w:lineRule="auto"/>
        <w:jc w:val="both"/>
        <w:rPr>
          <w:rFonts w:ascii="Tahoma" w:hAnsi="Tahoma" w:cs="Tahoma"/>
          <w:sz w:val="22"/>
          <w:szCs w:val="22"/>
        </w:rPr>
      </w:pPr>
    </w:p>
    <w:p w14:paraId="42F95CE6" w14:textId="77777777" w:rsidR="00014F93" w:rsidRPr="006D427D" w:rsidRDefault="00014F93" w:rsidP="00014F93">
      <w:pPr>
        <w:pStyle w:val="ListParagraph"/>
        <w:spacing w:line="360" w:lineRule="auto"/>
        <w:jc w:val="both"/>
        <w:rPr>
          <w:rFonts w:ascii="Tahoma" w:hAnsi="Tahoma" w:cs="Tahoma"/>
          <w:sz w:val="22"/>
          <w:szCs w:val="22"/>
        </w:rPr>
      </w:pPr>
    </w:p>
    <w:p w14:paraId="7A789007" w14:textId="77777777" w:rsidR="00D401E4" w:rsidRPr="006D427D" w:rsidRDefault="00D401E4" w:rsidP="00D401E4">
      <w:pPr>
        <w:pStyle w:val="ListParagraph"/>
        <w:rPr>
          <w:rFonts w:ascii="Tahoma" w:hAnsi="Tahoma" w:cs="Tahoma"/>
          <w:sz w:val="22"/>
          <w:szCs w:val="22"/>
        </w:rPr>
      </w:pPr>
    </w:p>
    <w:p w14:paraId="7E3A54A6" w14:textId="50AF56F4" w:rsidR="00D401E4" w:rsidRPr="006D427D" w:rsidRDefault="00D401E4"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It was determined that a risk score of 1 would result in a product being approved</w:t>
      </w:r>
      <w:r w:rsidR="00E53154" w:rsidRPr="006D427D">
        <w:rPr>
          <w:rFonts w:ascii="Tahoma" w:hAnsi="Tahoma" w:cs="Tahoma"/>
          <w:sz w:val="22"/>
          <w:szCs w:val="22"/>
        </w:rPr>
        <w:t>, a risk score of 2 could prompt further inquiry into the nature of the adverse reports</w:t>
      </w:r>
      <w:r w:rsidR="00A1081D" w:rsidRPr="006D427D">
        <w:rPr>
          <w:rFonts w:ascii="Tahoma" w:hAnsi="Tahoma" w:cs="Tahoma"/>
          <w:sz w:val="22"/>
          <w:szCs w:val="22"/>
        </w:rPr>
        <w:t xml:space="preserve"> to determine whether the risk was </w:t>
      </w:r>
      <w:r w:rsidR="006130DC" w:rsidRPr="006D427D">
        <w:rPr>
          <w:rFonts w:ascii="Tahoma" w:hAnsi="Tahoma" w:cs="Tahoma"/>
          <w:sz w:val="22"/>
          <w:szCs w:val="22"/>
        </w:rPr>
        <w:t>low, and a risk score of 3</w:t>
      </w:r>
      <w:r w:rsidR="00666E3C">
        <w:rPr>
          <w:rFonts w:ascii="Tahoma" w:hAnsi="Tahoma" w:cs="Tahoma"/>
          <w:sz w:val="22"/>
          <w:szCs w:val="22"/>
        </w:rPr>
        <w:t xml:space="preserve"> or above</w:t>
      </w:r>
      <w:r w:rsidR="006130DC" w:rsidRPr="006D427D">
        <w:rPr>
          <w:rFonts w:ascii="Tahoma" w:hAnsi="Tahoma" w:cs="Tahoma"/>
          <w:sz w:val="22"/>
          <w:szCs w:val="22"/>
        </w:rPr>
        <w:t xml:space="preserve"> would result in a product application being disapproved. </w:t>
      </w:r>
    </w:p>
    <w:p w14:paraId="1ECE6B1A" w14:textId="77777777" w:rsidR="00E15A28" w:rsidRPr="006D427D" w:rsidRDefault="00E15A28" w:rsidP="00E15A28">
      <w:pPr>
        <w:pStyle w:val="ListParagraph"/>
        <w:rPr>
          <w:rFonts w:ascii="Tahoma" w:hAnsi="Tahoma" w:cs="Tahoma"/>
          <w:sz w:val="22"/>
          <w:szCs w:val="22"/>
        </w:rPr>
      </w:pPr>
    </w:p>
    <w:p w14:paraId="6FEF9597" w14:textId="3E8C954D" w:rsidR="00E15A28" w:rsidRPr="006D427D" w:rsidRDefault="00E15A28"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We understand that a score could be composed in different ways</w:t>
      </w:r>
      <w:r w:rsidR="00F063AF" w:rsidRPr="006D427D">
        <w:rPr>
          <w:rFonts w:ascii="Tahoma" w:hAnsi="Tahoma" w:cs="Tahoma"/>
          <w:sz w:val="22"/>
          <w:szCs w:val="22"/>
        </w:rPr>
        <w:t xml:space="preserve">.  For example a single severe adverse report </w:t>
      </w:r>
      <w:r w:rsidR="00AB766D" w:rsidRPr="006D427D">
        <w:rPr>
          <w:rFonts w:ascii="Tahoma" w:hAnsi="Tahoma" w:cs="Tahoma"/>
          <w:sz w:val="22"/>
          <w:szCs w:val="22"/>
        </w:rPr>
        <w:t>could be sufficient to justify declining an application</w:t>
      </w:r>
      <w:r w:rsidR="0011118B">
        <w:rPr>
          <w:rFonts w:ascii="Tahoma" w:hAnsi="Tahoma" w:cs="Tahoma"/>
          <w:sz w:val="22"/>
          <w:szCs w:val="22"/>
        </w:rPr>
        <w:t>,</w:t>
      </w:r>
      <w:r w:rsidR="00AB766D" w:rsidRPr="006D427D">
        <w:rPr>
          <w:rFonts w:ascii="Tahoma" w:hAnsi="Tahoma" w:cs="Tahoma"/>
          <w:sz w:val="22"/>
          <w:szCs w:val="22"/>
        </w:rPr>
        <w:t xml:space="preserve"> but two minor adverse reports</w:t>
      </w:r>
      <w:r w:rsidR="002B5F1C" w:rsidRPr="006D427D">
        <w:rPr>
          <w:rFonts w:ascii="Tahoma" w:hAnsi="Tahoma" w:cs="Tahoma"/>
          <w:sz w:val="22"/>
          <w:szCs w:val="22"/>
        </w:rPr>
        <w:t xml:space="preserve"> could result in a score </w:t>
      </w:r>
      <w:r w:rsidR="003A5CFA" w:rsidRPr="006D427D">
        <w:rPr>
          <w:rFonts w:ascii="Tahoma" w:hAnsi="Tahoma" w:cs="Tahoma"/>
          <w:sz w:val="22"/>
          <w:szCs w:val="22"/>
        </w:rPr>
        <w:t>below the threshold.</w:t>
      </w:r>
    </w:p>
    <w:p w14:paraId="554AB731" w14:textId="77777777" w:rsidR="003A5CFA" w:rsidRPr="006D427D" w:rsidRDefault="003A5CFA" w:rsidP="003A5CFA">
      <w:pPr>
        <w:pStyle w:val="ListParagraph"/>
        <w:rPr>
          <w:rFonts w:ascii="Tahoma" w:hAnsi="Tahoma" w:cs="Tahoma"/>
          <w:sz w:val="22"/>
          <w:szCs w:val="22"/>
        </w:rPr>
      </w:pPr>
    </w:p>
    <w:p w14:paraId="2E62BE06" w14:textId="77777777" w:rsidR="003A5CFA" w:rsidRPr="006D427D" w:rsidRDefault="00531C48"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assessment was therefore quantitative</w:t>
      </w:r>
      <w:r w:rsidR="004B4476" w:rsidRPr="006D427D">
        <w:rPr>
          <w:rFonts w:ascii="Tahoma" w:hAnsi="Tahoma" w:cs="Tahoma"/>
          <w:sz w:val="22"/>
          <w:szCs w:val="22"/>
        </w:rPr>
        <w:t>,</w:t>
      </w:r>
      <w:r w:rsidRPr="006D427D">
        <w:rPr>
          <w:rFonts w:ascii="Tahoma" w:hAnsi="Tahoma" w:cs="Tahoma"/>
          <w:sz w:val="22"/>
          <w:szCs w:val="22"/>
        </w:rPr>
        <w:t xml:space="preserve"> and qua</w:t>
      </w:r>
      <w:r w:rsidR="004B4476" w:rsidRPr="006D427D">
        <w:rPr>
          <w:rFonts w:ascii="Tahoma" w:hAnsi="Tahoma" w:cs="Tahoma"/>
          <w:sz w:val="22"/>
          <w:szCs w:val="22"/>
        </w:rPr>
        <w:t>litative</w:t>
      </w:r>
      <w:r w:rsidR="005F193A" w:rsidRPr="006D427D">
        <w:rPr>
          <w:rFonts w:ascii="Tahoma" w:hAnsi="Tahoma" w:cs="Tahoma"/>
          <w:sz w:val="22"/>
          <w:szCs w:val="22"/>
        </w:rPr>
        <w:t xml:space="preserve">.  </w:t>
      </w:r>
    </w:p>
    <w:p w14:paraId="1D20C340" w14:textId="77777777" w:rsidR="005F193A" w:rsidRPr="006D427D" w:rsidRDefault="005F193A" w:rsidP="005F193A">
      <w:pPr>
        <w:pStyle w:val="ListParagraph"/>
        <w:rPr>
          <w:rFonts w:ascii="Tahoma" w:hAnsi="Tahoma" w:cs="Tahoma"/>
          <w:sz w:val="22"/>
          <w:szCs w:val="22"/>
        </w:rPr>
      </w:pPr>
    </w:p>
    <w:p w14:paraId="0CEF2447" w14:textId="77777777" w:rsidR="00FF5197" w:rsidRPr="006D427D" w:rsidRDefault="005F193A"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Ultimately the assessment relied on what information was available. Without preclinical </w:t>
      </w:r>
      <w:r w:rsidR="004078F3" w:rsidRPr="006D427D">
        <w:rPr>
          <w:rFonts w:ascii="Tahoma" w:hAnsi="Tahoma" w:cs="Tahoma"/>
          <w:sz w:val="22"/>
          <w:szCs w:val="22"/>
        </w:rPr>
        <w:t xml:space="preserve">and clinical trials anticipated by the principal Act, </w:t>
      </w:r>
      <w:r w:rsidR="001C3018" w:rsidRPr="006D427D">
        <w:rPr>
          <w:rFonts w:ascii="Tahoma" w:hAnsi="Tahoma" w:cs="Tahoma"/>
          <w:sz w:val="22"/>
          <w:szCs w:val="22"/>
        </w:rPr>
        <w:t xml:space="preserve">the information available in New Zealand comprised data </w:t>
      </w:r>
      <w:r w:rsidR="000D3B0D" w:rsidRPr="006D427D">
        <w:rPr>
          <w:rFonts w:ascii="Tahoma" w:hAnsi="Tahoma" w:cs="Tahoma"/>
          <w:sz w:val="22"/>
          <w:szCs w:val="22"/>
        </w:rPr>
        <w:t xml:space="preserve">from </w:t>
      </w:r>
      <w:r w:rsidR="001C3018" w:rsidRPr="006D427D">
        <w:rPr>
          <w:rFonts w:ascii="Tahoma" w:hAnsi="Tahoma" w:cs="Tahoma"/>
          <w:sz w:val="22"/>
          <w:szCs w:val="22"/>
        </w:rPr>
        <w:t xml:space="preserve">the </w:t>
      </w:r>
      <w:r w:rsidR="000D3B0D" w:rsidRPr="006D427D">
        <w:rPr>
          <w:rFonts w:ascii="Tahoma" w:hAnsi="Tahoma" w:cs="Tahoma"/>
          <w:sz w:val="22"/>
          <w:szCs w:val="22"/>
        </w:rPr>
        <w:t xml:space="preserve">NPC, case reports </w:t>
      </w:r>
      <w:r w:rsidR="006758DF" w:rsidRPr="006D427D">
        <w:rPr>
          <w:rFonts w:ascii="Tahoma" w:hAnsi="Tahoma" w:cs="Tahoma"/>
          <w:sz w:val="22"/>
          <w:szCs w:val="22"/>
        </w:rPr>
        <w:t xml:space="preserve">to the Centre for Adverse Reactions Monitoring at the New Zealand Pharmaco </w:t>
      </w:r>
      <w:r w:rsidR="00B0478B" w:rsidRPr="006D427D">
        <w:rPr>
          <w:rFonts w:ascii="Tahoma" w:hAnsi="Tahoma" w:cs="Tahoma"/>
          <w:sz w:val="22"/>
          <w:szCs w:val="22"/>
        </w:rPr>
        <w:t>Vigil</w:t>
      </w:r>
      <w:r w:rsidR="00D2286B" w:rsidRPr="006D427D">
        <w:rPr>
          <w:rFonts w:ascii="Tahoma" w:hAnsi="Tahoma" w:cs="Tahoma"/>
          <w:sz w:val="22"/>
          <w:szCs w:val="22"/>
        </w:rPr>
        <w:t>a</w:t>
      </w:r>
      <w:r w:rsidR="00B0478B" w:rsidRPr="006D427D">
        <w:rPr>
          <w:rFonts w:ascii="Tahoma" w:hAnsi="Tahoma" w:cs="Tahoma"/>
          <w:sz w:val="22"/>
          <w:szCs w:val="22"/>
        </w:rPr>
        <w:t xml:space="preserve">nce Centre </w:t>
      </w:r>
      <w:r w:rsidR="00D2286B" w:rsidRPr="006D427D">
        <w:rPr>
          <w:rFonts w:ascii="Tahoma" w:hAnsi="Tahoma" w:cs="Tahoma"/>
          <w:sz w:val="22"/>
          <w:szCs w:val="22"/>
        </w:rPr>
        <w:t xml:space="preserve">and any case reports </w:t>
      </w:r>
      <w:r w:rsidR="00A43352" w:rsidRPr="006D427D">
        <w:rPr>
          <w:rFonts w:ascii="Tahoma" w:hAnsi="Tahoma" w:cs="Tahoma"/>
          <w:sz w:val="22"/>
          <w:szCs w:val="22"/>
        </w:rPr>
        <w:t xml:space="preserve">from a subset of emergency departments and reports published in the </w:t>
      </w:r>
      <w:r w:rsidR="00A43352" w:rsidRPr="006D427D">
        <w:rPr>
          <w:rFonts w:ascii="Tahoma" w:hAnsi="Tahoma" w:cs="Tahoma"/>
          <w:i/>
          <w:sz w:val="22"/>
          <w:szCs w:val="22"/>
        </w:rPr>
        <w:t>New Zealand Medical Journal</w:t>
      </w:r>
      <w:r w:rsidR="00FF5197" w:rsidRPr="006D427D">
        <w:rPr>
          <w:rFonts w:ascii="Tahoma" w:hAnsi="Tahoma" w:cs="Tahoma"/>
          <w:sz w:val="22"/>
          <w:szCs w:val="22"/>
        </w:rPr>
        <w:t xml:space="preserve">.  </w:t>
      </w:r>
    </w:p>
    <w:p w14:paraId="4D4F69D8" w14:textId="77777777" w:rsidR="00FF5197" w:rsidRPr="006D427D" w:rsidRDefault="00FF5197" w:rsidP="00FF5197">
      <w:pPr>
        <w:pStyle w:val="ListParagraph"/>
        <w:rPr>
          <w:rFonts w:ascii="Tahoma" w:hAnsi="Tahoma" w:cs="Tahoma"/>
          <w:sz w:val="22"/>
          <w:szCs w:val="22"/>
        </w:rPr>
      </w:pPr>
    </w:p>
    <w:p w14:paraId="7A9C6A31" w14:textId="77777777" w:rsidR="005F193A" w:rsidRPr="006D427D" w:rsidRDefault="00FF5197"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should be noted that we were advised that there was no consistent reporting of psychoactive </w:t>
      </w:r>
      <w:r w:rsidR="00B62D50" w:rsidRPr="006D427D">
        <w:rPr>
          <w:rFonts w:ascii="Tahoma" w:hAnsi="Tahoma" w:cs="Tahoma"/>
          <w:sz w:val="22"/>
          <w:szCs w:val="22"/>
        </w:rPr>
        <w:t>product effects from hospital emergency departments</w:t>
      </w:r>
      <w:r w:rsidR="00C866CC" w:rsidRPr="006D427D">
        <w:rPr>
          <w:rFonts w:ascii="Tahoma" w:hAnsi="Tahoma" w:cs="Tahoma"/>
          <w:sz w:val="22"/>
          <w:szCs w:val="22"/>
        </w:rPr>
        <w:t>.  Some were collating da</w:t>
      </w:r>
      <w:r w:rsidR="000E41EF" w:rsidRPr="006D427D">
        <w:rPr>
          <w:rFonts w:ascii="Tahoma" w:hAnsi="Tahoma" w:cs="Tahoma"/>
          <w:sz w:val="22"/>
          <w:szCs w:val="22"/>
        </w:rPr>
        <w:t>ta at the time we heard this ap</w:t>
      </w:r>
      <w:r w:rsidR="00C866CC" w:rsidRPr="006D427D">
        <w:rPr>
          <w:rFonts w:ascii="Tahoma" w:hAnsi="Tahoma" w:cs="Tahoma"/>
          <w:sz w:val="22"/>
          <w:szCs w:val="22"/>
        </w:rPr>
        <w:t>p</w:t>
      </w:r>
      <w:r w:rsidR="000E41EF" w:rsidRPr="006D427D">
        <w:rPr>
          <w:rFonts w:ascii="Tahoma" w:hAnsi="Tahoma" w:cs="Tahoma"/>
          <w:sz w:val="22"/>
          <w:szCs w:val="22"/>
        </w:rPr>
        <w:t>e</w:t>
      </w:r>
      <w:r w:rsidR="00C866CC" w:rsidRPr="006D427D">
        <w:rPr>
          <w:rFonts w:ascii="Tahoma" w:hAnsi="Tahoma" w:cs="Tahoma"/>
          <w:sz w:val="22"/>
          <w:szCs w:val="22"/>
        </w:rPr>
        <w:t xml:space="preserve">al, some were not.  </w:t>
      </w:r>
    </w:p>
    <w:p w14:paraId="5DA2DB20" w14:textId="77777777" w:rsidR="009257FB" w:rsidRPr="006D427D" w:rsidRDefault="009257FB" w:rsidP="009257FB">
      <w:pPr>
        <w:pStyle w:val="ListParagraph"/>
        <w:rPr>
          <w:rFonts w:ascii="Tahoma" w:hAnsi="Tahoma" w:cs="Tahoma"/>
          <w:sz w:val="22"/>
          <w:szCs w:val="22"/>
        </w:rPr>
      </w:pPr>
    </w:p>
    <w:p w14:paraId="4BBD483F" w14:textId="77777777" w:rsidR="009257FB" w:rsidRPr="006D427D" w:rsidRDefault="009257FB"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the present case the only reports </w:t>
      </w:r>
      <w:r w:rsidR="00DD1051" w:rsidRPr="006D427D">
        <w:rPr>
          <w:rFonts w:ascii="Tahoma" w:hAnsi="Tahoma" w:cs="Tahoma"/>
          <w:sz w:val="22"/>
          <w:szCs w:val="22"/>
        </w:rPr>
        <w:t>that led to the Author</w:t>
      </w:r>
      <w:r w:rsidR="000E41EF" w:rsidRPr="006D427D">
        <w:rPr>
          <w:rFonts w:ascii="Tahoma" w:hAnsi="Tahoma" w:cs="Tahoma"/>
          <w:sz w:val="22"/>
          <w:szCs w:val="22"/>
        </w:rPr>
        <w:t>i</w:t>
      </w:r>
      <w:r w:rsidR="00DD1051" w:rsidRPr="006D427D">
        <w:rPr>
          <w:rFonts w:ascii="Tahoma" w:hAnsi="Tahoma" w:cs="Tahoma"/>
          <w:sz w:val="22"/>
          <w:szCs w:val="22"/>
        </w:rPr>
        <w:t xml:space="preserve">ty’s decision were those collected by the NPC in the August period.  </w:t>
      </w:r>
    </w:p>
    <w:p w14:paraId="378968C3" w14:textId="77777777" w:rsidR="005102E1" w:rsidRPr="006D427D" w:rsidRDefault="005102E1" w:rsidP="005102E1">
      <w:pPr>
        <w:pStyle w:val="ListParagraph"/>
        <w:rPr>
          <w:rFonts w:ascii="Tahoma" w:hAnsi="Tahoma" w:cs="Tahoma"/>
          <w:sz w:val="22"/>
          <w:szCs w:val="22"/>
        </w:rPr>
      </w:pPr>
    </w:p>
    <w:p w14:paraId="2D84CC72" w14:textId="3B7BA183" w:rsidR="005102E1" w:rsidRDefault="005102E1"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One of the issues in the appeal</w:t>
      </w:r>
      <w:r w:rsidR="006C7D29" w:rsidRPr="006D427D">
        <w:rPr>
          <w:rFonts w:ascii="Tahoma" w:hAnsi="Tahoma" w:cs="Tahoma"/>
          <w:sz w:val="22"/>
          <w:szCs w:val="22"/>
        </w:rPr>
        <w:t xml:space="preserve"> was a lack of information to us about the manner in which the NPC collected its data.  </w:t>
      </w:r>
      <w:r w:rsidR="0011118B">
        <w:rPr>
          <w:rFonts w:ascii="Tahoma" w:hAnsi="Tahoma" w:cs="Tahoma"/>
          <w:sz w:val="22"/>
          <w:szCs w:val="22"/>
        </w:rPr>
        <w:t>I</w:t>
      </w:r>
      <w:r w:rsidR="0013217D" w:rsidRPr="006D427D">
        <w:rPr>
          <w:rFonts w:ascii="Tahoma" w:hAnsi="Tahoma" w:cs="Tahoma"/>
          <w:sz w:val="22"/>
          <w:szCs w:val="22"/>
        </w:rPr>
        <w:t xml:space="preserve">n the case of </w:t>
      </w:r>
      <w:r w:rsidR="000E41EF" w:rsidRPr="006D427D">
        <w:rPr>
          <w:rFonts w:ascii="Tahoma" w:hAnsi="Tahoma" w:cs="Tahoma"/>
          <w:sz w:val="22"/>
          <w:szCs w:val="22"/>
        </w:rPr>
        <w:t xml:space="preserve">the Kronic products the NPC 0800 </w:t>
      </w:r>
      <w:r w:rsidR="006D427D" w:rsidRPr="006D427D">
        <w:rPr>
          <w:rFonts w:ascii="Tahoma" w:hAnsi="Tahoma" w:cs="Tahoma"/>
          <w:sz w:val="22"/>
          <w:szCs w:val="22"/>
        </w:rPr>
        <w:t>number</w:t>
      </w:r>
      <w:r w:rsidR="0011118B">
        <w:rPr>
          <w:rFonts w:ascii="Tahoma" w:hAnsi="Tahoma" w:cs="Tahoma"/>
          <w:sz w:val="22"/>
          <w:szCs w:val="22"/>
        </w:rPr>
        <w:t xml:space="preserve"> was on the packaging.  Inferentially people called using this number </w:t>
      </w:r>
      <w:r w:rsidR="000E41EF" w:rsidRPr="006D427D">
        <w:rPr>
          <w:rFonts w:ascii="Tahoma" w:hAnsi="Tahoma" w:cs="Tahoma"/>
          <w:sz w:val="22"/>
          <w:szCs w:val="22"/>
        </w:rPr>
        <w:t>and presumably descr</w:t>
      </w:r>
      <w:r w:rsidR="0011118B">
        <w:rPr>
          <w:rFonts w:ascii="Tahoma" w:hAnsi="Tahoma" w:cs="Tahoma"/>
          <w:sz w:val="22"/>
          <w:szCs w:val="22"/>
        </w:rPr>
        <w:t>ibe</w:t>
      </w:r>
      <w:r w:rsidR="00014F93">
        <w:rPr>
          <w:rFonts w:ascii="Tahoma" w:hAnsi="Tahoma" w:cs="Tahoma"/>
          <w:sz w:val="22"/>
          <w:szCs w:val="22"/>
        </w:rPr>
        <w:t>d</w:t>
      </w:r>
      <w:r w:rsidR="0011118B">
        <w:rPr>
          <w:rFonts w:ascii="Tahoma" w:hAnsi="Tahoma" w:cs="Tahoma"/>
          <w:sz w:val="22"/>
          <w:szCs w:val="22"/>
        </w:rPr>
        <w:t xml:space="preserve"> symptoms so that the NPC could</w:t>
      </w:r>
      <w:r w:rsidR="000E41EF" w:rsidRPr="006D427D">
        <w:rPr>
          <w:rFonts w:ascii="Tahoma" w:hAnsi="Tahoma" w:cs="Tahoma"/>
          <w:sz w:val="22"/>
          <w:szCs w:val="22"/>
        </w:rPr>
        <w:t xml:space="preserve"> provide direction to assist the caller.  </w:t>
      </w:r>
    </w:p>
    <w:p w14:paraId="2D39BB6B" w14:textId="77777777" w:rsidR="007E0D44" w:rsidRPr="007E0D44" w:rsidRDefault="007E0D44" w:rsidP="007E0D44">
      <w:pPr>
        <w:pStyle w:val="ListParagraph"/>
        <w:rPr>
          <w:rFonts w:ascii="Tahoma" w:hAnsi="Tahoma" w:cs="Tahoma"/>
          <w:sz w:val="22"/>
          <w:szCs w:val="22"/>
        </w:rPr>
      </w:pPr>
    </w:p>
    <w:p w14:paraId="304693F4" w14:textId="77777777" w:rsidR="007E0D44" w:rsidRPr="006D427D" w:rsidRDefault="007E0D44" w:rsidP="007E0D44">
      <w:pPr>
        <w:pStyle w:val="ListParagraph"/>
        <w:spacing w:line="360" w:lineRule="auto"/>
        <w:jc w:val="both"/>
        <w:rPr>
          <w:rFonts w:ascii="Tahoma" w:hAnsi="Tahoma" w:cs="Tahoma"/>
          <w:sz w:val="22"/>
          <w:szCs w:val="22"/>
        </w:rPr>
      </w:pPr>
    </w:p>
    <w:p w14:paraId="5AA3EF74" w14:textId="77777777" w:rsidR="00FF2A60" w:rsidRPr="006D427D" w:rsidRDefault="00FF2A60" w:rsidP="00FF2A60">
      <w:pPr>
        <w:pStyle w:val="ListParagraph"/>
        <w:rPr>
          <w:rFonts w:ascii="Tahoma" w:hAnsi="Tahoma" w:cs="Tahoma"/>
          <w:sz w:val="22"/>
          <w:szCs w:val="22"/>
        </w:rPr>
      </w:pPr>
    </w:p>
    <w:p w14:paraId="5E261E43" w14:textId="77777777" w:rsidR="00FF2A60" w:rsidRPr="006D427D" w:rsidRDefault="00FF2A60"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lastRenderedPageBreak/>
        <w:t>In the record of decision, the two entries, both dated August 13 contain these comments:</w:t>
      </w:r>
    </w:p>
    <w:p w14:paraId="7763EA78" w14:textId="77777777" w:rsidR="00FF2A60" w:rsidRPr="006D427D" w:rsidRDefault="00FF2A60" w:rsidP="00FF2A60">
      <w:pPr>
        <w:pStyle w:val="ListParagraph"/>
        <w:rPr>
          <w:rFonts w:ascii="Tahoma" w:hAnsi="Tahoma" w:cs="Tahoma"/>
          <w:sz w:val="22"/>
          <w:szCs w:val="22"/>
        </w:rPr>
      </w:pPr>
    </w:p>
    <w:p w14:paraId="4F2700A5" w14:textId="7436B373" w:rsidR="00FF2A60" w:rsidRPr="006D427D" w:rsidRDefault="001325D0" w:rsidP="00FF2A60">
      <w:pPr>
        <w:spacing w:line="360" w:lineRule="auto"/>
        <w:ind w:left="1440"/>
        <w:jc w:val="both"/>
        <w:rPr>
          <w:rFonts w:ascii="Tahoma" w:hAnsi="Tahoma" w:cs="Tahoma"/>
          <w:sz w:val="22"/>
          <w:szCs w:val="22"/>
        </w:rPr>
      </w:pPr>
      <w:r w:rsidRPr="006D427D">
        <w:rPr>
          <w:rFonts w:ascii="Tahoma" w:hAnsi="Tahoma" w:cs="Tahoma"/>
          <w:sz w:val="22"/>
          <w:szCs w:val="22"/>
        </w:rPr>
        <w:t>CALL</w:t>
      </w:r>
      <w:r w:rsidR="0011118B">
        <w:rPr>
          <w:rFonts w:ascii="Tahoma" w:hAnsi="Tahoma" w:cs="Tahoma"/>
          <w:sz w:val="22"/>
          <w:szCs w:val="22"/>
        </w:rPr>
        <w:t>ER</w:t>
      </w:r>
      <w:r w:rsidRPr="006D427D">
        <w:rPr>
          <w:rFonts w:ascii="Tahoma" w:hAnsi="Tahoma" w:cs="Tahoma"/>
          <w:sz w:val="22"/>
          <w:szCs w:val="22"/>
        </w:rPr>
        <w:t xml:space="preserve"> HAS BEEN SMOKING THIS AND HAS NOW DEVELOPED DIARROHEA AND FEELING HOT AND COLD. THIS HAS BEEN CONTINUING FOR TWO DAYS NOW. WANTING TO LET MANUFACTURER KNOW AS WELL.  </w:t>
      </w:r>
    </w:p>
    <w:p w14:paraId="265087F2" w14:textId="77777777" w:rsidR="001325D0" w:rsidRPr="006D427D" w:rsidRDefault="001325D0" w:rsidP="00FF2A60">
      <w:pPr>
        <w:spacing w:line="360" w:lineRule="auto"/>
        <w:ind w:left="1440"/>
        <w:jc w:val="both"/>
        <w:rPr>
          <w:rFonts w:ascii="Tahoma" w:hAnsi="Tahoma" w:cs="Tahoma"/>
          <w:sz w:val="22"/>
          <w:szCs w:val="22"/>
        </w:rPr>
      </w:pPr>
    </w:p>
    <w:p w14:paraId="7A7C05C2" w14:textId="265BFA3A" w:rsidR="001325D0" w:rsidRPr="006D427D" w:rsidRDefault="001325D0" w:rsidP="00FF2A60">
      <w:pPr>
        <w:spacing w:line="360" w:lineRule="auto"/>
        <w:ind w:left="1440"/>
        <w:jc w:val="both"/>
        <w:rPr>
          <w:rFonts w:ascii="Tahoma" w:hAnsi="Tahoma" w:cs="Tahoma"/>
          <w:sz w:val="22"/>
          <w:szCs w:val="22"/>
        </w:rPr>
      </w:pPr>
      <w:r w:rsidRPr="006D427D">
        <w:rPr>
          <w:rFonts w:ascii="Tahoma" w:hAnsi="Tahoma" w:cs="Tahoma"/>
          <w:sz w:val="22"/>
          <w:szCs w:val="22"/>
        </w:rPr>
        <w:t>SMOKED THIS Y</w:t>
      </w:r>
      <w:r w:rsidR="0011118B">
        <w:rPr>
          <w:rFonts w:ascii="Tahoma" w:hAnsi="Tahoma" w:cs="Tahoma"/>
          <w:sz w:val="22"/>
          <w:szCs w:val="22"/>
        </w:rPr>
        <w:t>ESTERDAY AND GOT HEART PALPI</w:t>
      </w:r>
      <w:r w:rsidRPr="006D427D">
        <w:rPr>
          <w:rFonts w:ascii="Tahoma" w:hAnsi="Tahoma" w:cs="Tahoma"/>
          <w:sz w:val="22"/>
          <w:szCs w:val="22"/>
        </w:rPr>
        <w:t>TATIONS.  WHY IS THIS LEGAL?</w:t>
      </w:r>
    </w:p>
    <w:p w14:paraId="02F5E22F" w14:textId="77777777" w:rsidR="001325D0" w:rsidRPr="006D427D" w:rsidRDefault="001325D0" w:rsidP="00FF2A60">
      <w:pPr>
        <w:spacing w:line="360" w:lineRule="auto"/>
        <w:ind w:left="1440"/>
        <w:jc w:val="both"/>
        <w:rPr>
          <w:rFonts w:ascii="Tahoma" w:hAnsi="Tahoma" w:cs="Tahoma"/>
          <w:sz w:val="22"/>
          <w:szCs w:val="22"/>
        </w:rPr>
      </w:pPr>
    </w:p>
    <w:p w14:paraId="2DF2DE8C" w14:textId="189B4D55" w:rsidR="001325D0" w:rsidRPr="006D427D" w:rsidRDefault="001325D0" w:rsidP="001325D0">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its submissions the </w:t>
      </w:r>
      <w:r w:rsidR="00991C89" w:rsidRPr="006D427D">
        <w:rPr>
          <w:rFonts w:ascii="Tahoma" w:hAnsi="Tahoma" w:cs="Tahoma"/>
          <w:sz w:val="22"/>
          <w:szCs w:val="22"/>
        </w:rPr>
        <w:t xml:space="preserve">appellant </w:t>
      </w:r>
      <w:r w:rsidR="00680E79" w:rsidRPr="006D427D">
        <w:rPr>
          <w:rFonts w:ascii="Tahoma" w:hAnsi="Tahoma" w:cs="Tahoma"/>
          <w:sz w:val="22"/>
          <w:szCs w:val="22"/>
        </w:rPr>
        <w:t xml:space="preserve">emphasised that, in principle, it took no issue with the </w:t>
      </w:r>
      <w:r w:rsidR="006D427D" w:rsidRPr="006D427D">
        <w:rPr>
          <w:rFonts w:ascii="Tahoma" w:hAnsi="Tahoma" w:cs="Tahoma"/>
          <w:sz w:val="22"/>
          <w:szCs w:val="22"/>
        </w:rPr>
        <w:t>methodology</w:t>
      </w:r>
      <w:r w:rsidR="00680E79" w:rsidRPr="006D427D">
        <w:rPr>
          <w:rFonts w:ascii="Tahoma" w:hAnsi="Tahoma" w:cs="Tahoma"/>
          <w:sz w:val="22"/>
          <w:szCs w:val="22"/>
        </w:rPr>
        <w:t xml:space="preserve"> of the risk scoring system and did not seek to challenge that </w:t>
      </w:r>
      <w:r w:rsidR="00FE37D6" w:rsidRPr="006D427D">
        <w:rPr>
          <w:rFonts w:ascii="Tahoma" w:hAnsi="Tahoma" w:cs="Tahoma"/>
          <w:sz w:val="22"/>
          <w:szCs w:val="22"/>
        </w:rPr>
        <w:t>methodology in the appeal</w:t>
      </w:r>
      <w:r w:rsidR="00CF50B3">
        <w:rPr>
          <w:rFonts w:ascii="Tahoma" w:hAnsi="Tahoma" w:cs="Tahoma"/>
          <w:sz w:val="22"/>
          <w:szCs w:val="22"/>
        </w:rPr>
        <w:t xml:space="preserve">.  </w:t>
      </w:r>
      <w:r w:rsidR="00645F88" w:rsidRPr="006D427D">
        <w:rPr>
          <w:rFonts w:ascii="Tahoma" w:hAnsi="Tahoma" w:cs="Tahoma"/>
          <w:sz w:val="22"/>
          <w:szCs w:val="22"/>
        </w:rPr>
        <w:t>Further, the appellant accepted that</w:t>
      </w:r>
      <w:r w:rsidR="00CF50B3">
        <w:rPr>
          <w:rFonts w:ascii="Tahoma" w:hAnsi="Tahoma" w:cs="Tahoma"/>
          <w:sz w:val="22"/>
          <w:szCs w:val="22"/>
        </w:rPr>
        <w:t xml:space="preserve"> in principle</w:t>
      </w:r>
      <w:r w:rsidR="00645F88" w:rsidRPr="006D427D">
        <w:rPr>
          <w:rFonts w:ascii="Tahoma" w:hAnsi="Tahoma" w:cs="Tahoma"/>
          <w:sz w:val="22"/>
          <w:szCs w:val="22"/>
        </w:rPr>
        <w:t xml:space="preserve"> the Authority was entitled to rely on NPC data in making its decisions.  </w:t>
      </w:r>
    </w:p>
    <w:p w14:paraId="5950608D" w14:textId="77777777" w:rsidR="00BD3F13" w:rsidRPr="006D427D" w:rsidRDefault="00BD3F13" w:rsidP="00BD3F13">
      <w:pPr>
        <w:pStyle w:val="ListParagraph"/>
        <w:spacing w:line="360" w:lineRule="auto"/>
        <w:jc w:val="both"/>
        <w:rPr>
          <w:rFonts w:ascii="Tahoma" w:hAnsi="Tahoma" w:cs="Tahoma"/>
          <w:sz w:val="22"/>
          <w:szCs w:val="22"/>
        </w:rPr>
      </w:pPr>
    </w:p>
    <w:p w14:paraId="7B94DAD5" w14:textId="16C76961" w:rsidR="00BD3F13" w:rsidRPr="006D427D" w:rsidRDefault="00BD3F13" w:rsidP="001325D0">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appellant’s </w:t>
      </w:r>
      <w:r w:rsidR="00E16EAD" w:rsidRPr="006D427D">
        <w:rPr>
          <w:rFonts w:ascii="Tahoma" w:hAnsi="Tahoma" w:cs="Tahoma"/>
          <w:sz w:val="22"/>
          <w:szCs w:val="22"/>
        </w:rPr>
        <w:t xml:space="preserve">argument was grounded </w:t>
      </w:r>
      <w:r w:rsidR="0097448A" w:rsidRPr="006D427D">
        <w:rPr>
          <w:rFonts w:ascii="Tahoma" w:hAnsi="Tahoma" w:cs="Tahoma"/>
          <w:sz w:val="22"/>
          <w:szCs w:val="22"/>
        </w:rPr>
        <w:t xml:space="preserve">in a </w:t>
      </w:r>
      <w:r w:rsidR="00C1023E" w:rsidRPr="006D427D">
        <w:rPr>
          <w:rFonts w:ascii="Tahoma" w:hAnsi="Tahoma" w:cs="Tahoma"/>
          <w:sz w:val="22"/>
          <w:szCs w:val="22"/>
        </w:rPr>
        <w:t>criticism of the quality of the two</w:t>
      </w:r>
      <w:r w:rsidR="00CF50B3">
        <w:rPr>
          <w:rFonts w:ascii="Tahoma" w:hAnsi="Tahoma" w:cs="Tahoma"/>
          <w:sz w:val="22"/>
          <w:szCs w:val="22"/>
        </w:rPr>
        <w:t xml:space="preserve"> specific</w:t>
      </w:r>
      <w:r w:rsidR="00C1023E" w:rsidRPr="006D427D">
        <w:rPr>
          <w:rFonts w:ascii="Tahoma" w:hAnsi="Tahoma" w:cs="Tahoma"/>
          <w:sz w:val="22"/>
          <w:szCs w:val="22"/>
        </w:rPr>
        <w:t xml:space="preserve"> NPC reports of which numerous submissions were made.  </w:t>
      </w:r>
    </w:p>
    <w:p w14:paraId="189C26E0" w14:textId="77777777" w:rsidR="00C1023E" w:rsidRPr="006D427D" w:rsidRDefault="00C1023E" w:rsidP="00C1023E">
      <w:pPr>
        <w:pStyle w:val="ListParagraph"/>
        <w:rPr>
          <w:rFonts w:ascii="Tahoma" w:hAnsi="Tahoma" w:cs="Tahoma"/>
          <w:sz w:val="22"/>
          <w:szCs w:val="22"/>
        </w:rPr>
      </w:pPr>
    </w:p>
    <w:p w14:paraId="2D627A8C" w14:textId="192D901D" w:rsidR="004272ED" w:rsidRPr="00CF50B3" w:rsidRDefault="00C1023E" w:rsidP="00CF50B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general proposition advanced was that for a decision maker to make a decision</w:t>
      </w:r>
      <w:r w:rsidR="00A90F39" w:rsidRPr="006D427D">
        <w:rPr>
          <w:rFonts w:ascii="Tahoma" w:hAnsi="Tahoma" w:cs="Tahoma"/>
          <w:sz w:val="22"/>
          <w:szCs w:val="22"/>
        </w:rPr>
        <w:t xml:space="preserve">, a decision must be based on </w:t>
      </w:r>
      <w:r w:rsidR="004272ED" w:rsidRPr="006D427D">
        <w:rPr>
          <w:rFonts w:ascii="Tahoma" w:hAnsi="Tahoma" w:cs="Tahoma"/>
          <w:sz w:val="22"/>
          <w:szCs w:val="22"/>
        </w:rPr>
        <w:t>some probative evidence:</w:t>
      </w:r>
      <w:r w:rsidR="00CF50B3">
        <w:rPr>
          <w:rFonts w:ascii="Tahoma" w:hAnsi="Tahoma" w:cs="Tahoma"/>
          <w:sz w:val="22"/>
          <w:szCs w:val="22"/>
        </w:rPr>
        <w:t xml:space="preserve"> </w:t>
      </w:r>
      <w:r w:rsidR="004272ED" w:rsidRPr="00CF50B3">
        <w:rPr>
          <w:rFonts w:ascii="Tahoma" w:hAnsi="Tahoma" w:cs="Tahoma"/>
          <w:i/>
          <w:sz w:val="22"/>
          <w:szCs w:val="22"/>
        </w:rPr>
        <w:t>Re Erebus Royal Commission</w:t>
      </w:r>
      <w:r w:rsidR="00CF50B3">
        <w:rPr>
          <w:rFonts w:ascii="Tahoma" w:hAnsi="Tahoma" w:cs="Tahoma"/>
          <w:i/>
          <w:sz w:val="22"/>
          <w:szCs w:val="22"/>
        </w:rPr>
        <w:t>.</w:t>
      </w:r>
      <w:r w:rsidR="00AF08A7" w:rsidRPr="00DD0561">
        <w:rPr>
          <w:rStyle w:val="FootnoteReference"/>
          <w:rFonts w:ascii="Tahoma" w:hAnsi="Tahoma" w:cs="Tahoma"/>
          <w:sz w:val="22"/>
          <w:szCs w:val="22"/>
        </w:rPr>
        <w:footnoteReference w:id="7"/>
      </w:r>
      <w:r w:rsidR="00CF50B3">
        <w:rPr>
          <w:rFonts w:ascii="Tahoma" w:hAnsi="Tahoma" w:cs="Tahoma"/>
          <w:sz w:val="22"/>
          <w:szCs w:val="22"/>
        </w:rPr>
        <w:t xml:space="preserve">  Of</w:t>
      </w:r>
      <w:r w:rsidR="00DD0561">
        <w:rPr>
          <w:rFonts w:ascii="Tahoma" w:hAnsi="Tahoma" w:cs="Tahoma"/>
          <w:sz w:val="22"/>
          <w:szCs w:val="22"/>
        </w:rPr>
        <w:t xml:space="preserve"> </w:t>
      </w:r>
      <w:r w:rsidR="004272ED" w:rsidRPr="00CF50B3">
        <w:rPr>
          <w:rFonts w:ascii="Tahoma" w:hAnsi="Tahoma" w:cs="Tahoma"/>
          <w:sz w:val="22"/>
          <w:szCs w:val="22"/>
        </w:rPr>
        <w:t>course as a general proposition that is correct.</w:t>
      </w:r>
    </w:p>
    <w:p w14:paraId="36040A4D" w14:textId="77777777" w:rsidR="004272ED" w:rsidRPr="006D427D" w:rsidRDefault="004272ED" w:rsidP="004272ED">
      <w:pPr>
        <w:spacing w:line="360" w:lineRule="auto"/>
        <w:ind w:left="720"/>
        <w:jc w:val="both"/>
        <w:rPr>
          <w:rFonts w:ascii="Tahoma" w:hAnsi="Tahoma" w:cs="Tahoma"/>
          <w:i/>
          <w:sz w:val="22"/>
          <w:szCs w:val="22"/>
        </w:rPr>
      </w:pPr>
    </w:p>
    <w:p w14:paraId="540C03B6" w14:textId="03413C95" w:rsidR="004272ED" w:rsidRPr="006D427D" w:rsidRDefault="004272ED"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relation to the two adverse reports, it was asserted that they were unsubstantiated </w:t>
      </w:r>
      <w:r w:rsidR="00CF50B3">
        <w:rPr>
          <w:rFonts w:ascii="Tahoma" w:hAnsi="Tahoma" w:cs="Tahoma"/>
          <w:sz w:val="22"/>
          <w:szCs w:val="22"/>
        </w:rPr>
        <w:t xml:space="preserve">and lacked probative value.  </w:t>
      </w:r>
      <w:r w:rsidR="00D23D91" w:rsidRPr="006D427D">
        <w:rPr>
          <w:rFonts w:ascii="Tahoma" w:hAnsi="Tahoma" w:cs="Tahoma"/>
          <w:sz w:val="22"/>
          <w:szCs w:val="22"/>
        </w:rPr>
        <w:t xml:space="preserve">The entries merely referred to “Kronic” and did not differentiate which particular Kronic product was the subject of the complaint, nor had </w:t>
      </w:r>
      <w:r w:rsidR="000D13F7">
        <w:rPr>
          <w:rFonts w:ascii="Tahoma" w:hAnsi="Tahoma" w:cs="Tahoma"/>
          <w:sz w:val="22"/>
          <w:szCs w:val="22"/>
        </w:rPr>
        <w:t>any enquiry been</w:t>
      </w:r>
      <w:r w:rsidR="00D23D91" w:rsidRPr="006D427D">
        <w:rPr>
          <w:rFonts w:ascii="Tahoma" w:hAnsi="Tahoma" w:cs="Tahoma"/>
          <w:sz w:val="22"/>
          <w:szCs w:val="22"/>
        </w:rPr>
        <w:t xml:space="preserve"> made regarding the property identity of the product.  </w:t>
      </w:r>
    </w:p>
    <w:p w14:paraId="6BF751DA" w14:textId="77777777" w:rsidR="00A47BF2" w:rsidRPr="006D427D" w:rsidRDefault="00A47BF2" w:rsidP="00A47BF2">
      <w:pPr>
        <w:pStyle w:val="ListParagraph"/>
        <w:spacing w:line="360" w:lineRule="auto"/>
        <w:jc w:val="both"/>
        <w:rPr>
          <w:rFonts w:ascii="Tahoma" w:hAnsi="Tahoma" w:cs="Tahoma"/>
          <w:sz w:val="22"/>
          <w:szCs w:val="22"/>
        </w:rPr>
      </w:pPr>
    </w:p>
    <w:p w14:paraId="0A0C1840" w14:textId="63BF35A3" w:rsidR="00A47BF2" w:rsidRPr="006D427D" w:rsidRDefault="00A47BF2"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was submitted that the identity </w:t>
      </w:r>
      <w:r w:rsidR="00A14743" w:rsidRPr="006D427D">
        <w:rPr>
          <w:rFonts w:ascii="Tahoma" w:hAnsi="Tahoma" w:cs="Tahoma"/>
          <w:sz w:val="22"/>
          <w:szCs w:val="22"/>
        </w:rPr>
        <w:t xml:space="preserve">of the callers was </w:t>
      </w:r>
      <w:r w:rsidR="00865C77" w:rsidRPr="006D427D">
        <w:rPr>
          <w:rFonts w:ascii="Tahoma" w:hAnsi="Tahoma" w:cs="Tahoma"/>
          <w:sz w:val="22"/>
          <w:szCs w:val="22"/>
        </w:rPr>
        <w:t xml:space="preserve">not known and there was no way of establishing their identity to make further enquiry </w:t>
      </w:r>
      <w:r w:rsidR="006B46C0" w:rsidRPr="006D427D">
        <w:rPr>
          <w:rFonts w:ascii="Tahoma" w:hAnsi="Tahoma" w:cs="Tahoma"/>
          <w:sz w:val="22"/>
          <w:szCs w:val="22"/>
        </w:rPr>
        <w:t xml:space="preserve">as to their claims.  </w:t>
      </w:r>
      <w:r w:rsidR="00E71EDC" w:rsidRPr="006D427D">
        <w:rPr>
          <w:rFonts w:ascii="Tahoma" w:hAnsi="Tahoma" w:cs="Tahoma"/>
          <w:sz w:val="22"/>
          <w:szCs w:val="22"/>
        </w:rPr>
        <w:t xml:space="preserve">There was reasonable possibility that the “Kronic” to which </w:t>
      </w:r>
      <w:r w:rsidR="00E71EDC" w:rsidRPr="006D427D">
        <w:rPr>
          <w:rFonts w:ascii="Tahoma" w:hAnsi="Tahoma" w:cs="Tahoma"/>
          <w:sz w:val="22"/>
          <w:szCs w:val="22"/>
        </w:rPr>
        <w:lastRenderedPageBreak/>
        <w:t xml:space="preserve">the callers referred could have been from earlier batches which contained </w:t>
      </w:r>
      <w:r w:rsidR="00CF50B3">
        <w:rPr>
          <w:rFonts w:ascii="Tahoma" w:hAnsi="Tahoma" w:cs="Tahoma"/>
          <w:sz w:val="22"/>
          <w:szCs w:val="22"/>
        </w:rPr>
        <w:t xml:space="preserve">a different active ingredient.  </w:t>
      </w:r>
      <w:r w:rsidR="00E71EDC" w:rsidRPr="006D427D">
        <w:rPr>
          <w:rFonts w:ascii="Tahoma" w:hAnsi="Tahoma" w:cs="Tahoma"/>
          <w:sz w:val="22"/>
          <w:szCs w:val="22"/>
        </w:rPr>
        <w:t xml:space="preserve">It was suggested </w:t>
      </w:r>
      <w:r w:rsidR="00482BDF" w:rsidRPr="006D427D">
        <w:rPr>
          <w:rFonts w:ascii="Tahoma" w:hAnsi="Tahoma" w:cs="Tahoma"/>
          <w:sz w:val="22"/>
          <w:szCs w:val="22"/>
        </w:rPr>
        <w:t xml:space="preserve">that in these circumstances the evidence lacked all probative value and should not have formed the basis of a risk scoring assessment.  </w:t>
      </w:r>
    </w:p>
    <w:p w14:paraId="0D0B1310" w14:textId="77777777" w:rsidR="00482BDF" w:rsidRPr="006D427D" w:rsidRDefault="00482BDF" w:rsidP="00482BDF">
      <w:pPr>
        <w:pStyle w:val="ListParagraph"/>
        <w:rPr>
          <w:rFonts w:ascii="Tahoma" w:hAnsi="Tahoma" w:cs="Tahoma"/>
          <w:sz w:val="22"/>
          <w:szCs w:val="22"/>
        </w:rPr>
      </w:pPr>
    </w:p>
    <w:p w14:paraId="7CE70F0C" w14:textId="7A095ADB" w:rsidR="00482BDF" w:rsidRPr="006D427D" w:rsidRDefault="00482BDF"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was submitted that the risk scoring assessment should have excluded this, and presumably any other </w:t>
      </w:r>
      <w:r w:rsidR="00B44642" w:rsidRPr="006D427D">
        <w:rPr>
          <w:rFonts w:ascii="Tahoma" w:hAnsi="Tahoma" w:cs="Tahoma"/>
          <w:sz w:val="22"/>
          <w:szCs w:val="22"/>
        </w:rPr>
        <w:t>u</w:t>
      </w:r>
      <w:r w:rsidR="00611B57">
        <w:rPr>
          <w:rFonts w:ascii="Tahoma" w:hAnsi="Tahoma" w:cs="Tahoma"/>
          <w:sz w:val="22"/>
          <w:szCs w:val="22"/>
        </w:rPr>
        <w:t>nreliable evidence and only relied</w:t>
      </w:r>
      <w:r w:rsidR="00B44642" w:rsidRPr="006D427D">
        <w:rPr>
          <w:rFonts w:ascii="Tahoma" w:hAnsi="Tahoma" w:cs="Tahoma"/>
          <w:sz w:val="22"/>
          <w:szCs w:val="22"/>
        </w:rPr>
        <w:t xml:space="preserve"> on evidence which carried with it some assurance of reliability.</w:t>
      </w:r>
    </w:p>
    <w:p w14:paraId="47392F14" w14:textId="77777777" w:rsidR="00B44642" w:rsidRPr="006D427D" w:rsidRDefault="00B44642" w:rsidP="00B44642">
      <w:pPr>
        <w:pStyle w:val="ListParagraph"/>
        <w:rPr>
          <w:rFonts w:ascii="Tahoma" w:hAnsi="Tahoma" w:cs="Tahoma"/>
          <w:sz w:val="22"/>
          <w:szCs w:val="22"/>
        </w:rPr>
      </w:pPr>
    </w:p>
    <w:p w14:paraId="77CFE582" w14:textId="77777777" w:rsidR="00B44642" w:rsidRPr="006D427D" w:rsidRDefault="00B44642"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While the appellant accepted that the Authority could take a precautionary </w:t>
      </w:r>
      <w:r w:rsidR="00F40777" w:rsidRPr="006D427D">
        <w:rPr>
          <w:rFonts w:ascii="Tahoma" w:hAnsi="Tahoma" w:cs="Tahoma"/>
          <w:sz w:val="22"/>
          <w:szCs w:val="22"/>
        </w:rPr>
        <w:t>approach to approving products on an interim basis, this did not extend to the Authority relying on evidence that carried with it</w:t>
      </w:r>
      <w:r w:rsidR="00421A8B" w:rsidRPr="006D427D">
        <w:rPr>
          <w:rFonts w:ascii="Tahoma" w:hAnsi="Tahoma" w:cs="Tahoma"/>
          <w:sz w:val="22"/>
          <w:szCs w:val="22"/>
        </w:rPr>
        <w:t xml:space="preserve"> no weight in terms of an ultimate conclusion.</w:t>
      </w:r>
    </w:p>
    <w:p w14:paraId="7DA4A4DC" w14:textId="77777777" w:rsidR="00421A8B" w:rsidRPr="006D427D" w:rsidRDefault="00421A8B" w:rsidP="00421A8B">
      <w:pPr>
        <w:pStyle w:val="ListParagraph"/>
        <w:rPr>
          <w:rFonts w:ascii="Tahoma" w:hAnsi="Tahoma" w:cs="Tahoma"/>
          <w:sz w:val="22"/>
          <w:szCs w:val="22"/>
        </w:rPr>
      </w:pPr>
    </w:p>
    <w:p w14:paraId="39799611" w14:textId="1C17C3B3" w:rsidR="00CF50B3" w:rsidRDefault="00421A8B"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response to the substantive issue, the respondent reiterated the data poor environment in which the </w:t>
      </w:r>
      <w:r w:rsidR="006D427D" w:rsidRPr="006D427D">
        <w:rPr>
          <w:rFonts w:ascii="Tahoma" w:hAnsi="Tahoma" w:cs="Tahoma"/>
          <w:sz w:val="22"/>
          <w:szCs w:val="22"/>
        </w:rPr>
        <w:t>Authority</w:t>
      </w:r>
      <w:r w:rsidRPr="006D427D">
        <w:rPr>
          <w:rFonts w:ascii="Tahoma" w:hAnsi="Tahoma" w:cs="Tahoma"/>
          <w:sz w:val="22"/>
          <w:szCs w:val="22"/>
        </w:rPr>
        <w:t xml:space="preserve"> was bound to operate. In these </w:t>
      </w:r>
      <w:r w:rsidR="006D427D" w:rsidRPr="006D427D">
        <w:rPr>
          <w:rFonts w:ascii="Tahoma" w:hAnsi="Tahoma" w:cs="Tahoma"/>
          <w:sz w:val="22"/>
          <w:szCs w:val="22"/>
        </w:rPr>
        <w:t>circumstances</w:t>
      </w:r>
      <w:r w:rsidR="0024304E" w:rsidRPr="006D427D">
        <w:rPr>
          <w:rFonts w:ascii="Tahoma" w:hAnsi="Tahoma" w:cs="Tahoma"/>
          <w:sz w:val="22"/>
          <w:szCs w:val="22"/>
        </w:rPr>
        <w:t xml:space="preserve"> it had to draw on what little data </w:t>
      </w:r>
      <w:r w:rsidR="00DA296C" w:rsidRPr="006D427D">
        <w:rPr>
          <w:rFonts w:ascii="Tahoma" w:hAnsi="Tahoma" w:cs="Tahoma"/>
          <w:sz w:val="22"/>
          <w:szCs w:val="22"/>
        </w:rPr>
        <w:t xml:space="preserve">was </w:t>
      </w:r>
      <w:r w:rsidR="006D427D" w:rsidRPr="006D427D">
        <w:rPr>
          <w:rFonts w:ascii="Tahoma" w:hAnsi="Tahoma" w:cs="Tahoma"/>
          <w:sz w:val="22"/>
          <w:szCs w:val="22"/>
        </w:rPr>
        <w:t>available</w:t>
      </w:r>
      <w:r w:rsidR="00DA296C" w:rsidRPr="006D427D">
        <w:rPr>
          <w:rFonts w:ascii="Tahoma" w:hAnsi="Tahoma" w:cs="Tahoma"/>
          <w:sz w:val="22"/>
          <w:szCs w:val="22"/>
        </w:rPr>
        <w:t xml:space="preserve"> and for this reason the NPC report</w:t>
      </w:r>
      <w:r w:rsidR="007E0D44">
        <w:rPr>
          <w:rFonts w:ascii="Tahoma" w:hAnsi="Tahoma" w:cs="Tahoma"/>
          <w:sz w:val="22"/>
          <w:szCs w:val="22"/>
        </w:rPr>
        <w:t>s</w:t>
      </w:r>
      <w:r w:rsidR="00DA296C" w:rsidRPr="006D427D">
        <w:rPr>
          <w:rFonts w:ascii="Tahoma" w:hAnsi="Tahoma" w:cs="Tahoma"/>
          <w:sz w:val="22"/>
          <w:szCs w:val="22"/>
        </w:rPr>
        <w:t xml:space="preserve"> were germane.  </w:t>
      </w:r>
      <w:r w:rsidR="0086487E" w:rsidRPr="006D427D">
        <w:rPr>
          <w:rFonts w:ascii="Tahoma" w:hAnsi="Tahoma" w:cs="Tahoma"/>
          <w:sz w:val="22"/>
          <w:szCs w:val="22"/>
        </w:rPr>
        <w:t xml:space="preserve">The NPC is New Zealand’s only poison and hazardous chemical </w:t>
      </w:r>
      <w:r w:rsidR="00E67E34" w:rsidRPr="006D427D">
        <w:rPr>
          <w:rFonts w:ascii="Tahoma" w:hAnsi="Tahoma" w:cs="Tahoma"/>
          <w:sz w:val="22"/>
          <w:szCs w:val="22"/>
        </w:rPr>
        <w:t xml:space="preserve">information centre which answers around 300 telephone enquiries each year and on its face has some system to differentiate between different brands of psychoactive products.  </w:t>
      </w:r>
    </w:p>
    <w:p w14:paraId="05940F6D" w14:textId="77777777" w:rsidR="00CF50B3" w:rsidRPr="00CF50B3" w:rsidRDefault="00CF50B3" w:rsidP="00CF50B3">
      <w:pPr>
        <w:pStyle w:val="ListParagraph"/>
        <w:rPr>
          <w:rFonts w:ascii="Tahoma" w:hAnsi="Tahoma" w:cs="Tahoma"/>
          <w:sz w:val="22"/>
          <w:szCs w:val="22"/>
        </w:rPr>
      </w:pPr>
    </w:p>
    <w:p w14:paraId="305576D9" w14:textId="087EDA94" w:rsidR="00421A8B" w:rsidRPr="006D427D" w:rsidRDefault="00E67E34"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this </w:t>
      </w:r>
      <w:r w:rsidR="002F57E0" w:rsidRPr="006D427D">
        <w:rPr>
          <w:rFonts w:ascii="Tahoma" w:hAnsi="Tahoma" w:cs="Tahoma"/>
          <w:sz w:val="22"/>
          <w:szCs w:val="22"/>
        </w:rPr>
        <w:t>regard Ms Miller took us to various entries unrelated to the Kronic brands to demonstrate how the NPC could refine its data to be product specific.</w:t>
      </w:r>
    </w:p>
    <w:p w14:paraId="59BD1E19" w14:textId="77777777" w:rsidR="002F57E0" w:rsidRPr="006D427D" w:rsidRDefault="002F57E0" w:rsidP="002F57E0">
      <w:pPr>
        <w:pStyle w:val="ListParagraph"/>
        <w:rPr>
          <w:rFonts w:ascii="Tahoma" w:hAnsi="Tahoma" w:cs="Tahoma"/>
          <w:sz w:val="22"/>
          <w:szCs w:val="22"/>
        </w:rPr>
      </w:pPr>
    </w:p>
    <w:p w14:paraId="473898EC" w14:textId="7383C743" w:rsidR="002F57E0" w:rsidRPr="006D427D" w:rsidRDefault="002F57E0"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was submitted that the onus </w:t>
      </w:r>
      <w:r w:rsidR="008A5DDE" w:rsidRPr="006D427D">
        <w:rPr>
          <w:rFonts w:ascii="Tahoma" w:hAnsi="Tahoma" w:cs="Tahoma"/>
          <w:sz w:val="22"/>
          <w:szCs w:val="22"/>
        </w:rPr>
        <w:t xml:space="preserve">rested </w:t>
      </w:r>
      <w:r w:rsidR="00707C01" w:rsidRPr="006D427D">
        <w:rPr>
          <w:rFonts w:ascii="Tahoma" w:hAnsi="Tahoma" w:cs="Tahoma"/>
          <w:sz w:val="22"/>
          <w:szCs w:val="22"/>
        </w:rPr>
        <w:t>on the appellant to demonstrate the NPC</w:t>
      </w:r>
      <w:r w:rsidR="00CF50B3">
        <w:rPr>
          <w:rFonts w:ascii="Tahoma" w:hAnsi="Tahoma" w:cs="Tahoma"/>
          <w:sz w:val="22"/>
          <w:szCs w:val="22"/>
        </w:rPr>
        <w:t xml:space="preserve"> reports were flawed or wrong and</w:t>
      </w:r>
      <w:r w:rsidR="00707C01" w:rsidRPr="006D427D">
        <w:rPr>
          <w:rFonts w:ascii="Tahoma" w:hAnsi="Tahoma" w:cs="Tahoma"/>
          <w:sz w:val="22"/>
          <w:szCs w:val="22"/>
        </w:rPr>
        <w:t xml:space="preserve"> mere submission </w:t>
      </w:r>
      <w:r w:rsidR="00CF50B3">
        <w:rPr>
          <w:rFonts w:ascii="Tahoma" w:hAnsi="Tahoma" w:cs="Tahoma"/>
          <w:sz w:val="22"/>
          <w:szCs w:val="22"/>
        </w:rPr>
        <w:t>w</w:t>
      </w:r>
      <w:r w:rsidR="00257F74" w:rsidRPr="006D427D">
        <w:rPr>
          <w:rFonts w:ascii="Tahoma" w:hAnsi="Tahoma" w:cs="Tahoma"/>
          <w:sz w:val="22"/>
          <w:szCs w:val="22"/>
        </w:rPr>
        <w:t xml:space="preserve">as </w:t>
      </w:r>
      <w:r w:rsidR="00CF50B3">
        <w:rPr>
          <w:rFonts w:ascii="Tahoma" w:hAnsi="Tahoma" w:cs="Tahoma"/>
          <w:sz w:val="22"/>
          <w:szCs w:val="22"/>
        </w:rPr>
        <w:t>in</w:t>
      </w:r>
      <w:r w:rsidR="00257F74" w:rsidRPr="006D427D">
        <w:rPr>
          <w:rFonts w:ascii="Tahoma" w:hAnsi="Tahoma" w:cs="Tahoma"/>
          <w:sz w:val="22"/>
          <w:szCs w:val="22"/>
        </w:rPr>
        <w:t xml:space="preserve"> sufficient to discharge this burden</w:t>
      </w:r>
      <w:r w:rsidR="00CF50B3">
        <w:rPr>
          <w:rFonts w:ascii="Tahoma" w:hAnsi="Tahoma" w:cs="Tahoma"/>
          <w:sz w:val="22"/>
          <w:szCs w:val="22"/>
        </w:rPr>
        <w:t>.</w:t>
      </w:r>
    </w:p>
    <w:p w14:paraId="614F6887" w14:textId="77777777" w:rsidR="003365D7" w:rsidRPr="006D427D" w:rsidRDefault="003365D7" w:rsidP="003365D7">
      <w:pPr>
        <w:pStyle w:val="ListParagraph"/>
        <w:rPr>
          <w:rFonts w:ascii="Tahoma" w:hAnsi="Tahoma" w:cs="Tahoma"/>
          <w:sz w:val="22"/>
          <w:szCs w:val="22"/>
        </w:rPr>
      </w:pPr>
    </w:p>
    <w:p w14:paraId="3E69F83B" w14:textId="77777777" w:rsidR="003365D7" w:rsidRPr="006D427D" w:rsidRDefault="003365D7"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was further submitted </w:t>
      </w:r>
      <w:r w:rsidR="005C7977" w:rsidRPr="006D427D">
        <w:rPr>
          <w:rFonts w:ascii="Tahoma" w:hAnsi="Tahoma" w:cs="Tahoma"/>
          <w:sz w:val="22"/>
          <w:szCs w:val="22"/>
        </w:rPr>
        <w:t xml:space="preserve">that </w:t>
      </w:r>
      <w:r w:rsidR="008E2B35" w:rsidRPr="006D427D">
        <w:rPr>
          <w:rFonts w:ascii="Tahoma" w:hAnsi="Tahoma" w:cs="Tahoma"/>
          <w:sz w:val="22"/>
          <w:szCs w:val="22"/>
        </w:rPr>
        <w:t xml:space="preserve">if </w:t>
      </w:r>
      <w:r w:rsidR="005C7977" w:rsidRPr="006D427D">
        <w:rPr>
          <w:rFonts w:ascii="Tahoma" w:hAnsi="Tahoma" w:cs="Tahoma"/>
          <w:sz w:val="22"/>
          <w:szCs w:val="22"/>
        </w:rPr>
        <w:t xml:space="preserve">the </w:t>
      </w:r>
      <w:r w:rsidR="008E2B35" w:rsidRPr="006D427D">
        <w:rPr>
          <w:rFonts w:ascii="Tahoma" w:hAnsi="Tahoma" w:cs="Tahoma"/>
          <w:sz w:val="22"/>
          <w:szCs w:val="22"/>
        </w:rPr>
        <w:t xml:space="preserve">Authority could not rely </w:t>
      </w:r>
      <w:r w:rsidR="00291CDC" w:rsidRPr="006D427D">
        <w:rPr>
          <w:rFonts w:ascii="Tahoma" w:hAnsi="Tahoma" w:cs="Tahoma"/>
          <w:sz w:val="22"/>
          <w:szCs w:val="22"/>
        </w:rPr>
        <w:t xml:space="preserve">on this information, in the interim regime, its function would be impossible.  </w:t>
      </w:r>
    </w:p>
    <w:p w14:paraId="0264CC93" w14:textId="77777777" w:rsidR="00291CDC" w:rsidRPr="006D427D" w:rsidRDefault="00291CDC" w:rsidP="00291CDC">
      <w:pPr>
        <w:pStyle w:val="ListParagraph"/>
        <w:rPr>
          <w:rFonts w:ascii="Tahoma" w:hAnsi="Tahoma" w:cs="Tahoma"/>
          <w:sz w:val="22"/>
          <w:szCs w:val="22"/>
        </w:rPr>
      </w:pPr>
    </w:p>
    <w:p w14:paraId="1CE37607" w14:textId="77777777" w:rsidR="00913524" w:rsidRPr="006D427D" w:rsidRDefault="00913524" w:rsidP="00913524">
      <w:pPr>
        <w:pStyle w:val="ListParagraph"/>
        <w:rPr>
          <w:rFonts w:ascii="Tahoma" w:hAnsi="Tahoma" w:cs="Tahoma"/>
          <w:sz w:val="22"/>
          <w:szCs w:val="22"/>
        </w:rPr>
      </w:pPr>
    </w:p>
    <w:p w14:paraId="21803FAA" w14:textId="77777777" w:rsidR="00CF50B3" w:rsidRDefault="00CF50B3" w:rsidP="00913524">
      <w:pPr>
        <w:spacing w:line="360" w:lineRule="auto"/>
        <w:jc w:val="both"/>
        <w:rPr>
          <w:rFonts w:ascii="Tahoma" w:hAnsi="Tahoma" w:cs="Tahoma"/>
          <w:b/>
          <w:sz w:val="22"/>
          <w:szCs w:val="22"/>
        </w:rPr>
      </w:pPr>
    </w:p>
    <w:p w14:paraId="184A3665" w14:textId="77777777" w:rsidR="007E0D44" w:rsidRDefault="007E0D44" w:rsidP="00913524">
      <w:pPr>
        <w:spacing w:line="360" w:lineRule="auto"/>
        <w:jc w:val="both"/>
        <w:rPr>
          <w:rFonts w:ascii="Tahoma" w:hAnsi="Tahoma" w:cs="Tahoma"/>
          <w:b/>
          <w:sz w:val="22"/>
          <w:szCs w:val="22"/>
        </w:rPr>
      </w:pPr>
    </w:p>
    <w:p w14:paraId="070881BC" w14:textId="77777777" w:rsidR="007E0D44" w:rsidRDefault="007E0D44" w:rsidP="00913524">
      <w:pPr>
        <w:spacing w:line="360" w:lineRule="auto"/>
        <w:jc w:val="both"/>
        <w:rPr>
          <w:rFonts w:ascii="Tahoma" w:hAnsi="Tahoma" w:cs="Tahoma"/>
          <w:b/>
          <w:sz w:val="22"/>
          <w:szCs w:val="22"/>
        </w:rPr>
      </w:pPr>
    </w:p>
    <w:p w14:paraId="5B3C34B6" w14:textId="77777777" w:rsidR="007E0D44" w:rsidRDefault="007E0D44" w:rsidP="00913524">
      <w:pPr>
        <w:spacing w:line="360" w:lineRule="auto"/>
        <w:jc w:val="both"/>
        <w:rPr>
          <w:rFonts w:ascii="Tahoma" w:hAnsi="Tahoma" w:cs="Tahoma"/>
          <w:b/>
          <w:sz w:val="22"/>
          <w:szCs w:val="22"/>
        </w:rPr>
      </w:pPr>
    </w:p>
    <w:p w14:paraId="5D33B9E4" w14:textId="77777777" w:rsidR="00913524" w:rsidRPr="006D427D" w:rsidRDefault="00913524" w:rsidP="00913524">
      <w:pPr>
        <w:spacing w:line="360" w:lineRule="auto"/>
        <w:jc w:val="both"/>
        <w:rPr>
          <w:rFonts w:ascii="Tahoma" w:hAnsi="Tahoma" w:cs="Tahoma"/>
          <w:sz w:val="22"/>
          <w:szCs w:val="22"/>
        </w:rPr>
      </w:pPr>
      <w:r w:rsidRPr="006D427D">
        <w:rPr>
          <w:rFonts w:ascii="Tahoma" w:hAnsi="Tahoma" w:cs="Tahoma"/>
          <w:b/>
          <w:sz w:val="22"/>
          <w:szCs w:val="22"/>
        </w:rPr>
        <w:t>Discussion</w:t>
      </w:r>
    </w:p>
    <w:p w14:paraId="246F4762" w14:textId="77777777" w:rsidR="00913524" w:rsidRPr="006D427D" w:rsidRDefault="00913524" w:rsidP="00913524">
      <w:pPr>
        <w:rPr>
          <w:rFonts w:ascii="Tahoma" w:hAnsi="Tahoma" w:cs="Tahoma"/>
          <w:sz w:val="22"/>
          <w:szCs w:val="22"/>
        </w:rPr>
      </w:pPr>
    </w:p>
    <w:p w14:paraId="5C122F20" w14:textId="06F23AF5" w:rsidR="00913524" w:rsidRPr="006D427D" w:rsidRDefault="00913524" w:rsidP="004272E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There is merit in the submissions advanced by both parties</w:t>
      </w:r>
      <w:r w:rsidR="001F1D3B" w:rsidRPr="006D427D">
        <w:rPr>
          <w:rFonts w:ascii="Tahoma" w:hAnsi="Tahoma" w:cs="Tahoma"/>
          <w:sz w:val="22"/>
          <w:szCs w:val="22"/>
        </w:rPr>
        <w:t xml:space="preserve">.  The </w:t>
      </w:r>
      <w:r w:rsidR="00E06A5B" w:rsidRPr="006D427D">
        <w:rPr>
          <w:rFonts w:ascii="Tahoma" w:hAnsi="Tahoma" w:cs="Tahoma"/>
          <w:sz w:val="22"/>
          <w:szCs w:val="22"/>
        </w:rPr>
        <w:t>NPC spreadshe</w:t>
      </w:r>
      <w:r w:rsidR="00887E6D" w:rsidRPr="006D427D">
        <w:rPr>
          <w:rFonts w:ascii="Tahoma" w:hAnsi="Tahoma" w:cs="Tahoma"/>
          <w:sz w:val="22"/>
          <w:szCs w:val="22"/>
        </w:rPr>
        <w:t>et contains minimal information</w:t>
      </w:r>
      <w:r w:rsidR="001022A8">
        <w:rPr>
          <w:rFonts w:ascii="Tahoma" w:hAnsi="Tahoma" w:cs="Tahoma"/>
          <w:sz w:val="22"/>
          <w:szCs w:val="22"/>
        </w:rPr>
        <w:t>,</w:t>
      </w:r>
      <w:r w:rsidR="00887E6D" w:rsidRPr="006D427D">
        <w:rPr>
          <w:rFonts w:ascii="Tahoma" w:hAnsi="Tahoma" w:cs="Tahoma"/>
          <w:sz w:val="22"/>
          <w:szCs w:val="22"/>
        </w:rPr>
        <w:t xml:space="preserve"> </w:t>
      </w:r>
      <w:r w:rsidR="001022A8">
        <w:rPr>
          <w:rFonts w:ascii="Tahoma" w:hAnsi="Tahoma" w:cs="Tahoma"/>
          <w:sz w:val="22"/>
          <w:szCs w:val="22"/>
        </w:rPr>
        <w:t>(</w:t>
      </w:r>
      <w:r w:rsidR="00887E6D" w:rsidRPr="006D427D">
        <w:rPr>
          <w:rFonts w:ascii="Tahoma" w:hAnsi="Tahoma" w:cs="Tahoma"/>
          <w:sz w:val="22"/>
          <w:szCs w:val="22"/>
        </w:rPr>
        <w:t xml:space="preserve">although that is no criticism of the NPC </w:t>
      </w:r>
      <w:r w:rsidR="00F7778B" w:rsidRPr="006D427D">
        <w:rPr>
          <w:rFonts w:ascii="Tahoma" w:hAnsi="Tahoma" w:cs="Tahoma"/>
          <w:sz w:val="22"/>
          <w:szCs w:val="22"/>
        </w:rPr>
        <w:t>which we infer records information that is communicated to it</w:t>
      </w:r>
      <w:r w:rsidR="007E1D40" w:rsidRPr="006D427D">
        <w:rPr>
          <w:rFonts w:ascii="Tahoma" w:hAnsi="Tahoma" w:cs="Tahoma"/>
          <w:sz w:val="22"/>
          <w:szCs w:val="22"/>
        </w:rPr>
        <w:t xml:space="preserve"> by callers</w:t>
      </w:r>
      <w:r w:rsidR="0078362C" w:rsidRPr="006D427D">
        <w:rPr>
          <w:rFonts w:ascii="Tahoma" w:hAnsi="Tahoma" w:cs="Tahoma"/>
          <w:sz w:val="22"/>
          <w:szCs w:val="22"/>
        </w:rPr>
        <w:t xml:space="preserve"> calling the 0800 </w:t>
      </w:r>
      <w:r w:rsidR="00CF50B3">
        <w:rPr>
          <w:rFonts w:ascii="Tahoma" w:hAnsi="Tahoma" w:cs="Tahoma"/>
          <w:sz w:val="22"/>
          <w:szCs w:val="22"/>
        </w:rPr>
        <w:t>number</w:t>
      </w:r>
      <w:r w:rsidR="001022A8">
        <w:rPr>
          <w:rFonts w:ascii="Tahoma" w:hAnsi="Tahoma" w:cs="Tahoma"/>
          <w:sz w:val="22"/>
          <w:szCs w:val="22"/>
        </w:rPr>
        <w:t>)</w:t>
      </w:r>
      <w:r w:rsidR="00CF50B3">
        <w:rPr>
          <w:rFonts w:ascii="Tahoma" w:hAnsi="Tahoma" w:cs="Tahoma"/>
          <w:sz w:val="22"/>
          <w:szCs w:val="22"/>
        </w:rPr>
        <w:t xml:space="preserve">.  </w:t>
      </w:r>
      <w:r w:rsidR="004328AA" w:rsidRPr="006D427D">
        <w:rPr>
          <w:rFonts w:ascii="Tahoma" w:hAnsi="Tahoma" w:cs="Tahoma"/>
          <w:sz w:val="22"/>
          <w:szCs w:val="22"/>
        </w:rPr>
        <w:t>The decision of the Authority came down to two adverse reports referencing “Kronic”</w:t>
      </w:r>
      <w:r w:rsidR="00F9562B" w:rsidRPr="006D427D">
        <w:rPr>
          <w:rFonts w:ascii="Tahoma" w:hAnsi="Tahoma" w:cs="Tahoma"/>
          <w:sz w:val="22"/>
          <w:szCs w:val="22"/>
        </w:rPr>
        <w:t xml:space="preserve"> without more specificity</w:t>
      </w:r>
      <w:r w:rsidR="00FB70A4" w:rsidRPr="006D427D">
        <w:rPr>
          <w:rFonts w:ascii="Tahoma" w:hAnsi="Tahoma" w:cs="Tahoma"/>
          <w:sz w:val="22"/>
          <w:szCs w:val="22"/>
        </w:rPr>
        <w:t xml:space="preserve"> as to which particular brand was consumed and when the product had been purchased</w:t>
      </w:r>
      <w:r w:rsidR="002372A9" w:rsidRPr="006D427D">
        <w:rPr>
          <w:rFonts w:ascii="Tahoma" w:hAnsi="Tahoma" w:cs="Tahoma"/>
          <w:sz w:val="22"/>
          <w:szCs w:val="22"/>
        </w:rPr>
        <w:t xml:space="preserve">.  </w:t>
      </w:r>
    </w:p>
    <w:p w14:paraId="40A6C521" w14:textId="77777777" w:rsidR="002372A9" w:rsidRPr="006D427D" w:rsidRDefault="002372A9" w:rsidP="002372A9">
      <w:pPr>
        <w:pStyle w:val="ListParagraph"/>
        <w:spacing w:line="360" w:lineRule="auto"/>
        <w:jc w:val="both"/>
        <w:rPr>
          <w:rFonts w:ascii="Tahoma" w:hAnsi="Tahoma" w:cs="Tahoma"/>
          <w:sz w:val="22"/>
          <w:szCs w:val="22"/>
        </w:rPr>
      </w:pPr>
    </w:p>
    <w:p w14:paraId="15CC766A" w14:textId="77777777" w:rsidR="001022A8" w:rsidRDefault="00CF50B3" w:rsidP="004272ED">
      <w:pPr>
        <w:pStyle w:val="ListParagraph"/>
        <w:numPr>
          <w:ilvl w:val="0"/>
          <w:numId w:val="6"/>
        </w:numPr>
        <w:spacing w:line="360" w:lineRule="auto"/>
        <w:ind w:hanging="720"/>
        <w:jc w:val="both"/>
        <w:rPr>
          <w:rFonts w:ascii="Tahoma" w:hAnsi="Tahoma" w:cs="Tahoma"/>
          <w:sz w:val="22"/>
          <w:szCs w:val="22"/>
        </w:rPr>
      </w:pPr>
      <w:r>
        <w:rPr>
          <w:rFonts w:ascii="Tahoma" w:hAnsi="Tahoma" w:cs="Tahoma"/>
          <w:sz w:val="22"/>
          <w:szCs w:val="22"/>
        </w:rPr>
        <w:t>However it</w:t>
      </w:r>
      <w:r w:rsidR="0037386B" w:rsidRPr="006D427D">
        <w:rPr>
          <w:rFonts w:ascii="Tahoma" w:hAnsi="Tahoma" w:cs="Tahoma"/>
          <w:sz w:val="22"/>
          <w:szCs w:val="22"/>
        </w:rPr>
        <w:t xml:space="preserve"> cannot be said </w:t>
      </w:r>
      <w:r w:rsidR="00314976" w:rsidRPr="006D427D">
        <w:rPr>
          <w:rFonts w:ascii="Tahoma" w:hAnsi="Tahoma" w:cs="Tahoma"/>
          <w:sz w:val="22"/>
          <w:szCs w:val="22"/>
        </w:rPr>
        <w:t xml:space="preserve">that the NPC data is </w:t>
      </w:r>
      <w:r w:rsidR="00BC6E27" w:rsidRPr="006D427D">
        <w:rPr>
          <w:rFonts w:ascii="Tahoma" w:hAnsi="Tahoma" w:cs="Tahoma"/>
          <w:sz w:val="22"/>
          <w:szCs w:val="22"/>
        </w:rPr>
        <w:t>irrelevant generally</w:t>
      </w:r>
      <w:r w:rsidR="0095740B" w:rsidRPr="006D427D">
        <w:rPr>
          <w:rFonts w:ascii="Tahoma" w:hAnsi="Tahoma" w:cs="Tahoma"/>
          <w:sz w:val="22"/>
          <w:szCs w:val="22"/>
        </w:rPr>
        <w:t xml:space="preserve"> (</w:t>
      </w:r>
      <w:r w:rsidR="001C1F02" w:rsidRPr="006D427D">
        <w:rPr>
          <w:rFonts w:ascii="Tahoma" w:hAnsi="Tahoma" w:cs="Tahoma"/>
          <w:sz w:val="22"/>
          <w:szCs w:val="22"/>
        </w:rPr>
        <w:t>and the appellant did not submit that)</w:t>
      </w:r>
      <w:r>
        <w:rPr>
          <w:rFonts w:ascii="Tahoma" w:hAnsi="Tahoma" w:cs="Tahoma"/>
          <w:sz w:val="22"/>
          <w:szCs w:val="22"/>
        </w:rPr>
        <w:t>,</w:t>
      </w:r>
      <w:r w:rsidR="001C1F02" w:rsidRPr="006D427D">
        <w:rPr>
          <w:rFonts w:ascii="Tahoma" w:hAnsi="Tahoma" w:cs="Tahoma"/>
          <w:sz w:val="22"/>
          <w:szCs w:val="22"/>
        </w:rPr>
        <w:t xml:space="preserve"> and this information on its face pertains to the product for which interim approval was sought (albeit generically)</w:t>
      </w:r>
      <w:r w:rsidR="00E45C1F" w:rsidRPr="006D427D">
        <w:rPr>
          <w:rFonts w:ascii="Tahoma" w:hAnsi="Tahoma" w:cs="Tahoma"/>
          <w:sz w:val="22"/>
          <w:szCs w:val="22"/>
        </w:rPr>
        <w:t>.</w:t>
      </w:r>
    </w:p>
    <w:p w14:paraId="4DC6974E" w14:textId="77777777" w:rsidR="001022A8" w:rsidRPr="001022A8" w:rsidRDefault="001022A8" w:rsidP="001022A8">
      <w:pPr>
        <w:pStyle w:val="ListParagraph"/>
        <w:rPr>
          <w:rFonts w:ascii="Tahoma" w:hAnsi="Tahoma" w:cs="Tahoma"/>
          <w:sz w:val="22"/>
          <w:szCs w:val="22"/>
        </w:rPr>
      </w:pPr>
    </w:p>
    <w:p w14:paraId="58E5490C" w14:textId="5FE776D4" w:rsidR="002372A9" w:rsidRPr="006D427D" w:rsidRDefault="00E45C1F" w:rsidP="001022A8">
      <w:pPr>
        <w:pStyle w:val="ListParagraph"/>
        <w:spacing w:line="360" w:lineRule="auto"/>
        <w:jc w:val="both"/>
        <w:rPr>
          <w:rFonts w:ascii="Tahoma" w:hAnsi="Tahoma" w:cs="Tahoma"/>
          <w:sz w:val="22"/>
          <w:szCs w:val="22"/>
        </w:rPr>
      </w:pPr>
      <w:r w:rsidRPr="006D427D">
        <w:rPr>
          <w:rFonts w:ascii="Tahoma" w:hAnsi="Tahoma" w:cs="Tahoma"/>
          <w:sz w:val="22"/>
          <w:szCs w:val="22"/>
        </w:rPr>
        <w:t xml:space="preserve">  </w:t>
      </w:r>
    </w:p>
    <w:p w14:paraId="6F3024D4" w14:textId="77777777" w:rsidR="00E45C1F" w:rsidRPr="006D427D" w:rsidRDefault="00E45C1F" w:rsidP="00E45C1F">
      <w:pPr>
        <w:pStyle w:val="ListParagraph"/>
        <w:rPr>
          <w:rFonts w:ascii="Tahoma" w:hAnsi="Tahoma" w:cs="Tahoma"/>
          <w:sz w:val="22"/>
          <w:szCs w:val="22"/>
        </w:rPr>
      </w:pPr>
    </w:p>
    <w:p w14:paraId="2501C032" w14:textId="04BD8BCA" w:rsidR="004272ED" w:rsidRDefault="00E45C1F"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From this point of view the </w:t>
      </w:r>
      <w:r w:rsidR="006D427D" w:rsidRPr="006D427D">
        <w:rPr>
          <w:rFonts w:ascii="Tahoma" w:hAnsi="Tahoma" w:cs="Tahoma"/>
          <w:sz w:val="22"/>
          <w:szCs w:val="22"/>
        </w:rPr>
        <w:t>information</w:t>
      </w:r>
      <w:r w:rsidRPr="006D427D">
        <w:rPr>
          <w:rFonts w:ascii="Tahoma" w:hAnsi="Tahoma" w:cs="Tahoma"/>
          <w:sz w:val="22"/>
          <w:szCs w:val="22"/>
        </w:rPr>
        <w:t xml:space="preserve"> was relevant and needed to be taken i</w:t>
      </w:r>
      <w:r w:rsidR="00CF50B3">
        <w:rPr>
          <w:rFonts w:ascii="Tahoma" w:hAnsi="Tahoma" w:cs="Tahoma"/>
          <w:sz w:val="22"/>
          <w:szCs w:val="22"/>
        </w:rPr>
        <w:t xml:space="preserve">nto account by the Authority.  </w:t>
      </w:r>
      <w:r w:rsidRPr="006D427D">
        <w:rPr>
          <w:rFonts w:ascii="Tahoma" w:hAnsi="Tahoma" w:cs="Tahoma"/>
          <w:sz w:val="22"/>
          <w:szCs w:val="22"/>
        </w:rPr>
        <w:t xml:space="preserve">On the other hand the fact that the Authority is operating in a data poor environment does not elevate the weight that should be attached to this </w:t>
      </w:r>
      <w:r w:rsidR="0041405A" w:rsidRPr="006D427D">
        <w:rPr>
          <w:rFonts w:ascii="Tahoma" w:hAnsi="Tahoma" w:cs="Tahoma"/>
          <w:sz w:val="22"/>
          <w:szCs w:val="22"/>
        </w:rPr>
        <w:t xml:space="preserve">information if that information carries little probative value.  </w:t>
      </w:r>
    </w:p>
    <w:p w14:paraId="4F36F649" w14:textId="77777777" w:rsidR="00E53764" w:rsidRPr="00352F6F" w:rsidRDefault="00E53764" w:rsidP="00352F6F">
      <w:pPr>
        <w:rPr>
          <w:rFonts w:ascii="Tahoma" w:hAnsi="Tahoma" w:cs="Tahoma"/>
          <w:sz w:val="22"/>
          <w:szCs w:val="22"/>
        </w:rPr>
      </w:pPr>
    </w:p>
    <w:p w14:paraId="1324FEBC" w14:textId="53EF88C8" w:rsidR="00CF50B3" w:rsidRDefault="00E53764"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Ultimately we do not consider that it is possible for us to properly asses</w:t>
      </w:r>
      <w:r w:rsidR="00611B57">
        <w:rPr>
          <w:rFonts w:ascii="Tahoma" w:hAnsi="Tahoma" w:cs="Tahoma"/>
          <w:sz w:val="22"/>
          <w:szCs w:val="22"/>
        </w:rPr>
        <w:t>s</w:t>
      </w:r>
      <w:r w:rsidRPr="006D427D">
        <w:rPr>
          <w:rFonts w:ascii="Tahoma" w:hAnsi="Tahoma" w:cs="Tahoma"/>
          <w:sz w:val="22"/>
          <w:szCs w:val="22"/>
        </w:rPr>
        <w:t xml:space="preserve"> the </w:t>
      </w:r>
      <w:r w:rsidR="001F2909" w:rsidRPr="006D427D">
        <w:rPr>
          <w:rFonts w:ascii="Tahoma" w:hAnsi="Tahoma" w:cs="Tahoma"/>
          <w:sz w:val="22"/>
          <w:szCs w:val="22"/>
        </w:rPr>
        <w:t>accuracy and reliability of th</w:t>
      </w:r>
      <w:r w:rsidR="00564378" w:rsidRPr="006D427D">
        <w:rPr>
          <w:rFonts w:ascii="Tahoma" w:hAnsi="Tahoma" w:cs="Tahoma"/>
          <w:sz w:val="22"/>
          <w:szCs w:val="22"/>
        </w:rPr>
        <w:t xml:space="preserve">is information in order to determine whether, on our independent assessment, the Kronic products for which interim approval was sought carry </w:t>
      </w:r>
      <w:r w:rsidR="004576FE" w:rsidRPr="006D427D">
        <w:rPr>
          <w:rFonts w:ascii="Tahoma" w:hAnsi="Tahoma" w:cs="Tahoma"/>
          <w:sz w:val="22"/>
          <w:szCs w:val="22"/>
        </w:rPr>
        <w:t xml:space="preserve">a low risk of harm to individuals.  </w:t>
      </w:r>
    </w:p>
    <w:p w14:paraId="63363408" w14:textId="77777777" w:rsidR="00CF50B3" w:rsidRPr="00CF50B3" w:rsidRDefault="00CF50B3" w:rsidP="00CF50B3">
      <w:pPr>
        <w:pStyle w:val="ListParagraph"/>
        <w:rPr>
          <w:rFonts w:ascii="Tahoma" w:hAnsi="Tahoma" w:cs="Tahoma"/>
          <w:sz w:val="22"/>
          <w:szCs w:val="22"/>
        </w:rPr>
      </w:pPr>
    </w:p>
    <w:p w14:paraId="0A932A3C" w14:textId="6F95F43A" w:rsidR="00E53764" w:rsidRPr="006D427D" w:rsidRDefault="004576FE"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w:t>
      </w:r>
      <w:r w:rsidR="001022A8">
        <w:rPr>
          <w:rFonts w:ascii="Tahoma" w:hAnsi="Tahoma" w:cs="Tahoma"/>
          <w:sz w:val="22"/>
          <w:szCs w:val="22"/>
        </w:rPr>
        <w:t>do not know how the NPC create</w:t>
      </w:r>
      <w:r w:rsidR="008B05B8" w:rsidRPr="006D427D">
        <w:rPr>
          <w:rFonts w:ascii="Tahoma" w:hAnsi="Tahoma" w:cs="Tahoma"/>
          <w:sz w:val="22"/>
          <w:szCs w:val="22"/>
        </w:rPr>
        <w:t xml:space="preserve"> their spreadsheet, the </w:t>
      </w:r>
      <w:r w:rsidR="00934FEA" w:rsidRPr="006D427D">
        <w:rPr>
          <w:rFonts w:ascii="Tahoma" w:hAnsi="Tahoma" w:cs="Tahoma"/>
          <w:sz w:val="22"/>
          <w:szCs w:val="22"/>
        </w:rPr>
        <w:t>training that its staff have</w:t>
      </w:r>
      <w:r w:rsidR="00CF50B3">
        <w:rPr>
          <w:rFonts w:ascii="Tahoma" w:hAnsi="Tahoma" w:cs="Tahoma"/>
          <w:sz w:val="22"/>
          <w:szCs w:val="22"/>
        </w:rPr>
        <w:t>,</w:t>
      </w:r>
      <w:r w:rsidR="00934FEA" w:rsidRPr="006D427D">
        <w:rPr>
          <w:rFonts w:ascii="Tahoma" w:hAnsi="Tahoma" w:cs="Tahoma"/>
          <w:sz w:val="22"/>
          <w:szCs w:val="22"/>
        </w:rPr>
        <w:t xml:space="preserve"> nor do we have access to recordings of the calls from which these records were made.</w:t>
      </w:r>
    </w:p>
    <w:p w14:paraId="4AC7FFDC" w14:textId="77777777" w:rsidR="00934FEA" w:rsidRPr="006D427D" w:rsidRDefault="00934FEA" w:rsidP="00934FEA">
      <w:pPr>
        <w:pStyle w:val="ListParagraph"/>
        <w:rPr>
          <w:rFonts w:ascii="Tahoma" w:hAnsi="Tahoma" w:cs="Tahoma"/>
          <w:sz w:val="22"/>
          <w:szCs w:val="22"/>
        </w:rPr>
      </w:pPr>
    </w:p>
    <w:p w14:paraId="75AF805F" w14:textId="05F322D9" w:rsidR="00934FEA" w:rsidRPr="006D427D" w:rsidRDefault="00934FEA"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Although generally, Ms Miller for the Authority submitted that the information was reliable, she could not provide further information underlying the processes </w:t>
      </w:r>
      <w:r w:rsidR="006C0DD8" w:rsidRPr="006D427D">
        <w:rPr>
          <w:rFonts w:ascii="Tahoma" w:hAnsi="Tahoma" w:cs="Tahoma"/>
          <w:sz w:val="22"/>
          <w:szCs w:val="22"/>
        </w:rPr>
        <w:t xml:space="preserve">employed by the NPC to ensure accuracy </w:t>
      </w:r>
      <w:r w:rsidR="009B2346" w:rsidRPr="006D427D">
        <w:rPr>
          <w:rFonts w:ascii="Tahoma" w:hAnsi="Tahoma" w:cs="Tahoma"/>
          <w:sz w:val="22"/>
          <w:szCs w:val="22"/>
        </w:rPr>
        <w:t>of its</w:t>
      </w:r>
      <w:r w:rsidR="0053298B" w:rsidRPr="006D427D">
        <w:rPr>
          <w:rFonts w:ascii="Tahoma" w:hAnsi="Tahoma" w:cs="Tahoma"/>
          <w:sz w:val="22"/>
          <w:szCs w:val="22"/>
        </w:rPr>
        <w:t xml:space="preserve"> </w:t>
      </w:r>
      <w:r w:rsidR="0053298B" w:rsidRPr="006D427D">
        <w:rPr>
          <w:rFonts w:ascii="Tahoma" w:hAnsi="Tahoma" w:cs="Tahoma"/>
          <w:sz w:val="22"/>
          <w:szCs w:val="22"/>
        </w:rPr>
        <w:lastRenderedPageBreak/>
        <w:t>data</w:t>
      </w:r>
      <w:r w:rsidR="001022A8">
        <w:rPr>
          <w:rFonts w:ascii="Tahoma" w:hAnsi="Tahoma" w:cs="Tahoma"/>
          <w:sz w:val="22"/>
          <w:szCs w:val="22"/>
        </w:rPr>
        <w:t>.  She did however indicate that this</w:t>
      </w:r>
      <w:r w:rsidR="00863D01" w:rsidRPr="006D427D">
        <w:rPr>
          <w:rFonts w:ascii="Tahoma" w:hAnsi="Tahoma" w:cs="Tahoma"/>
          <w:sz w:val="22"/>
          <w:szCs w:val="22"/>
        </w:rPr>
        <w:t xml:space="preserve"> </w:t>
      </w:r>
      <w:r w:rsidR="0067417B" w:rsidRPr="006D427D">
        <w:rPr>
          <w:rFonts w:ascii="Tahoma" w:hAnsi="Tahoma" w:cs="Tahoma"/>
          <w:sz w:val="22"/>
          <w:szCs w:val="22"/>
        </w:rPr>
        <w:t>information was available to the Authority.</w:t>
      </w:r>
    </w:p>
    <w:p w14:paraId="68DCBA77" w14:textId="77777777" w:rsidR="0067417B" w:rsidRPr="006D427D" w:rsidRDefault="0067417B" w:rsidP="0067417B">
      <w:pPr>
        <w:pStyle w:val="ListParagraph"/>
        <w:rPr>
          <w:rFonts w:ascii="Tahoma" w:hAnsi="Tahoma" w:cs="Tahoma"/>
          <w:sz w:val="22"/>
          <w:szCs w:val="22"/>
        </w:rPr>
      </w:pPr>
    </w:p>
    <w:p w14:paraId="76EA4E1B" w14:textId="77777777" w:rsidR="0067417B" w:rsidRPr="006D427D" w:rsidRDefault="0067417B"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Therefore in assessing </w:t>
      </w:r>
      <w:r w:rsidR="00747A15" w:rsidRPr="006D427D">
        <w:rPr>
          <w:rFonts w:ascii="Tahoma" w:hAnsi="Tahoma" w:cs="Tahoma"/>
          <w:sz w:val="22"/>
          <w:szCs w:val="22"/>
        </w:rPr>
        <w:t xml:space="preserve">the appellant’s </w:t>
      </w:r>
      <w:r w:rsidR="00893671" w:rsidRPr="006D427D">
        <w:rPr>
          <w:rFonts w:ascii="Tahoma" w:hAnsi="Tahoma" w:cs="Tahoma"/>
          <w:sz w:val="22"/>
          <w:szCs w:val="22"/>
        </w:rPr>
        <w:t xml:space="preserve">claims about the </w:t>
      </w:r>
      <w:r w:rsidR="005B3D1B" w:rsidRPr="006D427D">
        <w:rPr>
          <w:rFonts w:ascii="Tahoma" w:hAnsi="Tahoma" w:cs="Tahoma"/>
          <w:sz w:val="22"/>
          <w:szCs w:val="22"/>
        </w:rPr>
        <w:t xml:space="preserve">two adverse reports we are not presently in the best position to make that assessment independently.  </w:t>
      </w:r>
    </w:p>
    <w:p w14:paraId="15C34AB6" w14:textId="77777777" w:rsidR="00B14C9F" w:rsidRPr="006D427D" w:rsidRDefault="00B14C9F" w:rsidP="00B14C9F">
      <w:pPr>
        <w:pStyle w:val="ListParagraph"/>
        <w:rPr>
          <w:rFonts w:ascii="Tahoma" w:hAnsi="Tahoma" w:cs="Tahoma"/>
          <w:sz w:val="22"/>
          <w:szCs w:val="22"/>
        </w:rPr>
      </w:pPr>
    </w:p>
    <w:p w14:paraId="7BA91B86" w14:textId="5D0780DD" w:rsidR="001022A8" w:rsidRPr="00D82612" w:rsidRDefault="00B14C9F" w:rsidP="00D82612">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It is for these reasons, principally, </w:t>
      </w:r>
      <w:r w:rsidR="00627A02" w:rsidRPr="006D427D">
        <w:rPr>
          <w:rFonts w:ascii="Tahoma" w:hAnsi="Tahoma" w:cs="Tahoma"/>
          <w:sz w:val="22"/>
          <w:szCs w:val="22"/>
        </w:rPr>
        <w:t>that we determined to grant the appeal but we were not prepared to reverse the Authority’s decision declining interim approval, and substitute our own decision</w:t>
      </w:r>
      <w:r w:rsidR="004C7910" w:rsidRPr="006D427D">
        <w:rPr>
          <w:rFonts w:ascii="Tahoma" w:hAnsi="Tahoma" w:cs="Tahoma"/>
          <w:sz w:val="22"/>
          <w:szCs w:val="22"/>
        </w:rPr>
        <w:t xml:space="preserve">.  </w:t>
      </w:r>
      <w:r w:rsidR="003A49FD" w:rsidRPr="006D427D">
        <w:rPr>
          <w:rFonts w:ascii="Tahoma" w:hAnsi="Tahoma" w:cs="Tahoma"/>
          <w:sz w:val="22"/>
          <w:szCs w:val="22"/>
        </w:rPr>
        <w:t>R</w:t>
      </w:r>
      <w:r w:rsidR="007161F9" w:rsidRPr="006D427D">
        <w:rPr>
          <w:rFonts w:ascii="Tahoma" w:hAnsi="Tahoma" w:cs="Tahoma"/>
          <w:sz w:val="22"/>
          <w:szCs w:val="22"/>
        </w:rPr>
        <w:t>ather</w:t>
      </w:r>
      <w:r w:rsidR="003A49FD" w:rsidRPr="006D427D">
        <w:rPr>
          <w:rFonts w:ascii="Tahoma" w:hAnsi="Tahoma" w:cs="Tahoma"/>
          <w:sz w:val="22"/>
          <w:szCs w:val="22"/>
        </w:rPr>
        <w:t xml:space="preserve"> we proposed to direct the matter back to the Authority under </w:t>
      </w:r>
      <w:r w:rsidR="00156691" w:rsidRPr="006D427D">
        <w:rPr>
          <w:rFonts w:ascii="Tahoma" w:hAnsi="Tahoma" w:cs="Tahoma"/>
          <w:sz w:val="22"/>
          <w:szCs w:val="22"/>
        </w:rPr>
        <w:t xml:space="preserve">s46 of the Act so that </w:t>
      </w:r>
      <w:r w:rsidR="00077289" w:rsidRPr="006D427D">
        <w:rPr>
          <w:rFonts w:ascii="Tahoma" w:hAnsi="Tahoma" w:cs="Tahoma"/>
          <w:sz w:val="22"/>
          <w:szCs w:val="22"/>
        </w:rPr>
        <w:t>the Authority</w:t>
      </w:r>
      <w:r w:rsidR="001022A8">
        <w:rPr>
          <w:rFonts w:ascii="Tahoma" w:hAnsi="Tahoma" w:cs="Tahoma"/>
          <w:sz w:val="22"/>
          <w:szCs w:val="22"/>
        </w:rPr>
        <w:t xml:space="preserve"> could</w:t>
      </w:r>
      <w:r w:rsidR="00077289" w:rsidRPr="006D427D">
        <w:rPr>
          <w:rFonts w:ascii="Tahoma" w:hAnsi="Tahoma" w:cs="Tahoma"/>
          <w:sz w:val="22"/>
          <w:szCs w:val="22"/>
        </w:rPr>
        <w:t xml:space="preserve"> exchange further </w:t>
      </w:r>
      <w:r w:rsidR="00C17EAF" w:rsidRPr="006D427D">
        <w:rPr>
          <w:rFonts w:ascii="Tahoma" w:hAnsi="Tahoma" w:cs="Tahoma"/>
          <w:sz w:val="22"/>
          <w:szCs w:val="22"/>
        </w:rPr>
        <w:t xml:space="preserve">information </w:t>
      </w:r>
      <w:r w:rsidR="00D86196">
        <w:rPr>
          <w:rFonts w:ascii="Tahoma" w:hAnsi="Tahoma" w:cs="Tahoma"/>
          <w:sz w:val="22"/>
          <w:szCs w:val="22"/>
        </w:rPr>
        <w:t xml:space="preserve">with the appellant </w:t>
      </w:r>
      <w:r w:rsidR="00C17EAF" w:rsidRPr="006D427D">
        <w:rPr>
          <w:rFonts w:ascii="Tahoma" w:hAnsi="Tahoma" w:cs="Tahoma"/>
          <w:sz w:val="22"/>
          <w:szCs w:val="22"/>
        </w:rPr>
        <w:t>pertaining to the NPC data</w:t>
      </w:r>
      <w:r w:rsidR="00691EFC" w:rsidRPr="006D427D">
        <w:rPr>
          <w:rFonts w:ascii="Tahoma" w:hAnsi="Tahoma" w:cs="Tahoma"/>
          <w:sz w:val="22"/>
          <w:szCs w:val="22"/>
        </w:rPr>
        <w:t xml:space="preserve">, and in particular information about how the NPC centre gathers its data which could either support or refute the reliability of the information </w:t>
      </w:r>
      <w:r w:rsidR="000112EF" w:rsidRPr="006D427D">
        <w:rPr>
          <w:rFonts w:ascii="Tahoma" w:hAnsi="Tahoma" w:cs="Tahoma"/>
          <w:sz w:val="22"/>
          <w:szCs w:val="22"/>
        </w:rPr>
        <w:t>relied on.</w:t>
      </w:r>
    </w:p>
    <w:p w14:paraId="634B143B" w14:textId="77777777" w:rsidR="000112EF" w:rsidRPr="006D427D" w:rsidRDefault="000112EF" w:rsidP="000112EF">
      <w:pPr>
        <w:pStyle w:val="ListParagraph"/>
        <w:rPr>
          <w:rFonts w:ascii="Tahoma" w:hAnsi="Tahoma" w:cs="Tahoma"/>
          <w:sz w:val="22"/>
          <w:szCs w:val="22"/>
        </w:rPr>
      </w:pPr>
    </w:p>
    <w:p w14:paraId="52540E99" w14:textId="3B08CE84" w:rsidR="000112EF" w:rsidRPr="006D427D" w:rsidRDefault="000112EF"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making that decision, we </w:t>
      </w:r>
      <w:r w:rsidR="00B417F6" w:rsidRPr="006D427D">
        <w:rPr>
          <w:rFonts w:ascii="Tahoma" w:hAnsi="Tahoma" w:cs="Tahoma"/>
          <w:sz w:val="22"/>
          <w:szCs w:val="22"/>
        </w:rPr>
        <w:t>express no view whether, on the face of the NPC adverse reports</w:t>
      </w:r>
      <w:r w:rsidR="008D2568" w:rsidRPr="006D427D">
        <w:rPr>
          <w:rFonts w:ascii="Tahoma" w:hAnsi="Tahoma" w:cs="Tahoma"/>
          <w:sz w:val="22"/>
          <w:szCs w:val="22"/>
        </w:rPr>
        <w:t>, the decision of the Authority was correct or otherwise</w:t>
      </w:r>
      <w:r w:rsidR="00CF50B3">
        <w:rPr>
          <w:rFonts w:ascii="Tahoma" w:hAnsi="Tahoma" w:cs="Tahoma"/>
          <w:sz w:val="22"/>
          <w:szCs w:val="22"/>
        </w:rPr>
        <w:t xml:space="preserve">.  </w:t>
      </w:r>
      <w:r w:rsidR="00195BFF" w:rsidRPr="006D427D">
        <w:rPr>
          <w:rFonts w:ascii="Tahoma" w:hAnsi="Tahoma" w:cs="Tahoma"/>
          <w:sz w:val="22"/>
          <w:szCs w:val="22"/>
        </w:rPr>
        <w:t xml:space="preserve">Our decision </w:t>
      </w:r>
      <w:r w:rsidR="00A424F3" w:rsidRPr="006D427D">
        <w:rPr>
          <w:rFonts w:ascii="Tahoma" w:hAnsi="Tahoma" w:cs="Tahoma"/>
          <w:sz w:val="22"/>
          <w:szCs w:val="22"/>
        </w:rPr>
        <w:t xml:space="preserve">stems from </w:t>
      </w:r>
      <w:r w:rsidR="000C74FF" w:rsidRPr="006D427D">
        <w:rPr>
          <w:rFonts w:ascii="Tahoma" w:hAnsi="Tahoma" w:cs="Tahoma"/>
          <w:sz w:val="22"/>
          <w:szCs w:val="22"/>
        </w:rPr>
        <w:t xml:space="preserve">the absence of information available to us concerning NPC processes. </w:t>
      </w:r>
    </w:p>
    <w:p w14:paraId="7DC0F206" w14:textId="77777777" w:rsidR="000C74FF" w:rsidRPr="006D427D" w:rsidRDefault="000C74FF" w:rsidP="000C74FF">
      <w:pPr>
        <w:pStyle w:val="ListParagraph"/>
        <w:rPr>
          <w:rFonts w:ascii="Tahoma" w:hAnsi="Tahoma" w:cs="Tahoma"/>
          <w:sz w:val="22"/>
          <w:szCs w:val="22"/>
        </w:rPr>
      </w:pPr>
    </w:p>
    <w:p w14:paraId="6E11C657" w14:textId="703022B5" w:rsidR="000C74FF" w:rsidRPr="00611B57" w:rsidRDefault="000C74FF" w:rsidP="00CA4C8F">
      <w:pPr>
        <w:pStyle w:val="ListParagraph"/>
        <w:numPr>
          <w:ilvl w:val="0"/>
          <w:numId w:val="6"/>
        </w:numPr>
        <w:spacing w:line="360" w:lineRule="auto"/>
        <w:ind w:hanging="720"/>
        <w:jc w:val="both"/>
        <w:rPr>
          <w:rFonts w:ascii="Tahoma" w:hAnsi="Tahoma" w:cs="Tahoma"/>
          <w:sz w:val="22"/>
          <w:szCs w:val="22"/>
        </w:rPr>
      </w:pPr>
      <w:r w:rsidRPr="00611B57">
        <w:rPr>
          <w:rFonts w:ascii="Tahoma" w:hAnsi="Tahoma" w:cs="Tahoma"/>
          <w:sz w:val="22"/>
          <w:szCs w:val="22"/>
        </w:rPr>
        <w:t>However before concluding our decision</w:t>
      </w:r>
      <w:r w:rsidR="00F433FF" w:rsidRPr="00611B57">
        <w:rPr>
          <w:rFonts w:ascii="Tahoma" w:hAnsi="Tahoma" w:cs="Tahoma"/>
          <w:sz w:val="22"/>
          <w:szCs w:val="22"/>
        </w:rPr>
        <w:t xml:space="preserve">, we also make these observations </w:t>
      </w:r>
      <w:r w:rsidR="001022A8" w:rsidRPr="00611B57">
        <w:rPr>
          <w:rFonts w:ascii="Tahoma" w:hAnsi="Tahoma" w:cs="Tahoma"/>
          <w:sz w:val="22"/>
          <w:szCs w:val="22"/>
        </w:rPr>
        <w:t>as it would have been relevant to the direction we would have made in referring the decision back to the Regulatory Authority</w:t>
      </w:r>
      <w:r w:rsidR="00F433FF" w:rsidRPr="00611B57">
        <w:rPr>
          <w:rFonts w:ascii="Tahoma" w:hAnsi="Tahoma" w:cs="Tahoma"/>
          <w:sz w:val="22"/>
          <w:szCs w:val="22"/>
        </w:rPr>
        <w:t>.</w:t>
      </w:r>
    </w:p>
    <w:p w14:paraId="3AF2E2AE" w14:textId="77777777" w:rsidR="00F433FF" w:rsidRPr="006D427D" w:rsidRDefault="00F433FF" w:rsidP="00F433FF">
      <w:pPr>
        <w:pStyle w:val="ListParagraph"/>
        <w:rPr>
          <w:rFonts w:ascii="Tahoma" w:hAnsi="Tahoma" w:cs="Tahoma"/>
          <w:sz w:val="22"/>
          <w:szCs w:val="22"/>
        </w:rPr>
      </w:pPr>
    </w:p>
    <w:p w14:paraId="7E04748C" w14:textId="77777777" w:rsidR="00CF50B3" w:rsidRDefault="00F433FF"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appellant appeared to premise the appeal on the basis that if the Authority was unable </w:t>
      </w:r>
      <w:r w:rsidR="00A81928" w:rsidRPr="006D427D">
        <w:rPr>
          <w:rFonts w:ascii="Tahoma" w:hAnsi="Tahoma" w:cs="Tahoma"/>
          <w:sz w:val="22"/>
          <w:szCs w:val="22"/>
        </w:rPr>
        <w:t>to demonstrate that the product in question posed more than a</w:t>
      </w:r>
      <w:r w:rsidR="002C4F96" w:rsidRPr="006D427D">
        <w:rPr>
          <w:rFonts w:ascii="Tahoma" w:hAnsi="Tahoma" w:cs="Tahoma"/>
          <w:sz w:val="22"/>
          <w:szCs w:val="22"/>
        </w:rPr>
        <w:t xml:space="preserve"> low risk of harm to individuals, then the Authority was bound to grant </w:t>
      </w:r>
      <w:r w:rsidR="00CA4C8F" w:rsidRPr="006D427D">
        <w:rPr>
          <w:rFonts w:ascii="Tahoma" w:hAnsi="Tahoma" w:cs="Tahoma"/>
          <w:sz w:val="22"/>
          <w:szCs w:val="22"/>
        </w:rPr>
        <w:t xml:space="preserve">the approval.  </w:t>
      </w:r>
    </w:p>
    <w:p w14:paraId="45A79EC5" w14:textId="77777777" w:rsidR="00CF50B3" w:rsidRPr="00CF50B3" w:rsidRDefault="00CF50B3" w:rsidP="00CF50B3">
      <w:pPr>
        <w:pStyle w:val="ListParagraph"/>
        <w:rPr>
          <w:rFonts w:ascii="Tahoma" w:hAnsi="Tahoma" w:cs="Tahoma"/>
          <w:sz w:val="22"/>
          <w:szCs w:val="22"/>
        </w:rPr>
      </w:pPr>
    </w:p>
    <w:p w14:paraId="12EEF66B" w14:textId="248378E8" w:rsidR="00F433FF" w:rsidRPr="00CF50B3" w:rsidRDefault="00CA4C8F" w:rsidP="00CF50B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This submission focused on </w:t>
      </w:r>
      <w:r w:rsidR="005960DD" w:rsidRPr="006D427D">
        <w:rPr>
          <w:rFonts w:ascii="Tahoma" w:hAnsi="Tahoma" w:cs="Tahoma"/>
          <w:sz w:val="22"/>
          <w:szCs w:val="22"/>
        </w:rPr>
        <w:t>s37 which mandated the Authority to approve a psychoactive product as an approved product if it was satisfied that the degree of harm that the product poses to individuals using the product is no more t</w:t>
      </w:r>
      <w:r w:rsidR="00CF50B3">
        <w:rPr>
          <w:rFonts w:ascii="Tahoma" w:hAnsi="Tahoma" w:cs="Tahoma"/>
          <w:sz w:val="22"/>
          <w:szCs w:val="22"/>
        </w:rPr>
        <w:t xml:space="preserve">han a low harm of harm.  </w:t>
      </w:r>
      <w:r w:rsidR="00A61760" w:rsidRPr="00CF50B3">
        <w:rPr>
          <w:rFonts w:ascii="Tahoma" w:hAnsi="Tahoma" w:cs="Tahoma"/>
          <w:sz w:val="22"/>
          <w:szCs w:val="22"/>
        </w:rPr>
        <w:t>In the absence of information indicating it posed more than a low risk of harm</w:t>
      </w:r>
      <w:r w:rsidR="00BB7A99" w:rsidRPr="00CF50B3">
        <w:rPr>
          <w:rFonts w:ascii="Tahoma" w:hAnsi="Tahoma" w:cs="Tahoma"/>
          <w:sz w:val="22"/>
          <w:szCs w:val="22"/>
        </w:rPr>
        <w:t xml:space="preserve">, it necessarily followed that the product posed a risk </w:t>
      </w:r>
      <w:r w:rsidR="008F1949" w:rsidRPr="00CF50B3">
        <w:rPr>
          <w:rFonts w:ascii="Tahoma" w:hAnsi="Tahoma" w:cs="Tahoma"/>
          <w:sz w:val="22"/>
          <w:szCs w:val="22"/>
        </w:rPr>
        <w:t xml:space="preserve">that was low, the </w:t>
      </w:r>
      <w:r w:rsidR="004F3436" w:rsidRPr="00CF50B3">
        <w:rPr>
          <w:rFonts w:ascii="Tahoma" w:hAnsi="Tahoma" w:cs="Tahoma"/>
          <w:sz w:val="22"/>
          <w:szCs w:val="22"/>
        </w:rPr>
        <w:t xml:space="preserve">appellant submitted, and therefore approval had to follow. </w:t>
      </w:r>
    </w:p>
    <w:p w14:paraId="74702C1A" w14:textId="77777777" w:rsidR="004F3436" w:rsidRPr="006D427D" w:rsidRDefault="004F3436" w:rsidP="004F3436">
      <w:pPr>
        <w:pStyle w:val="ListParagraph"/>
        <w:rPr>
          <w:rFonts w:ascii="Tahoma" w:hAnsi="Tahoma" w:cs="Tahoma"/>
          <w:sz w:val="22"/>
          <w:szCs w:val="22"/>
        </w:rPr>
      </w:pPr>
    </w:p>
    <w:p w14:paraId="0E58DB5B" w14:textId="70EA20F3" w:rsidR="004F3436" w:rsidRPr="006D427D" w:rsidRDefault="004F3436" w:rsidP="00CA4C8F">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We do not </w:t>
      </w:r>
      <w:r w:rsidR="00D80EEE" w:rsidRPr="006D427D">
        <w:rPr>
          <w:rFonts w:ascii="Tahoma" w:hAnsi="Tahoma" w:cs="Tahoma"/>
          <w:sz w:val="22"/>
          <w:szCs w:val="22"/>
        </w:rPr>
        <w:t xml:space="preserve">necessarily agree with that analysis.  </w:t>
      </w:r>
      <w:r w:rsidR="005756A6" w:rsidRPr="006D427D">
        <w:rPr>
          <w:rFonts w:ascii="Tahoma" w:hAnsi="Tahoma" w:cs="Tahoma"/>
          <w:sz w:val="22"/>
          <w:szCs w:val="22"/>
        </w:rPr>
        <w:t>S</w:t>
      </w:r>
      <w:r w:rsidR="00CF50B3">
        <w:rPr>
          <w:rFonts w:ascii="Tahoma" w:hAnsi="Tahoma" w:cs="Tahoma"/>
          <w:sz w:val="22"/>
          <w:szCs w:val="22"/>
        </w:rPr>
        <w:t xml:space="preserve">ection </w:t>
      </w:r>
      <w:r w:rsidR="005756A6" w:rsidRPr="006D427D">
        <w:rPr>
          <w:rFonts w:ascii="Tahoma" w:hAnsi="Tahoma" w:cs="Tahoma"/>
          <w:sz w:val="22"/>
          <w:szCs w:val="22"/>
        </w:rPr>
        <w:t>4 of the Act, containing the principles that govern</w:t>
      </w:r>
      <w:r w:rsidR="00645677" w:rsidRPr="006D427D">
        <w:rPr>
          <w:rFonts w:ascii="Tahoma" w:hAnsi="Tahoma" w:cs="Tahoma"/>
          <w:sz w:val="22"/>
          <w:szCs w:val="22"/>
        </w:rPr>
        <w:t xml:space="preserve"> the exercise of all decision making powers confirms that:</w:t>
      </w:r>
    </w:p>
    <w:p w14:paraId="01E3F9EB" w14:textId="77777777" w:rsidR="00645677" w:rsidRPr="006D427D" w:rsidRDefault="00645677" w:rsidP="00645677">
      <w:pPr>
        <w:pStyle w:val="ListParagraph"/>
        <w:rPr>
          <w:rFonts w:ascii="Tahoma" w:hAnsi="Tahoma" w:cs="Tahoma"/>
          <w:sz w:val="22"/>
          <w:szCs w:val="22"/>
        </w:rPr>
      </w:pPr>
    </w:p>
    <w:p w14:paraId="21F76744" w14:textId="5D559563" w:rsidR="00645677" w:rsidRPr="00CF50B3" w:rsidRDefault="00CF50B3" w:rsidP="008F3764">
      <w:pPr>
        <w:pStyle w:val="ListParagraph"/>
        <w:spacing w:line="360" w:lineRule="auto"/>
        <w:ind w:left="2160" w:right="609" w:hanging="720"/>
        <w:jc w:val="both"/>
        <w:rPr>
          <w:rFonts w:ascii="Tahoma" w:hAnsi="Tahoma" w:cs="Tahoma"/>
          <w:sz w:val="18"/>
          <w:szCs w:val="18"/>
        </w:rPr>
      </w:pPr>
      <w:r>
        <w:rPr>
          <w:rFonts w:ascii="Tahoma" w:hAnsi="Tahoma" w:cs="Tahoma"/>
          <w:sz w:val="18"/>
          <w:szCs w:val="18"/>
        </w:rPr>
        <w:t>(c)</w:t>
      </w:r>
      <w:r>
        <w:rPr>
          <w:rFonts w:ascii="Tahoma" w:hAnsi="Tahoma" w:cs="Tahoma"/>
          <w:sz w:val="18"/>
          <w:szCs w:val="18"/>
        </w:rPr>
        <w:tab/>
        <w:t>A</w:t>
      </w:r>
      <w:r w:rsidR="00645677" w:rsidRPr="00CF50B3">
        <w:rPr>
          <w:rFonts w:ascii="Tahoma" w:hAnsi="Tahoma" w:cs="Tahoma"/>
          <w:sz w:val="18"/>
          <w:szCs w:val="18"/>
        </w:rPr>
        <w:t xml:space="preserve"> psychoactive product that poses </w:t>
      </w:r>
      <w:r w:rsidR="004B129B" w:rsidRPr="00CF50B3">
        <w:rPr>
          <w:rFonts w:ascii="Tahoma" w:hAnsi="Tahoma" w:cs="Tahoma"/>
          <w:sz w:val="18"/>
          <w:szCs w:val="18"/>
        </w:rPr>
        <w:t xml:space="preserve">no more than a low risk of harm to individuals who use the product should be approved; </w:t>
      </w:r>
    </w:p>
    <w:p w14:paraId="2B416CB4" w14:textId="77777777" w:rsidR="004B129B" w:rsidRPr="00CF50B3" w:rsidRDefault="004B129B" w:rsidP="008F3764">
      <w:pPr>
        <w:pStyle w:val="ListParagraph"/>
        <w:spacing w:line="360" w:lineRule="auto"/>
        <w:ind w:left="2160" w:right="609" w:hanging="720"/>
        <w:jc w:val="both"/>
        <w:rPr>
          <w:rFonts w:ascii="Tahoma" w:hAnsi="Tahoma" w:cs="Tahoma"/>
          <w:sz w:val="18"/>
          <w:szCs w:val="18"/>
        </w:rPr>
      </w:pPr>
    </w:p>
    <w:p w14:paraId="07F40D6F" w14:textId="167C0338" w:rsidR="004B129B" w:rsidRPr="00CF50B3" w:rsidRDefault="004B129B" w:rsidP="008F3764">
      <w:pPr>
        <w:pStyle w:val="ListParagraph"/>
        <w:spacing w:line="360" w:lineRule="auto"/>
        <w:ind w:left="2160" w:right="609" w:hanging="720"/>
        <w:jc w:val="both"/>
        <w:rPr>
          <w:rFonts w:ascii="Tahoma" w:hAnsi="Tahoma" w:cs="Tahoma"/>
          <w:sz w:val="18"/>
          <w:szCs w:val="18"/>
        </w:rPr>
      </w:pPr>
      <w:r w:rsidRPr="00CF50B3">
        <w:rPr>
          <w:rFonts w:ascii="Tahoma" w:hAnsi="Tahoma" w:cs="Tahoma"/>
          <w:sz w:val="18"/>
          <w:szCs w:val="18"/>
        </w:rPr>
        <w:t xml:space="preserve"> (d)</w:t>
      </w:r>
      <w:r w:rsidRPr="00CF50B3">
        <w:rPr>
          <w:rFonts w:ascii="Tahoma" w:hAnsi="Tahoma" w:cs="Tahoma"/>
          <w:sz w:val="18"/>
          <w:szCs w:val="18"/>
        </w:rPr>
        <w:tab/>
        <w:t xml:space="preserve">A psychoactive product that poses more than a low risk of harm to individuals who use the product should </w:t>
      </w:r>
      <w:r w:rsidR="00F771EA" w:rsidRPr="00CF50B3">
        <w:rPr>
          <w:rFonts w:ascii="Tahoma" w:hAnsi="Tahoma" w:cs="Tahoma"/>
          <w:sz w:val="18"/>
          <w:szCs w:val="18"/>
        </w:rPr>
        <w:t>be pro</w:t>
      </w:r>
      <w:r w:rsidR="00CF50B3" w:rsidRPr="00CF50B3">
        <w:rPr>
          <w:rFonts w:ascii="Tahoma" w:hAnsi="Tahoma" w:cs="Tahoma"/>
          <w:sz w:val="18"/>
          <w:szCs w:val="18"/>
        </w:rPr>
        <w:t>hibited.</w:t>
      </w:r>
    </w:p>
    <w:p w14:paraId="38B41F36" w14:textId="77777777" w:rsidR="008F3764" w:rsidRPr="006D427D" w:rsidRDefault="008F3764" w:rsidP="004B129B">
      <w:pPr>
        <w:pStyle w:val="ListParagraph"/>
        <w:spacing w:line="360" w:lineRule="auto"/>
        <w:ind w:left="2160" w:hanging="720"/>
        <w:jc w:val="both"/>
        <w:rPr>
          <w:rFonts w:ascii="Tahoma" w:hAnsi="Tahoma" w:cs="Tahoma"/>
          <w:sz w:val="22"/>
          <w:szCs w:val="22"/>
        </w:rPr>
      </w:pPr>
    </w:p>
    <w:p w14:paraId="711E23D2" w14:textId="1E1698AB" w:rsidR="001325D0" w:rsidRPr="006D427D" w:rsidRDefault="008F3764" w:rsidP="008F3764">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This tends to indicate that the decision maker, the Authority, </w:t>
      </w:r>
      <w:r w:rsidR="002A526E" w:rsidRPr="006D427D">
        <w:rPr>
          <w:rFonts w:ascii="Tahoma" w:hAnsi="Tahoma" w:cs="Tahoma"/>
          <w:sz w:val="22"/>
          <w:szCs w:val="22"/>
        </w:rPr>
        <w:t>must reach some certainty as t</w:t>
      </w:r>
      <w:r w:rsidRPr="006D427D">
        <w:rPr>
          <w:rFonts w:ascii="Tahoma" w:hAnsi="Tahoma" w:cs="Tahoma"/>
          <w:sz w:val="22"/>
          <w:szCs w:val="22"/>
        </w:rPr>
        <w:t>o</w:t>
      </w:r>
      <w:r w:rsidR="002A526E" w:rsidRPr="006D427D">
        <w:rPr>
          <w:rFonts w:ascii="Tahoma" w:hAnsi="Tahoma" w:cs="Tahoma"/>
          <w:sz w:val="22"/>
          <w:szCs w:val="22"/>
        </w:rPr>
        <w:t xml:space="preserve"> </w:t>
      </w:r>
      <w:r w:rsidRPr="006D427D">
        <w:rPr>
          <w:rFonts w:ascii="Tahoma" w:hAnsi="Tahoma" w:cs="Tahoma"/>
          <w:sz w:val="22"/>
          <w:szCs w:val="22"/>
        </w:rPr>
        <w:t xml:space="preserve">either </w:t>
      </w:r>
      <w:r w:rsidR="002A526E" w:rsidRPr="006D427D">
        <w:rPr>
          <w:rFonts w:ascii="Tahoma" w:hAnsi="Tahoma" w:cs="Tahoma"/>
          <w:sz w:val="22"/>
          <w:szCs w:val="22"/>
        </w:rPr>
        <w:t>of the two propositions reflected in the</w:t>
      </w:r>
      <w:r w:rsidR="004B1A71" w:rsidRPr="006D427D">
        <w:rPr>
          <w:rFonts w:ascii="Tahoma" w:hAnsi="Tahoma" w:cs="Tahoma"/>
          <w:sz w:val="22"/>
          <w:szCs w:val="22"/>
        </w:rPr>
        <w:t>se paragraphs</w:t>
      </w:r>
      <w:r w:rsidR="00CF50B3">
        <w:rPr>
          <w:rFonts w:ascii="Tahoma" w:hAnsi="Tahoma" w:cs="Tahoma"/>
          <w:sz w:val="22"/>
          <w:szCs w:val="22"/>
        </w:rPr>
        <w:t xml:space="preserve">.  </w:t>
      </w:r>
      <w:r w:rsidR="00711B10" w:rsidRPr="006D427D">
        <w:rPr>
          <w:rFonts w:ascii="Tahoma" w:hAnsi="Tahoma" w:cs="Tahoma"/>
          <w:sz w:val="22"/>
          <w:szCs w:val="22"/>
        </w:rPr>
        <w:t xml:space="preserve">To accord with the principles, the Authority must be satisfied that </w:t>
      </w:r>
      <w:r w:rsidR="00EC0AFA" w:rsidRPr="006D427D">
        <w:rPr>
          <w:rFonts w:ascii="Tahoma" w:hAnsi="Tahoma" w:cs="Tahoma"/>
          <w:sz w:val="22"/>
          <w:szCs w:val="22"/>
        </w:rPr>
        <w:t>a product either poses no more than a low risk of harm, or poses more t</w:t>
      </w:r>
      <w:r w:rsidR="00CF50B3">
        <w:rPr>
          <w:rFonts w:ascii="Tahoma" w:hAnsi="Tahoma" w:cs="Tahoma"/>
          <w:sz w:val="22"/>
          <w:szCs w:val="22"/>
        </w:rPr>
        <w:t>han a low risk of harm</w:t>
      </w:r>
      <w:r w:rsidR="00EC0AFA" w:rsidRPr="006D427D">
        <w:rPr>
          <w:rFonts w:ascii="Tahoma" w:hAnsi="Tahoma" w:cs="Tahoma"/>
          <w:sz w:val="22"/>
          <w:szCs w:val="22"/>
        </w:rPr>
        <w:t xml:space="preserve">.  </w:t>
      </w:r>
    </w:p>
    <w:p w14:paraId="2C511AE3" w14:textId="77777777" w:rsidR="00EC0AFA" w:rsidRPr="006D427D" w:rsidRDefault="00EC0AFA" w:rsidP="00EC0AFA">
      <w:pPr>
        <w:pStyle w:val="ListParagraph"/>
        <w:spacing w:line="360" w:lineRule="auto"/>
        <w:jc w:val="both"/>
        <w:rPr>
          <w:rFonts w:ascii="Tahoma" w:hAnsi="Tahoma" w:cs="Tahoma"/>
          <w:sz w:val="22"/>
          <w:szCs w:val="22"/>
        </w:rPr>
      </w:pPr>
    </w:p>
    <w:p w14:paraId="22BD714D" w14:textId="440DAF79" w:rsidR="00EC0AFA" w:rsidRPr="00CF50B3" w:rsidRDefault="00EC0AFA" w:rsidP="00CF50B3">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However, </w:t>
      </w:r>
      <w:r w:rsidR="00240666" w:rsidRPr="006D427D">
        <w:rPr>
          <w:rFonts w:ascii="Tahoma" w:hAnsi="Tahoma" w:cs="Tahoma"/>
          <w:sz w:val="22"/>
          <w:szCs w:val="22"/>
        </w:rPr>
        <w:t xml:space="preserve">in the interim regime and the data poor environment described by the </w:t>
      </w:r>
      <w:r w:rsidR="006D427D" w:rsidRPr="006D427D">
        <w:rPr>
          <w:rFonts w:ascii="Tahoma" w:hAnsi="Tahoma" w:cs="Tahoma"/>
          <w:sz w:val="22"/>
          <w:szCs w:val="22"/>
        </w:rPr>
        <w:t>Authority</w:t>
      </w:r>
      <w:r w:rsidR="00240666" w:rsidRPr="006D427D">
        <w:rPr>
          <w:rFonts w:ascii="Tahoma" w:hAnsi="Tahoma" w:cs="Tahoma"/>
          <w:sz w:val="22"/>
          <w:szCs w:val="22"/>
        </w:rPr>
        <w:t>, it is quite conceivable that the Authority could be left with uncertainty as to either of those proposition</w:t>
      </w:r>
      <w:r w:rsidR="00CF50B3">
        <w:rPr>
          <w:rFonts w:ascii="Tahoma" w:hAnsi="Tahoma" w:cs="Tahoma"/>
          <w:sz w:val="22"/>
          <w:szCs w:val="22"/>
        </w:rPr>
        <w:t xml:space="preserve">s.  </w:t>
      </w:r>
      <w:r w:rsidR="003E44F2" w:rsidRPr="00CF50B3">
        <w:rPr>
          <w:rFonts w:ascii="Tahoma" w:hAnsi="Tahoma" w:cs="Tahoma"/>
          <w:sz w:val="22"/>
          <w:szCs w:val="22"/>
        </w:rPr>
        <w:t xml:space="preserve">If the approval of a psychoactive product, such as the Kronic products, falls to a consideration of a handful of words entered in the NPC database, the Authority could find itself between paragraph (c) and (d) of </w:t>
      </w:r>
      <w:r w:rsidR="008963B5" w:rsidRPr="00CF50B3">
        <w:rPr>
          <w:rFonts w:ascii="Tahoma" w:hAnsi="Tahoma" w:cs="Tahoma"/>
          <w:sz w:val="22"/>
          <w:szCs w:val="22"/>
        </w:rPr>
        <w:t>s4.</w:t>
      </w:r>
    </w:p>
    <w:p w14:paraId="58B06C17" w14:textId="77777777" w:rsidR="008963B5" w:rsidRPr="006D427D" w:rsidRDefault="008963B5" w:rsidP="008963B5">
      <w:pPr>
        <w:pStyle w:val="ListParagraph"/>
        <w:rPr>
          <w:rFonts w:ascii="Tahoma" w:hAnsi="Tahoma" w:cs="Tahoma"/>
          <w:sz w:val="22"/>
          <w:szCs w:val="22"/>
        </w:rPr>
      </w:pPr>
    </w:p>
    <w:p w14:paraId="032FA0E3" w14:textId="478FECDB" w:rsidR="008963B5" w:rsidRPr="006D427D" w:rsidRDefault="008963B5" w:rsidP="003822A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The question </w:t>
      </w:r>
      <w:r w:rsidR="001E3414" w:rsidRPr="006D427D">
        <w:rPr>
          <w:rFonts w:ascii="Tahoma" w:hAnsi="Tahoma" w:cs="Tahoma"/>
          <w:sz w:val="22"/>
          <w:szCs w:val="22"/>
        </w:rPr>
        <w:t xml:space="preserve">then </w:t>
      </w:r>
      <w:r w:rsidR="00CF50B3">
        <w:rPr>
          <w:rFonts w:ascii="Tahoma" w:hAnsi="Tahoma" w:cs="Tahoma"/>
          <w:sz w:val="22"/>
          <w:szCs w:val="22"/>
        </w:rPr>
        <w:t>was</w:t>
      </w:r>
      <w:r w:rsidR="001E3414" w:rsidRPr="006D427D">
        <w:rPr>
          <w:rFonts w:ascii="Tahoma" w:hAnsi="Tahoma" w:cs="Tahoma"/>
          <w:sz w:val="22"/>
          <w:szCs w:val="22"/>
        </w:rPr>
        <w:t xml:space="preserve"> what the Authority </w:t>
      </w:r>
      <w:r w:rsidR="00CF50B3">
        <w:rPr>
          <w:rFonts w:ascii="Tahoma" w:hAnsi="Tahoma" w:cs="Tahoma"/>
          <w:sz w:val="22"/>
          <w:szCs w:val="22"/>
        </w:rPr>
        <w:t>was</w:t>
      </w:r>
      <w:r w:rsidR="001E3414" w:rsidRPr="006D427D">
        <w:rPr>
          <w:rFonts w:ascii="Tahoma" w:hAnsi="Tahoma" w:cs="Tahoma"/>
          <w:sz w:val="22"/>
          <w:szCs w:val="22"/>
        </w:rPr>
        <w:t xml:space="preserve"> to do</w:t>
      </w:r>
      <w:r w:rsidR="000A5A9A" w:rsidRPr="006D427D">
        <w:rPr>
          <w:rFonts w:ascii="Tahoma" w:hAnsi="Tahoma" w:cs="Tahoma"/>
          <w:sz w:val="22"/>
          <w:szCs w:val="22"/>
        </w:rPr>
        <w:t xml:space="preserve"> if, i</w:t>
      </w:r>
      <w:r w:rsidR="00CF50B3">
        <w:rPr>
          <w:rFonts w:ascii="Tahoma" w:hAnsi="Tahoma" w:cs="Tahoma"/>
          <w:sz w:val="22"/>
          <w:szCs w:val="22"/>
        </w:rPr>
        <w:t>n a data poor environment, it was</w:t>
      </w:r>
      <w:r w:rsidR="000A5A9A" w:rsidRPr="006D427D">
        <w:rPr>
          <w:rFonts w:ascii="Tahoma" w:hAnsi="Tahoma" w:cs="Tahoma"/>
          <w:sz w:val="22"/>
          <w:szCs w:val="22"/>
        </w:rPr>
        <w:t xml:space="preserve"> unable to </w:t>
      </w:r>
      <w:r w:rsidR="00CF50B3">
        <w:rPr>
          <w:rFonts w:ascii="Tahoma" w:hAnsi="Tahoma" w:cs="Tahoma"/>
          <w:sz w:val="22"/>
          <w:szCs w:val="22"/>
        </w:rPr>
        <w:t>reach a point where it could be</w:t>
      </w:r>
      <w:r w:rsidR="00D86196">
        <w:rPr>
          <w:rFonts w:ascii="Tahoma" w:hAnsi="Tahoma" w:cs="Tahoma"/>
          <w:sz w:val="22"/>
          <w:szCs w:val="22"/>
        </w:rPr>
        <w:t xml:space="preserve"> confident</w:t>
      </w:r>
      <w:r w:rsidR="00CF50B3">
        <w:rPr>
          <w:rFonts w:ascii="Tahoma" w:hAnsi="Tahoma" w:cs="Tahoma"/>
          <w:sz w:val="22"/>
          <w:szCs w:val="22"/>
        </w:rPr>
        <w:t xml:space="preserve"> either way.  The Act did</w:t>
      </w:r>
      <w:r w:rsidR="0094397F" w:rsidRPr="006D427D">
        <w:rPr>
          <w:rFonts w:ascii="Tahoma" w:hAnsi="Tahoma" w:cs="Tahoma"/>
          <w:sz w:val="22"/>
          <w:szCs w:val="22"/>
        </w:rPr>
        <w:t xml:space="preserve"> not explicitly address this middle ground which, in the </w:t>
      </w:r>
      <w:r w:rsidR="00CF50B3">
        <w:rPr>
          <w:rFonts w:ascii="Tahoma" w:hAnsi="Tahoma" w:cs="Tahoma"/>
          <w:sz w:val="22"/>
          <w:szCs w:val="22"/>
        </w:rPr>
        <w:t>interim regime had</w:t>
      </w:r>
      <w:r w:rsidR="00180169" w:rsidRPr="006D427D">
        <w:rPr>
          <w:rFonts w:ascii="Tahoma" w:hAnsi="Tahoma" w:cs="Tahoma"/>
          <w:sz w:val="22"/>
          <w:szCs w:val="22"/>
        </w:rPr>
        <w:t xml:space="preserve"> become manifestly problematic</w:t>
      </w:r>
      <w:r w:rsidR="00C1255F" w:rsidRPr="006D427D">
        <w:rPr>
          <w:rFonts w:ascii="Tahoma" w:hAnsi="Tahoma" w:cs="Tahoma"/>
          <w:sz w:val="22"/>
          <w:szCs w:val="22"/>
        </w:rPr>
        <w:t xml:space="preserve">.  </w:t>
      </w:r>
    </w:p>
    <w:p w14:paraId="553BDD42" w14:textId="77777777" w:rsidR="00C1255F" w:rsidRPr="006D427D" w:rsidRDefault="00C1255F" w:rsidP="00C1255F">
      <w:pPr>
        <w:pStyle w:val="ListParagraph"/>
        <w:rPr>
          <w:rFonts w:ascii="Tahoma" w:hAnsi="Tahoma" w:cs="Tahoma"/>
          <w:sz w:val="22"/>
          <w:szCs w:val="22"/>
        </w:rPr>
      </w:pPr>
    </w:p>
    <w:p w14:paraId="74A4210A" w14:textId="69081149" w:rsidR="00C1255F" w:rsidRDefault="00C1255F" w:rsidP="003822A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While ultimately the appellant’s contention that the two NPC reports carry no probative </w:t>
      </w:r>
      <w:r w:rsidR="005578DA" w:rsidRPr="006D427D">
        <w:rPr>
          <w:rFonts w:ascii="Tahoma" w:hAnsi="Tahoma" w:cs="Tahoma"/>
          <w:sz w:val="22"/>
          <w:szCs w:val="22"/>
        </w:rPr>
        <w:t>value might be correct</w:t>
      </w:r>
      <w:r w:rsidR="00810A62" w:rsidRPr="006D427D">
        <w:rPr>
          <w:rFonts w:ascii="Tahoma" w:hAnsi="Tahoma" w:cs="Tahoma"/>
          <w:sz w:val="22"/>
          <w:szCs w:val="22"/>
        </w:rPr>
        <w:t xml:space="preserve">, that may not inevitably lead </w:t>
      </w:r>
      <w:r w:rsidR="002559E0" w:rsidRPr="006D427D">
        <w:rPr>
          <w:rFonts w:ascii="Tahoma" w:hAnsi="Tahoma" w:cs="Tahoma"/>
          <w:sz w:val="22"/>
          <w:szCs w:val="22"/>
        </w:rPr>
        <w:t>to a conclusion that the s37/s4 tests are satisfied.</w:t>
      </w:r>
      <w:r w:rsidR="001022A8">
        <w:rPr>
          <w:rFonts w:ascii="Tahoma" w:hAnsi="Tahoma" w:cs="Tahoma"/>
          <w:sz w:val="22"/>
          <w:szCs w:val="22"/>
        </w:rPr>
        <w:t xml:space="preserve">  When we consider the particular circumstances of the Kronic applications this issue is all the more apparent.</w:t>
      </w:r>
      <w:r w:rsidR="002559E0" w:rsidRPr="006D427D">
        <w:rPr>
          <w:rFonts w:ascii="Tahoma" w:hAnsi="Tahoma" w:cs="Tahoma"/>
          <w:sz w:val="22"/>
          <w:szCs w:val="22"/>
        </w:rPr>
        <w:t xml:space="preserve"> </w:t>
      </w:r>
    </w:p>
    <w:p w14:paraId="3E4E7F7A" w14:textId="77777777" w:rsidR="007E0D44" w:rsidRPr="007E0D44" w:rsidRDefault="007E0D44" w:rsidP="007E0D44">
      <w:pPr>
        <w:pStyle w:val="ListParagraph"/>
        <w:rPr>
          <w:rFonts w:ascii="Tahoma" w:hAnsi="Tahoma" w:cs="Tahoma"/>
          <w:sz w:val="22"/>
          <w:szCs w:val="22"/>
        </w:rPr>
      </w:pPr>
    </w:p>
    <w:p w14:paraId="48CB6780" w14:textId="77777777" w:rsidR="007E0D44" w:rsidRDefault="007E0D44" w:rsidP="007E0D44">
      <w:pPr>
        <w:pStyle w:val="ListParagraph"/>
        <w:spacing w:line="360" w:lineRule="auto"/>
        <w:jc w:val="both"/>
        <w:rPr>
          <w:rFonts w:ascii="Tahoma" w:hAnsi="Tahoma" w:cs="Tahoma"/>
          <w:sz w:val="22"/>
          <w:szCs w:val="22"/>
        </w:rPr>
      </w:pPr>
    </w:p>
    <w:p w14:paraId="5BBE0142" w14:textId="77777777" w:rsidR="007E0D44" w:rsidRPr="006D427D" w:rsidRDefault="007E0D44" w:rsidP="007E0D44">
      <w:pPr>
        <w:pStyle w:val="ListParagraph"/>
        <w:spacing w:line="360" w:lineRule="auto"/>
        <w:jc w:val="both"/>
        <w:rPr>
          <w:rFonts w:ascii="Tahoma" w:hAnsi="Tahoma" w:cs="Tahoma"/>
          <w:sz w:val="22"/>
          <w:szCs w:val="22"/>
        </w:rPr>
      </w:pPr>
    </w:p>
    <w:p w14:paraId="57947B56" w14:textId="77777777" w:rsidR="002E5825" w:rsidRPr="006D427D" w:rsidRDefault="002E5825" w:rsidP="002E5825">
      <w:pPr>
        <w:pStyle w:val="ListParagraph"/>
        <w:rPr>
          <w:rFonts w:ascii="Tahoma" w:hAnsi="Tahoma" w:cs="Tahoma"/>
          <w:sz w:val="22"/>
          <w:szCs w:val="22"/>
        </w:rPr>
      </w:pPr>
    </w:p>
    <w:p w14:paraId="764C7213" w14:textId="366AE7CD" w:rsidR="002E5825" w:rsidRDefault="002E5825" w:rsidP="00BA5CD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The appellant reformulated the Kronic products in April 2014</w:t>
      </w:r>
      <w:r w:rsidR="001022A8">
        <w:rPr>
          <w:rFonts w:ascii="Tahoma" w:hAnsi="Tahoma" w:cs="Tahoma"/>
          <w:sz w:val="22"/>
          <w:szCs w:val="22"/>
        </w:rPr>
        <w:t xml:space="preserve"> because,</w:t>
      </w:r>
      <w:r w:rsidRPr="006D427D">
        <w:rPr>
          <w:rFonts w:ascii="Tahoma" w:hAnsi="Tahoma" w:cs="Tahoma"/>
          <w:sz w:val="22"/>
          <w:szCs w:val="22"/>
        </w:rPr>
        <w:t xml:space="preserve"> we understand</w:t>
      </w:r>
      <w:r w:rsidR="001022A8">
        <w:rPr>
          <w:rFonts w:ascii="Tahoma" w:hAnsi="Tahoma" w:cs="Tahoma"/>
          <w:sz w:val="22"/>
          <w:szCs w:val="22"/>
        </w:rPr>
        <w:t>,</w:t>
      </w:r>
      <w:r w:rsidRPr="006D427D">
        <w:rPr>
          <w:rFonts w:ascii="Tahoma" w:hAnsi="Tahoma" w:cs="Tahoma"/>
          <w:sz w:val="22"/>
          <w:szCs w:val="22"/>
        </w:rPr>
        <w:t xml:space="preserve"> </w:t>
      </w:r>
      <w:r w:rsidR="00E93D02" w:rsidRPr="006D427D">
        <w:rPr>
          <w:rFonts w:ascii="Tahoma" w:hAnsi="Tahoma" w:cs="Tahoma"/>
          <w:sz w:val="22"/>
          <w:szCs w:val="22"/>
        </w:rPr>
        <w:t>it anticipated</w:t>
      </w:r>
      <w:r w:rsidR="00D96DD8" w:rsidRPr="006D427D">
        <w:rPr>
          <w:rFonts w:ascii="Tahoma" w:hAnsi="Tahoma" w:cs="Tahoma"/>
          <w:sz w:val="22"/>
          <w:szCs w:val="22"/>
        </w:rPr>
        <w:t xml:space="preserve"> that its earlier formulations were unlikely to meet the criteria </w:t>
      </w:r>
      <w:r w:rsidR="00CF50B3">
        <w:rPr>
          <w:rFonts w:ascii="Tahoma" w:hAnsi="Tahoma" w:cs="Tahoma"/>
          <w:sz w:val="22"/>
          <w:szCs w:val="22"/>
        </w:rPr>
        <w:t xml:space="preserve">for approval.  </w:t>
      </w:r>
      <w:r w:rsidR="00A17D6C" w:rsidRPr="006D427D">
        <w:rPr>
          <w:rFonts w:ascii="Tahoma" w:hAnsi="Tahoma" w:cs="Tahoma"/>
          <w:sz w:val="22"/>
          <w:szCs w:val="22"/>
        </w:rPr>
        <w:t>Therefore on the most generous assessment available to the appellant it satisfied the criteria</w:t>
      </w:r>
      <w:r w:rsidR="001A4433" w:rsidRPr="006D427D">
        <w:rPr>
          <w:rFonts w:ascii="Tahoma" w:hAnsi="Tahoma" w:cs="Tahoma"/>
          <w:sz w:val="22"/>
          <w:szCs w:val="22"/>
        </w:rPr>
        <w:t xml:space="preserve"> of Schedule 1</w:t>
      </w:r>
      <w:r w:rsidR="00D86196">
        <w:rPr>
          <w:rFonts w:ascii="Tahoma" w:hAnsi="Tahoma" w:cs="Tahoma"/>
          <w:sz w:val="22"/>
          <w:szCs w:val="22"/>
        </w:rPr>
        <w:t>; namely</w:t>
      </w:r>
      <w:r w:rsidR="001A4433" w:rsidRPr="006D427D">
        <w:rPr>
          <w:rFonts w:ascii="Tahoma" w:hAnsi="Tahoma" w:cs="Tahoma"/>
          <w:sz w:val="22"/>
          <w:szCs w:val="22"/>
        </w:rPr>
        <w:t xml:space="preserve"> that the products had been sold for three months prior to the Act </w:t>
      </w:r>
      <w:r w:rsidR="00CD034E" w:rsidRPr="006D427D">
        <w:rPr>
          <w:rFonts w:ascii="Tahoma" w:hAnsi="Tahoma" w:cs="Tahoma"/>
          <w:sz w:val="22"/>
          <w:szCs w:val="22"/>
        </w:rPr>
        <w:t>coming into force, this being a prerequisite</w:t>
      </w:r>
      <w:r w:rsidR="00FE2E22" w:rsidRPr="006D427D">
        <w:rPr>
          <w:rFonts w:ascii="Tahoma" w:hAnsi="Tahoma" w:cs="Tahoma"/>
          <w:sz w:val="22"/>
          <w:szCs w:val="22"/>
        </w:rPr>
        <w:t xml:space="preserve"> for applications for interim app</w:t>
      </w:r>
      <w:r w:rsidR="00CF50B3">
        <w:rPr>
          <w:rFonts w:ascii="Tahoma" w:hAnsi="Tahoma" w:cs="Tahoma"/>
          <w:sz w:val="22"/>
          <w:szCs w:val="22"/>
        </w:rPr>
        <w:t xml:space="preserve">roval under the interim regime.  </w:t>
      </w:r>
      <w:r w:rsidR="00FE2E22" w:rsidRPr="006D427D">
        <w:rPr>
          <w:rFonts w:ascii="Tahoma" w:hAnsi="Tahoma" w:cs="Tahoma"/>
          <w:sz w:val="22"/>
          <w:szCs w:val="22"/>
        </w:rPr>
        <w:t xml:space="preserve">But that meant that the product had only been exposed to the population for </w:t>
      </w:r>
      <w:r w:rsidR="00F7766E" w:rsidRPr="006D427D">
        <w:rPr>
          <w:rFonts w:ascii="Tahoma" w:hAnsi="Tahoma" w:cs="Tahoma"/>
          <w:sz w:val="22"/>
          <w:szCs w:val="22"/>
        </w:rPr>
        <w:t xml:space="preserve">a period of </w:t>
      </w:r>
      <w:r w:rsidR="007E0D44">
        <w:rPr>
          <w:rFonts w:ascii="Tahoma" w:hAnsi="Tahoma" w:cs="Tahoma"/>
          <w:sz w:val="22"/>
          <w:szCs w:val="22"/>
        </w:rPr>
        <w:t>a few months</w:t>
      </w:r>
      <w:r w:rsidR="00F7766E" w:rsidRPr="006D427D">
        <w:rPr>
          <w:rFonts w:ascii="Tahoma" w:hAnsi="Tahoma" w:cs="Tahoma"/>
          <w:sz w:val="22"/>
          <w:szCs w:val="22"/>
        </w:rPr>
        <w:t>.</w:t>
      </w:r>
    </w:p>
    <w:p w14:paraId="2BE32075" w14:textId="77777777" w:rsidR="00352F6F" w:rsidRPr="00352F6F" w:rsidRDefault="00352F6F" w:rsidP="00352F6F">
      <w:pPr>
        <w:pStyle w:val="ListParagraph"/>
        <w:rPr>
          <w:rFonts w:ascii="Tahoma" w:hAnsi="Tahoma" w:cs="Tahoma"/>
          <w:sz w:val="22"/>
          <w:szCs w:val="22"/>
        </w:rPr>
      </w:pPr>
    </w:p>
    <w:p w14:paraId="17BF0150" w14:textId="66828934" w:rsidR="00352F6F" w:rsidRPr="006B18CE" w:rsidRDefault="00352F6F" w:rsidP="00BA5CDD">
      <w:pPr>
        <w:pStyle w:val="ListParagraph"/>
        <w:numPr>
          <w:ilvl w:val="0"/>
          <w:numId w:val="6"/>
        </w:numPr>
        <w:spacing w:line="360" w:lineRule="auto"/>
        <w:ind w:hanging="720"/>
        <w:jc w:val="both"/>
        <w:rPr>
          <w:rFonts w:ascii="Tahoma" w:hAnsi="Tahoma" w:cs="Tahoma"/>
          <w:sz w:val="22"/>
          <w:szCs w:val="22"/>
        </w:rPr>
      </w:pPr>
      <w:r w:rsidRPr="006B18CE">
        <w:rPr>
          <w:rFonts w:ascii="Tahoma" w:hAnsi="Tahoma" w:cs="Tahoma"/>
          <w:sz w:val="22"/>
          <w:szCs w:val="22"/>
        </w:rPr>
        <w:t xml:space="preserve">In this regard we record that </w:t>
      </w:r>
      <w:r w:rsidR="001022A8" w:rsidRPr="006B18CE">
        <w:rPr>
          <w:rFonts w:ascii="Tahoma" w:hAnsi="Tahoma" w:cs="Tahoma"/>
          <w:sz w:val="22"/>
          <w:szCs w:val="22"/>
        </w:rPr>
        <w:t>t</w:t>
      </w:r>
      <w:r w:rsidRPr="006B18CE">
        <w:rPr>
          <w:rFonts w:ascii="Tahoma" w:hAnsi="Tahoma" w:cs="Tahoma"/>
          <w:sz w:val="22"/>
          <w:szCs w:val="22"/>
        </w:rPr>
        <w:t>he Regulatory Authority’s own methodology required it to consider sales data, which would</w:t>
      </w:r>
      <w:r w:rsidR="001022A8" w:rsidRPr="006B18CE">
        <w:rPr>
          <w:rFonts w:ascii="Tahoma" w:hAnsi="Tahoma" w:cs="Tahoma"/>
          <w:sz w:val="22"/>
          <w:szCs w:val="22"/>
        </w:rPr>
        <w:t xml:space="preserve"> include</w:t>
      </w:r>
      <w:r w:rsidRPr="006B18CE">
        <w:rPr>
          <w:rFonts w:ascii="Tahoma" w:hAnsi="Tahoma" w:cs="Tahoma"/>
          <w:sz w:val="22"/>
          <w:szCs w:val="22"/>
        </w:rPr>
        <w:t xml:space="preserve"> sales volume.  </w:t>
      </w:r>
      <w:r w:rsidR="00A83028">
        <w:rPr>
          <w:rFonts w:ascii="Tahoma" w:hAnsi="Tahoma" w:cs="Tahoma"/>
          <w:sz w:val="22"/>
          <w:szCs w:val="22"/>
        </w:rPr>
        <w:t xml:space="preserve">A </w:t>
      </w:r>
      <w:r w:rsidRPr="006B18CE">
        <w:rPr>
          <w:rFonts w:ascii="Tahoma" w:hAnsi="Tahoma" w:cs="Tahoma"/>
          <w:sz w:val="22"/>
          <w:szCs w:val="22"/>
        </w:rPr>
        <w:t>corollary of the way in which this appeal occurred was that the sales volume data</w:t>
      </w:r>
      <w:r w:rsidR="00796609">
        <w:rPr>
          <w:rFonts w:ascii="Tahoma" w:hAnsi="Tahoma" w:cs="Tahoma"/>
          <w:sz w:val="22"/>
          <w:szCs w:val="22"/>
        </w:rPr>
        <w:t xml:space="preserve"> and customer survey</w:t>
      </w:r>
      <w:r w:rsidRPr="006B18CE">
        <w:rPr>
          <w:rFonts w:ascii="Tahoma" w:hAnsi="Tahoma" w:cs="Tahoma"/>
          <w:sz w:val="22"/>
          <w:szCs w:val="22"/>
        </w:rPr>
        <w:t xml:space="preserve"> provided to us was not availa</w:t>
      </w:r>
      <w:r w:rsidR="001022A8" w:rsidRPr="006B18CE">
        <w:rPr>
          <w:rFonts w:ascii="Tahoma" w:hAnsi="Tahoma" w:cs="Tahoma"/>
          <w:sz w:val="22"/>
          <w:szCs w:val="22"/>
        </w:rPr>
        <w:t>ble to the Regulatory Authority at the time it made its initial decision.</w:t>
      </w:r>
    </w:p>
    <w:p w14:paraId="6DC128F4" w14:textId="77777777" w:rsidR="00F7766E" w:rsidRPr="006D427D" w:rsidRDefault="00F7766E" w:rsidP="00F7766E">
      <w:pPr>
        <w:pStyle w:val="ListParagraph"/>
        <w:rPr>
          <w:rFonts w:ascii="Tahoma" w:hAnsi="Tahoma" w:cs="Tahoma"/>
          <w:sz w:val="22"/>
          <w:szCs w:val="22"/>
        </w:rPr>
      </w:pPr>
    </w:p>
    <w:p w14:paraId="264D01C4" w14:textId="38D686F4" w:rsidR="00F7766E" w:rsidRPr="006D427D" w:rsidRDefault="00D715FE" w:rsidP="00BA5CD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Even</w:t>
      </w:r>
      <w:r w:rsidR="00C5155B">
        <w:rPr>
          <w:rFonts w:ascii="Tahoma" w:hAnsi="Tahoma" w:cs="Tahoma"/>
          <w:sz w:val="22"/>
          <w:szCs w:val="22"/>
        </w:rPr>
        <w:t xml:space="preserve"> with minimal information concerning</w:t>
      </w:r>
      <w:r w:rsidR="00690687" w:rsidRPr="006D427D">
        <w:rPr>
          <w:rFonts w:ascii="Tahoma" w:hAnsi="Tahoma" w:cs="Tahoma"/>
          <w:sz w:val="22"/>
          <w:szCs w:val="22"/>
        </w:rPr>
        <w:t xml:space="preserve"> adverse effects</w:t>
      </w:r>
      <w:r w:rsidR="00352F6F">
        <w:rPr>
          <w:rFonts w:ascii="Tahoma" w:hAnsi="Tahoma" w:cs="Tahoma"/>
          <w:sz w:val="22"/>
          <w:szCs w:val="22"/>
        </w:rPr>
        <w:t xml:space="preserve"> the question</w:t>
      </w:r>
      <w:r w:rsidR="00D86196">
        <w:rPr>
          <w:rFonts w:ascii="Tahoma" w:hAnsi="Tahoma" w:cs="Tahoma"/>
          <w:sz w:val="22"/>
          <w:szCs w:val="22"/>
        </w:rPr>
        <w:t xml:space="preserve"> is whether</w:t>
      </w:r>
      <w:r w:rsidR="003B38D3" w:rsidRPr="006D427D">
        <w:rPr>
          <w:rFonts w:ascii="Tahoma" w:hAnsi="Tahoma" w:cs="Tahoma"/>
          <w:sz w:val="22"/>
          <w:szCs w:val="22"/>
        </w:rPr>
        <w:t xml:space="preserve"> </w:t>
      </w:r>
      <w:r w:rsidR="00690687" w:rsidRPr="006D427D">
        <w:rPr>
          <w:rFonts w:ascii="Tahoma" w:hAnsi="Tahoma" w:cs="Tahoma"/>
          <w:sz w:val="22"/>
          <w:szCs w:val="22"/>
        </w:rPr>
        <w:t>this period of exposure</w:t>
      </w:r>
      <w:r w:rsidR="00C5155B">
        <w:rPr>
          <w:rFonts w:ascii="Tahoma" w:hAnsi="Tahoma" w:cs="Tahoma"/>
          <w:sz w:val="22"/>
          <w:szCs w:val="22"/>
        </w:rPr>
        <w:t xml:space="preserve"> would</w:t>
      </w:r>
      <w:r w:rsidR="00690687" w:rsidRPr="006D427D">
        <w:rPr>
          <w:rFonts w:ascii="Tahoma" w:hAnsi="Tahoma" w:cs="Tahoma"/>
          <w:sz w:val="22"/>
          <w:szCs w:val="22"/>
        </w:rPr>
        <w:t xml:space="preserve"> </w:t>
      </w:r>
      <w:r w:rsidR="003B38D3" w:rsidRPr="006D427D">
        <w:rPr>
          <w:rFonts w:ascii="Tahoma" w:hAnsi="Tahoma" w:cs="Tahoma"/>
          <w:sz w:val="22"/>
          <w:szCs w:val="22"/>
        </w:rPr>
        <w:t xml:space="preserve">be sufficient to establish that </w:t>
      </w:r>
      <w:r w:rsidR="001C6A0F" w:rsidRPr="006D427D">
        <w:rPr>
          <w:rFonts w:ascii="Tahoma" w:hAnsi="Tahoma" w:cs="Tahoma"/>
          <w:sz w:val="22"/>
          <w:szCs w:val="22"/>
        </w:rPr>
        <w:t>the product posed no more than a low risk of harm</w:t>
      </w:r>
      <w:r w:rsidR="00C911FF" w:rsidRPr="006D427D">
        <w:rPr>
          <w:rFonts w:ascii="Tahoma" w:hAnsi="Tahoma" w:cs="Tahoma"/>
          <w:sz w:val="22"/>
          <w:szCs w:val="22"/>
        </w:rPr>
        <w:t xml:space="preserve">.  </w:t>
      </w:r>
    </w:p>
    <w:p w14:paraId="7349900C" w14:textId="77777777" w:rsidR="00C911FF" w:rsidRPr="006D427D" w:rsidRDefault="00C911FF" w:rsidP="00C911FF">
      <w:pPr>
        <w:pStyle w:val="ListParagraph"/>
        <w:rPr>
          <w:rFonts w:ascii="Tahoma" w:hAnsi="Tahoma" w:cs="Tahoma"/>
          <w:sz w:val="22"/>
          <w:szCs w:val="22"/>
        </w:rPr>
      </w:pPr>
    </w:p>
    <w:p w14:paraId="22763D3D" w14:textId="77777777" w:rsidR="00D86196" w:rsidRDefault="00C911FF" w:rsidP="00BA5CD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In our view, the absence of data indicating adverse effects equates to the absence of any evidence </w:t>
      </w:r>
      <w:r w:rsidR="000110F0" w:rsidRPr="006D427D">
        <w:rPr>
          <w:rFonts w:ascii="Tahoma" w:hAnsi="Tahoma" w:cs="Tahoma"/>
          <w:sz w:val="22"/>
          <w:szCs w:val="22"/>
        </w:rPr>
        <w:t>about the risk of the product</w:t>
      </w:r>
      <w:r w:rsidR="00D86196">
        <w:rPr>
          <w:rFonts w:ascii="Tahoma" w:hAnsi="Tahoma" w:cs="Tahoma"/>
          <w:sz w:val="22"/>
          <w:szCs w:val="22"/>
        </w:rPr>
        <w:t>,</w:t>
      </w:r>
      <w:r w:rsidR="000110F0" w:rsidRPr="006D427D">
        <w:rPr>
          <w:rFonts w:ascii="Tahoma" w:hAnsi="Tahoma" w:cs="Tahoma"/>
          <w:sz w:val="22"/>
          <w:szCs w:val="22"/>
        </w:rPr>
        <w:t xml:space="preserve"> low or otherwise.  Prima facie the absence of evidence proves nothing.  </w:t>
      </w:r>
    </w:p>
    <w:p w14:paraId="11C8463F" w14:textId="77777777" w:rsidR="00D86196" w:rsidRPr="00D86196" w:rsidRDefault="00D86196" w:rsidP="00D86196">
      <w:pPr>
        <w:pStyle w:val="ListParagraph"/>
        <w:rPr>
          <w:rFonts w:ascii="Tahoma" w:hAnsi="Tahoma" w:cs="Tahoma"/>
          <w:sz w:val="22"/>
          <w:szCs w:val="22"/>
        </w:rPr>
      </w:pPr>
    </w:p>
    <w:p w14:paraId="61956368" w14:textId="21F5DFF1" w:rsidR="004C1C01" w:rsidRPr="00C5155B" w:rsidRDefault="000110F0" w:rsidP="004C1C01">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If it could be demonstrated that a psychoactive product had been sold and used many times, and by a wide variety of consumers</w:t>
      </w:r>
      <w:r w:rsidR="00A70960" w:rsidRPr="006D427D">
        <w:rPr>
          <w:rFonts w:ascii="Tahoma" w:hAnsi="Tahoma" w:cs="Tahoma"/>
          <w:sz w:val="22"/>
          <w:szCs w:val="22"/>
        </w:rPr>
        <w:t xml:space="preserve">, and that none suffered adverse effects then possibly </w:t>
      </w:r>
      <w:r w:rsidR="000F1E76" w:rsidRPr="006D427D">
        <w:rPr>
          <w:rFonts w:ascii="Tahoma" w:hAnsi="Tahoma" w:cs="Tahoma"/>
          <w:sz w:val="22"/>
          <w:szCs w:val="22"/>
        </w:rPr>
        <w:t>the combination of these facts could point to a low risk of harm</w:t>
      </w:r>
      <w:r w:rsidR="007A72DE" w:rsidRPr="006D427D">
        <w:rPr>
          <w:rFonts w:ascii="Tahoma" w:hAnsi="Tahoma" w:cs="Tahoma"/>
          <w:sz w:val="22"/>
          <w:szCs w:val="22"/>
        </w:rPr>
        <w:t xml:space="preserve">.  But the mere fact that a product which may have only been used </w:t>
      </w:r>
      <w:r w:rsidR="00153971" w:rsidRPr="006D427D">
        <w:rPr>
          <w:rFonts w:ascii="Tahoma" w:hAnsi="Tahoma" w:cs="Tahoma"/>
          <w:sz w:val="22"/>
          <w:szCs w:val="22"/>
        </w:rPr>
        <w:t>10, 20, possibly 50 times did not produce adverse effects would not necessarily lead to a conclusion that the product was low risk</w:t>
      </w:r>
      <w:r w:rsidR="004C1C01" w:rsidRPr="006D427D">
        <w:rPr>
          <w:rFonts w:ascii="Tahoma" w:hAnsi="Tahoma" w:cs="Tahoma"/>
          <w:sz w:val="22"/>
          <w:szCs w:val="22"/>
        </w:rPr>
        <w:t xml:space="preserve">.  </w:t>
      </w:r>
    </w:p>
    <w:p w14:paraId="066841B4" w14:textId="77777777" w:rsidR="00AC782B" w:rsidRPr="006D427D" w:rsidRDefault="00AC782B" w:rsidP="00AC782B">
      <w:pPr>
        <w:pStyle w:val="ListParagraph"/>
        <w:rPr>
          <w:rFonts w:ascii="Tahoma" w:hAnsi="Tahoma" w:cs="Tahoma"/>
          <w:sz w:val="22"/>
          <w:szCs w:val="22"/>
        </w:rPr>
      </w:pPr>
    </w:p>
    <w:p w14:paraId="68AD5D45" w14:textId="0FA1BEED" w:rsidR="00AC782B" w:rsidRDefault="00AC782B" w:rsidP="00BA5CDD">
      <w:pPr>
        <w:pStyle w:val="ListParagraph"/>
        <w:numPr>
          <w:ilvl w:val="0"/>
          <w:numId w:val="6"/>
        </w:numPr>
        <w:spacing w:line="360" w:lineRule="auto"/>
        <w:ind w:hanging="720"/>
        <w:jc w:val="both"/>
        <w:rPr>
          <w:rFonts w:ascii="Tahoma" w:hAnsi="Tahoma" w:cs="Tahoma"/>
          <w:sz w:val="22"/>
          <w:szCs w:val="22"/>
        </w:rPr>
      </w:pPr>
      <w:r w:rsidRPr="006D427D">
        <w:rPr>
          <w:rFonts w:ascii="Tahoma" w:hAnsi="Tahoma" w:cs="Tahoma"/>
          <w:sz w:val="22"/>
          <w:szCs w:val="22"/>
        </w:rPr>
        <w:t xml:space="preserve">Possibly this is why Parliament has recognised </w:t>
      </w:r>
      <w:r w:rsidR="002E4FA2" w:rsidRPr="006D427D">
        <w:rPr>
          <w:rFonts w:ascii="Tahoma" w:hAnsi="Tahoma" w:cs="Tahoma"/>
          <w:sz w:val="22"/>
          <w:szCs w:val="22"/>
        </w:rPr>
        <w:t xml:space="preserve">the invidious position </w:t>
      </w:r>
      <w:r w:rsidR="00882559" w:rsidRPr="006D427D">
        <w:rPr>
          <w:rFonts w:ascii="Tahoma" w:hAnsi="Tahoma" w:cs="Tahoma"/>
          <w:sz w:val="22"/>
          <w:szCs w:val="22"/>
        </w:rPr>
        <w:t>in which the Authority found itself consider</w:t>
      </w:r>
      <w:r w:rsidR="00460E4B">
        <w:rPr>
          <w:rFonts w:ascii="Tahoma" w:hAnsi="Tahoma" w:cs="Tahoma"/>
          <w:sz w:val="22"/>
          <w:szCs w:val="22"/>
        </w:rPr>
        <w:t>ing</w:t>
      </w:r>
      <w:r w:rsidR="000D13F7">
        <w:rPr>
          <w:rFonts w:ascii="Tahoma" w:hAnsi="Tahoma" w:cs="Tahoma"/>
          <w:sz w:val="22"/>
          <w:szCs w:val="22"/>
        </w:rPr>
        <w:t xml:space="preserve"> product applications with little or no evidence</w:t>
      </w:r>
      <w:r w:rsidR="00460E4B">
        <w:rPr>
          <w:rFonts w:ascii="Tahoma" w:hAnsi="Tahoma" w:cs="Tahoma"/>
          <w:sz w:val="22"/>
          <w:szCs w:val="22"/>
        </w:rPr>
        <w:t>.  T</w:t>
      </w:r>
      <w:r w:rsidR="00765438" w:rsidRPr="006D427D">
        <w:rPr>
          <w:rFonts w:ascii="Tahoma" w:hAnsi="Tahoma" w:cs="Tahoma"/>
          <w:sz w:val="22"/>
          <w:szCs w:val="22"/>
        </w:rPr>
        <w:t>he Psychoactiv</w:t>
      </w:r>
      <w:r w:rsidR="00460E4B">
        <w:rPr>
          <w:rFonts w:ascii="Tahoma" w:hAnsi="Tahoma" w:cs="Tahoma"/>
          <w:sz w:val="22"/>
          <w:szCs w:val="22"/>
        </w:rPr>
        <w:t xml:space="preserve">e Substances Amendment Act </w:t>
      </w:r>
      <w:r w:rsidR="00460E4B">
        <w:rPr>
          <w:rFonts w:ascii="Tahoma" w:hAnsi="Tahoma" w:cs="Tahoma"/>
          <w:sz w:val="22"/>
          <w:szCs w:val="22"/>
        </w:rPr>
        <w:lastRenderedPageBreak/>
        <w:t>2014</w:t>
      </w:r>
      <w:r w:rsidR="00EF107B">
        <w:rPr>
          <w:rFonts w:ascii="Tahoma" w:hAnsi="Tahoma" w:cs="Tahoma"/>
          <w:sz w:val="22"/>
          <w:szCs w:val="22"/>
        </w:rPr>
        <w:t xml:space="preserve"> introduced ss(2) to s37, which states that if the Regulatory Authority is in doubt about whether the product poses no more than a low risk of harm, it must disapprove the product.</w:t>
      </w:r>
    </w:p>
    <w:p w14:paraId="61BDCA51" w14:textId="77777777" w:rsidR="00C5155B" w:rsidRPr="00C5155B" w:rsidRDefault="00C5155B" w:rsidP="00C5155B">
      <w:pPr>
        <w:pStyle w:val="ListParagraph"/>
        <w:rPr>
          <w:rFonts w:ascii="Tahoma" w:hAnsi="Tahoma" w:cs="Tahoma"/>
          <w:sz w:val="22"/>
          <w:szCs w:val="22"/>
        </w:rPr>
      </w:pPr>
    </w:p>
    <w:p w14:paraId="1637477A" w14:textId="501B1B38" w:rsidR="00C5155B" w:rsidRPr="006B18CE" w:rsidRDefault="00C5155B" w:rsidP="00BA5CDD">
      <w:pPr>
        <w:pStyle w:val="ListParagraph"/>
        <w:numPr>
          <w:ilvl w:val="0"/>
          <w:numId w:val="6"/>
        </w:numPr>
        <w:spacing w:line="360" w:lineRule="auto"/>
        <w:ind w:hanging="720"/>
        <w:jc w:val="both"/>
        <w:rPr>
          <w:rFonts w:ascii="Tahoma" w:hAnsi="Tahoma" w:cs="Tahoma"/>
          <w:sz w:val="22"/>
          <w:szCs w:val="22"/>
        </w:rPr>
      </w:pPr>
      <w:r w:rsidRPr="006B18CE">
        <w:rPr>
          <w:rFonts w:ascii="Tahoma" w:hAnsi="Tahoma" w:cs="Tahoma"/>
          <w:sz w:val="22"/>
          <w:szCs w:val="22"/>
        </w:rPr>
        <w:t>For these reasons also, had we referred the matter back to the Regulatory Authority, in addition to addressing the reliability of the NPC data, we would have also directed that the Regulatory Authority specifically consider the sales data provided to us as evidence in this appeal.</w:t>
      </w:r>
    </w:p>
    <w:p w14:paraId="5DE019D3" w14:textId="77777777" w:rsidR="00765438" w:rsidRPr="006D427D" w:rsidRDefault="00765438" w:rsidP="00765438">
      <w:pPr>
        <w:pStyle w:val="ListParagraph"/>
        <w:rPr>
          <w:rFonts w:ascii="Tahoma" w:hAnsi="Tahoma" w:cs="Tahoma"/>
          <w:sz w:val="22"/>
          <w:szCs w:val="22"/>
        </w:rPr>
      </w:pPr>
    </w:p>
    <w:p w14:paraId="794B93DB" w14:textId="77777777" w:rsidR="00765438" w:rsidRPr="006B18CE" w:rsidRDefault="00765438" w:rsidP="00765438">
      <w:pPr>
        <w:spacing w:line="360" w:lineRule="auto"/>
        <w:jc w:val="both"/>
        <w:rPr>
          <w:rFonts w:ascii="Tahoma" w:hAnsi="Tahoma" w:cs="Tahoma"/>
          <w:sz w:val="22"/>
          <w:szCs w:val="22"/>
        </w:rPr>
      </w:pPr>
      <w:r w:rsidRPr="006B18CE">
        <w:rPr>
          <w:rFonts w:ascii="Tahoma" w:hAnsi="Tahoma" w:cs="Tahoma"/>
          <w:b/>
          <w:sz w:val="22"/>
          <w:szCs w:val="22"/>
        </w:rPr>
        <w:t xml:space="preserve">Result </w:t>
      </w:r>
    </w:p>
    <w:p w14:paraId="63744173" w14:textId="77777777" w:rsidR="00765438" w:rsidRPr="006B18CE" w:rsidRDefault="00765438" w:rsidP="00765438">
      <w:pPr>
        <w:pStyle w:val="ListParagraph"/>
        <w:rPr>
          <w:rFonts w:ascii="Tahoma" w:hAnsi="Tahoma" w:cs="Tahoma"/>
          <w:sz w:val="22"/>
          <w:szCs w:val="22"/>
        </w:rPr>
      </w:pPr>
    </w:p>
    <w:p w14:paraId="1544F690" w14:textId="588915C2" w:rsidR="000C3B7E" w:rsidRPr="006B18CE" w:rsidRDefault="00765438" w:rsidP="00BA5CDD">
      <w:pPr>
        <w:pStyle w:val="ListParagraph"/>
        <w:numPr>
          <w:ilvl w:val="0"/>
          <w:numId w:val="6"/>
        </w:numPr>
        <w:spacing w:line="360" w:lineRule="auto"/>
        <w:ind w:hanging="720"/>
        <w:jc w:val="both"/>
        <w:rPr>
          <w:rFonts w:ascii="Tahoma" w:hAnsi="Tahoma" w:cs="Tahoma"/>
          <w:sz w:val="22"/>
          <w:szCs w:val="22"/>
        </w:rPr>
      </w:pPr>
      <w:r w:rsidRPr="006B18CE">
        <w:rPr>
          <w:rFonts w:ascii="Tahoma" w:hAnsi="Tahoma" w:cs="Tahoma"/>
          <w:sz w:val="22"/>
          <w:szCs w:val="22"/>
        </w:rPr>
        <w:t xml:space="preserve">For the reasons outlined above, we would have granted the appeal </w:t>
      </w:r>
      <w:r w:rsidR="004F638A" w:rsidRPr="006B18CE">
        <w:rPr>
          <w:rFonts w:ascii="Tahoma" w:hAnsi="Tahoma" w:cs="Tahoma"/>
          <w:sz w:val="22"/>
          <w:szCs w:val="22"/>
        </w:rPr>
        <w:t xml:space="preserve">and directed the matter back to the Regulatory Authority for reconsideration. This decision would have provided the Authority </w:t>
      </w:r>
      <w:r w:rsidR="0055665C" w:rsidRPr="006B18CE">
        <w:rPr>
          <w:rFonts w:ascii="Tahoma" w:hAnsi="Tahoma" w:cs="Tahoma"/>
          <w:sz w:val="22"/>
          <w:szCs w:val="22"/>
        </w:rPr>
        <w:t xml:space="preserve">with our reasons for doing so and we would have directed the Authority to consider </w:t>
      </w:r>
      <w:r w:rsidR="00796609">
        <w:rPr>
          <w:rFonts w:ascii="Tahoma" w:hAnsi="Tahoma" w:cs="Tahoma"/>
          <w:sz w:val="22"/>
          <w:szCs w:val="22"/>
        </w:rPr>
        <w:t>the matters raised above.</w:t>
      </w:r>
    </w:p>
    <w:p w14:paraId="4517896E" w14:textId="77777777" w:rsidR="000C3B7E" w:rsidRPr="006B18CE" w:rsidRDefault="000C3B7E" w:rsidP="000C3B7E">
      <w:pPr>
        <w:pStyle w:val="ListParagraph"/>
        <w:spacing w:line="360" w:lineRule="auto"/>
        <w:jc w:val="both"/>
        <w:rPr>
          <w:rFonts w:ascii="Tahoma" w:hAnsi="Tahoma" w:cs="Tahoma"/>
          <w:sz w:val="22"/>
          <w:szCs w:val="22"/>
        </w:rPr>
      </w:pPr>
    </w:p>
    <w:p w14:paraId="7DFFD395" w14:textId="506E445E" w:rsidR="00765438" w:rsidRPr="006B18CE" w:rsidRDefault="00EB5677" w:rsidP="00BA5CDD">
      <w:pPr>
        <w:pStyle w:val="ListParagraph"/>
        <w:numPr>
          <w:ilvl w:val="0"/>
          <w:numId w:val="6"/>
        </w:numPr>
        <w:spacing w:line="360" w:lineRule="auto"/>
        <w:ind w:hanging="720"/>
        <w:jc w:val="both"/>
        <w:rPr>
          <w:rFonts w:ascii="Tahoma" w:hAnsi="Tahoma" w:cs="Tahoma"/>
          <w:sz w:val="22"/>
          <w:szCs w:val="22"/>
        </w:rPr>
      </w:pPr>
      <w:r w:rsidRPr="006B18CE">
        <w:rPr>
          <w:rFonts w:ascii="Tahoma" w:hAnsi="Tahoma" w:cs="Tahoma"/>
          <w:sz w:val="22"/>
          <w:szCs w:val="22"/>
        </w:rPr>
        <w:t>We would have</w:t>
      </w:r>
      <w:r w:rsidR="000C3B7E" w:rsidRPr="006B18CE">
        <w:rPr>
          <w:rFonts w:ascii="Tahoma" w:hAnsi="Tahoma" w:cs="Tahoma"/>
          <w:sz w:val="22"/>
          <w:szCs w:val="22"/>
        </w:rPr>
        <w:t xml:space="preserve"> also</w:t>
      </w:r>
      <w:r w:rsidRPr="006B18CE">
        <w:rPr>
          <w:rFonts w:ascii="Tahoma" w:hAnsi="Tahoma" w:cs="Tahoma"/>
          <w:sz w:val="22"/>
          <w:szCs w:val="22"/>
        </w:rPr>
        <w:t xml:space="preserve"> indicated that s39(1) would have required the Authority to disclose to the appellant the information gathered about the </w:t>
      </w:r>
      <w:r w:rsidR="00EF13D3" w:rsidRPr="006B18CE">
        <w:rPr>
          <w:rFonts w:ascii="Tahoma" w:hAnsi="Tahoma" w:cs="Tahoma"/>
          <w:sz w:val="22"/>
          <w:szCs w:val="22"/>
        </w:rPr>
        <w:t>NPC processes and provided the appellant with a reasonable opportunity to make submission</w:t>
      </w:r>
      <w:r w:rsidR="003F1164" w:rsidRPr="006B18CE">
        <w:rPr>
          <w:rFonts w:ascii="Tahoma" w:hAnsi="Tahoma" w:cs="Tahoma"/>
          <w:sz w:val="22"/>
          <w:szCs w:val="22"/>
        </w:rPr>
        <w:t>s on t</w:t>
      </w:r>
      <w:r w:rsidR="00CD55F5" w:rsidRPr="006B18CE">
        <w:rPr>
          <w:rFonts w:ascii="Tahoma" w:hAnsi="Tahoma" w:cs="Tahoma"/>
          <w:sz w:val="22"/>
          <w:szCs w:val="22"/>
        </w:rPr>
        <w:t>h</w:t>
      </w:r>
      <w:r w:rsidR="003F1164" w:rsidRPr="006B18CE">
        <w:rPr>
          <w:rFonts w:ascii="Tahoma" w:hAnsi="Tahoma" w:cs="Tahoma"/>
          <w:sz w:val="22"/>
          <w:szCs w:val="22"/>
        </w:rPr>
        <w:t>e</w:t>
      </w:r>
      <w:r w:rsidR="00CD55F5" w:rsidRPr="006B18CE">
        <w:rPr>
          <w:rFonts w:ascii="Tahoma" w:hAnsi="Tahoma" w:cs="Tahoma"/>
          <w:sz w:val="22"/>
          <w:szCs w:val="22"/>
        </w:rPr>
        <w:t>se discrete poi</w:t>
      </w:r>
      <w:r w:rsidR="00EF0C3A" w:rsidRPr="006B18CE">
        <w:rPr>
          <w:rFonts w:ascii="Tahoma" w:hAnsi="Tahoma" w:cs="Tahoma"/>
          <w:sz w:val="22"/>
          <w:szCs w:val="22"/>
        </w:rPr>
        <w:t>n</w:t>
      </w:r>
      <w:r w:rsidR="00CD55F5" w:rsidRPr="006B18CE">
        <w:rPr>
          <w:rFonts w:ascii="Tahoma" w:hAnsi="Tahoma" w:cs="Tahoma"/>
          <w:sz w:val="22"/>
          <w:szCs w:val="22"/>
        </w:rPr>
        <w:t xml:space="preserve">ts.  </w:t>
      </w:r>
    </w:p>
    <w:p w14:paraId="5A64F02A" w14:textId="77777777" w:rsidR="00EF0C3A" w:rsidRPr="006B18CE" w:rsidRDefault="00EF0C3A" w:rsidP="00EF0C3A">
      <w:pPr>
        <w:pStyle w:val="ListParagraph"/>
        <w:spacing w:line="360" w:lineRule="auto"/>
        <w:jc w:val="both"/>
        <w:rPr>
          <w:rFonts w:ascii="Tahoma" w:hAnsi="Tahoma" w:cs="Tahoma"/>
          <w:sz w:val="22"/>
          <w:szCs w:val="22"/>
        </w:rPr>
      </w:pPr>
    </w:p>
    <w:p w14:paraId="6D5E70F8" w14:textId="77777777" w:rsidR="00EF0C3A" w:rsidRPr="006B18CE" w:rsidRDefault="00EF0C3A" w:rsidP="00BA5CDD">
      <w:pPr>
        <w:pStyle w:val="ListParagraph"/>
        <w:numPr>
          <w:ilvl w:val="0"/>
          <w:numId w:val="6"/>
        </w:numPr>
        <w:spacing w:line="360" w:lineRule="auto"/>
        <w:ind w:hanging="720"/>
        <w:jc w:val="both"/>
        <w:rPr>
          <w:rFonts w:ascii="Tahoma" w:hAnsi="Tahoma" w:cs="Tahoma"/>
          <w:sz w:val="22"/>
          <w:szCs w:val="22"/>
        </w:rPr>
      </w:pPr>
      <w:r w:rsidRPr="006B18CE">
        <w:rPr>
          <w:rFonts w:ascii="Tahoma" w:hAnsi="Tahoma" w:cs="Tahoma"/>
          <w:sz w:val="22"/>
          <w:szCs w:val="22"/>
        </w:rPr>
        <w:t xml:space="preserve">We would have reiterated </w:t>
      </w:r>
      <w:r w:rsidR="003F1164" w:rsidRPr="006B18CE">
        <w:rPr>
          <w:rFonts w:ascii="Tahoma" w:hAnsi="Tahoma" w:cs="Tahoma"/>
          <w:sz w:val="22"/>
          <w:szCs w:val="22"/>
        </w:rPr>
        <w:t>that in redirecting the matter back to the Authority, we expressed no view, one way or the other, on whe</w:t>
      </w:r>
      <w:r w:rsidR="00C67361" w:rsidRPr="006B18CE">
        <w:rPr>
          <w:rFonts w:ascii="Tahoma" w:hAnsi="Tahoma" w:cs="Tahoma"/>
          <w:sz w:val="22"/>
          <w:szCs w:val="22"/>
        </w:rPr>
        <w:t xml:space="preserve">ther ultimately the product should have been approved. </w:t>
      </w:r>
    </w:p>
    <w:p w14:paraId="5B20C1A5" w14:textId="77777777" w:rsidR="00C67361" w:rsidRPr="006B18CE" w:rsidRDefault="00C67361" w:rsidP="00C67361">
      <w:pPr>
        <w:pStyle w:val="ListParagraph"/>
        <w:rPr>
          <w:rFonts w:ascii="Tahoma" w:hAnsi="Tahoma" w:cs="Tahoma"/>
          <w:sz w:val="22"/>
          <w:szCs w:val="22"/>
        </w:rPr>
      </w:pPr>
    </w:p>
    <w:p w14:paraId="12B1B1FB" w14:textId="77777777" w:rsidR="00C67361" w:rsidRPr="006B18CE" w:rsidRDefault="00D412D7" w:rsidP="00BA5CDD">
      <w:pPr>
        <w:pStyle w:val="ListParagraph"/>
        <w:numPr>
          <w:ilvl w:val="0"/>
          <w:numId w:val="6"/>
        </w:numPr>
        <w:spacing w:line="360" w:lineRule="auto"/>
        <w:ind w:hanging="720"/>
        <w:jc w:val="both"/>
        <w:rPr>
          <w:rFonts w:ascii="Tahoma" w:hAnsi="Tahoma" w:cs="Tahoma"/>
          <w:sz w:val="22"/>
          <w:szCs w:val="22"/>
        </w:rPr>
      </w:pPr>
      <w:r w:rsidRPr="006B18CE">
        <w:rPr>
          <w:rFonts w:ascii="Tahoma" w:hAnsi="Tahoma" w:cs="Tahoma"/>
          <w:sz w:val="22"/>
          <w:szCs w:val="22"/>
        </w:rPr>
        <w:t>However for the reasons outlined</w:t>
      </w:r>
      <w:r w:rsidR="00C74AE2" w:rsidRPr="006B18CE">
        <w:rPr>
          <w:rFonts w:ascii="Tahoma" w:hAnsi="Tahoma" w:cs="Tahoma"/>
          <w:sz w:val="22"/>
          <w:szCs w:val="22"/>
        </w:rPr>
        <w:t xml:space="preserve"> in the introduction to this decision we decline the appeal.</w:t>
      </w:r>
    </w:p>
    <w:p w14:paraId="4605B842" w14:textId="3E4CE01F" w:rsidR="00C74AE2" w:rsidRPr="006D427D" w:rsidRDefault="00C74AE2" w:rsidP="00D82612">
      <w:pPr>
        <w:pStyle w:val="ListParagraph"/>
        <w:ind w:left="3600"/>
        <w:rPr>
          <w:rFonts w:ascii="Tahoma" w:hAnsi="Tahoma" w:cs="Tahoma"/>
          <w:sz w:val="22"/>
          <w:szCs w:val="22"/>
        </w:rPr>
      </w:pPr>
    </w:p>
    <w:p w14:paraId="647AA027" w14:textId="77777777" w:rsidR="00C74AE2" w:rsidRDefault="00C74AE2" w:rsidP="00C74AE2">
      <w:pPr>
        <w:spacing w:line="360" w:lineRule="auto"/>
        <w:jc w:val="both"/>
        <w:rPr>
          <w:rFonts w:ascii="Tahoma" w:hAnsi="Tahoma" w:cs="Tahoma"/>
          <w:sz w:val="22"/>
          <w:szCs w:val="22"/>
        </w:rPr>
      </w:pPr>
    </w:p>
    <w:p w14:paraId="2F0112B4" w14:textId="3E53A953" w:rsidR="004F7886" w:rsidRDefault="00D82612" w:rsidP="00182131">
      <w:pPr>
        <w:spacing w:line="360" w:lineRule="auto"/>
        <w:jc w:val="right"/>
        <w:rPr>
          <w:rFonts w:ascii="Tahoma" w:hAnsi="Tahoma" w:cs="Tahoma"/>
          <w:sz w:val="22"/>
          <w:szCs w:val="22"/>
        </w:rPr>
      </w:pPr>
      <w:r>
        <w:rPr>
          <w:rFonts w:ascii="Tahoma" w:hAnsi="Tahoma" w:cs="Tahoma"/>
          <w:sz w:val="22"/>
          <w:szCs w:val="22"/>
        </w:rPr>
        <w:t>Dated 26</w:t>
      </w:r>
      <w:r w:rsidR="00B62C28">
        <w:rPr>
          <w:rFonts w:ascii="Tahoma" w:hAnsi="Tahoma" w:cs="Tahoma"/>
          <w:sz w:val="22"/>
          <w:szCs w:val="22"/>
        </w:rPr>
        <w:t xml:space="preserve"> </w:t>
      </w:r>
      <w:r w:rsidR="004F7886">
        <w:rPr>
          <w:rFonts w:ascii="Tahoma" w:hAnsi="Tahoma" w:cs="Tahoma"/>
          <w:sz w:val="22"/>
          <w:szCs w:val="22"/>
        </w:rPr>
        <w:t>May 2014</w:t>
      </w:r>
    </w:p>
    <w:p w14:paraId="090E74B8" w14:textId="68406C4E" w:rsidR="004F7886" w:rsidRDefault="004F7886" w:rsidP="00182131">
      <w:pPr>
        <w:spacing w:line="360" w:lineRule="auto"/>
        <w:jc w:val="right"/>
        <w:rPr>
          <w:rFonts w:ascii="Tahoma" w:hAnsi="Tahoma" w:cs="Tahoma"/>
          <w:sz w:val="22"/>
          <w:szCs w:val="22"/>
        </w:rPr>
      </w:pPr>
      <w:r>
        <w:rPr>
          <w:rFonts w:ascii="Tahoma" w:hAnsi="Tahoma" w:cs="Tahoma"/>
          <w:sz w:val="22"/>
          <w:szCs w:val="22"/>
        </w:rPr>
        <w:t>Fletcher Pilditch</w:t>
      </w:r>
    </w:p>
    <w:p w14:paraId="5E290F65" w14:textId="3A0256DF" w:rsidR="004F7886" w:rsidRPr="006D427D" w:rsidRDefault="004F7886" w:rsidP="00182131">
      <w:pPr>
        <w:spacing w:line="360" w:lineRule="auto"/>
        <w:jc w:val="right"/>
        <w:rPr>
          <w:rFonts w:ascii="Tahoma" w:hAnsi="Tahoma" w:cs="Tahoma"/>
          <w:sz w:val="22"/>
          <w:szCs w:val="22"/>
        </w:rPr>
      </w:pPr>
      <w:r>
        <w:rPr>
          <w:rFonts w:ascii="Tahoma" w:hAnsi="Tahoma" w:cs="Tahoma"/>
          <w:sz w:val="22"/>
          <w:szCs w:val="22"/>
        </w:rPr>
        <w:t xml:space="preserve">Chair </w:t>
      </w:r>
    </w:p>
    <w:sectPr w:rsidR="004F7886" w:rsidRPr="006D427D" w:rsidSect="006D427D">
      <w:pgSz w:w="11907" w:h="16839" w:code="9"/>
      <w:pgMar w:top="1440" w:right="1800" w:bottom="1440"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CE63E" w14:textId="77777777" w:rsidR="00932776" w:rsidRDefault="00932776">
      <w:r>
        <w:separator/>
      </w:r>
    </w:p>
  </w:endnote>
  <w:endnote w:type="continuationSeparator" w:id="0">
    <w:p w14:paraId="5186D113" w14:textId="77777777" w:rsidR="00932776" w:rsidRDefault="009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761181"/>
      <w:docPartObj>
        <w:docPartGallery w:val="Page Numbers (Bottom of Page)"/>
        <w:docPartUnique/>
      </w:docPartObj>
    </w:sdtPr>
    <w:sdtEndPr>
      <w:rPr>
        <w:rFonts w:ascii="Tahoma" w:hAnsi="Tahoma" w:cs="Tahoma"/>
        <w:noProof/>
        <w:sz w:val="20"/>
      </w:rPr>
    </w:sdtEndPr>
    <w:sdtContent>
      <w:p w14:paraId="4521E9A4" w14:textId="77777777" w:rsidR="006D427D" w:rsidRPr="006D427D" w:rsidRDefault="006D427D">
        <w:pPr>
          <w:pStyle w:val="Footer"/>
          <w:jc w:val="right"/>
          <w:rPr>
            <w:rFonts w:ascii="Tahoma" w:hAnsi="Tahoma" w:cs="Tahoma"/>
            <w:sz w:val="20"/>
          </w:rPr>
        </w:pPr>
        <w:r w:rsidRPr="006D427D">
          <w:rPr>
            <w:rFonts w:ascii="Tahoma" w:hAnsi="Tahoma" w:cs="Tahoma"/>
            <w:sz w:val="20"/>
          </w:rPr>
          <w:fldChar w:fldCharType="begin"/>
        </w:r>
        <w:r w:rsidRPr="006D427D">
          <w:rPr>
            <w:rFonts w:ascii="Tahoma" w:hAnsi="Tahoma" w:cs="Tahoma"/>
            <w:sz w:val="20"/>
          </w:rPr>
          <w:instrText xml:space="preserve"> PAGE   \* MERGEFORMAT </w:instrText>
        </w:r>
        <w:r w:rsidRPr="006D427D">
          <w:rPr>
            <w:rFonts w:ascii="Tahoma" w:hAnsi="Tahoma" w:cs="Tahoma"/>
            <w:sz w:val="20"/>
          </w:rPr>
          <w:fldChar w:fldCharType="separate"/>
        </w:r>
        <w:r w:rsidR="00E564FA">
          <w:rPr>
            <w:rFonts w:ascii="Tahoma" w:hAnsi="Tahoma" w:cs="Tahoma"/>
            <w:noProof/>
            <w:sz w:val="20"/>
          </w:rPr>
          <w:t>22</w:t>
        </w:r>
        <w:r w:rsidRPr="006D427D">
          <w:rPr>
            <w:rFonts w:ascii="Tahoma" w:hAnsi="Tahoma" w:cs="Tahoma"/>
            <w:noProof/>
            <w:sz w:val="20"/>
          </w:rPr>
          <w:fldChar w:fldCharType="end"/>
        </w:r>
        <w:r w:rsidRPr="006D427D">
          <w:rPr>
            <w:rFonts w:ascii="Tahoma" w:hAnsi="Tahoma" w:cs="Tahoma"/>
            <w:noProof/>
            <w:sz w:val="20"/>
          </w:rPr>
          <w:t>.</w:t>
        </w:r>
      </w:p>
    </w:sdtContent>
  </w:sdt>
  <w:p w14:paraId="410D1D35" w14:textId="77777777" w:rsidR="006D427D" w:rsidRDefault="006D4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19223" w14:textId="77777777" w:rsidR="00CA4C8F" w:rsidRDefault="00CA4C8F">
    <w:pPr>
      <w:pStyle w:val="Footer"/>
      <w:rPr>
        <w:sz w:val="16"/>
      </w:rP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E01CB" w14:textId="77777777" w:rsidR="00932776" w:rsidRDefault="00932776">
      <w:r>
        <w:separator/>
      </w:r>
    </w:p>
  </w:footnote>
  <w:footnote w:type="continuationSeparator" w:id="0">
    <w:p w14:paraId="50FC463C" w14:textId="77777777" w:rsidR="00932776" w:rsidRDefault="00932776">
      <w:r>
        <w:continuationSeparator/>
      </w:r>
    </w:p>
  </w:footnote>
  <w:footnote w:id="1">
    <w:p w14:paraId="193C3898" w14:textId="58E09674" w:rsidR="00CA4C8F" w:rsidRPr="007E6868" w:rsidRDefault="00CA4C8F" w:rsidP="007E6868">
      <w:pPr>
        <w:pStyle w:val="FootnoteText"/>
        <w:jc w:val="both"/>
        <w:rPr>
          <w:rFonts w:ascii="Tahoma" w:hAnsi="Tahoma" w:cs="Tahoma"/>
          <w:sz w:val="16"/>
          <w:szCs w:val="16"/>
        </w:rPr>
      </w:pPr>
      <w:r w:rsidRPr="007E6868">
        <w:rPr>
          <w:rStyle w:val="FootnoteReference"/>
          <w:rFonts w:ascii="Tahoma" w:hAnsi="Tahoma" w:cs="Tahoma"/>
          <w:sz w:val="16"/>
          <w:szCs w:val="16"/>
        </w:rPr>
        <w:footnoteRef/>
      </w:r>
      <w:r w:rsidRPr="007E6868">
        <w:rPr>
          <w:rFonts w:ascii="Tahoma" w:hAnsi="Tahoma" w:cs="Tahoma"/>
          <w:sz w:val="16"/>
          <w:szCs w:val="16"/>
        </w:rPr>
        <w:t xml:space="preserve"> </w:t>
      </w:r>
      <w:r w:rsidRPr="007E6868">
        <w:rPr>
          <w:rFonts w:ascii="Tahoma" w:hAnsi="Tahoma" w:cs="Tahoma"/>
          <w:sz w:val="16"/>
          <w:szCs w:val="16"/>
        </w:rPr>
        <w:tab/>
      </w:r>
      <w:r w:rsidR="0015235C" w:rsidRPr="007E6868">
        <w:rPr>
          <w:rFonts w:ascii="Tahoma" w:hAnsi="Tahoma" w:cs="Tahoma"/>
          <w:sz w:val="16"/>
          <w:szCs w:val="16"/>
        </w:rPr>
        <w:t>s</w:t>
      </w:r>
      <w:r w:rsidRPr="007E6868">
        <w:rPr>
          <w:rFonts w:ascii="Tahoma" w:hAnsi="Tahoma" w:cs="Tahoma"/>
          <w:sz w:val="16"/>
          <w:szCs w:val="16"/>
        </w:rPr>
        <w:t>45(5).</w:t>
      </w:r>
    </w:p>
  </w:footnote>
  <w:footnote w:id="2">
    <w:p w14:paraId="3653DAF0" w14:textId="007318FF" w:rsidR="00CA4C8F" w:rsidRPr="00007A6A" w:rsidRDefault="00CA4C8F" w:rsidP="00007A6A">
      <w:pPr>
        <w:pStyle w:val="FootnoteText"/>
        <w:jc w:val="both"/>
        <w:rPr>
          <w:rFonts w:ascii="Tahoma" w:hAnsi="Tahoma" w:cs="Tahoma"/>
          <w:sz w:val="16"/>
          <w:szCs w:val="16"/>
        </w:rPr>
      </w:pPr>
      <w:r w:rsidRPr="00007A6A">
        <w:rPr>
          <w:rStyle w:val="FootnoteReference"/>
          <w:rFonts w:ascii="Tahoma" w:hAnsi="Tahoma" w:cs="Tahoma"/>
          <w:sz w:val="16"/>
          <w:szCs w:val="16"/>
        </w:rPr>
        <w:footnoteRef/>
      </w:r>
      <w:r w:rsidR="00711351">
        <w:rPr>
          <w:rFonts w:ascii="Tahoma" w:hAnsi="Tahoma" w:cs="Tahoma"/>
          <w:sz w:val="16"/>
          <w:szCs w:val="16"/>
        </w:rPr>
        <w:t xml:space="preserve"> </w:t>
      </w:r>
      <w:r w:rsidR="00711351">
        <w:rPr>
          <w:rFonts w:ascii="Tahoma" w:hAnsi="Tahoma" w:cs="Tahoma"/>
          <w:sz w:val="16"/>
          <w:szCs w:val="16"/>
        </w:rPr>
        <w:tab/>
        <w:t>s</w:t>
      </w:r>
      <w:r w:rsidRPr="00007A6A">
        <w:rPr>
          <w:rFonts w:ascii="Tahoma" w:hAnsi="Tahoma" w:cs="Tahoma"/>
          <w:sz w:val="16"/>
          <w:szCs w:val="16"/>
        </w:rPr>
        <w:t>11.</w:t>
      </w:r>
    </w:p>
  </w:footnote>
  <w:footnote w:id="3">
    <w:p w14:paraId="4A02FA1C" w14:textId="26E23B1A" w:rsidR="00CA4C8F" w:rsidRPr="00850326" w:rsidRDefault="00CA4C8F" w:rsidP="00850326">
      <w:pPr>
        <w:pStyle w:val="FootnoteText"/>
        <w:jc w:val="both"/>
        <w:rPr>
          <w:rFonts w:ascii="Tahoma" w:hAnsi="Tahoma" w:cs="Tahoma"/>
          <w:sz w:val="16"/>
          <w:szCs w:val="16"/>
        </w:rPr>
      </w:pPr>
      <w:r w:rsidRPr="00850326">
        <w:rPr>
          <w:rStyle w:val="FootnoteReference"/>
          <w:rFonts w:ascii="Tahoma" w:hAnsi="Tahoma" w:cs="Tahoma"/>
          <w:sz w:val="16"/>
          <w:szCs w:val="16"/>
        </w:rPr>
        <w:footnoteRef/>
      </w:r>
      <w:r w:rsidRPr="00850326">
        <w:rPr>
          <w:rFonts w:ascii="Tahoma" w:hAnsi="Tahoma" w:cs="Tahoma"/>
          <w:sz w:val="16"/>
          <w:szCs w:val="16"/>
        </w:rPr>
        <w:t xml:space="preserve"> </w:t>
      </w:r>
      <w:r w:rsidRPr="00850326">
        <w:rPr>
          <w:rFonts w:ascii="Tahoma" w:hAnsi="Tahoma" w:cs="Tahoma"/>
          <w:sz w:val="16"/>
          <w:szCs w:val="16"/>
        </w:rPr>
        <w:tab/>
      </w:r>
      <w:r w:rsidR="00C72BA0" w:rsidRPr="00850326">
        <w:rPr>
          <w:rFonts w:ascii="Tahoma" w:hAnsi="Tahoma" w:cs="Tahoma"/>
          <w:sz w:val="16"/>
          <w:szCs w:val="16"/>
        </w:rPr>
        <w:t>s</w:t>
      </w:r>
      <w:r w:rsidRPr="00850326">
        <w:rPr>
          <w:rFonts w:ascii="Tahoma" w:hAnsi="Tahoma" w:cs="Tahoma"/>
          <w:sz w:val="16"/>
          <w:szCs w:val="16"/>
        </w:rPr>
        <w:t>11.</w:t>
      </w:r>
    </w:p>
  </w:footnote>
  <w:footnote w:id="4">
    <w:p w14:paraId="6F41E49A" w14:textId="0C5C7993" w:rsidR="00CA4C8F" w:rsidRPr="00850326" w:rsidRDefault="00CA4C8F" w:rsidP="00850326">
      <w:pPr>
        <w:pStyle w:val="FootnoteText"/>
        <w:jc w:val="both"/>
        <w:rPr>
          <w:rFonts w:ascii="Tahoma" w:hAnsi="Tahoma" w:cs="Tahoma"/>
          <w:sz w:val="16"/>
          <w:szCs w:val="16"/>
        </w:rPr>
      </w:pPr>
      <w:r w:rsidRPr="00850326">
        <w:rPr>
          <w:rStyle w:val="FootnoteReference"/>
          <w:rFonts w:ascii="Tahoma" w:hAnsi="Tahoma" w:cs="Tahoma"/>
          <w:sz w:val="16"/>
          <w:szCs w:val="16"/>
        </w:rPr>
        <w:footnoteRef/>
      </w:r>
      <w:r w:rsidRPr="00850326">
        <w:rPr>
          <w:rFonts w:ascii="Tahoma" w:hAnsi="Tahoma" w:cs="Tahoma"/>
          <w:sz w:val="16"/>
          <w:szCs w:val="16"/>
        </w:rPr>
        <w:t xml:space="preserve"> </w:t>
      </w:r>
      <w:r w:rsidRPr="00850326">
        <w:rPr>
          <w:rFonts w:ascii="Tahoma" w:hAnsi="Tahoma" w:cs="Tahoma"/>
          <w:sz w:val="16"/>
          <w:szCs w:val="16"/>
        </w:rPr>
        <w:tab/>
      </w:r>
      <w:r w:rsidR="00C72BA0" w:rsidRPr="00850326">
        <w:rPr>
          <w:rFonts w:ascii="Tahoma" w:hAnsi="Tahoma" w:cs="Tahoma"/>
          <w:sz w:val="16"/>
          <w:szCs w:val="16"/>
        </w:rPr>
        <w:t>s</w:t>
      </w:r>
      <w:r w:rsidRPr="00850326">
        <w:rPr>
          <w:rFonts w:ascii="Tahoma" w:hAnsi="Tahoma" w:cs="Tahoma"/>
          <w:sz w:val="16"/>
          <w:szCs w:val="16"/>
        </w:rPr>
        <w:t>13.</w:t>
      </w:r>
    </w:p>
  </w:footnote>
  <w:footnote w:id="5">
    <w:p w14:paraId="4DEBDF61" w14:textId="77777777" w:rsidR="00CA4C8F" w:rsidRPr="00B354A3" w:rsidRDefault="00CA4C8F" w:rsidP="00B354A3">
      <w:pPr>
        <w:pStyle w:val="FootnoteText"/>
        <w:rPr>
          <w:rFonts w:ascii="Tahoma" w:hAnsi="Tahoma" w:cs="Tahoma"/>
          <w:sz w:val="16"/>
          <w:szCs w:val="16"/>
        </w:rPr>
      </w:pPr>
      <w:r w:rsidRPr="00B354A3">
        <w:rPr>
          <w:rStyle w:val="FootnoteReference"/>
          <w:rFonts w:ascii="Tahoma" w:hAnsi="Tahoma" w:cs="Tahoma"/>
          <w:sz w:val="16"/>
          <w:szCs w:val="16"/>
        </w:rPr>
        <w:footnoteRef/>
      </w:r>
      <w:r w:rsidRPr="00B354A3">
        <w:rPr>
          <w:rFonts w:ascii="Tahoma" w:hAnsi="Tahoma" w:cs="Tahoma"/>
          <w:sz w:val="16"/>
          <w:szCs w:val="16"/>
        </w:rPr>
        <w:t xml:space="preserve"> </w:t>
      </w:r>
      <w:r w:rsidRPr="00B354A3">
        <w:rPr>
          <w:rFonts w:ascii="Tahoma" w:hAnsi="Tahoma" w:cs="Tahoma"/>
          <w:sz w:val="16"/>
          <w:szCs w:val="16"/>
        </w:rPr>
        <w:tab/>
        <w:t xml:space="preserve">(1996) 1 NZLR 106 at </w:t>
      </w:r>
      <w:r>
        <w:rPr>
          <w:rFonts w:ascii="Tahoma" w:hAnsi="Tahoma" w:cs="Tahoma"/>
          <w:sz w:val="16"/>
          <w:szCs w:val="16"/>
        </w:rPr>
        <w:t>[</w:t>
      </w:r>
      <w:r w:rsidRPr="00B354A3">
        <w:rPr>
          <w:rFonts w:ascii="Tahoma" w:hAnsi="Tahoma" w:cs="Tahoma"/>
          <w:sz w:val="16"/>
          <w:szCs w:val="16"/>
        </w:rPr>
        <w:t>112</w:t>
      </w:r>
      <w:r>
        <w:rPr>
          <w:rFonts w:ascii="Tahoma" w:hAnsi="Tahoma" w:cs="Tahoma"/>
          <w:sz w:val="16"/>
          <w:szCs w:val="16"/>
        </w:rPr>
        <w:t>]</w:t>
      </w:r>
      <w:r w:rsidRPr="00B354A3">
        <w:rPr>
          <w:rFonts w:ascii="Tahoma" w:hAnsi="Tahoma" w:cs="Tahoma"/>
          <w:sz w:val="16"/>
          <w:szCs w:val="16"/>
        </w:rPr>
        <w:t>.</w:t>
      </w:r>
    </w:p>
  </w:footnote>
  <w:footnote w:id="6">
    <w:p w14:paraId="6CE57AC1" w14:textId="77777777" w:rsidR="00CA4C8F" w:rsidRPr="00BB4613" w:rsidRDefault="00CA4C8F" w:rsidP="00BB4613">
      <w:pPr>
        <w:pStyle w:val="FootnoteText"/>
        <w:jc w:val="both"/>
        <w:rPr>
          <w:rFonts w:ascii="Tahoma" w:hAnsi="Tahoma" w:cs="Tahoma"/>
          <w:sz w:val="16"/>
          <w:szCs w:val="16"/>
        </w:rPr>
      </w:pPr>
      <w:r w:rsidRPr="00BB4613">
        <w:rPr>
          <w:rStyle w:val="FootnoteReference"/>
          <w:rFonts w:ascii="Tahoma" w:hAnsi="Tahoma" w:cs="Tahoma"/>
          <w:sz w:val="16"/>
          <w:szCs w:val="16"/>
        </w:rPr>
        <w:footnoteRef/>
      </w:r>
      <w:r w:rsidRPr="00BB4613">
        <w:rPr>
          <w:rFonts w:ascii="Tahoma" w:hAnsi="Tahoma" w:cs="Tahoma"/>
          <w:sz w:val="16"/>
          <w:szCs w:val="16"/>
        </w:rPr>
        <w:t xml:space="preserve"> </w:t>
      </w:r>
      <w:r w:rsidRPr="00BB4613">
        <w:rPr>
          <w:rFonts w:ascii="Tahoma" w:hAnsi="Tahoma" w:cs="Tahoma"/>
          <w:sz w:val="16"/>
          <w:szCs w:val="16"/>
        </w:rPr>
        <w:tab/>
      </w:r>
      <w:r>
        <w:rPr>
          <w:rFonts w:ascii="Tahoma" w:hAnsi="Tahoma" w:cs="Tahoma"/>
          <w:sz w:val="16"/>
          <w:szCs w:val="16"/>
        </w:rPr>
        <w:t>[2008] 2 NZLR 141 at [16].</w:t>
      </w:r>
    </w:p>
  </w:footnote>
  <w:footnote w:id="7">
    <w:p w14:paraId="662803EC" w14:textId="0CC0B302" w:rsidR="00AF08A7" w:rsidRPr="00AF08A7" w:rsidRDefault="00AF08A7">
      <w:pPr>
        <w:pStyle w:val="FootnoteText"/>
        <w:rPr>
          <w:rFonts w:ascii="Tahoma" w:hAnsi="Tahoma" w:cs="Tahoma"/>
          <w:sz w:val="16"/>
          <w:szCs w:val="16"/>
        </w:rPr>
      </w:pPr>
      <w:r w:rsidRPr="00AF08A7">
        <w:rPr>
          <w:rStyle w:val="FootnoteReference"/>
          <w:rFonts w:ascii="Tahoma" w:hAnsi="Tahoma" w:cs="Tahoma"/>
          <w:sz w:val="16"/>
          <w:szCs w:val="16"/>
        </w:rPr>
        <w:footnoteRef/>
      </w:r>
      <w:r w:rsidRPr="00AF08A7">
        <w:rPr>
          <w:rFonts w:ascii="Tahoma" w:hAnsi="Tahoma" w:cs="Tahoma"/>
          <w:sz w:val="16"/>
          <w:szCs w:val="16"/>
        </w:rPr>
        <w:t xml:space="preserve"> [1983] NZLR 662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61B68" w14:textId="77777777" w:rsidR="00CA4C8F" w:rsidRDefault="00CA4C8F">
    <w:pPr>
      <w:framePr w:wrap="around" w:vAnchor="text" w:hAnchor="margin" w:xAlign="right" w:y="1"/>
    </w:pPr>
    <w:r>
      <w:fldChar w:fldCharType="begin"/>
    </w:r>
    <w:r>
      <w:instrText xml:space="preserve">PAGE  </w:instrText>
    </w:r>
    <w:r>
      <w:fldChar w:fldCharType="end"/>
    </w:r>
  </w:p>
  <w:p w14:paraId="75B64356" w14:textId="77777777" w:rsidR="00CA4C8F" w:rsidRDefault="00CA4C8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8A7"/>
    <w:multiLevelType w:val="hybridMultilevel"/>
    <w:tmpl w:val="9DDA5EF4"/>
    <w:lvl w:ilvl="0" w:tplc="2616642E">
      <w:start w:val="1"/>
      <w:numFmt w:val="decimal"/>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0D93009A"/>
    <w:multiLevelType w:val="hybridMultilevel"/>
    <w:tmpl w:val="6C30D97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15BC73B2"/>
    <w:multiLevelType w:val="singleLevel"/>
    <w:tmpl w:val="50FA1D4A"/>
    <w:lvl w:ilvl="0">
      <w:start w:val="1"/>
      <w:numFmt w:val="decimal"/>
      <w:lvlText w:val="%1."/>
      <w:lvlJc w:val="left"/>
      <w:pPr>
        <w:tabs>
          <w:tab w:val="num" w:pos="720"/>
        </w:tabs>
        <w:ind w:left="720" w:hanging="720"/>
      </w:pPr>
      <w:rPr>
        <w:rFonts w:hint="default"/>
      </w:rPr>
    </w:lvl>
  </w:abstractNum>
  <w:abstractNum w:abstractNumId="3">
    <w:nsid w:val="4376536D"/>
    <w:multiLevelType w:val="multilevel"/>
    <w:tmpl w:val="95D47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A9D3314"/>
    <w:multiLevelType w:val="hybridMultilevel"/>
    <w:tmpl w:val="70E0C2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5B01146"/>
    <w:multiLevelType w:val="hybridMultilevel"/>
    <w:tmpl w:val="1FD23F3C"/>
    <w:lvl w:ilvl="0" w:tplc="2EA6FD34">
      <w:start w:val="1"/>
      <w:numFmt w:val="decimal"/>
      <w:lvlText w:val="%1."/>
      <w:lvlJc w:val="left"/>
      <w:pPr>
        <w:tabs>
          <w:tab w:val="num" w:pos="720"/>
        </w:tabs>
        <w:ind w:left="720" w:hanging="360"/>
      </w:pPr>
      <w:rPr>
        <w:b w:val="0"/>
      </w:rPr>
    </w:lvl>
    <w:lvl w:ilvl="1" w:tplc="1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47284F"/>
    <w:multiLevelType w:val="hybridMultilevel"/>
    <w:tmpl w:val="47E0B3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nsid w:val="5D3F7C14"/>
    <w:multiLevelType w:val="hybridMultilevel"/>
    <w:tmpl w:val="BAAAB7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4C53366"/>
    <w:multiLevelType w:val="hybridMultilevel"/>
    <w:tmpl w:val="9CBA3CFE"/>
    <w:lvl w:ilvl="0" w:tplc="B93E149A">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7"/>
  </w:num>
  <w:num w:numId="5">
    <w:abstractNumId w:val="6"/>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92"/>
    <w:rsid w:val="00006716"/>
    <w:rsid w:val="00007A6A"/>
    <w:rsid w:val="000110F0"/>
    <w:rsid w:val="000112EF"/>
    <w:rsid w:val="00014F93"/>
    <w:rsid w:val="000214B3"/>
    <w:rsid w:val="00035B39"/>
    <w:rsid w:val="000424A7"/>
    <w:rsid w:val="00042A75"/>
    <w:rsid w:val="00052890"/>
    <w:rsid w:val="00062078"/>
    <w:rsid w:val="00062B07"/>
    <w:rsid w:val="00073A7F"/>
    <w:rsid w:val="00077289"/>
    <w:rsid w:val="00083B29"/>
    <w:rsid w:val="000A4090"/>
    <w:rsid w:val="000A5A9A"/>
    <w:rsid w:val="000B29E6"/>
    <w:rsid w:val="000B56BA"/>
    <w:rsid w:val="000C0F97"/>
    <w:rsid w:val="000C3B7E"/>
    <w:rsid w:val="000C74FF"/>
    <w:rsid w:val="000D0E8A"/>
    <w:rsid w:val="000D103C"/>
    <w:rsid w:val="000D13F7"/>
    <w:rsid w:val="000D1683"/>
    <w:rsid w:val="000D22C5"/>
    <w:rsid w:val="000D3B0D"/>
    <w:rsid w:val="000D78A0"/>
    <w:rsid w:val="000E41EF"/>
    <w:rsid w:val="000F1E76"/>
    <w:rsid w:val="000F3DCC"/>
    <w:rsid w:val="000F651C"/>
    <w:rsid w:val="000F6A51"/>
    <w:rsid w:val="000F7472"/>
    <w:rsid w:val="00100822"/>
    <w:rsid w:val="00101310"/>
    <w:rsid w:val="001022A8"/>
    <w:rsid w:val="001047A5"/>
    <w:rsid w:val="0011118B"/>
    <w:rsid w:val="001224FF"/>
    <w:rsid w:val="0012474F"/>
    <w:rsid w:val="0013217D"/>
    <w:rsid w:val="001325D0"/>
    <w:rsid w:val="00132F30"/>
    <w:rsid w:val="001455BB"/>
    <w:rsid w:val="00146E2A"/>
    <w:rsid w:val="0015235C"/>
    <w:rsid w:val="00153971"/>
    <w:rsid w:val="00156691"/>
    <w:rsid w:val="00157804"/>
    <w:rsid w:val="00167AB1"/>
    <w:rsid w:val="0017796B"/>
    <w:rsid w:val="00180169"/>
    <w:rsid w:val="0018067D"/>
    <w:rsid w:val="00182131"/>
    <w:rsid w:val="00183400"/>
    <w:rsid w:val="00183965"/>
    <w:rsid w:val="00184756"/>
    <w:rsid w:val="00187F6D"/>
    <w:rsid w:val="00191E3A"/>
    <w:rsid w:val="0019510F"/>
    <w:rsid w:val="00195BFF"/>
    <w:rsid w:val="00197385"/>
    <w:rsid w:val="001A0866"/>
    <w:rsid w:val="001A4433"/>
    <w:rsid w:val="001A4BC4"/>
    <w:rsid w:val="001B1F68"/>
    <w:rsid w:val="001C1F02"/>
    <w:rsid w:val="001C3018"/>
    <w:rsid w:val="001C4C33"/>
    <w:rsid w:val="001C6A0F"/>
    <w:rsid w:val="001D1552"/>
    <w:rsid w:val="001D1C0A"/>
    <w:rsid w:val="001D46D8"/>
    <w:rsid w:val="001E3414"/>
    <w:rsid w:val="001E452F"/>
    <w:rsid w:val="001E641D"/>
    <w:rsid w:val="001F1D3B"/>
    <w:rsid w:val="001F2909"/>
    <w:rsid w:val="0020003E"/>
    <w:rsid w:val="0021260D"/>
    <w:rsid w:val="0021261F"/>
    <w:rsid w:val="0022211F"/>
    <w:rsid w:val="00222FFD"/>
    <w:rsid w:val="00233CDB"/>
    <w:rsid w:val="002372A9"/>
    <w:rsid w:val="002400F9"/>
    <w:rsid w:val="00240666"/>
    <w:rsid w:val="00241A36"/>
    <w:rsid w:val="00241C4B"/>
    <w:rsid w:val="0024304E"/>
    <w:rsid w:val="002451AA"/>
    <w:rsid w:val="00245D69"/>
    <w:rsid w:val="00246974"/>
    <w:rsid w:val="00253FF4"/>
    <w:rsid w:val="002559E0"/>
    <w:rsid w:val="00255B58"/>
    <w:rsid w:val="00257F74"/>
    <w:rsid w:val="00267989"/>
    <w:rsid w:val="0028438F"/>
    <w:rsid w:val="00291CDC"/>
    <w:rsid w:val="002A1845"/>
    <w:rsid w:val="002A526E"/>
    <w:rsid w:val="002A6B5B"/>
    <w:rsid w:val="002B46E3"/>
    <w:rsid w:val="002B5F1C"/>
    <w:rsid w:val="002C2343"/>
    <w:rsid w:val="002C3CBA"/>
    <w:rsid w:val="002C4F96"/>
    <w:rsid w:val="002E4FA2"/>
    <w:rsid w:val="002E5825"/>
    <w:rsid w:val="002E688F"/>
    <w:rsid w:val="002F57E0"/>
    <w:rsid w:val="002F6022"/>
    <w:rsid w:val="002F650D"/>
    <w:rsid w:val="00314976"/>
    <w:rsid w:val="0031791C"/>
    <w:rsid w:val="00323405"/>
    <w:rsid w:val="00326064"/>
    <w:rsid w:val="00330A49"/>
    <w:rsid w:val="00334E1D"/>
    <w:rsid w:val="003365D7"/>
    <w:rsid w:val="00352F6F"/>
    <w:rsid w:val="0035444D"/>
    <w:rsid w:val="0037005E"/>
    <w:rsid w:val="0037386B"/>
    <w:rsid w:val="00374DB6"/>
    <w:rsid w:val="00380B89"/>
    <w:rsid w:val="00383342"/>
    <w:rsid w:val="00386F72"/>
    <w:rsid w:val="003A49FD"/>
    <w:rsid w:val="003A5CFA"/>
    <w:rsid w:val="003A644C"/>
    <w:rsid w:val="003B1C85"/>
    <w:rsid w:val="003B38D3"/>
    <w:rsid w:val="003B5D4B"/>
    <w:rsid w:val="003B6A80"/>
    <w:rsid w:val="003C25EE"/>
    <w:rsid w:val="003C4817"/>
    <w:rsid w:val="003C4D1E"/>
    <w:rsid w:val="003C5EF7"/>
    <w:rsid w:val="003C620C"/>
    <w:rsid w:val="003D279A"/>
    <w:rsid w:val="003E44F2"/>
    <w:rsid w:val="003F1164"/>
    <w:rsid w:val="004019EC"/>
    <w:rsid w:val="004078F3"/>
    <w:rsid w:val="00412D89"/>
    <w:rsid w:val="0041405A"/>
    <w:rsid w:val="00421A8B"/>
    <w:rsid w:val="004272ED"/>
    <w:rsid w:val="00430ED0"/>
    <w:rsid w:val="004328AA"/>
    <w:rsid w:val="0044157D"/>
    <w:rsid w:val="0044694E"/>
    <w:rsid w:val="00450A42"/>
    <w:rsid w:val="00452584"/>
    <w:rsid w:val="004576FE"/>
    <w:rsid w:val="00460E4B"/>
    <w:rsid w:val="004632B0"/>
    <w:rsid w:val="00474A5B"/>
    <w:rsid w:val="00474DBF"/>
    <w:rsid w:val="0047607A"/>
    <w:rsid w:val="00482BDF"/>
    <w:rsid w:val="00484FC6"/>
    <w:rsid w:val="004A59E4"/>
    <w:rsid w:val="004B129B"/>
    <w:rsid w:val="004B1A71"/>
    <w:rsid w:val="004B4377"/>
    <w:rsid w:val="004B4476"/>
    <w:rsid w:val="004C1C01"/>
    <w:rsid w:val="004C36DD"/>
    <w:rsid w:val="004C511B"/>
    <w:rsid w:val="004C683B"/>
    <w:rsid w:val="004C7910"/>
    <w:rsid w:val="004D6A78"/>
    <w:rsid w:val="004E75EB"/>
    <w:rsid w:val="004F3436"/>
    <w:rsid w:val="004F638A"/>
    <w:rsid w:val="004F73C3"/>
    <w:rsid w:val="004F7886"/>
    <w:rsid w:val="005102E1"/>
    <w:rsid w:val="00511128"/>
    <w:rsid w:val="00513FBB"/>
    <w:rsid w:val="00531C48"/>
    <w:rsid w:val="0053298B"/>
    <w:rsid w:val="005435AA"/>
    <w:rsid w:val="00553D78"/>
    <w:rsid w:val="0055665C"/>
    <w:rsid w:val="005578DA"/>
    <w:rsid w:val="0056033D"/>
    <w:rsid w:val="00562927"/>
    <w:rsid w:val="005638BC"/>
    <w:rsid w:val="00563F74"/>
    <w:rsid w:val="00564378"/>
    <w:rsid w:val="005756A6"/>
    <w:rsid w:val="0058373C"/>
    <w:rsid w:val="00585024"/>
    <w:rsid w:val="005920C6"/>
    <w:rsid w:val="005960DD"/>
    <w:rsid w:val="005A6A03"/>
    <w:rsid w:val="005A6EFB"/>
    <w:rsid w:val="005A7527"/>
    <w:rsid w:val="005A7953"/>
    <w:rsid w:val="005B054D"/>
    <w:rsid w:val="005B3D1B"/>
    <w:rsid w:val="005B7B90"/>
    <w:rsid w:val="005C0B79"/>
    <w:rsid w:val="005C7977"/>
    <w:rsid w:val="005E7845"/>
    <w:rsid w:val="005F193A"/>
    <w:rsid w:val="0060431E"/>
    <w:rsid w:val="00610880"/>
    <w:rsid w:val="00611B57"/>
    <w:rsid w:val="00612F2D"/>
    <w:rsid w:val="006130DC"/>
    <w:rsid w:val="00627A02"/>
    <w:rsid w:val="00645677"/>
    <w:rsid w:val="00645F88"/>
    <w:rsid w:val="00652715"/>
    <w:rsid w:val="00665F6B"/>
    <w:rsid w:val="00666E3C"/>
    <w:rsid w:val="00667110"/>
    <w:rsid w:val="00670578"/>
    <w:rsid w:val="0067417B"/>
    <w:rsid w:val="006758DF"/>
    <w:rsid w:val="00676763"/>
    <w:rsid w:val="00680E79"/>
    <w:rsid w:val="00687275"/>
    <w:rsid w:val="00690687"/>
    <w:rsid w:val="00691EFC"/>
    <w:rsid w:val="00697D54"/>
    <w:rsid w:val="006A29B0"/>
    <w:rsid w:val="006B18CE"/>
    <w:rsid w:val="006B3FF7"/>
    <w:rsid w:val="006B46C0"/>
    <w:rsid w:val="006B6278"/>
    <w:rsid w:val="006B67C4"/>
    <w:rsid w:val="006C0DD8"/>
    <w:rsid w:val="006C3C9E"/>
    <w:rsid w:val="006C7D29"/>
    <w:rsid w:val="006D318A"/>
    <w:rsid w:val="006D427D"/>
    <w:rsid w:val="006F7C31"/>
    <w:rsid w:val="0070510F"/>
    <w:rsid w:val="00707C01"/>
    <w:rsid w:val="00711351"/>
    <w:rsid w:val="00711B10"/>
    <w:rsid w:val="007161F9"/>
    <w:rsid w:val="00724443"/>
    <w:rsid w:val="00727D2F"/>
    <w:rsid w:val="00740793"/>
    <w:rsid w:val="00741604"/>
    <w:rsid w:val="00741D92"/>
    <w:rsid w:val="00743DFC"/>
    <w:rsid w:val="00747A15"/>
    <w:rsid w:val="0075314E"/>
    <w:rsid w:val="00757625"/>
    <w:rsid w:val="0076528C"/>
    <w:rsid w:val="00765438"/>
    <w:rsid w:val="00766E4A"/>
    <w:rsid w:val="00771CAA"/>
    <w:rsid w:val="00774829"/>
    <w:rsid w:val="0078362C"/>
    <w:rsid w:val="00785A15"/>
    <w:rsid w:val="00795917"/>
    <w:rsid w:val="00795C45"/>
    <w:rsid w:val="00796609"/>
    <w:rsid w:val="007A0F88"/>
    <w:rsid w:val="007A4E0E"/>
    <w:rsid w:val="007A72DE"/>
    <w:rsid w:val="007B2454"/>
    <w:rsid w:val="007B72D4"/>
    <w:rsid w:val="007C0FC1"/>
    <w:rsid w:val="007C12AB"/>
    <w:rsid w:val="007C6EBB"/>
    <w:rsid w:val="007D07C5"/>
    <w:rsid w:val="007D42D7"/>
    <w:rsid w:val="007D4A8F"/>
    <w:rsid w:val="007E0D44"/>
    <w:rsid w:val="007E1D40"/>
    <w:rsid w:val="007E414B"/>
    <w:rsid w:val="007E6868"/>
    <w:rsid w:val="007E7889"/>
    <w:rsid w:val="008050B0"/>
    <w:rsid w:val="00810A62"/>
    <w:rsid w:val="00820434"/>
    <w:rsid w:val="00843145"/>
    <w:rsid w:val="00844D05"/>
    <w:rsid w:val="00850326"/>
    <w:rsid w:val="00850A4B"/>
    <w:rsid w:val="00851CD9"/>
    <w:rsid w:val="00851FA1"/>
    <w:rsid w:val="00855E83"/>
    <w:rsid w:val="00856E1B"/>
    <w:rsid w:val="00863D01"/>
    <w:rsid w:val="0086487E"/>
    <w:rsid w:val="00864A28"/>
    <w:rsid w:val="00865C77"/>
    <w:rsid w:val="00867674"/>
    <w:rsid w:val="00872F25"/>
    <w:rsid w:val="00882559"/>
    <w:rsid w:val="00882EBB"/>
    <w:rsid w:val="008838ED"/>
    <w:rsid w:val="00886C20"/>
    <w:rsid w:val="00887E6D"/>
    <w:rsid w:val="00893671"/>
    <w:rsid w:val="008963B5"/>
    <w:rsid w:val="008966C9"/>
    <w:rsid w:val="008A549B"/>
    <w:rsid w:val="008A5DDE"/>
    <w:rsid w:val="008B05B8"/>
    <w:rsid w:val="008B3FF3"/>
    <w:rsid w:val="008B4820"/>
    <w:rsid w:val="008B7183"/>
    <w:rsid w:val="008C0A5B"/>
    <w:rsid w:val="008C269C"/>
    <w:rsid w:val="008C3F28"/>
    <w:rsid w:val="008D2568"/>
    <w:rsid w:val="008E2B35"/>
    <w:rsid w:val="008F1949"/>
    <w:rsid w:val="008F3764"/>
    <w:rsid w:val="00905AA6"/>
    <w:rsid w:val="00913524"/>
    <w:rsid w:val="009257FB"/>
    <w:rsid w:val="00930543"/>
    <w:rsid w:val="00930723"/>
    <w:rsid w:val="00931637"/>
    <w:rsid w:val="00932776"/>
    <w:rsid w:val="00934FEA"/>
    <w:rsid w:val="00937967"/>
    <w:rsid w:val="0094397F"/>
    <w:rsid w:val="00944C43"/>
    <w:rsid w:val="009553C0"/>
    <w:rsid w:val="0095740B"/>
    <w:rsid w:val="0097448A"/>
    <w:rsid w:val="009804A9"/>
    <w:rsid w:val="00991C89"/>
    <w:rsid w:val="009948A1"/>
    <w:rsid w:val="009A2CE2"/>
    <w:rsid w:val="009B0D92"/>
    <w:rsid w:val="009B2346"/>
    <w:rsid w:val="009C1A95"/>
    <w:rsid w:val="009D2048"/>
    <w:rsid w:val="009F0DA8"/>
    <w:rsid w:val="009F4281"/>
    <w:rsid w:val="009F45C8"/>
    <w:rsid w:val="00A1081D"/>
    <w:rsid w:val="00A13648"/>
    <w:rsid w:val="00A137F8"/>
    <w:rsid w:val="00A13931"/>
    <w:rsid w:val="00A14743"/>
    <w:rsid w:val="00A17D6C"/>
    <w:rsid w:val="00A328D4"/>
    <w:rsid w:val="00A40DF2"/>
    <w:rsid w:val="00A424F3"/>
    <w:rsid w:val="00A43352"/>
    <w:rsid w:val="00A47BF2"/>
    <w:rsid w:val="00A47C48"/>
    <w:rsid w:val="00A5219E"/>
    <w:rsid w:val="00A6091B"/>
    <w:rsid w:val="00A61760"/>
    <w:rsid w:val="00A62C6E"/>
    <w:rsid w:val="00A70960"/>
    <w:rsid w:val="00A7486E"/>
    <w:rsid w:val="00A81928"/>
    <w:rsid w:val="00A8227D"/>
    <w:rsid w:val="00A83028"/>
    <w:rsid w:val="00A90F39"/>
    <w:rsid w:val="00A9391F"/>
    <w:rsid w:val="00A948A0"/>
    <w:rsid w:val="00AA0BC7"/>
    <w:rsid w:val="00AB4B98"/>
    <w:rsid w:val="00AB6A5F"/>
    <w:rsid w:val="00AB766D"/>
    <w:rsid w:val="00AC782B"/>
    <w:rsid w:val="00AC78B7"/>
    <w:rsid w:val="00AC7CB6"/>
    <w:rsid w:val="00AD2978"/>
    <w:rsid w:val="00AD3D5E"/>
    <w:rsid w:val="00AD6510"/>
    <w:rsid w:val="00AE2480"/>
    <w:rsid w:val="00AF0010"/>
    <w:rsid w:val="00AF08A7"/>
    <w:rsid w:val="00B0478B"/>
    <w:rsid w:val="00B047BD"/>
    <w:rsid w:val="00B06132"/>
    <w:rsid w:val="00B13244"/>
    <w:rsid w:val="00B14C9F"/>
    <w:rsid w:val="00B24658"/>
    <w:rsid w:val="00B303FE"/>
    <w:rsid w:val="00B340D6"/>
    <w:rsid w:val="00B354A3"/>
    <w:rsid w:val="00B417F6"/>
    <w:rsid w:val="00B423C7"/>
    <w:rsid w:val="00B44642"/>
    <w:rsid w:val="00B524C4"/>
    <w:rsid w:val="00B53326"/>
    <w:rsid w:val="00B56A76"/>
    <w:rsid w:val="00B60049"/>
    <w:rsid w:val="00B62C28"/>
    <w:rsid w:val="00B62D50"/>
    <w:rsid w:val="00B76322"/>
    <w:rsid w:val="00B879A0"/>
    <w:rsid w:val="00B94B62"/>
    <w:rsid w:val="00BA6033"/>
    <w:rsid w:val="00BB4613"/>
    <w:rsid w:val="00BB64CB"/>
    <w:rsid w:val="00BB7877"/>
    <w:rsid w:val="00BB7A99"/>
    <w:rsid w:val="00BC6E27"/>
    <w:rsid w:val="00BC6F15"/>
    <w:rsid w:val="00BD3F13"/>
    <w:rsid w:val="00BE04D8"/>
    <w:rsid w:val="00BE60FA"/>
    <w:rsid w:val="00C1023E"/>
    <w:rsid w:val="00C1255F"/>
    <w:rsid w:val="00C15EC8"/>
    <w:rsid w:val="00C16F10"/>
    <w:rsid w:val="00C17EAF"/>
    <w:rsid w:val="00C302D5"/>
    <w:rsid w:val="00C33414"/>
    <w:rsid w:val="00C36E25"/>
    <w:rsid w:val="00C40D81"/>
    <w:rsid w:val="00C5155B"/>
    <w:rsid w:val="00C61081"/>
    <w:rsid w:val="00C668CF"/>
    <w:rsid w:val="00C67361"/>
    <w:rsid w:val="00C72BA0"/>
    <w:rsid w:val="00C74AE2"/>
    <w:rsid w:val="00C806D5"/>
    <w:rsid w:val="00C863C9"/>
    <w:rsid w:val="00C866CC"/>
    <w:rsid w:val="00C911FF"/>
    <w:rsid w:val="00CA4321"/>
    <w:rsid w:val="00CA4C8F"/>
    <w:rsid w:val="00CB111C"/>
    <w:rsid w:val="00CD034E"/>
    <w:rsid w:val="00CD32A1"/>
    <w:rsid w:val="00CD55F5"/>
    <w:rsid w:val="00CE0255"/>
    <w:rsid w:val="00CF50B3"/>
    <w:rsid w:val="00D0057E"/>
    <w:rsid w:val="00D1789D"/>
    <w:rsid w:val="00D22332"/>
    <w:rsid w:val="00D2286B"/>
    <w:rsid w:val="00D23D91"/>
    <w:rsid w:val="00D260FD"/>
    <w:rsid w:val="00D332FB"/>
    <w:rsid w:val="00D34E3E"/>
    <w:rsid w:val="00D37C29"/>
    <w:rsid w:val="00D401E4"/>
    <w:rsid w:val="00D412D7"/>
    <w:rsid w:val="00D51445"/>
    <w:rsid w:val="00D52FDA"/>
    <w:rsid w:val="00D55EB2"/>
    <w:rsid w:val="00D601F7"/>
    <w:rsid w:val="00D62363"/>
    <w:rsid w:val="00D6526C"/>
    <w:rsid w:val="00D660A9"/>
    <w:rsid w:val="00D66EF6"/>
    <w:rsid w:val="00D715FE"/>
    <w:rsid w:val="00D74C9A"/>
    <w:rsid w:val="00D80EEE"/>
    <w:rsid w:val="00D82612"/>
    <w:rsid w:val="00D86196"/>
    <w:rsid w:val="00D864B0"/>
    <w:rsid w:val="00D87836"/>
    <w:rsid w:val="00D947BF"/>
    <w:rsid w:val="00D96DD8"/>
    <w:rsid w:val="00DA1C53"/>
    <w:rsid w:val="00DA294B"/>
    <w:rsid w:val="00DA296C"/>
    <w:rsid w:val="00DA3DAB"/>
    <w:rsid w:val="00DA4C51"/>
    <w:rsid w:val="00DA6E54"/>
    <w:rsid w:val="00DB1051"/>
    <w:rsid w:val="00DC1AEC"/>
    <w:rsid w:val="00DD03B9"/>
    <w:rsid w:val="00DD0561"/>
    <w:rsid w:val="00DD1051"/>
    <w:rsid w:val="00DE12FB"/>
    <w:rsid w:val="00E06A5B"/>
    <w:rsid w:val="00E14262"/>
    <w:rsid w:val="00E15A28"/>
    <w:rsid w:val="00E16EAD"/>
    <w:rsid w:val="00E1726D"/>
    <w:rsid w:val="00E22397"/>
    <w:rsid w:val="00E2521F"/>
    <w:rsid w:val="00E271F9"/>
    <w:rsid w:val="00E45C1F"/>
    <w:rsid w:val="00E45E89"/>
    <w:rsid w:val="00E46172"/>
    <w:rsid w:val="00E53154"/>
    <w:rsid w:val="00E53764"/>
    <w:rsid w:val="00E564FA"/>
    <w:rsid w:val="00E67E34"/>
    <w:rsid w:val="00E71EDC"/>
    <w:rsid w:val="00E81550"/>
    <w:rsid w:val="00E876B3"/>
    <w:rsid w:val="00E93D02"/>
    <w:rsid w:val="00E964CF"/>
    <w:rsid w:val="00EA2FB1"/>
    <w:rsid w:val="00EA46FC"/>
    <w:rsid w:val="00EA7E88"/>
    <w:rsid w:val="00EB32D7"/>
    <w:rsid w:val="00EB3807"/>
    <w:rsid w:val="00EB5677"/>
    <w:rsid w:val="00EB633C"/>
    <w:rsid w:val="00EC0AFA"/>
    <w:rsid w:val="00EE0F46"/>
    <w:rsid w:val="00EE27F8"/>
    <w:rsid w:val="00EE5117"/>
    <w:rsid w:val="00EE514D"/>
    <w:rsid w:val="00EF0C3A"/>
    <w:rsid w:val="00EF107B"/>
    <w:rsid w:val="00EF13D3"/>
    <w:rsid w:val="00EF7F91"/>
    <w:rsid w:val="00F05921"/>
    <w:rsid w:val="00F063AF"/>
    <w:rsid w:val="00F11A1C"/>
    <w:rsid w:val="00F17103"/>
    <w:rsid w:val="00F20591"/>
    <w:rsid w:val="00F212D9"/>
    <w:rsid w:val="00F26AA2"/>
    <w:rsid w:val="00F30348"/>
    <w:rsid w:val="00F343D1"/>
    <w:rsid w:val="00F40777"/>
    <w:rsid w:val="00F433FF"/>
    <w:rsid w:val="00F43B1C"/>
    <w:rsid w:val="00F57E4A"/>
    <w:rsid w:val="00F6269B"/>
    <w:rsid w:val="00F62F2D"/>
    <w:rsid w:val="00F740E7"/>
    <w:rsid w:val="00F771EA"/>
    <w:rsid w:val="00F7766E"/>
    <w:rsid w:val="00F7778B"/>
    <w:rsid w:val="00F8221F"/>
    <w:rsid w:val="00F90832"/>
    <w:rsid w:val="00F91545"/>
    <w:rsid w:val="00F92FBE"/>
    <w:rsid w:val="00F9562B"/>
    <w:rsid w:val="00F961F6"/>
    <w:rsid w:val="00FA1625"/>
    <w:rsid w:val="00FA16C4"/>
    <w:rsid w:val="00FA7DF8"/>
    <w:rsid w:val="00FB3D80"/>
    <w:rsid w:val="00FB4FF7"/>
    <w:rsid w:val="00FB70A4"/>
    <w:rsid w:val="00FC159F"/>
    <w:rsid w:val="00FD02DA"/>
    <w:rsid w:val="00FD2AA7"/>
    <w:rsid w:val="00FD2FD7"/>
    <w:rsid w:val="00FD36C8"/>
    <w:rsid w:val="00FE2E22"/>
    <w:rsid w:val="00FE37D6"/>
    <w:rsid w:val="00FF2A60"/>
    <w:rsid w:val="00FF51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0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link w:val="FooterChar"/>
    <w:uiPriority w:val="99"/>
    <w:rsid w:val="002A1845"/>
    <w:pPr>
      <w:tabs>
        <w:tab w:val="center" w:pos="4153"/>
        <w:tab w:val="right" w:pos="8306"/>
      </w:tabs>
      <w:jc w:val="both"/>
    </w:pPr>
    <w:rPr>
      <w:szCs w:val="20"/>
      <w:lang w:val="en-GB" w:eastAsia="en-AU"/>
    </w:rPr>
  </w:style>
  <w:style w:type="paragraph" w:styleId="Header">
    <w:name w:val="header"/>
    <w:basedOn w:val="Normal"/>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7E6868"/>
    <w:rPr>
      <w:sz w:val="20"/>
      <w:szCs w:val="20"/>
    </w:rPr>
  </w:style>
  <w:style w:type="character" w:customStyle="1" w:styleId="FootnoteTextChar">
    <w:name w:val="Footnote Text Char"/>
    <w:basedOn w:val="DefaultParagraphFont"/>
    <w:link w:val="FootnoteText"/>
    <w:semiHidden/>
    <w:rsid w:val="007E6868"/>
    <w:rPr>
      <w:lang w:eastAsia="en-US"/>
    </w:rPr>
  </w:style>
  <w:style w:type="character" w:styleId="FootnoteReference">
    <w:name w:val="footnote reference"/>
    <w:basedOn w:val="DefaultParagraphFont"/>
    <w:semiHidden/>
    <w:unhideWhenUsed/>
    <w:rsid w:val="007E6868"/>
    <w:rPr>
      <w:vertAlign w:val="superscript"/>
    </w:rPr>
  </w:style>
  <w:style w:type="character" w:customStyle="1" w:styleId="FooterChar">
    <w:name w:val="Footer Char"/>
    <w:basedOn w:val="DefaultParagraphFont"/>
    <w:link w:val="Footer"/>
    <w:uiPriority w:val="99"/>
    <w:rsid w:val="006D427D"/>
    <w:rPr>
      <w:sz w:val="24"/>
      <w:lang w:val="en-GB" w:eastAsia="en-AU"/>
    </w:rPr>
  </w:style>
  <w:style w:type="paragraph" w:styleId="BalloonText">
    <w:name w:val="Balloon Text"/>
    <w:basedOn w:val="Normal"/>
    <w:link w:val="BalloonTextChar"/>
    <w:semiHidden/>
    <w:unhideWhenUsed/>
    <w:rsid w:val="00E81550"/>
    <w:rPr>
      <w:rFonts w:ascii="Tahoma" w:hAnsi="Tahoma" w:cs="Tahoma"/>
      <w:sz w:val="16"/>
      <w:szCs w:val="16"/>
    </w:rPr>
  </w:style>
  <w:style w:type="character" w:customStyle="1" w:styleId="BalloonTextChar">
    <w:name w:val="Balloon Text Char"/>
    <w:basedOn w:val="DefaultParagraphFont"/>
    <w:link w:val="BalloonText"/>
    <w:semiHidden/>
    <w:rsid w:val="00E815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ituling">
    <w:name w:val="Intituling"/>
    <w:rsid w:val="002A1845"/>
    <w:pPr>
      <w:tabs>
        <w:tab w:val="left" w:pos="1728"/>
        <w:tab w:val="left" w:pos="4032"/>
      </w:tabs>
      <w:suppressAutoHyphens/>
    </w:pPr>
    <w:rPr>
      <w:rFonts w:ascii="TmsRmn 12pt" w:hAnsi="TmsRmn 12pt"/>
      <w:sz w:val="24"/>
      <w:lang w:val="en-US" w:eastAsia="en-AU"/>
    </w:rPr>
  </w:style>
  <w:style w:type="paragraph" w:styleId="Footer">
    <w:name w:val="footer"/>
    <w:basedOn w:val="Normal"/>
    <w:link w:val="FooterChar"/>
    <w:uiPriority w:val="99"/>
    <w:rsid w:val="002A1845"/>
    <w:pPr>
      <w:tabs>
        <w:tab w:val="center" w:pos="4153"/>
        <w:tab w:val="right" w:pos="8306"/>
      </w:tabs>
      <w:jc w:val="both"/>
    </w:pPr>
    <w:rPr>
      <w:szCs w:val="20"/>
      <w:lang w:val="en-GB" w:eastAsia="en-AU"/>
    </w:rPr>
  </w:style>
  <w:style w:type="paragraph" w:styleId="Header">
    <w:name w:val="header"/>
    <w:basedOn w:val="Normal"/>
    <w:rsid w:val="002A1845"/>
    <w:pPr>
      <w:tabs>
        <w:tab w:val="center" w:pos="4320"/>
        <w:tab w:val="right" w:pos="8640"/>
      </w:tabs>
    </w:pPr>
  </w:style>
  <w:style w:type="table" w:styleId="TableGrid">
    <w:name w:val="Table Grid"/>
    <w:basedOn w:val="TableNormal"/>
    <w:rsid w:val="000D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D92"/>
    <w:pPr>
      <w:ind w:left="720"/>
      <w:contextualSpacing/>
    </w:pPr>
  </w:style>
  <w:style w:type="paragraph" w:styleId="FootnoteText">
    <w:name w:val="footnote text"/>
    <w:basedOn w:val="Normal"/>
    <w:link w:val="FootnoteTextChar"/>
    <w:semiHidden/>
    <w:unhideWhenUsed/>
    <w:rsid w:val="007E6868"/>
    <w:rPr>
      <w:sz w:val="20"/>
      <w:szCs w:val="20"/>
    </w:rPr>
  </w:style>
  <w:style w:type="character" w:customStyle="1" w:styleId="FootnoteTextChar">
    <w:name w:val="Footnote Text Char"/>
    <w:basedOn w:val="DefaultParagraphFont"/>
    <w:link w:val="FootnoteText"/>
    <w:semiHidden/>
    <w:rsid w:val="007E6868"/>
    <w:rPr>
      <w:lang w:eastAsia="en-US"/>
    </w:rPr>
  </w:style>
  <w:style w:type="character" w:styleId="FootnoteReference">
    <w:name w:val="footnote reference"/>
    <w:basedOn w:val="DefaultParagraphFont"/>
    <w:semiHidden/>
    <w:unhideWhenUsed/>
    <w:rsid w:val="007E6868"/>
    <w:rPr>
      <w:vertAlign w:val="superscript"/>
    </w:rPr>
  </w:style>
  <w:style w:type="character" w:customStyle="1" w:styleId="FooterChar">
    <w:name w:val="Footer Char"/>
    <w:basedOn w:val="DefaultParagraphFont"/>
    <w:link w:val="Footer"/>
    <w:uiPriority w:val="99"/>
    <w:rsid w:val="006D427D"/>
    <w:rPr>
      <w:sz w:val="24"/>
      <w:lang w:val="en-GB" w:eastAsia="en-AU"/>
    </w:rPr>
  </w:style>
  <w:style w:type="paragraph" w:styleId="BalloonText">
    <w:name w:val="Balloon Text"/>
    <w:basedOn w:val="Normal"/>
    <w:link w:val="BalloonTextChar"/>
    <w:semiHidden/>
    <w:unhideWhenUsed/>
    <w:rsid w:val="00E81550"/>
    <w:rPr>
      <w:rFonts w:ascii="Tahoma" w:hAnsi="Tahoma" w:cs="Tahoma"/>
      <w:sz w:val="16"/>
      <w:szCs w:val="16"/>
    </w:rPr>
  </w:style>
  <w:style w:type="character" w:customStyle="1" w:styleId="BalloonTextChar">
    <w:name w:val="Balloon Text Char"/>
    <w:basedOn w:val="DefaultParagraphFont"/>
    <w:link w:val="BalloonText"/>
    <w:semiHidden/>
    <w:rsid w:val="00E815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DISTRICT%20COURT%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C28C272EDE41984D67F2A8F689F6" ma:contentTypeVersion="1" ma:contentTypeDescription="Create a new document." ma:contentTypeScope="" ma:versionID="020e513422b7cebece18c6a85092d1df">
  <xsd:schema xmlns:xsd="http://www.w3.org/2001/XMLSchema" xmlns:xs="http://www.w3.org/2001/XMLSchema" xmlns:p="http://schemas.microsoft.com/office/2006/metadata/properties" xmlns:ns3="8013bbe8-17fd-4fce-9896-91ccafb96a88" targetNamespace="http://schemas.microsoft.com/office/2006/metadata/properties" ma:root="true" ma:fieldsID="850800ec6ca00910cffdadbaadf4bd44" ns3:_="">
    <xsd:import namespace="8013bbe8-17fd-4fce-9896-91ccafb96a8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bbe8-17fd-4fce-9896-91ccafb96a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D9BC-BC2A-4EE3-BF62-E8F74B33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bbe8-17fd-4fce-9896-91ccafb96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A24C-6CE8-4D8A-9E74-F3A6C0EACA82}">
  <ds:schemaRefs>
    <ds:schemaRef ds:uri="http://schemas.microsoft.com/sharepoint/v3/contenttype/forms"/>
  </ds:schemaRefs>
</ds:datastoreItem>
</file>

<file path=customXml/itemProps3.xml><?xml version="1.0" encoding="utf-8"?>
<ds:datastoreItem xmlns:ds="http://schemas.openxmlformats.org/officeDocument/2006/customXml" ds:itemID="{F724C2E3-F753-4E1E-8BF0-9721592C6304}">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8013bbe8-17fd-4fce-9896-91ccafb96a88"/>
  </ds:schemaRefs>
</ds:datastoreItem>
</file>

<file path=customXml/itemProps4.xml><?xml version="1.0" encoding="utf-8"?>
<ds:datastoreItem xmlns:ds="http://schemas.openxmlformats.org/officeDocument/2006/customXml" ds:itemID="{3D5EA9C6-86E7-470F-93C5-576077C8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DISTRICT COURT FORMAT</Template>
  <TotalTime>1</TotalTime>
  <Pages>23</Pages>
  <Words>6348</Words>
  <Characters>32529</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IN THE HIGH COURT OF NEW ZEALAND</vt:lpstr>
    </vt:vector>
  </TitlesOfParts>
  <Company>Gordon Pilditch</Company>
  <LinksUpToDate>false</LinksUpToDate>
  <CharactersWithSpaces>38800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YEARS AHEAD LIMITED: An appeal against the Psychoactive Substances Regulatory Authority’s decision</dc:title>
  <dc:creator/>
  <cp:lastModifiedBy>Ministry of Health</cp:lastModifiedBy>
  <cp:revision>3</cp:revision>
  <cp:lastPrinted>2013-10-22T02:53:00Z</cp:lastPrinted>
  <dcterms:created xsi:type="dcterms:W3CDTF">2014-11-13T20:41:00Z</dcterms:created>
  <dcterms:modified xsi:type="dcterms:W3CDTF">2014-11-13T20:54:00Z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0x010100A356C28C272EDE41984D67F2A8F689F6</vt:lpwstr>
  </property>
  <property fmtid="{D5CDD505-2E9C-101B-9397-08002B2CF9AE}" pid="3" name="IsMyDocuments">
    <vt:bool>true</vt:bool>
  </property>
</Properties>
</file>