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insideH w:val="none" w:sz="0" w:space="0" w:color="auto"/>
          <w:insideV w:val="none" w:sz="0" w:space="0" w:color="auto"/>
        </w:tblBorders>
        <w:tblLook w:val="04A0" w:firstRow="1" w:lastRow="0" w:firstColumn="1" w:lastColumn="0" w:noHBand="0" w:noVBand="1"/>
      </w:tblPr>
      <w:tblGrid>
        <w:gridCol w:w="9242"/>
      </w:tblGrid>
      <w:tr w:rsidR="00227865" w:rsidRPr="005965AD" w:rsidTr="00383D2E">
        <w:tc>
          <w:tcPr>
            <w:tcW w:w="10740" w:type="dxa"/>
          </w:tcPr>
          <w:p w:rsidR="00227865" w:rsidRPr="005965AD" w:rsidRDefault="00781005" w:rsidP="00871B5E">
            <w:pPr>
              <w:pStyle w:val="Heading1"/>
            </w:pPr>
            <w:r>
              <w:t>Important</w:t>
            </w:r>
            <w:r w:rsidR="00227865" w:rsidRPr="005965AD">
              <w:t xml:space="preserve"> Messages for the </w:t>
            </w:r>
            <w:r w:rsidR="00227865" w:rsidRPr="00871B5E">
              <w:t>Implementation</w:t>
            </w:r>
            <w:r w:rsidR="00227865" w:rsidRPr="005965AD">
              <w:t xml:space="preserve"> of the Substance Addiction (Compulsory Assessment and Treatment) Act</w:t>
            </w:r>
          </w:p>
        </w:tc>
      </w:tr>
      <w:tr w:rsidR="00227865" w:rsidRPr="005965AD" w:rsidTr="00383D2E">
        <w:tc>
          <w:tcPr>
            <w:tcW w:w="10740" w:type="dxa"/>
          </w:tcPr>
          <w:p w:rsidR="00D66067" w:rsidRDefault="00D66067" w:rsidP="00383D2E">
            <w:pPr>
              <w:rPr>
                <w:color w:val="FF0000"/>
                <w:sz w:val="22"/>
              </w:rPr>
            </w:pPr>
          </w:p>
          <w:p w:rsidR="00227865" w:rsidRDefault="00D66067" w:rsidP="00383D2E">
            <w:pPr>
              <w:rPr>
                <w:b/>
                <w:color w:val="FF0000"/>
                <w:sz w:val="22"/>
              </w:rPr>
            </w:pPr>
            <w:r>
              <w:rPr>
                <w:color w:val="FF0000"/>
                <w:sz w:val="22"/>
              </w:rPr>
              <w:t xml:space="preserve"> </w:t>
            </w:r>
            <w:r w:rsidRPr="005965AD">
              <w:rPr>
                <w:color w:val="FF0000"/>
                <w:sz w:val="22"/>
              </w:rPr>
              <w:t>Reporting Requirements for Tracking Health Service Utilisation</w:t>
            </w:r>
          </w:p>
          <w:p w:rsidR="00D66067" w:rsidRPr="005965AD" w:rsidRDefault="00D66067" w:rsidP="00383D2E">
            <w:pPr>
              <w:rPr>
                <w:b/>
                <w:color w:val="FF0000"/>
                <w:sz w:val="22"/>
              </w:rPr>
            </w:pPr>
          </w:p>
        </w:tc>
      </w:tr>
      <w:tr w:rsidR="00227865" w:rsidRPr="005965AD" w:rsidTr="00383D2E">
        <w:tc>
          <w:tcPr>
            <w:tcW w:w="10740" w:type="dxa"/>
          </w:tcPr>
          <w:p w:rsidR="00227865" w:rsidRPr="005965AD" w:rsidRDefault="00227865" w:rsidP="00383D2E">
            <w:pPr>
              <w:shd w:val="clear" w:color="auto" w:fill="FFFFFF" w:themeFill="background1"/>
              <w:rPr>
                <w:b/>
                <w:color w:val="FF0000"/>
                <w:sz w:val="22"/>
              </w:rPr>
            </w:pPr>
            <w:r w:rsidRPr="005965AD">
              <w:rPr>
                <w:color w:val="FF0000"/>
                <w:sz w:val="22"/>
              </w:rPr>
              <w:t>Prepared for: DHB Funding and Planning, Treatment Services</w:t>
            </w:r>
          </w:p>
        </w:tc>
      </w:tr>
      <w:tr w:rsidR="00227865" w:rsidRPr="005965AD" w:rsidTr="00383D2E">
        <w:tc>
          <w:tcPr>
            <w:tcW w:w="10740" w:type="dxa"/>
          </w:tcPr>
          <w:p w:rsidR="00227865" w:rsidRPr="005965AD" w:rsidRDefault="00227865" w:rsidP="00D66067">
            <w:pPr>
              <w:rPr>
                <w:color w:val="FF0000"/>
                <w:sz w:val="22"/>
              </w:rPr>
            </w:pPr>
            <w:r w:rsidRPr="005965AD">
              <w:rPr>
                <w:color w:val="FF0000"/>
                <w:sz w:val="22"/>
              </w:rPr>
              <w:t xml:space="preserve">Intended Audience: </w:t>
            </w:r>
            <w:r w:rsidR="009C0C5C" w:rsidRPr="005965AD">
              <w:rPr>
                <w:color w:val="FF0000"/>
                <w:sz w:val="22"/>
              </w:rPr>
              <w:t>Data Analysts</w:t>
            </w:r>
            <w:r w:rsidR="00D66067">
              <w:rPr>
                <w:color w:val="FF0000"/>
                <w:sz w:val="22"/>
              </w:rPr>
              <w:t>, PRIMHD Site Coorodinators, NCAMP</w:t>
            </w:r>
          </w:p>
        </w:tc>
      </w:tr>
    </w:tbl>
    <w:p w:rsidR="00227865" w:rsidRPr="005965AD" w:rsidRDefault="00227865" w:rsidP="00227865">
      <w:pPr>
        <w:rPr>
          <w:sz w:val="22"/>
        </w:rPr>
      </w:pPr>
    </w:p>
    <w:p w:rsidR="00227865" w:rsidRPr="005965AD" w:rsidRDefault="00227865" w:rsidP="00871B5E">
      <w:pPr>
        <w:pStyle w:val="Heading2"/>
      </w:pPr>
      <w:r w:rsidRPr="00871B5E">
        <w:t>Introduction</w:t>
      </w:r>
    </w:p>
    <w:p w:rsidR="00227865" w:rsidRPr="005965AD" w:rsidRDefault="00227865" w:rsidP="00227865">
      <w:pPr>
        <w:rPr>
          <w:sz w:val="22"/>
        </w:rPr>
      </w:pPr>
      <w:r w:rsidRPr="005965AD">
        <w:rPr>
          <w:sz w:val="22"/>
        </w:rPr>
        <w:t>Legislation to allow for someone to be assessed and treated under compulsion for their substance abuse issues has been around for over fifty years.</w:t>
      </w:r>
    </w:p>
    <w:p w:rsidR="00227865" w:rsidRPr="005965AD" w:rsidRDefault="00227865" w:rsidP="00227865">
      <w:pPr>
        <w:rPr>
          <w:sz w:val="22"/>
        </w:rPr>
      </w:pPr>
      <w:r w:rsidRPr="005965AD">
        <w:rPr>
          <w:sz w:val="22"/>
        </w:rPr>
        <w:t>The existing legislation has been thoroughly upgraded and new legislation is to commence on 21 February 2018.</w:t>
      </w:r>
    </w:p>
    <w:p w:rsidR="00227865" w:rsidRPr="005965AD" w:rsidRDefault="00227865" w:rsidP="00227865">
      <w:pPr>
        <w:rPr>
          <w:sz w:val="22"/>
        </w:rPr>
      </w:pPr>
      <w:r w:rsidRPr="005965AD">
        <w:rPr>
          <w:sz w:val="22"/>
        </w:rPr>
        <w:t>Like the previous legislation the new Substance Addiction (Compulsory Assessment and Treatment Act) 2017 is reserved as a last resort and for the most severe forms of addiction.</w:t>
      </w:r>
    </w:p>
    <w:p w:rsidR="00227865" w:rsidRPr="005965AD" w:rsidRDefault="00227865" w:rsidP="00227865">
      <w:pPr>
        <w:rPr>
          <w:rFonts w:ascii="Arial Mäori" w:hAnsi="Arial Mäori" w:cs="Arial Mäori"/>
          <w:color w:val="000000"/>
          <w:sz w:val="22"/>
        </w:rPr>
      </w:pPr>
      <w:r w:rsidRPr="005965AD">
        <w:rPr>
          <w:rFonts w:ascii="Arial Mäori" w:hAnsi="Arial Mäori" w:cs="Arial Mäori"/>
          <w:color w:val="000000"/>
          <w:sz w:val="22"/>
        </w:rPr>
        <w:t>Compulsory assessment and treatment is intended to:</w:t>
      </w:r>
    </w:p>
    <w:p w:rsidR="00227865" w:rsidRPr="005965AD" w:rsidRDefault="00227865" w:rsidP="00227865">
      <w:pPr>
        <w:numPr>
          <w:ilvl w:val="0"/>
          <w:numId w:val="1"/>
        </w:numPr>
        <w:rPr>
          <w:rFonts w:ascii="Arial Mäori" w:hAnsi="Arial Mäori" w:cs="Arial Mäori"/>
          <w:color w:val="000000"/>
          <w:sz w:val="22"/>
        </w:rPr>
      </w:pPr>
      <w:r w:rsidRPr="005965AD">
        <w:rPr>
          <w:rFonts w:ascii="Arial Mäori" w:hAnsi="Arial Mäori" w:cs="Arial Mäori"/>
          <w:bCs/>
          <w:color w:val="000000"/>
          <w:sz w:val="22"/>
        </w:rPr>
        <w:t>protect the person from harm; and</w:t>
      </w:r>
    </w:p>
    <w:p w:rsidR="00227865" w:rsidRPr="005965AD" w:rsidRDefault="00227865" w:rsidP="00227865">
      <w:pPr>
        <w:numPr>
          <w:ilvl w:val="0"/>
          <w:numId w:val="1"/>
        </w:numPr>
        <w:rPr>
          <w:rFonts w:ascii="Arial Mäori" w:hAnsi="Arial Mäori" w:cs="Arial Mäori"/>
          <w:color w:val="000000"/>
          <w:sz w:val="22"/>
        </w:rPr>
      </w:pPr>
      <w:r w:rsidRPr="005965AD">
        <w:rPr>
          <w:rFonts w:ascii="Arial Mäori" w:hAnsi="Arial Mäori" w:cs="Arial Mäori"/>
          <w:bCs/>
          <w:color w:val="000000"/>
          <w:sz w:val="22"/>
        </w:rPr>
        <w:t>allow a comprehensive assessment of their addiction; and</w:t>
      </w:r>
    </w:p>
    <w:p w:rsidR="00227865" w:rsidRPr="005965AD" w:rsidRDefault="00227865" w:rsidP="00227865">
      <w:pPr>
        <w:numPr>
          <w:ilvl w:val="0"/>
          <w:numId w:val="1"/>
        </w:numPr>
        <w:rPr>
          <w:rFonts w:ascii="Arial Mäori" w:hAnsi="Arial Mäori" w:cs="Arial Mäori"/>
          <w:color w:val="000000"/>
          <w:sz w:val="22"/>
        </w:rPr>
      </w:pPr>
      <w:r w:rsidRPr="005965AD">
        <w:rPr>
          <w:rFonts w:ascii="Arial Mäori" w:hAnsi="Arial Mäori" w:cs="Arial Mäori"/>
          <w:bCs/>
          <w:color w:val="000000"/>
          <w:sz w:val="22"/>
        </w:rPr>
        <w:t>stabilise their health (including medically managed withdrawal); and</w:t>
      </w:r>
    </w:p>
    <w:p w:rsidR="00227865" w:rsidRPr="005965AD" w:rsidRDefault="00227865" w:rsidP="00227865">
      <w:pPr>
        <w:numPr>
          <w:ilvl w:val="0"/>
          <w:numId w:val="1"/>
        </w:numPr>
        <w:rPr>
          <w:rFonts w:ascii="Arial Mäori" w:hAnsi="Arial Mäori" w:cs="Arial Mäori"/>
          <w:color w:val="000000"/>
          <w:sz w:val="22"/>
        </w:rPr>
      </w:pPr>
      <w:r w:rsidRPr="005965AD">
        <w:rPr>
          <w:rFonts w:ascii="Arial Mäori" w:hAnsi="Arial Mäori" w:cs="Arial Mäori"/>
          <w:bCs/>
          <w:color w:val="000000"/>
          <w:sz w:val="22"/>
        </w:rPr>
        <w:t>protect and enhance their mana and dignity and restore their capacity to make informed decisions; and</w:t>
      </w:r>
    </w:p>
    <w:p w:rsidR="00227865" w:rsidRPr="005965AD" w:rsidRDefault="00227865" w:rsidP="00227865">
      <w:pPr>
        <w:numPr>
          <w:ilvl w:val="0"/>
          <w:numId w:val="1"/>
        </w:numPr>
        <w:rPr>
          <w:rFonts w:ascii="Arial Mäori" w:hAnsi="Arial Mäori" w:cs="Arial Mäori"/>
          <w:color w:val="000000"/>
          <w:sz w:val="22"/>
        </w:rPr>
      </w:pPr>
      <w:r w:rsidRPr="005965AD">
        <w:rPr>
          <w:rFonts w:ascii="Arial Mäori" w:hAnsi="Arial Mäori" w:cs="Arial Mäori"/>
          <w:bCs/>
          <w:color w:val="000000"/>
          <w:sz w:val="22"/>
        </w:rPr>
        <w:t>facilitate continued medical treatment and care on a voluntary basis; and</w:t>
      </w:r>
    </w:p>
    <w:p w:rsidR="00227865" w:rsidRPr="005965AD" w:rsidRDefault="00227865" w:rsidP="00227865">
      <w:pPr>
        <w:numPr>
          <w:ilvl w:val="0"/>
          <w:numId w:val="1"/>
        </w:numPr>
        <w:rPr>
          <w:rFonts w:ascii="Arial Mäori" w:hAnsi="Arial Mäori" w:cs="Arial Mäori"/>
          <w:color w:val="000000"/>
          <w:sz w:val="22"/>
        </w:rPr>
      </w:pPr>
      <w:r w:rsidRPr="005965AD">
        <w:rPr>
          <w:rFonts w:ascii="Arial Mäori" w:hAnsi="Arial Mäori" w:cs="Arial Mäori"/>
          <w:bCs/>
          <w:color w:val="000000"/>
          <w:sz w:val="22"/>
        </w:rPr>
        <w:t>provide an opportunity to engage in voluntary addiction treatment.</w:t>
      </w:r>
    </w:p>
    <w:p w:rsidR="00667235" w:rsidRPr="005965AD" w:rsidRDefault="00667235" w:rsidP="00871B5E">
      <w:pPr>
        <w:pStyle w:val="Heading2"/>
      </w:pPr>
      <w:r w:rsidRPr="005965AD">
        <w:t>What data is required to be collected?</w:t>
      </w:r>
    </w:p>
    <w:p w:rsidR="00667235" w:rsidRPr="005965AD" w:rsidRDefault="00667235" w:rsidP="00667235">
      <w:pPr>
        <w:rPr>
          <w:sz w:val="22"/>
        </w:rPr>
      </w:pPr>
      <w:r w:rsidRPr="005965AD">
        <w:rPr>
          <w:sz w:val="22"/>
        </w:rPr>
        <w:t>The data that will be required to be collected represents the activities to cover the continuum of service engagement from first contact with an authorised officer through to eventual discharge.  Even then, it would be useful to show a person’s service utilisation before application of the Act, and for up to twelve months post-discharge.</w:t>
      </w:r>
    </w:p>
    <w:p w:rsidR="00667235" w:rsidRPr="005965AD" w:rsidRDefault="00667235" w:rsidP="00667235">
      <w:pPr>
        <w:rPr>
          <w:sz w:val="22"/>
        </w:rPr>
      </w:pPr>
      <w:r w:rsidRPr="005965AD">
        <w:rPr>
          <w:sz w:val="22"/>
        </w:rPr>
        <w:t xml:space="preserve">The following information is specifically required by section 119 of the SACAT Act. </w:t>
      </w:r>
    </w:p>
    <w:tbl>
      <w:tblPr>
        <w:tblStyle w:val="TableGrid"/>
        <w:tblW w:w="0" w:type="auto"/>
        <w:tblLook w:val="04A0" w:firstRow="1" w:lastRow="0" w:firstColumn="1" w:lastColumn="0" w:noHBand="0" w:noVBand="1"/>
      </w:tblPr>
      <w:tblGrid>
        <w:gridCol w:w="2222"/>
        <w:gridCol w:w="6675"/>
      </w:tblGrid>
      <w:tr w:rsidR="00667235" w:rsidRPr="005965AD" w:rsidTr="00383D2E">
        <w:trPr>
          <w:trHeight w:val="761"/>
        </w:trPr>
        <w:tc>
          <w:tcPr>
            <w:tcW w:w="2222" w:type="dxa"/>
          </w:tcPr>
          <w:p w:rsidR="00667235" w:rsidRPr="005965AD" w:rsidRDefault="00667235" w:rsidP="00383D2E">
            <w:pPr>
              <w:rPr>
                <w:b/>
                <w:sz w:val="22"/>
              </w:rPr>
            </w:pPr>
            <w:r w:rsidRPr="005965AD">
              <w:rPr>
                <w:b/>
                <w:sz w:val="22"/>
              </w:rPr>
              <w:t>Data required to comply with the Act (s119)</w:t>
            </w:r>
          </w:p>
        </w:tc>
        <w:tc>
          <w:tcPr>
            <w:tcW w:w="6675" w:type="dxa"/>
          </w:tcPr>
          <w:p w:rsidR="00667235" w:rsidRPr="005965AD" w:rsidRDefault="00667235" w:rsidP="00383D2E">
            <w:pPr>
              <w:rPr>
                <w:b/>
                <w:sz w:val="22"/>
              </w:rPr>
            </w:pPr>
            <w:r w:rsidRPr="005965AD">
              <w:rPr>
                <w:b/>
                <w:sz w:val="22"/>
              </w:rPr>
              <w:t xml:space="preserve">Explanation </w:t>
            </w:r>
          </w:p>
        </w:tc>
      </w:tr>
      <w:tr w:rsidR="00667235" w:rsidRPr="005965AD" w:rsidTr="00383D2E">
        <w:tc>
          <w:tcPr>
            <w:tcW w:w="2222" w:type="dxa"/>
          </w:tcPr>
          <w:p w:rsidR="00667235" w:rsidRPr="005965AD" w:rsidRDefault="00667235" w:rsidP="00383D2E">
            <w:pPr>
              <w:rPr>
                <w:sz w:val="22"/>
              </w:rPr>
            </w:pPr>
            <w:r w:rsidRPr="005965AD">
              <w:rPr>
                <w:sz w:val="22"/>
              </w:rPr>
              <w:t xml:space="preserve">Number of people detained </w:t>
            </w:r>
          </w:p>
        </w:tc>
        <w:tc>
          <w:tcPr>
            <w:tcW w:w="6675" w:type="dxa"/>
          </w:tcPr>
          <w:p w:rsidR="00667235" w:rsidRPr="005965AD" w:rsidRDefault="00667235" w:rsidP="00383D2E">
            <w:pPr>
              <w:rPr>
                <w:sz w:val="22"/>
              </w:rPr>
            </w:pPr>
            <w:r w:rsidRPr="005965AD">
              <w:rPr>
                <w:sz w:val="22"/>
              </w:rPr>
              <w:t xml:space="preserve">Compulsory status (‘detention’) starts at when a compulsory treatment certificate is issued </w:t>
            </w:r>
          </w:p>
        </w:tc>
      </w:tr>
      <w:tr w:rsidR="00667235" w:rsidRPr="005965AD" w:rsidTr="00383D2E">
        <w:tc>
          <w:tcPr>
            <w:tcW w:w="2222" w:type="dxa"/>
          </w:tcPr>
          <w:p w:rsidR="00667235" w:rsidRPr="005965AD" w:rsidRDefault="00667235" w:rsidP="00383D2E">
            <w:pPr>
              <w:rPr>
                <w:sz w:val="22"/>
              </w:rPr>
            </w:pPr>
            <w:r w:rsidRPr="005965AD">
              <w:rPr>
                <w:sz w:val="22"/>
              </w:rPr>
              <w:t>Length of detention</w:t>
            </w:r>
          </w:p>
        </w:tc>
        <w:tc>
          <w:tcPr>
            <w:tcW w:w="6675" w:type="dxa"/>
          </w:tcPr>
          <w:p w:rsidR="00667235" w:rsidRPr="005965AD" w:rsidRDefault="00667235" w:rsidP="00383D2E">
            <w:pPr>
              <w:rPr>
                <w:sz w:val="22"/>
              </w:rPr>
            </w:pPr>
            <w:r w:rsidRPr="005965AD">
              <w:rPr>
                <w:sz w:val="22"/>
              </w:rPr>
              <w:t>Period between section 23 and release from compulsory status</w:t>
            </w:r>
          </w:p>
        </w:tc>
      </w:tr>
      <w:tr w:rsidR="00667235" w:rsidRPr="005965AD" w:rsidTr="00383D2E">
        <w:tc>
          <w:tcPr>
            <w:tcW w:w="2222" w:type="dxa"/>
          </w:tcPr>
          <w:p w:rsidR="00667235" w:rsidRPr="005965AD" w:rsidRDefault="00667235" w:rsidP="00383D2E">
            <w:pPr>
              <w:rPr>
                <w:sz w:val="22"/>
              </w:rPr>
            </w:pPr>
            <w:r w:rsidRPr="005965AD">
              <w:rPr>
                <w:sz w:val="22"/>
              </w:rPr>
              <w:t>Compulsory treatment orders made</w:t>
            </w:r>
          </w:p>
        </w:tc>
        <w:tc>
          <w:tcPr>
            <w:tcW w:w="6675" w:type="dxa"/>
          </w:tcPr>
          <w:p w:rsidR="00667235" w:rsidRPr="005965AD" w:rsidRDefault="00667235" w:rsidP="00383D2E">
            <w:pPr>
              <w:rPr>
                <w:sz w:val="22"/>
              </w:rPr>
            </w:pPr>
            <w:r w:rsidRPr="005965AD">
              <w:rPr>
                <w:sz w:val="22"/>
              </w:rPr>
              <w:t xml:space="preserve">Information is also collected by Justice </w:t>
            </w:r>
          </w:p>
        </w:tc>
      </w:tr>
      <w:tr w:rsidR="00667235" w:rsidRPr="005965AD" w:rsidTr="00383D2E">
        <w:tc>
          <w:tcPr>
            <w:tcW w:w="2222" w:type="dxa"/>
          </w:tcPr>
          <w:p w:rsidR="00667235" w:rsidRPr="005965AD" w:rsidRDefault="00667235" w:rsidP="00383D2E">
            <w:pPr>
              <w:rPr>
                <w:sz w:val="22"/>
              </w:rPr>
            </w:pPr>
            <w:r w:rsidRPr="005965AD">
              <w:rPr>
                <w:sz w:val="22"/>
              </w:rPr>
              <w:t xml:space="preserve">Compulsory treatment orders extended </w:t>
            </w:r>
          </w:p>
        </w:tc>
        <w:tc>
          <w:tcPr>
            <w:tcW w:w="6675" w:type="dxa"/>
          </w:tcPr>
          <w:p w:rsidR="00667235" w:rsidRPr="005965AD" w:rsidRDefault="00667235" w:rsidP="00383D2E">
            <w:pPr>
              <w:rPr>
                <w:sz w:val="22"/>
              </w:rPr>
            </w:pPr>
            <w:r w:rsidRPr="005965AD">
              <w:rPr>
                <w:sz w:val="22"/>
              </w:rPr>
              <w:t>Information is also collected by Justice</w:t>
            </w:r>
          </w:p>
        </w:tc>
      </w:tr>
      <w:tr w:rsidR="00667235" w:rsidRPr="005965AD" w:rsidTr="00383D2E">
        <w:tc>
          <w:tcPr>
            <w:tcW w:w="2222" w:type="dxa"/>
          </w:tcPr>
          <w:p w:rsidR="00667235" w:rsidRPr="005965AD" w:rsidRDefault="00667235" w:rsidP="00383D2E">
            <w:pPr>
              <w:rPr>
                <w:sz w:val="22"/>
              </w:rPr>
            </w:pPr>
            <w:r w:rsidRPr="005965AD">
              <w:rPr>
                <w:sz w:val="22"/>
              </w:rPr>
              <w:t>The number of people discharged (and where) – release from compulsory status</w:t>
            </w:r>
          </w:p>
        </w:tc>
        <w:tc>
          <w:tcPr>
            <w:tcW w:w="6675" w:type="dxa"/>
          </w:tcPr>
          <w:p w:rsidR="00667235" w:rsidRPr="005965AD" w:rsidRDefault="00667235" w:rsidP="00383D2E">
            <w:pPr>
              <w:rPr>
                <w:sz w:val="22"/>
              </w:rPr>
            </w:pPr>
            <w:r w:rsidRPr="005965AD">
              <w:rPr>
                <w:sz w:val="22"/>
              </w:rPr>
              <w:t>How many people are released from status prior to the end of the compulsory treatment period?</w:t>
            </w:r>
          </w:p>
          <w:p w:rsidR="00667235" w:rsidRPr="005965AD" w:rsidRDefault="00667235" w:rsidP="00383D2E">
            <w:pPr>
              <w:rPr>
                <w:sz w:val="22"/>
              </w:rPr>
            </w:pPr>
            <w:r w:rsidRPr="005965AD">
              <w:rPr>
                <w:sz w:val="22"/>
              </w:rPr>
              <w:t>Where do they go on release/discharge from a treatment centre?</w:t>
            </w:r>
          </w:p>
        </w:tc>
      </w:tr>
    </w:tbl>
    <w:p w:rsidR="00667235" w:rsidRPr="005965AD" w:rsidRDefault="00667235" w:rsidP="00667235">
      <w:pPr>
        <w:rPr>
          <w:sz w:val="22"/>
        </w:rPr>
      </w:pPr>
    </w:p>
    <w:p w:rsidR="00165E4F" w:rsidRPr="005965AD" w:rsidRDefault="00165E4F" w:rsidP="00871B5E">
      <w:pPr>
        <w:pStyle w:val="Heading2"/>
      </w:pPr>
      <w:r w:rsidRPr="005965AD">
        <w:t>Codes for Reporting Legal Status</w:t>
      </w:r>
    </w:p>
    <w:p w:rsidR="00165E4F" w:rsidRPr="005965AD" w:rsidRDefault="00165E4F" w:rsidP="00165E4F">
      <w:pPr>
        <w:autoSpaceDE w:val="0"/>
        <w:autoSpaceDN w:val="0"/>
        <w:adjustRightInd w:val="0"/>
        <w:spacing w:after="0" w:line="240" w:lineRule="auto"/>
        <w:rPr>
          <w:rFonts w:cs="Arial"/>
          <w:color w:val="000000"/>
          <w:sz w:val="22"/>
        </w:rPr>
      </w:pPr>
      <w:r w:rsidRPr="005965AD">
        <w:rPr>
          <w:rFonts w:cs="Arial"/>
          <w:color w:val="000000"/>
          <w:sz w:val="22"/>
        </w:rPr>
        <w:t>Existing codes for the Alcoholism and Drug Addiction Act will be retired from February 2018.</w:t>
      </w:r>
    </w:p>
    <w:p w:rsidR="00165E4F" w:rsidRPr="005965AD" w:rsidRDefault="00165E4F" w:rsidP="00165E4F">
      <w:pPr>
        <w:autoSpaceDE w:val="0"/>
        <w:autoSpaceDN w:val="0"/>
        <w:adjustRightInd w:val="0"/>
        <w:spacing w:after="0" w:line="240" w:lineRule="auto"/>
        <w:rPr>
          <w:rFonts w:cs="Arial"/>
          <w:color w:val="000000"/>
          <w:sz w:val="22"/>
        </w:rPr>
      </w:pPr>
    </w:p>
    <w:p w:rsidR="00165E4F" w:rsidRPr="005965AD" w:rsidRDefault="00165E4F" w:rsidP="00165E4F">
      <w:pPr>
        <w:autoSpaceDE w:val="0"/>
        <w:autoSpaceDN w:val="0"/>
        <w:adjustRightInd w:val="0"/>
        <w:spacing w:after="0" w:line="240" w:lineRule="auto"/>
        <w:rPr>
          <w:rFonts w:cs="Arial"/>
          <w:color w:val="000000"/>
          <w:sz w:val="22"/>
        </w:rPr>
      </w:pPr>
      <w:r w:rsidRPr="005965AD">
        <w:rPr>
          <w:rFonts w:cs="Arial"/>
          <w:color w:val="000000"/>
          <w:sz w:val="22"/>
        </w:rPr>
        <w:t xml:space="preserve">New legal status (LS) codes to be available from early 2018 are: </w:t>
      </w:r>
    </w:p>
    <w:p w:rsidR="00165E4F" w:rsidRPr="005965AD" w:rsidRDefault="00165E4F" w:rsidP="00165E4F">
      <w:pPr>
        <w:autoSpaceDE w:val="0"/>
        <w:autoSpaceDN w:val="0"/>
        <w:adjustRightInd w:val="0"/>
        <w:spacing w:after="0" w:line="240" w:lineRule="auto"/>
        <w:rPr>
          <w:rFonts w:ascii="Arial Mäori" w:hAnsi="Arial Mäori" w:cs="Arial Mäori"/>
          <w:color w:val="000000"/>
          <w:sz w:val="22"/>
        </w:rPr>
      </w:pPr>
    </w:p>
    <w:p w:rsidR="00165E4F" w:rsidRPr="005965AD" w:rsidRDefault="00165E4F" w:rsidP="005965AD">
      <w:pPr>
        <w:autoSpaceDE w:val="0"/>
        <w:autoSpaceDN w:val="0"/>
        <w:adjustRightInd w:val="0"/>
        <w:spacing w:after="0" w:line="240" w:lineRule="auto"/>
        <w:rPr>
          <w:sz w:val="22"/>
        </w:rPr>
      </w:pPr>
      <w:r w:rsidRPr="005965AD">
        <w:rPr>
          <w:rFonts w:ascii="Arial Mäori" w:hAnsi="Arial Mäori" w:cs="Arial Mäori"/>
          <w:noProof/>
          <w:color w:val="000000"/>
          <w:sz w:val="22"/>
          <w:lang w:eastAsia="en-NZ"/>
        </w:rPr>
        <w:drawing>
          <wp:inline distT="0" distB="0" distL="0" distR="0" wp14:anchorId="2D456430" wp14:editId="5A214E57">
            <wp:extent cx="6029325" cy="5000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29325" cy="5000625"/>
                    </a:xfrm>
                    <a:prstGeom prst="rect">
                      <a:avLst/>
                    </a:prstGeom>
                    <a:noFill/>
                    <a:ln>
                      <a:noFill/>
                    </a:ln>
                  </pic:spPr>
                </pic:pic>
              </a:graphicData>
            </a:graphic>
          </wp:inline>
        </w:drawing>
      </w:r>
    </w:p>
    <w:p w:rsidR="00D66067" w:rsidRDefault="00D66067" w:rsidP="00667235">
      <w:pPr>
        <w:rPr>
          <w:b/>
          <w:color w:val="FF0000"/>
          <w:sz w:val="22"/>
        </w:rPr>
      </w:pPr>
    </w:p>
    <w:p w:rsidR="00D66067" w:rsidRPr="00D66067" w:rsidRDefault="00D66067" w:rsidP="00667235">
      <w:pPr>
        <w:rPr>
          <w:sz w:val="22"/>
        </w:rPr>
      </w:pPr>
      <w:r w:rsidRPr="00D66067">
        <w:rPr>
          <w:color w:val="FF0000"/>
          <w:sz w:val="22"/>
        </w:rPr>
        <w:t>Note</w:t>
      </w:r>
      <w:r w:rsidRPr="00D66067">
        <w:rPr>
          <w:sz w:val="22"/>
        </w:rPr>
        <w:t xml:space="preserve"> – there is </w:t>
      </w:r>
      <w:r>
        <w:rPr>
          <w:sz w:val="22"/>
        </w:rPr>
        <w:t>no separate LS code for discharge from the Act – it will be critical for services to include a “close-off” date under “WO” or “WX” when the person is discharged.</w:t>
      </w:r>
    </w:p>
    <w:p w:rsidR="00D66067" w:rsidRDefault="00D66067" w:rsidP="00667235">
      <w:pPr>
        <w:rPr>
          <w:b/>
          <w:color w:val="FF0000"/>
          <w:sz w:val="22"/>
        </w:rPr>
      </w:pPr>
    </w:p>
    <w:p w:rsidR="00D66067" w:rsidRDefault="00D66067" w:rsidP="00667235">
      <w:pPr>
        <w:rPr>
          <w:b/>
          <w:color w:val="FF0000"/>
          <w:sz w:val="22"/>
        </w:rPr>
      </w:pPr>
    </w:p>
    <w:p w:rsidR="00165E4F" w:rsidRPr="005965AD" w:rsidRDefault="00165E4F" w:rsidP="00871B5E">
      <w:pPr>
        <w:pStyle w:val="Heading2"/>
      </w:pPr>
      <w:r w:rsidRPr="005965AD">
        <w:t>Other data that may be required</w:t>
      </w:r>
    </w:p>
    <w:p w:rsidR="00667235" w:rsidRPr="005965AD" w:rsidRDefault="00667235" w:rsidP="00667235">
      <w:pPr>
        <w:rPr>
          <w:sz w:val="22"/>
        </w:rPr>
      </w:pPr>
      <w:r w:rsidRPr="005965AD">
        <w:rPr>
          <w:sz w:val="22"/>
        </w:rPr>
        <w:t xml:space="preserve">The next table </w:t>
      </w:r>
      <w:r w:rsidR="00E74429">
        <w:rPr>
          <w:sz w:val="22"/>
        </w:rPr>
        <w:t>shows</w:t>
      </w:r>
      <w:r w:rsidRPr="005965AD">
        <w:rPr>
          <w:sz w:val="22"/>
        </w:rPr>
        <w:t xml:space="preserve"> examples of the kinds of questions we will need to answer in respect to the operation of the Act, and present as part of our review of the Act as specified in section 120. </w:t>
      </w:r>
    </w:p>
    <w:p w:rsidR="00667235" w:rsidRPr="005965AD" w:rsidRDefault="00667235" w:rsidP="00667235">
      <w:pPr>
        <w:rPr>
          <w:sz w:val="22"/>
        </w:rPr>
      </w:pPr>
      <w:r w:rsidRPr="005965AD">
        <w:rPr>
          <w:sz w:val="22"/>
        </w:rPr>
        <w:t xml:space="preserve">There are different ways of getting this information – some through analysis of the data collected above, </w:t>
      </w:r>
      <w:r w:rsidR="00165E4F" w:rsidRPr="005965AD">
        <w:rPr>
          <w:sz w:val="22"/>
        </w:rPr>
        <w:t xml:space="preserve">through PRIMHD, </w:t>
      </w:r>
      <w:r w:rsidRPr="005965AD">
        <w:rPr>
          <w:sz w:val="22"/>
        </w:rPr>
        <w:t xml:space="preserve">and some in respect of reports such as those provided by district inspectors (particularly with regard to monitoring patients’ rights). </w:t>
      </w:r>
    </w:p>
    <w:tbl>
      <w:tblPr>
        <w:tblStyle w:val="TableGrid"/>
        <w:tblW w:w="0" w:type="auto"/>
        <w:tblLook w:val="04A0" w:firstRow="1" w:lastRow="0" w:firstColumn="1" w:lastColumn="0" w:noHBand="0" w:noVBand="1"/>
      </w:tblPr>
      <w:tblGrid>
        <w:gridCol w:w="2464"/>
        <w:gridCol w:w="6575"/>
      </w:tblGrid>
      <w:tr w:rsidR="00667235" w:rsidRPr="005965AD" w:rsidTr="00383D2E">
        <w:tc>
          <w:tcPr>
            <w:tcW w:w="2464" w:type="dxa"/>
          </w:tcPr>
          <w:p w:rsidR="00667235" w:rsidRPr="005965AD" w:rsidRDefault="00667235" w:rsidP="00383D2E">
            <w:pPr>
              <w:rPr>
                <w:b/>
                <w:sz w:val="22"/>
              </w:rPr>
            </w:pPr>
            <w:r w:rsidRPr="005965AD">
              <w:rPr>
                <w:b/>
                <w:sz w:val="22"/>
              </w:rPr>
              <w:t xml:space="preserve">Data required to monitor the use of the Act </w:t>
            </w:r>
          </w:p>
        </w:tc>
        <w:tc>
          <w:tcPr>
            <w:tcW w:w="6575" w:type="dxa"/>
          </w:tcPr>
          <w:p w:rsidR="00667235" w:rsidRPr="005965AD" w:rsidRDefault="00667235" w:rsidP="00383D2E">
            <w:pPr>
              <w:rPr>
                <w:b/>
                <w:sz w:val="22"/>
              </w:rPr>
            </w:pPr>
            <w:r w:rsidRPr="005965AD">
              <w:rPr>
                <w:b/>
                <w:sz w:val="22"/>
              </w:rPr>
              <w:t xml:space="preserve">Explanation  </w:t>
            </w:r>
          </w:p>
        </w:tc>
      </w:tr>
      <w:tr w:rsidR="00667235" w:rsidRPr="005965AD" w:rsidTr="00383D2E">
        <w:tc>
          <w:tcPr>
            <w:tcW w:w="2464" w:type="dxa"/>
          </w:tcPr>
          <w:p w:rsidR="00667235" w:rsidRPr="005965AD" w:rsidRDefault="00667235" w:rsidP="00383D2E">
            <w:pPr>
              <w:rPr>
                <w:sz w:val="22"/>
              </w:rPr>
            </w:pPr>
            <w:r w:rsidRPr="005965AD">
              <w:rPr>
                <w:sz w:val="22"/>
              </w:rPr>
              <w:t xml:space="preserve">Number of applications for assessments </w:t>
            </w:r>
          </w:p>
        </w:tc>
        <w:tc>
          <w:tcPr>
            <w:tcW w:w="6575" w:type="dxa"/>
          </w:tcPr>
          <w:p w:rsidR="00667235" w:rsidRPr="005965AD" w:rsidRDefault="00667235" w:rsidP="00383D2E">
            <w:pPr>
              <w:rPr>
                <w:sz w:val="22"/>
              </w:rPr>
            </w:pPr>
            <w:r w:rsidRPr="005965AD">
              <w:rPr>
                <w:sz w:val="22"/>
              </w:rPr>
              <w:t xml:space="preserve">We need to know the number of applications for assessment </w:t>
            </w:r>
          </w:p>
        </w:tc>
      </w:tr>
      <w:tr w:rsidR="00667235" w:rsidRPr="005965AD" w:rsidTr="00383D2E">
        <w:tc>
          <w:tcPr>
            <w:tcW w:w="2464" w:type="dxa"/>
          </w:tcPr>
          <w:p w:rsidR="00667235" w:rsidRPr="005965AD" w:rsidRDefault="00667235" w:rsidP="00383D2E">
            <w:pPr>
              <w:rPr>
                <w:sz w:val="22"/>
              </w:rPr>
            </w:pPr>
            <w:r w:rsidRPr="005965AD">
              <w:rPr>
                <w:sz w:val="22"/>
              </w:rPr>
              <w:t>Number of repeat applications for assessment (by individual, DHB, age, ethnicity)</w:t>
            </w:r>
          </w:p>
        </w:tc>
        <w:tc>
          <w:tcPr>
            <w:tcW w:w="6575" w:type="dxa"/>
          </w:tcPr>
          <w:p w:rsidR="00667235" w:rsidRPr="005965AD" w:rsidRDefault="00667235" w:rsidP="00383D2E">
            <w:pPr>
              <w:rPr>
                <w:sz w:val="22"/>
              </w:rPr>
            </w:pPr>
            <w:r w:rsidRPr="005965AD">
              <w:rPr>
                <w:sz w:val="22"/>
              </w:rPr>
              <w:t>We need to know how many people are subject to more than one application for assessment within a defined period (probably 12 months)</w:t>
            </w:r>
          </w:p>
        </w:tc>
      </w:tr>
      <w:tr w:rsidR="00667235" w:rsidRPr="005965AD" w:rsidTr="00383D2E">
        <w:trPr>
          <w:trHeight w:val="421"/>
        </w:trPr>
        <w:tc>
          <w:tcPr>
            <w:tcW w:w="2464" w:type="dxa"/>
          </w:tcPr>
          <w:p w:rsidR="00667235" w:rsidRPr="005965AD" w:rsidRDefault="00667235" w:rsidP="00383D2E">
            <w:pPr>
              <w:rPr>
                <w:sz w:val="22"/>
              </w:rPr>
            </w:pPr>
            <w:r w:rsidRPr="005965AD">
              <w:rPr>
                <w:sz w:val="22"/>
              </w:rPr>
              <w:t>Number of repeat compulsory treatment certificates issued</w:t>
            </w:r>
          </w:p>
        </w:tc>
        <w:tc>
          <w:tcPr>
            <w:tcW w:w="6575" w:type="dxa"/>
          </w:tcPr>
          <w:p w:rsidR="00667235" w:rsidRPr="005965AD" w:rsidRDefault="00E74429" w:rsidP="00E74429">
            <w:pPr>
              <w:rPr>
                <w:sz w:val="22"/>
              </w:rPr>
            </w:pPr>
            <w:r>
              <w:rPr>
                <w:sz w:val="22"/>
              </w:rPr>
              <w:t>We will want to know h</w:t>
            </w:r>
            <w:r w:rsidR="00667235" w:rsidRPr="005965AD">
              <w:rPr>
                <w:sz w:val="22"/>
              </w:rPr>
              <w:t>ow many people are placed under the Act mor</w:t>
            </w:r>
            <w:r>
              <w:rPr>
                <w:sz w:val="22"/>
              </w:rPr>
              <w:t>e than once in a defined period</w:t>
            </w:r>
          </w:p>
        </w:tc>
      </w:tr>
      <w:tr w:rsidR="00667235" w:rsidRPr="005965AD" w:rsidTr="00383D2E">
        <w:tc>
          <w:tcPr>
            <w:tcW w:w="2464" w:type="dxa"/>
          </w:tcPr>
          <w:p w:rsidR="00667235" w:rsidRPr="005965AD" w:rsidRDefault="00667235" w:rsidP="00383D2E">
            <w:pPr>
              <w:rPr>
                <w:sz w:val="22"/>
              </w:rPr>
            </w:pPr>
            <w:r w:rsidRPr="005965AD">
              <w:rPr>
                <w:sz w:val="22"/>
              </w:rPr>
              <w:t>Medical certificate OR authorised officer’s memorandum</w:t>
            </w:r>
          </w:p>
        </w:tc>
        <w:tc>
          <w:tcPr>
            <w:tcW w:w="6575" w:type="dxa"/>
          </w:tcPr>
          <w:p w:rsidR="00667235" w:rsidRPr="005965AD" w:rsidRDefault="00E74429" w:rsidP="00383D2E">
            <w:pPr>
              <w:rPr>
                <w:sz w:val="22"/>
              </w:rPr>
            </w:pPr>
            <w:r>
              <w:rPr>
                <w:sz w:val="22"/>
              </w:rPr>
              <w:t>We will want to know the numbers and means</w:t>
            </w:r>
          </w:p>
        </w:tc>
      </w:tr>
      <w:tr w:rsidR="00667235" w:rsidRPr="005965AD" w:rsidTr="00383D2E">
        <w:tc>
          <w:tcPr>
            <w:tcW w:w="2464" w:type="dxa"/>
          </w:tcPr>
          <w:p w:rsidR="00667235" w:rsidRPr="005965AD" w:rsidRDefault="00667235" w:rsidP="00383D2E">
            <w:pPr>
              <w:rPr>
                <w:sz w:val="22"/>
              </w:rPr>
            </w:pPr>
            <w:r w:rsidRPr="005965AD">
              <w:rPr>
                <w:sz w:val="22"/>
              </w:rPr>
              <w:t>Children or young people assessed by an approved specialist with expertise in child/adolescent psych.</w:t>
            </w:r>
          </w:p>
        </w:tc>
        <w:tc>
          <w:tcPr>
            <w:tcW w:w="6575" w:type="dxa"/>
          </w:tcPr>
          <w:p w:rsidR="00667235" w:rsidRPr="005965AD" w:rsidRDefault="00E74429" w:rsidP="00E74429">
            <w:pPr>
              <w:rPr>
                <w:sz w:val="22"/>
              </w:rPr>
            </w:pPr>
            <w:r>
              <w:rPr>
                <w:sz w:val="22"/>
              </w:rPr>
              <w:t>We want to show c</w:t>
            </w:r>
            <w:r w:rsidR="00667235" w:rsidRPr="005965AD">
              <w:rPr>
                <w:sz w:val="22"/>
              </w:rPr>
              <w:t>ompliance with in the Act</w:t>
            </w:r>
          </w:p>
        </w:tc>
      </w:tr>
      <w:tr w:rsidR="00667235" w:rsidRPr="005965AD" w:rsidTr="00383D2E">
        <w:tc>
          <w:tcPr>
            <w:tcW w:w="2464" w:type="dxa"/>
          </w:tcPr>
          <w:p w:rsidR="00667235" w:rsidRPr="005965AD" w:rsidRDefault="00667235" w:rsidP="00383D2E">
            <w:pPr>
              <w:rPr>
                <w:sz w:val="22"/>
              </w:rPr>
            </w:pPr>
            <w:r w:rsidRPr="005965AD">
              <w:rPr>
                <w:sz w:val="22"/>
              </w:rPr>
              <w:t>Detention in treatment centre</w:t>
            </w:r>
          </w:p>
        </w:tc>
        <w:tc>
          <w:tcPr>
            <w:tcW w:w="6575" w:type="dxa"/>
          </w:tcPr>
          <w:p w:rsidR="00667235" w:rsidRPr="005965AD" w:rsidRDefault="00E74429" w:rsidP="00383D2E">
            <w:pPr>
              <w:rPr>
                <w:sz w:val="22"/>
              </w:rPr>
            </w:pPr>
            <w:r>
              <w:rPr>
                <w:sz w:val="22"/>
              </w:rPr>
              <w:t>We want to show h</w:t>
            </w:r>
            <w:r w:rsidR="009C0C5C" w:rsidRPr="005965AD">
              <w:rPr>
                <w:sz w:val="22"/>
              </w:rPr>
              <w:t>ow many people accepted into the treatment centre</w:t>
            </w:r>
            <w:r>
              <w:rPr>
                <w:sz w:val="22"/>
              </w:rPr>
              <w:t>, and i</w:t>
            </w:r>
            <w:r w:rsidR="00667235" w:rsidRPr="005965AD">
              <w:rPr>
                <w:sz w:val="22"/>
              </w:rPr>
              <w:t>n how many cases does the treatment cent</w:t>
            </w:r>
            <w:r>
              <w:rPr>
                <w:sz w:val="22"/>
              </w:rPr>
              <w:t>re refuse to accept the patient</w:t>
            </w:r>
          </w:p>
          <w:p w:rsidR="00667235" w:rsidRPr="005965AD" w:rsidRDefault="00667235" w:rsidP="00E74429">
            <w:pPr>
              <w:rPr>
                <w:sz w:val="22"/>
              </w:rPr>
            </w:pPr>
          </w:p>
        </w:tc>
      </w:tr>
      <w:tr w:rsidR="00667235" w:rsidRPr="005965AD" w:rsidTr="00383D2E">
        <w:tc>
          <w:tcPr>
            <w:tcW w:w="2464" w:type="dxa"/>
          </w:tcPr>
          <w:p w:rsidR="00667235" w:rsidRPr="005965AD" w:rsidRDefault="00667235" w:rsidP="00383D2E">
            <w:pPr>
              <w:rPr>
                <w:sz w:val="22"/>
              </w:rPr>
            </w:pPr>
            <w:r w:rsidRPr="005965AD">
              <w:rPr>
                <w:sz w:val="22"/>
              </w:rPr>
              <w:t>Orders made in respect of a child or young person</w:t>
            </w:r>
          </w:p>
        </w:tc>
        <w:tc>
          <w:tcPr>
            <w:tcW w:w="6575" w:type="dxa"/>
          </w:tcPr>
          <w:p w:rsidR="00667235" w:rsidRPr="005965AD" w:rsidRDefault="00667235" w:rsidP="00383D2E">
            <w:pPr>
              <w:rPr>
                <w:sz w:val="22"/>
              </w:rPr>
            </w:pPr>
            <w:r w:rsidRPr="005965AD">
              <w:rPr>
                <w:sz w:val="22"/>
              </w:rPr>
              <w:t>Need to know how many children and young people are subject to the Act</w:t>
            </w:r>
          </w:p>
        </w:tc>
      </w:tr>
      <w:tr w:rsidR="00667235" w:rsidRPr="005965AD" w:rsidTr="00383D2E">
        <w:tc>
          <w:tcPr>
            <w:tcW w:w="2464" w:type="dxa"/>
          </w:tcPr>
          <w:p w:rsidR="00667235" w:rsidRPr="005965AD" w:rsidRDefault="00667235" w:rsidP="00383D2E">
            <w:pPr>
              <w:rPr>
                <w:sz w:val="22"/>
              </w:rPr>
            </w:pPr>
            <w:r w:rsidRPr="005965AD">
              <w:rPr>
                <w:sz w:val="22"/>
              </w:rPr>
              <w:t>Leave of absence (start &amp; end)</w:t>
            </w:r>
          </w:p>
        </w:tc>
        <w:tc>
          <w:tcPr>
            <w:tcW w:w="6575" w:type="dxa"/>
          </w:tcPr>
          <w:p w:rsidR="00667235" w:rsidRPr="005965AD" w:rsidRDefault="00667235" w:rsidP="00383D2E">
            <w:pPr>
              <w:rPr>
                <w:sz w:val="22"/>
              </w:rPr>
            </w:pPr>
            <w:r w:rsidRPr="005965AD">
              <w:rPr>
                <w:sz w:val="22"/>
              </w:rPr>
              <w:t>How many people / how long /what for?</w:t>
            </w:r>
          </w:p>
        </w:tc>
      </w:tr>
      <w:tr w:rsidR="00667235" w:rsidRPr="005965AD" w:rsidTr="00383D2E">
        <w:tc>
          <w:tcPr>
            <w:tcW w:w="2464" w:type="dxa"/>
          </w:tcPr>
          <w:p w:rsidR="00667235" w:rsidRPr="005965AD" w:rsidRDefault="00667235" w:rsidP="00383D2E">
            <w:pPr>
              <w:rPr>
                <w:sz w:val="22"/>
              </w:rPr>
            </w:pPr>
            <w:r w:rsidRPr="005965AD">
              <w:rPr>
                <w:sz w:val="22"/>
              </w:rPr>
              <w:t>Review of patient</w:t>
            </w:r>
          </w:p>
        </w:tc>
        <w:tc>
          <w:tcPr>
            <w:tcW w:w="6575" w:type="dxa"/>
          </w:tcPr>
          <w:p w:rsidR="00667235" w:rsidRPr="005965AD" w:rsidRDefault="00667235" w:rsidP="005965AD">
            <w:pPr>
              <w:rPr>
                <w:sz w:val="22"/>
              </w:rPr>
            </w:pPr>
            <w:r w:rsidRPr="005965AD">
              <w:rPr>
                <w:sz w:val="22"/>
              </w:rPr>
              <w:t>Are responsible clinicians complying with the requirements for ‘regular review’</w:t>
            </w:r>
            <w:r w:rsidR="005965AD">
              <w:rPr>
                <w:sz w:val="22"/>
              </w:rPr>
              <w:t xml:space="preserve"> </w:t>
            </w:r>
            <w:r w:rsidRPr="005965AD">
              <w:rPr>
                <w:sz w:val="22"/>
              </w:rPr>
              <w:t>Note: we will also ask district inspectors to monitor this section</w:t>
            </w:r>
          </w:p>
        </w:tc>
      </w:tr>
      <w:tr w:rsidR="00667235" w:rsidRPr="005965AD" w:rsidTr="00383D2E">
        <w:tc>
          <w:tcPr>
            <w:tcW w:w="2464" w:type="dxa"/>
          </w:tcPr>
          <w:p w:rsidR="00667235" w:rsidRPr="005965AD" w:rsidRDefault="00667235" w:rsidP="00383D2E">
            <w:pPr>
              <w:rPr>
                <w:sz w:val="22"/>
              </w:rPr>
            </w:pPr>
            <w:r w:rsidRPr="005965AD">
              <w:rPr>
                <w:sz w:val="22"/>
              </w:rPr>
              <w:t>Plan for future care and treatment</w:t>
            </w:r>
          </w:p>
        </w:tc>
        <w:tc>
          <w:tcPr>
            <w:tcW w:w="6575" w:type="dxa"/>
          </w:tcPr>
          <w:p w:rsidR="00667235" w:rsidRDefault="00AB42BD" w:rsidP="005965AD">
            <w:pPr>
              <w:rPr>
                <w:sz w:val="22"/>
              </w:rPr>
            </w:pPr>
            <w:r>
              <w:rPr>
                <w:sz w:val="22"/>
              </w:rPr>
              <w:t>We will want to know if there are plans, and may review the content of such plans as part of the wider evaluation</w:t>
            </w:r>
          </w:p>
          <w:p w:rsidR="00AB42BD" w:rsidRPr="005965AD" w:rsidRDefault="00AB42BD" w:rsidP="005965AD">
            <w:pPr>
              <w:rPr>
                <w:sz w:val="22"/>
              </w:rPr>
            </w:pPr>
          </w:p>
        </w:tc>
      </w:tr>
      <w:tr w:rsidR="00667235" w:rsidRPr="005965AD" w:rsidTr="00383D2E">
        <w:tc>
          <w:tcPr>
            <w:tcW w:w="2464" w:type="dxa"/>
          </w:tcPr>
          <w:p w:rsidR="00667235" w:rsidRPr="005965AD" w:rsidRDefault="00667235" w:rsidP="00383D2E">
            <w:pPr>
              <w:rPr>
                <w:sz w:val="22"/>
              </w:rPr>
            </w:pPr>
            <w:r w:rsidRPr="005965AD">
              <w:rPr>
                <w:sz w:val="22"/>
              </w:rPr>
              <w:t>Transitional / savings provisions</w:t>
            </w:r>
          </w:p>
        </w:tc>
        <w:tc>
          <w:tcPr>
            <w:tcW w:w="6575" w:type="dxa"/>
          </w:tcPr>
          <w:p w:rsidR="00667235" w:rsidRPr="005965AD" w:rsidRDefault="00667235" w:rsidP="00383D2E">
            <w:pPr>
              <w:rPr>
                <w:sz w:val="22"/>
              </w:rPr>
            </w:pPr>
            <w:r w:rsidRPr="005965AD">
              <w:rPr>
                <w:sz w:val="22"/>
              </w:rPr>
              <w:t>How many people are transferred from the ADA Act to the SACAT Act</w:t>
            </w:r>
          </w:p>
          <w:p w:rsidR="00667235" w:rsidRPr="005965AD" w:rsidRDefault="00667235" w:rsidP="00383D2E">
            <w:pPr>
              <w:rPr>
                <w:sz w:val="22"/>
              </w:rPr>
            </w:pPr>
            <w:r w:rsidRPr="005965AD">
              <w:rPr>
                <w:sz w:val="22"/>
              </w:rPr>
              <w:t>Note: this information will be collected as a ‘one off’ – probably manual reporting</w:t>
            </w:r>
          </w:p>
        </w:tc>
      </w:tr>
    </w:tbl>
    <w:p w:rsidR="00D66067" w:rsidRDefault="00D66067" w:rsidP="005965AD">
      <w:pPr>
        <w:autoSpaceDE w:val="0"/>
        <w:autoSpaceDN w:val="0"/>
        <w:adjustRightInd w:val="0"/>
        <w:spacing w:after="0" w:line="240" w:lineRule="auto"/>
        <w:rPr>
          <w:rFonts w:cs="Arial"/>
          <w:b/>
          <w:color w:val="FF0000"/>
          <w:sz w:val="22"/>
        </w:rPr>
      </w:pPr>
    </w:p>
    <w:p w:rsidR="00D66067" w:rsidRDefault="00D66067" w:rsidP="005965AD">
      <w:pPr>
        <w:autoSpaceDE w:val="0"/>
        <w:autoSpaceDN w:val="0"/>
        <w:adjustRightInd w:val="0"/>
        <w:spacing w:after="0" w:line="240" w:lineRule="auto"/>
        <w:rPr>
          <w:rFonts w:cs="Arial"/>
          <w:b/>
          <w:color w:val="FF0000"/>
          <w:sz w:val="22"/>
        </w:rPr>
      </w:pPr>
    </w:p>
    <w:p w:rsidR="005965AD" w:rsidRPr="005965AD" w:rsidRDefault="005965AD" w:rsidP="00871B5E">
      <w:pPr>
        <w:pStyle w:val="Heading2"/>
      </w:pPr>
      <w:r w:rsidRPr="005965AD">
        <w:t>Code Sets</w:t>
      </w:r>
    </w:p>
    <w:p w:rsidR="009C0C5C" w:rsidRPr="005965AD" w:rsidRDefault="009C0C5C" w:rsidP="009C0C5C">
      <w:pPr>
        <w:autoSpaceDE w:val="0"/>
        <w:autoSpaceDN w:val="0"/>
        <w:adjustRightInd w:val="0"/>
        <w:spacing w:after="0" w:line="240" w:lineRule="auto"/>
        <w:rPr>
          <w:rFonts w:cs="Arial"/>
          <w:color w:val="000000"/>
          <w:sz w:val="22"/>
        </w:rPr>
      </w:pPr>
      <w:r w:rsidRPr="005965AD">
        <w:rPr>
          <w:rFonts w:cs="Arial"/>
          <w:color w:val="000000"/>
          <w:sz w:val="22"/>
        </w:rPr>
        <w:t xml:space="preserve">We will continue using the existing team type and activity type codes to describe the treatment provider and services provided. </w:t>
      </w:r>
    </w:p>
    <w:p w:rsidR="009C0C5C" w:rsidRPr="005965AD" w:rsidRDefault="009C0C5C" w:rsidP="009C0C5C">
      <w:pPr>
        <w:autoSpaceDE w:val="0"/>
        <w:autoSpaceDN w:val="0"/>
        <w:adjustRightInd w:val="0"/>
        <w:spacing w:after="0" w:line="240" w:lineRule="auto"/>
        <w:rPr>
          <w:rFonts w:cs="Arial"/>
          <w:color w:val="000000"/>
          <w:sz w:val="22"/>
        </w:rPr>
      </w:pPr>
    </w:p>
    <w:p w:rsidR="009C0C5C" w:rsidRPr="005965AD" w:rsidRDefault="009C0C5C" w:rsidP="009C0C5C">
      <w:pPr>
        <w:autoSpaceDE w:val="0"/>
        <w:autoSpaceDN w:val="0"/>
        <w:adjustRightInd w:val="0"/>
        <w:spacing w:after="0" w:line="240" w:lineRule="auto"/>
        <w:rPr>
          <w:rFonts w:cs="Arial"/>
          <w:color w:val="000000"/>
          <w:sz w:val="22"/>
        </w:rPr>
      </w:pPr>
      <w:r w:rsidRPr="005965AD">
        <w:rPr>
          <w:rFonts w:cs="Arial"/>
          <w:color w:val="000000"/>
          <w:sz w:val="22"/>
        </w:rPr>
        <w:t>Team type would be 03 = AOD.</w:t>
      </w:r>
      <w:r w:rsidR="005965AD" w:rsidRPr="005965AD">
        <w:rPr>
          <w:rFonts w:cs="Arial"/>
          <w:color w:val="000000"/>
          <w:sz w:val="22"/>
        </w:rPr>
        <w:t xml:space="preserve">  However, as part of a general health assessment, other groups of services or people who are sources of mental health and addiction referrals may also be relevant.</w:t>
      </w:r>
    </w:p>
    <w:p w:rsidR="005965AD" w:rsidRPr="005965AD" w:rsidRDefault="005965AD" w:rsidP="009C0C5C">
      <w:pPr>
        <w:autoSpaceDE w:val="0"/>
        <w:autoSpaceDN w:val="0"/>
        <w:adjustRightInd w:val="0"/>
        <w:spacing w:after="0" w:line="240" w:lineRule="auto"/>
        <w:rPr>
          <w:rFonts w:cs="Arial"/>
          <w:color w:val="000000"/>
          <w:sz w:val="22"/>
        </w:rPr>
      </w:pPr>
    </w:p>
    <w:p w:rsidR="009C0C5C" w:rsidRPr="005965AD" w:rsidRDefault="009C0C5C" w:rsidP="009C0C5C">
      <w:pPr>
        <w:autoSpaceDE w:val="0"/>
        <w:autoSpaceDN w:val="0"/>
        <w:adjustRightInd w:val="0"/>
        <w:spacing w:after="0" w:line="240" w:lineRule="auto"/>
        <w:rPr>
          <w:rFonts w:cs="Arial"/>
          <w:color w:val="000000"/>
          <w:sz w:val="22"/>
        </w:rPr>
      </w:pPr>
      <w:r w:rsidRPr="005965AD">
        <w:rPr>
          <w:rFonts w:cs="Arial"/>
          <w:color w:val="000000"/>
          <w:sz w:val="22"/>
        </w:rPr>
        <w:t>T</w:t>
      </w:r>
      <w:r w:rsidR="005965AD" w:rsidRPr="005965AD">
        <w:rPr>
          <w:rFonts w:cs="Arial"/>
          <w:color w:val="000000"/>
          <w:sz w:val="22"/>
        </w:rPr>
        <w:t>ypically t</w:t>
      </w:r>
      <w:r w:rsidRPr="005965AD">
        <w:rPr>
          <w:rFonts w:cs="Arial"/>
          <w:color w:val="000000"/>
          <w:sz w:val="22"/>
        </w:rPr>
        <w:t xml:space="preserve">he applicable activity type codes </w:t>
      </w:r>
      <w:r w:rsidR="005965AD" w:rsidRPr="005965AD">
        <w:rPr>
          <w:rFonts w:cs="Arial"/>
          <w:color w:val="000000"/>
          <w:sz w:val="22"/>
        </w:rPr>
        <w:t>will be</w:t>
      </w:r>
      <w:r w:rsidR="00D66067">
        <w:rPr>
          <w:rFonts w:cs="Arial"/>
          <w:color w:val="000000"/>
          <w:sz w:val="22"/>
        </w:rPr>
        <w:t>:</w:t>
      </w:r>
      <w:r w:rsidR="005965AD" w:rsidRPr="005965AD">
        <w:rPr>
          <w:rFonts w:cs="Arial"/>
          <w:color w:val="000000"/>
          <w:sz w:val="22"/>
        </w:rPr>
        <w:t xml:space="preserve"> </w:t>
      </w:r>
    </w:p>
    <w:p w:rsidR="009C0C5C" w:rsidRPr="005965AD" w:rsidRDefault="009C0C5C" w:rsidP="009C0C5C">
      <w:pPr>
        <w:autoSpaceDE w:val="0"/>
        <w:autoSpaceDN w:val="0"/>
        <w:adjustRightInd w:val="0"/>
        <w:spacing w:after="0" w:line="240" w:lineRule="auto"/>
        <w:rPr>
          <w:rFonts w:cs="Arial"/>
          <w:color w:val="000000"/>
          <w:sz w:val="22"/>
        </w:rPr>
      </w:pPr>
    </w:p>
    <w:p w:rsidR="009C0C5C" w:rsidRPr="005965AD" w:rsidRDefault="009C0C5C" w:rsidP="00D66067">
      <w:pPr>
        <w:autoSpaceDE w:val="0"/>
        <w:autoSpaceDN w:val="0"/>
        <w:adjustRightInd w:val="0"/>
        <w:spacing w:after="0" w:line="240" w:lineRule="auto"/>
        <w:ind w:left="720"/>
        <w:rPr>
          <w:rFonts w:cs="Arial"/>
          <w:color w:val="000000"/>
          <w:sz w:val="22"/>
        </w:rPr>
      </w:pPr>
      <w:r w:rsidRPr="005965AD">
        <w:rPr>
          <w:rFonts w:cs="Arial"/>
          <w:color w:val="000000"/>
          <w:sz w:val="22"/>
        </w:rPr>
        <w:t>T16 - substance abuse withdrawal management/detoxification occupied bed nights (medical)</w:t>
      </w:r>
    </w:p>
    <w:p w:rsidR="005965AD" w:rsidRPr="005965AD" w:rsidRDefault="005965AD" w:rsidP="00D66067">
      <w:pPr>
        <w:autoSpaceDE w:val="0"/>
        <w:autoSpaceDN w:val="0"/>
        <w:adjustRightInd w:val="0"/>
        <w:spacing w:after="0" w:line="240" w:lineRule="auto"/>
        <w:ind w:left="720"/>
        <w:rPr>
          <w:rFonts w:cs="Arial"/>
          <w:color w:val="000000"/>
          <w:sz w:val="22"/>
        </w:rPr>
      </w:pPr>
    </w:p>
    <w:p w:rsidR="009C0C5C" w:rsidRPr="005965AD" w:rsidRDefault="009C0C5C" w:rsidP="00D66067">
      <w:pPr>
        <w:autoSpaceDE w:val="0"/>
        <w:autoSpaceDN w:val="0"/>
        <w:adjustRightInd w:val="0"/>
        <w:spacing w:after="0" w:line="240" w:lineRule="auto"/>
        <w:ind w:left="720"/>
        <w:rPr>
          <w:rFonts w:cs="Arial"/>
          <w:color w:val="000000"/>
          <w:sz w:val="22"/>
        </w:rPr>
      </w:pPr>
      <w:r w:rsidRPr="005965AD">
        <w:rPr>
          <w:rFonts w:cs="Arial"/>
          <w:color w:val="000000"/>
          <w:sz w:val="22"/>
        </w:rPr>
        <w:t>T20 - substance abuse residential service occupied bed nights</w:t>
      </w:r>
    </w:p>
    <w:p w:rsidR="009C0C5C" w:rsidRPr="005965AD" w:rsidRDefault="009C0C5C" w:rsidP="00D66067">
      <w:pPr>
        <w:autoSpaceDE w:val="0"/>
        <w:autoSpaceDN w:val="0"/>
        <w:adjustRightInd w:val="0"/>
        <w:spacing w:after="0" w:line="240" w:lineRule="auto"/>
        <w:ind w:left="720"/>
        <w:rPr>
          <w:rFonts w:cs="Arial"/>
          <w:color w:val="000000"/>
          <w:sz w:val="22"/>
        </w:rPr>
      </w:pPr>
    </w:p>
    <w:p w:rsidR="009C0C5C" w:rsidRPr="005965AD" w:rsidRDefault="009C0C5C" w:rsidP="00D66067">
      <w:pPr>
        <w:autoSpaceDE w:val="0"/>
        <w:autoSpaceDN w:val="0"/>
        <w:adjustRightInd w:val="0"/>
        <w:spacing w:after="0" w:line="240" w:lineRule="auto"/>
        <w:ind w:left="720"/>
        <w:rPr>
          <w:rFonts w:cs="Arial"/>
          <w:color w:val="000000"/>
          <w:sz w:val="22"/>
        </w:rPr>
      </w:pPr>
      <w:r w:rsidRPr="005965AD">
        <w:rPr>
          <w:rFonts w:cs="Arial"/>
          <w:color w:val="000000"/>
          <w:sz w:val="22"/>
        </w:rPr>
        <w:t>T02, T03, T04 - inpatient bed</w:t>
      </w:r>
      <w:r w:rsidR="005965AD" w:rsidRPr="005965AD">
        <w:rPr>
          <w:rFonts w:cs="Arial"/>
          <w:color w:val="000000"/>
          <w:sz w:val="22"/>
        </w:rPr>
        <w:t xml:space="preserve"> </w:t>
      </w:r>
      <w:r w:rsidRPr="005965AD">
        <w:rPr>
          <w:rFonts w:cs="Arial"/>
          <w:color w:val="000000"/>
          <w:sz w:val="22"/>
        </w:rPr>
        <w:t xml:space="preserve">nights (intensive, acute, sub-acute). </w:t>
      </w:r>
    </w:p>
    <w:p w:rsidR="005965AD" w:rsidRPr="005965AD" w:rsidRDefault="005965AD" w:rsidP="00D66067">
      <w:pPr>
        <w:autoSpaceDE w:val="0"/>
        <w:autoSpaceDN w:val="0"/>
        <w:adjustRightInd w:val="0"/>
        <w:spacing w:after="0" w:line="240" w:lineRule="auto"/>
        <w:ind w:left="720"/>
        <w:rPr>
          <w:rFonts w:cs="Arial"/>
          <w:color w:val="000000"/>
          <w:sz w:val="22"/>
        </w:rPr>
      </w:pPr>
    </w:p>
    <w:p w:rsidR="005965AD" w:rsidRPr="005965AD" w:rsidRDefault="005965AD" w:rsidP="00D66067">
      <w:pPr>
        <w:autoSpaceDE w:val="0"/>
        <w:autoSpaceDN w:val="0"/>
        <w:adjustRightInd w:val="0"/>
        <w:spacing w:after="0" w:line="240" w:lineRule="auto"/>
        <w:ind w:left="720"/>
        <w:rPr>
          <w:rFonts w:cs="Arial"/>
          <w:color w:val="000000"/>
          <w:sz w:val="22"/>
        </w:rPr>
      </w:pPr>
      <w:r w:rsidRPr="005965AD">
        <w:rPr>
          <w:rFonts w:cs="Arial"/>
          <w:color w:val="000000"/>
          <w:sz w:val="22"/>
        </w:rPr>
        <w:t>T20 – susbtance3 abuse residential services occupied bed nights</w:t>
      </w:r>
    </w:p>
    <w:p w:rsidR="009C0C5C" w:rsidRPr="005965AD" w:rsidRDefault="009C0C5C" w:rsidP="00D66067">
      <w:pPr>
        <w:autoSpaceDE w:val="0"/>
        <w:autoSpaceDN w:val="0"/>
        <w:adjustRightInd w:val="0"/>
        <w:spacing w:after="0" w:line="240" w:lineRule="auto"/>
        <w:ind w:left="720"/>
        <w:rPr>
          <w:rFonts w:ascii="Arial Mäori" w:hAnsi="Arial Mäori" w:cs="Arial Mäori"/>
          <w:color w:val="000000"/>
          <w:sz w:val="22"/>
        </w:rPr>
      </w:pPr>
    </w:p>
    <w:p w:rsidR="005965AD" w:rsidRPr="005965AD" w:rsidRDefault="005965AD" w:rsidP="00D66067">
      <w:pPr>
        <w:autoSpaceDE w:val="0"/>
        <w:autoSpaceDN w:val="0"/>
        <w:adjustRightInd w:val="0"/>
        <w:spacing w:after="0" w:line="240" w:lineRule="auto"/>
        <w:ind w:left="720"/>
        <w:rPr>
          <w:rFonts w:cs="Arial"/>
          <w:color w:val="000000"/>
          <w:sz w:val="22"/>
        </w:rPr>
      </w:pPr>
      <w:r w:rsidRPr="005965AD">
        <w:rPr>
          <w:rFonts w:cs="Arial"/>
          <w:color w:val="000000"/>
          <w:sz w:val="22"/>
        </w:rPr>
        <w:t>T32 – contact with family/whanau, consumer not present</w:t>
      </w:r>
    </w:p>
    <w:p w:rsidR="005965AD" w:rsidRPr="005965AD" w:rsidRDefault="005965AD" w:rsidP="00D66067">
      <w:pPr>
        <w:autoSpaceDE w:val="0"/>
        <w:autoSpaceDN w:val="0"/>
        <w:adjustRightInd w:val="0"/>
        <w:spacing w:after="0" w:line="240" w:lineRule="auto"/>
        <w:ind w:left="720"/>
        <w:rPr>
          <w:rFonts w:cs="Arial"/>
          <w:color w:val="000000"/>
          <w:sz w:val="22"/>
        </w:rPr>
      </w:pPr>
    </w:p>
    <w:p w:rsidR="005965AD" w:rsidRPr="005965AD" w:rsidRDefault="005965AD" w:rsidP="00D66067">
      <w:pPr>
        <w:autoSpaceDE w:val="0"/>
        <w:autoSpaceDN w:val="0"/>
        <w:adjustRightInd w:val="0"/>
        <w:spacing w:after="0" w:line="240" w:lineRule="auto"/>
        <w:ind w:left="720"/>
        <w:rPr>
          <w:rFonts w:cs="Arial"/>
          <w:color w:val="000000"/>
          <w:sz w:val="22"/>
        </w:rPr>
      </w:pPr>
      <w:r w:rsidRPr="005965AD">
        <w:rPr>
          <w:rFonts w:cs="Arial"/>
          <w:color w:val="000000"/>
          <w:sz w:val="22"/>
        </w:rPr>
        <w:t>T36 - contact with family/whanau, tangata whaioria/consumer present</w:t>
      </w:r>
    </w:p>
    <w:p w:rsidR="005965AD" w:rsidRPr="005965AD" w:rsidRDefault="005965AD" w:rsidP="00D66067">
      <w:pPr>
        <w:autoSpaceDE w:val="0"/>
        <w:autoSpaceDN w:val="0"/>
        <w:adjustRightInd w:val="0"/>
        <w:spacing w:after="0" w:line="240" w:lineRule="auto"/>
        <w:ind w:left="720"/>
        <w:rPr>
          <w:rFonts w:cs="Arial"/>
          <w:color w:val="000000"/>
          <w:sz w:val="22"/>
        </w:rPr>
      </w:pPr>
    </w:p>
    <w:p w:rsidR="005965AD" w:rsidRPr="005965AD" w:rsidRDefault="005965AD" w:rsidP="00D66067">
      <w:pPr>
        <w:autoSpaceDE w:val="0"/>
        <w:autoSpaceDN w:val="0"/>
        <w:adjustRightInd w:val="0"/>
        <w:spacing w:after="0" w:line="240" w:lineRule="auto"/>
        <w:ind w:left="720"/>
        <w:rPr>
          <w:rFonts w:cs="Arial"/>
          <w:color w:val="000000"/>
          <w:sz w:val="22"/>
        </w:rPr>
      </w:pPr>
      <w:r w:rsidRPr="005965AD">
        <w:rPr>
          <w:rFonts w:cs="Arial"/>
          <w:color w:val="000000"/>
          <w:sz w:val="22"/>
        </w:rPr>
        <w:t>T39 – integrated Māori and clinical interventions</w:t>
      </w:r>
    </w:p>
    <w:p w:rsidR="005965AD" w:rsidRPr="005965AD" w:rsidRDefault="005965AD" w:rsidP="00D66067">
      <w:pPr>
        <w:autoSpaceDE w:val="0"/>
        <w:autoSpaceDN w:val="0"/>
        <w:adjustRightInd w:val="0"/>
        <w:spacing w:after="0" w:line="240" w:lineRule="auto"/>
        <w:ind w:left="720"/>
        <w:rPr>
          <w:rFonts w:cs="Arial"/>
          <w:color w:val="000000"/>
          <w:sz w:val="22"/>
        </w:rPr>
      </w:pPr>
    </w:p>
    <w:p w:rsidR="005965AD" w:rsidRPr="005965AD" w:rsidRDefault="005965AD" w:rsidP="00D66067">
      <w:pPr>
        <w:autoSpaceDE w:val="0"/>
        <w:autoSpaceDN w:val="0"/>
        <w:adjustRightInd w:val="0"/>
        <w:spacing w:after="0" w:line="240" w:lineRule="auto"/>
        <w:ind w:left="720"/>
        <w:rPr>
          <w:rFonts w:cs="Arial"/>
          <w:color w:val="000000"/>
          <w:sz w:val="22"/>
        </w:rPr>
      </w:pPr>
      <w:r w:rsidRPr="005965AD">
        <w:rPr>
          <w:rFonts w:cs="Arial"/>
          <w:color w:val="000000"/>
          <w:sz w:val="22"/>
        </w:rPr>
        <w:t>T42 – individual treatment attendances; family/whanau not present.</w:t>
      </w:r>
    </w:p>
    <w:p w:rsidR="005965AD" w:rsidRPr="005965AD" w:rsidRDefault="005965AD" w:rsidP="009C0C5C">
      <w:pPr>
        <w:autoSpaceDE w:val="0"/>
        <w:autoSpaceDN w:val="0"/>
        <w:adjustRightInd w:val="0"/>
        <w:spacing w:after="0" w:line="240" w:lineRule="auto"/>
        <w:rPr>
          <w:rFonts w:cs="Arial"/>
          <w:color w:val="000000"/>
          <w:sz w:val="22"/>
        </w:rPr>
      </w:pPr>
    </w:p>
    <w:p w:rsidR="005965AD" w:rsidRPr="005965AD" w:rsidRDefault="005965AD" w:rsidP="009C0C5C">
      <w:pPr>
        <w:autoSpaceDE w:val="0"/>
        <w:autoSpaceDN w:val="0"/>
        <w:adjustRightInd w:val="0"/>
        <w:spacing w:after="0" w:line="240" w:lineRule="auto"/>
        <w:rPr>
          <w:rFonts w:cs="Arial"/>
          <w:color w:val="FF0000"/>
          <w:sz w:val="22"/>
        </w:rPr>
      </w:pPr>
    </w:p>
    <w:p w:rsidR="005965AD" w:rsidRPr="005965AD" w:rsidRDefault="005965AD" w:rsidP="009C0C5C">
      <w:pPr>
        <w:autoSpaceDE w:val="0"/>
        <w:autoSpaceDN w:val="0"/>
        <w:adjustRightInd w:val="0"/>
        <w:spacing w:after="0" w:line="240" w:lineRule="auto"/>
        <w:rPr>
          <w:rFonts w:cs="Arial"/>
          <w:color w:val="FF0000"/>
          <w:sz w:val="22"/>
        </w:rPr>
      </w:pPr>
    </w:p>
    <w:p w:rsidR="009C0C5C" w:rsidRPr="00E74429" w:rsidRDefault="009C0C5C" w:rsidP="00871B5E">
      <w:pPr>
        <w:pStyle w:val="Heading2"/>
      </w:pPr>
      <w:r w:rsidRPr="00E74429">
        <w:t xml:space="preserve">For Further Information </w:t>
      </w:r>
    </w:p>
    <w:p w:rsidR="005965AD" w:rsidRPr="005965AD" w:rsidRDefault="005965AD" w:rsidP="005965AD">
      <w:pPr>
        <w:rPr>
          <w:rFonts w:cs="Arial"/>
          <w:sz w:val="22"/>
        </w:rPr>
      </w:pPr>
      <w:r w:rsidRPr="005965AD">
        <w:rPr>
          <w:rFonts w:cs="Arial"/>
          <w:sz w:val="22"/>
        </w:rPr>
        <w:t>To find out more, you can:</w:t>
      </w:r>
    </w:p>
    <w:p w:rsidR="005965AD" w:rsidRPr="005965AD" w:rsidRDefault="005965AD" w:rsidP="005965AD">
      <w:pPr>
        <w:pStyle w:val="ListParagraph"/>
        <w:numPr>
          <w:ilvl w:val="0"/>
          <w:numId w:val="2"/>
        </w:numPr>
        <w:rPr>
          <w:rFonts w:cs="Arial"/>
          <w:sz w:val="22"/>
        </w:rPr>
      </w:pPr>
      <w:r w:rsidRPr="005965AD">
        <w:rPr>
          <w:rFonts w:cs="Arial"/>
          <w:sz w:val="22"/>
        </w:rPr>
        <w:t>Contact the Ministry of Health about the application of PRIMHD codes</w:t>
      </w:r>
    </w:p>
    <w:p w:rsidR="005965AD" w:rsidRPr="005965AD" w:rsidRDefault="005965AD" w:rsidP="005965AD">
      <w:pPr>
        <w:pStyle w:val="ListParagraph"/>
        <w:numPr>
          <w:ilvl w:val="0"/>
          <w:numId w:val="2"/>
        </w:numPr>
        <w:rPr>
          <w:rFonts w:cs="Arial"/>
          <w:sz w:val="22"/>
        </w:rPr>
      </w:pPr>
      <w:r w:rsidRPr="005965AD">
        <w:rPr>
          <w:rFonts w:cs="Arial"/>
          <w:sz w:val="22"/>
        </w:rPr>
        <w:t xml:space="preserve">Go on-line to the Ministry of Health to see various guidelines  – </w:t>
      </w:r>
      <w:r w:rsidRPr="005965AD">
        <w:rPr>
          <w:rFonts w:ascii="Arial Mäori" w:hAnsi="Arial Mäori" w:cs="Arial Mäori"/>
          <w:color w:val="000000"/>
          <w:sz w:val="22"/>
        </w:rPr>
        <w:t>http://www.health.govt.nz/sacat</w:t>
      </w:r>
      <w:r w:rsidRPr="005965AD">
        <w:rPr>
          <w:rFonts w:cs="Arial"/>
          <w:sz w:val="22"/>
        </w:rPr>
        <w:t xml:space="preserve"> </w:t>
      </w:r>
    </w:p>
    <w:p w:rsidR="009C0C5C" w:rsidRPr="005965AD" w:rsidRDefault="005965AD" w:rsidP="00FA69A6">
      <w:pPr>
        <w:pStyle w:val="ListParagraph"/>
        <w:numPr>
          <w:ilvl w:val="0"/>
          <w:numId w:val="2"/>
        </w:numPr>
        <w:autoSpaceDE w:val="0"/>
        <w:autoSpaceDN w:val="0"/>
        <w:adjustRightInd w:val="0"/>
        <w:spacing w:after="0" w:line="240" w:lineRule="auto"/>
        <w:rPr>
          <w:rFonts w:cs="Arial"/>
          <w:color w:val="000000"/>
          <w:sz w:val="22"/>
        </w:rPr>
      </w:pPr>
      <w:r w:rsidRPr="005965AD">
        <w:rPr>
          <w:rFonts w:cs="Arial"/>
          <w:sz w:val="22"/>
        </w:rPr>
        <w:t xml:space="preserve">Contact your local District Health Board addiction treatment service and ask to speak to someone about the Act by phoning: </w:t>
      </w:r>
      <w:r w:rsidRPr="005965AD">
        <w:rPr>
          <w:rFonts w:cs="Arial"/>
          <w:i/>
          <w:sz w:val="22"/>
        </w:rPr>
        <w:t>number.</w:t>
      </w:r>
    </w:p>
    <w:p w:rsidR="009C0C5C" w:rsidRPr="005965AD" w:rsidRDefault="009C0C5C" w:rsidP="009C0C5C">
      <w:pPr>
        <w:autoSpaceDE w:val="0"/>
        <w:autoSpaceDN w:val="0"/>
        <w:adjustRightInd w:val="0"/>
        <w:spacing w:after="0" w:line="240" w:lineRule="auto"/>
        <w:ind w:left="-360"/>
        <w:rPr>
          <w:rFonts w:ascii="Helv" w:hAnsi="Helv" w:cs="Helv"/>
          <w:color w:val="000000"/>
          <w:sz w:val="22"/>
        </w:rPr>
      </w:pPr>
    </w:p>
    <w:p w:rsidR="009866FE" w:rsidRPr="005965AD" w:rsidRDefault="009866FE">
      <w:pPr>
        <w:rPr>
          <w:sz w:val="22"/>
        </w:rPr>
      </w:pPr>
    </w:p>
    <w:sectPr w:rsidR="009866FE" w:rsidRPr="005965A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91A" w:rsidRDefault="00D2291A" w:rsidP="00781005">
      <w:pPr>
        <w:spacing w:after="0" w:line="240" w:lineRule="auto"/>
      </w:pPr>
      <w:r>
        <w:separator/>
      </w:r>
    </w:p>
  </w:endnote>
  <w:endnote w:type="continuationSeparator" w:id="0">
    <w:p w:rsidR="00D2291A" w:rsidRDefault="00D2291A" w:rsidP="00781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Mäori">
    <w:panose1 w:val="00000000000000000000"/>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7291402"/>
      <w:docPartObj>
        <w:docPartGallery w:val="Page Numbers (Bottom of Page)"/>
        <w:docPartUnique/>
      </w:docPartObj>
    </w:sdtPr>
    <w:sdtEndPr>
      <w:rPr>
        <w:noProof/>
      </w:rPr>
    </w:sdtEndPr>
    <w:sdtContent>
      <w:p w:rsidR="00D66067" w:rsidRDefault="00D66067">
        <w:pPr>
          <w:pStyle w:val="Footer"/>
          <w:jc w:val="right"/>
        </w:pPr>
        <w:r>
          <w:fldChar w:fldCharType="begin"/>
        </w:r>
        <w:r>
          <w:instrText xml:space="preserve"> PAGE   \* MERGEFORMAT </w:instrText>
        </w:r>
        <w:r>
          <w:fldChar w:fldCharType="separate"/>
        </w:r>
        <w:r w:rsidR="00871B5E">
          <w:rPr>
            <w:noProof/>
          </w:rPr>
          <w:t>1</w:t>
        </w:r>
        <w:r>
          <w:rPr>
            <w:noProof/>
          </w:rPr>
          <w:fldChar w:fldCharType="end"/>
        </w:r>
      </w:p>
    </w:sdtContent>
  </w:sdt>
  <w:p w:rsidR="00781005" w:rsidRDefault="007810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91A" w:rsidRDefault="00D2291A" w:rsidP="00781005">
      <w:pPr>
        <w:spacing w:after="0" w:line="240" w:lineRule="auto"/>
      </w:pPr>
      <w:r>
        <w:separator/>
      </w:r>
    </w:p>
  </w:footnote>
  <w:footnote w:type="continuationSeparator" w:id="0">
    <w:p w:rsidR="00D2291A" w:rsidRDefault="00D2291A" w:rsidP="007810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005" w:rsidRDefault="00781005">
    <w:pPr>
      <w:pStyle w:val="Header"/>
    </w:pPr>
    <w:r>
      <w:t>Version 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B76967"/>
    <w:multiLevelType w:val="hybridMultilevel"/>
    <w:tmpl w:val="E7B250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4BFE0F92"/>
    <w:multiLevelType w:val="hybridMultilevel"/>
    <w:tmpl w:val="2A008E7E"/>
    <w:lvl w:ilvl="0" w:tplc="E38AB786">
      <w:start w:val="1"/>
      <w:numFmt w:val="bullet"/>
      <w:lvlText w:val="•"/>
      <w:lvlJc w:val="left"/>
      <w:pPr>
        <w:tabs>
          <w:tab w:val="num" w:pos="720"/>
        </w:tabs>
        <w:ind w:left="720" w:hanging="360"/>
      </w:pPr>
      <w:rPr>
        <w:rFonts w:ascii="Arial" w:hAnsi="Arial" w:hint="default"/>
      </w:rPr>
    </w:lvl>
    <w:lvl w:ilvl="1" w:tplc="032615EC" w:tentative="1">
      <w:start w:val="1"/>
      <w:numFmt w:val="bullet"/>
      <w:lvlText w:val="•"/>
      <w:lvlJc w:val="left"/>
      <w:pPr>
        <w:tabs>
          <w:tab w:val="num" w:pos="1440"/>
        </w:tabs>
        <w:ind w:left="1440" w:hanging="360"/>
      </w:pPr>
      <w:rPr>
        <w:rFonts w:ascii="Arial" w:hAnsi="Arial" w:hint="default"/>
      </w:rPr>
    </w:lvl>
    <w:lvl w:ilvl="2" w:tplc="407C5388" w:tentative="1">
      <w:start w:val="1"/>
      <w:numFmt w:val="bullet"/>
      <w:lvlText w:val="•"/>
      <w:lvlJc w:val="left"/>
      <w:pPr>
        <w:tabs>
          <w:tab w:val="num" w:pos="2160"/>
        </w:tabs>
        <w:ind w:left="2160" w:hanging="360"/>
      </w:pPr>
      <w:rPr>
        <w:rFonts w:ascii="Arial" w:hAnsi="Arial" w:hint="default"/>
      </w:rPr>
    </w:lvl>
    <w:lvl w:ilvl="3" w:tplc="10A041EE" w:tentative="1">
      <w:start w:val="1"/>
      <w:numFmt w:val="bullet"/>
      <w:lvlText w:val="•"/>
      <w:lvlJc w:val="left"/>
      <w:pPr>
        <w:tabs>
          <w:tab w:val="num" w:pos="2880"/>
        </w:tabs>
        <w:ind w:left="2880" w:hanging="360"/>
      </w:pPr>
      <w:rPr>
        <w:rFonts w:ascii="Arial" w:hAnsi="Arial" w:hint="default"/>
      </w:rPr>
    </w:lvl>
    <w:lvl w:ilvl="4" w:tplc="A4BAE6F0" w:tentative="1">
      <w:start w:val="1"/>
      <w:numFmt w:val="bullet"/>
      <w:lvlText w:val="•"/>
      <w:lvlJc w:val="left"/>
      <w:pPr>
        <w:tabs>
          <w:tab w:val="num" w:pos="3600"/>
        </w:tabs>
        <w:ind w:left="3600" w:hanging="360"/>
      </w:pPr>
      <w:rPr>
        <w:rFonts w:ascii="Arial" w:hAnsi="Arial" w:hint="default"/>
      </w:rPr>
    </w:lvl>
    <w:lvl w:ilvl="5" w:tplc="255A6986" w:tentative="1">
      <w:start w:val="1"/>
      <w:numFmt w:val="bullet"/>
      <w:lvlText w:val="•"/>
      <w:lvlJc w:val="left"/>
      <w:pPr>
        <w:tabs>
          <w:tab w:val="num" w:pos="4320"/>
        </w:tabs>
        <w:ind w:left="4320" w:hanging="360"/>
      </w:pPr>
      <w:rPr>
        <w:rFonts w:ascii="Arial" w:hAnsi="Arial" w:hint="default"/>
      </w:rPr>
    </w:lvl>
    <w:lvl w:ilvl="6" w:tplc="D408D486" w:tentative="1">
      <w:start w:val="1"/>
      <w:numFmt w:val="bullet"/>
      <w:lvlText w:val="•"/>
      <w:lvlJc w:val="left"/>
      <w:pPr>
        <w:tabs>
          <w:tab w:val="num" w:pos="5040"/>
        </w:tabs>
        <w:ind w:left="5040" w:hanging="360"/>
      </w:pPr>
      <w:rPr>
        <w:rFonts w:ascii="Arial" w:hAnsi="Arial" w:hint="default"/>
      </w:rPr>
    </w:lvl>
    <w:lvl w:ilvl="7" w:tplc="BD0AA732" w:tentative="1">
      <w:start w:val="1"/>
      <w:numFmt w:val="bullet"/>
      <w:lvlText w:val="•"/>
      <w:lvlJc w:val="left"/>
      <w:pPr>
        <w:tabs>
          <w:tab w:val="num" w:pos="5760"/>
        </w:tabs>
        <w:ind w:left="5760" w:hanging="360"/>
      </w:pPr>
      <w:rPr>
        <w:rFonts w:ascii="Arial" w:hAnsi="Arial" w:hint="default"/>
      </w:rPr>
    </w:lvl>
    <w:lvl w:ilvl="8" w:tplc="A33842C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9FE"/>
    <w:rsid w:val="00165E4F"/>
    <w:rsid w:val="001B4B91"/>
    <w:rsid w:val="00227865"/>
    <w:rsid w:val="002F3653"/>
    <w:rsid w:val="00460FDC"/>
    <w:rsid w:val="005965AD"/>
    <w:rsid w:val="00657705"/>
    <w:rsid w:val="006663E8"/>
    <w:rsid w:val="00667235"/>
    <w:rsid w:val="00781005"/>
    <w:rsid w:val="007E7084"/>
    <w:rsid w:val="00871B5E"/>
    <w:rsid w:val="009138C8"/>
    <w:rsid w:val="009275FE"/>
    <w:rsid w:val="009866FE"/>
    <w:rsid w:val="009C0C5C"/>
    <w:rsid w:val="00AA2B1F"/>
    <w:rsid w:val="00AA7E28"/>
    <w:rsid w:val="00AB42BD"/>
    <w:rsid w:val="00AC254E"/>
    <w:rsid w:val="00AF3065"/>
    <w:rsid w:val="00C22445"/>
    <w:rsid w:val="00D2291A"/>
    <w:rsid w:val="00D66067"/>
    <w:rsid w:val="00DD69A8"/>
    <w:rsid w:val="00E74429"/>
    <w:rsid w:val="00E95CBB"/>
    <w:rsid w:val="00F02566"/>
    <w:rsid w:val="00F209FE"/>
    <w:rsid w:val="00FC48C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6E77B7-4B2C-4B0F-AB8B-B1CF6CEF9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71B5E"/>
    <w:pPr>
      <w:shd w:val="clear" w:color="auto" w:fill="FFFFFF" w:themeFill="background1"/>
      <w:spacing w:after="0" w:line="240" w:lineRule="auto"/>
      <w:outlineLvl w:val="0"/>
    </w:pPr>
    <w:rPr>
      <w:b/>
      <w:color w:val="FF0000"/>
      <w:sz w:val="22"/>
    </w:rPr>
  </w:style>
  <w:style w:type="paragraph" w:styleId="Heading2">
    <w:name w:val="heading 2"/>
    <w:basedOn w:val="Normal"/>
    <w:next w:val="Normal"/>
    <w:link w:val="Heading2Char"/>
    <w:uiPriority w:val="9"/>
    <w:unhideWhenUsed/>
    <w:qFormat/>
    <w:rsid w:val="00871B5E"/>
    <w:pPr>
      <w:outlineLvl w:val="1"/>
    </w:pPr>
    <w:rPr>
      <w:b/>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865"/>
    <w:pPr>
      <w:ind w:left="720"/>
      <w:contextualSpacing/>
    </w:pPr>
  </w:style>
  <w:style w:type="table" w:styleId="TableGrid">
    <w:name w:val="Table Grid"/>
    <w:basedOn w:val="TableNormal"/>
    <w:uiPriority w:val="39"/>
    <w:rsid w:val="002278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27865"/>
    <w:rPr>
      <w:color w:val="0000FF" w:themeColor="hyperlink"/>
      <w:u w:val="single"/>
    </w:rPr>
  </w:style>
  <w:style w:type="paragraph" w:styleId="BalloonText">
    <w:name w:val="Balloon Text"/>
    <w:basedOn w:val="Normal"/>
    <w:link w:val="BalloonTextChar"/>
    <w:uiPriority w:val="99"/>
    <w:semiHidden/>
    <w:unhideWhenUsed/>
    <w:rsid w:val="00165E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E4F"/>
    <w:rPr>
      <w:rFonts w:ascii="Segoe UI" w:hAnsi="Segoe UI" w:cs="Segoe UI"/>
      <w:sz w:val="18"/>
      <w:szCs w:val="18"/>
    </w:rPr>
  </w:style>
  <w:style w:type="paragraph" w:styleId="Header">
    <w:name w:val="header"/>
    <w:basedOn w:val="Normal"/>
    <w:link w:val="HeaderChar"/>
    <w:uiPriority w:val="99"/>
    <w:unhideWhenUsed/>
    <w:rsid w:val="007810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005"/>
  </w:style>
  <w:style w:type="paragraph" w:styleId="Footer">
    <w:name w:val="footer"/>
    <w:basedOn w:val="Normal"/>
    <w:link w:val="FooterChar"/>
    <w:uiPriority w:val="99"/>
    <w:unhideWhenUsed/>
    <w:rsid w:val="007810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005"/>
  </w:style>
  <w:style w:type="character" w:customStyle="1" w:styleId="Heading1Char">
    <w:name w:val="Heading 1 Char"/>
    <w:basedOn w:val="DefaultParagraphFont"/>
    <w:link w:val="Heading1"/>
    <w:uiPriority w:val="9"/>
    <w:rsid w:val="00871B5E"/>
    <w:rPr>
      <w:b/>
      <w:color w:val="FF0000"/>
      <w:sz w:val="22"/>
      <w:shd w:val="clear" w:color="auto" w:fill="FFFFFF" w:themeFill="background1"/>
    </w:rPr>
  </w:style>
  <w:style w:type="character" w:customStyle="1" w:styleId="Heading2Char">
    <w:name w:val="Heading 2 Char"/>
    <w:basedOn w:val="DefaultParagraphFont"/>
    <w:link w:val="Heading2"/>
    <w:uiPriority w:val="9"/>
    <w:rsid w:val="00871B5E"/>
    <w:rPr>
      <w:b/>
      <w:color w:val="FF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45303D15.dotm</Template>
  <TotalTime>0</TotalTime>
  <Pages>1</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Messages for the Implementation of the Substance Addiction (Compulsory Assessment and Treatment) Act</dc:title>
  <dc:subject/>
  <dc:creator>Ministry of Health</dc:creator>
  <cp:keywords/>
  <dc:description/>
  <cp:lastModifiedBy>Ministry of Health</cp:lastModifiedBy>
  <cp:revision>1</cp:revision>
  <cp:lastPrinted>2017-11-08T00:22:00Z</cp:lastPrinted>
  <dcterms:created xsi:type="dcterms:W3CDTF">2017-12-21T00:38:00Z</dcterms:created>
  <dcterms:modified xsi:type="dcterms:W3CDTF">2017-12-21T00:38:00Z</dcterms:modified>
</cp:coreProperties>
</file>