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3987" w14:textId="77777777" w:rsidR="00393A7B" w:rsidRPr="00393A7B" w:rsidRDefault="00393A7B" w:rsidP="00393A7B">
      <w:pPr>
        <w:shd w:val="clear" w:color="auto" w:fill="FFFFFF"/>
        <w:spacing w:before="300" w:after="240" w:line="276" w:lineRule="atLeast"/>
        <w:outlineLvl w:val="1"/>
        <w:rPr>
          <w:rFonts w:ascii="Georgia" w:eastAsia="Times New Roman" w:hAnsi="Georgia" w:cs="Times New Roman"/>
          <w:b/>
          <w:bCs/>
          <w:color w:val="002639"/>
          <w:sz w:val="44"/>
          <w:szCs w:val="44"/>
          <w:lang w:eastAsia="en-NZ"/>
        </w:rPr>
      </w:pPr>
      <w:r w:rsidRPr="00393A7B">
        <w:rPr>
          <w:rFonts w:ascii="Georgia" w:eastAsia="Times New Roman" w:hAnsi="Georgia" w:cs="Times New Roman"/>
          <w:b/>
          <w:bCs/>
          <w:color w:val="002639"/>
          <w:sz w:val="44"/>
          <w:szCs w:val="44"/>
          <w:lang w:eastAsia="en-NZ"/>
        </w:rPr>
        <w:t>Progress since the previous update</w:t>
      </w:r>
    </w:p>
    <w:p w14:paraId="244AE994" w14:textId="77777777" w:rsidR="00393A7B" w:rsidRPr="00393A7B" w:rsidRDefault="00393A7B" w:rsidP="00393A7B">
      <w:pPr>
        <w:shd w:val="clear" w:color="auto" w:fill="FFFFFF"/>
        <w:spacing w:before="277" w:after="277" w:line="320" w:lineRule="atLeast"/>
        <w:outlineLvl w:val="2"/>
        <w:rPr>
          <w:rFonts w:ascii="Georgia" w:eastAsia="Times New Roman" w:hAnsi="Georgia" w:cs="Times New Roman"/>
          <w:b/>
          <w:bCs/>
          <w:color w:val="002639"/>
          <w:sz w:val="33"/>
          <w:szCs w:val="33"/>
          <w:lang w:eastAsia="en-NZ"/>
        </w:rPr>
      </w:pPr>
      <w:r w:rsidRPr="00393A7B">
        <w:rPr>
          <w:rFonts w:ascii="Georgia" w:eastAsia="Times New Roman" w:hAnsi="Georgia" w:cs="Times New Roman"/>
          <w:b/>
          <w:bCs/>
          <w:color w:val="002639"/>
          <w:sz w:val="33"/>
          <w:szCs w:val="33"/>
          <w:lang w:eastAsia="en-NZ"/>
        </w:rPr>
        <w:t>Recommendation 8</w:t>
      </w:r>
    </w:p>
    <w:p w14:paraId="68EF9E11"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b/>
          <w:bCs/>
          <w:color w:val="002639"/>
          <w:sz w:val="20"/>
          <w:szCs w:val="20"/>
          <w:lang w:eastAsia="en-NZ"/>
        </w:rPr>
        <w:t>Specialist multi-disciplinary centre(s) are required – a group will meet in January 2020 to advise the number of specialist centres required to ensure equity of access, the model of care, and team required.</w:t>
      </w:r>
    </w:p>
    <w:p w14:paraId="4B8FE112"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Status: In progress</w:t>
      </w:r>
    </w:p>
    <w:p w14:paraId="69BA42C8"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A model of care for the specialist centres has now been completed. The Ministry is currently working with Health New Zealand to confirm the process for establishing the centres following the health system reforms, with the expectation that the services are implemented later in 2022.</w:t>
      </w:r>
    </w:p>
    <w:p w14:paraId="29A0EB4B" w14:textId="77777777" w:rsidR="00393A7B" w:rsidRPr="00393A7B" w:rsidRDefault="00393A7B" w:rsidP="00393A7B">
      <w:pPr>
        <w:shd w:val="clear" w:color="auto" w:fill="FFFFFF"/>
        <w:spacing w:before="277" w:after="277" w:line="320" w:lineRule="atLeast"/>
        <w:outlineLvl w:val="2"/>
        <w:rPr>
          <w:rFonts w:ascii="Georgia" w:eastAsia="Times New Roman" w:hAnsi="Georgia" w:cs="Times New Roman"/>
          <w:b/>
          <w:bCs/>
          <w:color w:val="002639"/>
          <w:sz w:val="33"/>
          <w:szCs w:val="33"/>
          <w:lang w:eastAsia="en-NZ"/>
        </w:rPr>
      </w:pPr>
      <w:r w:rsidRPr="00393A7B">
        <w:rPr>
          <w:rFonts w:ascii="Georgia" w:eastAsia="Times New Roman" w:hAnsi="Georgia" w:cs="Times New Roman"/>
          <w:b/>
          <w:bCs/>
          <w:color w:val="002639"/>
          <w:sz w:val="33"/>
          <w:szCs w:val="33"/>
          <w:lang w:eastAsia="en-NZ"/>
        </w:rPr>
        <w:t>Recommendation 9</w:t>
      </w:r>
    </w:p>
    <w:p w14:paraId="1D6F60A8"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b/>
          <w:bCs/>
          <w:color w:val="002639"/>
          <w:sz w:val="20"/>
          <w:szCs w:val="20"/>
          <w:lang w:eastAsia="en-NZ"/>
        </w:rPr>
        <w:t>Establish a credentialing committee by the end of January 2020 to recommend national standards for individual practitioners and services commencing with urogynaecology procedures – minimum standards for insertion, renewal, repair, and removal of surgery and native tissue repair will be included.</w:t>
      </w:r>
    </w:p>
    <w:p w14:paraId="54DBE0A6"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Status: In progress</w:t>
      </w:r>
    </w:p>
    <w:p w14:paraId="1246356C"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 xml:space="preserve">The National Credentialling Framework: Pelvic floor reconstructive, </w:t>
      </w:r>
      <w:proofErr w:type="spellStart"/>
      <w:r w:rsidRPr="00393A7B">
        <w:rPr>
          <w:rFonts w:ascii="Arial" w:eastAsia="Times New Roman" w:hAnsi="Arial" w:cs="Arial"/>
          <w:color w:val="002639"/>
          <w:sz w:val="20"/>
          <w:szCs w:val="20"/>
          <w:lang w:eastAsia="en-NZ"/>
        </w:rPr>
        <w:t>urogynaecological</w:t>
      </w:r>
      <w:proofErr w:type="spellEnd"/>
      <w:r w:rsidRPr="00393A7B">
        <w:rPr>
          <w:rFonts w:ascii="Arial" w:eastAsia="Times New Roman" w:hAnsi="Arial" w:cs="Arial"/>
          <w:color w:val="002639"/>
          <w:sz w:val="20"/>
          <w:szCs w:val="20"/>
          <w:lang w:eastAsia="en-NZ"/>
        </w:rPr>
        <w:t xml:space="preserve"> and mesh revision and removal procedures (the Framework) was published on the Ministry website on 31 May 2022. A new National Credentialling Committee has been established to oversee the implementation of the Framework, with a first meeting to be held in July 2022. The first round of </w:t>
      </w:r>
      <w:proofErr w:type="spellStart"/>
      <w:r w:rsidRPr="00393A7B">
        <w:rPr>
          <w:rFonts w:ascii="Arial" w:eastAsia="Times New Roman" w:hAnsi="Arial" w:cs="Arial"/>
          <w:color w:val="002639"/>
          <w:sz w:val="20"/>
          <w:szCs w:val="20"/>
          <w:lang w:eastAsia="en-NZ"/>
        </w:rPr>
        <w:t>crednetialling</w:t>
      </w:r>
      <w:proofErr w:type="spellEnd"/>
      <w:r w:rsidRPr="00393A7B">
        <w:rPr>
          <w:rFonts w:ascii="Arial" w:eastAsia="Times New Roman" w:hAnsi="Arial" w:cs="Arial"/>
          <w:color w:val="002639"/>
          <w:sz w:val="20"/>
          <w:szCs w:val="20"/>
          <w:lang w:eastAsia="en-NZ"/>
        </w:rPr>
        <w:t xml:space="preserve"> will occur in October and November 2022.</w:t>
      </w:r>
    </w:p>
    <w:p w14:paraId="2A7C200A" w14:textId="77777777" w:rsidR="00393A7B" w:rsidRPr="00393A7B" w:rsidRDefault="00393A7B" w:rsidP="00393A7B">
      <w:pPr>
        <w:shd w:val="clear" w:color="auto" w:fill="FFFFFF"/>
        <w:spacing w:before="277" w:after="277" w:line="320" w:lineRule="atLeast"/>
        <w:outlineLvl w:val="2"/>
        <w:rPr>
          <w:rFonts w:ascii="Georgia" w:eastAsia="Times New Roman" w:hAnsi="Georgia" w:cs="Times New Roman"/>
          <w:b/>
          <w:bCs/>
          <w:color w:val="002639"/>
          <w:sz w:val="33"/>
          <w:szCs w:val="33"/>
          <w:lang w:eastAsia="en-NZ"/>
        </w:rPr>
      </w:pPr>
      <w:r w:rsidRPr="00393A7B">
        <w:rPr>
          <w:rFonts w:ascii="Georgia" w:eastAsia="Times New Roman" w:hAnsi="Georgia" w:cs="Times New Roman"/>
          <w:b/>
          <w:bCs/>
          <w:color w:val="002639"/>
          <w:sz w:val="33"/>
          <w:szCs w:val="33"/>
          <w:lang w:eastAsia="en-NZ"/>
        </w:rPr>
        <w:t>Recommendation 10</w:t>
      </w:r>
    </w:p>
    <w:p w14:paraId="76E5F51F"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b/>
          <w:bCs/>
          <w:color w:val="002639"/>
          <w:sz w:val="20"/>
          <w:szCs w:val="20"/>
          <w:lang w:eastAsia="en-NZ"/>
        </w:rPr>
        <w:t>The Ministry of Health will lead, supported by ACC, interdisciplinary education and build the capability of the required technical skills to prevent future harm and reduce the severity of existing harm. This action intends to also support the provision of removal surgery.</w:t>
      </w:r>
    </w:p>
    <w:p w14:paraId="6EF9B021"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Status: In progress</w:t>
      </w:r>
    </w:p>
    <w:p w14:paraId="7BE6C437"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Development of the Surgical Mesh Primary Health Education Programme has changed direction, and a decision has been made to utilise education providers who already provide similar education to the primary care sector. The Goodfellow Unit has been contracted to initially deliver three webinars, which will be available in August 2022.</w:t>
      </w:r>
    </w:p>
    <w:p w14:paraId="5F027747"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The Health Quality and Safety Commission will soon begin work to develop a national resource for consumers to use when attending appointments with primary health care professionals, to support robust informed consent processes.</w:t>
      </w:r>
    </w:p>
    <w:p w14:paraId="7CA6BE06" w14:textId="77777777" w:rsidR="00393A7B" w:rsidRPr="00393A7B" w:rsidRDefault="00393A7B" w:rsidP="00393A7B">
      <w:pPr>
        <w:shd w:val="clear" w:color="auto" w:fill="FFFFFF"/>
        <w:spacing w:before="360" w:after="36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t>Now that the Framework has been published, the Ministry are recruiting the required resource to progress the development of education resources for those working in secondary and tertiary care.</w:t>
      </w:r>
    </w:p>
    <w:p w14:paraId="23D4E737" w14:textId="77777777" w:rsidR="00393A7B" w:rsidRPr="00393A7B" w:rsidRDefault="00393A7B" w:rsidP="00393A7B">
      <w:pPr>
        <w:shd w:val="clear" w:color="auto" w:fill="FFFFFF"/>
        <w:spacing w:before="360" w:after="0" w:line="240" w:lineRule="auto"/>
        <w:rPr>
          <w:rFonts w:ascii="Arial" w:eastAsia="Times New Roman" w:hAnsi="Arial" w:cs="Arial"/>
          <w:color w:val="002639"/>
          <w:sz w:val="20"/>
          <w:szCs w:val="20"/>
          <w:lang w:eastAsia="en-NZ"/>
        </w:rPr>
      </w:pPr>
      <w:r w:rsidRPr="00393A7B">
        <w:rPr>
          <w:rFonts w:ascii="Arial" w:eastAsia="Times New Roman" w:hAnsi="Arial" w:cs="Arial"/>
          <w:color w:val="002639"/>
          <w:sz w:val="20"/>
          <w:szCs w:val="20"/>
          <w:lang w:eastAsia="en-NZ"/>
        </w:rPr>
        <w:lastRenderedPageBreak/>
        <w:t xml:space="preserve">The mesh complications </w:t>
      </w:r>
      <w:proofErr w:type="spellStart"/>
      <w:r w:rsidRPr="00393A7B">
        <w:rPr>
          <w:rFonts w:ascii="Arial" w:eastAsia="Times New Roman" w:hAnsi="Arial" w:cs="Arial"/>
          <w:color w:val="002639"/>
          <w:sz w:val="20"/>
          <w:szCs w:val="20"/>
          <w:lang w:eastAsia="en-NZ"/>
        </w:rPr>
        <w:t>HealthPathway</w:t>
      </w:r>
      <w:proofErr w:type="spellEnd"/>
      <w:r w:rsidRPr="00393A7B">
        <w:rPr>
          <w:rFonts w:ascii="Arial" w:eastAsia="Times New Roman" w:hAnsi="Arial" w:cs="Arial"/>
          <w:color w:val="002639"/>
          <w:sz w:val="20"/>
          <w:szCs w:val="20"/>
          <w:lang w:eastAsia="en-NZ"/>
        </w:rPr>
        <w:t xml:space="preserve"> has now gone live in Canterbury, the lower North Island, Whanganui-</w:t>
      </w:r>
      <w:proofErr w:type="gramStart"/>
      <w:r w:rsidRPr="00393A7B">
        <w:rPr>
          <w:rFonts w:ascii="Arial" w:eastAsia="Times New Roman" w:hAnsi="Arial" w:cs="Arial"/>
          <w:color w:val="002639"/>
          <w:sz w:val="20"/>
          <w:szCs w:val="20"/>
          <w:lang w:eastAsia="en-NZ"/>
        </w:rPr>
        <w:t>Manawatu</w:t>
      </w:r>
      <w:proofErr w:type="gramEnd"/>
      <w:r w:rsidRPr="00393A7B">
        <w:rPr>
          <w:rFonts w:ascii="Arial" w:eastAsia="Times New Roman" w:hAnsi="Arial" w:cs="Arial"/>
          <w:color w:val="002639"/>
          <w:sz w:val="20"/>
          <w:szCs w:val="20"/>
          <w:lang w:eastAsia="en-NZ"/>
        </w:rPr>
        <w:t xml:space="preserve"> and Midland regions. The remaining seven regions are planning to go live with the un-localised version of the </w:t>
      </w:r>
      <w:proofErr w:type="spellStart"/>
      <w:r w:rsidRPr="00393A7B">
        <w:rPr>
          <w:rFonts w:ascii="Arial" w:eastAsia="Times New Roman" w:hAnsi="Arial" w:cs="Arial"/>
          <w:color w:val="002639"/>
          <w:sz w:val="20"/>
          <w:szCs w:val="20"/>
          <w:lang w:eastAsia="en-NZ"/>
        </w:rPr>
        <w:t>HealthPathway</w:t>
      </w:r>
      <w:proofErr w:type="spellEnd"/>
      <w:r w:rsidRPr="00393A7B">
        <w:rPr>
          <w:rFonts w:ascii="Arial" w:eastAsia="Times New Roman" w:hAnsi="Arial" w:cs="Arial"/>
          <w:color w:val="002639"/>
          <w:sz w:val="20"/>
          <w:szCs w:val="20"/>
          <w:lang w:eastAsia="en-NZ"/>
        </w:rPr>
        <w:t>, and it is hoped this will occur prior to the first education webinar.</w:t>
      </w:r>
    </w:p>
    <w:p w14:paraId="07C2E558" w14:textId="77777777" w:rsidR="001524B3" w:rsidRDefault="001524B3"/>
    <w:sectPr w:rsidR="00152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7B"/>
    <w:rsid w:val="001524B3"/>
    <w:rsid w:val="002D336B"/>
    <w:rsid w:val="00303F48"/>
    <w:rsid w:val="00393A7B"/>
    <w:rsid w:val="00573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F74D"/>
  <w15:chartTrackingRefBased/>
  <w15:docId w15:val="{0A56901C-8B47-4CC9-BBEF-86EA1451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3A7B"/>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393A7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A7B"/>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393A7B"/>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393A7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9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and Responding to the Stories of Survivors of Surgical Mesh: July 2022</dc:title>
  <dc:subject/>
  <dc:creator>Ministry of Health</dc:creator>
  <cp:keywords/>
  <dc:description/>
  <cp:lastModifiedBy>Allan Potter</cp:lastModifiedBy>
  <cp:revision>2</cp:revision>
  <dcterms:created xsi:type="dcterms:W3CDTF">2022-11-02T20:07:00Z</dcterms:created>
  <dcterms:modified xsi:type="dcterms:W3CDTF">2022-11-02T20:11:00Z</dcterms:modified>
</cp:coreProperties>
</file>