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FD79" w14:textId="77777777" w:rsidR="001800FE" w:rsidRDefault="001800FE" w:rsidP="001800FE">
      <w:pPr>
        <w:spacing w:after="360"/>
      </w:pPr>
    </w:p>
    <w:p w14:paraId="4418EEB0" w14:textId="77777777" w:rsidR="001800FE" w:rsidRDefault="001800FE" w:rsidP="001800FE">
      <w:pPr>
        <w:spacing w:before="240" w:after="360"/>
        <w:rPr>
          <w:rFonts w:ascii="Georgia" w:hAnsi="Georgia"/>
          <w:b/>
          <w:sz w:val="48"/>
          <w:szCs w:val="48"/>
        </w:rPr>
      </w:pPr>
      <w:r>
        <w:rPr>
          <w:rFonts w:ascii="Georgia" w:hAnsi="Georgia"/>
          <w:b/>
          <w:sz w:val="48"/>
          <w:szCs w:val="48"/>
        </w:rPr>
        <w:t>Minutes</w:t>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F50FA6">
        <w:rPr>
          <w:noProof/>
          <w:lang w:eastAsia="en-NZ"/>
        </w:rPr>
        <w:drawing>
          <wp:inline distT="0" distB="0" distL="0" distR="0" wp14:anchorId="12BFCCC1" wp14:editId="631EBCF0">
            <wp:extent cx="990600" cy="485775"/>
            <wp:effectExtent l="0" t="0" r="0" b="9525"/>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l="6610" t="43289" r="79724" b="11005"/>
                    <a:stretch>
                      <a:fillRect/>
                    </a:stretch>
                  </pic:blipFill>
                  <pic:spPr bwMode="auto">
                    <a:xfrm>
                      <a:off x="0" y="0"/>
                      <a:ext cx="990600" cy="485775"/>
                    </a:xfrm>
                    <a:prstGeom prst="rect">
                      <a:avLst/>
                    </a:prstGeom>
                    <a:noFill/>
                    <a:ln>
                      <a:noFill/>
                    </a:ln>
                  </pic:spPr>
                </pic:pic>
              </a:graphicData>
            </a:graphic>
          </wp:inline>
        </w:drawing>
      </w:r>
      <w:r w:rsidR="00CA3380">
        <w:rPr>
          <w:rFonts w:ascii="Georgia" w:hAnsi="Georgia"/>
          <w:b/>
          <w:sz w:val="48"/>
          <w:szCs w:val="48"/>
        </w:rPr>
        <w:tab/>
      </w:r>
    </w:p>
    <w:p w14:paraId="0B89A6B7" w14:textId="77777777" w:rsidR="001800FE" w:rsidRPr="00DA035C" w:rsidRDefault="00D874E3" w:rsidP="00640A81">
      <w:pPr>
        <w:pStyle w:val="Heading1"/>
      </w:pPr>
      <w:bookmarkStart w:id="0" w:name="_GoBack"/>
      <w:r>
        <w:t xml:space="preserve">Standards Review </w:t>
      </w:r>
      <w:r w:rsidRPr="00640A81">
        <w:t>Governance</w:t>
      </w:r>
      <w:r>
        <w:t xml:space="preserve"> Group</w:t>
      </w:r>
      <w:bookmarkEnd w:id="0"/>
      <w:r>
        <w:tab/>
      </w:r>
    </w:p>
    <w:tbl>
      <w:tblPr>
        <w:tblStyle w:val="TableGrid"/>
        <w:tblW w:w="9900" w:type="dxa"/>
        <w:tblInd w:w="108" w:type="dxa"/>
        <w:tblBorders>
          <w:left w:val="none" w:sz="0" w:space="0" w:color="auto"/>
          <w:right w:val="none" w:sz="0" w:space="0" w:color="auto"/>
        </w:tblBorders>
        <w:tblLayout w:type="fixed"/>
        <w:tblLook w:val="01E0" w:firstRow="1" w:lastRow="1" w:firstColumn="1" w:lastColumn="1" w:noHBand="0" w:noVBand="0"/>
      </w:tblPr>
      <w:tblGrid>
        <w:gridCol w:w="719"/>
        <w:gridCol w:w="721"/>
        <w:gridCol w:w="8365"/>
        <w:gridCol w:w="95"/>
      </w:tblGrid>
      <w:tr w:rsidR="001800FE" w:rsidRPr="00006665" w14:paraId="472439F4" w14:textId="77777777" w:rsidTr="00333C4D">
        <w:trPr>
          <w:cantSplit/>
        </w:trPr>
        <w:tc>
          <w:tcPr>
            <w:tcW w:w="1440" w:type="dxa"/>
            <w:gridSpan w:val="2"/>
            <w:tcBorders>
              <w:top w:val="single" w:sz="12" w:space="0" w:color="auto"/>
              <w:bottom w:val="single" w:sz="2" w:space="0" w:color="auto"/>
              <w:right w:val="nil"/>
            </w:tcBorders>
          </w:tcPr>
          <w:p w14:paraId="3ACD669D" w14:textId="77777777" w:rsidR="001800FE" w:rsidRPr="00EF0B2D" w:rsidRDefault="001800FE" w:rsidP="00D874E3">
            <w:pPr>
              <w:pStyle w:val="TableText"/>
              <w:rPr>
                <w:rFonts w:cs="Arial"/>
                <w:b/>
                <w:sz w:val="22"/>
                <w:szCs w:val="22"/>
              </w:rPr>
            </w:pPr>
            <w:r w:rsidRPr="00EF0B2D">
              <w:rPr>
                <w:rFonts w:cs="Arial"/>
                <w:b/>
                <w:sz w:val="22"/>
                <w:szCs w:val="22"/>
              </w:rPr>
              <w:t>Date:</w:t>
            </w:r>
            <w:r w:rsidR="00D874E3">
              <w:rPr>
                <w:rFonts w:cs="Arial"/>
                <w:b/>
                <w:sz w:val="22"/>
                <w:szCs w:val="22"/>
              </w:rPr>
              <w:t xml:space="preserve"> </w:t>
            </w:r>
          </w:p>
        </w:tc>
        <w:tc>
          <w:tcPr>
            <w:tcW w:w="8460" w:type="dxa"/>
            <w:gridSpan w:val="2"/>
            <w:tcBorders>
              <w:top w:val="single" w:sz="12" w:space="0" w:color="auto"/>
              <w:left w:val="nil"/>
              <w:bottom w:val="single" w:sz="2" w:space="0" w:color="auto"/>
              <w:right w:val="nil"/>
            </w:tcBorders>
          </w:tcPr>
          <w:p w14:paraId="74E66E59" w14:textId="77777777" w:rsidR="001800FE" w:rsidRPr="00006665" w:rsidRDefault="00D874E3" w:rsidP="001800FE">
            <w:pPr>
              <w:pStyle w:val="TableText"/>
              <w:rPr>
                <w:rFonts w:cs="Arial"/>
                <w:sz w:val="22"/>
                <w:szCs w:val="22"/>
              </w:rPr>
            </w:pPr>
            <w:r>
              <w:rPr>
                <w:rFonts w:cs="Arial"/>
                <w:sz w:val="22"/>
                <w:szCs w:val="22"/>
              </w:rPr>
              <w:t>Wednesday, 6 March 2019</w:t>
            </w:r>
          </w:p>
        </w:tc>
      </w:tr>
      <w:tr w:rsidR="001800FE" w:rsidRPr="00006665" w14:paraId="52F179E1" w14:textId="77777777" w:rsidTr="00333C4D">
        <w:trPr>
          <w:cantSplit/>
        </w:trPr>
        <w:tc>
          <w:tcPr>
            <w:tcW w:w="1440" w:type="dxa"/>
            <w:gridSpan w:val="2"/>
            <w:tcBorders>
              <w:top w:val="single" w:sz="12" w:space="0" w:color="auto"/>
              <w:bottom w:val="single" w:sz="2" w:space="0" w:color="auto"/>
              <w:right w:val="nil"/>
            </w:tcBorders>
          </w:tcPr>
          <w:p w14:paraId="53D01597" w14:textId="77777777" w:rsidR="001800FE" w:rsidRPr="00EF0B2D" w:rsidRDefault="001800FE" w:rsidP="001800FE">
            <w:pPr>
              <w:pStyle w:val="TableText"/>
              <w:rPr>
                <w:rFonts w:cs="Arial"/>
                <w:b/>
                <w:sz w:val="22"/>
                <w:szCs w:val="22"/>
              </w:rPr>
            </w:pPr>
            <w:r w:rsidRPr="00EF0B2D">
              <w:rPr>
                <w:rFonts w:cs="Arial"/>
                <w:b/>
                <w:sz w:val="22"/>
                <w:szCs w:val="22"/>
              </w:rPr>
              <w:t>Time:</w:t>
            </w:r>
          </w:p>
        </w:tc>
        <w:tc>
          <w:tcPr>
            <w:tcW w:w="8460" w:type="dxa"/>
            <w:gridSpan w:val="2"/>
            <w:tcBorders>
              <w:top w:val="single" w:sz="12" w:space="0" w:color="auto"/>
              <w:left w:val="nil"/>
              <w:bottom w:val="single" w:sz="2" w:space="0" w:color="auto"/>
              <w:right w:val="nil"/>
            </w:tcBorders>
          </w:tcPr>
          <w:p w14:paraId="70D9146C" w14:textId="77777777" w:rsidR="001800FE" w:rsidRPr="00006665" w:rsidRDefault="00D874E3" w:rsidP="001800FE">
            <w:pPr>
              <w:pStyle w:val="TableText"/>
              <w:rPr>
                <w:rFonts w:cs="Arial"/>
                <w:sz w:val="22"/>
                <w:szCs w:val="22"/>
              </w:rPr>
            </w:pPr>
            <w:r>
              <w:rPr>
                <w:rFonts w:cs="Arial"/>
                <w:sz w:val="22"/>
                <w:szCs w:val="22"/>
              </w:rPr>
              <w:t>9.00am to 10.00am</w:t>
            </w:r>
          </w:p>
        </w:tc>
      </w:tr>
      <w:tr w:rsidR="001800FE" w:rsidRPr="00006665" w14:paraId="064D581F" w14:textId="77777777" w:rsidTr="00333C4D">
        <w:trPr>
          <w:cantSplit/>
        </w:trPr>
        <w:tc>
          <w:tcPr>
            <w:tcW w:w="1440" w:type="dxa"/>
            <w:gridSpan w:val="2"/>
            <w:tcBorders>
              <w:top w:val="single" w:sz="12" w:space="0" w:color="auto"/>
              <w:bottom w:val="single" w:sz="2" w:space="0" w:color="auto"/>
              <w:right w:val="nil"/>
            </w:tcBorders>
          </w:tcPr>
          <w:p w14:paraId="14DD9651" w14:textId="77777777" w:rsidR="001800FE" w:rsidRPr="00EF0B2D" w:rsidRDefault="001800FE" w:rsidP="001800FE">
            <w:pPr>
              <w:pStyle w:val="TableText"/>
              <w:rPr>
                <w:rFonts w:cs="Arial"/>
                <w:b/>
                <w:sz w:val="22"/>
                <w:szCs w:val="22"/>
              </w:rPr>
            </w:pPr>
            <w:r w:rsidRPr="00EF0B2D">
              <w:rPr>
                <w:rFonts w:cs="Arial"/>
                <w:b/>
                <w:sz w:val="22"/>
                <w:szCs w:val="22"/>
              </w:rPr>
              <w:t>Location:</w:t>
            </w:r>
          </w:p>
        </w:tc>
        <w:tc>
          <w:tcPr>
            <w:tcW w:w="8460" w:type="dxa"/>
            <w:gridSpan w:val="2"/>
            <w:tcBorders>
              <w:top w:val="single" w:sz="12" w:space="0" w:color="auto"/>
              <w:left w:val="nil"/>
              <w:bottom w:val="single" w:sz="2" w:space="0" w:color="auto"/>
              <w:right w:val="nil"/>
            </w:tcBorders>
          </w:tcPr>
          <w:p w14:paraId="13DC5248" w14:textId="77777777" w:rsidR="001800FE" w:rsidRPr="00006665" w:rsidRDefault="00D874E3" w:rsidP="001800FE">
            <w:pPr>
              <w:pStyle w:val="TableText"/>
              <w:rPr>
                <w:rFonts w:cs="Arial"/>
                <w:sz w:val="22"/>
                <w:szCs w:val="22"/>
              </w:rPr>
            </w:pPr>
            <w:r>
              <w:rPr>
                <w:rFonts w:cs="Arial"/>
                <w:sz w:val="22"/>
                <w:szCs w:val="22"/>
              </w:rPr>
              <w:t xml:space="preserve">Ministry of Health </w:t>
            </w:r>
          </w:p>
        </w:tc>
      </w:tr>
      <w:tr w:rsidR="001800FE" w:rsidRPr="00006665" w14:paraId="4DC11E5F" w14:textId="77777777" w:rsidTr="00333C4D">
        <w:trPr>
          <w:cantSplit/>
        </w:trPr>
        <w:tc>
          <w:tcPr>
            <w:tcW w:w="1440" w:type="dxa"/>
            <w:gridSpan w:val="2"/>
            <w:tcBorders>
              <w:top w:val="single" w:sz="12" w:space="0" w:color="auto"/>
              <w:bottom w:val="single" w:sz="2" w:space="0" w:color="auto"/>
              <w:right w:val="nil"/>
            </w:tcBorders>
          </w:tcPr>
          <w:p w14:paraId="603A4712" w14:textId="77777777" w:rsidR="001800FE" w:rsidRPr="00EF0B2D" w:rsidRDefault="001800FE" w:rsidP="001800FE">
            <w:pPr>
              <w:pStyle w:val="TableText"/>
              <w:rPr>
                <w:rFonts w:cs="Arial"/>
                <w:b/>
                <w:sz w:val="22"/>
                <w:szCs w:val="22"/>
              </w:rPr>
            </w:pPr>
            <w:r w:rsidRPr="00EF0B2D">
              <w:rPr>
                <w:rFonts w:cs="Arial"/>
                <w:b/>
                <w:sz w:val="22"/>
                <w:szCs w:val="22"/>
              </w:rPr>
              <w:t>Chair:</w:t>
            </w:r>
          </w:p>
        </w:tc>
        <w:tc>
          <w:tcPr>
            <w:tcW w:w="8460" w:type="dxa"/>
            <w:gridSpan w:val="2"/>
            <w:tcBorders>
              <w:top w:val="single" w:sz="12" w:space="0" w:color="auto"/>
              <w:left w:val="nil"/>
              <w:bottom w:val="single" w:sz="2" w:space="0" w:color="auto"/>
              <w:right w:val="nil"/>
            </w:tcBorders>
          </w:tcPr>
          <w:p w14:paraId="36C56504" w14:textId="77777777" w:rsidR="001800FE" w:rsidRPr="00006665" w:rsidRDefault="00D874E3" w:rsidP="001800FE">
            <w:pPr>
              <w:pStyle w:val="TableText"/>
              <w:rPr>
                <w:rFonts w:cs="Arial"/>
                <w:sz w:val="22"/>
                <w:szCs w:val="22"/>
              </w:rPr>
            </w:pPr>
            <w:r>
              <w:rPr>
                <w:rFonts w:cs="Arial"/>
                <w:sz w:val="22"/>
                <w:szCs w:val="22"/>
              </w:rPr>
              <w:t>Keriana Brooking</w:t>
            </w:r>
            <w:r w:rsidR="00633F1B">
              <w:rPr>
                <w:rFonts w:cs="Arial"/>
                <w:sz w:val="22"/>
                <w:szCs w:val="22"/>
              </w:rPr>
              <w:t xml:space="preserve"> (DDG, Health System Innovation &amp; Improvement</w:t>
            </w:r>
            <w:r w:rsidR="00D07558">
              <w:rPr>
                <w:rFonts w:cs="Arial"/>
                <w:sz w:val="22"/>
                <w:szCs w:val="22"/>
              </w:rPr>
              <w:t>, Ministry of Health</w:t>
            </w:r>
          </w:p>
        </w:tc>
      </w:tr>
      <w:tr w:rsidR="001800FE" w:rsidRPr="00006665" w14:paraId="2891C90C" w14:textId="77777777" w:rsidTr="00333C4D">
        <w:trPr>
          <w:cantSplit/>
        </w:trPr>
        <w:tc>
          <w:tcPr>
            <w:tcW w:w="1440" w:type="dxa"/>
            <w:gridSpan w:val="2"/>
            <w:tcBorders>
              <w:top w:val="single" w:sz="12" w:space="0" w:color="auto"/>
              <w:bottom w:val="single" w:sz="2" w:space="0" w:color="auto"/>
              <w:right w:val="nil"/>
            </w:tcBorders>
          </w:tcPr>
          <w:p w14:paraId="04B70D23" w14:textId="77777777" w:rsidR="001800FE" w:rsidRPr="00EF0B2D" w:rsidRDefault="001800FE" w:rsidP="001800FE">
            <w:pPr>
              <w:pStyle w:val="TableText"/>
              <w:rPr>
                <w:rFonts w:cs="Arial"/>
                <w:b/>
                <w:sz w:val="22"/>
                <w:szCs w:val="22"/>
              </w:rPr>
            </w:pPr>
            <w:r w:rsidRPr="00EF0B2D">
              <w:rPr>
                <w:rFonts w:cs="Arial"/>
                <w:b/>
                <w:sz w:val="22"/>
                <w:szCs w:val="22"/>
              </w:rPr>
              <w:t>Attendees:</w:t>
            </w:r>
          </w:p>
        </w:tc>
        <w:tc>
          <w:tcPr>
            <w:tcW w:w="8460" w:type="dxa"/>
            <w:gridSpan w:val="2"/>
            <w:tcBorders>
              <w:top w:val="single" w:sz="12" w:space="0" w:color="auto"/>
              <w:left w:val="nil"/>
              <w:bottom w:val="single" w:sz="2" w:space="0" w:color="auto"/>
              <w:right w:val="nil"/>
            </w:tcBorders>
          </w:tcPr>
          <w:p w14:paraId="7D7FBD65" w14:textId="77777777" w:rsidR="001800FE" w:rsidRPr="00006665" w:rsidRDefault="00633F1B" w:rsidP="00D07558">
            <w:pPr>
              <w:pStyle w:val="TableText"/>
              <w:rPr>
                <w:rFonts w:cs="Arial"/>
                <w:sz w:val="22"/>
                <w:szCs w:val="22"/>
              </w:rPr>
            </w:pPr>
            <w:r>
              <w:rPr>
                <w:rFonts w:cs="Arial"/>
                <w:sz w:val="22"/>
                <w:szCs w:val="22"/>
              </w:rPr>
              <w:t>Sandy Gill (</w:t>
            </w:r>
            <w:r w:rsidR="00D07558">
              <w:rPr>
                <w:rFonts w:cs="Arial"/>
                <w:sz w:val="22"/>
                <w:szCs w:val="22"/>
              </w:rPr>
              <w:t xml:space="preserve">Māori </w:t>
            </w:r>
            <w:r>
              <w:rPr>
                <w:rFonts w:cs="Arial"/>
                <w:sz w:val="22"/>
                <w:szCs w:val="22"/>
              </w:rPr>
              <w:t xml:space="preserve">Consumer Representative) </w:t>
            </w:r>
            <w:r>
              <w:rPr>
                <w:rFonts w:cs="Arial"/>
                <w:sz w:val="22"/>
                <w:szCs w:val="22"/>
              </w:rPr>
              <w:br/>
              <w:t>Andi Shirtcliffe (Chief Advisor</w:t>
            </w:r>
            <w:r w:rsidR="00D07558">
              <w:rPr>
                <w:rFonts w:cs="Arial"/>
                <w:sz w:val="22"/>
                <w:szCs w:val="22"/>
              </w:rPr>
              <w:t>, Pharmacy, Ministry of Health)</w:t>
            </w:r>
            <w:r w:rsidR="00D07558">
              <w:rPr>
                <w:rFonts w:cs="Arial"/>
                <w:sz w:val="22"/>
                <w:szCs w:val="22"/>
              </w:rPr>
              <w:br/>
              <w:t>Matthew Parr (Acting DDG, Disability, Ministry of Health)</w:t>
            </w:r>
            <w:r w:rsidR="00D07558">
              <w:rPr>
                <w:rFonts w:cs="Arial"/>
                <w:sz w:val="22"/>
                <w:szCs w:val="22"/>
              </w:rPr>
              <w:br/>
              <w:t>Liz Stirling (Manager, DHB Performance, Support and Infrastructure, Ministry of Health)</w:t>
            </w:r>
            <w:r w:rsidR="00D07558">
              <w:rPr>
                <w:rFonts w:cs="Arial"/>
                <w:sz w:val="22"/>
                <w:szCs w:val="22"/>
              </w:rPr>
              <w:br/>
              <w:t>Caroline Flora (Group Manager, Strategy and Policy, Ministry of Health)</w:t>
            </w:r>
            <w:r w:rsidR="00D07558">
              <w:rPr>
                <w:rFonts w:cs="Arial"/>
                <w:sz w:val="22"/>
                <w:szCs w:val="22"/>
              </w:rPr>
              <w:br/>
              <w:t>Derek Thompson (Manager, Mental Health and Addiction, Ministry of Health)</w:t>
            </w:r>
            <w:r w:rsidR="00D07558">
              <w:rPr>
                <w:rFonts w:cs="Arial"/>
                <w:sz w:val="22"/>
                <w:szCs w:val="22"/>
              </w:rPr>
              <w:br/>
              <w:t>Stanil Stanilov (Team Leader, Standards New Zealand, MBIE)</w:t>
            </w:r>
            <w:r w:rsidR="00D07558">
              <w:rPr>
                <w:rFonts w:cs="Arial"/>
                <w:sz w:val="22"/>
                <w:szCs w:val="22"/>
              </w:rPr>
              <w:br/>
              <w:t>Donna Gordon (Principal Advisor, HealthCERT, Ministry of Health)</w:t>
            </w:r>
            <w:r w:rsidR="00D07558">
              <w:rPr>
                <w:rFonts w:cs="Arial"/>
                <w:sz w:val="22"/>
                <w:szCs w:val="22"/>
              </w:rPr>
              <w:br/>
              <w:t>Jade Cincotta (Project Manager, HealthCERT, Ministry of Health) (minutes)</w:t>
            </w:r>
          </w:p>
        </w:tc>
      </w:tr>
      <w:tr w:rsidR="001800FE" w:rsidRPr="00006665" w14:paraId="4302A142" w14:textId="77777777" w:rsidTr="00333C4D">
        <w:trPr>
          <w:cantSplit/>
        </w:trPr>
        <w:tc>
          <w:tcPr>
            <w:tcW w:w="1440" w:type="dxa"/>
            <w:gridSpan w:val="2"/>
            <w:tcBorders>
              <w:top w:val="single" w:sz="12" w:space="0" w:color="auto"/>
              <w:bottom w:val="single" w:sz="2" w:space="0" w:color="auto"/>
              <w:right w:val="nil"/>
            </w:tcBorders>
          </w:tcPr>
          <w:p w14:paraId="7BDAA6D9" w14:textId="77777777" w:rsidR="001800FE" w:rsidRPr="00EF0B2D" w:rsidRDefault="001800FE" w:rsidP="001800FE">
            <w:pPr>
              <w:pStyle w:val="TableText"/>
              <w:rPr>
                <w:rFonts w:cs="Arial"/>
                <w:b/>
                <w:sz w:val="22"/>
                <w:szCs w:val="22"/>
              </w:rPr>
            </w:pPr>
            <w:r w:rsidRPr="00EF0B2D">
              <w:rPr>
                <w:rFonts w:cs="Arial"/>
                <w:b/>
                <w:sz w:val="22"/>
                <w:szCs w:val="22"/>
              </w:rPr>
              <w:t>Apologies:</w:t>
            </w:r>
          </w:p>
        </w:tc>
        <w:tc>
          <w:tcPr>
            <w:tcW w:w="8460" w:type="dxa"/>
            <w:gridSpan w:val="2"/>
            <w:tcBorders>
              <w:top w:val="single" w:sz="12" w:space="0" w:color="auto"/>
              <w:left w:val="nil"/>
              <w:bottom w:val="single" w:sz="2" w:space="0" w:color="auto"/>
              <w:right w:val="nil"/>
            </w:tcBorders>
          </w:tcPr>
          <w:p w14:paraId="0E3FDCB4" w14:textId="77777777" w:rsidR="001800FE" w:rsidRPr="00006665" w:rsidRDefault="00DC03DD" w:rsidP="001800FE">
            <w:pPr>
              <w:pStyle w:val="TableText"/>
              <w:rPr>
                <w:rFonts w:cs="Arial"/>
                <w:sz w:val="22"/>
                <w:szCs w:val="22"/>
              </w:rPr>
            </w:pPr>
            <w:r>
              <w:rPr>
                <w:rFonts w:cs="Arial"/>
                <w:sz w:val="22"/>
                <w:szCs w:val="22"/>
              </w:rPr>
              <w:t>John Whaanga</w:t>
            </w:r>
            <w:r w:rsidR="008D598E">
              <w:rPr>
                <w:rFonts w:cs="Arial"/>
                <w:sz w:val="22"/>
                <w:szCs w:val="22"/>
              </w:rPr>
              <w:t xml:space="preserve"> (DDG, Māori Health, Ministry of Health)</w:t>
            </w:r>
          </w:p>
        </w:tc>
      </w:tr>
      <w:tr w:rsidR="00D31CFA" w14:paraId="0504BEA6" w14:textId="77777777" w:rsidTr="00333C4D">
        <w:tblPrEx>
          <w:tblBorders>
            <w:left w:val="single" w:sz="4" w:space="0" w:color="auto"/>
            <w:right w:val="single" w:sz="4" w:space="0" w:color="auto"/>
          </w:tblBorders>
        </w:tblPrEx>
        <w:trPr>
          <w:gridAfter w:val="1"/>
          <w:wAfter w:w="95" w:type="dxa"/>
        </w:trPr>
        <w:tc>
          <w:tcPr>
            <w:tcW w:w="719" w:type="dxa"/>
          </w:tcPr>
          <w:p w14:paraId="56F13FD6" w14:textId="77777777" w:rsidR="00D31CFA" w:rsidRPr="00D31CFA" w:rsidRDefault="00D31CFA" w:rsidP="00D31CFA">
            <w:pPr>
              <w:tabs>
                <w:tab w:val="right" w:leader="underscore" w:pos="5670"/>
                <w:tab w:val="left" w:pos="6237"/>
              </w:tabs>
              <w:rPr>
                <w:b/>
                <w:sz w:val="22"/>
                <w:szCs w:val="22"/>
              </w:rPr>
            </w:pPr>
            <w:r w:rsidRPr="00D31CFA">
              <w:rPr>
                <w:b/>
                <w:sz w:val="22"/>
                <w:szCs w:val="22"/>
              </w:rPr>
              <w:t>Item</w:t>
            </w:r>
          </w:p>
        </w:tc>
        <w:tc>
          <w:tcPr>
            <w:tcW w:w="9086" w:type="dxa"/>
            <w:gridSpan w:val="2"/>
          </w:tcPr>
          <w:p w14:paraId="002ACCF0" w14:textId="77777777" w:rsidR="00D31CFA" w:rsidRPr="00D31CFA" w:rsidRDefault="00D31CFA" w:rsidP="00D31CFA">
            <w:pPr>
              <w:tabs>
                <w:tab w:val="right" w:leader="underscore" w:pos="5670"/>
                <w:tab w:val="left" w:pos="6237"/>
              </w:tabs>
              <w:rPr>
                <w:b/>
                <w:sz w:val="22"/>
                <w:szCs w:val="22"/>
              </w:rPr>
            </w:pPr>
            <w:r w:rsidRPr="00D31CFA">
              <w:rPr>
                <w:b/>
                <w:sz w:val="22"/>
                <w:szCs w:val="22"/>
              </w:rPr>
              <w:t>Notes</w:t>
            </w:r>
          </w:p>
        </w:tc>
      </w:tr>
      <w:tr w:rsidR="00633F1B" w14:paraId="1A50EA21" w14:textId="77777777" w:rsidTr="00333C4D">
        <w:tblPrEx>
          <w:tblBorders>
            <w:left w:val="single" w:sz="4" w:space="0" w:color="auto"/>
            <w:right w:val="single" w:sz="4" w:space="0" w:color="auto"/>
          </w:tblBorders>
        </w:tblPrEx>
        <w:trPr>
          <w:gridAfter w:val="1"/>
          <w:wAfter w:w="95" w:type="dxa"/>
          <w:trHeight w:val="715"/>
        </w:trPr>
        <w:tc>
          <w:tcPr>
            <w:tcW w:w="719" w:type="dxa"/>
          </w:tcPr>
          <w:p w14:paraId="2212A745" w14:textId="77777777" w:rsidR="00633F1B" w:rsidRPr="00D31CFA" w:rsidRDefault="00633F1B" w:rsidP="00D31CFA">
            <w:pPr>
              <w:tabs>
                <w:tab w:val="right" w:leader="underscore" w:pos="5670"/>
                <w:tab w:val="left" w:pos="6237"/>
              </w:tabs>
              <w:rPr>
                <w:b/>
                <w:sz w:val="22"/>
                <w:szCs w:val="22"/>
              </w:rPr>
            </w:pPr>
          </w:p>
        </w:tc>
        <w:tc>
          <w:tcPr>
            <w:tcW w:w="9086" w:type="dxa"/>
            <w:gridSpan w:val="2"/>
          </w:tcPr>
          <w:p w14:paraId="40A7D66C" w14:textId="77777777" w:rsidR="00633F1B" w:rsidRDefault="00633F1B" w:rsidP="00D31CFA">
            <w:pPr>
              <w:tabs>
                <w:tab w:val="right" w:leader="underscore" w:pos="5670"/>
                <w:tab w:val="left" w:pos="6237"/>
              </w:tabs>
              <w:rPr>
                <w:b/>
                <w:sz w:val="22"/>
                <w:szCs w:val="22"/>
              </w:rPr>
            </w:pPr>
          </w:p>
          <w:p w14:paraId="01D9C46B" w14:textId="66DE39DD" w:rsidR="00633F1B" w:rsidRPr="00735DC3" w:rsidRDefault="00633F1B" w:rsidP="00D31CFA">
            <w:pPr>
              <w:tabs>
                <w:tab w:val="right" w:leader="underscore" w:pos="5670"/>
                <w:tab w:val="left" w:pos="6237"/>
              </w:tabs>
              <w:rPr>
                <w:sz w:val="22"/>
                <w:szCs w:val="22"/>
              </w:rPr>
            </w:pPr>
            <w:r w:rsidRPr="00735DC3">
              <w:rPr>
                <w:sz w:val="22"/>
                <w:szCs w:val="22"/>
              </w:rPr>
              <w:t>Keriana B</w:t>
            </w:r>
            <w:r w:rsidR="00735DC3">
              <w:rPr>
                <w:sz w:val="22"/>
                <w:szCs w:val="22"/>
              </w:rPr>
              <w:t>rooking opened the meeting at 9</w:t>
            </w:r>
            <w:r w:rsidRPr="00735DC3">
              <w:rPr>
                <w:sz w:val="22"/>
                <w:szCs w:val="22"/>
              </w:rPr>
              <w:t>.00am</w:t>
            </w:r>
          </w:p>
        </w:tc>
      </w:tr>
      <w:tr w:rsidR="00D31CFA" w14:paraId="5667CA66" w14:textId="77777777" w:rsidTr="00333C4D">
        <w:tblPrEx>
          <w:tblBorders>
            <w:left w:val="single" w:sz="4" w:space="0" w:color="auto"/>
            <w:right w:val="single" w:sz="4" w:space="0" w:color="auto"/>
          </w:tblBorders>
        </w:tblPrEx>
        <w:trPr>
          <w:gridAfter w:val="1"/>
          <w:wAfter w:w="95" w:type="dxa"/>
        </w:trPr>
        <w:tc>
          <w:tcPr>
            <w:tcW w:w="719" w:type="dxa"/>
          </w:tcPr>
          <w:p w14:paraId="2D32C2BE" w14:textId="77777777" w:rsidR="00D31CFA" w:rsidRDefault="00D31CFA" w:rsidP="00D31CFA">
            <w:pPr>
              <w:tabs>
                <w:tab w:val="right" w:leader="underscore" w:pos="5670"/>
                <w:tab w:val="left" w:pos="6237"/>
              </w:tabs>
            </w:pPr>
            <w:r>
              <w:t>1</w:t>
            </w:r>
          </w:p>
        </w:tc>
        <w:tc>
          <w:tcPr>
            <w:tcW w:w="9086" w:type="dxa"/>
            <w:gridSpan w:val="2"/>
          </w:tcPr>
          <w:p w14:paraId="0F65B9D5" w14:textId="77777777" w:rsidR="00633F1B" w:rsidRPr="00633F1B" w:rsidRDefault="00633F1B" w:rsidP="00640A81">
            <w:pPr>
              <w:pStyle w:val="Heading2"/>
            </w:pPr>
            <w:r w:rsidRPr="00640A81">
              <w:t>Apologies</w:t>
            </w:r>
          </w:p>
          <w:p w14:paraId="4C96ECCE" w14:textId="77777777" w:rsidR="00633F1B" w:rsidRDefault="00633F1B" w:rsidP="00D31CFA">
            <w:pPr>
              <w:tabs>
                <w:tab w:val="right" w:leader="underscore" w:pos="5670"/>
                <w:tab w:val="left" w:pos="6237"/>
              </w:tabs>
            </w:pPr>
          </w:p>
          <w:p w14:paraId="55077F2A" w14:textId="165F11D5" w:rsidR="00D31CFA" w:rsidRDefault="00633F1B" w:rsidP="00D31CFA">
            <w:pPr>
              <w:tabs>
                <w:tab w:val="right" w:leader="underscore" w:pos="5670"/>
                <w:tab w:val="left" w:pos="6237"/>
              </w:tabs>
            </w:pPr>
            <w:r>
              <w:t>John Whaanga</w:t>
            </w:r>
            <w:r w:rsidR="00F45596">
              <w:t xml:space="preserve"> (Deputy Director-General, Mā</w:t>
            </w:r>
            <w:r w:rsidR="00FF7918">
              <w:t>ori Health)</w:t>
            </w:r>
            <w:r>
              <w:t xml:space="preserve">. </w:t>
            </w:r>
          </w:p>
          <w:p w14:paraId="1BA6506B" w14:textId="77777777" w:rsidR="00633F1B" w:rsidRDefault="00633F1B" w:rsidP="00D31CFA">
            <w:pPr>
              <w:tabs>
                <w:tab w:val="right" w:leader="underscore" w:pos="5670"/>
                <w:tab w:val="left" w:pos="6237"/>
              </w:tabs>
            </w:pPr>
          </w:p>
        </w:tc>
      </w:tr>
      <w:tr w:rsidR="00D31CFA" w14:paraId="44FE377B" w14:textId="77777777" w:rsidTr="00333C4D">
        <w:tblPrEx>
          <w:tblBorders>
            <w:left w:val="single" w:sz="4" w:space="0" w:color="auto"/>
            <w:right w:val="single" w:sz="4" w:space="0" w:color="auto"/>
          </w:tblBorders>
        </w:tblPrEx>
        <w:trPr>
          <w:gridAfter w:val="1"/>
          <w:wAfter w:w="95" w:type="dxa"/>
        </w:trPr>
        <w:tc>
          <w:tcPr>
            <w:tcW w:w="719" w:type="dxa"/>
          </w:tcPr>
          <w:p w14:paraId="66CC875D" w14:textId="77777777" w:rsidR="00D31CFA" w:rsidRDefault="00D31CFA" w:rsidP="00D31CFA">
            <w:pPr>
              <w:tabs>
                <w:tab w:val="right" w:leader="underscore" w:pos="5670"/>
                <w:tab w:val="left" w:pos="6237"/>
              </w:tabs>
            </w:pPr>
            <w:r>
              <w:t>2</w:t>
            </w:r>
          </w:p>
        </w:tc>
        <w:tc>
          <w:tcPr>
            <w:tcW w:w="9086" w:type="dxa"/>
            <w:gridSpan w:val="2"/>
          </w:tcPr>
          <w:p w14:paraId="4F71F298" w14:textId="77777777" w:rsidR="00D31CFA" w:rsidRDefault="00633F1B" w:rsidP="00640A81">
            <w:pPr>
              <w:pStyle w:val="Heading2"/>
            </w:pPr>
            <w:r w:rsidRPr="00633F1B">
              <w:t xml:space="preserve">Setting the scene </w:t>
            </w:r>
          </w:p>
          <w:p w14:paraId="61749C11" w14:textId="77777777" w:rsidR="00633F1B" w:rsidRDefault="00633F1B" w:rsidP="00D31CFA">
            <w:pPr>
              <w:tabs>
                <w:tab w:val="right" w:leader="underscore" w:pos="5670"/>
                <w:tab w:val="left" w:pos="6237"/>
              </w:tabs>
              <w:rPr>
                <w:b/>
              </w:rPr>
            </w:pPr>
          </w:p>
          <w:p w14:paraId="519412C3" w14:textId="5821E8A2" w:rsidR="00333C4D" w:rsidRDefault="00333C4D" w:rsidP="00D31CFA">
            <w:pPr>
              <w:tabs>
                <w:tab w:val="right" w:leader="underscore" w:pos="5670"/>
                <w:tab w:val="left" w:pos="6237"/>
              </w:tabs>
            </w:pPr>
            <w:r>
              <w:t>The Chair welcomed the Governance Group</w:t>
            </w:r>
            <w:r w:rsidR="0022740C">
              <w:t xml:space="preserve"> (the Group)</w:t>
            </w:r>
            <w:r>
              <w:t xml:space="preserve"> to the first meeting. </w:t>
            </w:r>
          </w:p>
          <w:p w14:paraId="38A0B3D5" w14:textId="77777777" w:rsidR="00333C4D" w:rsidRDefault="00333C4D" w:rsidP="00D31CFA">
            <w:pPr>
              <w:tabs>
                <w:tab w:val="right" w:leader="underscore" w:pos="5670"/>
                <w:tab w:val="left" w:pos="6237"/>
              </w:tabs>
            </w:pPr>
          </w:p>
          <w:p w14:paraId="081FC8ED" w14:textId="77777777" w:rsidR="00333C4D" w:rsidRDefault="00333C4D" w:rsidP="00D31CFA">
            <w:pPr>
              <w:tabs>
                <w:tab w:val="right" w:leader="underscore" w:pos="5670"/>
                <w:tab w:val="left" w:pos="6237"/>
              </w:tabs>
            </w:pPr>
            <w:r>
              <w:t>A summary</w:t>
            </w:r>
            <w:r w:rsidR="00633F1B">
              <w:t xml:space="preserve"> of the legislation </w:t>
            </w:r>
            <w:r>
              <w:t>which</w:t>
            </w:r>
            <w:r w:rsidR="00633F1B">
              <w:t xml:space="preserve"> requires providers of overnight health services </w:t>
            </w:r>
            <w:r>
              <w:t>to be</w:t>
            </w:r>
            <w:r w:rsidR="00633F1B">
              <w:t xml:space="preserve"> certified against</w:t>
            </w:r>
            <w:r>
              <w:t xml:space="preserve"> the</w:t>
            </w:r>
            <w:r w:rsidR="00633F1B">
              <w:t xml:space="preserve"> relevant standards was given. The results of the 2013, 2014 and joint 2017 reviews of the Health &amp; Disability Services Standards and the Fertility Services standard was summarised. </w:t>
            </w:r>
          </w:p>
          <w:p w14:paraId="466BD7B5" w14:textId="77777777" w:rsidR="00333C4D" w:rsidRDefault="00333C4D" w:rsidP="00D31CFA">
            <w:pPr>
              <w:tabs>
                <w:tab w:val="right" w:leader="underscore" w:pos="5670"/>
                <w:tab w:val="left" w:pos="6237"/>
              </w:tabs>
            </w:pPr>
          </w:p>
          <w:p w14:paraId="323F09A8" w14:textId="7403F3FB" w:rsidR="00333C4D" w:rsidRDefault="00333C4D" w:rsidP="00D31CFA">
            <w:pPr>
              <w:tabs>
                <w:tab w:val="right" w:leader="underscore" w:pos="5670"/>
                <w:tab w:val="left" w:pos="6237"/>
              </w:tabs>
            </w:pPr>
            <w:r>
              <w:t xml:space="preserve">The </w:t>
            </w:r>
            <w:r w:rsidR="00735DC3">
              <w:t xml:space="preserve">proposed </w:t>
            </w:r>
            <w:r>
              <w:t xml:space="preserve">timeline for the standards review was noted by the Group. </w:t>
            </w:r>
          </w:p>
          <w:p w14:paraId="37622FC6" w14:textId="77777777" w:rsidR="00633F1B" w:rsidRDefault="00633F1B" w:rsidP="00D31CFA">
            <w:pPr>
              <w:tabs>
                <w:tab w:val="right" w:leader="underscore" w:pos="5670"/>
                <w:tab w:val="left" w:pos="6237"/>
              </w:tabs>
            </w:pPr>
          </w:p>
          <w:p w14:paraId="4CCF8C2E" w14:textId="77777777" w:rsidR="00633F1B" w:rsidRDefault="00633F1B" w:rsidP="00D31CFA">
            <w:pPr>
              <w:tabs>
                <w:tab w:val="right" w:leader="underscore" w:pos="5670"/>
                <w:tab w:val="left" w:pos="6237"/>
              </w:tabs>
            </w:pPr>
            <w:r>
              <w:t>Stan</w:t>
            </w:r>
            <w:r w:rsidR="00333C4D">
              <w:t>dards New Zealand</w:t>
            </w:r>
            <w:r w:rsidR="006E28C3">
              <w:t xml:space="preserve"> (SNZ)</w:t>
            </w:r>
            <w:r w:rsidR="00333C4D">
              <w:t xml:space="preserve"> outlined their legislated requirements for establishing standards. These include: </w:t>
            </w:r>
          </w:p>
          <w:p w14:paraId="5141A4F7" w14:textId="77777777" w:rsidR="00333C4D" w:rsidRDefault="00333C4D" w:rsidP="00333C4D">
            <w:pPr>
              <w:pStyle w:val="ListParagraph"/>
              <w:numPr>
                <w:ilvl w:val="0"/>
                <w:numId w:val="1"/>
              </w:numPr>
              <w:tabs>
                <w:tab w:val="right" w:leader="underscore" w:pos="5670"/>
                <w:tab w:val="left" w:pos="6237"/>
              </w:tabs>
            </w:pPr>
            <w:r>
              <w:t>Establishing a balanced standards committee</w:t>
            </w:r>
          </w:p>
          <w:p w14:paraId="5E6272EB" w14:textId="77777777" w:rsidR="00333C4D" w:rsidRDefault="006E28C3" w:rsidP="00333C4D">
            <w:pPr>
              <w:pStyle w:val="ListParagraph"/>
              <w:numPr>
                <w:ilvl w:val="0"/>
                <w:numId w:val="1"/>
              </w:numPr>
              <w:tabs>
                <w:tab w:val="right" w:leader="underscore" w:pos="5670"/>
                <w:tab w:val="left" w:pos="6237"/>
              </w:tabs>
            </w:pPr>
            <w:r>
              <w:t xml:space="preserve">A period of public consultation </w:t>
            </w:r>
          </w:p>
          <w:p w14:paraId="01DF7D63" w14:textId="765ECFBD" w:rsidR="006E28C3" w:rsidRDefault="006E28C3" w:rsidP="006E28C3">
            <w:pPr>
              <w:pStyle w:val="ListParagraph"/>
              <w:numPr>
                <w:ilvl w:val="0"/>
                <w:numId w:val="1"/>
              </w:numPr>
              <w:tabs>
                <w:tab w:val="right" w:leader="underscore" w:pos="5670"/>
                <w:tab w:val="left" w:pos="6237"/>
              </w:tabs>
            </w:pPr>
            <w:r>
              <w:lastRenderedPageBreak/>
              <w:t>Consensus</w:t>
            </w:r>
            <w:r w:rsidR="00735DC3">
              <w:t xml:space="preserve"> by the balanced standards committee</w:t>
            </w:r>
            <w:r>
              <w:t xml:space="preserve"> on the final standards. </w:t>
            </w:r>
          </w:p>
          <w:p w14:paraId="120A7DF8" w14:textId="77777777" w:rsidR="00735DC3" w:rsidRDefault="00735DC3" w:rsidP="00735DC3">
            <w:pPr>
              <w:tabs>
                <w:tab w:val="right" w:leader="underscore" w:pos="5670"/>
                <w:tab w:val="left" w:pos="6237"/>
              </w:tabs>
            </w:pPr>
          </w:p>
          <w:p w14:paraId="610B856D" w14:textId="77777777" w:rsidR="00735DC3" w:rsidRDefault="00735DC3" w:rsidP="00735DC3">
            <w:pPr>
              <w:tabs>
                <w:tab w:val="right" w:leader="underscore" w:pos="5670"/>
                <w:tab w:val="left" w:pos="6237"/>
              </w:tabs>
            </w:pPr>
            <w:r>
              <w:t xml:space="preserve">SNZ confirmed they would provide quality assurance to the development of the standards. </w:t>
            </w:r>
          </w:p>
          <w:p w14:paraId="75D9F489" w14:textId="77777777" w:rsidR="006E28C3" w:rsidRDefault="006E28C3" w:rsidP="006E28C3">
            <w:pPr>
              <w:tabs>
                <w:tab w:val="right" w:leader="underscore" w:pos="5670"/>
                <w:tab w:val="left" w:pos="6237"/>
              </w:tabs>
            </w:pPr>
          </w:p>
          <w:p w14:paraId="4587271B" w14:textId="155B8B84" w:rsidR="006E28C3" w:rsidRDefault="006E28C3" w:rsidP="006E28C3">
            <w:pPr>
              <w:tabs>
                <w:tab w:val="right" w:leader="underscore" w:pos="5670"/>
                <w:tab w:val="left" w:pos="6237"/>
              </w:tabs>
            </w:pPr>
            <w:r>
              <w:t>SNZ outlined their new partnership appro</w:t>
            </w:r>
            <w:r w:rsidR="00735DC3">
              <w:t>ach</w:t>
            </w:r>
            <w:r>
              <w:t xml:space="preserve"> where </w:t>
            </w:r>
            <w:r w:rsidR="00030CC7">
              <w:t xml:space="preserve">the Ministry will provide project management support to the development of the standard. It was acknowledged the partnership approach provides the opportunity for the Ministry to </w:t>
            </w:r>
            <w:r w:rsidR="00735DC3">
              <w:t>meaningfully work</w:t>
            </w:r>
            <w:r w:rsidR="00030CC7">
              <w:t xml:space="preserve"> with the sector to update the standards. </w:t>
            </w:r>
          </w:p>
          <w:p w14:paraId="0CBDA89C" w14:textId="77777777" w:rsidR="00030CC7" w:rsidRDefault="00030CC7" w:rsidP="006E28C3">
            <w:pPr>
              <w:tabs>
                <w:tab w:val="right" w:leader="underscore" w:pos="5670"/>
                <w:tab w:val="left" w:pos="6237"/>
              </w:tabs>
            </w:pPr>
          </w:p>
          <w:p w14:paraId="62FA3373" w14:textId="0FA6F7F7" w:rsidR="00030CC7" w:rsidRDefault="00030CC7" w:rsidP="006E28C3">
            <w:pPr>
              <w:tabs>
                <w:tab w:val="right" w:leader="underscore" w:pos="5670"/>
                <w:tab w:val="left" w:pos="6237"/>
              </w:tabs>
            </w:pPr>
            <w:r>
              <w:t xml:space="preserve">The Group reviewed the oversight strategy proposed by the </w:t>
            </w:r>
            <w:r w:rsidR="00147F55">
              <w:t xml:space="preserve">HealthCERT </w:t>
            </w:r>
            <w:r>
              <w:t xml:space="preserve">project team and </w:t>
            </w:r>
            <w:r w:rsidRPr="00030CC7">
              <w:rPr>
                <w:b/>
                <w:u w:val="single"/>
              </w:rPr>
              <w:t>agreed</w:t>
            </w:r>
            <w:r>
              <w:t xml:space="preserve"> a</w:t>
            </w:r>
            <w:r w:rsidR="0022740C">
              <w:t>n</w:t>
            </w:r>
            <w:r w:rsidR="00B51159">
              <w:t xml:space="preserve"> </w:t>
            </w:r>
            <w:r w:rsidR="0022740C">
              <w:t>Operative</w:t>
            </w:r>
            <w:r w:rsidR="00B51159">
              <w:t xml:space="preserve"> Alliance</w:t>
            </w:r>
            <w:r>
              <w:t xml:space="preserve"> </w:t>
            </w:r>
            <w:r w:rsidR="00147F55">
              <w:t>to</w:t>
            </w:r>
            <w:r>
              <w:t xml:space="preserve"> be established. The intention of this </w:t>
            </w:r>
            <w:r w:rsidR="001E7324">
              <w:t>A</w:t>
            </w:r>
            <w:r w:rsidR="0022740C">
              <w:t xml:space="preserve">lliance </w:t>
            </w:r>
            <w:r w:rsidR="00147F55">
              <w:t xml:space="preserve">is </w:t>
            </w:r>
            <w:r>
              <w:t>to oversee the working groups, ensure consistencies across them and</w:t>
            </w:r>
            <w:r w:rsidR="00FC2E17">
              <w:t xml:space="preserve"> manage operational scope creep</w:t>
            </w:r>
            <w:r w:rsidR="00147F55">
              <w:t>.</w:t>
            </w:r>
          </w:p>
          <w:p w14:paraId="2814E768" w14:textId="77777777" w:rsidR="00633F1B" w:rsidRDefault="00633F1B" w:rsidP="00147F55">
            <w:pPr>
              <w:tabs>
                <w:tab w:val="right" w:leader="underscore" w:pos="5670"/>
                <w:tab w:val="left" w:pos="6237"/>
              </w:tabs>
            </w:pPr>
          </w:p>
        </w:tc>
      </w:tr>
      <w:tr w:rsidR="00D31CFA" w14:paraId="3728CB2F" w14:textId="77777777" w:rsidTr="00333C4D">
        <w:tblPrEx>
          <w:tblBorders>
            <w:left w:val="single" w:sz="4" w:space="0" w:color="auto"/>
            <w:right w:val="single" w:sz="4" w:space="0" w:color="auto"/>
          </w:tblBorders>
        </w:tblPrEx>
        <w:trPr>
          <w:gridAfter w:val="1"/>
          <w:wAfter w:w="95" w:type="dxa"/>
        </w:trPr>
        <w:tc>
          <w:tcPr>
            <w:tcW w:w="719" w:type="dxa"/>
          </w:tcPr>
          <w:p w14:paraId="67A33416" w14:textId="77777777" w:rsidR="00D31CFA" w:rsidRDefault="00D31CFA" w:rsidP="00D31CFA">
            <w:pPr>
              <w:tabs>
                <w:tab w:val="right" w:leader="underscore" w:pos="5670"/>
                <w:tab w:val="left" w:pos="6237"/>
              </w:tabs>
            </w:pPr>
            <w:r>
              <w:lastRenderedPageBreak/>
              <w:t>3</w:t>
            </w:r>
          </w:p>
        </w:tc>
        <w:tc>
          <w:tcPr>
            <w:tcW w:w="9086" w:type="dxa"/>
            <w:gridSpan w:val="2"/>
          </w:tcPr>
          <w:p w14:paraId="7B1217FD" w14:textId="77777777" w:rsidR="00D31CFA" w:rsidRDefault="00BA0379" w:rsidP="00640A81">
            <w:pPr>
              <w:pStyle w:val="Heading2"/>
            </w:pPr>
            <w:r>
              <w:t>Terms of Reference</w:t>
            </w:r>
          </w:p>
          <w:p w14:paraId="002F499D" w14:textId="77777777" w:rsidR="00BA0379" w:rsidRDefault="00BA0379" w:rsidP="00D31CFA">
            <w:pPr>
              <w:tabs>
                <w:tab w:val="right" w:leader="underscore" w:pos="5670"/>
                <w:tab w:val="left" w:pos="6237"/>
              </w:tabs>
            </w:pPr>
          </w:p>
          <w:p w14:paraId="3127B386" w14:textId="0DE5ACFB" w:rsidR="00BA0379" w:rsidRDefault="00BA0379" w:rsidP="00D31CFA">
            <w:pPr>
              <w:tabs>
                <w:tab w:val="right" w:leader="underscore" w:pos="5670"/>
                <w:tab w:val="left" w:pos="6237"/>
              </w:tabs>
            </w:pPr>
            <w:r>
              <w:t xml:space="preserve">The Group reviewed the Terms of Reference. </w:t>
            </w:r>
          </w:p>
          <w:p w14:paraId="5B1EEAF4" w14:textId="77777777" w:rsidR="00BA0379" w:rsidRDefault="00BA0379" w:rsidP="00D31CFA">
            <w:pPr>
              <w:tabs>
                <w:tab w:val="right" w:leader="underscore" w:pos="5670"/>
                <w:tab w:val="left" w:pos="6237"/>
              </w:tabs>
            </w:pPr>
          </w:p>
          <w:p w14:paraId="4C28819C" w14:textId="791133A6" w:rsidR="00BA0379" w:rsidRDefault="00BA0379" w:rsidP="00D31CFA">
            <w:pPr>
              <w:tabs>
                <w:tab w:val="right" w:leader="underscore" w:pos="5670"/>
                <w:tab w:val="left" w:pos="6237"/>
              </w:tabs>
            </w:pPr>
            <w:r>
              <w:t xml:space="preserve">The Group </w:t>
            </w:r>
            <w:r w:rsidR="00C304D6">
              <w:t>confirmed</w:t>
            </w:r>
            <w:r>
              <w:t xml:space="preserve"> the Terms of Reference</w:t>
            </w:r>
            <w:r w:rsidR="0022740C">
              <w:t xml:space="preserve"> are to </w:t>
            </w:r>
            <w:r>
              <w:t xml:space="preserve">be modified to include the relationship with the </w:t>
            </w:r>
            <w:r w:rsidR="0022740C">
              <w:t>Operative Alliance.</w:t>
            </w:r>
          </w:p>
          <w:p w14:paraId="49FE2D9D" w14:textId="77777777" w:rsidR="00BA0379" w:rsidRPr="00BA0379" w:rsidRDefault="00BA0379" w:rsidP="00D31CFA">
            <w:pPr>
              <w:tabs>
                <w:tab w:val="right" w:leader="underscore" w:pos="5670"/>
                <w:tab w:val="left" w:pos="6237"/>
              </w:tabs>
            </w:pPr>
          </w:p>
        </w:tc>
      </w:tr>
      <w:tr w:rsidR="00D31CFA" w14:paraId="012237E0" w14:textId="77777777" w:rsidTr="00333C4D">
        <w:tblPrEx>
          <w:tblBorders>
            <w:left w:val="single" w:sz="4" w:space="0" w:color="auto"/>
            <w:right w:val="single" w:sz="4" w:space="0" w:color="auto"/>
          </w:tblBorders>
        </w:tblPrEx>
        <w:trPr>
          <w:gridAfter w:val="1"/>
          <w:wAfter w:w="95" w:type="dxa"/>
        </w:trPr>
        <w:tc>
          <w:tcPr>
            <w:tcW w:w="719" w:type="dxa"/>
          </w:tcPr>
          <w:p w14:paraId="33079A2C" w14:textId="77777777" w:rsidR="00D31CFA" w:rsidRDefault="00D31CFA" w:rsidP="00D31CFA">
            <w:pPr>
              <w:tabs>
                <w:tab w:val="right" w:leader="underscore" w:pos="5670"/>
                <w:tab w:val="left" w:pos="6237"/>
              </w:tabs>
            </w:pPr>
            <w:r>
              <w:t>4</w:t>
            </w:r>
          </w:p>
        </w:tc>
        <w:tc>
          <w:tcPr>
            <w:tcW w:w="9086" w:type="dxa"/>
            <w:gridSpan w:val="2"/>
          </w:tcPr>
          <w:p w14:paraId="45B26A7E" w14:textId="77777777" w:rsidR="00D31CFA" w:rsidRDefault="00B145C0" w:rsidP="00640A81">
            <w:pPr>
              <w:pStyle w:val="Heading2"/>
            </w:pPr>
            <w:r>
              <w:t>Risk Register</w:t>
            </w:r>
          </w:p>
          <w:p w14:paraId="68AC3BD0" w14:textId="77777777" w:rsidR="00B145C0" w:rsidRDefault="00B145C0" w:rsidP="00D31CFA">
            <w:pPr>
              <w:tabs>
                <w:tab w:val="right" w:leader="underscore" w:pos="5670"/>
                <w:tab w:val="left" w:pos="6237"/>
              </w:tabs>
              <w:rPr>
                <w:b/>
              </w:rPr>
            </w:pPr>
          </w:p>
          <w:p w14:paraId="327F84D0" w14:textId="75784ADF" w:rsidR="00A82836" w:rsidRDefault="00B145C0" w:rsidP="00A82836">
            <w:pPr>
              <w:tabs>
                <w:tab w:val="right" w:leader="underscore" w:pos="5670"/>
                <w:tab w:val="left" w:pos="6237"/>
              </w:tabs>
            </w:pPr>
            <w:r>
              <w:t xml:space="preserve">The Group reviewed the Risk Register. </w:t>
            </w:r>
            <w:r w:rsidR="00A82836">
              <w:t xml:space="preserve">The Group </w:t>
            </w:r>
            <w:r w:rsidR="0022740C">
              <w:t xml:space="preserve">recommended </w:t>
            </w:r>
            <w:r w:rsidR="00A82836">
              <w:t>inclu</w:t>
            </w:r>
            <w:r w:rsidR="0022740C">
              <w:t xml:space="preserve">sion </w:t>
            </w:r>
            <w:r w:rsidR="00A82836">
              <w:t>of</w:t>
            </w:r>
            <w:r w:rsidR="0022740C">
              <w:t xml:space="preserve"> a</w:t>
            </w:r>
            <w:r w:rsidR="00A82836">
              <w:t xml:space="preserve"> risk pertain</w:t>
            </w:r>
            <w:r w:rsidR="0022740C">
              <w:t>ing</w:t>
            </w:r>
            <w:r w:rsidR="00A82836">
              <w:t xml:space="preserve"> to Data &amp; Digital risks and to </w:t>
            </w:r>
            <w:r w:rsidR="0022740C">
              <w:t xml:space="preserve">the </w:t>
            </w:r>
            <w:r w:rsidR="00A82836">
              <w:t>antimicrobial resistance (AMR</w:t>
            </w:r>
            <w:r w:rsidR="009E6CDA">
              <w:t>) work</w:t>
            </w:r>
            <w:r w:rsidR="0022740C">
              <w:t xml:space="preserve"> programme</w:t>
            </w:r>
            <w:r w:rsidR="00E90563">
              <w:t>.</w:t>
            </w:r>
          </w:p>
          <w:p w14:paraId="67118CDA" w14:textId="77777777" w:rsidR="00147F55" w:rsidRDefault="00147F55" w:rsidP="00A82836">
            <w:pPr>
              <w:tabs>
                <w:tab w:val="right" w:leader="underscore" w:pos="5670"/>
                <w:tab w:val="left" w:pos="6237"/>
              </w:tabs>
            </w:pPr>
          </w:p>
          <w:p w14:paraId="11FF81DE" w14:textId="77777777" w:rsidR="00147F55" w:rsidRDefault="00147F55" w:rsidP="00147F55">
            <w:pPr>
              <w:tabs>
                <w:tab w:val="right" w:leader="underscore" w:pos="5670"/>
                <w:tab w:val="left" w:pos="6237"/>
              </w:tabs>
            </w:pPr>
            <w:r>
              <w:t xml:space="preserve">The Group discussed the opportunity provided by this review to amend the standards in such a way that they will continue to be fit for future models of care as they change and develop. Particularly as New Zealand’s philosophy of care extends beyond secondary health services. </w:t>
            </w:r>
          </w:p>
          <w:p w14:paraId="1225D2CE" w14:textId="77777777" w:rsidR="00147F55" w:rsidRDefault="00147F55" w:rsidP="00147F55">
            <w:pPr>
              <w:tabs>
                <w:tab w:val="right" w:leader="underscore" w:pos="5670"/>
                <w:tab w:val="left" w:pos="6237"/>
              </w:tabs>
            </w:pPr>
          </w:p>
          <w:p w14:paraId="5014E24E" w14:textId="77777777" w:rsidR="00147F55" w:rsidRDefault="00147F55" w:rsidP="00147F55">
            <w:pPr>
              <w:tabs>
                <w:tab w:val="right" w:leader="underscore" w:pos="5670"/>
                <w:tab w:val="left" w:pos="6237"/>
              </w:tabs>
            </w:pPr>
            <w:r>
              <w:t xml:space="preserve">The Group considered how the standards were an important lever in the suite of mechanisms used to improve the quality of health service provision, eg the new Primary Care Patient Experience Survey. </w:t>
            </w:r>
          </w:p>
          <w:p w14:paraId="6B539905" w14:textId="77777777" w:rsidR="00A82836" w:rsidRPr="00B145C0" w:rsidRDefault="00A82836" w:rsidP="00147F55">
            <w:pPr>
              <w:tabs>
                <w:tab w:val="right" w:leader="underscore" w:pos="5670"/>
                <w:tab w:val="left" w:pos="6237"/>
              </w:tabs>
            </w:pPr>
          </w:p>
        </w:tc>
      </w:tr>
      <w:tr w:rsidR="00D31CFA" w14:paraId="4CF545A5" w14:textId="77777777" w:rsidTr="00333C4D">
        <w:tblPrEx>
          <w:tblBorders>
            <w:left w:val="single" w:sz="4" w:space="0" w:color="auto"/>
            <w:right w:val="single" w:sz="4" w:space="0" w:color="auto"/>
          </w:tblBorders>
        </w:tblPrEx>
        <w:trPr>
          <w:gridAfter w:val="1"/>
          <w:wAfter w:w="95" w:type="dxa"/>
        </w:trPr>
        <w:tc>
          <w:tcPr>
            <w:tcW w:w="719" w:type="dxa"/>
          </w:tcPr>
          <w:p w14:paraId="18C644F3" w14:textId="77777777" w:rsidR="00D31CFA" w:rsidRDefault="00D31CFA" w:rsidP="00D31CFA">
            <w:pPr>
              <w:tabs>
                <w:tab w:val="right" w:leader="underscore" w:pos="5670"/>
                <w:tab w:val="left" w:pos="6237"/>
              </w:tabs>
            </w:pPr>
            <w:r>
              <w:t>5</w:t>
            </w:r>
          </w:p>
        </w:tc>
        <w:tc>
          <w:tcPr>
            <w:tcW w:w="9086" w:type="dxa"/>
            <w:gridSpan w:val="2"/>
          </w:tcPr>
          <w:p w14:paraId="094FD714" w14:textId="77777777" w:rsidR="00D31CFA" w:rsidRDefault="00A82836" w:rsidP="00640A81">
            <w:pPr>
              <w:pStyle w:val="Heading2"/>
            </w:pPr>
            <w:r w:rsidRPr="00A82836">
              <w:t xml:space="preserve">Environmental Scan </w:t>
            </w:r>
          </w:p>
          <w:p w14:paraId="56FACD1A" w14:textId="77777777" w:rsidR="00A82836" w:rsidRDefault="00A82836" w:rsidP="00D31CFA">
            <w:pPr>
              <w:tabs>
                <w:tab w:val="right" w:leader="underscore" w:pos="5670"/>
                <w:tab w:val="left" w:pos="6237"/>
              </w:tabs>
              <w:rPr>
                <w:b/>
              </w:rPr>
            </w:pPr>
          </w:p>
          <w:p w14:paraId="6E9B54CB" w14:textId="73B7E46C" w:rsidR="00A82836" w:rsidRDefault="0091255B" w:rsidP="009D79F3">
            <w:pPr>
              <w:tabs>
                <w:tab w:val="right" w:leader="underscore" w:pos="5670"/>
                <w:tab w:val="left" w:pos="6237"/>
              </w:tabs>
            </w:pPr>
            <w:r>
              <w:t xml:space="preserve">A presentation outlining the results of an Environmental Scan </w:t>
            </w:r>
            <w:r w:rsidR="009E6CDA">
              <w:t>was provided</w:t>
            </w:r>
            <w:r>
              <w:t xml:space="preserve">. The Environmental Scan focussed on 14 </w:t>
            </w:r>
            <w:r w:rsidR="009D79F3">
              <w:t>regulatory agencies</w:t>
            </w:r>
            <w:r>
              <w:t xml:space="preserve"> within 7 countries that regulated aged residential care, </w:t>
            </w:r>
            <w:r w:rsidR="009D79F3">
              <w:t xml:space="preserve">disability, community, hospital and mental health services. </w:t>
            </w:r>
          </w:p>
          <w:p w14:paraId="5810D8F2" w14:textId="77777777" w:rsidR="007610D0" w:rsidRDefault="007610D0" w:rsidP="009D79F3">
            <w:pPr>
              <w:tabs>
                <w:tab w:val="right" w:leader="underscore" w:pos="5670"/>
                <w:tab w:val="left" w:pos="6237"/>
              </w:tabs>
            </w:pPr>
          </w:p>
          <w:p w14:paraId="195F96A8" w14:textId="73F8C867" w:rsidR="00734794" w:rsidRDefault="00734794" w:rsidP="009D79F3">
            <w:pPr>
              <w:tabs>
                <w:tab w:val="right" w:leader="underscore" w:pos="5670"/>
                <w:tab w:val="left" w:pos="6237"/>
              </w:tabs>
            </w:pPr>
            <w:r>
              <w:t>Internationally, there is a shift away from standards for every service type to</w:t>
            </w:r>
            <w:r w:rsidR="00454649">
              <w:t xml:space="preserve"> a more modular framework. Within this modular framework there are</w:t>
            </w:r>
            <w:r>
              <w:t xml:space="preserve"> high-level standards which apply to all services</w:t>
            </w:r>
            <w:r w:rsidR="00454649">
              <w:t xml:space="preserve"> that is then supported by service standards or guides relevant to the type of care being provided</w:t>
            </w:r>
            <w:r>
              <w:t xml:space="preserve">. Countries which have shifted to this model find high-level </w:t>
            </w:r>
            <w:r w:rsidR="00147F55">
              <w:t xml:space="preserve">standings </w:t>
            </w:r>
            <w:r>
              <w:t>allow flexibility in the processes of different services</w:t>
            </w:r>
            <w:r w:rsidR="00454649">
              <w:t xml:space="preserve"> and </w:t>
            </w:r>
            <w:r w:rsidR="00147F55">
              <w:t>adapt well to</w:t>
            </w:r>
            <w:r w:rsidR="00454649">
              <w:t xml:space="preserve"> changing models of care</w:t>
            </w:r>
            <w:r>
              <w:t xml:space="preserve"> while ensuring the spirit of care remains centred on the patient and whānau. </w:t>
            </w:r>
          </w:p>
          <w:p w14:paraId="03235D3D" w14:textId="77777777" w:rsidR="00454649" w:rsidRDefault="00454649" w:rsidP="009D79F3">
            <w:pPr>
              <w:tabs>
                <w:tab w:val="right" w:leader="underscore" w:pos="5670"/>
                <w:tab w:val="left" w:pos="6237"/>
              </w:tabs>
            </w:pPr>
          </w:p>
          <w:p w14:paraId="7EBC9518" w14:textId="5499B193" w:rsidR="00454649" w:rsidRDefault="00454649" w:rsidP="009D79F3">
            <w:pPr>
              <w:tabs>
                <w:tab w:val="right" w:leader="underscore" w:pos="5670"/>
                <w:tab w:val="left" w:pos="6237"/>
              </w:tabs>
            </w:pPr>
            <w:r>
              <w:t xml:space="preserve">The Group agreed with the work being done internationally to make health service </w:t>
            </w:r>
            <w:r w:rsidR="00147F55">
              <w:t>standards more consumer-facing and support a similar solution for the Aotearoa New Zealand context.</w:t>
            </w:r>
          </w:p>
          <w:p w14:paraId="23B0B2CF" w14:textId="77777777" w:rsidR="00454649" w:rsidRDefault="00454649" w:rsidP="009D79F3">
            <w:pPr>
              <w:tabs>
                <w:tab w:val="right" w:leader="underscore" w:pos="5670"/>
                <w:tab w:val="left" w:pos="6237"/>
              </w:tabs>
            </w:pPr>
          </w:p>
          <w:p w14:paraId="4CC867C5" w14:textId="77777777" w:rsidR="00454649" w:rsidRDefault="00454649" w:rsidP="009D79F3">
            <w:pPr>
              <w:tabs>
                <w:tab w:val="right" w:leader="underscore" w:pos="5670"/>
                <w:tab w:val="left" w:pos="6237"/>
              </w:tabs>
            </w:pPr>
            <w:r>
              <w:t xml:space="preserve">The Group noted the work done in Australia and Canada to ensure their regulatory frameworks serve both their Aboriginal service providers and Aboriginal consumers. The Group supported a relevant solution be pursued to meet the needs of Māori health service providers and Māori consumers. </w:t>
            </w:r>
          </w:p>
          <w:p w14:paraId="3F41CFBA" w14:textId="77777777" w:rsidR="007610D0" w:rsidRDefault="007610D0" w:rsidP="009D79F3">
            <w:pPr>
              <w:tabs>
                <w:tab w:val="right" w:leader="underscore" w:pos="5670"/>
                <w:tab w:val="left" w:pos="6237"/>
              </w:tabs>
            </w:pPr>
          </w:p>
          <w:p w14:paraId="5ACAE045" w14:textId="77777777" w:rsidR="009D79F3" w:rsidRDefault="009D79F3" w:rsidP="009D79F3">
            <w:pPr>
              <w:tabs>
                <w:tab w:val="right" w:leader="underscore" w:pos="5670"/>
                <w:tab w:val="left" w:pos="6237"/>
              </w:tabs>
            </w:pPr>
            <w:r>
              <w:t xml:space="preserve">The Group requested more information on Norway’s certification framework be provided at the next meeting. </w:t>
            </w:r>
          </w:p>
          <w:p w14:paraId="340A9EC5" w14:textId="77777777" w:rsidR="00254EAD" w:rsidRDefault="00254EAD" w:rsidP="009D79F3">
            <w:pPr>
              <w:tabs>
                <w:tab w:val="right" w:leader="underscore" w:pos="5670"/>
                <w:tab w:val="left" w:pos="6237"/>
              </w:tabs>
            </w:pPr>
          </w:p>
          <w:p w14:paraId="1679AE08" w14:textId="0B3ABA81" w:rsidR="00254EAD" w:rsidRDefault="00254EAD" w:rsidP="009D79F3">
            <w:pPr>
              <w:tabs>
                <w:tab w:val="right" w:leader="underscore" w:pos="5670"/>
                <w:tab w:val="left" w:pos="6237"/>
              </w:tabs>
            </w:pPr>
            <w:r>
              <w:t xml:space="preserve">The Group considered other pieces of work currently going on within the Ministry which could impact this review. </w:t>
            </w:r>
          </w:p>
          <w:p w14:paraId="551620CD" w14:textId="77777777" w:rsidR="00454649" w:rsidRPr="00A82836" w:rsidRDefault="00454649" w:rsidP="009D79F3">
            <w:pPr>
              <w:tabs>
                <w:tab w:val="right" w:leader="underscore" w:pos="5670"/>
                <w:tab w:val="left" w:pos="6237"/>
              </w:tabs>
            </w:pPr>
          </w:p>
        </w:tc>
      </w:tr>
      <w:tr w:rsidR="00D31CFA" w14:paraId="5A71A9DA" w14:textId="77777777" w:rsidTr="00333C4D">
        <w:tblPrEx>
          <w:tblBorders>
            <w:left w:val="single" w:sz="4" w:space="0" w:color="auto"/>
            <w:right w:val="single" w:sz="4" w:space="0" w:color="auto"/>
          </w:tblBorders>
        </w:tblPrEx>
        <w:trPr>
          <w:gridAfter w:val="1"/>
          <w:wAfter w:w="95" w:type="dxa"/>
        </w:trPr>
        <w:tc>
          <w:tcPr>
            <w:tcW w:w="719" w:type="dxa"/>
          </w:tcPr>
          <w:p w14:paraId="787D975D" w14:textId="77777777" w:rsidR="00D31CFA" w:rsidRDefault="00D31CFA" w:rsidP="00D31CFA">
            <w:pPr>
              <w:tabs>
                <w:tab w:val="right" w:leader="underscore" w:pos="5670"/>
                <w:tab w:val="left" w:pos="6237"/>
              </w:tabs>
            </w:pPr>
            <w:r>
              <w:lastRenderedPageBreak/>
              <w:t>6</w:t>
            </w:r>
          </w:p>
        </w:tc>
        <w:tc>
          <w:tcPr>
            <w:tcW w:w="9086" w:type="dxa"/>
            <w:gridSpan w:val="2"/>
          </w:tcPr>
          <w:p w14:paraId="0524D57B" w14:textId="77777777" w:rsidR="00D31CFA" w:rsidRDefault="00FD5DEB" w:rsidP="00640A81">
            <w:pPr>
              <w:pStyle w:val="Heading2"/>
            </w:pPr>
            <w:r w:rsidRPr="00FD5DEB">
              <w:t>Closing</w:t>
            </w:r>
          </w:p>
          <w:p w14:paraId="711E8B8C" w14:textId="77777777" w:rsidR="00FD5DEB" w:rsidRDefault="00FD5DEB" w:rsidP="00D31CFA">
            <w:pPr>
              <w:tabs>
                <w:tab w:val="right" w:leader="underscore" w:pos="5670"/>
                <w:tab w:val="left" w:pos="6237"/>
              </w:tabs>
              <w:rPr>
                <w:b/>
              </w:rPr>
            </w:pPr>
          </w:p>
          <w:p w14:paraId="3BDC7F15" w14:textId="77777777" w:rsidR="00FD5DEB" w:rsidRDefault="00FD5DEB" w:rsidP="00D31CFA">
            <w:pPr>
              <w:tabs>
                <w:tab w:val="right" w:leader="underscore" w:pos="5670"/>
                <w:tab w:val="left" w:pos="6237"/>
              </w:tabs>
            </w:pPr>
            <w:r>
              <w:t xml:space="preserve">The Chair thanked everyone for their attendance and noted the next meeting would occur in May. </w:t>
            </w:r>
          </w:p>
          <w:p w14:paraId="441B459D" w14:textId="77777777" w:rsidR="00C304D6" w:rsidRDefault="00C304D6" w:rsidP="00D31CFA">
            <w:pPr>
              <w:tabs>
                <w:tab w:val="right" w:leader="underscore" w:pos="5670"/>
                <w:tab w:val="left" w:pos="6237"/>
              </w:tabs>
            </w:pPr>
          </w:p>
          <w:p w14:paraId="150420F9" w14:textId="654A6416" w:rsidR="00735DC3" w:rsidRPr="00FD5DEB" w:rsidRDefault="00735DC3" w:rsidP="00D31CFA">
            <w:pPr>
              <w:tabs>
                <w:tab w:val="right" w:leader="underscore" w:pos="5670"/>
                <w:tab w:val="left" w:pos="6237"/>
              </w:tabs>
            </w:pPr>
            <w:r>
              <w:t>The meeting closed at 10:05am.</w:t>
            </w:r>
          </w:p>
        </w:tc>
      </w:tr>
    </w:tbl>
    <w:p w14:paraId="558DEF47" w14:textId="77777777" w:rsidR="001800FE" w:rsidRDefault="001800FE" w:rsidP="00D31CFA">
      <w:pPr>
        <w:tabs>
          <w:tab w:val="right" w:leader="underscore" w:pos="5670"/>
          <w:tab w:val="left" w:pos="6237"/>
        </w:tabs>
      </w:pPr>
    </w:p>
    <w:tbl>
      <w:tblPr>
        <w:tblStyle w:val="TableGrid"/>
        <w:tblW w:w="0" w:type="auto"/>
        <w:tblInd w:w="108" w:type="dxa"/>
        <w:tblLook w:val="01E0" w:firstRow="1" w:lastRow="1" w:firstColumn="1" w:lastColumn="1" w:noHBand="0" w:noVBand="0"/>
      </w:tblPr>
      <w:tblGrid>
        <w:gridCol w:w="719"/>
        <w:gridCol w:w="5862"/>
        <w:gridCol w:w="1670"/>
        <w:gridCol w:w="1554"/>
      </w:tblGrid>
      <w:tr w:rsidR="00D31CFA" w14:paraId="70B086C9" w14:textId="77777777" w:rsidTr="00735DC3">
        <w:tc>
          <w:tcPr>
            <w:tcW w:w="719" w:type="dxa"/>
          </w:tcPr>
          <w:p w14:paraId="412163E4" w14:textId="77777777" w:rsidR="00D31CFA" w:rsidRDefault="00D31CFA" w:rsidP="00D31CFA">
            <w:r w:rsidRPr="00D31CFA">
              <w:rPr>
                <w:b/>
                <w:sz w:val="22"/>
                <w:szCs w:val="22"/>
              </w:rPr>
              <w:t>Item</w:t>
            </w:r>
          </w:p>
        </w:tc>
        <w:tc>
          <w:tcPr>
            <w:tcW w:w="5862" w:type="dxa"/>
          </w:tcPr>
          <w:p w14:paraId="3901E74A" w14:textId="77777777" w:rsidR="00D31CFA" w:rsidRPr="00D31CFA" w:rsidRDefault="00D31CFA" w:rsidP="00D31CFA">
            <w:pPr>
              <w:rPr>
                <w:b/>
                <w:sz w:val="22"/>
                <w:szCs w:val="22"/>
              </w:rPr>
            </w:pPr>
            <w:r w:rsidRPr="00D31CFA">
              <w:rPr>
                <w:b/>
                <w:sz w:val="22"/>
                <w:szCs w:val="22"/>
              </w:rPr>
              <w:t>Action</w:t>
            </w:r>
          </w:p>
        </w:tc>
        <w:tc>
          <w:tcPr>
            <w:tcW w:w="1670" w:type="dxa"/>
          </w:tcPr>
          <w:p w14:paraId="1912C3F9" w14:textId="77777777" w:rsidR="00D31CFA" w:rsidRPr="00D31CFA" w:rsidRDefault="00D31CFA" w:rsidP="00D31CFA">
            <w:pPr>
              <w:rPr>
                <w:b/>
                <w:sz w:val="22"/>
                <w:szCs w:val="22"/>
              </w:rPr>
            </w:pPr>
            <w:r w:rsidRPr="00D31CFA">
              <w:rPr>
                <w:b/>
                <w:sz w:val="22"/>
                <w:szCs w:val="22"/>
              </w:rPr>
              <w:t>Lead</w:t>
            </w:r>
          </w:p>
        </w:tc>
        <w:tc>
          <w:tcPr>
            <w:tcW w:w="1554" w:type="dxa"/>
          </w:tcPr>
          <w:p w14:paraId="7FF4E2DF" w14:textId="77777777" w:rsidR="00D31CFA" w:rsidRPr="00D31CFA" w:rsidRDefault="00D31CFA" w:rsidP="00D31CFA">
            <w:pPr>
              <w:rPr>
                <w:b/>
                <w:sz w:val="22"/>
                <w:szCs w:val="22"/>
              </w:rPr>
            </w:pPr>
            <w:r w:rsidRPr="00D31CFA">
              <w:rPr>
                <w:b/>
                <w:sz w:val="22"/>
                <w:szCs w:val="22"/>
              </w:rPr>
              <w:t>Due Date</w:t>
            </w:r>
          </w:p>
        </w:tc>
      </w:tr>
      <w:tr w:rsidR="00D31CFA" w14:paraId="48AD7A29" w14:textId="77777777" w:rsidTr="00735DC3">
        <w:tc>
          <w:tcPr>
            <w:tcW w:w="719" w:type="dxa"/>
          </w:tcPr>
          <w:p w14:paraId="3F2FBDF0" w14:textId="77777777" w:rsidR="00D31CFA" w:rsidRDefault="00BA0379">
            <w:r>
              <w:t>2</w:t>
            </w:r>
          </w:p>
        </w:tc>
        <w:tc>
          <w:tcPr>
            <w:tcW w:w="5862" w:type="dxa"/>
          </w:tcPr>
          <w:p w14:paraId="25966FD7" w14:textId="6A5B8B5F" w:rsidR="00D31CFA" w:rsidRDefault="00BA0379" w:rsidP="0022740C">
            <w:r>
              <w:t>Establish a</w:t>
            </w:r>
            <w:r w:rsidR="001E7324">
              <w:t>n</w:t>
            </w:r>
            <w:r>
              <w:t xml:space="preserve"> </w:t>
            </w:r>
            <w:r w:rsidR="0022740C">
              <w:t xml:space="preserve"> Operative Alliance</w:t>
            </w:r>
          </w:p>
        </w:tc>
        <w:tc>
          <w:tcPr>
            <w:tcW w:w="1670" w:type="dxa"/>
          </w:tcPr>
          <w:p w14:paraId="174D41CE" w14:textId="77777777" w:rsidR="00D31CFA" w:rsidRDefault="00BA0379">
            <w:r>
              <w:t>Donna/Jade</w:t>
            </w:r>
          </w:p>
        </w:tc>
        <w:tc>
          <w:tcPr>
            <w:tcW w:w="1554" w:type="dxa"/>
          </w:tcPr>
          <w:p w14:paraId="09E2463E" w14:textId="239219FD" w:rsidR="00D31CFA" w:rsidRDefault="00735DC3">
            <w:r>
              <w:t>April 2019</w:t>
            </w:r>
          </w:p>
        </w:tc>
      </w:tr>
      <w:tr w:rsidR="00D31CFA" w14:paraId="5CBB3631" w14:textId="77777777" w:rsidTr="00735DC3">
        <w:tc>
          <w:tcPr>
            <w:tcW w:w="719" w:type="dxa"/>
          </w:tcPr>
          <w:p w14:paraId="4234553B" w14:textId="77777777" w:rsidR="00D31CFA" w:rsidRDefault="00C304D6">
            <w:r>
              <w:t>3</w:t>
            </w:r>
          </w:p>
        </w:tc>
        <w:tc>
          <w:tcPr>
            <w:tcW w:w="5862" w:type="dxa"/>
          </w:tcPr>
          <w:p w14:paraId="6CB68635" w14:textId="48BCC72D" w:rsidR="00D31CFA" w:rsidRDefault="00B145C0" w:rsidP="006A5ABA">
            <w:r>
              <w:t>Update Governance Group TOR</w:t>
            </w:r>
            <w:r w:rsidR="00735DC3">
              <w:t xml:space="preserve"> </w:t>
            </w:r>
          </w:p>
        </w:tc>
        <w:tc>
          <w:tcPr>
            <w:tcW w:w="1670" w:type="dxa"/>
          </w:tcPr>
          <w:p w14:paraId="31478DED" w14:textId="4DF0F997" w:rsidR="00D31CFA" w:rsidRDefault="006A5ABA">
            <w:r>
              <w:t>Jade</w:t>
            </w:r>
          </w:p>
        </w:tc>
        <w:tc>
          <w:tcPr>
            <w:tcW w:w="1554" w:type="dxa"/>
          </w:tcPr>
          <w:p w14:paraId="211C7B84" w14:textId="36FBC964" w:rsidR="00D31CFA" w:rsidRDefault="00735DC3">
            <w:r>
              <w:t>April 2019</w:t>
            </w:r>
          </w:p>
        </w:tc>
      </w:tr>
      <w:tr w:rsidR="00B145C0" w14:paraId="55460D27" w14:textId="77777777" w:rsidTr="00735DC3">
        <w:tc>
          <w:tcPr>
            <w:tcW w:w="719" w:type="dxa"/>
          </w:tcPr>
          <w:p w14:paraId="151ADB55" w14:textId="77777777" w:rsidR="00B145C0" w:rsidRDefault="00C304D6" w:rsidP="00B145C0">
            <w:r>
              <w:t>4</w:t>
            </w:r>
          </w:p>
        </w:tc>
        <w:tc>
          <w:tcPr>
            <w:tcW w:w="5862" w:type="dxa"/>
          </w:tcPr>
          <w:p w14:paraId="425D0413" w14:textId="77777777" w:rsidR="00B145C0" w:rsidRDefault="00B145C0" w:rsidP="00B145C0">
            <w:r>
              <w:t>Amend risk register to reflect Governance Group feedback</w:t>
            </w:r>
          </w:p>
        </w:tc>
        <w:tc>
          <w:tcPr>
            <w:tcW w:w="1670" w:type="dxa"/>
          </w:tcPr>
          <w:p w14:paraId="05722F96" w14:textId="77777777" w:rsidR="00B145C0" w:rsidRDefault="00B145C0" w:rsidP="00B145C0">
            <w:r>
              <w:t>Jade</w:t>
            </w:r>
          </w:p>
        </w:tc>
        <w:tc>
          <w:tcPr>
            <w:tcW w:w="1554" w:type="dxa"/>
          </w:tcPr>
          <w:p w14:paraId="08984970" w14:textId="7469C9EE" w:rsidR="00B145C0" w:rsidRDefault="00735DC3" w:rsidP="00B145C0">
            <w:r>
              <w:t>March 2019</w:t>
            </w:r>
          </w:p>
        </w:tc>
      </w:tr>
      <w:tr w:rsidR="00D31CFA" w14:paraId="5AC21BCF" w14:textId="77777777" w:rsidTr="00735DC3">
        <w:tc>
          <w:tcPr>
            <w:tcW w:w="719" w:type="dxa"/>
          </w:tcPr>
          <w:p w14:paraId="7B73653C" w14:textId="77777777" w:rsidR="00D31CFA" w:rsidRDefault="00C304D6">
            <w:r>
              <w:t>5</w:t>
            </w:r>
          </w:p>
        </w:tc>
        <w:tc>
          <w:tcPr>
            <w:tcW w:w="5862" w:type="dxa"/>
          </w:tcPr>
          <w:p w14:paraId="14FFA75C" w14:textId="77777777" w:rsidR="00D31CFA" w:rsidRDefault="009D79F3">
            <w:r>
              <w:t>Update on Norway’s certification framework</w:t>
            </w:r>
          </w:p>
        </w:tc>
        <w:tc>
          <w:tcPr>
            <w:tcW w:w="1670" w:type="dxa"/>
          </w:tcPr>
          <w:p w14:paraId="2EC431F0" w14:textId="77777777" w:rsidR="00D31CFA" w:rsidRDefault="009D79F3">
            <w:r>
              <w:t>Jade</w:t>
            </w:r>
          </w:p>
        </w:tc>
        <w:tc>
          <w:tcPr>
            <w:tcW w:w="1554" w:type="dxa"/>
          </w:tcPr>
          <w:p w14:paraId="37BCA2E6" w14:textId="1974B00A" w:rsidR="00D31CFA" w:rsidRDefault="00735DC3">
            <w:r>
              <w:t>May 2019</w:t>
            </w:r>
          </w:p>
        </w:tc>
      </w:tr>
      <w:tr w:rsidR="00D31CFA" w14:paraId="4B8BF0F8" w14:textId="77777777" w:rsidTr="00735DC3">
        <w:tc>
          <w:tcPr>
            <w:tcW w:w="719" w:type="dxa"/>
          </w:tcPr>
          <w:p w14:paraId="63B1AE43" w14:textId="77777777" w:rsidR="00D31CFA" w:rsidRDefault="00C304D6">
            <w:r>
              <w:t>6</w:t>
            </w:r>
          </w:p>
        </w:tc>
        <w:tc>
          <w:tcPr>
            <w:tcW w:w="5862" w:type="dxa"/>
          </w:tcPr>
          <w:p w14:paraId="327726EB" w14:textId="77777777" w:rsidR="00D31CFA" w:rsidRDefault="00454649">
            <w:r>
              <w:t>Provide an email update to the Governance Group in one month</w:t>
            </w:r>
          </w:p>
        </w:tc>
        <w:tc>
          <w:tcPr>
            <w:tcW w:w="1670" w:type="dxa"/>
          </w:tcPr>
          <w:p w14:paraId="201CD266" w14:textId="77777777" w:rsidR="00D31CFA" w:rsidRDefault="00454649">
            <w:r>
              <w:t>Jade</w:t>
            </w:r>
          </w:p>
        </w:tc>
        <w:tc>
          <w:tcPr>
            <w:tcW w:w="1554" w:type="dxa"/>
          </w:tcPr>
          <w:p w14:paraId="0CC06268" w14:textId="2C923DC9" w:rsidR="00D31CFA" w:rsidRDefault="00735DC3">
            <w:r>
              <w:t>April 2019</w:t>
            </w:r>
          </w:p>
        </w:tc>
      </w:tr>
      <w:tr w:rsidR="00454649" w14:paraId="02B7A4FD" w14:textId="77777777" w:rsidTr="00735DC3">
        <w:tc>
          <w:tcPr>
            <w:tcW w:w="719" w:type="dxa"/>
          </w:tcPr>
          <w:p w14:paraId="52A834FB" w14:textId="77777777" w:rsidR="00454649" w:rsidRDefault="00C304D6">
            <w:r>
              <w:t>6</w:t>
            </w:r>
          </w:p>
        </w:tc>
        <w:tc>
          <w:tcPr>
            <w:tcW w:w="5862" w:type="dxa"/>
          </w:tcPr>
          <w:p w14:paraId="1A0567B0" w14:textId="77777777" w:rsidR="00454649" w:rsidRDefault="00454649">
            <w:r>
              <w:t>Send calendar invitation for next Governance Group meeting at the end of May</w:t>
            </w:r>
          </w:p>
        </w:tc>
        <w:tc>
          <w:tcPr>
            <w:tcW w:w="1670" w:type="dxa"/>
          </w:tcPr>
          <w:p w14:paraId="5C6790FE" w14:textId="77777777" w:rsidR="00454649" w:rsidRDefault="00454649">
            <w:r>
              <w:t>Jade</w:t>
            </w:r>
          </w:p>
        </w:tc>
        <w:tc>
          <w:tcPr>
            <w:tcW w:w="1554" w:type="dxa"/>
          </w:tcPr>
          <w:p w14:paraId="0C325A1C" w14:textId="766A56BF" w:rsidR="00454649" w:rsidRDefault="00735DC3">
            <w:r>
              <w:t>March 2019</w:t>
            </w:r>
          </w:p>
        </w:tc>
      </w:tr>
    </w:tbl>
    <w:p w14:paraId="5A4135F5" w14:textId="77777777" w:rsidR="00A131AD" w:rsidRDefault="00A131AD"/>
    <w:sectPr w:rsidR="00A131AD" w:rsidSect="001800FE">
      <w:pgSz w:w="11907" w:h="16840" w:code="9"/>
      <w:pgMar w:top="567" w:right="992" w:bottom="992" w:left="992" w:header="567" w:footer="567"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30551" w14:textId="77777777" w:rsidR="00E26BC3" w:rsidRDefault="00E26BC3" w:rsidP="00187309">
      <w:r>
        <w:separator/>
      </w:r>
    </w:p>
  </w:endnote>
  <w:endnote w:type="continuationSeparator" w:id="0">
    <w:p w14:paraId="08958248" w14:textId="77777777" w:rsidR="00E26BC3" w:rsidRDefault="00E26BC3" w:rsidP="0018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8BB2" w14:textId="77777777" w:rsidR="00E26BC3" w:rsidRDefault="00E26BC3" w:rsidP="00187309">
      <w:r>
        <w:separator/>
      </w:r>
    </w:p>
  </w:footnote>
  <w:footnote w:type="continuationSeparator" w:id="0">
    <w:p w14:paraId="4030B65B" w14:textId="77777777" w:rsidR="00E26BC3" w:rsidRDefault="00E26BC3" w:rsidP="0018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0ECC"/>
    <w:multiLevelType w:val="hybridMultilevel"/>
    <w:tmpl w:val="04848A18"/>
    <w:lvl w:ilvl="0" w:tplc="456A7C40">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FE"/>
    <w:rsid w:val="00030CC7"/>
    <w:rsid w:val="001115D8"/>
    <w:rsid w:val="00114963"/>
    <w:rsid w:val="00147F55"/>
    <w:rsid w:val="00166BC2"/>
    <w:rsid w:val="001800FE"/>
    <w:rsid w:val="00187309"/>
    <w:rsid w:val="001E7324"/>
    <w:rsid w:val="0020748D"/>
    <w:rsid w:val="0022740C"/>
    <w:rsid w:val="00254EAD"/>
    <w:rsid w:val="002C1AE8"/>
    <w:rsid w:val="002C2022"/>
    <w:rsid w:val="00333C4D"/>
    <w:rsid w:val="00454649"/>
    <w:rsid w:val="004909CB"/>
    <w:rsid w:val="00517BDF"/>
    <w:rsid w:val="005B5949"/>
    <w:rsid w:val="00633F1B"/>
    <w:rsid w:val="00640A81"/>
    <w:rsid w:val="006A5ABA"/>
    <w:rsid w:val="006E28C3"/>
    <w:rsid w:val="00710909"/>
    <w:rsid w:val="00734794"/>
    <w:rsid w:val="00735DC3"/>
    <w:rsid w:val="00754088"/>
    <w:rsid w:val="007610D0"/>
    <w:rsid w:val="00777612"/>
    <w:rsid w:val="008B4861"/>
    <w:rsid w:val="008D598E"/>
    <w:rsid w:val="0091255B"/>
    <w:rsid w:val="009B6464"/>
    <w:rsid w:val="009D79F3"/>
    <w:rsid w:val="009E6CDA"/>
    <w:rsid w:val="00A131AD"/>
    <w:rsid w:val="00A7349A"/>
    <w:rsid w:val="00A82836"/>
    <w:rsid w:val="00B145C0"/>
    <w:rsid w:val="00B44F98"/>
    <w:rsid w:val="00B51159"/>
    <w:rsid w:val="00BA0379"/>
    <w:rsid w:val="00BA53BA"/>
    <w:rsid w:val="00C21511"/>
    <w:rsid w:val="00C304D6"/>
    <w:rsid w:val="00CA3380"/>
    <w:rsid w:val="00CB205B"/>
    <w:rsid w:val="00D07558"/>
    <w:rsid w:val="00D31CFA"/>
    <w:rsid w:val="00D874E3"/>
    <w:rsid w:val="00DC03DD"/>
    <w:rsid w:val="00E26BC3"/>
    <w:rsid w:val="00E90563"/>
    <w:rsid w:val="00F45596"/>
    <w:rsid w:val="00F50FA6"/>
    <w:rsid w:val="00FC2E17"/>
    <w:rsid w:val="00FD5DEB"/>
    <w:rsid w:val="00FF7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1F212"/>
  <w15:docId w15:val="{7A672C41-F595-4ABC-8193-557398EA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81"/>
    <w:rPr>
      <w:rFonts w:ascii="Arial" w:hAnsi="Arial" w:cs="Times"/>
      <w:sz w:val="24"/>
      <w:szCs w:val="24"/>
      <w:lang w:eastAsia="en-GB"/>
    </w:rPr>
  </w:style>
  <w:style w:type="paragraph" w:styleId="Heading1">
    <w:name w:val="heading 1"/>
    <w:basedOn w:val="Normal"/>
    <w:next w:val="Normal"/>
    <w:link w:val="Heading1Char"/>
    <w:qFormat/>
    <w:rsid w:val="00640A81"/>
    <w:pPr>
      <w:spacing w:before="240" w:after="360"/>
      <w:outlineLvl w:val="0"/>
    </w:pPr>
    <w:rPr>
      <w:rFonts w:ascii="Georgia" w:hAnsi="Georgia"/>
      <w:b/>
      <w:sz w:val="48"/>
      <w:szCs w:val="48"/>
    </w:rPr>
  </w:style>
  <w:style w:type="paragraph" w:styleId="Heading2">
    <w:name w:val="heading 2"/>
    <w:basedOn w:val="Normal"/>
    <w:next w:val="Normal"/>
    <w:link w:val="Heading2Char"/>
    <w:unhideWhenUsed/>
    <w:qFormat/>
    <w:rsid w:val="00640A81"/>
    <w:pPr>
      <w:tabs>
        <w:tab w:val="right" w:leader="underscore" w:pos="5670"/>
        <w:tab w:val="left" w:pos="6237"/>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1800FE"/>
    <w:pPr>
      <w:spacing w:before="120" w:after="120"/>
    </w:pPr>
  </w:style>
  <w:style w:type="paragraph" w:styleId="Footer">
    <w:name w:val="footer"/>
    <w:basedOn w:val="Normal"/>
    <w:rsid w:val="001800FE"/>
    <w:pPr>
      <w:pBdr>
        <w:top w:val="single" w:sz="4" w:space="4" w:color="auto"/>
      </w:pBdr>
    </w:pPr>
    <w:rPr>
      <w:rFonts w:ascii="Georgia" w:hAnsi="Georgia"/>
      <w:b/>
      <w:sz w:val="20"/>
    </w:rPr>
  </w:style>
  <w:style w:type="paragraph" w:styleId="Header">
    <w:name w:val="header"/>
    <w:basedOn w:val="Normal"/>
    <w:rsid w:val="00D31CFA"/>
    <w:pPr>
      <w:tabs>
        <w:tab w:val="center" w:pos="4153"/>
        <w:tab w:val="right" w:pos="8306"/>
      </w:tabs>
    </w:pPr>
  </w:style>
  <w:style w:type="paragraph" w:styleId="ListParagraph">
    <w:name w:val="List Paragraph"/>
    <w:basedOn w:val="Normal"/>
    <w:uiPriority w:val="34"/>
    <w:qFormat/>
    <w:rsid w:val="00333C4D"/>
    <w:pPr>
      <w:ind w:left="720"/>
      <w:contextualSpacing/>
    </w:pPr>
  </w:style>
  <w:style w:type="character" w:styleId="CommentReference">
    <w:name w:val="annotation reference"/>
    <w:basedOn w:val="DefaultParagraphFont"/>
    <w:semiHidden/>
    <w:unhideWhenUsed/>
    <w:rsid w:val="00C304D6"/>
    <w:rPr>
      <w:sz w:val="16"/>
      <w:szCs w:val="16"/>
    </w:rPr>
  </w:style>
  <w:style w:type="paragraph" w:styleId="CommentText">
    <w:name w:val="annotation text"/>
    <w:basedOn w:val="Normal"/>
    <w:link w:val="CommentTextChar"/>
    <w:semiHidden/>
    <w:unhideWhenUsed/>
    <w:rsid w:val="00C304D6"/>
    <w:rPr>
      <w:sz w:val="20"/>
      <w:szCs w:val="20"/>
    </w:rPr>
  </w:style>
  <w:style w:type="character" w:customStyle="1" w:styleId="CommentTextChar">
    <w:name w:val="Comment Text Char"/>
    <w:basedOn w:val="DefaultParagraphFont"/>
    <w:link w:val="CommentText"/>
    <w:semiHidden/>
    <w:rsid w:val="00C304D6"/>
    <w:rPr>
      <w:rFonts w:ascii="Arial" w:hAnsi="Arial" w:cs="Times"/>
      <w:lang w:eastAsia="en-GB"/>
    </w:rPr>
  </w:style>
  <w:style w:type="paragraph" w:styleId="CommentSubject">
    <w:name w:val="annotation subject"/>
    <w:basedOn w:val="CommentText"/>
    <w:next w:val="CommentText"/>
    <w:link w:val="CommentSubjectChar"/>
    <w:semiHidden/>
    <w:unhideWhenUsed/>
    <w:rsid w:val="00C304D6"/>
    <w:rPr>
      <w:b/>
      <w:bCs/>
    </w:rPr>
  </w:style>
  <w:style w:type="character" w:customStyle="1" w:styleId="CommentSubjectChar">
    <w:name w:val="Comment Subject Char"/>
    <w:basedOn w:val="CommentTextChar"/>
    <w:link w:val="CommentSubject"/>
    <w:semiHidden/>
    <w:rsid w:val="00C304D6"/>
    <w:rPr>
      <w:rFonts w:ascii="Arial" w:hAnsi="Arial" w:cs="Times"/>
      <w:b/>
      <w:bCs/>
      <w:lang w:eastAsia="en-GB"/>
    </w:rPr>
  </w:style>
  <w:style w:type="paragraph" w:styleId="BalloonText">
    <w:name w:val="Balloon Text"/>
    <w:basedOn w:val="Normal"/>
    <w:link w:val="BalloonTextChar"/>
    <w:semiHidden/>
    <w:unhideWhenUsed/>
    <w:rsid w:val="00C304D6"/>
    <w:rPr>
      <w:rFonts w:ascii="Segoe UI" w:hAnsi="Segoe UI" w:cs="Segoe UI"/>
      <w:sz w:val="18"/>
      <w:szCs w:val="18"/>
    </w:rPr>
  </w:style>
  <w:style w:type="character" w:customStyle="1" w:styleId="BalloonTextChar">
    <w:name w:val="Balloon Text Char"/>
    <w:basedOn w:val="DefaultParagraphFont"/>
    <w:link w:val="BalloonText"/>
    <w:semiHidden/>
    <w:rsid w:val="00C304D6"/>
    <w:rPr>
      <w:rFonts w:ascii="Segoe UI" w:hAnsi="Segoe UI" w:cs="Segoe UI"/>
      <w:sz w:val="18"/>
      <w:szCs w:val="18"/>
      <w:lang w:eastAsia="en-GB"/>
    </w:rPr>
  </w:style>
  <w:style w:type="character" w:customStyle="1" w:styleId="Heading1Char">
    <w:name w:val="Heading 1 Char"/>
    <w:basedOn w:val="DefaultParagraphFont"/>
    <w:link w:val="Heading1"/>
    <w:rsid w:val="00640A81"/>
    <w:rPr>
      <w:rFonts w:ascii="Georgia" w:hAnsi="Georgia" w:cs="Times"/>
      <w:b/>
      <w:sz w:val="48"/>
      <w:szCs w:val="48"/>
      <w:lang w:eastAsia="en-GB"/>
    </w:rPr>
  </w:style>
  <w:style w:type="character" w:customStyle="1" w:styleId="Heading2Char">
    <w:name w:val="Heading 2 Char"/>
    <w:basedOn w:val="DefaultParagraphFont"/>
    <w:link w:val="Heading2"/>
    <w:rsid w:val="00640A81"/>
    <w:rPr>
      <w:rFonts w:ascii="Arial" w:hAnsi="Arial" w:cs="Times"/>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7C99-3A93-44F2-BED3-C8309F6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BE752D6E</Template>
  <TotalTime>1</TotalTime>
  <Pages>3</Pages>
  <Words>800</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Ministry of Health</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Review Governance Group Minutes 6 March 2019</dc:title>
  <dc:subject/>
  <dc:creator>Ministry of Health</dc:creator>
  <cp:keywords/>
  <dc:description/>
  <cp:lastModifiedBy>Ministry of Health</cp:lastModifiedBy>
  <cp:revision>2</cp:revision>
  <dcterms:created xsi:type="dcterms:W3CDTF">2019-06-07T00:44:00Z</dcterms:created>
  <dcterms:modified xsi:type="dcterms:W3CDTF">2019-06-07T00:44:00Z</dcterms:modified>
</cp:coreProperties>
</file>