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02B1C" w14:textId="18171A1B" w:rsidR="00B0683F" w:rsidRPr="007E2F7C" w:rsidRDefault="00697F5F" w:rsidP="002B18AB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F59C5" wp14:editId="34EE29E9">
            <wp:simplePos x="0" y="0"/>
            <wp:positionH relativeFrom="column">
              <wp:posOffset>5020945</wp:posOffset>
            </wp:positionH>
            <wp:positionV relativeFrom="paragraph">
              <wp:posOffset>-308610</wp:posOffset>
            </wp:positionV>
            <wp:extent cx="1439545" cy="6477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" t="20985" r="6999" b="16971"/>
                    <a:stretch/>
                  </pic:blipFill>
                  <pic:spPr bwMode="auto">
                    <a:xfrm>
                      <a:off x="0" y="0"/>
                      <a:ext cx="143954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9097CEF" wp14:editId="464EBA3A">
            <wp:simplePos x="0" y="0"/>
            <wp:positionH relativeFrom="column">
              <wp:posOffset>-358140</wp:posOffset>
            </wp:positionH>
            <wp:positionV relativeFrom="paragraph">
              <wp:posOffset>-308610</wp:posOffset>
            </wp:positionV>
            <wp:extent cx="1425575" cy="719455"/>
            <wp:effectExtent l="0" t="0" r="3175" b="4445"/>
            <wp:wrapNone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5B9">
        <w:t>COVID-19 Science Updates</w:t>
      </w:r>
    </w:p>
    <w:tbl>
      <w:tblPr>
        <w:tblStyle w:val="TableGrid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D0EE7" w14:paraId="26C5BDAE" w14:textId="77777777" w:rsidTr="52233FB8">
        <w:trPr>
          <w:trHeight w:val="567"/>
        </w:trPr>
        <w:tc>
          <w:tcPr>
            <w:tcW w:w="4814" w:type="dxa"/>
            <w:vAlign w:val="center"/>
          </w:tcPr>
          <w:p w14:paraId="61DC0ECB" w14:textId="0EFDB0AD" w:rsidR="00FB5D8A" w:rsidRPr="00FB5D8A" w:rsidRDefault="00FD0EE7" w:rsidP="00493D42">
            <w:pPr>
              <w:spacing w:after="0"/>
              <w:rPr>
                <w:rFonts w:ascii="Tahoma" w:hAnsi="Tahoma" w:cs="Tahoma"/>
                <w:b/>
                <w:bCs/>
                <w:color w:val="1F3864" w:themeColor="accent1" w:themeShade="80"/>
                <w:sz w:val="28"/>
                <w:szCs w:val="28"/>
              </w:rPr>
            </w:pPr>
            <w:bookmarkStart w:id="0" w:name="_6463ebe1_90b3_4035_ae51_893d056832d7"/>
            <w:bookmarkStart w:id="1" w:name="_50f52bda_9f3b_4f1c_9697_a90a8879d53b"/>
            <w:bookmarkStart w:id="2" w:name="_4f90e556_7b7c_4b3c_8b51_d58de33363c9"/>
            <w:bookmarkEnd w:id="0"/>
            <w:bookmarkEnd w:id="1"/>
            <w:r w:rsidRPr="686F7055">
              <w:rPr>
                <w:rFonts w:ascii="Tahoma" w:hAnsi="Tahoma" w:cs="Tahoma"/>
                <w:b/>
                <w:bCs/>
                <w:color w:val="1F3864" w:themeColor="accent1" w:themeShade="80"/>
                <w:sz w:val="28"/>
                <w:szCs w:val="28"/>
              </w:rPr>
              <w:t>CSU</w:t>
            </w:r>
          </w:p>
        </w:tc>
        <w:tc>
          <w:tcPr>
            <w:tcW w:w="4815" w:type="dxa"/>
            <w:vAlign w:val="center"/>
          </w:tcPr>
          <w:p w14:paraId="52306CAB" w14:textId="01761E75" w:rsidR="00FD0EE7" w:rsidRDefault="007922AD" w:rsidP="00493D42">
            <w:pPr>
              <w:spacing w:after="0"/>
              <w:jc w:val="right"/>
            </w:pPr>
            <w:r w:rsidRPr="7402EC30">
              <w:rPr>
                <w:rFonts w:ascii="Tahoma" w:hAnsi="Tahoma" w:cs="Tahoma"/>
                <w:b/>
                <w:bCs/>
                <w:color w:val="1F3864" w:themeColor="accent1" w:themeShade="80"/>
                <w:sz w:val="28"/>
                <w:szCs w:val="28"/>
              </w:rPr>
              <w:t>1</w:t>
            </w:r>
            <w:r w:rsidR="7EFA96C2" w:rsidRPr="7402EC30">
              <w:rPr>
                <w:rFonts w:ascii="Tahoma" w:hAnsi="Tahoma" w:cs="Tahoma"/>
                <w:b/>
                <w:bCs/>
                <w:color w:val="1F3864" w:themeColor="accent1" w:themeShade="80"/>
                <w:sz w:val="28"/>
                <w:szCs w:val="28"/>
              </w:rPr>
              <w:t>3</w:t>
            </w:r>
            <w:r w:rsidR="396BFFC2" w:rsidRPr="7402EC30">
              <w:rPr>
                <w:rFonts w:ascii="Tahoma" w:hAnsi="Tahoma" w:cs="Tahoma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="00ED46F2" w:rsidRPr="7402EC30">
              <w:rPr>
                <w:rFonts w:ascii="Tahoma" w:hAnsi="Tahoma" w:cs="Tahoma"/>
                <w:b/>
                <w:bCs/>
                <w:color w:val="1F3864" w:themeColor="accent1" w:themeShade="80"/>
                <w:sz w:val="28"/>
                <w:szCs w:val="28"/>
              </w:rPr>
              <w:t>September</w:t>
            </w:r>
            <w:r w:rsidR="00FD0EE7" w:rsidRPr="7402EC30">
              <w:rPr>
                <w:rFonts w:ascii="Tahoma" w:hAnsi="Tahoma" w:cs="Tahoma"/>
                <w:b/>
                <w:bCs/>
                <w:color w:val="1F3864" w:themeColor="accent1" w:themeShade="80"/>
                <w:sz w:val="28"/>
                <w:szCs w:val="28"/>
              </w:rPr>
              <w:t xml:space="preserve"> 2021</w:t>
            </w:r>
          </w:p>
        </w:tc>
      </w:tr>
      <w:tr w:rsidR="00A403E5" w:rsidRPr="00FD0EE7" w14:paraId="240C11BB" w14:textId="77777777" w:rsidTr="52233FB8">
        <w:trPr>
          <w:trHeight w:val="680"/>
        </w:trPr>
        <w:tc>
          <w:tcPr>
            <w:tcW w:w="9629" w:type="dxa"/>
            <w:gridSpan w:val="2"/>
            <w:shd w:val="clear" w:color="auto" w:fill="1F3864" w:themeFill="accent1" w:themeFillShade="80"/>
            <w:vAlign w:val="center"/>
          </w:tcPr>
          <w:p w14:paraId="2A9EAAD2" w14:textId="3EEF2ECB" w:rsidR="00A403E5" w:rsidRPr="00FD0EE7" w:rsidRDefault="7ED43759" w:rsidP="000748FD">
            <w:pPr>
              <w:spacing w:before="120"/>
              <w:rPr>
                <w:color w:val="FFFFFF" w:themeColor="background1"/>
              </w:rPr>
            </w:pPr>
            <w:r w:rsidRPr="33A52B4E">
              <w:rPr>
                <w:color w:val="FFFFFF" w:themeColor="background1"/>
              </w:rPr>
              <w:t xml:space="preserve">1. </w:t>
            </w:r>
            <w:r w:rsidR="00ED46F2" w:rsidRPr="00ED46F2">
              <w:rPr>
                <w:color w:val="FFFFFF" w:themeColor="background1"/>
              </w:rPr>
              <w:t>No evidence that COVID-19</w:t>
            </w:r>
            <w:r w:rsidR="00E452C9">
              <w:rPr>
                <w:color w:val="FFFFFF" w:themeColor="background1"/>
              </w:rPr>
              <w:t xml:space="preserve"> vaccination</w:t>
            </w:r>
            <w:r w:rsidR="00ED46F2" w:rsidRPr="00ED46F2">
              <w:rPr>
                <w:color w:val="FFFFFF" w:themeColor="background1"/>
              </w:rPr>
              <w:t xml:space="preserve"> is associated with increased risk of miscarriage</w:t>
            </w:r>
          </w:p>
        </w:tc>
      </w:tr>
      <w:tr w:rsidR="00A403E5" w14:paraId="121286FE" w14:textId="77777777" w:rsidTr="52233FB8">
        <w:trPr>
          <w:trHeight w:val="1417"/>
        </w:trPr>
        <w:tc>
          <w:tcPr>
            <w:tcW w:w="9629" w:type="dxa"/>
            <w:gridSpan w:val="2"/>
            <w:shd w:val="clear" w:color="auto" w:fill="F2F2F2" w:themeFill="background1" w:themeFillShade="F2"/>
          </w:tcPr>
          <w:p w14:paraId="3AA7FE42" w14:textId="4B3B736D" w:rsidR="007561C3" w:rsidRPr="00F93B74" w:rsidRDefault="006A7EA0" w:rsidP="1CCA0A66">
            <w:pPr>
              <w:pStyle w:val="BodyText"/>
              <w:rPr>
                <w:rFonts w:eastAsia="Calibri" w:cs="Calibri"/>
                <w:b w:val="0"/>
                <w:bCs w:val="0"/>
              </w:rPr>
            </w:pPr>
            <w:r w:rsidRPr="52233FB8">
              <w:rPr>
                <w:rFonts w:eastAsia="Calibri" w:cs="Calibri"/>
                <w:b w:val="0"/>
                <w:bCs w:val="0"/>
              </w:rPr>
              <w:t xml:space="preserve">Evidence that the Pfizer COVID-19 vaccine is safe during pregnancy has been growing. At the same time, it has become clearer that </w:t>
            </w:r>
            <w:r w:rsidR="00E452C9" w:rsidRPr="52233FB8">
              <w:rPr>
                <w:rFonts w:eastAsia="Calibri" w:cs="Calibri"/>
                <w:b w:val="0"/>
                <w:bCs w:val="0"/>
              </w:rPr>
              <w:t xml:space="preserve">COVID-19 infection during </w:t>
            </w:r>
            <w:r w:rsidRPr="52233FB8">
              <w:rPr>
                <w:rFonts w:eastAsia="Calibri" w:cs="Calibri"/>
                <w:b w:val="0"/>
                <w:bCs w:val="0"/>
              </w:rPr>
              <w:t>pregn</w:t>
            </w:r>
            <w:r w:rsidR="0094435D" w:rsidRPr="52233FB8">
              <w:rPr>
                <w:rFonts w:eastAsia="Calibri" w:cs="Calibri"/>
                <w:b w:val="0"/>
                <w:bCs w:val="0"/>
              </w:rPr>
              <w:t xml:space="preserve">ancy is associated with an </w:t>
            </w:r>
            <w:r w:rsidRPr="52233FB8">
              <w:rPr>
                <w:rFonts w:eastAsia="Calibri" w:cs="Calibri"/>
                <w:b w:val="0"/>
                <w:bCs w:val="0"/>
              </w:rPr>
              <w:t>increased risk of developing severe disease (</w:t>
            </w:r>
            <w:hyperlink r:id="rId13" w:history="1">
              <w:r w:rsidRPr="52233FB8">
                <w:rPr>
                  <w:rStyle w:val="Hyperlink"/>
                  <w:rFonts w:eastAsia="Calibri" w:cs="Calibri"/>
                  <w:b w:val="0"/>
                  <w:bCs w:val="0"/>
                </w:rPr>
                <w:t>link</w:t>
              </w:r>
            </w:hyperlink>
            <w:r w:rsidRPr="52233FB8">
              <w:rPr>
                <w:rFonts w:eastAsia="Calibri" w:cs="Calibri"/>
                <w:b w:val="0"/>
                <w:bCs w:val="0"/>
              </w:rPr>
              <w:t xml:space="preserve">). This report reviews the data from two studies </w:t>
            </w:r>
            <w:r w:rsidR="00E24EA9" w:rsidRPr="52233FB8">
              <w:rPr>
                <w:rFonts w:eastAsia="Calibri" w:cs="Calibri"/>
                <w:b w:val="0"/>
                <w:bCs w:val="0"/>
              </w:rPr>
              <w:t>(</w:t>
            </w:r>
            <w:hyperlink r:id="rId14">
              <w:r w:rsidR="002639E7" w:rsidRPr="52233FB8">
                <w:rPr>
                  <w:rStyle w:val="Hyperlink"/>
                  <w:rFonts w:eastAsia="Calibri" w:cs="Calibri"/>
                  <w:b w:val="0"/>
                  <w:bCs w:val="0"/>
                </w:rPr>
                <w:t>link</w:t>
              </w:r>
            </w:hyperlink>
            <w:r w:rsidR="002639E7" w:rsidRPr="52233FB8">
              <w:rPr>
                <w:rFonts w:eastAsia="Calibri" w:cs="Calibri"/>
                <w:b w:val="0"/>
                <w:bCs w:val="0"/>
              </w:rPr>
              <w:t xml:space="preserve">, </w:t>
            </w:r>
            <w:hyperlink r:id="rId15">
              <w:r w:rsidR="002639E7" w:rsidRPr="52233FB8">
                <w:rPr>
                  <w:rStyle w:val="Hyperlink"/>
                  <w:rFonts w:eastAsia="Calibri" w:cs="Calibri"/>
                  <w:b w:val="0"/>
                  <w:bCs w:val="0"/>
                </w:rPr>
                <w:t>link</w:t>
              </w:r>
            </w:hyperlink>
            <w:r w:rsidR="00E24EA9" w:rsidRPr="52233FB8">
              <w:rPr>
                <w:rFonts w:eastAsia="Calibri" w:cs="Calibri"/>
                <w:b w:val="0"/>
                <w:bCs w:val="0"/>
              </w:rPr>
              <w:t xml:space="preserve">), </w:t>
            </w:r>
            <w:r w:rsidRPr="52233FB8">
              <w:rPr>
                <w:rFonts w:eastAsia="Calibri" w:cs="Calibri"/>
                <w:b w:val="0"/>
                <w:bCs w:val="0"/>
              </w:rPr>
              <w:t>that evaluate the risk of miscarriage in people who received a COVID-19 vaccine during pregnancy. Both studies show that the rate of miscarriage is similar for vaccinated and unvaccinated pregnant people, and that there is no evidence that the COVID-19 vaccine is associated with an increased risk of miscarriage during pregnancy.</w:t>
            </w:r>
          </w:p>
          <w:p w14:paraId="5021EBAC" w14:textId="464A68D3" w:rsidR="00F93B74" w:rsidRPr="00EE6BBF" w:rsidRDefault="00F93B74" w:rsidP="52233FB8">
            <w:pPr>
              <w:pStyle w:val="BodyText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</w:pPr>
            <w:r w:rsidRPr="52233FB8">
              <w:rPr>
                <w:rFonts w:eastAsia="Calibri" w:cs="Calibri"/>
                <w:b w:val="0"/>
                <w:bCs w:val="0"/>
              </w:rPr>
              <w:t xml:space="preserve">Shimabukuro </w:t>
            </w:r>
            <w:r w:rsidRPr="52233FB8">
              <w:rPr>
                <w:rFonts w:eastAsia="Calibri" w:cs="Calibri"/>
                <w:b w:val="0"/>
                <w:bCs w:val="0"/>
                <w:i/>
                <w:iCs/>
              </w:rPr>
              <w:t>et al</w:t>
            </w:r>
            <w:r w:rsidRPr="52233FB8">
              <w:rPr>
                <w:rFonts w:eastAsia="Calibri" w:cs="Calibri"/>
                <w:b w:val="0"/>
                <w:bCs w:val="0"/>
              </w:rPr>
              <w:t xml:space="preserve">, reported on the safety of receiving the mRNA COVID-19 vaccine for pregnant </w:t>
            </w:r>
            <w:r w:rsidR="00FA6939" w:rsidRPr="52233FB8">
              <w:rPr>
                <w:rFonts w:eastAsia="Calibri" w:cs="Calibri"/>
                <w:b w:val="0"/>
                <w:bCs w:val="0"/>
              </w:rPr>
              <w:t>people</w:t>
            </w:r>
            <w:r w:rsidRPr="52233FB8">
              <w:rPr>
                <w:rFonts w:eastAsia="Calibri" w:cs="Calibri"/>
                <w:b w:val="0"/>
                <w:bCs w:val="0"/>
              </w:rPr>
              <w:t xml:space="preserve"> (</w:t>
            </w:r>
            <w:hyperlink r:id="rId16">
              <w:r w:rsidR="722B06C0" w:rsidRPr="52233FB8">
                <w:rPr>
                  <w:rStyle w:val="Hyperlink"/>
                  <w:rFonts w:eastAsia="Calibri" w:cs="Calibri"/>
                  <w:b w:val="0"/>
                  <w:bCs w:val="0"/>
                </w:rPr>
                <w:t>link</w:t>
              </w:r>
            </w:hyperlink>
            <w:r w:rsidRPr="52233FB8">
              <w:rPr>
                <w:rFonts w:eastAsia="Calibri" w:cs="Calibri"/>
                <w:b w:val="0"/>
                <w:bCs w:val="0"/>
              </w:rPr>
              <w:t xml:space="preserve">). The study </w:t>
            </w:r>
            <w:r w:rsidR="00E452C9" w:rsidRPr="52233FB8">
              <w:rPr>
                <w:rFonts w:eastAsia="Calibri" w:cs="Calibri"/>
                <w:b w:val="0"/>
                <w:bCs w:val="0"/>
              </w:rPr>
              <w:t xml:space="preserve">included </w:t>
            </w:r>
            <w:r w:rsidRPr="52233FB8">
              <w:rPr>
                <w:rFonts w:eastAsia="Calibri" w:cs="Calibri"/>
                <w:b w:val="0"/>
                <w:bCs w:val="0"/>
              </w:rPr>
              <w:t xml:space="preserve">3,958 </w:t>
            </w:r>
            <w:r w:rsidR="002C0A3B" w:rsidRPr="52233FB8">
              <w:rPr>
                <w:rFonts w:eastAsia="Calibri" w:cs="Calibri"/>
                <w:b w:val="0"/>
                <w:bCs w:val="0"/>
              </w:rPr>
              <w:t>pregnant people</w:t>
            </w:r>
            <w:r w:rsidRPr="52233FB8">
              <w:rPr>
                <w:rFonts w:eastAsia="Calibri" w:cs="Calibri"/>
                <w:b w:val="0"/>
                <w:bCs w:val="0"/>
              </w:rPr>
              <w:t xml:space="preserve"> in the US enrolled in the ‘v-safe’ pregnancy registry. Registry participants had received an mRNA vaccine</w:t>
            </w:r>
            <w:r w:rsidR="004D6892" w:rsidRPr="52233FB8">
              <w:rPr>
                <w:rFonts w:eastAsia="Calibri" w:cs="Calibri"/>
                <w:b w:val="0"/>
                <w:bCs w:val="0"/>
              </w:rPr>
              <w:t xml:space="preserve"> (Pfizer or Moderna)</w:t>
            </w:r>
            <w:r w:rsidRPr="52233FB8">
              <w:rPr>
                <w:rFonts w:eastAsia="Calibri" w:cs="Calibri"/>
                <w:b w:val="0"/>
                <w:bCs w:val="0"/>
              </w:rPr>
              <w:t xml:space="preserve"> at some point during their pregnancy. Participants were asked </w:t>
            </w:r>
            <w:r w:rsidR="00F06DC8" w:rsidRPr="52233FB8">
              <w:rPr>
                <w:rFonts w:eastAsia="Calibri" w:cs="Calibri"/>
                <w:b w:val="0"/>
                <w:bCs w:val="0"/>
              </w:rPr>
              <w:t>questions</w:t>
            </w:r>
            <w:r w:rsidRPr="52233FB8">
              <w:rPr>
                <w:rFonts w:eastAsia="Calibri" w:cs="Calibri"/>
                <w:b w:val="0"/>
                <w:bCs w:val="0"/>
              </w:rPr>
              <w:t xml:space="preserve"> relating to pregnancy outcomes, such as pregnancy loss or live birth, and neonatal outcomes such as rate of preterm birth and size for gestational age. Participants were followed for 10-12 weeks post-vaccination.</w:t>
            </w:r>
          </w:p>
          <w:p w14:paraId="405B0CBC" w14:textId="3992C244" w:rsidR="00F93B74" w:rsidRPr="00F93B74" w:rsidRDefault="00F93B74" w:rsidP="00F93B74">
            <w:pPr>
              <w:pStyle w:val="BodyText"/>
              <w:numPr>
                <w:ilvl w:val="0"/>
                <w:numId w:val="17"/>
              </w:numPr>
              <w:rPr>
                <w:rFonts w:eastAsia="Calibri" w:cs="Calibri"/>
                <w:b w:val="0"/>
                <w:bCs w:val="0"/>
              </w:rPr>
            </w:pPr>
            <w:r w:rsidRPr="00F93B74">
              <w:rPr>
                <w:rFonts w:eastAsia="Calibri" w:cs="Calibri"/>
                <w:b w:val="0"/>
                <w:bCs w:val="0"/>
              </w:rPr>
              <w:t xml:space="preserve">The rate for miscarriage, as with most pregnancy outcomes, </w:t>
            </w:r>
            <w:r w:rsidR="00E452C9">
              <w:rPr>
                <w:rFonts w:eastAsia="Calibri" w:cs="Calibri"/>
                <w:b w:val="0"/>
                <w:bCs w:val="0"/>
              </w:rPr>
              <w:t>wa</w:t>
            </w:r>
            <w:r w:rsidRPr="00F93B74">
              <w:rPr>
                <w:rFonts w:eastAsia="Calibri" w:cs="Calibri"/>
                <w:b w:val="0"/>
                <w:bCs w:val="0"/>
              </w:rPr>
              <w:t xml:space="preserve">s evaluated against all completed pregnancies. However, because the Shimabukuro </w:t>
            </w:r>
            <w:r w:rsidRPr="00C35D25">
              <w:rPr>
                <w:rFonts w:eastAsia="Calibri" w:cs="Calibri"/>
                <w:b w:val="0"/>
                <w:bCs w:val="0"/>
                <w:i/>
                <w:iCs/>
              </w:rPr>
              <w:t>et al</w:t>
            </w:r>
            <w:r w:rsidRPr="00F93B74">
              <w:rPr>
                <w:rFonts w:eastAsia="Calibri" w:cs="Calibri"/>
                <w:b w:val="0"/>
                <w:bCs w:val="0"/>
              </w:rPr>
              <w:t xml:space="preserve"> study reported only 10-12 weeks</w:t>
            </w:r>
            <w:r w:rsidR="00247ED6">
              <w:rPr>
                <w:rFonts w:eastAsia="Calibri" w:cs="Calibri"/>
                <w:b w:val="0"/>
                <w:bCs w:val="0"/>
              </w:rPr>
              <w:t xml:space="preserve"> of </w:t>
            </w:r>
            <w:r w:rsidRPr="00F93B74">
              <w:rPr>
                <w:rFonts w:eastAsia="Calibri" w:cs="Calibri"/>
                <w:b w:val="0"/>
                <w:bCs w:val="0"/>
              </w:rPr>
              <w:t xml:space="preserve">follow-up after vaccination, not all the pregnancies evaluated in the study </w:t>
            </w:r>
            <w:r w:rsidR="00E452C9">
              <w:rPr>
                <w:rFonts w:eastAsia="Calibri" w:cs="Calibri"/>
                <w:b w:val="0"/>
                <w:bCs w:val="0"/>
              </w:rPr>
              <w:t>we</w:t>
            </w:r>
            <w:r w:rsidRPr="00F93B74">
              <w:rPr>
                <w:rFonts w:eastAsia="Calibri" w:cs="Calibri"/>
                <w:b w:val="0"/>
                <w:bCs w:val="0"/>
              </w:rPr>
              <w:t xml:space="preserve">re complete. Therefore, </w:t>
            </w:r>
            <w:proofErr w:type="gramStart"/>
            <w:r w:rsidRPr="00F93B74">
              <w:rPr>
                <w:rFonts w:eastAsia="Calibri" w:cs="Calibri"/>
                <w:b w:val="0"/>
                <w:bCs w:val="0"/>
              </w:rPr>
              <w:t>in order to</w:t>
            </w:r>
            <w:proofErr w:type="gramEnd"/>
            <w:r w:rsidRPr="00F93B74">
              <w:rPr>
                <w:rFonts w:eastAsia="Calibri" w:cs="Calibri"/>
                <w:b w:val="0"/>
                <w:bCs w:val="0"/>
              </w:rPr>
              <w:t xml:space="preserve"> estimate the rate of miscarriage, authors evaluate</w:t>
            </w:r>
            <w:r w:rsidR="00F06DC8">
              <w:rPr>
                <w:rFonts w:eastAsia="Calibri" w:cs="Calibri"/>
                <w:b w:val="0"/>
                <w:bCs w:val="0"/>
              </w:rPr>
              <w:t>d</w:t>
            </w:r>
            <w:r w:rsidRPr="00F93B74">
              <w:rPr>
                <w:rFonts w:eastAsia="Calibri" w:cs="Calibri"/>
                <w:b w:val="0"/>
                <w:bCs w:val="0"/>
              </w:rPr>
              <w:t xml:space="preserve"> the outcomes from the completed pregnancies only.</w:t>
            </w:r>
          </w:p>
          <w:p w14:paraId="00046DAE" w14:textId="38FF0D7B" w:rsidR="00F93B74" w:rsidRPr="00F93B74" w:rsidRDefault="00F93B74" w:rsidP="00F93B74">
            <w:pPr>
              <w:pStyle w:val="BodyText"/>
              <w:numPr>
                <w:ilvl w:val="0"/>
                <w:numId w:val="17"/>
              </w:numPr>
              <w:rPr>
                <w:rFonts w:eastAsia="Calibri" w:cs="Calibri"/>
                <w:b w:val="0"/>
                <w:bCs w:val="0"/>
              </w:rPr>
            </w:pPr>
            <w:r w:rsidRPr="00F93B74">
              <w:rPr>
                <w:rFonts w:eastAsia="Calibri" w:cs="Calibri"/>
                <w:b w:val="0"/>
                <w:bCs w:val="0"/>
              </w:rPr>
              <w:t>There were 827 completed pregnancies. Of those, there were 712 births, 104 miscarriages, 1 stillbirth, and 10 other outcomes, e.g., ectopic pregnancy. Therefore, the rate of miscarriage was 104/827 or 12.6%, similar to the background rates for unvaccinated individuals</w:t>
            </w:r>
            <w:r w:rsidR="00EE6BBF">
              <w:rPr>
                <w:rFonts w:eastAsia="Calibri" w:cs="Calibri"/>
                <w:b w:val="0"/>
                <w:bCs w:val="0"/>
              </w:rPr>
              <w:t>; t</w:t>
            </w:r>
            <w:r w:rsidR="00EE6BBF" w:rsidRPr="00F93B74">
              <w:rPr>
                <w:rFonts w:eastAsia="Calibri" w:cs="Calibri"/>
                <w:b w:val="0"/>
                <w:bCs w:val="0"/>
              </w:rPr>
              <w:t>he background rate for miscarriage for pregnancies in</w:t>
            </w:r>
            <w:r w:rsidR="00EE6BBF">
              <w:rPr>
                <w:rFonts w:eastAsia="Calibri" w:cs="Calibri"/>
                <w:b w:val="0"/>
                <w:bCs w:val="0"/>
              </w:rPr>
              <w:t xml:space="preserve"> the</w:t>
            </w:r>
            <w:r w:rsidR="00EE6BBF" w:rsidRPr="00F93B74">
              <w:rPr>
                <w:rFonts w:eastAsia="Calibri" w:cs="Calibri"/>
                <w:b w:val="0"/>
                <w:bCs w:val="0"/>
              </w:rPr>
              <w:t xml:space="preserve"> general</w:t>
            </w:r>
            <w:r w:rsidR="00EE6BBF">
              <w:rPr>
                <w:rFonts w:eastAsia="Calibri" w:cs="Calibri"/>
                <w:b w:val="0"/>
                <w:bCs w:val="0"/>
              </w:rPr>
              <w:t xml:space="preserve"> population</w:t>
            </w:r>
            <w:r w:rsidR="00EE6BBF" w:rsidRPr="00F93B74">
              <w:rPr>
                <w:rFonts w:eastAsia="Calibri" w:cs="Calibri"/>
                <w:b w:val="0"/>
                <w:bCs w:val="0"/>
              </w:rPr>
              <w:t xml:space="preserve"> is about 12.5 to 18.7% (</w:t>
            </w:r>
            <w:hyperlink r:id="rId17" w:history="1">
              <w:r w:rsidR="00EE6BBF" w:rsidRPr="00CD53F6">
                <w:rPr>
                  <w:rStyle w:val="Hyperlink"/>
                  <w:rFonts w:eastAsia="Calibri" w:cs="Calibri"/>
                  <w:b w:val="0"/>
                  <w:bCs w:val="0"/>
                </w:rPr>
                <w:t>link</w:t>
              </w:r>
            </w:hyperlink>
            <w:r w:rsidR="00EE6BBF" w:rsidRPr="00F93B74">
              <w:rPr>
                <w:rFonts w:eastAsia="Calibri" w:cs="Calibri"/>
                <w:b w:val="0"/>
                <w:bCs w:val="0"/>
              </w:rPr>
              <w:t xml:space="preserve">). </w:t>
            </w:r>
          </w:p>
          <w:p w14:paraId="44F05678" w14:textId="7DD3C634" w:rsidR="00F93B74" w:rsidRPr="00F93B74" w:rsidRDefault="005C798B" w:rsidP="00F93B74">
            <w:pPr>
              <w:pStyle w:val="BodyText"/>
              <w:numPr>
                <w:ilvl w:val="0"/>
                <w:numId w:val="17"/>
              </w:numPr>
              <w:rPr>
                <w:rFonts w:eastAsia="Calibri" w:cs="Calibri"/>
                <w:b w:val="0"/>
                <w:bCs w:val="0"/>
              </w:rPr>
            </w:pPr>
            <w:r w:rsidRPr="7402EC30">
              <w:rPr>
                <w:rFonts w:eastAsia="Calibri" w:cs="Calibri"/>
                <w:b w:val="0"/>
                <w:bCs w:val="0"/>
              </w:rPr>
              <w:t>M</w:t>
            </w:r>
            <w:r w:rsidR="00E452C9" w:rsidRPr="7402EC30">
              <w:rPr>
                <w:rFonts w:eastAsia="Calibri" w:cs="Calibri"/>
                <w:b w:val="0"/>
                <w:bCs w:val="0"/>
              </w:rPr>
              <w:t xml:space="preserve">ost </w:t>
            </w:r>
            <w:r w:rsidR="00F93B74" w:rsidRPr="7402EC30">
              <w:rPr>
                <w:rFonts w:eastAsia="Calibri" w:cs="Calibri"/>
                <w:b w:val="0"/>
                <w:bCs w:val="0"/>
              </w:rPr>
              <w:t xml:space="preserve">of the </w:t>
            </w:r>
            <w:r w:rsidR="002C0A3B" w:rsidRPr="7402EC30">
              <w:rPr>
                <w:rFonts w:eastAsia="Calibri" w:cs="Calibri"/>
                <w:b w:val="0"/>
                <w:bCs w:val="0"/>
              </w:rPr>
              <w:t>individuals</w:t>
            </w:r>
            <w:r w:rsidR="00F93B74" w:rsidRPr="7402EC30">
              <w:rPr>
                <w:rFonts w:eastAsia="Calibri" w:cs="Calibri"/>
                <w:b w:val="0"/>
                <w:bCs w:val="0"/>
              </w:rPr>
              <w:t xml:space="preserve"> were vaccinated in the 3rd trimester</w:t>
            </w:r>
            <w:r w:rsidR="00E452C9" w:rsidRPr="7402EC30">
              <w:rPr>
                <w:rFonts w:eastAsia="Calibri" w:cs="Calibri"/>
                <w:b w:val="0"/>
                <w:bCs w:val="0"/>
              </w:rPr>
              <w:t xml:space="preserve"> (86%)</w:t>
            </w:r>
            <w:r w:rsidRPr="7402EC30">
              <w:rPr>
                <w:rFonts w:eastAsia="Calibri" w:cs="Calibri"/>
                <w:b w:val="0"/>
                <w:bCs w:val="0"/>
              </w:rPr>
              <w:t>, however,</w:t>
            </w:r>
            <w:r w:rsidR="00E452C9" w:rsidRPr="7402EC30">
              <w:rPr>
                <w:rFonts w:eastAsia="Calibri" w:cs="Calibri"/>
                <w:b w:val="0"/>
                <w:bCs w:val="0"/>
              </w:rPr>
              <w:t xml:space="preserve"> </w:t>
            </w:r>
            <w:r w:rsidRPr="7402EC30">
              <w:rPr>
                <w:rFonts w:eastAsia="Calibri" w:cs="Calibri"/>
                <w:b w:val="0"/>
                <w:bCs w:val="0"/>
              </w:rPr>
              <w:t>and i</w:t>
            </w:r>
            <w:r w:rsidR="00F93B74" w:rsidRPr="7402EC30">
              <w:rPr>
                <w:rFonts w:eastAsia="Calibri" w:cs="Calibri"/>
                <w:b w:val="0"/>
                <w:bCs w:val="0"/>
              </w:rPr>
              <w:t xml:space="preserve">t is reasonable to want to estimate the rate of miscarriage for people vaccinated in the first and second trimester. There were 96 </w:t>
            </w:r>
            <w:r w:rsidR="00F06DC8" w:rsidRPr="7402EC30">
              <w:rPr>
                <w:rFonts w:eastAsia="Calibri" w:cs="Calibri"/>
                <w:b w:val="0"/>
                <w:bCs w:val="0"/>
              </w:rPr>
              <w:t xml:space="preserve">(8.5%) </w:t>
            </w:r>
            <w:r w:rsidR="00F93B74" w:rsidRPr="7402EC30">
              <w:rPr>
                <w:rFonts w:eastAsia="Calibri" w:cs="Calibri"/>
                <w:b w:val="0"/>
                <w:bCs w:val="0"/>
              </w:rPr>
              <w:t xml:space="preserve">miscarriages reported in the 1st trimester, and the remaining 8 </w:t>
            </w:r>
            <w:r w:rsidR="00F06DC8" w:rsidRPr="7402EC30">
              <w:rPr>
                <w:rFonts w:eastAsia="Calibri" w:cs="Calibri"/>
                <w:b w:val="0"/>
                <w:bCs w:val="0"/>
              </w:rPr>
              <w:t xml:space="preserve">(0.5%) </w:t>
            </w:r>
            <w:r w:rsidR="00F93B74" w:rsidRPr="7402EC30">
              <w:rPr>
                <w:rFonts w:eastAsia="Calibri" w:cs="Calibri"/>
                <w:b w:val="0"/>
                <w:bCs w:val="0"/>
              </w:rPr>
              <w:t xml:space="preserve">occurred in the 2nd trimester. </w:t>
            </w:r>
          </w:p>
          <w:p w14:paraId="4BEB4994" w14:textId="77777777" w:rsidR="00073498" w:rsidRDefault="00F93B74" w:rsidP="00493739">
            <w:pPr>
              <w:pStyle w:val="BodyText"/>
              <w:numPr>
                <w:ilvl w:val="0"/>
                <w:numId w:val="17"/>
              </w:numPr>
              <w:rPr>
                <w:rFonts w:eastAsia="Calibri" w:cs="Calibri"/>
                <w:b w:val="0"/>
                <w:bCs w:val="0"/>
              </w:rPr>
            </w:pPr>
            <w:r w:rsidRPr="00F93B74">
              <w:rPr>
                <w:rFonts w:eastAsia="Calibri" w:cs="Calibri"/>
                <w:b w:val="0"/>
                <w:bCs w:val="0"/>
              </w:rPr>
              <w:t xml:space="preserve">An incorrect method for estimating the rate of miscarriage, but one that has circulated on social media, is to </w:t>
            </w:r>
            <w:r w:rsidR="00AA6CD9">
              <w:rPr>
                <w:rFonts w:eastAsia="Calibri" w:cs="Calibri"/>
                <w:b w:val="0"/>
                <w:bCs w:val="0"/>
              </w:rPr>
              <w:t>count</w:t>
            </w:r>
            <w:r w:rsidRPr="00F93B74">
              <w:rPr>
                <w:rFonts w:eastAsia="Calibri" w:cs="Calibri"/>
                <w:b w:val="0"/>
                <w:bCs w:val="0"/>
              </w:rPr>
              <w:t xml:space="preserve"> the</w:t>
            </w:r>
            <w:r w:rsidR="00F06DC8">
              <w:rPr>
                <w:rFonts w:eastAsia="Calibri" w:cs="Calibri"/>
                <w:b w:val="0"/>
                <w:bCs w:val="0"/>
              </w:rPr>
              <w:t xml:space="preserve"> number</w:t>
            </w:r>
            <w:r w:rsidRPr="00F93B74">
              <w:rPr>
                <w:rFonts w:eastAsia="Calibri" w:cs="Calibri"/>
                <w:b w:val="0"/>
                <w:bCs w:val="0"/>
              </w:rPr>
              <w:t xml:space="preserve"> of miscarriages among the 127 </w:t>
            </w:r>
            <w:r w:rsidR="002C0A3B">
              <w:rPr>
                <w:rFonts w:eastAsia="Calibri" w:cs="Calibri"/>
                <w:b w:val="0"/>
                <w:bCs w:val="0"/>
              </w:rPr>
              <w:t>individuals</w:t>
            </w:r>
            <w:r w:rsidR="00FA03AB">
              <w:rPr>
                <w:rFonts w:eastAsia="Calibri" w:cs="Calibri"/>
                <w:b w:val="0"/>
                <w:bCs w:val="0"/>
              </w:rPr>
              <w:t xml:space="preserve"> who were </w:t>
            </w:r>
            <w:r w:rsidR="00FA03AB" w:rsidRPr="00F6237B">
              <w:rPr>
                <w:rFonts w:eastAsia="Calibri" w:cs="Calibri"/>
                <w:b w:val="0"/>
                <w:bCs w:val="0"/>
                <w:i/>
                <w:iCs/>
              </w:rPr>
              <w:t xml:space="preserve">vaccinated in their </w:t>
            </w:r>
            <w:r w:rsidR="00565B2B" w:rsidRPr="00F6237B">
              <w:rPr>
                <w:rFonts w:eastAsia="Calibri" w:cs="Calibri"/>
                <w:b w:val="0"/>
                <w:bCs w:val="0"/>
                <w:i/>
                <w:iCs/>
              </w:rPr>
              <w:t>1</w:t>
            </w:r>
            <w:r w:rsidR="00565B2B" w:rsidRPr="00F6237B">
              <w:rPr>
                <w:rFonts w:eastAsia="Calibri" w:cs="Calibri"/>
                <w:b w:val="0"/>
                <w:bCs w:val="0"/>
                <w:i/>
                <w:iCs/>
                <w:vertAlign w:val="superscript"/>
              </w:rPr>
              <w:t>st</w:t>
            </w:r>
            <w:r w:rsidR="00565B2B" w:rsidRPr="00F6237B">
              <w:rPr>
                <w:rFonts w:eastAsia="Calibri" w:cs="Calibri"/>
                <w:b w:val="0"/>
                <w:bCs w:val="0"/>
                <w:i/>
                <w:iCs/>
              </w:rPr>
              <w:t xml:space="preserve"> or 2</w:t>
            </w:r>
            <w:r w:rsidR="00565B2B" w:rsidRPr="00F6237B">
              <w:rPr>
                <w:rFonts w:eastAsia="Calibri" w:cs="Calibri"/>
                <w:b w:val="0"/>
                <w:bCs w:val="0"/>
                <w:i/>
                <w:iCs/>
                <w:vertAlign w:val="superscript"/>
              </w:rPr>
              <w:t>nd</w:t>
            </w:r>
            <w:r w:rsidR="00565B2B" w:rsidRPr="00F6237B">
              <w:rPr>
                <w:rFonts w:eastAsia="Calibri" w:cs="Calibri"/>
                <w:b w:val="0"/>
                <w:bCs w:val="0"/>
                <w:i/>
                <w:iCs/>
              </w:rPr>
              <w:t xml:space="preserve"> trimester and who </w:t>
            </w:r>
            <w:r w:rsidRPr="00F6237B">
              <w:rPr>
                <w:rFonts w:eastAsia="Calibri" w:cs="Calibri"/>
                <w:b w:val="0"/>
                <w:bCs w:val="0"/>
                <w:i/>
                <w:iCs/>
              </w:rPr>
              <w:t>completed</w:t>
            </w:r>
            <w:r w:rsidR="00C80416" w:rsidRPr="00F6237B">
              <w:rPr>
                <w:rFonts w:eastAsia="Calibri" w:cs="Calibri"/>
                <w:b w:val="0"/>
                <w:bCs w:val="0"/>
                <w:i/>
                <w:iCs/>
              </w:rPr>
              <w:t xml:space="preserve"> their</w:t>
            </w:r>
            <w:r w:rsidRPr="00F6237B">
              <w:rPr>
                <w:rFonts w:eastAsia="Calibri" w:cs="Calibri"/>
                <w:b w:val="0"/>
                <w:bCs w:val="0"/>
                <w:i/>
                <w:iCs/>
              </w:rPr>
              <w:t xml:space="preserve"> pregnancies </w:t>
            </w:r>
            <w:r w:rsidR="00565B2B" w:rsidRPr="00F6237B">
              <w:rPr>
                <w:rFonts w:eastAsia="Calibri" w:cs="Calibri"/>
                <w:b w:val="0"/>
                <w:bCs w:val="0"/>
                <w:i/>
                <w:iCs/>
              </w:rPr>
              <w:t>within 3 months</w:t>
            </w:r>
            <w:r w:rsidR="00F6237B">
              <w:rPr>
                <w:rFonts w:eastAsia="Calibri" w:cs="Calibri"/>
                <w:b w:val="0"/>
                <w:bCs w:val="0"/>
                <w:i/>
                <w:iCs/>
              </w:rPr>
              <w:t xml:space="preserve"> of that date</w:t>
            </w:r>
            <w:r w:rsidR="00D73554">
              <w:rPr>
                <w:rFonts w:eastAsia="Calibri" w:cs="Calibri"/>
                <w:b w:val="0"/>
                <w:bCs w:val="0"/>
              </w:rPr>
              <w:t xml:space="preserve"> (the maximum follow-up time of the study)</w:t>
            </w:r>
            <w:r w:rsidRPr="002F0DDF">
              <w:rPr>
                <w:rFonts w:eastAsia="Calibri" w:cs="Calibri"/>
                <w:b w:val="0"/>
                <w:bCs w:val="0"/>
              </w:rPr>
              <w:t>.</w:t>
            </w:r>
            <w:r w:rsidR="00AB0667">
              <w:rPr>
                <w:rFonts w:eastAsia="Calibri" w:cs="Calibri"/>
                <w:b w:val="0"/>
                <w:bCs w:val="0"/>
              </w:rPr>
              <w:t xml:space="preserve"> </w:t>
            </w:r>
            <w:r w:rsidR="001D65F7">
              <w:rPr>
                <w:rFonts w:eastAsia="Calibri" w:cs="Calibri"/>
                <w:b w:val="0"/>
                <w:bCs w:val="0"/>
              </w:rPr>
              <w:t>However, m</w:t>
            </w:r>
            <w:r w:rsidR="00D73554">
              <w:rPr>
                <w:rFonts w:eastAsia="Calibri" w:cs="Calibri"/>
                <w:b w:val="0"/>
                <w:bCs w:val="0"/>
              </w:rPr>
              <w:t>ost pregnancies completed within 3 m</w:t>
            </w:r>
            <w:r w:rsidR="001D65F7">
              <w:rPr>
                <w:rFonts w:eastAsia="Calibri" w:cs="Calibri"/>
                <w:b w:val="0"/>
                <w:bCs w:val="0"/>
              </w:rPr>
              <w:t>onths of the 1</w:t>
            </w:r>
            <w:r w:rsidR="001D65F7" w:rsidRPr="001D65F7">
              <w:rPr>
                <w:rFonts w:eastAsia="Calibri" w:cs="Calibri"/>
                <w:b w:val="0"/>
                <w:bCs w:val="0"/>
                <w:vertAlign w:val="superscript"/>
              </w:rPr>
              <w:t>st</w:t>
            </w:r>
            <w:r w:rsidR="001D65F7">
              <w:rPr>
                <w:rFonts w:eastAsia="Calibri" w:cs="Calibri"/>
                <w:b w:val="0"/>
                <w:bCs w:val="0"/>
              </w:rPr>
              <w:t xml:space="preserve"> or 2</w:t>
            </w:r>
            <w:r w:rsidR="001D65F7" w:rsidRPr="001D65F7">
              <w:rPr>
                <w:rFonts w:eastAsia="Calibri" w:cs="Calibri"/>
                <w:b w:val="0"/>
                <w:bCs w:val="0"/>
                <w:vertAlign w:val="superscript"/>
              </w:rPr>
              <w:t>nd</w:t>
            </w:r>
            <w:r w:rsidR="001D65F7">
              <w:rPr>
                <w:rFonts w:eastAsia="Calibri" w:cs="Calibri"/>
                <w:b w:val="0"/>
                <w:bCs w:val="0"/>
              </w:rPr>
              <w:t xml:space="preserve"> trimesters are not full-term </w:t>
            </w:r>
            <w:proofErr w:type="gramStart"/>
            <w:r w:rsidR="001D65F7">
              <w:rPr>
                <w:rFonts w:eastAsia="Calibri" w:cs="Calibri"/>
                <w:b w:val="0"/>
                <w:bCs w:val="0"/>
              </w:rPr>
              <w:t>births, by definition</w:t>
            </w:r>
            <w:proofErr w:type="gramEnd"/>
            <w:r w:rsidR="001D65F7">
              <w:rPr>
                <w:rFonts w:eastAsia="Calibri" w:cs="Calibri"/>
                <w:b w:val="0"/>
                <w:bCs w:val="0"/>
              </w:rPr>
              <w:t>. T</w:t>
            </w:r>
            <w:r w:rsidR="001F473F">
              <w:rPr>
                <w:rFonts w:eastAsia="Calibri" w:cs="Calibri"/>
                <w:b w:val="0"/>
                <w:bCs w:val="0"/>
              </w:rPr>
              <w:t>he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analysis </w:t>
            </w:r>
            <w:r w:rsidR="00DB0FCB" w:rsidRPr="001F473F">
              <w:rPr>
                <w:rFonts w:eastAsia="Calibri" w:cs="Calibri"/>
                <w:b w:val="0"/>
                <w:bCs w:val="0"/>
                <w:i/>
                <w:iCs/>
              </w:rPr>
              <w:t>should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include all women followed t</w:t>
            </w:r>
            <w:r w:rsidR="007A667A">
              <w:rPr>
                <w:rFonts w:eastAsia="Calibri" w:cs="Calibri"/>
                <w:b w:val="0"/>
                <w:bCs w:val="0"/>
              </w:rPr>
              <w:t>o full-term or the end of their pregnancies,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and then determine</w:t>
            </w:r>
            <w:r w:rsidR="00A746FF">
              <w:rPr>
                <w:rFonts w:eastAsia="Calibri" w:cs="Calibri"/>
                <w:b w:val="0"/>
                <w:bCs w:val="0"/>
              </w:rPr>
              <w:t xml:space="preserve"> of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those who had miscarriages, rather than selecting only those who</w:t>
            </w:r>
            <w:r w:rsidR="00FC17CF">
              <w:rPr>
                <w:rFonts w:eastAsia="Calibri" w:cs="Calibri"/>
                <w:b w:val="0"/>
                <w:bCs w:val="0"/>
              </w:rPr>
              <w:t>se pregnancy ended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within the study</w:t>
            </w:r>
            <w:r w:rsidR="00363890">
              <w:rPr>
                <w:rFonts w:eastAsia="Calibri" w:cs="Calibri"/>
                <w:b w:val="0"/>
                <w:bCs w:val="0"/>
              </w:rPr>
              <w:t>’s follow-up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period (3 months)</w:t>
            </w:r>
            <w:r w:rsidR="00FC17CF">
              <w:rPr>
                <w:rFonts w:eastAsia="Calibri" w:cs="Calibri"/>
                <w:b w:val="0"/>
                <w:bCs w:val="0"/>
              </w:rPr>
              <w:t>,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as this</w:t>
            </w:r>
            <w:r w:rsidR="00A746FF">
              <w:rPr>
                <w:rFonts w:eastAsia="Calibri" w:cs="Calibri"/>
                <w:b w:val="0"/>
                <w:bCs w:val="0"/>
              </w:rPr>
              <w:t xml:space="preserve"> generates a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</w:t>
            </w:r>
            <w:r w:rsidR="001D1AE3">
              <w:rPr>
                <w:rFonts w:eastAsia="Calibri" w:cs="Calibri"/>
                <w:b w:val="0"/>
                <w:bCs w:val="0"/>
              </w:rPr>
              <w:t xml:space="preserve">selection bias </w:t>
            </w:r>
            <w:r w:rsidR="000575D1">
              <w:rPr>
                <w:rFonts w:eastAsia="Calibri" w:cs="Calibri"/>
                <w:b w:val="0"/>
                <w:bCs w:val="0"/>
              </w:rPr>
              <w:t>to include</w:t>
            </w:r>
            <w:r w:rsidR="00DB0FCB" w:rsidRPr="002F0DDF">
              <w:rPr>
                <w:rFonts w:eastAsia="Calibri" w:cs="Calibri"/>
                <w:b w:val="0"/>
                <w:bCs w:val="0"/>
              </w:rPr>
              <w:t xml:space="preserve"> more miscarriages</w:t>
            </w:r>
            <w:r w:rsidR="001D1AE3">
              <w:rPr>
                <w:rFonts w:eastAsia="Calibri" w:cs="Calibri"/>
                <w:b w:val="0"/>
                <w:bCs w:val="0"/>
              </w:rPr>
              <w:t xml:space="preserve"> </w:t>
            </w:r>
            <w:r w:rsidR="00DB0FCB" w:rsidRPr="002F0DDF">
              <w:rPr>
                <w:rFonts w:eastAsia="Calibri" w:cs="Calibri"/>
                <w:b w:val="0"/>
                <w:bCs w:val="0"/>
              </w:rPr>
              <w:t>in the analysis</w:t>
            </w:r>
            <w:r w:rsidR="00363890">
              <w:rPr>
                <w:rFonts w:eastAsia="Calibri" w:cs="Calibri"/>
                <w:b w:val="0"/>
                <w:bCs w:val="0"/>
              </w:rPr>
              <w:t xml:space="preserve">. </w:t>
            </w:r>
          </w:p>
          <w:p w14:paraId="2544691B" w14:textId="77E7D120" w:rsidR="002F0DDF" w:rsidRPr="00493739" w:rsidRDefault="00AB0667" w:rsidP="00493739">
            <w:pPr>
              <w:pStyle w:val="BodyText"/>
              <w:numPr>
                <w:ilvl w:val="0"/>
                <w:numId w:val="17"/>
              </w:numPr>
              <w:rPr>
                <w:rFonts w:eastAsia="Calibri" w:cs="Calibri"/>
                <w:b w:val="0"/>
                <w:bCs w:val="0"/>
              </w:rPr>
            </w:pPr>
            <w:r>
              <w:rPr>
                <w:rFonts w:eastAsia="Calibri" w:cs="Calibri"/>
                <w:b w:val="0"/>
                <w:bCs w:val="0"/>
              </w:rPr>
              <w:lastRenderedPageBreak/>
              <w:t>I</w:t>
            </w:r>
            <w:r w:rsidR="00A41609">
              <w:rPr>
                <w:rFonts w:eastAsia="Calibri" w:cs="Calibri"/>
                <w:b w:val="0"/>
                <w:bCs w:val="0"/>
              </w:rPr>
              <w:t>n total, t</w:t>
            </w:r>
            <w:r w:rsidR="00C91821">
              <w:rPr>
                <w:rFonts w:eastAsia="Calibri" w:cs="Calibri"/>
                <w:b w:val="0"/>
                <w:bCs w:val="0"/>
              </w:rPr>
              <w:t>here were 2,8</w:t>
            </w:r>
            <w:r w:rsidR="0048490D">
              <w:rPr>
                <w:rFonts w:eastAsia="Calibri" w:cs="Calibri"/>
                <w:b w:val="0"/>
                <w:bCs w:val="0"/>
              </w:rPr>
              <w:t>46 pregnan</w:t>
            </w:r>
            <w:r w:rsidR="00D92FA7">
              <w:rPr>
                <w:rFonts w:eastAsia="Calibri" w:cs="Calibri"/>
                <w:b w:val="0"/>
                <w:bCs w:val="0"/>
              </w:rPr>
              <w:t xml:space="preserve">t </w:t>
            </w:r>
            <w:r w:rsidR="002C0A3B">
              <w:rPr>
                <w:rFonts w:eastAsia="Calibri" w:cs="Calibri"/>
                <w:b w:val="0"/>
                <w:bCs w:val="0"/>
              </w:rPr>
              <w:t>people</w:t>
            </w:r>
            <w:r w:rsidR="00D92FA7">
              <w:rPr>
                <w:rFonts w:eastAsia="Calibri" w:cs="Calibri"/>
                <w:b w:val="0"/>
                <w:bCs w:val="0"/>
              </w:rPr>
              <w:t xml:space="preserve"> who were vaccinated in</w:t>
            </w:r>
            <w:r w:rsidR="0048490D">
              <w:rPr>
                <w:rFonts w:eastAsia="Calibri" w:cs="Calibri"/>
                <w:b w:val="0"/>
                <w:bCs w:val="0"/>
              </w:rPr>
              <w:t xml:space="preserve"> the</w:t>
            </w:r>
            <w:r w:rsidR="00D92FA7">
              <w:rPr>
                <w:rFonts w:eastAsia="Calibri" w:cs="Calibri"/>
                <w:b w:val="0"/>
                <w:bCs w:val="0"/>
              </w:rPr>
              <w:t>ir</w:t>
            </w:r>
            <w:r w:rsidR="0048490D">
              <w:rPr>
                <w:rFonts w:eastAsia="Calibri" w:cs="Calibri"/>
                <w:b w:val="0"/>
                <w:bCs w:val="0"/>
              </w:rPr>
              <w:t xml:space="preserve"> 1</w:t>
            </w:r>
            <w:r w:rsidR="0048490D" w:rsidRPr="0048490D">
              <w:rPr>
                <w:rFonts w:eastAsia="Calibri" w:cs="Calibri"/>
                <w:b w:val="0"/>
                <w:bCs w:val="0"/>
                <w:vertAlign w:val="superscript"/>
              </w:rPr>
              <w:t>st</w:t>
            </w:r>
            <w:r w:rsidR="0048490D">
              <w:rPr>
                <w:rFonts w:eastAsia="Calibri" w:cs="Calibri"/>
                <w:b w:val="0"/>
                <w:bCs w:val="0"/>
              </w:rPr>
              <w:t xml:space="preserve"> and 2</w:t>
            </w:r>
            <w:r w:rsidR="0048490D" w:rsidRPr="0048490D">
              <w:rPr>
                <w:rFonts w:eastAsia="Calibri" w:cs="Calibri"/>
                <w:b w:val="0"/>
                <w:bCs w:val="0"/>
                <w:vertAlign w:val="superscript"/>
              </w:rPr>
              <w:t>nd</w:t>
            </w:r>
            <w:r w:rsidR="0048490D">
              <w:rPr>
                <w:rFonts w:eastAsia="Calibri" w:cs="Calibri"/>
                <w:b w:val="0"/>
                <w:bCs w:val="0"/>
              </w:rPr>
              <w:t xml:space="preserve"> trimesters,</w:t>
            </w:r>
            <w:r w:rsidR="005C36B1">
              <w:rPr>
                <w:rFonts w:eastAsia="Calibri" w:cs="Calibri"/>
                <w:b w:val="0"/>
                <w:bCs w:val="0"/>
              </w:rPr>
              <w:t xml:space="preserve"> </w:t>
            </w:r>
            <w:r w:rsidR="00BC6575">
              <w:rPr>
                <w:rFonts w:eastAsia="Calibri" w:cs="Calibri"/>
                <w:b w:val="0"/>
                <w:bCs w:val="0"/>
              </w:rPr>
              <w:t xml:space="preserve">and </w:t>
            </w:r>
            <w:proofErr w:type="gramStart"/>
            <w:r w:rsidR="00BC6575">
              <w:rPr>
                <w:rFonts w:eastAsia="Calibri" w:cs="Calibri"/>
                <w:b w:val="0"/>
                <w:bCs w:val="0"/>
              </w:rPr>
              <w:t>the vast majority</w:t>
            </w:r>
            <w:r w:rsidR="005C36B1">
              <w:rPr>
                <w:rFonts w:eastAsia="Calibri" w:cs="Calibri"/>
                <w:b w:val="0"/>
                <w:bCs w:val="0"/>
              </w:rPr>
              <w:t xml:space="preserve"> of</w:t>
            </w:r>
            <w:proofErr w:type="gramEnd"/>
            <w:r w:rsidR="005C36B1">
              <w:rPr>
                <w:rFonts w:eastAsia="Calibri" w:cs="Calibri"/>
                <w:b w:val="0"/>
                <w:bCs w:val="0"/>
              </w:rPr>
              <w:t xml:space="preserve"> </w:t>
            </w:r>
            <w:r w:rsidR="00966064">
              <w:rPr>
                <w:rFonts w:eastAsia="Calibri" w:cs="Calibri"/>
                <w:b w:val="0"/>
                <w:bCs w:val="0"/>
              </w:rPr>
              <w:t>the pregnancies</w:t>
            </w:r>
            <w:r w:rsidR="005C36B1">
              <w:rPr>
                <w:rFonts w:eastAsia="Calibri" w:cs="Calibri"/>
                <w:b w:val="0"/>
                <w:bCs w:val="0"/>
              </w:rPr>
              <w:t xml:space="preserve"> </w:t>
            </w:r>
            <w:r w:rsidR="00BC6575">
              <w:rPr>
                <w:rFonts w:eastAsia="Calibri" w:cs="Calibri"/>
                <w:b w:val="0"/>
                <w:bCs w:val="0"/>
              </w:rPr>
              <w:t xml:space="preserve">(96%) </w:t>
            </w:r>
            <w:r w:rsidR="005C36B1">
              <w:rPr>
                <w:rFonts w:eastAsia="Calibri" w:cs="Calibri"/>
                <w:b w:val="0"/>
                <w:bCs w:val="0"/>
              </w:rPr>
              <w:t>were still ongoing at the end of the follow-up period (3 months)</w:t>
            </w:r>
            <w:r w:rsidR="00B71742">
              <w:rPr>
                <w:rFonts w:eastAsia="Calibri" w:cs="Calibri"/>
                <w:b w:val="0"/>
                <w:bCs w:val="0"/>
              </w:rPr>
              <w:t>.</w:t>
            </w:r>
            <w:r w:rsidR="009B0284">
              <w:rPr>
                <w:rFonts w:eastAsia="Calibri" w:cs="Calibri"/>
                <w:b w:val="0"/>
                <w:bCs w:val="0"/>
              </w:rPr>
              <w:t xml:space="preserve"> T</w:t>
            </w:r>
            <w:r w:rsidR="00905E45">
              <w:rPr>
                <w:rFonts w:eastAsia="Calibri" w:cs="Calibri"/>
                <w:b w:val="0"/>
                <w:bCs w:val="0"/>
              </w:rPr>
              <w:t>he</w:t>
            </w:r>
            <w:r w:rsidR="00DF5451">
              <w:rPr>
                <w:rFonts w:eastAsia="Calibri" w:cs="Calibri"/>
                <w:b w:val="0"/>
                <w:bCs w:val="0"/>
              </w:rPr>
              <w:t xml:space="preserve"> remaining </w:t>
            </w:r>
            <w:r w:rsidR="00382623">
              <w:rPr>
                <w:rFonts w:eastAsia="Calibri" w:cs="Calibri"/>
                <w:b w:val="0"/>
                <w:bCs w:val="0"/>
              </w:rPr>
              <w:t>127 (4%)</w:t>
            </w:r>
            <w:r w:rsidR="0000223C">
              <w:rPr>
                <w:rFonts w:eastAsia="Calibri" w:cs="Calibri"/>
                <w:b w:val="0"/>
                <w:bCs w:val="0"/>
              </w:rPr>
              <w:t xml:space="preserve"> </w:t>
            </w:r>
            <w:r w:rsidR="002B672F">
              <w:rPr>
                <w:rFonts w:eastAsia="Calibri" w:cs="Calibri"/>
                <w:b w:val="0"/>
                <w:bCs w:val="0"/>
              </w:rPr>
              <w:t>pregnancies</w:t>
            </w:r>
            <w:r w:rsidR="005D6826">
              <w:rPr>
                <w:rFonts w:eastAsia="Calibri" w:cs="Calibri"/>
                <w:b w:val="0"/>
                <w:bCs w:val="0"/>
              </w:rPr>
              <w:t xml:space="preserve"> </w:t>
            </w:r>
            <w:r w:rsidR="00905E45">
              <w:rPr>
                <w:rFonts w:eastAsia="Calibri" w:cs="Calibri"/>
                <w:b w:val="0"/>
                <w:bCs w:val="0"/>
              </w:rPr>
              <w:t xml:space="preserve">were </w:t>
            </w:r>
            <w:r w:rsidR="005D6826">
              <w:rPr>
                <w:rFonts w:eastAsia="Calibri" w:cs="Calibri"/>
                <w:b w:val="0"/>
                <w:bCs w:val="0"/>
              </w:rPr>
              <w:t>completed within 3 months</w:t>
            </w:r>
            <w:r w:rsidR="00B74C3F">
              <w:rPr>
                <w:rFonts w:eastAsia="Calibri" w:cs="Calibri"/>
                <w:b w:val="0"/>
                <w:bCs w:val="0"/>
              </w:rPr>
              <w:t xml:space="preserve"> following vaccination in the 1</w:t>
            </w:r>
            <w:r w:rsidR="00B74C3F" w:rsidRPr="00B74C3F">
              <w:rPr>
                <w:rFonts w:eastAsia="Calibri" w:cs="Calibri"/>
                <w:b w:val="0"/>
                <w:bCs w:val="0"/>
                <w:vertAlign w:val="superscript"/>
              </w:rPr>
              <w:t>st</w:t>
            </w:r>
            <w:r w:rsidR="00B74C3F">
              <w:rPr>
                <w:rFonts w:eastAsia="Calibri" w:cs="Calibri"/>
                <w:b w:val="0"/>
                <w:bCs w:val="0"/>
              </w:rPr>
              <w:t xml:space="preserve"> or 2</w:t>
            </w:r>
            <w:r w:rsidR="00B74C3F" w:rsidRPr="00B74C3F">
              <w:rPr>
                <w:rFonts w:eastAsia="Calibri" w:cs="Calibri"/>
                <w:b w:val="0"/>
                <w:bCs w:val="0"/>
                <w:vertAlign w:val="superscript"/>
              </w:rPr>
              <w:t>nd</w:t>
            </w:r>
            <w:r w:rsidR="00B74C3F">
              <w:rPr>
                <w:rFonts w:eastAsia="Calibri" w:cs="Calibri"/>
                <w:b w:val="0"/>
                <w:bCs w:val="0"/>
              </w:rPr>
              <w:t xml:space="preserve"> trimester</w:t>
            </w:r>
            <w:r w:rsidR="004F1864">
              <w:rPr>
                <w:rFonts w:eastAsia="Calibri" w:cs="Calibri"/>
                <w:b w:val="0"/>
                <w:bCs w:val="0"/>
              </w:rPr>
              <w:t xml:space="preserve">. </w:t>
            </w:r>
            <w:r w:rsidR="0040111D">
              <w:rPr>
                <w:rFonts w:eastAsia="Calibri" w:cs="Calibri"/>
                <w:b w:val="0"/>
                <w:bCs w:val="0"/>
              </w:rPr>
              <w:t xml:space="preserve">This means that </w:t>
            </w:r>
            <w:r w:rsidR="00586EDE">
              <w:rPr>
                <w:rFonts w:eastAsia="Calibri" w:cs="Calibri"/>
                <w:b w:val="0"/>
                <w:bCs w:val="0"/>
              </w:rPr>
              <w:t>a</w:t>
            </w:r>
            <w:r w:rsidR="008B39F7">
              <w:rPr>
                <w:rFonts w:eastAsia="Calibri" w:cs="Calibri"/>
                <w:b w:val="0"/>
                <w:bCs w:val="0"/>
              </w:rPr>
              <w:t>lmost</w:t>
            </w:r>
            <w:r w:rsidR="0086225E">
              <w:rPr>
                <w:rFonts w:eastAsia="Calibri" w:cs="Calibri"/>
                <w:b w:val="0"/>
                <w:bCs w:val="0"/>
              </w:rPr>
              <w:t xml:space="preserve"> </w:t>
            </w:r>
            <w:r w:rsidR="002A32B4">
              <w:rPr>
                <w:rFonts w:eastAsia="Calibri" w:cs="Calibri"/>
                <w:b w:val="0"/>
                <w:bCs w:val="0"/>
              </w:rPr>
              <w:t>no</w:t>
            </w:r>
            <w:r w:rsidR="0086225E">
              <w:rPr>
                <w:rFonts w:eastAsia="Calibri" w:cs="Calibri"/>
                <w:b w:val="0"/>
                <w:bCs w:val="0"/>
              </w:rPr>
              <w:t xml:space="preserve"> completed full-term births are </w:t>
            </w:r>
            <w:r w:rsidR="006D2187">
              <w:rPr>
                <w:rFonts w:eastAsia="Calibri" w:cs="Calibri"/>
                <w:b w:val="0"/>
                <w:bCs w:val="0"/>
              </w:rPr>
              <w:t>included</w:t>
            </w:r>
            <w:r w:rsidR="0086225E">
              <w:rPr>
                <w:rFonts w:eastAsia="Calibri" w:cs="Calibri"/>
                <w:b w:val="0"/>
                <w:bCs w:val="0"/>
              </w:rPr>
              <w:t xml:space="preserve"> </w:t>
            </w:r>
            <w:r w:rsidR="006D2187">
              <w:rPr>
                <w:rFonts w:eastAsia="Calibri" w:cs="Calibri"/>
                <w:b w:val="0"/>
                <w:bCs w:val="0"/>
              </w:rPr>
              <w:t>in</w:t>
            </w:r>
            <w:r w:rsidR="0086225E">
              <w:rPr>
                <w:rFonts w:eastAsia="Calibri" w:cs="Calibri"/>
                <w:b w:val="0"/>
                <w:bCs w:val="0"/>
              </w:rPr>
              <w:t xml:space="preserve"> the 127 simply because the study </w:t>
            </w:r>
            <w:r w:rsidR="003E0CAA">
              <w:rPr>
                <w:rFonts w:eastAsia="Calibri" w:cs="Calibri"/>
                <w:b w:val="0"/>
                <w:bCs w:val="0"/>
              </w:rPr>
              <w:t>does</w:t>
            </w:r>
            <w:r w:rsidR="0086225E">
              <w:rPr>
                <w:rFonts w:eastAsia="Calibri" w:cs="Calibri"/>
                <w:b w:val="0"/>
                <w:bCs w:val="0"/>
              </w:rPr>
              <w:t xml:space="preserve"> not have sufficient follow-up time</w:t>
            </w:r>
            <w:r w:rsidR="00863D5C">
              <w:rPr>
                <w:rFonts w:eastAsia="Calibri" w:cs="Calibri"/>
                <w:b w:val="0"/>
                <w:bCs w:val="0"/>
              </w:rPr>
              <w:t xml:space="preserve">. </w:t>
            </w:r>
            <w:r w:rsidR="00F93B74" w:rsidRPr="00F93B74">
              <w:rPr>
                <w:rFonts w:eastAsia="Calibri" w:cs="Calibri"/>
                <w:b w:val="0"/>
                <w:bCs w:val="0"/>
              </w:rPr>
              <w:t xml:space="preserve">Hence, it is not surprising that of the 127 pregnancies completed within 10-12 weeks of the first and second trimesters, 104 (82%) </w:t>
            </w:r>
            <w:r w:rsidR="008A6289">
              <w:rPr>
                <w:rFonts w:eastAsia="Calibri" w:cs="Calibri"/>
                <w:b w:val="0"/>
                <w:bCs w:val="0"/>
              </w:rPr>
              <w:t>were recorded as a</w:t>
            </w:r>
            <w:r w:rsidR="00F93B74" w:rsidRPr="00F93B74">
              <w:rPr>
                <w:rFonts w:eastAsia="Calibri" w:cs="Calibri"/>
                <w:b w:val="0"/>
                <w:bCs w:val="0"/>
              </w:rPr>
              <w:t xml:space="preserve"> miscarriage.</w:t>
            </w:r>
            <w:r w:rsidR="00586EDE" w:rsidRPr="002F0DDF">
              <w:rPr>
                <w:rFonts w:eastAsia="Calibri" w:cs="Calibri"/>
                <w:b w:val="0"/>
                <w:bCs w:val="0"/>
              </w:rPr>
              <w:t xml:space="preserve"> </w:t>
            </w:r>
          </w:p>
          <w:p w14:paraId="482A191F" w14:textId="69CB4850" w:rsidR="00A403E5" w:rsidRPr="00522BC6" w:rsidRDefault="00CB6FB5" w:rsidP="00522BC6">
            <w:pPr>
              <w:pStyle w:val="BodyText"/>
              <w:numPr>
                <w:ilvl w:val="0"/>
                <w:numId w:val="17"/>
              </w:numPr>
              <w:rPr>
                <w:rFonts w:eastAsia="Calibri" w:cs="Calibri"/>
                <w:b w:val="0"/>
                <w:bCs w:val="0"/>
                <w:szCs w:val="22"/>
              </w:rPr>
            </w:pPr>
            <w:r>
              <w:rPr>
                <w:rFonts w:eastAsia="Calibri" w:cs="Calibri"/>
                <w:b w:val="0"/>
                <w:bCs w:val="0"/>
              </w:rPr>
              <w:t>A second</w:t>
            </w:r>
            <w:r w:rsidR="001B5124">
              <w:rPr>
                <w:rFonts w:eastAsia="Calibri" w:cs="Calibri"/>
                <w:b w:val="0"/>
                <w:bCs w:val="0"/>
              </w:rPr>
              <w:t xml:space="preserve"> </w:t>
            </w:r>
            <w:r w:rsidR="008277D1" w:rsidRPr="008277D1">
              <w:rPr>
                <w:rFonts w:eastAsia="Calibri" w:cs="Calibri"/>
                <w:b w:val="0"/>
                <w:bCs w:val="0"/>
              </w:rPr>
              <w:t>study</w:t>
            </w:r>
            <w:r>
              <w:rPr>
                <w:rFonts w:eastAsia="Calibri" w:cs="Calibri"/>
                <w:b w:val="0"/>
                <w:bCs w:val="0"/>
              </w:rPr>
              <w:t xml:space="preserve"> </w:t>
            </w:r>
            <w:r w:rsidR="0098364C">
              <w:rPr>
                <w:rFonts w:eastAsia="Calibri" w:cs="Calibri"/>
                <w:b w:val="0"/>
                <w:bCs w:val="0"/>
              </w:rPr>
              <w:t xml:space="preserve">was performed that </w:t>
            </w:r>
            <w:r w:rsidR="00BE5682">
              <w:rPr>
                <w:rFonts w:eastAsia="Calibri" w:cs="Calibri"/>
                <w:b w:val="0"/>
                <w:bCs w:val="0"/>
              </w:rPr>
              <w:t xml:space="preserve">was able to </w:t>
            </w:r>
            <w:r w:rsidR="000F17E2">
              <w:rPr>
                <w:rFonts w:eastAsia="Calibri" w:cs="Calibri"/>
                <w:b w:val="0"/>
                <w:bCs w:val="0"/>
              </w:rPr>
              <w:t>follow</w:t>
            </w:r>
            <w:r w:rsidR="00172E85">
              <w:rPr>
                <w:rFonts w:eastAsia="Calibri" w:cs="Calibri"/>
                <w:b w:val="0"/>
                <w:bCs w:val="0"/>
              </w:rPr>
              <w:t xml:space="preserve"> almost all</w:t>
            </w:r>
            <w:r w:rsidR="000F17E2">
              <w:rPr>
                <w:rFonts w:eastAsia="Calibri" w:cs="Calibri"/>
                <w:b w:val="0"/>
                <w:bCs w:val="0"/>
              </w:rPr>
              <w:t xml:space="preserve"> pr</w:t>
            </w:r>
            <w:r w:rsidR="0079722E">
              <w:rPr>
                <w:rFonts w:eastAsia="Calibri" w:cs="Calibri"/>
                <w:b w:val="0"/>
                <w:bCs w:val="0"/>
              </w:rPr>
              <w:t>egnan</w:t>
            </w:r>
            <w:r w:rsidR="00042979">
              <w:rPr>
                <w:rFonts w:eastAsia="Calibri" w:cs="Calibri"/>
                <w:b w:val="0"/>
                <w:bCs w:val="0"/>
              </w:rPr>
              <w:t>t people</w:t>
            </w:r>
            <w:r w:rsidR="0079722E">
              <w:rPr>
                <w:rFonts w:eastAsia="Calibri" w:cs="Calibri"/>
                <w:b w:val="0"/>
                <w:bCs w:val="0"/>
              </w:rPr>
              <w:t xml:space="preserve"> </w:t>
            </w:r>
            <w:r w:rsidR="00172E85">
              <w:rPr>
                <w:rFonts w:eastAsia="Calibri" w:cs="Calibri"/>
                <w:b w:val="0"/>
                <w:bCs w:val="0"/>
              </w:rPr>
              <w:t>from the 1</w:t>
            </w:r>
            <w:r w:rsidR="00172E85" w:rsidRPr="00172E85">
              <w:rPr>
                <w:rFonts w:eastAsia="Calibri" w:cs="Calibri"/>
                <w:b w:val="0"/>
                <w:bCs w:val="0"/>
                <w:vertAlign w:val="superscript"/>
              </w:rPr>
              <w:t>st</w:t>
            </w:r>
            <w:r w:rsidR="00172E85">
              <w:rPr>
                <w:rFonts w:eastAsia="Calibri" w:cs="Calibri"/>
                <w:b w:val="0"/>
                <w:bCs w:val="0"/>
              </w:rPr>
              <w:t xml:space="preserve"> and 2</w:t>
            </w:r>
            <w:r w:rsidR="00172E85" w:rsidRPr="00172E85">
              <w:rPr>
                <w:rFonts w:eastAsia="Calibri" w:cs="Calibri"/>
                <w:b w:val="0"/>
                <w:bCs w:val="0"/>
                <w:vertAlign w:val="superscript"/>
              </w:rPr>
              <w:t>nd</w:t>
            </w:r>
            <w:r w:rsidR="00172E85">
              <w:rPr>
                <w:rFonts w:eastAsia="Calibri" w:cs="Calibri"/>
                <w:b w:val="0"/>
                <w:bCs w:val="0"/>
              </w:rPr>
              <w:t xml:space="preserve"> trimester until</w:t>
            </w:r>
            <w:r w:rsidR="00B37194">
              <w:rPr>
                <w:rFonts w:eastAsia="Calibri" w:cs="Calibri"/>
                <w:b w:val="0"/>
                <w:bCs w:val="0"/>
              </w:rPr>
              <w:t xml:space="preserve"> completion</w:t>
            </w:r>
            <w:r w:rsidR="00042979">
              <w:rPr>
                <w:rFonts w:eastAsia="Calibri" w:cs="Calibri"/>
                <w:b w:val="0"/>
                <w:bCs w:val="0"/>
              </w:rPr>
              <w:t xml:space="preserve"> of the pregnancy</w:t>
            </w:r>
            <w:r w:rsidR="00F33BB2">
              <w:rPr>
                <w:rFonts w:eastAsia="Calibri" w:cs="Calibri"/>
                <w:b w:val="0"/>
                <w:bCs w:val="0"/>
              </w:rPr>
              <w:t>, either to full term or other pregnancy outcome</w:t>
            </w:r>
            <w:r w:rsidR="00EC4747">
              <w:rPr>
                <w:rFonts w:eastAsia="Calibri" w:cs="Calibri"/>
                <w:b w:val="0"/>
                <w:bCs w:val="0"/>
              </w:rPr>
              <w:t>.</w:t>
            </w:r>
            <w:r w:rsidR="00DC32D4">
              <w:rPr>
                <w:rFonts w:eastAsia="Calibri" w:cs="Calibri"/>
                <w:b w:val="0"/>
                <w:bCs w:val="0"/>
              </w:rPr>
              <w:t xml:space="preserve"> Therefore, this study did not have the bias associated with limited follow-up time.</w:t>
            </w:r>
            <w:r w:rsidR="00EC4747">
              <w:rPr>
                <w:rFonts w:eastAsia="Calibri" w:cs="Calibri"/>
                <w:b w:val="0"/>
                <w:bCs w:val="0"/>
              </w:rPr>
              <w:t xml:space="preserve"> </w:t>
            </w:r>
            <w:r w:rsidR="00814F06">
              <w:rPr>
                <w:rFonts w:eastAsia="Calibri" w:cs="Calibri"/>
                <w:b w:val="0"/>
                <w:bCs w:val="0"/>
              </w:rPr>
              <w:t xml:space="preserve">The researchers followed </w:t>
            </w:r>
            <w:r w:rsidR="008277D1" w:rsidRPr="008277D1">
              <w:rPr>
                <w:rFonts w:eastAsia="Calibri" w:cs="Calibri"/>
                <w:b w:val="0"/>
                <w:bCs w:val="0"/>
              </w:rPr>
              <w:t xml:space="preserve">2,456 pregnant </w:t>
            </w:r>
            <w:r w:rsidR="00222D7C">
              <w:rPr>
                <w:rFonts w:eastAsia="Calibri" w:cs="Calibri"/>
                <w:b w:val="0"/>
                <w:bCs w:val="0"/>
              </w:rPr>
              <w:t>people</w:t>
            </w:r>
            <w:r w:rsidR="008277D1" w:rsidRPr="008277D1">
              <w:rPr>
                <w:rFonts w:eastAsia="Calibri" w:cs="Calibri"/>
                <w:b w:val="0"/>
                <w:bCs w:val="0"/>
              </w:rPr>
              <w:t xml:space="preserve"> from vaccination with a COVID-19 vaccine in the first and second trimesters until completion of their pregnancies. All participants in the study received a mRNA COVID-19 vaccine before 20 weeks’ gestation (</w:t>
            </w:r>
            <w:hyperlink r:id="rId18" w:history="1">
              <w:r w:rsidR="008277D1" w:rsidRPr="007F160F">
                <w:rPr>
                  <w:rStyle w:val="Hyperlink"/>
                  <w:rFonts w:eastAsia="Calibri" w:cs="Calibri"/>
                  <w:b w:val="0"/>
                  <w:bCs w:val="0"/>
                </w:rPr>
                <w:t>link</w:t>
              </w:r>
            </w:hyperlink>
            <w:r w:rsidR="008277D1" w:rsidRPr="008277D1">
              <w:rPr>
                <w:rFonts w:eastAsia="Calibri" w:cs="Calibri"/>
                <w:b w:val="0"/>
                <w:bCs w:val="0"/>
              </w:rPr>
              <w:t>). The risk of miscarriage from 6–19 weeks’ gestation until the completion of the pregnancy was 14.1% (95% CI: 12.1,16.1%), consistent with background rates</w:t>
            </w:r>
            <w:r w:rsidR="005C798B">
              <w:rPr>
                <w:rFonts w:eastAsia="Calibri" w:cs="Calibri"/>
                <w:b w:val="0"/>
                <w:bCs w:val="0"/>
              </w:rPr>
              <w:t>.</w:t>
            </w:r>
            <w:r w:rsidR="007561C3" w:rsidRPr="1CCA0A66">
              <w:rPr>
                <w:rFonts w:eastAsia="Calibri" w:cs="Calibri"/>
                <w:b w:val="0"/>
                <w:bCs w:val="0"/>
              </w:rPr>
              <w:t xml:space="preserve"> </w:t>
            </w:r>
            <w:r w:rsidR="00BD48F7">
              <w:rPr>
                <w:rFonts w:eastAsia="Calibri" w:cs="Calibri"/>
                <w:b w:val="0"/>
                <w:bCs w:val="0"/>
              </w:rPr>
              <w:t>This shows that</w:t>
            </w:r>
            <w:r w:rsidR="00DB5D6C">
              <w:rPr>
                <w:rFonts w:eastAsia="Calibri" w:cs="Calibri"/>
                <w:b w:val="0"/>
                <w:bCs w:val="0"/>
              </w:rPr>
              <w:t xml:space="preserve"> when pregnant people are vaccinated in the first or second trimesters, and</w:t>
            </w:r>
            <w:r w:rsidR="007F1151">
              <w:rPr>
                <w:rFonts w:eastAsia="Calibri" w:cs="Calibri"/>
                <w:b w:val="0"/>
                <w:bCs w:val="0"/>
              </w:rPr>
              <w:t xml:space="preserve"> we </w:t>
            </w:r>
            <w:r w:rsidR="0045540B">
              <w:rPr>
                <w:rFonts w:eastAsia="Calibri" w:cs="Calibri"/>
                <w:b w:val="0"/>
                <w:bCs w:val="0"/>
              </w:rPr>
              <w:t xml:space="preserve">can follow the individuals until we </w:t>
            </w:r>
            <w:r w:rsidR="003B01B7">
              <w:rPr>
                <w:rFonts w:eastAsia="Calibri" w:cs="Calibri"/>
                <w:b w:val="0"/>
                <w:bCs w:val="0"/>
              </w:rPr>
              <w:t>know the outcomes of all the pregnancies,</w:t>
            </w:r>
            <w:r w:rsidR="000B2517">
              <w:rPr>
                <w:rFonts w:eastAsia="Calibri" w:cs="Calibri"/>
                <w:b w:val="0"/>
                <w:bCs w:val="0"/>
              </w:rPr>
              <w:t xml:space="preserve"> that the rate of miscarriage is </w:t>
            </w:r>
            <w:r w:rsidR="00C040CE">
              <w:rPr>
                <w:rFonts w:eastAsia="Calibri" w:cs="Calibri"/>
                <w:b w:val="0"/>
                <w:bCs w:val="0"/>
              </w:rPr>
              <w:t xml:space="preserve">no higher or lower than </w:t>
            </w:r>
            <w:r w:rsidR="00B03E0C">
              <w:rPr>
                <w:rFonts w:eastAsia="Calibri" w:cs="Calibri"/>
                <w:b w:val="0"/>
                <w:bCs w:val="0"/>
              </w:rPr>
              <w:t>in unvaccinated pregnant people.</w:t>
            </w:r>
          </w:p>
        </w:tc>
      </w:tr>
      <w:tr w:rsidR="00A403E5" w14:paraId="3C819CC6" w14:textId="77777777" w:rsidTr="52233FB8">
        <w:trPr>
          <w:trHeight w:val="879"/>
        </w:trPr>
        <w:tc>
          <w:tcPr>
            <w:tcW w:w="9629" w:type="dxa"/>
            <w:gridSpan w:val="2"/>
            <w:shd w:val="clear" w:color="auto" w:fill="F2F2F2" w:themeFill="background1" w:themeFillShade="F2"/>
          </w:tcPr>
          <w:p w14:paraId="5D05A46C" w14:textId="5F308B3F" w:rsidR="00A403E5" w:rsidRDefault="00C22B50" w:rsidP="000748FD">
            <w:pPr>
              <w:pStyle w:val="BodyText"/>
              <w:spacing w:before="120"/>
              <w:rPr>
                <w:b w:val="0"/>
                <w:bCs w:val="0"/>
              </w:rPr>
            </w:pPr>
            <w:r>
              <w:lastRenderedPageBreak/>
              <w:t xml:space="preserve">Comment: </w:t>
            </w:r>
            <w:r w:rsidR="00332F76" w:rsidRPr="008C2FB6">
              <w:t>There is no evidence that the COVID-19 vaccine is associated with an increased risk of miscarriage during pregnancy.</w:t>
            </w:r>
            <w:r w:rsidR="00332F76" w:rsidRPr="00332F76">
              <w:rPr>
                <w:b w:val="0"/>
                <w:bCs w:val="0"/>
              </w:rPr>
              <w:t xml:space="preserve"> In general, the benefits of COVID-19 vaccination outweigh the risks from COVID-19</w:t>
            </w:r>
            <w:r w:rsidR="7ED43759" w:rsidRPr="00332F76">
              <w:rPr>
                <w:b w:val="0"/>
                <w:bCs w:val="0"/>
              </w:rPr>
              <w:t>.</w:t>
            </w:r>
            <w:bookmarkEnd w:id="2"/>
          </w:p>
        </w:tc>
      </w:tr>
    </w:tbl>
    <w:p w14:paraId="43EAE77E" w14:textId="5C7896DD" w:rsidR="33A52B4E" w:rsidRDefault="33A52B4E"/>
    <w:p w14:paraId="64DE7BE8" w14:textId="77777777" w:rsidR="008D45B9" w:rsidRDefault="008D45B9" w:rsidP="006D300E"/>
    <w:sectPr w:rsidR="008D45B9" w:rsidSect="007F591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134" w:bottom="85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C3C3D" w14:textId="77777777" w:rsidR="00D97F9D" w:rsidRDefault="00D97F9D" w:rsidP="006F3367">
      <w:pPr>
        <w:spacing w:after="0"/>
      </w:pPr>
      <w:r>
        <w:separator/>
      </w:r>
    </w:p>
  </w:endnote>
  <w:endnote w:type="continuationSeparator" w:id="0">
    <w:p w14:paraId="03E02820" w14:textId="77777777" w:rsidR="00D97F9D" w:rsidRDefault="00D97F9D" w:rsidP="006F3367">
      <w:pPr>
        <w:spacing w:after="0"/>
      </w:pPr>
      <w:r>
        <w:continuationSeparator/>
      </w:r>
    </w:p>
  </w:endnote>
  <w:endnote w:type="continuationNotice" w:id="1">
    <w:p w14:paraId="6A939931" w14:textId="77777777" w:rsidR="00D97F9D" w:rsidRDefault="00D97F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NSimSun"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EB63F" w14:textId="6651A917" w:rsidR="001154B4" w:rsidRDefault="00F5536E">
    <w:pPr>
      <w:pStyle w:val="Footer"/>
      <w:jc w:val="right"/>
    </w:pPr>
    <w:sdt>
      <w:sdtPr>
        <w:id w:val="21125408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54B4">
          <w:rPr>
            <w:b/>
            <w:bCs/>
          </w:rPr>
          <w:fldChar w:fldCharType="begin"/>
        </w:r>
        <w:r w:rsidR="001154B4">
          <w:rPr>
            <w:b/>
            <w:bCs/>
          </w:rPr>
          <w:instrText xml:space="preserve"> PAGE  \* Arabic  \* MERGEFORMAT </w:instrText>
        </w:r>
        <w:r w:rsidR="001154B4">
          <w:rPr>
            <w:b/>
            <w:bCs/>
          </w:rPr>
          <w:fldChar w:fldCharType="separate"/>
        </w:r>
        <w:r w:rsidR="001154B4">
          <w:rPr>
            <w:b/>
            <w:bCs/>
            <w:noProof/>
          </w:rPr>
          <w:t>1</w:t>
        </w:r>
        <w:r w:rsidR="001154B4">
          <w:rPr>
            <w:b/>
            <w:bCs/>
          </w:rPr>
          <w:fldChar w:fldCharType="end"/>
        </w:r>
        <w:r w:rsidR="001154B4">
          <w:t xml:space="preserve"> of </w:t>
        </w:r>
        <w:r w:rsidR="001154B4">
          <w:rPr>
            <w:b/>
            <w:bCs/>
          </w:rPr>
          <w:fldChar w:fldCharType="begin"/>
        </w:r>
        <w:r w:rsidR="001154B4">
          <w:rPr>
            <w:b/>
            <w:bCs/>
          </w:rPr>
          <w:instrText xml:space="preserve"> NUMPAGES  \* Arabic  \* MERGEFORMAT </w:instrText>
        </w:r>
        <w:r w:rsidR="001154B4">
          <w:rPr>
            <w:b/>
            <w:bCs/>
          </w:rPr>
          <w:fldChar w:fldCharType="separate"/>
        </w:r>
        <w:r w:rsidR="001154B4">
          <w:rPr>
            <w:b/>
            <w:bCs/>
            <w:noProof/>
          </w:rPr>
          <w:t>2</w:t>
        </w:r>
        <w:r w:rsidR="001154B4">
          <w:rPr>
            <w:b/>
            <w:bCs/>
          </w:rPr>
          <w:fldChar w:fldCharType="end"/>
        </w:r>
      </w:sdtContent>
    </w:sdt>
  </w:p>
  <w:p w14:paraId="6CB7C59A" w14:textId="7012ACC5" w:rsidR="008A79C9" w:rsidRDefault="008D45B9">
    <w:pPr>
      <w:pStyle w:val="Footer"/>
    </w:pPr>
    <w:r w:rsidRPr="004A7D06">
      <w:rPr>
        <w:rFonts w:cstheme="minorHAnsi"/>
        <w:b/>
        <w:bCs/>
        <w:i/>
        <w:iCs/>
        <w:sz w:val="15"/>
        <w:szCs w:val="15"/>
      </w:rPr>
      <w:t xml:space="preserve">Context and disclaimer. </w:t>
    </w:r>
    <w:r w:rsidRPr="004A7D06">
      <w:rPr>
        <w:rFonts w:cstheme="minorHAnsi"/>
        <w:i/>
        <w:iCs/>
        <w:sz w:val="15"/>
        <w:szCs w:val="15"/>
      </w:rPr>
      <w:t xml:space="preserve">This </w:t>
    </w:r>
    <w:r>
      <w:rPr>
        <w:rFonts w:cstheme="minorHAnsi"/>
        <w:i/>
        <w:iCs/>
        <w:sz w:val="15"/>
        <w:szCs w:val="15"/>
      </w:rPr>
      <w:t>update</w:t>
    </w:r>
    <w:r w:rsidRPr="004A7D06">
      <w:rPr>
        <w:rFonts w:cstheme="minorHAnsi"/>
        <w:i/>
        <w:iCs/>
        <w:sz w:val="15"/>
        <w:szCs w:val="15"/>
      </w:rPr>
      <w:t xml:space="preserve"> contains</w:t>
    </w:r>
    <w:r w:rsidRPr="004A7D06">
      <w:rPr>
        <w:rFonts w:cstheme="minorHAnsi"/>
        <w:b/>
        <w:bCs/>
        <w:i/>
        <w:iCs/>
        <w:sz w:val="15"/>
        <w:szCs w:val="15"/>
      </w:rPr>
      <w:t xml:space="preserve"> </w:t>
    </w:r>
    <w:r w:rsidRPr="004A7D06">
      <w:rPr>
        <w:rFonts w:cstheme="minorHAnsi"/>
        <w:i/>
        <w:iCs/>
        <w:sz w:val="15"/>
        <w:szCs w:val="15"/>
      </w:rPr>
      <w:t>topical talking points, science advice and research – it is intended as a high-level overview. The topics herein are assembled ‘at pace’ often under urgency and may be based on reports that are not peer-reviewed. Both the content and ‘</w:t>
    </w:r>
    <w:r>
      <w:rPr>
        <w:rFonts w:cstheme="minorHAnsi"/>
        <w:i/>
        <w:iCs/>
        <w:sz w:val="15"/>
        <w:szCs w:val="15"/>
      </w:rPr>
      <w:t>comment</w:t>
    </w:r>
    <w:r w:rsidRPr="004A7D06">
      <w:rPr>
        <w:rFonts w:cstheme="minorHAnsi"/>
        <w:i/>
        <w:iCs/>
        <w:sz w:val="15"/>
        <w:szCs w:val="15"/>
      </w:rPr>
      <w:t>’ components of this briefing represent science commentary at a single point in time – information herein may or may not align with Ministry of Health positions or priorities.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6DE9D" w14:textId="50DEA086" w:rsidR="009A25F8" w:rsidRDefault="008D45B9" w:rsidP="009A25F8">
    <w:pPr>
      <w:pStyle w:val="Footer"/>
    </w:pPr>
    <w:r w:rsidRPr="004A7D06">
      <w:rPr>
        <w:rFonts w:cstheme="minorHAnsi"/>
        <w:b/>
        <w:bCs/>
        <w:i/>
        <w:iCs/>
        <w:sz w:val="15"/>
        <w:szCs w:val="15"/>
      </w:rPr>
      <w:t xml:space="preserve">Context and disclaimer. </w:t>
    </w:r>
    <w:r w:rsidRPr="004A7D06">
      <w:rPr>
        <w:rFonts w:cstheme="minorHAnsi"/>
        <w:i/>
        <w:iCs/>
        <w:sz w:val="15"/>
        <w:szCs w:val="15"/>
      </w:rPr>
      <w:t xml:space="preserve">This </w:t>
    </w:r>
    <w:r>
      <w:rPr>
        <w:rFonts w:cstheme="minorHAnsi"/>
        <w:i/>
        <w:iCs/>
        <w:sz w:val="15"/>
        <w:szCs w:val="15"/>
      </w:rPr>
      <w:t>update</w:t>
    </w:r>
    <w:r w:rsidRPr="004A7D06">
      <w:rPr>
        <w:rFonts w:cstheme="minorHAnsi"/>
        <w:i/>
        <w:iCs/>
        <w:sz w:val="15"/>
        <w:szCs w:val="15"/>
      </w:rPr>
      <w:t xml:space="preserve"> contains</w:t>
    </w:r>
    <w:r w:rsidRPr="004A7D06">
      <w:rPr>
        <w:rFonts w:cstheme="minorHAnsi"/>
        <w:b/>
        <w:bCs/>
        <w:i/>
        <w:iCs/>
        <w:sz w:val="15"/>
        <w:szCs w:val="15"/>
      </w:rPr>
      <w:t xml:space="preserve"> </w:t>
    </w:r>
    <w:r w:rsidRPr="004A7D06">
      <w:rPr>
        <w:rFonts w:cstheme="minorHAnsi"/>
        <w:i/>
        <w:iCs/>
        <w:sz w:val="15"/>
        <w:szCs w:val="15"/>
      </w:rPr>
      <w:t>topical talking points, science advice and research – it is intended as a high-level overview. The topics herein are assembled ‘at pace’ often under urgency and may be based on reports that are not peer-reviewed. Both the content and ‘</w:t>
    </w:r>
    <w:r>
      <w:rPr>
        <w:rFonts w:cstheme="minorHAnsi"/>
        <w:i/>
        <w:iCs/>
        <w:sz w:val="15"/>
        <w:szCs w:val="15"/>
      </w:rPr>
      <w:t>comment</w:t>
    </w:r>
    <w:r w:rsidRPr="004A7D06">
      <w:rPr>
        <w:rFonts w:cstheme="minorHAnsi"/>
        <w:i/>
        <w:iCs/>
        <w:sz w:val="15"/>
        <w:szCs w:val="15"/>
      </w:rPr>
      <w:t>’ components of this briefing represent science commentary at a single point in time – information herein may or may not align with Ministry of Health positions or priorities.</w:t>
    </w:r>
  </w:p>
  <w:p w14:paraId="69C10647" w14:textId="77777777" w:rsidR="009A25F8" w:rsidRDefault="009A2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6FF6C" w14:textId="77777777" w:rsidR="00D97F9D" w:rsidRDefault="00D97F9D" w:rsidP="006F3367">
      <w:pPr>
        <w:spacing w:after="0"/>
      </w:pPr>
      <w:r>
        <w:separator/>
      </w:r>
    </w:p>
  </w:footnote>
  <w:footnote w:type="continuationSeparator" w:id="0">
    <w:p w14:paraId="2A1E1933" w14:textId="77777777" w:rsidR="00D97F9D" w:rsidRDefault="00D97F9D" w:rsidP="006F3367">
      <w:pPr>
        <w:spacing w:after="0"/>
      </w:pPr>
      <w:r>
        <w:continuationSeparator/>
      </w:r>
    </w:p>
  </w:footnote>
  <w:footnote w:type="continuationNotice" w:id="1">
    <w:p w14:paraId="6D546EF2" w14:textId="77777777" w:rsidR="00D97F9D" w:rsidRDefault="00D97F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0DE2" w14:textId="351444AE" w:rsidR="00B0683F" w:rsidRDefault="00936F5D" w:rsidP="00B0683F">
    <w:pPr>
      <w:spacing w:before="240" w:after="240"/>
      <w:jc w:val="center"/>
      <w:rPr>
        <w:rFonts w:ascii="Tahoma" w:eastAsiaTheme="majorEastAsia" w:hAnsi="Tahoma" w:cs="Tahoma"/>
        <w:b/>
        <w:color w:val="003366"/>
        <w:sz w:val="44"/>
        <w:szCs w:val="48"/>
        <w:lang w:val="en-US" w:eastAsia="ja-JP"/>
      </w:rPr>
    </w:pPr>
    <w:r>
      <w:rPr>
        <w:rFonts w:ascii="Tahoma" w:eastAsiaTheme="majorEastAsia" w:hAnsi="Tahoma" w:cs="Tahoma"/>
        <w:b/>
        <w:noProof/>
        <w:color w:val="003366"/>
        <w:sz w:val="40"/>
        <w:szCs w:val="44"/>
        <w:lang w:val="en-US" w:eastAsia="ja-JP"/>
      </w:rPr>
      <w:drawing>
        <wp:anchor distT="0" distB="0" distL="114300" distR="114300" simplePos="0" relativeHeight="251658240" behindDoc="1" locked="0" layoutInCell="1" allowOverlap="1" wp14:anchorId="2A5246F6" wp14:editId="212BCCF5">
          <wp:simplePos x="0" y="0"/>
          <wp:positionH relativeFrom="column">
            <wp:posOffset>5030470</wp:posOffset>
          </wp:positionH>
          <wp:positionV relativeFrom="paragraph">
            <wp:posOffset>32385</wp:posOffset>
          </wp:positionV>
          <wp:extent cx="1439545" cy="64770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20985" r="6999" b="16971"/>
                  <a:stretch/>
                </pic:blipFill>
                <pic:spPr bwMode="auto">
                  <a:xfrm>
                    <a:off x="0" y="0"/>
                    <a:ext cx="143954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ahoma" w:eastAsiaTheme="majorEastAsia" w:hAnsi="Tahoma" w:cs="Tahoma"/>
        <w:b/>
        <w:noProof/>
        <w:color w:val="003366"/>
        <w:sz w:val="40"/>
        <w:szCs w:val="44"/>
        <w:lang w:val="en-US" w:eastAsia="ja-JP"/>
      </w:rPr>
      <w:drawing>
        <wp:anchor distT="0" distB="0" distL="114300" distR="114300" simplePos="0" relativeHeight="251658241" behindDoc="1" locked="0" layoutInCell="1" allowOverlap="1" wp14:anchorId="5AD301DE" wp14:editId="6109E284">
          <wp:simplePos x="0" y="0"/>
          <wp:positionH relativeFrom="column">
            <wp:posOffset>-358140</wp:posOffset>
          </wp:positionH>
          <wp:positionV relativeFrom="paragraph">
            <wp:posOffset>32385</wp:posOffset>
          </wp:positionV>
          <wp:extent cx="1425575" cy="719455"/>
          <wp:effectExtent l="0" t="0" r="3175" b="4445"/>
          <wp:wrapNone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5B9">
      <w:rPr>
        <w:rFonts w:ascii="Tahoma" w:eastAsiaTheme="majorEastAsia" w:hAnsi="Tahoma" w:cs="Tahoma"/>
        <w:b/>
        <w:color w:val="003366"/>
        <w:sz w:val="40"/>
        <w:szCs w:val="44"/>
        <w:lang w:val="en-US" w:eastAsia="ja-JP"/>
      </w:rPr>
      <w:t>COVID-19 Science Updates</w:t>
    </w:r>
  </w:p>
  <w:p w14:paraId="44054587" w14:textId="77777777" w:rsidR="00B0683F" w:rsidRDefault="00B06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6443" w14:textId="4B031D07" w:rsidR="00524D9D" w:rsidRDefault="00524D9D">
    <w:pPr>
      <w:pStyle w:val="Header"/>
      <w:rPr>
        <w:noProof/>
      </w:rPr>
    </w:pPr>
  </w:p>
  <w:p w14:paraId="34803538" w14:textId="026CD692" w:rsidR="00933056" w:rsidRDefault="00933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24DA"/>
    <w:multiLevelType w:val="hybridMultilevel"/>
    <w:tmpl w:val="044C4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689"/>
    <w:multiLevelType w:val="hybridMultilevel"/>
    <w:tmpl w:val="B50411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6CCE"/>
    <w:multiLevelType w:val="hybridMultilevel"/>
    <w:tmpl w:val="D45EA5CE"/>
    <w:lvl w:ilvl="0" w:tplc="743E05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3AC42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0583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C2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2E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5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8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1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7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6D6D"/>
    <w:multiLevelType w:val="hybridMultilevel"/>
    <w:tmpl w:val="337EC6A0"/>
    <w:lvl w:ilvl="0" w:tplc="23A8334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1741746"/>
    <w:multiLevelType w:val="hybridMultilevel"/>
    <w:tmpl w:val="0A70E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770D"/>
    <w:multiLevelType w:val="hybridMultilevel"/>
    <w:tmpl w:val="1218661E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52310B"/>
    <w:multiLevelType w:val="hybridMultilevel"/>
    <w:tmpl w:val="476EB1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332EF"/>
    <w:multiLevelType w:val="hybridMultilevel"/>
    <w:tmpl w:val="9CEED700"/>
    <w:lvl w:ilvl="0" w:tplc="9AE6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B6737"/>
    <w:multiLevelType w:val="hybridMultilevel"/>
    <w:tmpl w:val="F9ECA014"/>
    <w:lvl w:ilvl="0" w:tplc="B976757A">
      <w:start w:val="1"/>
      <w:numFmt w:val="decimal"/>
      <w:lvlText w:val="%1."/>
      <w:lvlJc w:val="left"/>
      <w:pPr>
        <w:ind w:left="720" w:hanging="360"/>
      </w:pPr>
    </w:lvl>
    <w:lvl w:ilvl="1" w:tplc="2DA0DEC8">
      <w:start w:val="1"/>
      <w:numFmt w:val="lowerLetter"/>
      <w:lvlText w:val="%2."/>
      <w:lvlJc w:val="left"/>
      <w:pPr>
        <w:ind w:left="1440" w:hanging="360"/>
      </w:pPr>
    </w:lvl>
    <w:lvl w:ilvl="2" w:tplc="404E5BAA">
      <w:start w:val="1"/>
      <w:numFmt w:val="lowerRoman"/>
      <w:lvlText w:val="%3."/>
      <w:lvlJc w:val="right"/>
      <w:pPr>
        <w:ind w:left="2160" w:hanging="180"/>
      </w:pPr>
    </w:lvl>
    <w:lvl w:ilvl="3" w:tplc="DACC5C46">
      <w:start w:val="1"/>
      <w:numFmt w:val="decimal"/>
      <w:lvlText w:val="%4."/>
      <w:lvlJc w:val="left"/>
      <w:pPr>
        <w:ind w:left="2880" w:hanging="360"/>
      </w:pPr>
    </w:lvl>
    <w:lvl w:ilvl="4" w:tplc="3C1EA96A">
      <w:start w:val="1"/>
      <w:numFmt w:val="lowerLetter"/>
      <w:lvlText w:val="%5."/>
      <w:lvlJc w:val="left"/>
      <w:pPr>
        <w:ind w:left="3600" w:hanging="360"/>
      </w:pPr>
    </w:lvl>
    <w:lvl w:ilvl="5" w:tplc="CD2490D6">
      <w:start w:val="1"/>
      <w:numFmt w:val="lowerRoman"/>
      <w:lvlText w:val="%6."/>
      <w:lvlJc w:val="right"/>
      <w:pPr>
        <w:ind w:left="4320" w:hanging="180"/>
      </w:pPr>
    </w:lvl>
    <w:lvl w:ilvl="6" w:tplc="CBB801E4">
      <w:start w:val="1"/>
      <w:numFmt w:val="decimal"/>
      <w:lvlText w:val="%7."/>
      <w:lvlJc w:val="left"/>
      <w:pPr>
        <w:ind w:left="5040" w:hanging="360"/>
      </w:pPr>
    </w:lvl>
    <w:lvl w:ilvl="7" w:tplc="E51AC320">
      <w:start w:val="1"/>
      <w:numFmt w:val="lowerLetter"/>
      <w:lvlText w:val="%8."/>
      <w:lvlJc w:val="left"/>
      <w:pPr>
        <w:ind w:left="5760" w:hanging="360"/>
      </w:pPr>
    </w:lvl>
    <w:lvl w:ilvl="8" w:tplc="167868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E2EE2"/>
    <w:multiLevelType w:val="hybridMultilevel"/>
    <w:tmpl w:val="8C82C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DF3"/>
    <w:multiLevelType w:val="hybridMultilevel"/>
    <w:tmpl w:val="AD38D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50515"/>
    <w:multiLevelType w:val="hybridMultilevel"/>
    <w:tmpl w:val="412CC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F7603"/>
    <w:multiLevelType w:val="hybridMultilevel"/>
    <w:tmpl w:val="6B1C9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C7EB8"/>
    <w:multiLevelType w:val="hybridMultilevel"/>
    <w:tmpl w:val="6E948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E17"/>
    <w:multiLevelType w:val="hybridMultilevel"/>
    <w:tmpl w:val="E098E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7B65"/>
    <w:multiLevelType w:val="hybridMultilevel"/>
    <w:tmpl w:val="491ABE9E"/>
    <w:lvl w:ilvl="0" w:tplc="E3B06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8112C"/>
    <w:multiLevelType w:val="hybridMultilevel"/>
    <w:tmpl w:val="E6E43CBA"/>
    <w:lvl w:ilvl="0" w:tplc="D7A210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E5616"/>
    <w:multiLevelType w:val="hybridMultilevel"/>
    <w:tmpl w:val="526083CE"/>
    <w:lvl w:ilvl="0" w:tplc="1D62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94A0C"/>
    <w:multiLevelType w:val="multilevel"/>
    <w:tmpl w:val="C6288F34"/>
    <w:styleLink w:val="MSIHeadings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15"/>
  </w:num>
  <w:num w:numId="10">
    <w:abstractNumId w:val="5"/>
  </w:num>
  <w:num w:numId="11">
    <w:abstractNumId w:val="12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  <w:num w:numId="16">
    <w:abstractNumId w:val="11"/>
  </w:num>
  <w:num w:numId="17">
    <w:abstractNumId w:val="10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67"/>
    <w:rsid w:val="0000223C"/>
    <w:rsid w:val="00004245"/>
    <w:rsid w:val="00005B29"/>
    <w:rsid w:val="00016235"/>
    <w:rsid w:val="0002748D"/>
    <w:rsid w:val="000362EA"/>
    <w:rsid w:val="0003650F"/>
    <w:rsid w:val="00042979"/>
    <w:rsid w:val="000513FA"/>
    <w:rsid w:val="000522EB"/>
    <w:rsid w:val="000555C0"/>
    <w:rsid w:val="000575D1"/>
    <w:rsid w:val="00063E7F"/>
    <w:rsid w:val="00073498"/>
    <w:rsid w:val="000748FD"/>
    <w:rsid w:val="00076A64"/>
    <w:rsid w:val="00085315"/>
    <w:rsid w:val="000A6EA2"/>
    <w:rsid w:val="000B2517"/>
    <w:rsid w:val="000D2360"/>
    <w:rsid w:val="000E5A1F"/>
    <w:rsid w:val="000F17E2"/>
    <w:rsid w:val="000F43E0"/>
    <w:rsid w:val="000F46AB"/>
    <w:rsid w:val="000F4B57"/>
    <w:rsid w:val="001154B4"/>
    <w:rsid w:val="001259A6"/>
    <w:rsid w:val="00133263"/>
    <w:rsid w:val="00134DE9"/>
    <w:rsid w:val="00135FF0"/>
    <w:rsid w:val="00155196"/>
    <w:rsid w:val="001560BF"/>
    <w:rsid w:val="00157C27"/>
    <w:rsid w:val="00157FA8"/>
    <w:rsid w:val="00162BA3"/>
    <w:rsid w:val="00172782"/>
    <w:rsid w:val="00172E85"/>
    <w:rsid w:val="00173D4F"/>
    <w:rsid w:val="00182814"/>
    <w:rsid w:val="00194758"/>
    <w:rsid w:val="00194CA2"/>
    <w:rsid w:val="001A0279"/>
    <w:rsid w:val="001B180C"/>
    <w:rsid w:val="001B5124"/>
    <w:rsid w:val="001B560B"/>
    <w:rsid w:val="001C255E"/>
    <w:rsid w:val="001C6ABC"/>
    <w:rsid w:val="001D1AE3"/>
    <w:rsid w:val="001D65F7"/>
    <w:rsid w:val="001D719F"/>
    <w:rsid w:val="001E223E"/>
    <w:rsid w:val="001E5C76"/>
    <w:rsid w:val="001ECF4C"/>
    <w:rsid w:val="001F0E11"/>
    <w:rsid w:val="001F473F"/>
    <w:rsid w:val="001F56D0"/>
    <w:rsid w:val="002021D6"/>
    <w:rsid w:val="00207540"/>
    <w:rsid w:val="002107C3"/>
    <w:rsid w:val="002113B4"/>
    <w:rsid w:val="002119C7"/>
    <w:rsid w:val="00212577"/>
    <w:rsid w:val="00215B19"/>
    <w:rsid w:val="00222301"/>
    <w:rsid w:val="00222D7C"/>
    <w:rsid w:val="00240E2F"/>
    <w:rsid w:val="00245DBA"/>
    <w:rsid w:val="00247ED6"/>
    <w:rsid w:val="002528DC"/>
    <w:rsid w:val="00255CC1"/>
    <w:rsid w:val="002639E7"/>
    <w:rsid w:val="00266AC4"/>
    <w:rsid w:val="0028221C"/>
    <w:rsid w:val="00283FFB"/>
    <w:rsid w:val="002931F4"/>
    <w:rsid w:val="002A32B4"/>
    <w:rsid w:val="002A5932"/>
    <w:rsid w:val="002B18AB"/>
    <w:rsid w:val="002B672F"/>
    <w:rsid w:val="002C0A3B"/>
    <w:rsid w:val="002C2EFE"/>
    <w:rsid w:val="002D0FBC"/>
    <w:rsid w:val="002D1832"/>
    <w:rsid w:val="002D68E7"/>
    <w:rsid w:val="002E1A55"/>
    <w:rsid w:val="002E3CAE"/>
    <w:rsid w:val="002E3D55"/>
    <w:rsid w:val="002E4D7D"/>
    <w:rsid w:val="002E7A1A"/>
    <w:rsid w:val="002F0DDF"/>
    <w:rsid w:val="002F1A6F"/>
    <w:rsid w:val="002F2883"/>
    <w:rsid w:val="002F6ABE"/>
    <w:rsid w:val="0030467E"/>
    <w:rsid w:val="00307122"/>
    <w:rsid w:val="00307E17"/>
    <w:rsid w:val="00314904"/>
    <w:rsid w:val="00322E24"/>
    <w:rsid w:val="00332519"/>
    <w:rsid w:val="00332F76"/>
    <w:rsid w:val="00346F2F"/>
    <w:rsid w:val="00357E4C"/>
    <w:rsid w:val="0036321E"/>
    <w:rsid w:val="00363890"/>
    <w:rsid w:val="00365B77"/>
    <w:rsid w:val="00366A2A"/>
    <w:rsid w:val="00370527"/>
    <w:rsid w:val="00381B47"/>
    <w:rsid w:val="00382623"/>
    <w:rsid w:val="00383FD7"/>
    <w:rsid w:val="0038570F"/>
    <w:rsid w:val="00387286"/>
    <w:rsid w:val="003873B9"/>
    <w:rsid w:val="003967FC"/>
    <w:rsid w:val="003A648D"/>
    <w:rsid w:val="003A69DE"/>
    <w:rsid w:val="003B01B7"/>
    <w:rsid w:val="003B0D12"/>
    <w:rsid w:val="003B28D1"/>
    <w:rsid w:val="003B4C8C"/>
    <w:rsid w:val="003B583C"/>
    <w:rsid w:val="003C06AF"/>
    <w:rsid w:val="003C4A6F"/>
    <w:rsid w:val="003D290B"/>
    <w:rsid w:val="003D60C2"/>
    <w:rsid w:val="003E0CAA"/>
    <w:rsid w:val="003E4C13"/>
    <w:rsid w:val="0040111D"/>
    <w:rsid w:val="00413267"/>
    <w:rsid w:val="0041373C"/>
    <w:rsid w:val="00431CF5"/>
    <w:rsid w:val="0043609D"/>
    <w:rsid w:val="004415FC"/>
    <w:rsid w:val="004424B0"/>
    <w:rsid w:val="004429CE"/>
    <w:rsid w:val="00446DED"/>
    <w:rsid w:val="00450ED6"/>
    <w:rsid w:val="004534A6"/>
    <w:rsid w:val="0045540B"/>
    <w:rsid w:val="00455A74"/>
    <w:rsid w:val="00460838"/>
    <w:rsid w:val="00462172"/>
    <w:rsid w:val="00471192"/>
    <w:rsid w:val="00472111"/>
    <w:rsid w:val="0048490D"/>
    <w:rsid w:val="00493739"/>
    <w:rsid w:val="00493D42"/>
    <w:rsid w:val="00495B8A"/>
    <w:rsid w:val="004A567F"/>
    <w:rsid w:val="004A7EF3"/>
    <w:rsid w:val="004B103A"/>
    <w:rsid w:val="004B55A0"/>
    <w:rsid w:val="004C185A"/>
    <w:rsid w:val="004C2D53"/>
    <w:rsid w:val="004C6124"/>
    <w:rsid w:val="004C7501"/>
    <w:rsid w:val="004D0F8E"/>
    <w:rsid w:val="004D6892"/>
    <w:rsid w:val="004E0A73"/>
    <w:rsid w:val="004E29A6"/>
    <w:rsid w:val="004E3CA8"/>
    <w:rsid w:val="004E427A"/>
    <w:rsid w:val="004E6F3E"/>
    <w:rsid w:val="004F08E1"/>
    <w:rsid w:val="004F11E6"/>
    <w:rsid w:val="004F16FF"/>
    <w:rsid w:val="004F1864"/>
    <w:rsid w:val="00512D94"/>
    <w:rsid w:val="0051379A"/>
    <w:rsid w:val="00514F89"/>
    <w:rsid w:val="0051776A"/>
    <w:rsid w:val="0052171C"/>
    <w:rsid w:val="00522BC6"/>
    <w:rsid w:val="0052340E"/>
    <w:rsid w:val="00524D9D"/>
    <w:rsid w:val="00533097"/>
    <w:rsid w:val="00543253"/>
    <w:rsid w:val="005449B4"/>
    <w:rsid w:val="00550005"/>
    <w:rsid w:val="00555EF7"/>
    <w:rsid w:val="00556D40"/>
    <w:rsid w:val="0056372B"/>
    <w:rsid w:val="00565B2B"/>
    <w:rsid w:val="00574F05"/>
    <w:rsid w:val="00576DD3"/>
    <w:rsid w:val="00583728"/>
    <w:rsid w:val="00583D28"/>
    <w:rsid w:val="00584BD1"/>
    <w:rsid w:val="00586EDE"/>
    <w:rsid w:val="00593D66"/>
    <w:rsid w:val="00594697"/>
    <w:rsid w:val="00595512"/>
    <w:rsid w:val="00595D2F"/>
    <w:rsid w:val="00596B16"/>
    <w:rsid w:val="00597C69"/>
    <w:rsid w:val="005A2BBC"/>
    <w:rsid w:val="005B1BE5"/>
    <w:rsid w:val="005B2FC7"/>
    <w:rsid w:val="005C36B1"/>
    <w:rsid w:val="005C4FA5"/>
    <w:rsid w:val="005C54A1"/>
    <w:rsid w:val="005C71C7"/>
    <w:rsid w:val="005C798B"/>
    <w:rsid w:val="005D30E9"/>
    <w:rsid w:val="005D5177"/>
    <w:rsid w:val="005D6826"/>
    <w:rsid w:val="005E7E3C"/>
    <w:rsid w:val="005F1A86"/>
    <w:rsid w:val="006028B1"/>
    <w:rsid w:val="006062DB"/>
    <w:rsid w:val="00630062"/>
    <w:rsid w:val="006417CE"/>
    <w:rsid w:val="006467E2"/>
    <w:rsid w:val="00646B91"/>
    <w:rsid w:val="00655C5E"/>
    <w:rsid w:val="00656E9D"/>
    <w:rsid w:val="00670382"/>
    <w:rsid w:val="0067167E"/>
    <w:rsid w:val="00674D15"/>
    <w:rsid w:val="0067742A"/>
    <w:rsid w:val="006820D9"/>
    <w:rsid w:val="00690F81"/>
    <w:rsid w:val="00697B39"/>
    <w:rsid w:val="00697F5F"/>
    <w:rsid w:val="006A0977"/>
    <w:rsid w:val="006A25F3"/>
    <w:rsid w:val="006A6EE8"/>
    <w:rsid w:val="006A7EA0"/>
    <w:rsid w:val="006B29A8"/>
    <w:rsid w:val="006C71BD"/>
    <w:rsid w:val="006D2187"/>
    <w:rsid w:val="006D29B7"/>
    <w:rsid w:val="006D300E"/>
    <w:rsid w:val="006E2DD6"/>
    <w:rsid w:val="006E4856"/>
    <w:rsid w:val="006F0225"/>
    <w:rsid w:val="006F07F1"/>
    <w:rsid w:val="006F1820"/>
    <w:rsid w:val="006F2161"/>
    <w:rsid w:val="006F2251"/>
    <w:rsid w:val="006F3367"/>
    <w:rsid w:val="006F491B"/>
    <w:rsid w:val="006F6083"/>
    <w:rsid w:val="00706DBA"/>
    <w:rsid w:val="00707275"/>
    <w:rsid w:val="00712D14"/>
    <w:rsid w:val="007169D6"/>
    <w:rsid w:val="00722148"/>
    <w:rsid w:val="00722F2C"/>
    <w:rsid w:val="0072425D"/>
    <w:rsid w:val="007300CF"/>
    <w:rsid w:val="007343A5"/>
    <w:rsid w:val="0075237B"/>
    <w:rsid w:val="007523CF"/>
    <w:rsid w:val="00753772"/>
    <w:rsid w:val="007561C3"/>
    <w:rsid w:val="00763AD5"/>
    <w:rsid w:val="007650AE"/>
    <w:rsid w:val="00765357"/>
    <w:rsid w:val="00773E40"/>
    <w:rsid w:val="007746CF"/>
    <w:rsid w:val="007922AD"/>
    <w:rsid w:val="007960AF"/>
    <w:rsid w:val="00796EED"/>
    <w:rsid w:val="0079722E"/>
    <w:rsid w:val="0079788E"/>
    <w:rsid w:val="007A0E2E"/>
    <w:rsid w:val="007A1C57"/>
    <w:rsid w:val="007A3577"/>
    <w:rsid w:val="007A667A"/>
    <w:rsid w:val="007A7980"/>
    <w:rsid w:val="007C32AF"/>
    <w:rsid w:val="007C49BA"/>
    <w:rsid w:val="007C544B"/>
    <w:rsid w:val="007D1379"/>
    <w:rsid w:val="007D3367"/>
    <w:rsid w:val="007D7720"/>
    <w:rsid w:val="007E10DC"/>
    <w:rsid w:val="007E21F1"/>
    <w:rsid w:val="007E2AC9"/>
    <w:rsid w:val="007E2F7C"/>
    <w:rsid w:val="007F1151"/>
    <w:rsid w:val="007F160F"/>
    <w:rsid w:val="007F591F"/>
    <w:rsid w:val="007F7FC2"/>
    <w:rsid w:val="008042F5"/>
    <w:rsid w:val="008123E8"/>
    <w:rsid w:val="00814F06"/>
    <w:rsid w:val="0081532C"/>
    <w:rsid w:val="0082389B"/>
    <w:rsid w:val="008277D1"/>
    <w:rsid w:val="00833BE5"/>
    <w:rsid w:val="0083471F"/>
    <w:rsid w:val="00843363"/>
    <w:rsid w:val="008475AF"/>
    <w:rsid w:val="0086032A"/>
    <w:rsid w:val="00861080"/>
    <w:rsid w:val="0086225E"/>
    <w:rsid w:val="00862379"/>
    <w:rsid w:val="00863D5C"/>
    <w:rsid w:val="00870BED"/>
    <w:rsid w:val="00882521"/>
    <w:rsid w:val="008A6289"/>
    <w:rsid w:val="008A79C9"/>
    <w:rsid w:val="008B39F7"/>
    <w:rsid w:val="008C2FB6"/>
    <w:rsid w:val="008C3063"/>
    <w:rsid w:val="008D45B9"/>
    <w:rsid w:val="008E731C"/>
    <w:rsid w:val="008F3DAE"/>
    <w:rsid w:val="00901C1C"/>
    <w:rsid w:val="009040EB"/>
    <w:rsid w:val="00905E45"/>
    <w:rsid w:val="009100CF"/>
    <w:rsid w:val="0091056B"/>
    <w:rsid w:val="00912AB3"/>
    <w:rsid w:val="009201FF"/>
    <w:rsid w:val="00922563"/>
    <w:rsid w:val="00922895"/>
    <w:rsid w:val="009231AA"/>
    <w:rsid w:val="00926AA4"/>
    <w:rsid w:val="00926CEB"/>
    <w:rsid w:val="00933056"/>
    <w:rsid w:val="00933230"/>
    <w:rsid w:val="00936F5D"/>
    <w:rsid w:val="0094184E"/>
    <w:rsid w:val="0094435D"/>
    <w:rsid w:val="00944F9B"/>
    <w:rsid w:val="0095223A"/>
    <w:rsid w:val="00966064"/>
    <w:rsid w:val="00966F47"/>
    <w:rsid w:val="00967655"/>
    <w:rsid w:val="00975278"/>
    <w:rsid w:val="00975B24"/>
    <w:rsid w:val="00976BFE"/>
    <w:rsid w:val="009772DD"/>
    <w:rsid w:val="0098364C"/>
    <w:rsid w:val="009905F8"/>
    <w:rsid w:val="00992417"/>
    <w:rsid w:val="00994CE1"/>
    <w:rsid w:val="00996838"/>
    <w:rsid w:val="009A25F8"/>
    <w:rsid w:val="009A5269"/>
    <w:rsid w:val="009A7B80"/>
    <w:rsid w:val="009B0284"/>
    <w:rsid w:val="009B553F"/>
    <w:rsid w:val="009C75FA"/>
    <w:rsid w:val="009D32EF"/>
    <w:rsid w:val="009E0843"/>
    <w:rsid w:val="009F032B"/>
    <w:rsid w:val="009F16B9"/>
    <w:rsid w:val="009F30B6"/>
    <w:rsid w:val="009F3633"/>
    <w:rsid w:val="00A00850"/>
    <w:rsid w:val="00A04E64"/>
    <w:rsid w:val="00A11C57"/>
    <w:rsid w:val="00A15601"/>
    <w:rsid w:val="00A23362"/>
    <w:rsid w:val="00A2673C"/>
    <w:rsid w:val="00A32ED6"/>
    <w:rsid w:val="00A35EAC"/>
    <w:rsid w:val="00A37318"/>
    <w:rsid w:val="00A403E5"/>
    <w:rsid w:val="00A41609"/>
    <w:rsid w:val="00A42DEB"/>
    <w:rsid w:val="00A54CA9"/>
    <w:rsid w:val="00A54CF8"/>
    <w:rsid w:val="00A61A27"/>
    <w:rsid w:val="00A628A7"/>
    <w:rsid w:val="00A66BF2"/>
    <w:rsid w:val="00A70B53"/>
    <w:rsid w:val="00A7132C"/>
    <w:rsid w:val="00A7141A"/>
    <w:rsid w:val="00A746FF"/>
    <w:rsid w:val="00A76570"/>
    <w:rsid w:val="00A7751E"/>
    <w:rsid w:val="00A85509"/>
    <w:rsid w:val="00AA14CA"/>
    <w:rsid w:val="00AA6CD9"/>
    <w:rsid w:val="00AB0667"/>
    <w:rsid w:val="00AB08C1"/>
    <w:rsid w:val="00AB3BF3"/>
    <w:rsid w:val="00AB46F5"/>
    <w:rsid w:val="00AB6945"/>
    <w:rsid w:val="00AD18D6"/>
    <w:rsid w:val="00AD532F"/>
    <w:rsid w:val="00AD6A7D"/>
    <w:rsid w:val="00AE5510"/>
    <w:rsid w:val="00AF4DEF"/>
    <w:rsid w:val="00AF6A7D"/>
    <w:rsid w:val="00B01DBD"/>
    <w:rsid w:val="00B03E0C"/>
    <w:rsid w:val="00B0683F"/>
    <w:rsid w:val="00B0713A"/>
    <w:rsid w:val="00B1188E"/>
    <w:rsid w:val="00B2466B"/>
    <w:rsid w:val="00B24B19"/>
    <w:rsid w:val="00B37194"/>
    <w:rsid w:val="00B41DA3"/>
    <w:rsid w:val="00B45161"/>
    <w:rsid w:val="00B54830"/>
    <w:rsid w:val="00B67D0D"/>
    <w:rsid w:val="00B715DA"/>
    <w:rsid w:val="00B71742"/>
    <w:rsid w:val="00B7245B"/>
    <w:rsid w:val="00B74C3F"/>
    <w:rsid w:val="00B75D4E"/>
    <w:rsid w:val="00B824A0"/>
    <w:rsid w:val="00B82AD2"/>
    <w:rsid w:val="00B93F73"/>
    <w:rsid w:val="00B9408D"/>
    <w:rsid w:val="00B955EB"/>
    <w:rsid w:val="00BA02BB"/>
    <w:rsid w:val="00BA19DE"/>
    <w:rsid w:val="00BA39E6"/>
    <w:rsid w:val="00BACBE7"/>
    <w:rsid w:val="00BB658C"/>
    <w:rsid w:val="00BB7B9B"/>
    <w:rsid w:val="00BC1757"/>
    <w:rsid w:val="00BC20EC"/>
    <w:rsid w:val="00BC6575"/>
    <w:rsid w:val="00BC6BD2"/>
    <w:rsid w:val="00BC778B"/>
    <w:rsid w:val="00BD2B89"/>
    <w:rsid w:val="00BD48F7"/>
    <w:rsid w:val="00BD79FE"/>
    <w:rsid w:val="00BE0C09"/>
    <w:rsid w:val="00BE5682"/>
    <w:rsid w:val="00BE651D"/>
    <w:rsid w:val="00BE74F1"/>
    <w:rsid w:val="00BF44C5"/>
    <w:rsid w:val="00C02645"/>
    <w:rsid w:val="00C040CE"/>
    <w:rsid w:val="00C065E4"/>
    <w:rsid w:val="00C22B50"/>
    <w:rsid w:val="00C3570F"/>
    <w:rsid w:val="00C35D25"/>
    <w:rsid w:val="00C449FE"/>
    <w:rsid w:val="00C72B33"/>
    <w:rsid w:val="00C80416"/>
    <w:rsid w:val="00C82A2F"/>
    <w:rsid w:val="00C9169C"/>
    <w:rsid w:val="00C91821"/>
    <w:rsid w:val="00C95B18"/>
    <w:rsid w:val="00C977F5"/>
    <w:rsid w:val="00CA49BF"/>
    <w:rsid w:val="00CB048C"/>
    <w:rsid w:val="00CB67E6"/>
    <w:rsid w:val="00CB6FB5"/>
    <w:rsid w:val="00CB7906"/>
    <w:rsid w:val="00CD3075"/>
    <w:rsid w:val="00CD53F6"/>
    <w:rsid w:val="00CD731D"/>
    <w:rsid w:val="00CE0276"/>
    <w:rsid w:val="00CE799A"/>
    <w:rsid w:val="00CF6C17"/>
    <w:rsid w:val="00D031D7"/>
    <w:rsid w:val="00D04BED"/>
    <w:rsid w:val="00D070C2"/>
    <w:rsid w:val="00D1716F"/>
    <w:rsid w:val="00D20634"/>
    <w:rsid w:val="00D235FF"/>
    <w:rsid w:val="00D32B18"/>
    <w:rsid w:val="00D3481B"/>
    <w:rsid w:val="00D3709C"/>
    <w:rsid w:val="00D4754E"/>
    <w:rsid w:val="00D56EF8"/>
    <w:rsid w:val="00D678F2"/>
    <w:rsid w:val="00D73554"/>
    <w:rsid w:val="00D8016F"/>
    <w:rsid w:val="00D9207E"/>
    <w:rsid w:val="00D922F6"/>
    <w:rsid w:val="00D92ABA"/>
    <w:rsid w:val="00D92FA7"/>
    <w:rsid w:val="00D97F9D"/>
    <w:rsid w:val="00DA02FF"/>
    <w:rsid w:val="00DA59E1"/>
    <w:rsid w:val="00DB0FCB"/>
    <w:rsid w:val="00DB5D6C"/>
    <w:rsid w:val="00DC2DCF"/>
    <w:rsid w:val="00DC32D4"/>
    <w:rsid w:val="00DD1871"/>
    <w:rsid w:val="00DD5577"/>
    <w:rsid w:val="00DD565D"/>
    <w:rsid w:val="00DF5451"/>
    <w:rsid w:val="00E24EA9"/>
    <w:rsid w:val="00E27F79"/>
    <w:rsid w:val="00E3636A"/>
    <w:rsid w:val="00E4263D"/>
    <w:rsid w:val="00E42F02"/>
    <w:rsid w:val="00E452C9"/>
    <w:rsid w:val="00E5091E"/>
    <w:rsid w:val="00E52E43"/>
    <w:rsid w:val="00E53C20"/>
    <w:rsid w:val="00E60A7E"/>
    <w:rsid w:val="00E76ECD"/>
    <w:rsid w:val="00E816CA"/>
    <w:rsid w:val="00E82799"/>
    <w:rsid w:val="00E92AF1"/>
    <w:rsid w:val="00E97CA7"/>
    <w:rsid w:val="00EA3369"/>
    <w:rsid w:val="00EB057E"/>
    <w:rsid w:val="00EB209B"/>
    <w:rsid w:val="00EB3015"/>
    <w:rsid w:val="00EB6D51"/>
    <w:rsid w:val="00EC4747"/>
    <w:rsid w:val="00ED2336"/>
    <w:rsid w:val="00ED46F2"/>
    <w:rsid w:val="00EE24EF"/>
    <w:rsid w:val="00EE5FDD"/>
    <w:rsid w:val="00EE6110"/>
    <w:rsid w:val="00EE6BBF"/>
    <w:rsid w:val="00EE6F08"/>
    <w:rsid w:val="00EF5430"/>
    <w:rsid w:val="00F06DC8"/>
    <w:rsid w:val="00F10AFF"/>
    <w:rsid w:val="00F15512"/>
    <w:rsid w:val="00F15B9B"/>
    <w:rsid w:val="00F20432"/>
    <w:rsid w:val="00F22886"/>
    <w:rsid w:val="00F27F37"/>
    <w:rsid w:val="00F33BB2"/>
    <w:rsid w:val="00F4599E"/>
    <w:rsid w:val="00F52D49"/>
    <w:rsid w:val="00F55BFB"/>
    <w:rsid w:val="00F5648C"/>
    <w:rsid w:val="00F6237B"/>
    <w:rsid w:val="00F62412"/>
    <w:rsid w:val="00F626E3"/>
    <w:rsid w:val="00F62706"/>
    <w:rsid w:val="00F77628"/>
    <w:rsid w:val="00F832FA"/>
    <w:rsid w:val="00F93B74"/>
    <w:rsid w:val="00FA03AB"/>
    <w:rsid w:val="00FA6939"/>
    <w:rsid w:val="00FB5D8A"/>
    <w:rsid w:val="00FC17CF"/>
    <w:rsid w:val="00FC4BC8"/>
    <w:rsid w:val="00FC537D"/>
    <w:rsid w:val="00FD0619"/>
    <w:rsid w:val="00FD0EE7"/>
    <w:rsid w:val="00FD3B17"/>
    <w:rsid w:val="00FD5EED"/>
    <w:rsid w:val="00FE1A83"/>
    <w:rsid w:val="00FE20EB"/>
    <w:rsid w:val="00FF207B"/>
    <w:rsid w:val="00FF5C01"/>
    <w:rsid w:val="0116C52F"/>
    <w:rsid w:val="01419297"/>
    <w:rsid w:val="019411E4"/>
    <w:rsid w:val="02B494CC"/>
    <w:rsid w:val="04F08E2A"/>
    <w:rsid w:val="058E3D0A"/>
    <w:rsid w:val="060C7A26"/>
    <w:rsid w:val="06662B73"/>
    <w:rsid w:val="0672FAD6"/>
    <w:rsid w:val="06A42663"/>
    <w:rsid w:val="06F6C894"/>
    <w:rsid w:val="07542157"/>
    <w:rsid w:val="075C68BD"/>
    <w:rsid w:val="082341CF"/>
    <w:rsid w:val="086DE95E"/>
    <w:rsid w:val="08EFF1B8"/>
    <w:rsid w:val="08F8932D"/>
    <w:rsid w:val="0A70816E"/>
    <w:rsid w:val="0A8BC219"/>
    <w:rsid w:val="0C3A88F2"/>
    <w:rsid w:val="0C9C1FB9"/>
    <w:rsid w:val="0D68BAEC"/>
    <w:rsid w:val="0EB15890"/>
    <w:rsid w:val="0EB6E836"/>
    <w:rsid w:val="0F5F333C"/>
    <w:rsid w:val="0FFBFD3A"/>
    <w:rsid w:val="10A244C1"/>
    <w:rsid w:val="10F26F89"/>
    <w:rsid w:val="11F0224D"/>
    <w:rsid w:val="12797DBC"/>
    <w:rsid w:val="1451A306"/>
    <w:rsid w:val="14825F90"/>
    <w:rsid w:val="14D0034C"/>
    <w:rsid w:val="155EFAF8"/>
    <w:rsid w:val="156B71FE"/>
    <w:rsid w:val="166A8ECD"/>
    <w:rsid w:val="1697D20C"/>
    <w:rsid w:val="170C0038"/>
    <w:rsid w:val="1890FB26"/>
    <w:rsid w:val="19410C7C"/>
    <w:rsid w:val="197F89C9"/>
    <w:rsid w:val="1A05CBA7"/>
    <w:rsid w:val="1B54011F"/>
    <w:rsid w:val="1BE34BD2"/>
    <w:rsid w:val="1C87200B"/>
    <w:rsid w:val="1CCA0A66"/>
    <w:rsid w:val="1D7F1C33"/>
    <w:rsid w:val="1D81BAC1"/>
    <w:rsid w:val="1DB7603F"/>
    <w:rsid w:val="1E0B0739"/>
    <w:rsid w:val="1E2A0B4E"/>
    <w:rsid w:val="1EBD6F87"/>
    <w:rsid w:val="1F218ED4"/>
    <w:rsid w:val="202BD502"/>
    <w:rsid w:val="20B45A86"/>
    <w:rsid w:val="217E9F8D"/>
    <w:rsid w:val="21A3C964"/>
    <w:rsid w:val="21F51049"/>
    <w:rsid w:val="2354BD94"/>
    <w:rsid w:val="236F523E"/>
    <w:rsid w:val="2390E0AA"/>
    <w:rsid w:val="25352ECA"/>
    <w:rsid w:val="25421E39"/>
    <w:rsid w:val="2588E8D0"/>
    <w:rsid w:val="25DFFA3C"/>
    <w:rsid w:val="25E10F06"/>
    <w:rsid w:val="274210A4"/>
    <w:rsid w:val="2787BFBD"/>
    <w:rsid w:val="27C14C50"/>
    <w:rsid w:val="27E55477"/>
    <w:rsid w:val="281F1F84"/>
    <w:rsid w:val="282C3F0F"/>
    <w:rsid w:val="291B76C5"/>
    <w:rsid w:val="2A0D68F7"/>
    <w:rsid w:val="2A163DA2"/>
    <w:rsid w:val="2A596AF5"/>
    <w:rsid w:val="2A6290CA"/>
    <w:rsid w:val="2AEA593D"/>
    <w:rsid w:val="2B2A111F"/>
    <w:rsid w:val="2B7B5FC0"/>
    <w:rsid w:val="2C24E68D"/>
    <w:rsid w:val="2D173021"/>
    <w:rsid w:val="2EE553F5"/>
    <w:rsid w:val="2F3F6FCB"/>
    <w:rsid w:val="2FABF303"/>
    <w:rsid w:val="2FDA8470"/>
    <w:rsid w:val="317E1440"/>
    <w:rsid w:val="321B72F2"/>
    <w:rsid w:val="325710A7"/>
    <w:rsid w:val="32C1A743"/>
    <w:rsid w:val="338CB1AB"/>
    <w:rsid w:val="33A52B4E"/>
    <w:rsid w:val="33B7A3B6"/>
    <w:rsid w:val="33DA00B2"/>
    <w:rsid w:val="3405BE9E"/>
    <w:rsid w:val="35224206"/>
    <w:rsid w:val="36562496"/>
    <w:rsid w:val="368852F0"/>
    <w:rsid w:val="373DCF4F"/>
    <w:rsid w:val="37636BA8"/>
    <w:rsid w:val="37850D53"/>
    <w:rsid w:val="3796E695"/>
    <w:rsid w:val="39053622"/>
    <w:rsid w:val="39289765"/>
    <w:rsid w:val="39452E0A"/>
    <w:rsid w:val="3955102D"/>
    <w:rsid w:val="396BFFC2"/>
    <w:rsid w:val="3975751F"/>
    <w:rsid w:val="3A16D9E8"/>
    <w:rsid w:val="3B03F9DD"/>
    <w:rsid w:val="3B800500"/>
    <w:rsid w:val="3C267247"/>
    <w:rsid w:val="3C6AB732"/>
    <w:rsid w:val="3C9B0245"/>
    <w:rsid w:val="3CF20EC7"/>
    <w:rsid w:val="3D3C289D"/>
    <w:rsid w:val="3DDD8B4D"/>
    <w:rsid w:val="3E288150"/>
    <w:rsid w:val="3E354B50"/>
    <w:rsid w:val="3EB0AB40"/>
    <w:rsid w:val="3ED14E40"/>
    <w:rsid w:val="3FA0FD00"/>
    <w:rsid w:val="40699ACD"/>
    <w:rsid w:val="4097D49D"/>
    <w:rsid w:val="41639E55"/>
    <w:rsid w:val="41825773"/>
    <w:rsid w:val="43059A9F"/>
    <w:rsid w:val="45307711"/>
    <w:rsid w:val="458BBCDE"/>
    <w:rsid w:val="4606FC19"/>
    <w:rsid w:val="464A00A1"/>
    <w:rsid w:val="46ED3655"/>
    <w:rsid w:val="46FA43F8"/>
    <w:rsid w:val="4702A23B"/>
    <w:rsid w:val="485B6720"/>
    <w:rsid w:val="490D56A6"/>
    <w:rsid w:val="49179E24"/>
    <w:rsid w:val="493FBF45"/>
    <w:rsid w:val="495CA4A6"/>
    <w:rsid w:val="495F1269"/>
    <w:rsid w:val="498915F1"/>
    <w:rsid w:val="4A487672"/>
    <w:rsid w:val="4ADB8FA6"/>
    <w:rsid w:val="4AE67189"/>
    <w:rsid w:val="4AEDDBFB"/>
    <w:rsid w:val="4B652C08"/>
    <w:rsid w:val="4B99058F"/>
    <w:rsid w:val="4BE68FB9"/>
    <w:rsid w:val="4C2F6243"/>
    <w:rsid w:val="4C3C9C6B"/>
    <w:rsid w:val="4D6EAFDA"/>
    <w:rsid w:val="4E7E0449"/>
    <w:rsid w:val="4ED6040E"/>
    <w:rsid w:val="4FFD509C"/>
    <w:rsid w:val="501F495E"/>
    <w:rsid w:val="50367F03"/>
    <w:rsid w:val="505D6931"/>
    <w:rsid w:val="5088D211"/>
    <w:rsid w:val="5095AC32"/>
    <w:rsid w:val="515D7E4E"/>
    <w:rsid w:val="52233FB8"/>
    <w:rsid w:val="5294A39E"/>
    <w:rsid w:val="52D85B11"/>
    <w:rsid w:val="535E5873"/>
    <w:rsid w:val="536B4216"/>
    <w:rsid w:val="545DD0EB"/>
    <w:rsid w:val="546497B3"/>
    <w:rsid w:val="55246E26"/>
    <w:rsid w:val="55318FBF"/>
    <w:rsid w:val="55DE438C"/>
    <w:rsid w:val="57ABCC34"/>
    <w:rsid w:val="57C29C78"/>
    <w:rsid w:val="57E5F1AD"/>
    <w:rsid w:val="5812AE3F"/>
    <w:rsid w:val="5884DD52"/>
    <w:rsid w:val="596F7013"/>
    <w:rsid w:val="5995E361"/>
    <w:rsid w:val="59F2BB71"/>
    <w:rsid w:val="5AE36CF6"/>
    <w:rsid w:val="5B26D04E"/>
    <w:rsid w:val="5B352125"/>
    <w:rsid w:val="5C723C42"/>
    <w:rsid w:val="5CB165D8"/>
    <w:rsid w:val="5D184499"/>
    <w:rsid w:val="5D71E967"/>
    <w:rsid w:val="5D90DA34"/>
    <w:rsid w:val="5E377C01"/>
    <w:rsid w:val="5F1F891F"/>
    <w:rsid w:val="61122C67"/>
    <w:rsid w:val="61266E28"/>
    <w:rsid w:val="613AC19A"/>
    <w:rsid w:val="614BDEF3"/>
    <w:rsid w:val="6184D6FB"/>
    <w:rsid w:val="61C2E32D"/>
    <w:rsid w:val="61DB7ADD"/>
    <w:rsid w:val="6214C389"/>
    <w:rsid w:val="62175D02"/>
    <w:rsid w:val="6223FBBF"/>
    <w:rsid w:val="62A0DF97"/>
    <w:rsid w:val="6304B2DB"/>
    <w:rsid w:val="63183F94"/>
    <w:rsid w:val="6322B257"/>
    <w:rsid w:val="64E52C89"/>
    <w:rsid w:val="65413A9C"/>
    <w:rsid w:val="6543C39C"/>
    <w:rsid w:val="65A39211"/>
    <w:rsid w:val="65E646C6"/>
    <w:rsid w:val="67239F3D"/>
    <w:rsid w:val="67E6EF16"/>
    <w:rsid w:val="67FAA5F3"/>
    <w:rsid w:val="686F7055"/>
    <w:rsid w:val="68C850CF"/>
    <w:rsid w:val="68E29D73"/>
    <w:rsid w:val="6963CA0B"/>
    <w:rsid w:val="6965ADE5"/>
    <w:rsid w:val="69E9637B"/>
    <w:rsid w:val="6A105ECB"/>
    <w:rsid w:val="6A2A150E"/>
    <w:rsid w:val="6A2F0DA4"/>
    <w:rsid w:val="6A5E06FC"/>
    <w:rsid w:val="6D7C71AB"/>
    <w:rsid w:val="6DAA8C49"/>
    <w:rsid w:val="6E51EC16"/>
    <w:rsid w:val="6EF950EB"/>
    <w:rsid w:val="6F25B4AD"/>
    <w:rsid w:val="700D9420"/>
    <w:rsid w:val="708BFB68"/>
    <w:rsid w:val="715185AE"/>
    <w:rsid w:val="715FCB99"/>
    <w:rsid w:val="722B06C0"/>
    <w:rsid w:val="7296F56F"/>
    <w:rsid w:val="7402EC30"/>
    <w:rsid w:val="743971B6"/>
    <w:rsid w:val="74805B38"/>
    <w:rsid w:val="74C5028A"/>
    <w:rsid w:val="75337ABD"/>
    <w:rsid w:val="7533C7FC"/>
    <w:rsid w:val="75392164"/>
    <w:rsid w:val="75DD4977"/>
    <w:rsid w:val="77E0F41E"/>
    <w:rsid w:val="78398468"/>
    <w:rsid w:val="78937F14"/>
    <w:rsid w:val="79BC4DE3"/>
    <w:rsid w:val="7B891FA2"/>
    <w:rsid w:val="7BA31729"/>
    <w:rsid w:val="7BEA6ACF"/>
    <w:rsid w:val="7C7244C0"/>
    <w:rsid w:val="7CCE3FD6"/>
    <w:rsid w:val="7DBE09AD"/>
    <w:rsid w:val="7DF88A8A"/>
    <w:rsid w:val="7E0E1521"/>
    <w:rsid w:val="7ED43759"/>
    <w:rsid w:val="7EFA96C2"/>
    <w:rsid w:val="7F1588BA"/>
    <w:rsid w:val="7F28C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F9FB3F"/>
  <w15:chartTrackingRefBased/>
  <w15:docId w15:val="{08828B8E-D639-48C5-A0E5-5DAB948B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03E5"/>
    <w:pPr>
      <w:spacing w:after="120" w:line="240" w:lineRule="auto"/>
    </w:pPr>
    <w:rPr>
      <w:color w:val="404040" w:themeColor="text1" w:themeTint="BF"/>
    </w:rPr>
  </w:style>
  <w:style w:type="paragraph" w:styleId="Heading1">
    <w:name w:val="heading 1"/>
    <w:basedOn w:val="BodyText"/>
    <w:next w:val="BodyText"/>
    <w:link w:val="Heading1Char"/>
    <w:qFormat/>
    <w:rsid w:val="002B18AB"/>
    <w:pPr>
      <w:keepNext/>
      <w:numPr>
        <w:numId w:val="6"/>
      </w:numPr>
      <w:spacing w:before="240"/>
      <w:outlineLvl w:val="0"/>
    </w:pPr>
    <w:rPr>
      <w:rFonts w:ascii="Tahoma" w:hAnsi="Tahoma"/>
      <w:bCs w:val="0"/>
      <w:color w:val="1F3864" w:themeColor="accent1" w:themeShade="80"/>
      <w:sz w:val="32"/>
    </w:rPr>
  </w:style>
  <w:style w:type="paragraph" w:styleId="Heading2">
    <w:name w:val="heading 2"/>
    <w:basedOn w:val="BodyText"/>
    <w:next w:val="BodyText"/>
    <w:link w:val="Heading2Char"/>
    <w:qFormat/>
    <w:rsid w:val="002B18AB"/>
    <w:pPr>
      <w:keepNext/>
      <w:numPr>
        <w:ilvl w:val="1"/>
        <w:numId w:val="6"/>
      </w:numPr>
      <w:spacing w:before="240"/>
      <w:ind w:left="113"/>
      <w:outlineLvl w:val="1"/>
    </w:pPr>
    <w:rPr>
      <w:rFonts w:ascii="Tahoma" w:hAnsi="Tahoma"/>
      <w:bCs w:val="0"/>
      <w:iCs/>
      <w:color w:val="1F3864" w:themeColor="accent1" w:themeShade="80"/>
      <w:sz w:val="28"/>
    </w:rPr>
  </w:style>
  <w:style w:type="paragraph" w:styleId="Heading3">
    <w:name w:val="heading 3"/>
    <w:basedOn w:val="BodyText"/>
    <w:next w:val="BodyText"/>
    <w:link w:val="Heading3Char"/>
    <w:qFormat/>
    <w:rsid w:val="002B18AB"/>
    <w:pPr>
      <w:keepNext/>
      <w:numPr>
        <w:ilvl w:val="2"/>
        <w:numId w:val="6"/>
      </w:numPr>
      <w:spacing w:before="200"/>
      <w:ind w:left="227"/>
      <w:outlineLvl w:val="2"/>
    </w:pPr>
    <w:rPr>
      <w:rFonts w:ascii="Tahoma" w:hAnsi="Tahoma"/>
      <w:bCs w:val="0"/>
      <w:color w:val="038387"/>
      <w:sz w:val="24"/>
    </w:rPr>
  </w:style>
  <w:style w:type="paragraph" w:styleId="Heading4">
    <w:name w:val="heading 4"/>
    <w:basedOn w:val="BodyText"/>
    <w:next w:val="BodyText"/>
    <w:link w:val="Heading4Char"/>
    <w:qFormat/>
    <w:rsid w:val="002B18AB"/>
    <w:pPr>
      <w:keepNext/>
      <w:numPr>
        <w:ilvl w:val="3"/>
        <w:numId w:val="6"/>
      </w:numPr>
      <w:spacing w:before="120"/>
      <w:ind w:left="340"/>
      <w:outlineLvl w:val="3"/>
    </w:pPr>
    <w:rPr>
      <w:rFonts w:ascii="Tahoma" w:hAnsi="Tahoma"/>
      <w:color w:val="1F3864" w:themeColor="accent1" w:themeShade="80"/>
    </w:rPr>
  </w:style>
  <w:style w:type="paragraph" w:styleId="Heading5">
    <w:name w:val="heading 5"/>
    <w:basedOn w:val="BodyText"/>
    <w:next w:val="BodyText"/>
    <w:link w:val="Heading5Char"/>
    <w:qFormat/>
    <w:rsid w:val="002B18AB"/>
    <w:pPr>
      <w:keepNext/>
      <w:numPr>
        <w:ilvl w:val="4"/>
        <w:numId w:val="6"/>
      </w:numPr>
      <w:spacing w:before="120"/>
      <w:ind w:left="3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3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367"/>
  </w:style>
  <w:style w:type="paragraph" w:styleId="Footer">
    <w:name w:val="footer"/>
    <w:basedOn w:val="Normal"/>
    <w:link w:val="FooterChar"/>
    <w:uiPriority w:val="99"/>
    <w:unhideWhenUsed/>
    <w:rsid w:val="006F33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367"/>
  </w:style>
  <w:style w:type="paragraph" w:styleId="BalloonText">
    <w:name w:val="Balloon Text"/>
    <w:basedOn w:val="Normal"/>
    <w:link w:val="BalloonTextChar"/>
    <w:uiPriority w:val="99"/>
    <w:semiHidden/>
    <w:unhideWhenUsed/>
    <w:rsid w:val="006F33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2"/>
    <w:unhideWhenUsed/>
    <w:rsid w:val="006F3367"/>
    <w:pPr>
      <w:spacing w:before="360" w:after="360" w:line="312" w:lineRule="auto"/>
    </w:pPr>
    <w:rPr>
      <w:rFonts w:eastAsiaTheme="minorEastAsia"/>
      <w:iCs/>
      <w:color w:val="50637D" w:themeColor="text2" w:themeTint="E6"/>
      <w:sz w:val="28"/>
      <w:lang w:val="en-US" w:eastAsia="ja-JP"/>
    </w:rPr>
  </w:style>
  <w:style w:type="table" w:styleId="PlainTable4">
    <w:name w:val="Plain Table 4"/>
    <w:basedOn w:val="TableNormal"/>
    <w:uiPriority w:val="44"/>
    <w:rsid w:val="006F3367"/>
    <w:pPr>
      <w:spacing w:after="0" w:line="240" w:lineRule="auto"/>
    </w:pPr>
    <w:rPr>
      <w:color w:val="44546A" w:themeColor="text2"/>
      <w:lang w:val="en-US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odernPaper">
    <w:name w:val="Modern Paper"/>
    <w:basedOn w:val="TableNormal"/>
    <w:uiPriority w:val="99"/>
    <w:rsid w:val="00773E40"/>
    <w:pPr>
      <w:spacing w:before="200" w:after="200" w:line="240" w:lineRule="auto"/>
    </w:pPr>
    <w:rPr>
      <w:color w:val="44546A"/>
      <w:lang w:val="en-US" w:eastAsia="ja-JP"/>
    </w:rPr>
    <w:tblPr>
      <w:tblBorders>
        <w:insideH w:val="single" w:sz="8" w:space="0" w:color="44546A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="@NSimSun" w:hAnsi="@NSimSun"/>
        <w:b/>
        <w:i w:val="0"/>
        <w:color w:val="01182F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44546A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paragraph" w:styleId="ListParagraph">
    <w:name w:val="List Paragraph"/>
    <w:aliases w:val="Rec para,List Paragraph1,List Paragraph11"/>
    <w:basedOn w:val="Normal"/>
    <w:link w:val="ListParagraphChar"/>
    <w:uiPriority w:val="34"/>
    <w:qFormat/>
    <w:rsid w:val="006F07F1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2B18AB"/>
    <w:pPr>
      <w:spacing w:line="288" w:lineRule="auto"/>
    </w:pPr>
    <w:rPr>
      <w:rFonts w:ascii="Calibri" w:eastAsia="Times New Roman" w:hAnsi="Calibri" w:cs="Arial"/>
      <w:b/>
      <w:bCs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2B18AB"/>
    <w:rPr>
      <w:rFonts w:ascii="Calibri" w:eastAsia="Times New Roman" w:hAnsi="Calibri" w:cs="Arial"/>
      <w:b/>
      <w:bCs/>
      <w:color w:val="404040" w:themeColor="text1" w:themeTint="BF"/>
      <w:szCs w:val="20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F07F1"/>
    <w:pPr>
      <w:spacing w:after="0" w:line="200" w:lineRule="exact"/>
    </w:pPr>
    <w:rPr>
      <w:rFonts w:ascii="Arial" w:eastAsia="Times New Roman" w:hAnsi="Arial" w:cs="Arial"/>
      <w:sz w:val="17"/>
      <w:szCs w:val="17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07F1"/>
    <w:rPr>
      <w:rFonts w:ascii="Arial" w:eastAsia="Times New Roman" w:hAnsi="Arial" w:cs="Arial"/>
      <w:sz w:val="17"/>
      <w:szCs w:val="17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F07F1"/>
    <w:rPr>
      <w:rFonts w:ascii="Arial" w:hAnsi="Arial"/>
      <w:vertAlign w:val="superscript"/>
    </w:rPr>
  </w:style>
  <w:style w:type="character" w:styleId="Hyperlink">
    <w:name w:val="Hyperlink"/>
    <w:qFormat/>
    <w:rsid w:val="00B54830"/>
    <w:rPr>
      <w:color w:val="038387"/>
      <w:u w:val="single"/>
    </w:rPr>
  </w:style>
  <w:style w:type="paragraph" w:styleId="NormalWeb">
    <w:name w:val="Normal (Web)"/>
    <w:basedOn w:val="Normal"/>
    <w:uiPriority w:val="99"/>
    <w:unhideWhenUsed/>
    <w:rsid w:val="006F07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rsid w:val="002B18AB"/>
    <w:rPr>
      <w:rFonts w:ascii="Tahoma" w:eastAsia="Times New Roman" w:hAnsi="Tahoma" w:cs="Arial"/>
      <w:b/>
      <w:color w:val="1F3864" w:themeColor="accent1" w:themeShade="80"/>
      <w:sz w:val="32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2B18AB"/>
    <w:rPr>
      <w:rFonts w:ascii="Tahoma" w:eastAsia="Times New Roman" w:hAnsi="Tahoma" w:cs="Arial"/>
      <w:b/>
      <w:iCs/>
      <w:color w:val="1F3864" w:themeColor="accent1" w:themeShade="80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2B18AB"/>
    <w:rPr>
      <w:rFonts w:ascii="Tahoma" w:eastAsia="Times New Roman" w:hAnsi="Tahoma" w:cs="Arial"/>
      <w:b/>
      <w:color w:val="038387"/>
      <w:sz w:val="24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2B18AB"/>
    <w:rPr>
      <w:rFonts w:ascii="Tahoma" w:eastAsia="Times New Roman" w:hAnsi="Tahoma" w:cs="Arial"/>
      <w:b/>
      <w:bCs/>
      <w:color w:val="1F3864" w:themeColor="accent1" w:themeShade="80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2B18AB"/>
    <w:rPr>
      <w:rFonts w:ascii="Calibri" w:eastAsia="Times New Roman" w:hAnsi="Calibri" w:cs="Arial"/>
      <w:b/>
      <w:bCs/>
      <w:color w:val="404040" w:themeColor="text1" w:themeTint="BF"/>
      <w:szCs w:val="20"/>
      <w:lang w:val="en-US" w:eastAsia="en-GB"/>
    </w:rPr>
  </w:style>
  <w:style w:type="numbering" w:customStyle="1" w:styleId="MSIHeadingsList">
    <w:name w:val="MSI Headings List"/>
    <w:basedOn w:val="NoList"/>
    <w:uiPriority w:val="99"/>
    <w:rsid w:val="00B82AD2"/>
    <w:pPr>
      <w:numPr>
        <w:numId w:val="6"/>
      </w:numPr>
    </w:pPr>
  </w:style>
  <w:style w:type="numbering" w:customStyle="1" w:styleId="MSIHeadingsList1">
    <w:name w:val="MSI Headings List1"/>
    <w:basedOn w:val="NoList"/>
    <w:uiPriority w:val="99"/>
    <w:rsid w:val="005B1BE5"/>
  </w:style>
  <w:style w:type="character" w:styleId="PlaceholderText">
    <w:name w:val="Placeholder Text"/>
    <w:basedOn w:val="DefaultParagraphFont"/>
    <w:uiPriority w:val="99"/>
    <w:semiHidden/>
    <w:rsid w:val="00BE74F1"/>
    <w:rPr>
      <w:color w:val="808080"/>
    </w:rPr>
  </w:style>
  <w:style w:type="table" w:customStyle="1" w:styleId="TableGrid1">
    <w:name w:val="Table Grid1"/>
    <w:basedOn w:val="TableNormal"/>
    <w:next w:val="TableGrid"/>
    <w:rsid w:val="00314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4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D15"/>
    <w:rPr>
      <w:b/>
      <w:bCs/>
      <w:sz w:val="20"/>
      <w:szCs w:val="20"/>
    </w:rPr>
  </w:style>
  <w:style w:type="paragraph" w:customStyle="1" w:styleId="STAStyle">
    <w:name w:val="STA Style"/>
    <w:basedOn w:val="Heading1"/>
    <w:link w:val="STAStyleChar"/>
    <w:semiHidden/>
    <w:rsid w:val="00495B8A"/>
    <w:pPr>
      <w:spacing w:before="0"/>
    </w:pPr>
    <w:rPr>
      <w:rFonts w:eastAsiaTheme="minorHAnsi" w:cstheme="minorHAnsi"/>
      <w:sz w:val="26"/>
      <w:szCs w:val="22"/>
      <w:lang w:eastAsia="en-US"/>
    </w:rPr>
  </w:style>
  <w:style w:type="character" w:customStyle="1" w:styleId="STAStyleChar">
    <w:name w:val="STA Style Char"/>
    <w:basedOn w:val="BodyTextChar"/>
    <w:link w:val="STAStyle"/>
    <w:semiHidden/>
    <w:rsid w:val="0082389B"/>
    <w:rPr>
      <w:rFonts w:ascii="Tahoma" w:eastAsia="Times New Roman" w:hAnsi="Tahoma" w:cstheme="minorHAnsi"/>
      <w:b w:val="0"/>
      <w:bCs w:val="0"/>
      <w:color w:val="1F3864" w:themeColor="accent1" w:themeShade="80"/>
      <w:sz w:val="26"/>
      <w:szCs w:val="20"/>
      <w:lang w:val="en-US" w:eastAsia="en-GB"/>
    </w:rPr>
  </w:style>
  <w:style w:type="paragraph" w:styleId="NoSpacing">
    <w:name w:val="No Spacing"/>
    <w:autoRedefine/>
    <w:uiPriority w:val="1"/>
    <w:rsid w:val="007F591F"/>
    <w:pPr>
      <w:spacing w:after="0" w:line="240" w:lineRule="auto"/>
    </w:pPr>
    <w:rPr>
      <w:color w:val="404040" w:themeColor="text1" w:themeTint="BF"/>
    </w:rPr>
  </w:style>
  <w:style w:type="paragraph" w:styleId="Title">
    <w:name w:val="Title"/>
    <w:aliases w:val="Doc Title"/>
    <w:basedOn w:val="Normal"/>
    <w:next w:val="Normal"/>
    <w:link w:val="TitleChar"/>
    <w:autoRedefine/>
    <w:uiPriority w:val="10"/>
    <w:rsid w:val="002B18AB"/>
    <w:pPr>
      <w:spacing w:after="240"/>
      <w:contextualSpacing/>
      <w:jc w:val="center"/>
    </w:pPr>
    <w:rPr>
      <w:rFonts w:ascii="Tahoma" w:eastAsiaTheme="majorEastAsia" w:hAnsi="Tahoma" w:cstheme="majorBidi"/>
      <w:b/>
      <w:color w:val="1F3864" w:themeColor="accent1" w:themeShade="80"/>
      <w:spacing w:val="-10"/>
      <w:kern w:val="28"/>
      <w:sz w:val="40"/>
      <w:szCs w:val="56"/>
      <w:lang w:val="en-US" w:eastAsia="ja-JP"/>
    </w:rPr>
  </w:style>
  <w:style w:type="character" w:customStyle="1" w:styleId="TitleChar">
    <w:name w:val="Title Char"/>
    <w:aliases w:val="Doc Title Char"/>
    <w:basedOn w:val="DefaultParagraphFont"/>
    <w:link w:val="Title"/>
    <w:uiPriority w:val="10"/>
    <w:rsid w:val="002B18AB"/>
    <w:rPr>
      <w:rFonts w:ascii="Tahoma" w:eastAsiaTheme="majorEastAsia" w:hAnsi="Tahoma" w:cstheme="majorBidi"/>
      <w:b/>
      <w:color w:val="1F3864" w:themeColor="accent1" w:themeShade="80"/>
      <w:spacing w:val="-10"/>
      <w:kern w:val="28"/>
      <w:sz w:val="40"/>
      <w:szCs w:val="56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7F591F"/>
    <w:pPr>
      <w:numPr>
        <w:ilvl w:val="1"/>
      </w:numPr>
      <w:spacing w:after="160"/>
    </w:pPr>
    <w:rPr>
      <w:rFonts w:ascii="Tahoma" w:eastAsiaTheme="minorEastAsia" w:hAnsi="Tahom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591F"/>
    <w:rPr>
      <w:rFonts w:ascii="Tahoma" w:eastAsiaTheme="minorEastAsia" w:hAnsi="Tahom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B5483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B54830"/>
    <w:rPr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rsid w:val="00B54830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48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5483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B54830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B54830"/>
    <w:rPr>
      <w:b/>
      <w:bCs/>
      <w:smallCaps/>
      <w:color w:val="038387"/>
      <w:spacing w:val="5"/>
    </w:rPr>
  </w:style>
  <w:style w:type="paragraph" w:customStyle="1" w:styleId="BodyNewInfo">
    <w:name w:val="Body New Info"/>
    <w:basedOn w:val="BodyText"/>
    <w:link w:val="BodyNewInfoChar"/>
    <w:autoRedefine/>
    <w:rsid w:val="00B54830"/>
    <w:rPr>
      <w:color w:val="C00000"/>
    </w:rPr>
  </w:style>
  <w:style w:type="character" w:styleId="UnresolvedMention">
    <w:name w:val="Unresolved Mention"/>
    <w:basedOn w:val="DefaultParagraphFont"/>
    <w:uiPriority w:val="99"/>
    <w:unhideWhenUsed/>
    <w:rsid w:val="00B54830"/>
    <w:rPr>
      <w:color w:val="605E5C"/>
      <w:shd w:val="clear" w:color="auto" w:fill="E1DFDD"/>
    </w:rPr>
  </w:style>
  <w:style w:type="character" w:customStyle="1" w:styleId="BodyNewInfoChar">
    <w:name w:val="Body New Info Char"/>
    <w:basedOn w:val="BodyTextChar"/>
    <w:link w:val="BodyNewInfo"/>
    <w:rsid w:val="005E7E3C"/>
    <w:rPr>
      <w:rFonts w:ascii="Calibri" w:eastAsia="Times New Roman" w:hAnsi="Calibri" w:cs="Arial"/>
      <w:b/>
      <w:bCs/>
      <w:color w:val="C00000"/>
      <w:szCs w:val="20"/>
      <w:lang w:val="en-US" w:eastAsia="en-GB"/>
    </w:rPr>
  </w:style>
  <w:style w:type="paragraph" w:customStyle="1" w:styleId="SubTitle0">
    <w:name w:val="Sub Title"/>
    <w:basedOn w:val="Title"/>
    <w:link w:val="SubTitleChar0"/>
    <w:autoRedefine/>
    <w:uiPriority w:val="1"/>
    <w:rsid w:val="00FC537D"/>
    <w:pPr>
      <w:jc w:val="left"/>
    </w:pPr>
    <w:rPr>
      <w:color w:val="038387"/>
    </w:rPr>
  </w:style>
  <w:style w:type="paragraph" w:customStyle="1" w:styleId="SummaryPoints">
    <w:name w:val="Summary Points"/>
    <w:basedOn w:val="Heading1"/>
    <w:link w:val="SummaryPointsChar"/>
    <w:autoRedefine/>
    <w:rsid w:val="005E7E3C"/>
    <w:pPr>
      <w:numPr>
        <w:numId w:val="0"/>
      </w:numPr>
      <w:spacing w:before="120"/>
      <w:ind w:right="397"/>
    </w:pPr>
    <w:rPr>
      <w:lang w:val="en-NZ"/>
    </w:rPr>
  </w:style>
  <w:style w:type="character" w:customStyle="1" w:styleId="SubTitleChar0">
    <w:name w:val="Sub Title Char"/>
    <w:basedOn w:val="TitleChar"/>
    <w:link w:val="SubTitle0"/>
    <w:uiPriority w:val="1"/>
    <w:rsid w:val="005E7E3C"/>
    <w:rPr>
      <w:rFonts w:ascii="Tahoma" w:eastAsiaTheme="majorEastAsia" w:hAnsi="Tahoma" w:cstheme="majorBidi"/>
      <w:b/>
      <w:color w:val="038387"/>
      <w:spacing w:val="-10"/>
      <w:kern w:val="28"/>
      <w:sz w:val="40"/>
      <w:szCs w:val="56"/>
      <w:lang w:val="en-US" w:eastAsia="ja-JP"/>
    </w:rPr>
  </w:style>
  <w:style w:type="character" w:customStyle="1" w:styleId="SummaryPointsChar">
    <w:name w:val="Summary Points Char"/>
    <w:basedOn w:val="Heading1Char"/>
    <w:link w:val="SummaryPoints"/>
    <w:rsid w:val="005E7E3C"/>
    <w:rPr>
      <w:rFonts w:ascii="Tahoma" w:eastAsia="Times New Roman" w:hAnsi="Tahoma" w:cs="Arial"/>
      <w:b/>
      <w:bCs w:val="0"/>
      <w:color w:val="1F3864" w:themeColor="accent1" w:themeShade="80"/>
      <w:sz w:val="32"/>
      <w:szCs w:val="20"/>
      <w:lang w:val="en-US" w:eastAsia="en-GB"/>
    </w:rPr>
  </w:style>
  <w:style w:type="table" w:customStyle="1" w:styleId="TableGrid2">
    <w:name w:val="Table Grid2"/>
    <w:basedOn w:val="TableNormal"/>
    <w:next w:val="TableGrid"/>
    <w:uiPriority w:val="39"/>
    <w:rsid w:val="0076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 para Char,List Paragraph1 Char,List Paragraph11 Char"/>
    <w:basedOn w:val="DefaultParagraphFont"/>
    <w:link w:val="ListParagraph"/>
    <w:uiPriority w:val="34"/>
    <w:rsid w:val="00763AD5"/>
    <w:rPr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E76EC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mmwr/volumes/69/wr/mm6944e3.htm?s_cid=mm6944e3_w" TargetMode="External"/><Relationship Id="rId18" Type="http://schemas.openxmlformats.org/officeDocument/2006/relationships/hyperlink" Target="https://www.ncbi.nlm.nih.gov/pmc/articles/PMC8366802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thelancet.com/journals/lancet/article/PIIS0140-6736(21)00682-6/fullte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mc/articles/PMC8117969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esearchsquare.com/article/rs-798175/v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bi.nlm.nih.gov/pmc/articles/PMC8117969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CA983AB2744EB85DF74473F3895B" ma:contentTypeVersion="21" ma:contentTypeDescription="Create a new document." ma:contentTypeScope="" ma:versionID="55193ed41d0dc23656106ed03d8ac0e7">
  <xsd:schema xmlns:xsd="http://www.w3.org/2001/XMLSchema" xmlns:xs="http://www.w3.org/2001/XMLSchema" xmlns:p="http://schemas.microsoft.com/office/2006/metadata/properties" xmlns:ns1="233d4144-5652-41ad-87a9-c50219a037a8" xmlns:ns3="00a4df5b-51f4-4e7a-b755-8a381a6dfbc5" xmlns:ns4="e0731c95-5453-4cc4-b91b-72230631047b" targetNamespace="http://schemas.microsoft.com/office/2006/metadata/properties" ma:root="true" ma:fieldsID="2dab0b4002ebfcc5b1222c3222a57b33" ns1:_="" ns3:_="" ns4:_="">
    <xsd:import namespace="233d4144-5652-41ad-87a9-c50219a037a8"/>
    <xsd:import namespace="00a4df5b-51f4-4e7a-b755-8a381a6dfbc5"/>
    <xsd:import namespace="e0731c95-5453-4cc4-b91b-72230631047b"/>
    <xsd:element name="properties">
      <xsd:complexType>
        <xsd:sequence>
          <xsd:element name="documentManagement">
            <xsd:complexType>
              <xsd:all>
                <xsd:element ref="ns1:Reference_x0020_Number" minOccurs="0"/>
                <xsd:element ref="ns1:p85d601a318a45c189d6b9befbd781b7" minOccurs="0"/>
                <xsd:element ref="ns3:TaxCatchAll" minOccurs="0"/>
                <xsd:element ref="ns1:MediaServiceMetadata" minOccurs="0"/>
                <xsd:element ref="ns1:MediaServiceFastMetadata" minOccurs="0"/>
                <xsd:element ref="ns4:SharedWithUsers" minOccurs="0"/>
                <xsd:element ref="ns4:SharedWithDetails" minOccurs="0"/>
                <xsd:element ref="ns1:MediaServiceAutoKeyPoints" minOccurs="0"/>
                <xsd:element ref="ns1:MediaServiceKeyPoints" minOccurs="0"/>
                <xsd:element ref="ns1:Reference_x0020_Number_x003a_RFA_x0020_Title" minOccurs="0"/>
                <xsd:element ref="ns1:Final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DateTaken" minOccurs="0"/>
                <xsd:element ref="ns1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d4144-5652-41ad-87a9-c50219a037a8" elementFormDefault="qualified">
    <xsd:import namespace="http://schemas.microsoft.com/office/2006/documentManagement/types"/>
    <xsd:import namespace="http://schemas.microsoft.com/office/infopath/2007/PartnerControls"/>
    <xsd:element name="Reference_x0020_Number" ma:index="0" nillable="true" ma:displayName="Reference Number" ma:list="{fdfe313d-c251-4a4a-b7c2-78efcf9c35c6}" ma:internalName="Reference_x0020_Number" ma:readOnly="false" ma:showField="Reference_x0020_Number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5d601a318a45c189d6b9befbd781b7" ma:index="9" nillable="true" ma:taxonomy="true" ma:internalName="p85d601a318a45c189d6b9befbd781b7" ma:taxonomyFieldName="Document_x0020_Type" ma:displayName="Document Type" ma:readOnly="false" ma:default="" ma:fieldId="{985d601a-318a-45c1-89d6-b9befbd781b7}" ma:sspId="0413e039-5297-4392-bfce-c6182202c714" ma:termSetId="46260998-0cb1-4b1d-8e44-944ea719d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Reference_x0020_Number_x003a_RFA_x0020_Title" ma:index="18" nillable="true" ma:displayName="Reference Number:RFA Title" ma:list="{fdfe313d-c251-4a4a-b7c2-78efcf9c35c6}" ma:internalName="Reference_x0020_Number_x003a_RFA_x0020_Title" ma:readOnly="true" ma:showField="Title" ma:web="f504e471-c688-4005-8255-98fd2228c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al" ma:index="19" nillable="true" ma:displayName="Final Version" ma:default="0" ma:indexed="true" ma:internalName="Final">
      <xsd:simpleType>
        <xsd:restriction base="dms:Boolea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4df5b-51f4-4e7a-b755-8a381a6dfbc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2e7e52f-bf27-4b85-abd3-86b0f87f60dd}" ma:internalName="TaxCatchAll" ma:readOnly="false" ma:showField="CatchAllData" ma:web="e0731c95-5453-4cc4-b91b-722306310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1c95-5453-4cc4-b91b-722306310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233d4144-5652-41ad-87a9-c50219a037a8">false</Final>
    <TaxCatchAll xmlns="00a4df5b-51f4-4e7a-b755-8a381a6dfbc5"/>
    <Reference_x0020_Number xmlns="233d4144-5652-41ad-87a9-c50219a037a8"/>
    <p85d601a318a45c189d6b9befbd781b7 xmlns="233d4144-5652-41ad-87a9-c50219a037a8">
      <Terms xmlns="http://schemas.microsoft.com/office/infopath/2007/PartnerControls"/>
    </p85d601a318a45c189d6b9befbd781b7>
    <_Flow_SignoffStatus xmlns="233d4144-5652-41ad-87a9-c50219a037a8" xsi:nil="true"/>
  </documentManagement>
</p:properties>
</file>

<file path=customXml/itemProps1.xml><?xml version="1.0" encoding="utf-8"?>
<ds:datastoreItem xmlns:ds="http://schemas.openxmlformats.org/officeDocument/2006/customXml" ds:itemID="{A18D5AF1-8C1F-491D-A062-B2799D366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97736-9827-44A9-B4D6-5BA42C673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BA07D-F009-45BD-9FD2-F2C4A381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d4144-5652-41ad-87a9-c50219a037a8"/>
    <ds:schemaRef ds:uri="00a4df5b-51f4-4e7a-b755-8a381a6dfbc5"/>
    <ds:schemaRef ds:uri="e0731c95-5453-4cc4-b91b-722306310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F8FE4-B752-47DD-A943-E9517263DED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233d4144-5652-41ad-87a9-c50219a037a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0731c95-5453-4cc4-b91b-72230631047b"/>
    <ds:schemaRef ds:uri="00a4df5b-51f4-4e7a-b755-8a381a6dfbc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McLellan</dc:creator>
  <cp:keywords/>
  <dc:description/>
  <cp:lastModifiedBy>Christian Marchello</cp:lastModifiedBy>
  <cp:revision>4</cp:revision>
  <cp:lastPrinted>2021-09-29T20:48:00Z</cp:lastPrinted>
  <dcterms:created xsi:type="dcterms:W3CDTF">2021-09-29T20:48:00Z</dcterms:created>
  <dcterms:modified xsi:type="dcterms:W3CDTF">2021-09-29T20:48:00Z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0x0101009EE6CA983AB2744EB85DF74473F3895B</vt:lpwstr>
  </property>
  <property fmtid="{D5CDD505-2E9C-101B-9397-08002B2CF9AE}" pid="3" name="Document Type">
    <vt:lpwstr/>
  </property>
</Properties>
</file>