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E0D5" w14:textId="51376F74" w:rsidR="007A6931" w:rsidRPr="00FA1C4E" w:rsidRDefault="006771B7" w:rsidP="006771B7">
      <w:pPr>
        <w:pStyle w:val="Title"/>
        <w:ind w:right="1133"/>
      </w:pPr>
      <w:r>
        <w:t>Criteria for Approved Providers under the</w:t>
      </w:r>
      <w:r w:rsidR="007A6931" w:rsidRPr="00FA1C4E">
        <w:t xml:space="preserve"> Substance Addiction (Compulsory Assessment and Treatment) Act </w:t>
      </w:r>
      <w:r w:rsidR="007A6931">
        <w:t>2017</w:t>
      </w:r>
    </w:p>
    <w:p w14:paraId="12E7420D" w14:textId="77777777" w:rsidR="00C86248" w:rsidRDefault="00C86248" w:rsidP="00343365">
      <w:pPr>
        <w:pStyle w:val="Subhead"/>
      </w:pPr>
    </w:p>
    <w:p w14:paraId="4CDDA764" w14:textId="3DBA5A2C" w:rsidR="00633590" w:rsidRDefault="00633590">
      <w:pPr>
        <w:spacing w:line="240" w:lineRule="auto"/>
      </w:pPr>
      <w:r>
        <w:br w:type="page"/>
      </w:r>
    </w:p>
    <w:p w14:paraId="31221D4E"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E6B89C8" w14:textId="77777777" w:rsidR="00B822E8" w:rsidRDefault="00B822E8" w:rsidP="007A6931">
      <w:pPr>
        <w:pStyle w:val="Heading3"/>
      </w:pPr>
      <w:bookmarkStart w:id="0" w:name="_Toc497297372"/>
      <w:r>
        <w:lastRenderedPageBreak/>
        <w:t>Disclaimer</w:t>
      </w:r>
      <w:bookmarkEnd w:id="0"/>
    </w:p>
    <w:p w14:paraId="2E91B16C" w14:textId="77777777" w:rsidR="00B822E8" w:rsidRDefault="00B822E8" w:rsidP="00B822E8">
      <w:r w:rsidRPr="00B07553">
        <w:t>While every care has been taken in the preparation of the information in this document, users are reminded that the Ministry of Health cannot accept legal liability for any errors or omissions or damages resulting from reliance on the information contained</w:t>
      </w:r>
      <w:r>
        <w:t xml:space="preserve"> in this document.</w:t>
      </w:r>
    </w:p>
    <w:p w14:paraId="26504823" w14:textId="77777777" w:rsidR="00B822E8" w:rsidRPr="00B07553" w:rsidRDefault="00B822E8" w:rsidP="00B822E8"/>
    <w:p w14:paraId="70EC40A0" w14:textId="77777777" w:rsidR="00B822E8" w:rsidRDefault="00B822E8" w:rsidP="00B822E8">
      <w:pPr>
        <w:rPr>
          <w:b/>
        </w:rPr>
      </w:pPr>
      <w:r w:rsidRPr="00B07553">
        <w:t xml:space="preserve">Please note that these guidelines are not intended as a substitute for informed legal opinion. Any concerns </w:t>
      </w:r>
      <w:r>
        <w:t xml:space="preserve">you </w:t>
      </w:r>
      <w:r w:rsidRPr="00B07553">
        <w:t xml:space="preserve">may have should be discussed with </w:t>
      </w:r>
      <w:r>
        <w:t xml:space="preserve">your </w:t>
      </w:r>
      <w:r w:rsidRPr="00B07553">
        <w:t>legal advisors.</w:t>
      </w:r>
    </w:p>
    <w:p w14:paraId="32783921" w14:textId="77777777" w:rsidR="00B822E8" w:rsidRDefault="00B822E8" w:rsidP="00B822E8"/>
    <w:p w14:paraId="7D929E72" w14:textId="6337A69B" w:rsidR="00B822E8" w:rsidRDefault="006771B7" w:rsidP="00B822E8">
      <w:r>
        <w:rPr>
          <w:rFonts w:cs="Georgia"/>
          <w:color w:val="000000"/>
          <w:szCs w:val="24"/>
        </w:rPr>
        <w:t>Published with the permission of the Director-General of Health, pursuant to section 116 of the Substance Addiction (Compulsory Assessment and Treatment) Act 2017.</w:t>
      </w:r>
    </w:p>
    <w:p w14:paraId="7CD565E2" w14:textId="192B1D32" w:rsidR="00A80363" w:rsidRPr="00442C1C" w:rsidRDefault="00A80363" w:rsidP="00B822E8">
      <w:pPr>
        <w:pStyle w:val="Imprint"/>
        <w:spacing w:before="4000"/>
      </w:pPr>
      <w:r>
        <w:t xml:space="preserve">Citation: </w:t>
      </w:r>
      <w:r w:rsidR="00442C1C">
        <w:t xml:space="preserve">Ministry of Health. </w:t>
      </w:r>
      <w:r w:rsidR="00B822E8">
        <w:t>2017</w:t>
      </w:r>
      <w:r w:rsidR="00442C1C">
        <w:t xml:space="preserve">. </w:t>
      </w:r>
      <w:r w:rsidR="006771B7">
        <w:rPr>
          <w:i/>
        </w:rPr>
        <w:t>Criteria for Approved Providers under</w:t>
      </w:r>
      <w:r w:rsidR="007A171A">
        <w:rPr>
          <w:i/>
        </w:rPr>
        <w:t xml:space="preserve"> the Substance Addiction</w:t>
      </w:r>
      <w:r w:rsidR="00D87EA9">
        <w:rPr>
          <w:i/>
        </w:rPr>
        <w:t xml:space="preserve"> (Compulsory Assessment and Treatment) Act 2017</w:t>
      </w:r>
      <w:r w:rsidR="00DF2B74">
        <w:t xml:space="preserve">. </w:t>
      </w:r>
      <w:r w:rsidR="00442C1C">
        <w:t>Wellington: Ministry of Health.</w:t>
      </w:r>
    </w:p>
    <w:p w14:paraId="21B293A7" w14:textId="26A62CD3" w:rsidR="00C86248" w:rsidRDefault="00C86248">
      <w:pPr>
        <w:pStyle w:val="Imprint"/>
      </w:pPr>
      <w:r>
        <w:t xml:space="preserve">Published in </w:t>
      </w:r>
      <w:r w:rsidR="00421A12">
        <w:t>November</w:t>
      </w:r>
      <w:r w:rsidR="000F63DF">
        <w:t xml:space="preserve"> </w:t>
      </w:r>
      <w:r w:rsidR="00B822E8">
        <w:t>2017</w:t>
      </w:r>
      <w:r w:rsidR="005019AE">
        <w:br/>
      </w:r>
      <w:r>
        <w:t>by the</w:t>
      </w:r>
      <w:r w:rsidR="00442C1C">
        <w:t xml:space="preserve"> </w:t>
      </w:r>
      <w:r>
        <w:t>Ministry of Health</w:t>
      </w:r>
      <w:r>
        <w:br/>
        <w:t>PO Box 5013, Wellington</w:t>
      </w:r>
      <w:r w:rsidR="00A80363">
        <w:t xml:space="preserve"> 614</w:t>
      </w:r>
      <w:r w:rsidR="006041F0">
        <w:t>0</w:t>
      </w:r>
      <w:r>
        <w:t>, New Zealand</w:t>
      </w:r>
    </w:p>
    <w:p w14:paraId="5AD72D95" w14:textId="0A883968" w:rsidR="00082CD6" w:rsidRPr="009C0F2D" w:rsidRDefault="00D863D0" w:rsidP="00082CD6">
      <w:pPr>
        <w:pStyle w:val="Imprint"/>
      </w:pPr>
      <w:r>
        <w:t>ISBN</w:t>
      </w:r>
      <w:r w:rsidR="00DF2B74">
        <w:t xml:space="preserve"> </w:t>
      </w:r>
      <w:r w:rsidR="00DF2B74" w:rsidRPr="00DF2B74">
        <w:t>978-1-98-853924-9</w:t>
      </w:r>
      <w:r w:rsidR="008C2221">
        <w:t xml:space="preserve"> </w:t>
      </w:r>
      <w:r>
        <w:t>(</w:t>
      </w:r>
      <w:r w:rsidR="00442C1C">
        <w:t>online</w:t>
      </w:r>
      <w:proofErr w:type="gramStart"/>
      <w:r>
        <w:t>)</w:t>
      </w:r>
      <w:proofErr w:type="gramEnd"/>
      <w:r w:rsidR="00082CD6">
        <w:br/>
      </w:r>
      <w:r w:rsidR="00082CD6" w:rsidRPr="009C0F2D">
        <w:t xml:space="preserve">HP </w:t>
      </w:r>
      <w:r w:rsidR="008C2221">
        <w:t>6729</w:t>
      </w:r>
    </w:p>
    <w:p w14:paraId="0BFC84A6" w14:textId="5EC745D9" w:rsidR="00C86248" w:rsidRDefault="00C86248">
      <w:pPr>
        <w:pStyle w:val="Imprint"/>
      </w:pPr>
      <w:r>
        <w:t xml:space="preserve">This document is available </w:t>
      </w:r>
      <w:r w:rsidR="0071741C">
        <w:t xml:space="preserve">at </w:t>
      </w:r>
      <w:r>
        <w:t>h</w:t>
      </w:r>
      <w:r w:rsidR="00A80363">
        <w:t>ealth</w:t>
      </w:r>
      <w:r>
        <w:t>.govt.nz</w:t>
      </w:r>
    </w:p>
    <w:p w14:paraId="71798DC6" w14:textId="77777777" w:rsidR="00C86248" w:rsidRDefault="008C64C4">
      <w:pPr>
        <w:jc w:val="center"/>
      </w:pPr>
      <w:r>
        <w:rPr>
          <w:noProof/>
          <w:lang w:eastAsia="en-NZ"/>
        </w:rPr>
        <w:drawing>
          <wp:inline distT="0" distB="0" distL="0" distR="0" wp14:anchorId="04365D9D" wp14:editId="34B2153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5F40CAFB"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2EE3EBBE" wp14:editId="78D7A3E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14:paraId="53B7E84F"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48F4EBB2" w14:textId="3B56B8EE" w:rsidR="0069383A" w:rsidRDefault="00C86248" w:rsidP="00AF016E">
      <w:pPr>
        <w:pStyle w:val="IntroHead"/>
        <w:rPr>
          <w:noProof/>
        </w:rPr>
      </w:pPr>
      <w:bookmarkStart w:id="1" w:name="_Toc405792991"/>
      <w:bookmarkStart w:id="2" w:name="_Toc405793224"/>
      <w:r>
        <w:lastRenderedPageBreak/>
        <w:t>Contents</w:t>
      </w:r>
      <w:bookmarkEnd w:id="1"/>
      <w:bookmarkEnd w:id="2"/>
      <w:r w:rsidR="00AF016E">
        <w:fldChar w:fldCharType="begin"/>
      </w:r>
      <w:r w:rsidR="00AF016E">
        <w:instrText xml:space="preserve"> TOC \o "1-2" </w:instrText>
      </w:r>
      <w:r w:rsidR="00AF016E">
        <w:fldChar w:fldCharType="separate"/>
      </w:r>
    </w:p>
    <w:p w14:paraId="7702EA38" w14:textId="77777777" w:rsidR="0069383A" w:rsidRDefault="0069383A">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_Toc497310823 \h </w:instrText>
      </w:r>
      <w:r>
        <w:rPr>
          <w:noProof/>
        </w:rPr>
      </w:r>
      <w:r>
        <w:rPr>
          <w:noProof/>
        </w:rPr>
        <w:fldChar w:fldCharType="separate"/>
      </w:r>
      <w:r w:rsidR="00C03AD1">
        <w:rPr>
          <w:noProof/>
        </w:rPr>
        <w:t>1</w:t>
      </w:r>
      <w:r>
        <w:rPr>
          <w:noProof/>
        </w:rPr>
        <w:fldChar w:fldCharType="end"/>
      </w:r>
    </w:p>
    <w:p w14:paraId="45E06F63" w14:textId="77777777" w:rsidR="0069383A" w:rsidRDefault="0069383A">
      <w:pPr>
        <w:pStyle w:val="TOC1"/>
        <w:rPr>
          <w:rFonts w:asciiTheme="minorHAnsi" w:eastAsiaTheme="minorEastAsia" w:hAnsiTheme="minorHAnsi" w:cstheme="minorBidi"/>
          <w:b w:val="0"/>
          <w:noProof/>
          <w:szCs w:val="22"/>
          <w:lang w:eastAsia="en-NZ"/>
        </w:rPr>
      </w:pPr>
      <w:r>
        <w:rPr>
          <w:noProof/>
        </w:rPr>
        <w:t>Resources required under section 92 of the Act</w:t>
      </w:r>
      <w:r>
        <w:rPr>
          <w:noProof/>
        </w:rPr>
        <w:tab/>
      </w:r>
      <w:r>
        <w:rPr>
          <w:noProof/>
        </w:rPr>
        <w:fldChar w:fldCharType="begin"/>
      </w:r>
      <w:r>
        <w:rPr>
          <w:noProof/>
        </w:rPr>
        <w:instrText xml:space="preserve"> PAGEREF _Toc497310824 \h </w:instrText>
      </w:r>
      <w:r>
        <w:rPr>
          <w:noProof/>
        </w:rPr>
      </w:r>
      <w:r>
        <w:rPr>
          <w:noProof/>
        </w:rPr>
        <w:fldChar w:fldCharType="separate"/>
      </w:r>
      <w:r w:rsidR="00C03AD1">
        <w:rPr>
          <w:noProof/>
        </w:rPr>
        <w:t>2</w:t>
      </w:r>
      <w:r>
        <w:rPr>
          <w:noProof/>
        </w:rPr>
        <w:fldChar w:fldCharType="end"/>
      </w:r>
    </w:p>
    <w:p w14:paraId="4E1E0B58"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Model of care</w:t>
      </w:r>
      <w:r>
        <w:rPr>
          <w:noProof/>
        </w:rPr>
        <w:tab/>
      </w:r>
      <w:r>
        <w:rPr>
          <w:noProof/>
        </w:rPr>
        <w:fldChar w:fldCharType="begin"/>
      </w:r>
      <w:r>
        <w:rPr>
          <w:noProof/>
        </w:rPr>
        <w:instrText xml:space="preserve"> PAGEREF _Toc497310825 \h </w:instrText>
      </w:r>
      <w:r>
        <w:rPr>
          <w:noProof/>
        </w:rPr>
      </w:r>
      <w:r>
        <w:rPr>
          <w:noProof/>
        </w:rPr>
        <w:fldChar w:fldCharType="separate"/>
      </w:r>
      <w:r w:rsidR="00C03AD1">
        <w:rPr>
          <w:noProof/>
        </w:rPr>
        <w:t>3</w:t>
      </w:r>
      <w:r>
        <w:rPr>
          <w:noProof/>
        </w:rPr>
        <w:fldChar w:fldCharType="end"/>
      </w:r>
    </w:p>
    <w:p w14:paraId="71A61BC3"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Relationships with other providers</w:t>
      </w:r>
      <w:r>
        <w:rPr>
          <w:noProof/>
        </w:rPr>
        <w:tab/>
      </w:r>
      <w:r>
        <w:rPr>
          <w:noProof/>
        </w:rPr>
        <w:fldChar w:fldCharType="begin"/>
      </w:r>
      <w:r>
        <w:rPr>
          <w:noProof/>
        </w:rPr>
        <w:instrText xml:space="preserve"> PAGEREF _Toc497310826 \h </w:instrText>
      </w:r>
      <w:r>
        <w:rPr>
          <w:noProof/>
        </w:rPr>
      </w:r>
      <w:r>
        <w:rPr>
          <w:noProof/>
        </w:rPr>
        <w:fldChar w:fldCharType="separate"/>
      </w:r>
      <w:r w:rsidR="00C03AD1">
        <w:rPr>
          <w:noProof/>
        </w:rPr>
        <w:t>4</w:t>
      </w:r>
      <w:r>
        <w:rPr>
          <w:noProof/>
        </w:rPr>
        <w:fldChar w:fldCharType="end"/>
      </w:r>
    </w:p>
    <w:p w14:paraId="0C83FE28"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Workforce</w:t>
      </w:r>
      <w:r>
        <w:rPr>
          <w:noProof/>
        </w:rPr>
        <w:tab/>
      </w:r>
      <w:r>
        <w:rPr>
          <w:noProof/>
        </w:rPr>
        <w:fldChar w:fldCharType="begin"/>
      </w:r>
      <w:r>
        <w:rPr>
          <w:noProof/>
        </w:rPr>
        <w:instrText xml:space="preserve"> PAGEREF _Toc497310827 \h </w:instrText>
      </w:r>
      <w:r>
        <w:rPr>
          <w:noProof/>
        </w:rPr>
      </w:r>
      <w:r>
        <w:rPr>
          <w:noProof/>
        </w:rPr>
        <w:fldChar w:fldCharType="separate"/>
      </w:r>
      <w:r w:rsidR="00C03AD1">
        <w:rPr>
          <w:noProof/>
        </w:rPr>
        <w:t>4</w:t>
      </w:r>
      <w:r>
        <w:rPr>
          <w:noProof/>
        </w:rPr>
        <w:fldChar w:fldCharType="end"/>
      </w:r>
    </w:p>
    <w:p w14:paraId="3EB9F0D0"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Resources</w:t>
      </w:r>
      <w:r>
        <w:rPr>
          <w:noProof/>
        </w:rPr>
        <w:tab/>
      </w:r>
      <w:r>
        <w:rPr>
          <w:noProof/>
        </w:rPr>
        <w:fldChar w:fldCharType="begin"/>
      </w:r>
      <w:r>
        <w:rPr>
          <w:noProof/>
        </w:rPr>
        <w:instrText xml:space="preserve"> PAGEREF _Toc497310828 \h </w:instrText>
      </w:r>
      <w:r>
        <w:rPr>
          <w:noProof/>
        </w:rPr>
      </w:r>
      <w:r>
        <w:rPr>
          <w:noProof/>
        </w:rPr>
        <w:fldChar w:fldCharType="separate"/>
      </w:r>
      <w:r w:rsidR="00C03AD1">
        <w:rPr>
          <w:noProof/>
        </w:rPr>
        <w:t>4</w:t>
      </w:r>
      <w:r>
        <w:rPr>
          <w:noProof/>
        </w:rPr>
        <w:fldChar w:fldCharType="end"/>
      </w:r>
    </w:p>
    <w:p w14:paraId="7E5842CF"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Processes</w:t>
      </w:r>
      <w:r>
        <w:rPr>
          <w:noProof/>
        </w:rPr>
        <w:tab/>
      </w:r>
      <w:r>
        <w:rPr>
          <w:noProof/>
        </w:rPr>
        <w:fldChar w:fldCharType="begin"/>
      </w:r>
      <w:r>
        <w:rPr>
          <w:noProof/>
        </w:rPr>
        <w:instrText xml:space="preserve"> PAGEREF _Toc497310829 \h </w:instrText>
      </w:r>
      <w:r>
        <w:rPr>
          <w:noProof/>
        </w:rPr>
      </w:r>
      <w:r>
        <w:rPr>
          <w:noProof/>
        </w:rPr>
        <w:fldChar w:fldCharType="separate"/>
      </w:r>
      <w:r w:rsidR="00C03AD1">
        <w:rPr>
          <w:noProof/>
        </w:rPr>
        <w:t>5</w:t>
      </w:r>
      <w:r>
        <w:rPr>
          <w:noProof/>
        </w:rPr>
        <w:fldChar w:fldCharType="end"/>
      </w:r>
    </w:p>
    <w:p w14:paraId="1B080AF1" w14:textId="77777777" w:rsidR="0069383A" w:rsidRDefault="0069383A" w:rsidP="008C2221">
      <w:pPr>
        <w:pStyle w:val="TOC2"/>
        <w:ind w:left="0" w:firstLine="0"/>
        <w:rPr>
          <w:rFonts w:asciiTheme="minorHAnsi" w:eastAsiaTheme="minorEastAsia" w:hAnsiTheme="minorHAnsi" w:cstheme="minorBidi"/>
          <w:noProof/>
          <w:szCs w:val="22"/>
          <w:lang w:eastAsia="en-NZ"/>
        </w:rPr>
      </w:pPr>
      <w:r>
        <w:rPr>
          <w:noProof/>
        </w:rPr>
        <w:t>Application to be an approved provider</w:t>
      </w:r>
      <w:r>
        <w:rPr>
          <w:noProof/>
        </w:rPr>
        <w:tab/>
      </w:r>
      <w:r>
        <w:rPr>
          <w:noProof/>
        </w:rPr>
        <w:fldChar w:fldCharType="begin"/>
      </w:r>
      <w:r>
        <w:rPr>
          <w:noProof/>
        </w:rPr>
        <w:instrText xml:space="preserve"> PAGEREF _Toc497310830 \h </w:instrText>
      </w:r>
      <w:r>
        <w:rPr>
          <w:noProof/>
        </w:rPr>
      </w:r>
      <w:r>
        <w:rPr>
          <w:noProof/>
        </w:rPr>
        <w:fldChar w:fldCharType="separate"/>
      </w:r>
      <w:r w:rsidR="00C03AD1">
        <w:rPr>
          <w:noProof/>
        </w:rPr>
        <w:t>5</w:t>
      </w:r>
      <w:r>
        <w:rPr>
          <w:noProof/>
        </w:rPr>
        <w:fldChar w:fldCharType="end"/>
      </w:r>
    </w:p>
    <w:p w14:paraId="1E989040" w14:textId="77777777" w:rsidR="0069383A" w:rsidRDefault="0069383A" w:rsidP="008C2221">
      <w:pPr>
        <w:pStyle w:val="TOC2"/>
        <w:ind w:left="0" w:firstLine="0"/>
        <w:rPr>
          <w:noProof/>
        </w:rPr>
      </w:pPr>
      <w:r>
        <w:rPr>
          <w:noProof/>
        </w:rPr>
        <w:t>Other resources</w:t>
      </w:r>
      <w:r>
        <w:rPr>
          <w:noProof/>
        </w:rPr>
        <w:tab/>
      </w:r>
      <w:r>
        <w:rPr>
          <w:noProof/>
        </w:rPr>
        <w:fldChar w:fldCharType="begin"/>
      </w:r>
      <w:r>
        <w:rPr>
          <w:noProof/>
        </w:rPr>
        <w:instrText xml:space="preserve"> PAGEREF _Toc497310831 \h </w:instrText>
      </w:r>
      <w:r>
        <w:rPr>
          <w:noProof/>
        </w:rPr>
      </w:r>
      <w:r>
        <w:rPr>
          <w:noProof/>
        </w:rPr>
        <w:fldChar w:fldCharType="separate"/>
      </w:r>
      <w:r w:rsidR="00C03AD1">
        <w:rPr>
          <w:noProof/>
        </w:rPr>
        <w:t>6</w:t>
      </w:r>
      <w:r>
        <w:rPr>
          <w:noProof/>
        </w:rPr>
        <w:fldChar w:fldCharType="end"/>
      </w:r>
    </w:p>
    <w:p w14:paraId="4FA6DCA5" w14:textId="062A4F54" w:rsidR="008C2221" w:rsidRDefault="008C2221">
      <w:pPr>
        <w:spacing w:line="240" w:lineRule="auto"/>
      </w:pPr>
      <w:r>
        <w:br w:type="page"/>
      </w:r>
    </w:p>
    <w:p w14:paraId="1A9C8D8E" w14:textId="77777777" w:rsidR="008C2221" w:rsidRDefault="008C2221" w:rsidP="008C2221">
      <w:pPr>
        <w:pStyle w:val="Heading3"/>
      </w:pPr>
      <w:r>
        <w:t>Use of the word ‘patient’</w:t>
      </w:r>
    </w:p>
    <w:p w14:paraId="02EF3244" w14:textId="77777777" w:rsidR="008C2221" w:rsidRDefault="008C2221" w:rsidP="008C2221">
      <w:r w:rsidRPr="00FA1C4E">
        <w:t xml:space="preserve">The preferred language for referring to someone receiving addiction treatment is ‘person’. The </w:t>
      </w:r>
      <w:r w:rsidRPr="001E18A5">
        <w:t>Substance Addiction (Compulsory Assessment and Treatment</w:t>
      </w:r>
      <w:r w:rsidRPr="00FA1C4E">
        <w:t xml:space="preserve"> Act uses the word ‘person’ to refer to an individual prior to a compulsory treatment certificate being issued. </w:t>
      </w:r>
    </w:p>
    <w:p w14:paraId="2D681E97" w14:textId="77777777" w:rsidR="008C2221" w:rsidRPr="00FA1C4E" w:rsidRDefault="008C2221" w:rsidP="008C2221"/>
    <w:p w14:paraId="0E6A5011" w14:textId="77777777" w:rsidR="008C2221" w:rsidRDefault="008C2221" w:rsidP="008C2221">
      <w:r w:rsidRPr="00FA1C4E">
        <w:t xml:space="preserve">Once a compulsory treatment certificate is issued, the Act uses the word ‘patient’. </w:t>
      </w:r>
    </w:p>
    <w:p w14:paraId="1F8E520D" w14:textId="77777777" w:rsidR="008C2221" w:rsidRPr="00FA1C4E" w:rsidRDefault="008C2221" w:rsidP="008C2221"/>
    <w:p w14:paraId="30431354" w14:textId="3B56B8EE" w:rsidR="00C86248" w:rsidRPr="00633590" w:rsidRDefault="008C2221" w:rsidP="008C2221">
      <w:pPr>
        <w:sectPr w:rsidR="00C86248" w:rsidRPr="00633590" w:rsidSect="008C2221">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r w:rsidRPr="00FA1C4E">
        <w:t>This guideline uses the language of the Act, while acknowledging that people who use or provide addiction treatment services rarely use the term ‘patient’.</w:t>
      </w:r>
      <w:r w:rsidR="00AF016E">
        <w:fldChar w:fldCharType="end"/>
      </w:r>
    </w:p>
    <w:p w14:paraId="5A66B7FC" w14:textId="3463809C" w:rsidR="008C2973" w:rsidRDefault="00032C0A" w:rsidP="00633590">
      <w:pPr>
        <w:pStyle w:val="Heading1"/>
        <w:ind w:left="0" w:firstLine="0"/>
      </w:pPr>
      <w:bookmarkStart w:id="3" w:name="_Toc497310823"/>
      <w:r>
        <w:t>Introduction</w:t>
      </w:r>
      <w:bookmarkEnd w:id="3"/>
    </w:p>
    <w:p w14:paraId="228055D8" w14:textId="77777777" w:rsidR="0007739D" w:rsidRDefault="0007739D" w:rsidP="0007739D">
      <w:pPr>
        <w:rPr>
          <w:szCs w:val="24"/>
        </w:rPr>
      </w:pPr>
      <w:r w:rsidRPr="001E18A5">
        <w:rPr>
          <w:szCs w:val="24"/>
        </w:rPr>
        <w:t xml:space="preserve">The Substance Addiction (Compulsory Assessment and Treatment) Act 2017 (the Act) enables </w:t>
      </w:r>
      <w:r w:rsidRPr="004D0BE7">
        <w:rPr>
          <w:szCs w:val="24"/>
        </w:rPr>
        <w:t>persons that</w:t>
      </w:r>
      <w:r w:rsidRPr="001E18A5">
        <w:rPr>
          <w:szCs w:val="24"/>
        </w:rPr>
        <w:t xml:space="preserve"> meet certain criteria, to be designated as ‘approved providers’ for the purposes of operating a treatment centre for patients under the Act. </w:t>
      </w:r>
    </w:p>
    <w:p w14:paraId="1A89E125" w14:textId="77777777" w:rsidR="0007739D" w:rsidRPr="001E18A5" w:rsidRDefault="0007739D" w:rsidP="0007739D">
      <w:pPr>
        <w:rPr>
          <w:szCs w:val="24"/>
        </w:rPr>
      </w:pPr>
    </w:p>
    <w:p w14:paraId="306A04DB" w14:textId="77777777" w:rsidR="0007739D" w:rsidRPr="001E18A5" w:rsidRDefault="0007739D" w:rsidP="0007739D">
      <w:pPr>
        <w:rPr>
          <w:szCs w:val="24"/>
        </w:rPr>
      </w:pPr>
      <w:r w:rsidRPr="001E18A5">
        <w:rPr>
          <w:szCs w:val="24"/>
        </w:rPr>
        <w:t>The Act defines an approved provider as</w:t>
      </w:r>
      <w:r>
        <w:rPr>
          <w:szCs w:val="24"/>
        </w:rPr>
        <w:t>:</w:t>
      </w:r>
    </w:p>
    <w:p w14:paraId="6E4900AD" w14:textId="77777777" w:rsidR="0007739D" w:rsidRPr="001E18A5" w:rsidRDefault="0007739D" w:rsidP="0007739D">
      <w:pPr>
        <w:pStyle w:val="Bullet"/>
      </w:pPr>
      <w:r>
        <w:t>a</w:t>
      </w:r>
      <w:r w:rsidRPr="001E18A5">
        <w:t xml:space="preserve"> person certified under the Health and Disability Services (Safety) Act 2001 to provide mental health services; or</w:t>
      </w:r>
    </w:p>
    <w:p w14:paraId="01ABD2C1" w14:textId="77777777" w:rsidR="0007739D" w:rsidRDefault="0007739D" w:rsidP="0007739D">
      <w:pPr>
        <w:pStyle w:val="Bullet"/>
      </w:pPr>
      <w:proofErr w:type="gramStart"/>
      <w:r>
        <w:t>a</w:t>
      </w:r>
      <w:proofErr w:type="gramEnd"/>
      <w:r w:rsidRPr="001E18A5">
        <w:t xml:space="preserve"> person designated under section 92 of the Act.</w:t>
      </w:r>
    </w:p>
    <w:p w14:paraId="759B0D59" w14:textId="77777777" w:rsidR="0007739D" w:rsidRPr="001E18A5" w:rsidRDefault="0007739D" w:rsidP="0007739D">
      <w:pPr>
        <w:pStyle w:val="Bullet"/>
        <w:numPr>
          <w:ilvl w:val="0"/>
          <w:numId w:val="0"/>
        </w:numPr>
      </w:pPr>
    </w:p>
    <w:p w14:paraId="37C0EACA" w14:textId="77777777" w:rsidR="0007739D" w:rsidRPr="001E18A5" w:rsidRDefault="0007739D" w:rsidP="0007739D">
      <w:pPr>
        <w:rPr>
          <w:szCs w:val="24"/>
        </w:rPr>
      </w:pPr>
      <w:r w:rsidRPr="001E18A5">
        <w:rPr>
          <w:szCs w:val="24"/>
        </w:rPr>
        <w:t>Section 92</w:t>
      </w:r>
      <w:r>
        <w:rPr>
          <w:szCs w:val="24"/>
        </w:rPr>
        <w:t xml:space="preserve">(2) </w:t>
      </w:r>
      <w:r w:rsidRPr="001E18A5">
        <w:rPr>
          <w:szCs w:val="24"/>
        </w:rPr>
        <w:t>of the Act states that the Director of Addiction Services (the Director) can designate a person as an approved provider if satisfied that the</w:t>
      </w:r>
      <w:r>
        <w:rPr>
          <w:szCs w:val="24"/>
        </w:rPr>
        <w:t xml:space="preserve"> person</w:t>
      </w:r>
      <w:r w:rsidRPr="001E18A5">
        <w:rPr>
          <w:szCs w:val="24"/>
        </w:rPr>
        <w:t xml:space="preserve">: </w:t>
      </w:r>
    </w:p>
    <w:p w14:paraId="7EFC1575" w14:textId="77777777" w:rsidR="0007739D" w:rsidRPr="008C3A34" w:rsidRDefault="0007739D" w:rsidP="0007739D">
      <w:pPr>
        <w:pStyle w:val="ListParagraph"/>
        <w:numPr>
          <w:ilvl w:val="0"/>
          <w:numId w:val="10"/>
        </w:numPr>
        <w:spacing w:before="120" w:after="120"/>
        <w:ind w:left="360"/>
        <w:rPr>
          <w:szCs w:val="24"/>
        </w:rPr>
      </w:pPr>
      <w:r w:rsidRPr="008C3A34">
        <w:rPr>
          <w:szCs w:val="24"/>
        </w:rPr>
        <w:t>is certified</w:t>
      </w:r>
      <w:r>
        <w:rPr>
          <w:szCs w:val="24"/>
        </w:rPr>
        <w:t>,</w:t>
      </w:r>
      <w:r w:rsidRPr="008C3A34">
        <w:rPr>
          <w:szCs w:val="24"/>
        </w:rPr>
        <w:t xml:space="preserve"> under the Health and Disability Services (Safety) Act 2001</w:t>
      </w:r>
      <w:r>
        <w:rPr>
          <w:szCs w:val="24"/>
        </w:rPr>
        <w:t>,</w:t>
      </w:r>
      <w:r w:rsidRPr="008C3A34">
        <w:rPr>
          <w:szCs w:val="24"/>
        </w:rPr>
        <w:t xml:space="preserve"> to provide residential disability care; and </w:t>
      </w:r>
    </w:p>
    <w:p w14:paraId="27D024B0" w14:textId="77777777" w:rsidR="0007739D" w:rsidRPr="008C3A34" w:rsidRDefault="0007739D" w:rsidP="0007739D">
      <w:pPr>
        <w:pStyle w:val="ListParagraph"/>
        <w:numPr>
          <w:ilvl w:val="0"/>
          <w:numId w:val="10"/>
        </w:numPr>
        <w:spacing w:before="120" w:after="120"/>
        <w:ind w:left="360"/>
        <w:rPr>
          <w:szCs w:val="24"/>
        </w:rPr>
      </w:pPr>
      <w:r w:rsidRPr="008C3A34">
        <w:rPr>
          <w:szCs w:val="24"/>
        </w:rPr>
        <w:t xml:space="preserve">has the capacity and resources to detain and treat patients in accordance with the Act in places that are suitable for that detention and treatment; and </w:t>
      </w:r>
    </w:p>
    <w:p w14:paraId="771C3F16" w14:textId="77777777" w:rsidR="0007739D" w:rsidRPr="008C3A34" w:rsidRDefault="0007739D" w:rsidP="0007739D">
      <w:pPr>
        <w:pStyle w:val="ListParagraph"/>
        <w:numPr>
          <w:ilvl w:val="0"/>
          <w:numId w:val="10"/>
        </w:numPr>
        <w:spacing w:before="120" w:after="120"/>
        <w:ind w:left="360"/>
        <w:rPr>
          <w:szCs w:val="24"/>
        </w:rPr>
      </w:pPr>
      <w:proofErr w:type="gramStart"/>
      <w:r w:rsidRPr="008C3A34">
        <w:rPr>
          <w:szCs w:val="24"/>
        </w:rPr>
        <w:t>has</w:t>
      </w:r>
      <w:proofErr w:type="gramEnd"/>
      <w:r w:rsidRPr="008C3A34">
        <w:rPr>
          <w:szCs w:val="24"/>
        </w:rPr>
        <w:t xml:space="preserve"> systems in place for ensuring compliance with the requirements of the Act. </w:t>
      </w:r>
    </w:p>
    <w:p w14:paraId="11AD3651" w14:textId="77777777" w:rsidR="0007739D" w:rsidRDefault="0007739D" w:rsidP="0007739D">
      <w:pPr>
        <w:rPr>
          <w:szCs w:val="24"/>
        </w:rPr>
      </w:pPr>
      <w:r w:rsidRPr="001E18A5">
        <w:rPr>
          <w:szCs w:val="24"/>
        </w:rPr>
        <w:t>Note: the use of the word ‘person’ in section 92 refers to a legal person, which can be an individual, organisation or legal entity</w:t>
      </w:r>
      <w:r>
        <w:rPr>
          <w:szCs w:val="24"/>
        </w:rPr>
        <w:t>,</w:t>
      </w:r>
      <w:r w:rsidRPr="001E18A5">
        <w:rPr>
          <w:szCs w:val="24"/>
        </w:rPr>
        <w:t xml:space="preserve"> as long as they meet the criteria in section 92</w:t>
      </w:r>
      <w:r>
        <w:rPr>
          <w:szCs w:val="24"/>
        </w:rPr>
        <w:t>(2)</w:t>
      </w:r>
      <w:r w:rsidRPr="001E18A5">
        <w:rPr>
          <w:szCs w:val="24"/>
        </w:rPr>
        <w:t xml:space="preserve">(a) to (c). </w:t>
      </w:r>
    </w:p>
    <w:p w14:paraId="4451987E" w14:textId="77777777" w:rsidR="0007739D" w:rsidRPr="001E18A5" w:rsidRDefault="0007739D" w:rsidP="0007739D">
      <w:pPr>
        <w:rPr>
          <w:szCs w:val="24"/>
        </w:rPr>
      </w:pPr>
    </w:p>
    <w:p w14:paraId="3D0976B3" w14:textId="77777777" w:rsidR="0007739D" w:rsidRDefault="0007739D" w:rsidP="0007739D">
      <w:pPr>
        <w:rPr>
          <w:szCs w:val="24"/>
        </w:rPr>
      </w:pPr>
      <w:r w:rsidRPr="001E18A5">
        <w:rPr>
          <w:szCs w:val="24"/>
        </w:rPr>
        <w:t>A designation under section 92 may be subject to any conditions that the Director considers necessary or desirable for the purposes of the Act (sections 92(2) and (3))</w:t>
      </w:r>
      <w:r>
        <w:rPr>
          <w:szCs w:val="24"/>
        </w:rPr>
        <w:t>.</w:t>
      </w:r>
      <w:r w:rsidRPr="001E18A5">
        <w:rPr>
          <w:szCs w:val="24"/>
        </w:rPr>
        <w:t xml:space="preserve"> </w:t>
      </w:r>
    </w:p>
    <w:p w14:paraId="585C123B" w14:textId="77777777" w:rsidR="0007739D" w:rsidRPr="001E18A5" w:rsidRDefault="0007739D" w:rsidP="0007739D">
      <w:pPr>
        <w:rPr>
          <w:szCs w:val="24"/>
        </w:rPr>
      </w:pPr>
    </w:p>
    <w:p w14:paraId="2F1B907D" w14:textId="4D47B61B" w:rsidR="0007739D" w:rsidRDefault="0007739D" w:rsidP="0007739D">
      <w:pPr>
        <w:rPr>
          <w:rStyle w:val="Hyperlink"/>
          <w:szCs w:val="24"/>
        </w:rPr>
      </w:pPr>
      <w:r>
        <w:rPr>
          <w:szCs w:val="24"/>
        </w:rPr>
        <w:t>T</w:t>
      </w:r>
      <w:r w:rsidRPr="001E18A5">
        <w:rPr>
          <w:szCs w:val="24"/>
        </w:rPr>
        <w:t>o be an approved provider under s</w:t>
      </w:r>
      <w:r>
        <w:rPr>
          <w:szCs w:val="24"/>
        </w:rPr>
        <w:t xml:space="preserve">ection </w:t>
      </w:r>
      <w:r w:rsidRPr="001E18A5">
        <w:rPr>
          <w:szCs w:val="24"/>
        </w:rPr>
        <w:t xml:space="preserve">92, providers must be approved by </w:t>
      </w:r>
      <w:proofErr w:type="spellStart"/>
      <w:r w:rsidRPr="001E18A5">
        <w:rPr>
          <w:szCs w:val="24"/>
        </w:rPr>
        <w:t>HealthCERT</w:t>
      </w:r>
      <w:proofErr w:type="spellEnd"/>
      <w:r w:rsidRPr="001E18A5">
        <w:rPr>
          <w:rStyle w:val="FootnoteReference"/>
          <w:szCs w:val="24"/>
        </w:rPr>
        <w:footnoteReference w:id="1"/>
      </w:r>
      <w:r w:rsidRPr="001E18A5">
        <w:rPr>
          <w:szCs w:val="24"/>
        </w:rPr>
        <w:t xml:space="preserve"> to deliver residential disability services </w:t>
      </w:r>
      <w:hyperlink r:id="rId18" w:history="1">
        <w:r w:rsidRPr="00430C81">
          <w:rPr>
            <w:rStyle w:val="Hyperlink"/>
            <w:szCs w:val="24"/>
          </w:rPr>
          <w:t>www.health.govt.nz/our-work/regulation-health-and-disability-system/certification-health-care-services</w:t>
        </w:r>
      </w:hyperlink>
    </w:p>
    <w:p w14:paraId="5F3447DC" w14:textId="77777777" w:rsidR="0007739D" w:rsidRDefault="0007739D" w:rsidP="0007739D">
      <w:pPr>
        <w:rPr>
          <w:szCs w:val="24"/>
        </w:rPr>
      </w:pPr>
    </w:p>
    <w:p w14:paraId="4F82CE9F" w14:textId="77777777" w:rsidR="0007739D" w:rsidRPr="001E18A5" w:rsidRDefault="0007739D" w:rsidP="0007739D">
      <w:pPr>
        <w:rPr>
          <w:szCs w:val="24"/>
        </w:rPr>
      </w:pPr>
      <w:r w:rsidRPr="001E18A5">
        <w:rPr>
          <w:szCs w:val="24"/>
        </w:rPr>
        <w:t>Individuals wishing to be appointed as approved providers under section 92 of the Act will need to demonstrate that they can provide services to people with severe substance addiction and severely impaired capacity (as defined in section</w:t>
      </w:r>
      <w:r>
        <w:rPr>
          <w:szCs w:val="24"/>
        </w:rPr>
        <w:t>s</w:t>
      </w:r>
      <w:r w:rsidRPr="001E18A5">
        <w:rPr>
          <w:szCs w:val="24"/>
        </w:rPr>
        <w:t xml:space="preserve"> 8 and 9 of the Act),</w:t>
      </w:r>
      <w:r>
        <w:rPr>
          <w:szCs w:val="24"/>
        </w:rPr>
        <w:t xml:space="preserve"> They will also need to demonstrate that they can</w:t>
      </w:r>
      <w:r w:rsidRPr="001E18A5">
        <w:rPr>
          <w:szCs w:val="24"/>
        </w:rPr>
        <w:t xml:space="preserve"> manage the complex physical, psychological, emotional, cultural and spiritual needs that most people under the Act will experience.</w:t>
      </w:r>
      <w:r>
        <w:rPr>
          <w:szCs w:val="24"/>
        </w:rPr>
        <w:t xml:space="preserve"> This includes the provision of hospital medical care (to ensure 24 hour/7 day per week nursing).</w:t>
      </w:r>
      <w:r>
        <w:t xml:space="preserve">  </w:t>
      </w:r>
    </w:p>
    <w:p w14:paraId="56464345" w14:textId="77777777" w:rsidR="00B822E8" w:rsidRDefault="00B822E8" w:rsidP="00B822E8"/>
    <w:p w14:paraId="6E1507C3" w14:textId="77777777" w:rsidR="00AE22AB" w:rsidRDefault="00AE22AB">
      <w:pPr>
        <w:spacing w:line="240" w:lineRule="auto"/>
        <w:rPr>
          <w:b/>
          <w:sz w:val="40"/>
        </w:rPr>
      </w:pPr>
      <w:r>
        <w:br w:type="page"/>
      </w:r>
    </w:p>
    <w:p w14:paraId="608F856F" w14:textId="042DDA1C" w:rsidR="00B822E8" w:rsidRDefault="00581981" w:rsidP="0069383A">
      <w:pPr>
        <w:pStyle w:val="Heading1"/>
        <w:ind w:left="0" w:firstLine="0"/>
      </w:pPr>
      <w:bookmarkStart w:id="4" w:name="_Toc497310824"/>
      <w:r>
        <w:t>Resources required under section 92 of the Act</w:t>
      </w:r>
      <w:bookmarkEnd w:id="4"/>
    </w:p>
    <w:p w14:paraId="30FC8CE1" w14:textId="77777777" w:rsidR="00581981" w:rsidRPr="001E18A5" w:rsidRDefault="00581981" w:rsidP="00581981">
      <w:r w:rsidRPr="001E18A5">
        <w:t>Section 92(2</w:t>
      </w:r>
      <w:proofErr w:type="gramStart"/>
      <w:r w:rsidRPr="001E18A5">
        <w:t>)</w:t>
      </w:r>
      <w:r>
        <w:t>(</w:t>
      </w:r>
      <w:proofErr w:type="gramEnd"/>
      <w:r w:rsidRPr="001E18A5">
        <w:t>b)</w:t>
      </w:r>
      <w:r>
        <w:t xml:space="preserve"> of the Act</w:t>
      </w:r>
      <w:r w:rsidRPr="001E18A5">
        <w:t xml:space="preserve"> requires</w:t>
      </w:r>
      <w:r>
        <w:t xml:space="preserve"> that,</w:t>
      </w:r>
      <w:r w:rsidRPr="001E18A5">
        <w:t xml:space="preserve"> before</w:t>
      </w:r>
      <w:r>
        <w:t xml:space="preserve"> the Director can designate </w:t>
      </w:r>
      <w:r w:rsidRPr="001E18A5">
        <w:t>an approved provider</w:t>
      </w:r>
      <w:r>
        <w:t xml:space="preserve">, the </w:t>
      </w:r>
      <w:r w:rsidRPr="001E18A5">
        <w:t xml:space="preserve">Director </w:t>
      </w:r>
      <w:r>
        <w:t xml:space="preserve">must </w:t>
      </w:r>
      <w:r w:rsidRPr="001E18A5">
        <w:t>be satisfied that the person</w:t>
      </w:r>
      <w:r>
        <w:t xml:space="preserve"> has:</w:t>
      </w:r>
    </w:p>
    <w:p w14:paraId="63B567E2" w14:textId="04EE1628" w:rsidR="00581981" w:rsidRPr="001E18A5" w:rsidRDefault="00AC26B4" w:rsidP="00AC26B4">
      <w:pPr>
        <w:spacing w:before="120"/>
        <w:ind w:left="567" w:hanging="567"/>
      </w:pPr>
      <w:r>
        <w:t>(1)</w:t>
      </w:r>
      <w:r>
        <w:tab/>
      </w:r>
      <w:proofErr w:type="gramStart"/>
      <w:r w:rsidR="00581981" w:rsidRPr="001E18A5">
        <w:t>the</w:t>
      </w:r>
      <w:proofErr w:type="gramEnd"/>
      <w:r w:rsidR="00581981" w:rsidRPr="001E18A5">
        <w:t xml:space="preserve"> capacity</w:t>
      </w:r>
      <w:r w:rsidR="00581981" w:rsidRPr="001E18A5">
        <w:rPr>
          <w:rStyle w:val="FootnoteReference"/>
        </w:rPr>
        <w:footnoteReference w:id="2"/>
      </w:r>
      <w:r w:rsidR="00581981" w:rsidRPr="001E18A5">
        <w:t xml:space="preserve"> and resources to detain and treat patients under the Act, in places that are suitable for that detention and treatment. This includes consideration of: </w:t>
      </w:r>
    </w:p>
    <w:p w14:paraId="415F2244" w14:textId="77777777" w:rsidR="00581981" w:rsidRPr="00076417" w:rsidRDefault="00581981" w:rsidP="00C8013C">
      <w:pPr>
        <w:pStyle w:val="Bullet"/>
        <w:tabs>
          <w:tab w:val="clear" w:pos="284"/>
          <w:tab w:val="num" w:pos="851"/>
        </w:tabs>
        <w:ind w:left="851"/>
      </w:pPr>
      <w:r w:rsidRPr="00076417">
        <w:t>the facility in which people will be treated</w:t>
      </w:r>
    </w:p>
    <w:p w14:paraId="79B26A62" w14:textId="77777777" w:rsidR="00581981" w:rsidRPr="00076417" w:rsidRDefault="00581981" w:rsidP="00C8013C">
      <w:pPr>
        <w:pStyle w:val="Bullet"/>
        <w:tabs>
          <w:tab w:val="clear" w:pos="284"/>
          <w:tab w:val="num" w:pos="851"/>
        </w:tabs>
        <w:ind w:left="851"/>
      </w:pPr>
      <w:r w:rsidRPr="00076417">
        <w:t>the skills, knowledge and qualifications mix of the workforce employed by the facility (treatment centre) or across a service provider</w:t>
      </w:r>
    </w:p>
    <w:p w14:paraId="4CA83014" w14:textId="77777777" w:rsidR="00581981" w:rsidRPr="00076417" w:rsidRDefault="00581981" w:rsidP="00C8013C">
      <w:pPr>
        <w:pStyle w:val="Bullet"/>
        <w:tabs>
          <w:tab w:val="clear" w:pos="284"/>
          <w:tab w:val="num" w:pos="851"/>
        </w:tabs>
        <w:ind w:left="851"/>
      </w:pPr>
      <w:r w:rsidRPr="00076417">
        <w:t>access to, and relationships with other services</w:t>
      </w:r>
    </w:p>
    <w:p w14:paraId="6B49607B" w14:textId="77777777" w:rsidR="00581981" w:rsidRPr="00076417" w:rsidRDefault="00581981" w:rsidP="00C8013C">
      <w:pPr>
        <w:pStyle w:val="Bullet"/>
        <w:tabs>
          <w:tab w:val="clear" w:pos="284"/>
          <w:tab w:val="num" w:pos="851"/>
        </w:tabs>
        <w:ind w:left="851"/>
      </w:pPr>
      <w:r w:rsidRPr="00076417">
        <w:t>the model of care adopted by the provider</w:t>
      </w:r>
    </w:p>
    <w:p w14:paraId="79073A21" w14:textId="77777777" w:rsidR="00581981" w:rsidRPr="001E18A5" w:rsidRDefault="00581981" w:rsidP="00503D49"/>
    <w:p w14:paraId="254DF01D" w14:textId="474B8492" w:rsidR="00581981" w:rsidRDefault="00AC26B4" w:rsidP="00AC26B4">
      <w:pPr>
        <w:ind w:left="567" w:hanging="567"/>
      </w:pPr>
      <w:r>
        <w:t>(2)</w:t>
      </w:r>
      <w:r>
        <w:tab/>
      </w:r>
      <w:proofErr w:type="gramStart"/>
      <w:r w:rsidR="00581981" w:rsidRPr="001E18A5">
        <w:t>the</w:t>
      </w:r>
      <w:proofErr w:type="gramEnd"/>
      <w:r w:rsidR="00581981" w:rsidRPr="001E18A5">
        <w:t xml:space="preserve"> ability to provide a safe environment for patients</w:t>
      </w:r>
      <w:r w:rsidR="00581981">
        <w:t>,</w:t>
      </w:r>
      <w:r w:rsidR="00581981" w:rsidRPr="001E18A5">
        <w:t xml:space="preserve"> and </w:t>
      </w:r>
      <w:r w:rsidR="00581981">
        <w:t>ability</w:t>
      </w:r>
      <w:r w:rsidR="00581981" w:rsidRPr="001E18A5">
        <w:t xml:space="preserve"> to detain this client group in the least restrictive environment. In practice, this should mean that patients are detained </w:t>
      </w:r>
      <w:r w:rsidR="00581981">
        <w:t>by</w:t>
      </w:r>
      <w:r w:rsidR="00581981" w:rsidRPr="001E18A5">
        <w:t xml:space="preserve"> intensive engagement in recovery programmes, rather than </w:t>
      </w:r>
      <w:r w:rsidR="00581981">
        <w:t>by b</w:t>
      </w:r>
      <w:r w:rsidR="00581981" w:rsidRPr="001E18A5">
        <w:t>eing in a locked environment</w:t>
      </w:r>
      <w:r w:rsidR="00581981">
        <w:t>. It also means the</w:t>
      </w:r>
      <w:r w:rsidR="00581981" w:rsidRPr="001E18A5">
        <w:t xml:space="preserve"> use of effective communication principles</w:t>
      </w:r>
      <w:r w:rsidR="00581981">
        <w:t xml:space="preserve"> and safe practice</w:t>
      </w:r>
      <w:r w:rsidR="00581981" w:rsidRPr="001E18A5">
        <w:t xml:space="preserve">. Doors can be locked at night (as they are in most domestic environments).  </w:t>
      </w:r>
    </w:p>
    <w:p w14:paraId="3DA9F1CE" w14:textId="77777777" w:rsidR="00503D49" w:rsidRPr="001E18A5" w:rsidRDefault="00503D49" w:rsidP="00503D49"/>
    <w:p w14:paraId="3A014035" w14:textId="77777777" w:rsidR="00581981" w:rsidRDefault="00581981" w:rsidP="00581981">
      <w:r w:rsidRPr="00786EFE">
        <w:rPr>
          <w:b/>
        </w:rPr>
        <w:t>Note</w:t>
      </w:r>
      <w:r>
        <w:t xml:space="preserve">: </w:t>
      </w:r>
      <w:r w:rsidRPr="008C3A34">
        <w:rPr>
          <w:i/>
        </w:rPr>
        <w:t>P</w:t>
      </w:r>
      <w:r>
        <w:rPr>
          <w:i/>
        </w:rPr>
        <w:t xml:space="preserve">eople </w:t>
      </w:r>
      <w:r w:rsidRPr="00786EFE">
        <w:rPr>
          <w:i/>
        </w:rPr>
        <w:t>subject to the Act cannot be placed in seclusion</w:t>
      </w:r>
      <w:r>
        <w:t>.</w:t>
      </w:r>
    </w:p>
    <w:p w14:paraId="4CA2D38B" w14:textId="77777777" w:rsidR="00503D49" w:rsidRDefault="00503D49" w:rsidP="00581981"/>
    <w:p w14:paraId="5D090985" w14:textId="77777777" w:rsidR="00581981" w:rsidRDefault="00581981" w:rsidP="00581981">
      <w:r w:rsidRPr="001E18A5">
        <w:t xml:space="preserve">The Act does not address how approved providers can demonstrate the ways in which they meet the requirements of section 92. However, potential approved providers must meet the Health and Disability </w:t>
      </w:r>
      <w:r>
        <w:t xml:space="preserve">Services </w:t>
      </w:r>
      <w:r w:rsidRPr="001E18A5">
        <w:t>Standards (HDSS)</w:t>
      </w:r>
      <w:r>
        <w:t xml:space="preserve"> </w:t>
      </w:r>
      <w:hyperlink r:id="rId19" w:history="1">
        <w:r w:rsidRPr="00430C81">
          <w:rPr>
            <w:rStyle w:val="Hyperlink"/>
          </w:rPr>
          <w:t>http://www.health.govt.nz/our-work/regulation-health-and-disability-system/certification-health-care-services/services-standards</w:t>
        </w:r>
      </w:hyperlink>
      <w:r w:rsidRPr="001E18A5">
        <w:t xml:space="preserve">, which cover a range of aspects of service delivery, including environment, resources, staffing, consumer rights, cultural, workforce training and experience, </w:t>
      </w:r>
      <w:r>
        <w:t>and so forth</w:t>
      </w:r>
      <w:r w:rsidRPr="001E18A5">
        <w:t>.</w:t>
      </w:r>
    </w:p>
    <w:p w14:paraId="1D9A6A9E" w14:textId="77777777" w:rsidR="00503D49" w:rsidRPr="001E18A5" w:rsidRDefault="00503D49" w:rsidP="00581981"/>
    <w:p w14:paraId="3EBF0C1B" w14:textId="77777777" w:rsidR="00581981" w:rsidRDefault="00581981" w:rsidP="00581981">
      <w:r w:rsidRPr="001E18A5">
        <w:t>The staff employed by an approved provider must be able to work with a client group that has multiple and complex needs, including medical needs. Some people will require regular medication, not only as part of their treatment for addiction but also as part of their general healthcare (</w:t>
      </w:r>
      <w:proofErr w:type="spellStart"/>
      <w:r>
        <w:t>eg</w:t>
      </w:r>
      <w:proofErr w:type="spellEnd"/>
      <w:r>
        <w:t>,</w:t>
      </w:r>
      <w:r w:rsidRPr="001E18A5">
        <w:t xml:space="preserve"> insulin-dependent diabetes, hepatitis, mental health problems requiring psychotropic medication). </w:t>
      </w:r>
    </w:p>
    <w:p w14:paraId="47F8F12F" w14:textId="77777777" w:rsidR="00503D49" w:rsidRPr="001E18A5" w:rsidRDefault="00503D49" w:rsidP="00581981"/>
    <w:p w14:paraId="42404B04" w14:textId="77777777" w:rsidR="00581981" w:rsidRDefault="00581981" w:rsidP="00581981">
      <w:r w:rsidRPr="001E18A5">
        <w:t xml:space="preserve">The Act requires that treatment received enhances and supports the </w:t>
      </w:r>
      <w:proofErr w:type="spellStart"/>
      <w:r w:rsidRPr="001E18A5">
        <w:t>mana</w:t>
      </w:r>
      <w:proofErr w:type="spellEnd"/>
      <w:r w:rsidRPr="001E18A5">
        <w:t xml:space="preserve"> and dignity of the person receiving care. This means that all processes (including treatment) under the Act must be delivered in a manner </w:t>
      </w:r>
      <w:r>
        <w:t>that</w:t>
      </w:r>
      <w:r w:rsidRPr="001E18A5">
        <w:t xml:space="preserve"> upholds the inherent </w:t>
      </w:r>
      <w:proofErr w:type="spellStart"/>
      <w:r w:rsidRPr="001E18A5">
        <w:t>mana</w:t>
      </w:r>
      <w:proofErr w:type="spellEnd"/>
      <w:r w:rsidRPr="001E18A5">
        <w:t xml:space="preserve"> and dignity of the person and enhances their wellbeing within the context of their condition and suitable to their assessed level of cognitive functioning. </w:t>
      </w:r>
    </w:p>
    <w:p w14:paraId="34498459" w14:textId="77777777" w:rsidR="00503D49" w:rsidRPr="001E18A5" w:rsidRDefault="00503D49" w:rsidP="00581981"/>
    <w:p w14:paraId="23D880B5" w14:textId="77777777" w:rsidR="00503D49" w:rsidRDefault="00581981" w:rsidP="00581981">
      <w:r w:rsidRPr="001E18A5">
        <w:t xml:space="preserve">Section 12 of the Act emphasises the </w:t>
      </w:r>
      <w:r>
        <w:t>need to respect</w:t>
      </w:r>
      <w:r w:rsidRPr="001E18A5">
        <w:t xml:space="preserve"> the culture of the person. This is reinforced in section 52. In practice, this will need more than occasional access to a cultural advisor; rather it should be a key feature of the service that is provided. </w:t>
      </w:r>
    </w:p>
    <w:p w14:paraId="5BFB5A8B" w14:textId="43CE570D" w:rsidR="00581981" w:rsidRDefault="00581981" w:rsidP="00581981">
      <w:r w:rsidRPr="001E18A5">
        <w:t xml:space="preserve">The model of care for the service must set out the ways in which the service will enhance the </w:t>
      </w:r>
      <w:proofErr w:type="spellStart"/>
      <w:r w:rsidRPr="001E18A5">
        <w:t>mana</w:t>
      </w:r>
      <w:proofErr w:type="spellEnd"/>
      <w:r w:rsidRPr="001E18A5">
        <w:t xml:space="preserve"> and dignity of patients </w:t>
      </w:r>
      <w:r>
        <w:t>as well as</w:t>
      </w:r>
      <w:r w:rsidRPr="001E18A5">
        <w:t xml:space="preserve"> provide for their specific cultural needs.</w:t>
      </w:r>
    </w:p>
    <w:p w14:paraId="76A45A1D" w14:textId="77777777" w:rsidR="00E45E16" w:rsidRDefault="00E45E16" w:rsidP="00E45E16">
      <w:pPr>
        <w:pStyle w:val="ListParagraph"/>
        <w:ind w:left="0"/>
        <w:rPr>
          <w:rFonts w:cs="Arial"/>
        </w:rPr>
      </w:pPr>
    </w:p>
    <w:p w14:paraId="5506136A" w14:textId="689916C6" w:rsidR="00E45E16" w:rsidRDefault="00E45E16" w:rsidP="00E45E16">
      <w:pPr>
        <w:pStyle w:val="ListParagraph"/>
        <w:ind w:left="0"/>
        <w:rPr>
          <w:rFonts w:cs="Helvetica"/>
          <w:szCs w:val="24"/>
          <w:lang w:val="en"/>
        </w:rPr>
      </w:pPr>
      <w:r>
        <w:rPr>
          <w:rFonts w:cs="Arial"/>
        </w:rPr>
        <w:t xml:space="preserve">Approved providers should incorporate into their treatment centre practice the guidance on </w:t>
      </w:r>
      <w:proofErr w:type="spellStart"/>
      <w:r>
        <w:rPr>
          <w:rFonts w:cs="Arial"/>
        </w:rPr>
        <w:t>mana</w:t>
      </w:r>
      <w:proofErr w:type="spellEnd"/>
      <w:r>
        <w:rPr>
          <w:rFonts w:cs="Arial"/>
        </w:rPr>
        <w:t xml:space="preserve"> enhancing and </w:t>
      </w:r>
      <w:proofErr w:type="spellStart"/>
      <w:r>
        <w:rPr>
          <w:rFonts w:cs="Arial"/>
        </w:rPr>
        <w:t>mana</w:t>
      </w:r>
      <w:proofErr w:type="spellEnd"/>
      <w:r>
        <w:rPr>
          <w:rFonts w:cs="Arial"/>
        </w:rPr>
        <w:t xml:space="preserve"> protecting practice </w:t>
      </w:r>
      <w:r w:rsidR="00CF010A">
        <w:rPr>
          <w:rFonts w:cs="Arial"/>
        </w:rPr>
        <w:t xml:space="preserve">under the Act, </w:t>
      </w:r>
      <w:r>
        <w:rPr>
          <w:rFonts w:cs="Arial"/>
        </w:rPr>
        <w:t xml:space="preserve">developed by </w:t>
      </w:r>
      <w:proofErr w:type="spellStart"/>
      <w:r>
        <w:rPr>
          <w:rFonts w:cs="Arial"/>
        </w:rPr>
        <w:t>Te</w:t>
      </w:r>
      <w:proofErr w:type="spellEnd"/>
      <w:r>
        <w:rPr>
          <w:rFonts w:cs="Arial"/>
        </w:rPr>
        <w:t xml:space="preserve"> Rau </w:t>
      </w:r>
      <w:proofErr w:type="spellStart"/>
      <w:r>
        <w:rPr>
          <w:rFonts w:cs="Arial"/>
          <w:szCs w:val="24"/>
        </w:rPr>
        <w:t>Matatini</w:t>
      </w:r>
      <w:proofErr w:type="spellEnd"/>
      <w:r>
        <w:rPr>
          <w:rFonts w:cs="Arial"/>
          <w:szCs w:val="24"/>
        </w:rPr>
        <w:t xml:space="preserve">, the </w:t>
      </w:r>
      <w:r>
        <w:rPr>
          <w:rFonts w:cs="Helvetica"/>
          <w:szCs w:val="24"/>
          <w:lang w:val="en"/>
        </w:rPr>
        <w:t>National Centre for Māori Health, Māori Workforce Development and Excellence:</w:t>
      </w:r>
    </w:p>
    <w:p w14:paraId="6523B434" w14:textId="77777777" w:rsidR="00E45E16" w:rsidRPr="00B51DB1" w:rsidRDefault="00E45E16" w:rsidP="00E45E16">
      <w:pPr>
        <w:pStyle w:val="ListParagraph"/>
        <w:numPr>
          <w:ilvl w:val="0"/>
          <w:numId w:val="21"/>
        </w:numPr>
        <w:spacing w:after="160" w:line="259" w:lineRule="auto"/>
        <w:rPr>
          <w:i/>
          <w:szCs w:val="24"/>
        </w:rPr>
      </w:pPr>
      <w:proofErr w:type="spellStart"/>
      <w:r w:rsidRPr="00B51DB1">
        <w:rPr>
          <w:rFonts w:cs="Helvetica"/>
          <w:i/>
          <w:szCs w:val="24"/>
          <w:lang w:val="en"/>
        </w:rPr>
        <w:t>Manaaki</w:t>
      </w:r>
      <w:proofErr w:type="spellEnd"/>
      <w:r w:rsidRPr="00B51DB1">
        <w:rPr>
          <w:rFonts w:cs="Helvetica"/>
          <w:i/>
          <w:szCs w:val="24"/>
          <w:lang w:val="en"/>
        </w:rPr>
        <w:t xml:space="preserve"> </w:t>
      </w:r>
      <w:proofErr w:type="spellStart"/>
      <w:r w:rsidRPr="00B51DB1">
        <w:rPr>
          <w:rFonts w:cs="Helvetica"/>
          <w:i/>
          <w:szCs w:val="24"/>
          <w:lang w:val="en"/>
        </w:rPr>
        <w:t>Mana</w:t>
      </w:r>
      <w:proofErr w:type="spellEnd"/>
      <w:r w:rsidRPr="00B51DB1">
        <w:rPr>
          <w:rFonts w:cs="Helvetica"/>
          <w:i/>
          <w:szCs w:val="24"/>
          <w:lang w:val="en"/>
        </w:rPr>
        <w:t xml:space="preserve"> Enhancing and </w:t>
      </w:r>
      <w:proofErr w:type="spellStart"/>
      <w:r w:rsidRPr="00B51DB1">
        <w:rPr>
          <w:rFonts w:cs="Helvetica"/>
          <w:i/>
          <w:szCs w:val="24"/>
          <w:lang w:val="en"/>
        </w:rPr>
        <w:t>Mana</w:t>
      </w:r>
      <w:proofErr w:type="spellEnd"/>
      <w:r w:rsidRPr="00B51DB1">
        <w:rPr>
          <w:rFonts w:cs="Helvetica"/>
          <w:i/>
          <w:szCs w:val="24"/>
          <w:lang w:val="en"/>
        </w:rPr>
        <w:t xml:space="preserve"> Protectin</w:t>
      </w:r>
      <w:r>
        <w:rPr>
          <w:rFonts w:cs="Helvetica"/>
          <w:i/>
          <w:szCs w:val="24"/>
          <w:lang w:val="en"/>
        </w:rPr>
        <w:t>g, a practitioner resource.</w:t>
      </w:r>
      <w:r>
        <w:rPr>
          <w:rStyle w:val="FootnoteReference"/>
          <w:rFonts w:cs="Helvetica"/>
          <w:i/>
          <w:szCs w:val="24"/>
          <w:lang w:val="en"/>
        </w:rPr>
        <w:footnoteReference w:id="3"/>
      </w:r>
      <w:r>
        <w:rPr>
          <w:rFonts w:cs="Helvetica"/>
          <w:i/>
          <w:szCs w:val="24"/>
          <w:lang w:val="en"/>
        </w:rPr>
        <w:t xml:space="preserve"> </w:t>
      </w:r>
    </w:p>
    <w:p w14:paraId="76AE4191" w14:textId="77777777" w:rsidR="00572C23" w:rsidRDefault="00572C23" w:rsidP="00572C23">
      <w:pPr>
        <w:rPr>
          <w:b/>
          <w:sz w:val="28"/>
          <w:szCs w:val="28"/>
        </w:rPr>
      </w:pPr>
    </w:p>
    <w:p w14:paraId="6EF717D5" w14:textId="77777777" w:rsidR="00581981" w:rsidRPr="00581981" w:rsidRDefault="00581981" w:rsidP="00581981">
      <w:pPr>
        <w:pStyle w:val="Heading2"/>
      </w:pPr>
      <w:bookmarkStart w:id="5" w:name="_Toc497310825"/>
      <w:r w:rsidRPr="00581981">
        <w:t>Model of care</w:t>
      </w:r>
      <w:bookmarkEnd w:id="5"/>
      <w:r w:rsidRPr="00581981">
        <w:t xml:space="preserve"> </w:t>
      </w:r>
    </w:p>
    <w:p w14:paraId="185A3EDE" w14:textId="77777777" w:rsidR="00581981" w:rsidRPr="001E18A5" w:rsidRDefault="00581981" w:rsidP="00581981">
      <w:r w:rsidRPr="001E18A5">
        <w:t xml:space="preserve">This section is extracted from </w:t>
      </w:r>
      <w:r w:rsidRPr="00953DB0">
        <w:rPr>
          <w:i/>
        </w:rPr>
        <w:t>Commissioning Framework for Mental Health and Addiction: A New Zealand guide</w:t>
      </w:r>
      <w:r w:rsidRPr="00953DB0">
        <w:t xml:space="preserve"> (Ministry of Health, 2016).</w:t>
      </w:r>
      <w:r w:rsidRPr="001E18A5">
        <w:rPr>
          <w:i/>
        </w:rPr>
        <w:t xml:space="preserve"> </w:t>
      </w:r>
      <w:r w:rsidRPr="001E18A5">
        <w:t>The Ministry of Health expects mental health and addiction services to develop models of care that:</w:t>
      </w:r>
    </w:p>
    <w:p w14:paraId="592A811F" w14:textId="77777777" w:rsidR="00581981" w:rsidRPr="00503D49" w:rsidRDefault="00581981" w:rsidP="00503D49">
      <w:pPr>
        <w:pStyle w:val="Bullet"/>
      </w:pPr>
      <w:r w:rsidRPr="00503D49">
        <w:t>clearly state the nature of their services</w:t>
      </w:r>
    </w:p>
    <w:p w14:paraId="4EA85E20" w14:textId="77777777" w:rsidR="00581981" w:rsidRDefault="00581981" w:rsidP="00503D49">
      <w:pPr>
        <w:pStyle w:val="Bullet"/>
      </w:pPr>
      <w:proofErr w:type="gramStart"/>
      <w:r w:rsidRPr="00503D49">
        <w:t>provide</w:t>
      </w:r>
      <w:proofErr w:type="gramEnd"/>
      <w:r w:rsidRPr="00503D49">
        <w:t xml:space="preserve"> a basis for funding against which the effectiveness of those services can be measured.</w:t>
      </w:r>
    </w:p>
    <w:p w14:paraId="21F7AADB" w14:textId="77777777" w:rsidR="00503D49" w:rsidRPr="00503D49" w:rsidRDefault="00503D49" w:rsidP="00503D49">
      <w:pPr>
        <w:pStyle w:val="Bullet"/>
        <w:numPr>
          <w:ilvl w:val="0"/>
          <w:numId w:val="0"/>
        </w:numPr>
      </w:pPr>
    </w:p>
    <w:p w14:paraId="2C2FBFA0" w14:textId="77777777" w:rsidR="00581981" w:rsidRDefault="00581981" w:rsidP="00581981">
      <w:r w:rsidRPr="001E18A5">
        <w:t xml:space="preserve">The aim of a model of care is to describe best practice care and services within a system (or a part of that system) for a person or population group as they progress through the stages of a condition, injury or episode of care. Models of care should span a range of services, including primary and secondary services and those provided by </w:t>
      </w:r>
      <w:r>
        <w:t>non-governmental organisations (</w:t>
      </w:r>
      <w:r w:rsidRPr="001E18A5">
        <w:t>NGOs</w:t>
      </w:r>
      <w:r>
        <w:t>)</w:t>
      </w:r>
      <w:r w:rsidRPr="001E18A5">
        <w:t xml:space="preserve"> and in the community. </w:t>
      </w:r>
    </w:p>
    <w:p w14:paraId="356260E3" w14:textId="77777777" w:rsidR="00503D49" w:rsidRPr="001E18A5" w:rsidRDefault="00503D49" w:rsidP="00581981"/>
    <w:p w14:paraId="3ED73A56" w14:textId="77777777" w:rsidR="00581981" w:rsidRPr="001E18A5" w:rsidRDefault="00581981" w:rsidP="00581981">
      <w:r w:rsidRPr="001E18A5">
        <w:t>The following principles need to underpin any model of care for mental health and addiction to ensure the success of services.</w:t>
      </w:r>
    </w:p>
    <w:p w14:paraId="61E5CD95" w14:textId="77777777" w:rsidR="00581981" w:rsidRPr="00503D49" w:rsidRDefault="00581981" w:rsidP="00503D49">
      <w:pPr>
        <w:pStyle w:val="Bullet"/>
      </w:pPr>
      <w:r w:rsidRPr="00503D49">
        <w:t xml:space="preserve">Consumers and their family and </w:t>
      </w:r>
      <w:proofErr w:type="spellStart"/>
      <w:r w:rsidRPr="00503D49">
        <w:t>whānau</w:t>
      </w:r>
      <w:proofErr w:type="spellEnd"/>
      <w:r w:rsidRPr="00503D49">
        <w:t xml:space="preserve"> (including children) are at the centre of the model. The Act is explicit about inclusion of support people and family and </w:t>
      </w:r>
      <w:proofErr w:type="spellStart"/>
      <w:r w:rsidRPr="00503D49">
        <w:t>whānau</w:t>
      </w:r>
      <w:proofErr w:type="spellEnd"/>
      <w:r w:rsidRPr="00503D49">
        <w:t xml:space="preserve"> involvement throughout the process, including in treatment planning, transfer decisions, discharge and care plans.</w:t>
      </w:r>
    </w:p>
    <w:p w14:paraId="480CACE3" w14:textId="77777777" w:rsidR="00581981" w:rsidRPr="00503D49" w:rsidRDefault="00581981" w:rsidP="00503D49">
      <w:pPr>
        <w:pStyle w:val="Bullet"/>
      </w:pPr>
      <w:r w:rsidRPr="00503D49">
        <w:t>A robust framework underpins service delivery, reflecting clinical and non-clinical aspects of care.</w:t>
      </w:r>
    </w:p>
    <w:p w14:paraId="29515F8D" w14:textId="77777777" w:rsidR="00581981" w:rsidRPr="00503D49" w:rsidRDefault="00581981" w:rsidP="00503D49">
      <w:pPr>
        <w:pStyle w:val="Bullet"/>
      </w:pPr>
      <w:r w:rsidRPr="00503D49">
        <w:t>The model focuses on resilience and recovery.</w:t>
      </w:r>
    </w:p>
    <w:p w14:paraId="31CB6AF5" w14:textId="77777777" w:rsidR="00581981" w:rsidRPr="00503D49" w:rsidRDefault="00581981" w:rsidP="00503D49">
      <w:pPr>
        <w:pStyle w:val="Bullet"/>
      </w:pPr>
      <w:r w:rsidRPr="00503D49">
        <w:t>The model reflects holistic practice that is focused on wellbeing and includes responses from outside the health sector.</w:t>
      </w:r>
    </w:p>
    <w:p w14:paraId="63D2FE76" w14:textId="77777777" w:rsidR="00581981" w:rsidRPr="00503D49" w:rsidRDefault="00581981" w:rsidP="00503D49">
      <w:pPr>
        <w:pStyle w:val="Bullet"/>
      </w:pPr>
      <w:r w:rsidRPr="00503D49">
        <w:t>The model has a systemic focus.</w:t>
      </w:r>
    </w:p>
    <w:p w14:paraId="3078DD52" w14:textId="77777777" w:rsidR="00581981" w:rsidRPr="00503D49" w:rsidRDefault="00581981" w:rsidP="00503D49">
      <w:pPr>
        <w:pStyle w:val="Bullet"/>
      </w:pPr>
      <w:r w:rsidRPr="00503D49">
        <w:t>Responses reflect evidence of best practice (defined as dynamic, evidence-informed, innovative and open to change).</w:t>
      </w:r>
    </w:p>
    <w:p w14:paraId="27CF4E36" w14:textId="77777777" w:rsidR="00581981" w:rsidRPr="00503D49" w:rsidRDefault="00581981" w:rsidP="00503D49">
      <w:pPr>
        <w:pStyle w:val="Bullet"/>
      </w:pPr>
      <w:r w:rsidRPr="00503D49">
        <w:t>Data is used to inform practice.</w:t>
      </w:r>
    </w:p>
    <w:p w14:paraId="56F822AA" w14:textId="77777777" w:rsidR="00581981" w:rsidRPr="00503D49" w:rsidRDefault="00581981" w:rsidP="00503D49">
      <w:pPr>
        <w:pStyle w:val="Bullet"/>
      </w:pPr>
      <w:r w:rsidRPr="00503D49">
        <w:t>The model is responsive to co-existing problems.</w:t>
      </w:r>
    </w:p>
    <w:p w14:paraId="0856C4AE" w14:textId="77777777" w:rsidR="00581981" w:rsidRPr="00503D49" w:rsidRDefault="00581981" w:rsidP="00503D49">
      <w:pPr>
        <w:pStyle w:val="Bullet"/>
      </w:pPr>
      <w:r w:rsidRPr="00503D49">
        <w:t xml:space="preserve">Responses are culturally competent as well as clinically competent and reflect </w:t>
      </w:r>
      <w:proofErr w:type="spellStart"/>
      <w:r w:rsidRPr="00503D49">
        <w:t>whānau</w:t>
      </w:r>
      <w:proofErr w:type="spellEnd"/>
      <w:r w:rsidRPr="00503D49">
        <w:t xml:space="preserve"> </w:t>
      </w:r>
      <w:proofErr w:type="spellStart"/>
      <w:r w:rsidRPr="00503D49">
        <w:t>ora</w:t>
      </w:r>
      <w:proofErr w:type="spellEnd"/>
      <w:r w:rsidRPr="00503D49">
        <w:t>.</w:t>
      </w:r>
    </w:p>
    <w:p w14:paraId="03C3F06D" w14:textId="77777777" w:rsidR="00581981" w:rsidRPr="00503D49" w:rsidRDefault="00581981" w:rsidP="00503D49">
      <w:pPr>
        <w:pStyle w:val="Bullet"/>
      </w:pPr>
      <w:r w:rsidRPr="00503D49">
        <w:t>The model is part of a range of information used to develop funding models.</w:t>
      </w:r>
    </w:p>
    <w:p w14:paraId="7441FDAC" w14:textId="7909AD1C" w:rsidR="00B822E8" w:rsidRDefault="00581981" w:rsidP="00B822E8">
      <w:pPr>
        <w:pStyle w:val="Bullet"/>
      </w:pPr>
      <w:r w:rsidRPr="00503D49">
        <w:t>The model can relate to other models of care within the district health board (DHB) and to models of care for regional services (</w:t>
      </w:r>
      <w:proofErr w:type="spellStart"/>
      <w:r w:rsidRPr="00503D49">
        <w:t>eg</w:t>
      </w:r>
      <w:proofErr w:type="spellEnd"/>
      <w:r w:rsidRPr="00503D49">
        <w:t>, adult forensic mental health services).</w:t>
      </w:r>
    </w:p>
    <w:p w14:paraId="034311D2" w14:textId="77777777" w:rsidR="00AE22AB" w:rsidRPr="004C70C5" w:rsidRDefault="00AE22AB" w:rsidP="00AE22AB">
      <w:pPr>
        <w:pStyle w:val="Bullet"/>
        <w:numPr>
          <w:ilvl w:val="0"/>
          <w:numId w:val="0"/>
        </w:numPr>
      </w:pPr>
    </w:p>
    <w:p w14:paraId="35A8A2AF" w14:textId="77777777" w:rsidR="008E7961" w:rsidRPr="008E7961" w:rsidRDefault="008E7961" w:rsidP="00AE22AB">
      <w:pPr>
        <w:pStyle w:val="Heading2"/>
      </w:pPr>
      <w:bookmarkStart w:id="6" w:name="_Toc497310826"/>
      <w:r w:rsidRPr="008E7961">
        <w:t>Relationships with other providers</w:t>
      </w:r>
      <w:bookmarkEnd w:id="6"/>
      <w:r w:rsidRPr="008E7961">
        <w:t xml:space="preserve"> </w:t>
      </w:r>
    </w:p>
    <w:p w14:paraId="2175DDC1" w14:textId="77777777" w:rsidR="008E7961" w:rsidRPr="001E18A5" w:rsidRDefault="008E7961" w:rsidP="008E7961">
      <w:r w:rsidRPr="001E18A5">
        <w:t xml:space="preserve">The manager of the treatment centre must have effective relationships with: </w:t>
      </w:r>
    </w:p>
    <w:p w14:paraId="41C90835" w14:textId="77777777" w:rsidR="008E7961" w:rsidRPr="001E18A5" w:rsidRDefault="008E7961" w:rsidP="008E7961">
      <w:pPr>
        <w:pStyle w:val="Bullet"/>
      </w:pPr>
      <w:r w:rsidRPr="001E18A5">
        <w:t>a range of community providers and specialist services to enable smooth transition of individuals between services, particularly in relation to ongoing care; and these relationships should be reflected in memoranda of understanding or other instruments</w:t>
      </w:r>
    </w:p>
    <w:p w14:paraId="584CC3F3" w14:textId="77777777" w:rsidR="008E7961" w:rsidRPr="001E18A5" w:rsidRDefault="008E7961" w:rsidP="008E7961">
      <w:pPr>
        <w:pStyle w:val="Bullet"/>
      </w:pPr>
      <w:r w:rsidRPr="001E18A5">
        <w:t xml:space="preserve">primary and specialist addiction, mental health </w:t>
      </w:r>
      <w:bookmarkStart w:id="7" w:name="_GoBack"/>
      <w:bookmarkEnd w:id="7"/>
      <w:r w:rsidRPr="001E18A5">
        <w:t>and disability (long</w:t>
      </w:r>
      <w:r>
        <w:t>-</w:t>
      </w:r>
      <w:r w:rsidRPr="001E18A5">
        <w:t>term care) services, including both DHB and NGO services, Need</w:t>
      </w:r>
      <w:r>
        <w:t>s</w:t>
      </w:r>
      <w:r w:rsidRPr="001E18A5">
        <w:t xml:space="preserve"> Assessment and Service</w:t>
      </w:r>
      <w:r>
        <w:t xml:space="preserve"> Coordination</w:t>
      </w:r>
      <w:r w:rsidRPr="001E18A5">
        <w:t xml:space="preserve"> (NASC) </w:t>
      </w:r>
      <w:r>
        <w:t xml:space="preserve">services </w:t>
      </w:r>
      <w:r w:rsidRPr="001E18A5">
        <w:t xml:space="preserve">and with </w:t>
      </w:r>
      <w:r>
        <w:t>p</w:t>
      </w:r>
      <w:r w:rsidRPr="001E18A5">
        <w:t>alliative care</w:t>
      </w:r>
      <w:r>
        <w:t xml:space="preserve"> services</w:t>
      </w:r>
    </w:p>
    <w:p w14:paraId="1406344C" w14:textId="77777777" w:rsidR="008E7961" w:rsidRDefault="008E7961" w:rsidP="008E7961">
      <w:pPr>
        <w:pStyle w:val="Bullet"/>
      </w:pPr>
      <w:proofErr w:type="gramStart"/>
      <w:r w:rsidRPr="001E18A5">
        <w:t>health</w:t>
      </w:r>
      <w:proofErr w:type="gramEnd"/>
      <w:r w:rsidRPr="001E18A5">
        <w:t xml:space="preserve"> services (primary and specialist) to ensure the physical health needs of people with severe substance addiction are met. </w:t>
      </w:r>
    </w:p>
    <w:p w14:paraId="4C15568E" w14:textId="77777777" w:rsidR="008E7961" w:rsidRPr="001E18A5" w:rsidRDefault="008E7961" w:rsidP="008E7961">
      <w:pPr>
        <w:pStyle w:val="Bullet"/>
        <w:numPr>
          <w:ilvl w:val="0"/>
          <w:numId w:val="0"/>
        </w:numPr>
      </w:pPr>
    </w:p>
    <w:p w14:paraId="4D10F41E" w14:textId="77777777" w:rsidR="008E7961" w:rsidRPr="001E18A5" w:rsidRDefault="008E7961" w:rsidP="008E7961">
      <w:pPr>
        <w:pStyle w:val="Heading2"/>
      </w:pPr>
      <w:bookmarkStart w:id="8" w:name="_Toc497310827"/>
      <w:r w:rsidRPr="001E18A5">
        <w:t>Workforce</w:t>
      </w:r>
      <w:bookmarkEnd w:id="8"/>
    </w:p>
    <w:p w14:paraId="1E71F8B2" w14:textId="5EE0D9AC" w:rsidR="008E7961" w:rsidRPr="001E18A5" w:rsidRDefault="008E7961" w:rsidP="008E7961">
      <w:r w:rsidRPr="001E18A5">
        <w:t>The approved provider and/or the manager of a treatment centre must understand the roles of officials appointed under the Act and be able to facilitate their engagement with patients. Th</w:t>
      </w:r>
      <w:r w:rsidR="00A32CD8">
        <w:t xml:space="preserve">e </w:t>
      </w:r>
      <w:r w:rsidRPr="001E18A5">
        <w:t xml:space="preserve">Director of Area Addiction Services </w:t>
      </w:r>
      <w:r>
        <w:t>(</w:t>
      </w:r>
      <w:r w:rsidRPr="001E18A5">
        <w:t>Area Director</w:t>
      </w:r>
      <w:r>
        <w:t>)</w:t>
      </w:r>
      <w:r w:rsidRPr="001E18A5">
        <w:t>, authorised officers and responsible clinicians may not be employed by the treatment provider, but will be engaged in ensuring proper administration of the Act, and in maintaining oversight of</w:t>
      </w:r>
      <w:r>
        <w:t>,</w:t>
      </w:r>
      <w:r w:rsidRPr="001E18A5">
        <w:t xml:space="preserve"> and making decisions about</w:t>
      </w:r>
      <w:r>
        <w:t>,</w:t>
      </w:r>
      <w:r w:rsidRPr="001E18A5">
        <w:t xml:space="preserve"> treatment. </w:t>
      </w:r>
    </w:p>
    <w:p w14:paraId="155E7752" w14:textId="77777777" w:rsidR="008E7961" w:rsidRPr="001E18A5" w:rsidRDefault="008E7961" w:rsidP="008E7961">
      <w:r w:rsidRPr="001E18A5">
        <w:t xml:space="preserve">Staff </w:t>
      </w:r>
      <w:r>
        <w:t>who</w:t>
      </w:r>
      <w:r w:rsidRPr="001E18A5">
        <w:t xml:space="preserve"> deliver treatment to patients under the Act need to be part of a multidisciplinary team that includes health professionals with expertise in the treatment of people with severe substance addiction. This may include, but is not limited to</w:t>
      </w:r>
      <w:r>
        <w:t>,</w:t>
      </w:r>
      <w:r w:rsidRPr="001E18A5">
        <w:t xml:space="preserve"> practitioners with expertise in nutrition, physical therapy, activities of daily living and self-cares, cognitive remediation, social work and </w:t>
      </w:r>
      <w:proofErr w:type="spellStart"/>
      <w:r w:rsidRPr="001E18A5">
        <w:t>wh</w:t>
      </w:r>
      <w:r w:rsidRPr="001E18A5">
        <w:rPr>
          <w:rFonts w:cs="Arial"/>
        </w:rPr>
        <w:t>ā</w:t>
      </w:r>
      <w:r w:rsidRPr="001E18A5">
        <w:t>nau</w:t>
      </w:r>
      <w:proofErr w:type="spellEnd"/>
      <w:r w:rsidRPr="001E18A5">
        <w:t xml:space="preserve"> </w:t>
      </w:r>
      <w:proofErr w:type="spellStart"/>
      <w:r w:rsidRPr="001E18A5">
        <w:t>ora</w:t>
      </w:r>
      <w:proofErr w:type="spellEnd"/>
      <w:r w:rsidRPr="001E18A5">
        <w:t>.</w:t>
      </w:r>
    </w:p>
    <w:p w14:paraId="6414302C" w14:textId="77777777" w:rsidR="008E7961" w:rsidRDefault="008E7961" w:rsidP="008E7961">
      <w:r w:rsidRPr="001E18A5">
        <w:t xml:space="preserve">Care and treatment must be delivered by a multidisciplinary team, operating within a model of care that is recovery-based and trauma-informed.  </w:t>
      </w:r>
    </w:p>
    <w:p w14:paraId="6339B680" w14:textId="77777777" w:rsidR="008E7961" w:rsidRPr="001E18A5" w:rsidRDefault="008E7961" w:rsidP="008E7961"/>
    <w:p w14:paraId="7588E857" w14:textId="77777777" w:rsidR="008E7961" w:rsidRDefault="008E7961" w:rsidP="008E7961">
      <w:r w:rsidRPr="001E18A5">
        <w:t xml:space="preserve">The approved provider and all staff engaged with patients under the Act, must understand the purpose, scope and impact of the Act, including powers and responsibilities in relation to patients detained under the Act. This includes the roles and powers of the Director of Addiction Services, the Area </w:t>
      </w:r>
      <w:r>
        <w:t>Director</w:t>
      </w:r>
      <w:r w:rsidRPr="001E18A5">
        <w:t>, approved specialist</w:t>
      </w:r>
      <w:r>
        <w:t>s</w:t>
      </w:r>
      <w:r w:rsidRPr="001E18A5">
        <w:t>, responsible clinician</w:t>
      </w:r>
      <w:r>
        <w:t xml:space="preserve">s </w:t>
      </w:r>
      <w:r w:rsidRPr="001E18A5">
        <w:t xml:space="preserve">and district inspectors. The provider should either provide, or support the participation of staff in relevant training and education about the use and interpretation of the Act.   </w:t>
      </w:r>
    </w:p>
    <w:p w14:paraId="381B36FA" w14:textId="77777777" w:rsidR="008E7961" w:rsidRPr="001E18A5" w:rsidRDefault="008E7961" w:rsidP="008E7961"/>
    <w:p w14:paraId="20464213" w14:textId="77777777" w:rsidR="008E7961" w:rsidRPr="001E18A5" w:rsidRDefault="008E7961" w:rsidP="008E7961">
      <w:r w:rsidRPr="001E18A5">
        <w:t>The approved provider must be able to demonstrate an understanding of a range of legislation relevant to patients under the Act and voluntary clients, including</w:t>
      </w:r>
      <w:r>
        <w:t>:</w:t>
      </w:r>
      <w:r w:rsidRPr="001E18A5">
        <w:t xml:space="preserve"> </w:t>
      </w:r>
    </w:p>
    <w:p w14:paraId="42619F1B" w14:textId="77777777" w:rsidR="008E7961" w:rsidRPr="001E18A5" w:rsidRDefault="008E7961" w:rsidP="008E7961">
      <w:pPr>
        <w:pStyle w:val="Bullet"/>
      </w:pPr>
      <w:r>
        <w:t>t</w:t>
      </w:r>
      <w:r w:rsidRPr="001E18A5">
        <w:t xml:space="preserve">he Mental Health (Compulsory Assessment and Treatment) Act 1992 </w:t>
      </w:r>
    </w:p>
    <w:p w14:paraId="36219E3C" w14:textId="77777777" w:rsidR="008E7961" w:rsidRPr="001E18A5" w:rsidRDefault="008E7961" w:rsidP="008E7961">
      <w:pPr>
        <w:pStyle w:val="Bullet"/>
      </w:pPr>
      <w:r>
        <w:t>t</w:t>
      </w:r>
      <w:r w:rsidRPr="001E18A5">
        <w:t>he Protection of Personal and Property Rights Act 1988</w:t>
      </w:r>
    </w:p>
    <w:p w14:paraId="42C02BF4" w14:textId="77777777" w:rsidR="008E7961" w:rsidRPr="001E18A5" w:rsidRDefault="008E7961" w:rsidP="008E7961">
      <w:pPr>
        <w:pStyle w:val="Bullet"/>
      </w:pPr>
      <w:r>
        <w:t>t</w:t>
      </w:r>
      <w:r w:rsidRPr="001E18A5">
        <w:t xml:space="preserve">he Privacy Act </w:t>
      </w:r>
      <w:r>
        <w:t xml:space="preserve">1993 </w:t>
      </w:r>
      <w:r w:rsidRPr="001E18A5">
        <w:t>and the Health Information Privacy Code</w:t>
      </w:r>
      <w:r>
        <w:t xml:space="preserve"> 1994</w:t>
      </w:r>
    </w:p>
    <w:p w14:paraId="61630668" w14:textId="77777777" w:rsidR="008E7961" w:rsidRDefault="008E7961" w:rsidP="008E7961">
      <w:pPr>
        <w:pStyle w:val="Bullet"/>
      </w:pPr>
      <w:proofErr w:type="gramStart"/>
      <w:r>
        <w:t>t</w:t>
      </w:r>
      <w:r w:rsidRPr="001E18A5">
        <w:t>he</w:t>
      </w:r>
      <w:proofErr w:type="gramEnd"/>
      <w:r w:rsidRPr="001E18A5">
        <w:t xml:space="preserve"> Health and Safety at Work Act 2015</w:t>
      </w:r>
      <w:r>
        <w:t>.</w:t>
      </w:r>
    </w:p>
    <w:p w14:paraId="01B5B69A" w14:textId="77777777" w:rsidR="00AE22AB" w:rsidRPr="001E18A5" w:rsidRDefault="00AE22AB" w:rsidP="00AE22AB">
      <w:pPr>
        <w:pStyle w:val="Bullet"/>
        <w:numPr>
          <w:ilvl w:val="0"/>
          <w:numId w:val="0"/>
        </w:numPr>
      </w:pPr>
    </w:p>
    <w:p w14:paraId="2EF9AAA9" w14:textId="77777777" w:rsidR="008E7961" w:rsidRPr="001E18A5" w:rsidRDefault="008E7961" w:rsidP="008E7961">
      <w:pPr>
        <w:pStyle w:val="Heading2"/>
      </w:pPr>
      <w:bookmarkStart w:id="9" w:name="_Toc497310828"/>
      <w:r w:rsidRPr="001E18A5">
        <w:t>Resources</w:t>
      </w:r>
      <w:bookmarkEnd w:id="9"/>
      <w:r w:rsidRPr="001E18A5">
        <w:t xml:space="preserve"> </w:t>
      </w:r>
    </w:p>
    <w:p w14:paraId="3B14D7EE" w14:textId="77777777" w:rsidR="008E7961" w:rsidRPr="001E18A5" w:rsidRDefault="008E7961" w:rsidP="008E7961">
      <w:r w:rsidRPr="001E18A5">
        <w:t xml:space="preserve">An approved provider must demonstrate that </w:t>
      </w:r>
      <w:r>
        <w:t>they</w:t>
      </w:r>
      <w:r w:rsidRPr="001E18A5">
        <w:t xml:space="preserve"> ha</w:t>
      </w:r>
      <w:r>
        <w:t>ve</w:t>
      </w:r>
      <w:r w:rsidRPr="001E18A5">
        <w:t xml:space="preserve"> access to the necessary resources to deliver intensive rehabilitation to patients under the Act. This does not necessarily mean that the approved provider needs to employ </w:t>
      </w:r>
      <w:r>
        <w:t>staff</w:t>
      </w:r>
      <w:r w:rsidRPr="001E18A5">
        <w:t xml:space="preserve"> in these role</w:t>
      </w:r>
      <w:r>
        <w:t>s</w:t>
      </w:r>
      <w:r w:rsidRPr="001E18A5">
        <w:t xml:space="preserve"> but that the service may need:  </w:t>
      </w:r>
    </w:p>
    <w:p w14:paraId="29ACAAB1" w14:textId="77777777" w:rsidR="008E7961" w:rsidRPr="001E18A5" w:rsidRDefault="008E7961" w:rsidP="008E7961">
      <w:pPr>
        <w:pStyle w:val="Bullet"/>
      </w:pPr>
      <w:r w:rsidRPr="001E18A5">
        <w:t xml:space="preserve">access to interpreter services </w:t>
      </w:r>
    </w:p>
    <w:p w14:paraId="601D0AFC" w14:textId="77777777" w:rsidR="008E7961" w:rsidRPr="001E18A5" w:rsidRDefault="008E7961" w:rsidP="008E7961">
      <w:pPr>
        <w:pStyle w:val="Bullet"/>
      </w:pPr>
      <w:r w:rsidRPr="001E18A5">
        <w:t xml:space="preserve">relationships with peer support services, advocacy and </w:t>
      </w:r>
      <w:proofErr w:type="spellStart"/>
      <w:r w:rsidRPr="001E18A5">
        <w:t>wh</w:t>
      </w:r>
      <w:r w:rsidRPr="001E18A5">
        <w:rPr>
          <w:rFonts w:cs="Arial"/>
        </w:rPr>
        <w:t>ā</w:t>
      </w:r>
      <w:r w:rsidRPr="001E18A5">
        <w:t>nau</w:t>
      </w:r>
      <w:proofErr w:type="spellEnd"/>
      <w:r w:rsidRPr="001E18A5">
        <w:t xml:space="preserve"> support</w:t>
      </w:r>
    </w:p>
    <w:p w14:paraId="553B58B6" w14:textId="77777777" w:rsidR="008E7961" w:rsidRPr="001E18A5" w:rsidRDefault="008E7961" w:rsidP="008E7961">
      <w:pPr>
        <w:pStyle w:val="Bullet"/>
      </w:pPr>
      <w:r w:rsidRPr="001E18A5">
        <w:t xml:space="preserve">access to specialist </w:t>
      </w:r>
      <w:proofErr w:type="spellStart"/>
      <w:r w:rsidRPr="001E18A5">
        <w:t>neuro</w:t>
      </w:r>
      <w:proofErr w:type="spellEnd"/>
      <w:r w:rsidRPr="001E18A5">
        <w:t>-psychological support</w:t>
      </w:r>
    </w:p>
    <w:p w14:paraId="60C71EEC" w14:textId="77777777" w:rsidR="008E7961" w:rsidRDefault="008E7961" w:rsidP="008E7961">
      <w:pPr>
        <w:pStyle w:val="Bullet"/>
      </w:pPr>
      <w:proofErr w:type="gramStart"/>
      <w:r w:rsidRPr="001E18A5">
        <w:t>access</w:t>
      </w:r>
      <w:proofErr w:type="gramEnd"/>
      <w:r w:rsidRPr="001E18A5">
        <w:t xml:space="preserve"> to information about services available to support people with severe substance addiction and their families</w:t>
      </w:r>
      <w:r>
        <w:t xml:space="preserve"> and </w:t>
      </w:r>
      <w:proofErr w:type="spellStart"/>
      <w:r w:rsidRPr="001E18A5">
        <w:t>wh</w:t>
      </w:r>
      <w:r w:rsidRPr="001E18A5">
        <w:rPr>
          <w:rFonts w:cs="Arial"/>
        </w:rPr>
        <w:t>ā</w:t>
      </w:r>
      <w:r w:rsidRPr="001E18A5">
        <w:t>nau</w:t>
      </w:r>
      <w:proofErr w:type="spellEnd"/>
      <w:r w:rsidRPr="001E18A5">
        <w:t xml:space="preserve">, once no longer subject to compulsory status. </w:t>
      </w:r>
    </w:p>
    <w:p w14:paraId="42906868" w14:textId="77777777" w:rsidR="008E7961" w:rsidRPr="001E18A5" w:rsidRDefault="008E7961" w:rsidP="008E7961">
      <w:pPr>
        <w:pStyle w:val="Bullet"/>
        <w:numPr>
          <w:ilvl w:val="0"/>
          <w:numId w:val="0"/>
        </w:numPr>
      </w:pPr>
    </w:p>
    <w:p w14:paraId="51FA37A6" w14:textId="77777777" w:rsidR="008E7961" w:rsidRDefault="008E7961" w:rsidP="008E7961">
      <w:r w:rsidRPr="001E18A5">
        <w:t xml:space="preserve">These relationships should foster ongoing support of people with severe substance addiction. No person should leave a treatment centre without an active treatment plan and engagement with follow-up services. </w:t>
      </w:r>
    </w:p>
    <w:p w14:paraId="3902366C" w14:textId="77777777" w:rsidR="008E7961" w:rsidRPr="001E18A5" w:rsidRDefault="008E7961" w:rsidP="008E7961"/>
    <w:p w14:paraId="0735B513" w14:textId="77777777" w:rsidR="008E7961" w:rsidRPr="001E18A5" w:rsidRDefault="008E7961" w:rsidP="008E7961">
      <w:pPr>
        <w:pStyle w:val="Heading2"/>
      </w:pPr>
      <w:bookmarkStart w:id="10" w:name="_Toc497310829"/>
      <w:r w:rsidRPr="001E18A5">
        <w:t>Processes</w:t>
      </w:r>
      <w:bookmarkEnd w:id="10"/>
    </w:p>
    <w:p w14:paraId="32703E3E" w14:textId="77777777" w:rsidR="008E7961" w:rsidRPr="001E18A5" w:rsidRDefault="008E7961" w:rsidP="008E7961">
      <w:pPr>
        <w:rPr>
          <w:szCs w:val="24"/>
        </w:rPr>
      </w:pPr>
      <w:r w:rsidRPr="001E18A5">
        <w:rPr>
          <w:szCs w:val="24"/>
        </w:rPr>
        <w:t xml:space="preserve">The Act requires a number of activities relevant to the operation of a treatment centre. </w:t>
      </w:r>
    </w:p>
    <w:p w14:paraId="1710AE09" w14:textId="77777777" w:rsidR="008E7961" w:rsidRDefault="008E7961" w:rsidP="008E7961">
      <w:pPr>
        <w:rPr>
          <w:szCs w:val="24"/>
        </w:rPr>
      </w:pPr>
      <w:r w:rsidRPr="001E18A5">
        <w:rPr>
          <w:szCs w:val="24"/>
        </w:rPr>
        <w:t>Section 93 of the Act enables the Director to require by written notice an approved provider to report on any matter relating to functions under the Act</w:t>
      </w:r>
      <w:r>
        <w:rPr>
          <w:szCs w:val="24"/>
        </w:rPr>
        <w:t xml:space="preserve"> </w:t>
      </w:r>
      <w:r w:rsidRPr="001E18A5">
        <w:rPr>
          <w:szCs w:val="24"/>
        </w:rPr>
        <w:t xml:space="preserve">that have been or are required to be performed in a treatment centre operated by an approved provider. </w:t>
      </w:r>
    </w:p>
    <w:p w14:paraId="24EEA281" w14:textId="77777777" w:rsidR="008E7961" w:rsidRPr="001E18A5" w:rsidRDefault="008E7961" w:rsidP="008E7961">
      <w:pPr>
        <w:rPr>
          <w:szCs w:val="24"/>
        </w:rPr>
      </w:pPr>
    </w:p>
    <w:p w14:paraId="75F15D1E" w14:textId="77777777" w:rsidR="008E7961" w:rsidRDefault="008E7961" w:rsidP="008E7961">
      <w:pPr>
        <w:tabs>
          <w:tab w:val="left" w:pos="1701"/>
        </w:tabs>
        <w:rPr>
          <w:szCs w:val="24"/>
        </w:rPr>
      </w:pPr>
      <w:r w:rsidRPr="001E18A5">
        <w:rPr>
          <w:szCs w:val="24"/>
        </w:rPr>
        <w:t xml:space="preserve">District inspectors are appointed under section 90 of the Act, to ensure the rights of patients are protected and to investigate any alleged breaches of those rights. District inspectors will visit patients at least monthly and may visit more frequently. District inspectors have the right to access patients on request and can also look at registers and records held by the approved provider. A district inspector will report to the Area Director and the Director. </w:t>
      </w:r>
    </w:p>
    <w:p w14:paraId="71DCFD76" w14:textId="77777777" w:rsidR="008E7961" w:rsidRPr="001E18A5" w:rsidRDefault="008E7961" w:rsidP="008E7961">
      <w:pPr>
        <w:tabs>
          <w:tab w:val="left" w:pos="1701"/>
        </w:tabs>
        <w:rPr>
          <w:szCs w:val="24"/>
        </w:rPr>
      </w:pPr>
    </w:p>
    <w:p w14:paraId="478E3D89" w14:textId="77777777" w:rsidR="008E7961" w:rsidRDefault="008E7961" w:rsidP="008E7961">
      <w:pPr>
        <w:rPr>
          <w:szCs w:val="24"/>
        </w:rPr>
      </w:pPr>
      <w:r w:rsidRPr="001E18A5">
        <w:rPr>
          <w:szCs w:val="24"/>
        </w:rPr>
        <w:t>From time to time</w:t>
      </w:r>
      <w:r>
        <w:rPr>
          <w:szCs w:val="24"/>
        </w:rPr>
        <w:t xml:space="preserve">, </w:t>
      </w:r>
      <w:r w:rsidRPr="001E18A5">
        <w:rPr>
          <w:szCs w:val="24"/>
        </w:rPr>
        <w:t>the Director will arrange to visit a treatment centre. The Area Director may also visit a treatment centre. It is an offence to obstruct a visit from the Director, an Area Director or a district inspector (section 1</w:t>
      </w:r>
      <w:r>
        <w:rPr>
          <w:szCs w:val="24"/>
        </w:rPr>
        <w:t>1</w:t>
      </w:r>
      <w:r w:rsidRPr="001E18A5">
        <w:rPr>
          <w:szCs w:val="24"/>
        </w:rPr>
        <w:t xml:space="preserve">2 </w:t>
      </w:r>
      <w:r>
        <w:rPr>
          <w:szCs w:val="24"/>
        </w:rPr>
        <w:t>of the Act</w:t>
      </w:r>
      <w:r w:rsidRPr="001E18A5">
        <w:rPr>
          <w:szCs w:val="24"/>
        </w:rPr>
        <w:t xml:space="preserve">). </w:t>
      </w:r>
    </w:p>
    <w:p w14:paraId="45F48676" w14:textId="77777777" w:rsidR="008E7961" w:rsidRPr="001E18A5" w:rsidRDefault="008E7961" w:rsidP="008E7961">
      <w:pPr>
        <w:rPr>
          <w:szCs w:val="24"/>
        </w:rPr>
      </w:pPr>
    </w:p>
    <w:p w14:paraId="50D73A9A" w14:textId="77777777" w:rsidR="008E7961" w:rsidRDefault="008E7961" w:rsidP="008E7961">
      <w:pPr>
        <w:rPr>
          <w:szCs w:val="24"/>
        </w:rPr>
      </w:pPr>
      <w:r w:rsidRPr="001E18A5">
        <w:rPr>
          <w:szCs w:val="24"/>
        </w:rPr>
        <w:t xml:space="preserve">Although not referred to in the Act, there is a process in place that enables ‘National Preventive Mechanisms’ (for example an Ombudsman) to make unannounced visits to any place in which a person is detained. This function is </w:t>
      </w:r>
      <w:r>
        <w:rPr>
          <w:szCs w:val="24"/>
        </w:rPr>
        <w:t>carried out</w:t>
      </w:r>
      <w:r w:rsidRPr="001E18A5">
        <w:rPr>
          <w:szCs w:val="24"/>
        </w:rPr>
        <w:t xml:space="preserve"> in respect of the Crime</w:t>
      </w:r>
      <w:r>
        <w:rPr>
          <w:szCs w:val="24"/>
        </w:rPr>
        <w:t>s</w:t>
      </w:r>
      <w:r w:rsidRPr="001E18A5">
        <w:rPr>
          <w:szCs w:val="24"/>
        </w:rPr>
        <w:t xml:space="preserve"> of Torture Act 1989, which gives effect to New Zealand’s international obligations under the United Nations Optional Protocol </w:t>
      </w:r>
      <w:r>
        <w:rPr>
          <w:szCs w:val="24"/>
        </w:rPr>
        <w:t xml:space="preserve">to the Convention </w:t>
      </w:r>
      <w:r w:rsidRPr="001E18A5">
        <w:rPr>
          <w:szCs w:val="24"/>
        </w:rPr>
        <w:t xml:space="preserve">against Torture (OPCAT). An approved provider operating a treatment centre should ensure that such visits are not impeded in any way. </w:t>
      </w:r>
    </w:p>
    <w:p w14:paraId="36DB9181" w14:textId="6BF008B3" w:rsidR="008E7961" w:rsidRDefault="00DF2B74" w:rsidP="008E7961">
      <w:pPr>
        <w:rPr>
          <w:rStyle w:val="Hyperlink"/>
          <w:szCs w:val="24"/>
        </w:rPr>
      </w:pPr>
      <w:hyperlink r:id="rId20" w:history="1">
        <w:r w:rsidR="008E7961" w:rsidRPr="001E18A5">
          <w:rPr>
            <w:rStyle w:val="Hyperlink"/>
            <w:szCs w:val="24"/>
          </w:rPr>
          <w:t>http://www.ombudsman.parliament.nz/what-we-do/protecting-your-rights/monitoring-places-of-detention</w:t>
        </w:r>
      </w:hyperlink>
    </w:p>
    <w:p w14:paraId="728AA44D" w14:textId="77777777" w:rsidR="008E7961" w:rsidRPr="001E18A5" w:rsidRDefault="008E7961" w:rsidP="008E7961">
      <w:pPr>
        <w:rPr>
          <w:szCs w:val="24"/>
        </w:rPr>
      </w:pPr>
    </w:p>
    <w:p w14:paraId="2069C873" w14:textId="77777777" w:rsidR="008E7961" w:rsidRDefault="008E7961" w:rsidP="008E7961">
      <w:pPr>
        <w:rPr>
          <w:szCs w:val="24"/>
        </w:rPr>
      </w:pPr>
      <w:r w:rsidRPr="001E18A5">
        <w:rPr>
          <w:szCs w:val="24"/>
        </w:rPr>
        <w:t xml:space="preserve">It is likely that the Ombudsman will take a </w:t>
      </w:r>
      <w:r>
        <w:rPr>
          <w:szCs w:val="24"/>
        </w:rPr>
        <w:t>keen</w:t>
      </w:r>
      <w:r w:rsidRPr="001E18A5">
        <w:rPr>
          <w:szCs w:val="24"/>
        </w:rPr>
        <w:t xml:space="preserve"> interest in monitoring approved providers, particularly as the Act is new legislation and there has been concern from the Office of the Ombudsman about its impact on people with disabilities (including addiction). </w:t>
      </w:r>
    </w:p>
    <w:p w14:paraId="4BCDFFC1" w14:textId="77777777" w:rsidR="008E7961" w:rsidRPr="001E18A5" w:rsidRDefault="008E7961" w:rsidP="008E7961">
      <w:pPr>
        <w:rPr>
          <w:szCs w:val="24"/>
        </w:rPr>
      </w:pPr>
    </w:p>
    <w:p w14:paraId="153B9B4D" w14:textId="77777777" w:rsidR="008E7961" w:rsidRPr="001E18A5" w:rsidRDefault="008E7961" w:rsidP="008E7961">
      <w:pPr>
        <w:pStyle w:val="Heading2"/>
      </w:pPr>
      <w:bookmarkStart w:id="11" w:name="_Toc497310830"/>
      <w:r w:rsidRPr="001E18A5">
        <w:t>Application to be an approved provider</w:t>
      </w:r>
      <w:bookmarkEnd w:id="11"/>
    </w:p>
    <w:p w14:paraId="2AC1A34E" w14:textId="77777777" w:rsidR="008E7961" w:rsidRPr="001E18A5" w:rsidRDefault="008E7961" w:rsidP="008E7961">
      <w:r w:rsidRPr="001E18A5">
        <w:t>The application to be an approved provider must be in writing (</w:t>
      </w:r>
      <w:r w:rsidRPr="00953DB0">
        <w:rPr>
          <w:highlight w:val="yellow"/>
        </w:rPr>
        <w:t>insert hyperlink</w:t>
      </w:r>
      <w:r>
        <w:t>)</w:t>
      </w:r>
      <w:r w:rsidRPr="001E18A5">
        <w:t xml:space="preserve">. In summary, the application needs to include the following information: </w:t>
      </w:r>
    </w:p>
    <w:p w14:paraId="61A2A201" w14:textId="77777777" w:rsidR="008E7961" w:rsidRPr="001E18A5" w:rsidRDefault="008E7961" w:rsidP="008E7961">
      <w:pPr>
        <w:pStyle w:val="Bullet"/>
      </w:pPr>
      <w:r w:rsidRPr="001E18A5">
        <w:t>name of provider and treatment centre(s) operated by the provider</w:t>
      </w:r>
    </w:p>
    <w:p w14:paraId="372DE2D2" w14:textId="77777777" w:rsidR="008E7961" w:rsidRPr="001E18A5" w:rsidRDefault="008E7961" w:rsidP="008E7961">
      <w:pPr>
        <w:pStyle w:val="Bullet"/>
      </w:pPr>
      <w:r w:rsidRPr="001E18A5">
        <w:t xml:space="preserve">confirmation that the provider is certified under the </w:t>
      </w:r>
      <w:r>
        <w:t>H</w:t>
      </w:r>
      <w:r w:rsidRPr="001E18A5">
        <w:t xml:space="preserve">ealth and </w:t>
      </w:r>
      <w:r>
        <w:t>D</w:t>
      </w:r>
      <w:r w:rsidRPr="001E18A5">
        <w:t xml:space="preserve">isability </w:t>
      </w:r>
      <w:r>
        <w:t>S</w:t>
      </w:r>
      <w:r w:rsidRPr="001E18A5">
        <w:t>ervice</w:t>
      </w:r>
      <w:r>
        <w:t>s</w:t>
      </w:r>
      <w:r w:rsidRPr="001E18A5">
        <w:t xml:space="preserve"> (</w:t>
      </w:r>
      <w:r>
        <w:t>S</w:t>
      </w:r>
      <w:r w:rsidRPr="001E18A5">
        <w:t xml:space="preserve">afety) </w:t>
      </w:r>
      <w:r>
        <w:t>A</w:t>
      </w:r>
      <w:r w:rsidRPr="001E18A5">
        <w:t>ct</w:t>
      </w:r>
      <w:r>
        <w:t xml:space="preserve"> 2001 </w:t>
      </w:r>
      <w:r w:rsidRPr="001E18A5">
        <w:t xml:space="preserve">to provide residential disability care </w:t>
      </w:r>
    </w:p>
    <w:p w14:paraId="76635FB0" w14:textId="77777777" w:rsidR="008E7961" w:rsidRPr="001E18A5" w:rsidRDefault="008E7961" w:rsidP="008E7961">
      <w:pPr>
        <w:pStyle w:val="Bullet"/>
      </w:pPr>
      <w:r w:rsidRPr="001E18A5">
        <w:t>a copy of the model of care within which treatment is provided</w:t>
      </w:r>
    </w:p>
    <w:p w14:paraId="5D5AD520" w14:textId="77777777" w:rsidR="008E7961" w:rsidRPr="001E18A5" w:rsidRDefault="008E7961" w:rsidP="008E7961">
      <w:pPr>
        <w:pStyle w:val="Bullet"/>
      </w:pPr>
      <w:r w:rsidRPr="001E18A5">
        <w:t xml:space="preserve">staffing diagram and information about the experience of staff in providing appropriate care for people with severe substance addiction (as defined in the </w:t>
      </w:r>
      <w:r>
        <w:t>Ac</w:t>
      </w:r>
      <w:r w:rsidRPr="001E18A5">
        <w:t>t)</w:t>
      </w:r>
    </w:p>
    <w:p w14:paraId="00AF25F0" w14:textId="77777777" w:rsidR="008E7961" w:rsidRPr="001E18A5" w:rsidRDefault="008E7961" w:rsidP="008E7961">
      <w:pPr>
        <w:pStyle w:val="Bullet"/>
      </w:pPr>
      <w:r w:rsidRPr="001E18A5">
        <w:t>information about relationships with a range of care providers in the community</w:t>
      </w:r>
    </w:p>
    <w:p w14:paraId="5A4F1E96" w14:textId="77777777" w:rsidR="008E7961" w:rsidRPr="001E18A5" w:rsidRDefault="008E7961" w:rsidP="008E7961">
      <w:pPr>
        <w:pStyle w:val="Bullet"/>
      </w:pPr>
      <w:r w:rsidRPr="001E18A5">
        <w:t xml:space="preserve">workforce development plan </w:t>
      </w:r>
    </w:p>
    <w:p w14:paraId="28553564" w14:textId="77777777" w:rsidR="008E7961" w:rsidRPr="001E18A5" w:rsidRDefault="008E7961" w:rsidP="008E7961">
      <w:pPr>
        <w:pStyle w:val="Bullet"/>
      </w:pPr>
      <w:r w:rsidRPr="001E18A5">
        <w:t xml:space="preserve">contact details for the applicant </w:t>
      </w:r>
    </w:p>
    <w:p w14:paraId="67EDF48C" w14:textId="77777777" w:rsidR="008E7961" w:rsidRDefault="008E7961" w:rsidP="008E7961">
      <w:pPr>
        <w:pStyle w:val="Bullet"/>
      </w:pPr>
      <w:proofErr w:type="gramStart"/>
      <w:r w:rsidRPr="001E18A5">
        <w:t>statutory</w:t>
      </w:r>
      <w:proofErr w:type="gramEnd"/>
      <w:r w:rsidRPr="001E18A5">
        <w:t xml:space="preserve"> declaration and signature.</w:t>
      </w:r>
    </w:p>
    <w:p w14:paraId="68E10B78" w14:textId="77777777" w:rsidR="008E7961" w:rsidRPr="001E18A5" w:rsidRDefault="008E7961" w:rsidP="00AE22AB">
      <w:pPr>
        <w:pStyle w:val="Bullet"/>
        <w:numPr>
          <w:ilvl w:val="0"/>
          <w:numId w:val="0"/>
        </w:numPr>
      </w:pPr>
    </w:p>
    <w:p w14:paraId="2ECB9A0B" w14:textId="77777777" w:rsidR="008E7961" w:rsidRDefault="008E7961" w:rsidP="008E7961">
      <w:pPr>
        <w:pStyle w:val="Heading2"/>
      </w:pPr>
      <w:bookmarkStart w:id="12" w:name="_Toc497310831"/>
      <w:r w:rsidRPr="001E18A5">
        <w:t xml:space="preserve">Other </w:t>
      </w:r>
      <w:r>
        <w:t>r</w:t>
      </w:r>
      <w:r w:rsidRPr="001E18A5">
        <w:t>esources</w:t>
      </w:r>
      <w:bookmarkEnd w:id="12"/>
      <w:r w:rsidRPr="001E18A5">
        <w:t xml:space="preserve"> </w:t>
      </w:r>
    </w:p>
    <w:p w14:paraId="22CEFD08" w14:textId="77777777" w:rsidR="00AE22AB" w:rsidRPr="00AE22AB" w:rsidRDefault="00AE22AB" w:rsidP="00AE22AB"/>
    <w:p w14:paraId="53E16326" w14:textId="77777777" w:rsidR="008E7961" w:rsidRDefault="008E7961" w:rsidP="008E7961">
      <w:pPr>
        <w:rPr>
          <w:b/>
          <w:sz w:val="28"/>
          <w:szCs w:val="28"/>
        </w:rPr>
      </w:pPr>
      <w:r w:rsidRPr="001E18A5">
        <w:rPr>
          <w:b/>
          <w:sz w:val="28"/>
          <w:szCs w:val="28"/>
        </w:rPr>
        <w:t xml:space="preserve">Ministry of Health </w:t>
      </w:r>
    </w:p>
    <w:p w14:paraId="1C81F1BB" w14:textId="77777777" w:rsidR="008E7961" w:rsidRPr="001E18A5" w:rsidRDefault="008E7961" w:rsidP="008E7961">
      <w:pPr>
        <w:rPr>
          <w:b/>
          <w:sz w:val="28"/>
          <w:szCs w:val="28"/>
        </w:rPr>
      </w:pPr>
    </w:p>
    <w:p w14:paraId="08A589C4" w14:textId="77777777" w:rsidR="008E7961" w:rsidRPr="00A76EBC" w:rsidRDefault="008E7961" w:rsidP="008E7961">
      <w:pPr>
        <w:rPr>
          <w:i/>
        </w:rPr>
      </w:pPr>
      <w:r w:rsidRPr="00A76EBC">
        <w:rPr>
          <w:i/>
        </w:rPr>
        <w:t xml:space="preserve">Transition </w:t>
      </w:r>
      <w:r>
        <w:rPr>
          <w:i/>
        </w:rPr>
        <w:t>P</w:t>
      </w:r>
      <w:r w:rsidRPr="00A76EBC">
        <w:rPr>
          <w:i/>
        </w:rPr>
        <w:t xml:space="preserve">lanning </w:t>
      </w:r>
      <w:r>
        <w:rPr>
          <w:i/>
        </w:rPr>
        <w:t>G</w:t>
      </w:r>
      <w:r w:rsidRPr="00A76EBC">
        <w:rPr>
          <w:i/>
        </w:rPr>
        <w:t xml:space="preserve">uidelines for </w:t>
      </w:r>
      <w:r>
        <w:rPr>
          <w:i/>
        </w:rPr>
        <w:t>I</w:t>
      </w:r>
      <w:r w:rsidRPr="00A76EBC">
        <w:rPr>
          <w:i/>
        </w:rPr>
        <w:t xml:space="preserve">nfant, </w:t>
      </w:r>
      <w:r>
        <w:rPr>
          <w:i/>
        </w:rPr>
        <w:t>C</w:t>
      </w:r>
      <w:r w:rsidRPr="00A76EBC">
        <w:rPr>
          <w:i/>
        </w:rPr>
        <w:t xml:space="preserve">hild and </w:t>
      </w:r>
      <w:r>
        <w:rPr>
          <w:i/>
        </w:rPr>
        <w:t>A</w:t>
      </w:r>
      <w:r w:rsidRPr="00A76EBC">
        <w:rPr>
          <w:i/>
        </w:rPr>
        <w:t xml:space="preserve">dolescent </w:t>
      </w:r>
      <w:r>
        <w:rPr>
          <w:i/>
        </w:rPr>
        <w:t>M</w:t>
      </w:r>
      <w:r w:rsidRPr="00A76EBC">
        <w:rPr>
          <w:i/>
        </w:rPr>
        <w:t xml:space="preserve">ental </w:t>
      </w:r>
      <w:r>
        <w:rPr>
          <w:i/>
        </w:rPr>
        <w:t>H</w:t>
      </w:r>
      <w:r w:rsidRPr="00A76EBC">
        <w:rPr>
          <w:i/>
        </w:rPr>
        <w:t>ealth/</w:t>
      </w:r>
      <w:r>
        <w:rPr>
          <w:i/>
        </w:rPr>
        <w:t>A</w:t>
      </w:r>
      <w:r w:rsidRPr="00A76EBC">
        <w:rPr>
          <w:i/>
        </w:rPr>
        <w:t xml:space="preserve">lcohol and </w:t>
      </w:r>
      <w:r>
        <w:rPr>
          <w:i/>
        </w:rPr>
        <w:t>O</w:t>
      </w:r>
      <w:r w:rsidRPr="00A76EBC">
        <w:rPr>
          <w:i/>
        </w:rPr>
        <w:t xml:space="preserve">ther </w:t>
      </w:r>
      <w:r>
        <w:rPr>
          <w:i/>
        </w:rPr>
        <w:t>D</w:t>
      </w:r>
      <w:r w:rsidRPr="00A76EBC">
        <w:rPr>
          <w:i/>
        </w:rPr>
        <w:t xml:space="preserve">rugs </w:t>
      </w:r>
      <w:r>
        <w:rPr>
          <w:i/>
        </w:rPr>
        <w:t>S</w:t>
      </w:r>
      <w:r w:rsidRPr="00A76EBC">
        <w:rPr>
          <w:i/>
        </w:rPr>
        <w:t xml:space="preserve">ervices </w:t>
      </w:r>
      <w:r w:rsidRPr="004B0117">
        <w:rPr>
          <w:i/>
        </w:rPr>
        <w:t>2014</w:t>
      </w:r>
      <w:r w:rsidRPr="00A76EBC">
        <w:rPr>
          <w:i/>
        </w:rPr>
        <w:t xml:space="preserve">. </w:t>
      </w:r>
    </w:p>
    <w:p w14:paraId="51A2D954" w14:textId="77777777" w:rsidR="008E7961" w:rsidRDefault="00DF2B74" w:rsidP="008E7961">
      <w:pPr>
        <w:rPr>
          <w:rStyle w:val="Hyperlink"/>
        </w:rPr>
      </w:pPr>
      <w:hyperlink r:id="rId21" w:history="1">
        <w:r w:rsidR="008E7961" w:rsidRPr="00A76EBC">
          <w:rPr>
            <w:rStyle w:val="Hyperlink"/>
          </w:rPr>
          <w:t>http://www.health.govt.nz/publication/transition-planning-guidelines-infant-child-and-adolescent-mental-health-alcohol-and-other-drugs</w:t>
        </w:r>
      </w:hyperlink>
    </w:p>
    <w:p w14:paraId="4023656E" w14:textId="77777777" w:rsidR="008E7961" w:rsidRPr="00A76EBC" w:rsidRDefault="008E7961" w:rsidP="008E7961"/>
    <w:p w14:paraId="6F783D09" w14:textId="77777777" w:rsidR="008E7961" w:rsidRPr="00A76EBC" w:rsidRDefault="008E7961" w:rsidP="008E7961">
      <w:pPr>
        <w:rPr>
          <w:i/>
        </w:rPr>
      </w:pPr>
      <w:r w:rsidRPr="00A76EBC">
        <w:rPr>
          <w:i/>
        </w:rPr>
        <w:t>Commissioning Framework for Mental Health and Addiction: A New Zealand guide.</w:t>
      </w:r>
    </w:p>
    <w:p w14:paraId="72CA7415" w14:textId="77777777" w:rsidR="008E7961" w:rsidRDefault="00DF2B74" w:rsidP="008E7961">
      <w:pPr>
        <w:rPr>
          <w:rStyle w:val="Hyperlink"/>
        </w:rPr>
      </w:pPr>
      <w:hyperlink r:id="rId22" w:history="1">
        <w:r w:rsidR="008E7961" w:rsidRPr="00A76EBC">
          <w:rPr>
            <w:rStyle w:val="Hyperlink"/>
          </w:rPr>
          <w:t>http://www.health.govt.nz/publication/commissioning-framework-mental-health-and-addiction-new-zealand-guide</w:t>
        </w:r>
      </w:hyperlink>
    </w:p>
    <w:p w14:paraId="28F70647" w14:textId="77777777" w:rsidR="008E7961" w:rsidRPr="00A76EBC" w:rsidRDefault="008E7961" w:rsidP="008E7961"/>
    <w:p w14:paraId="5BD44688" w14:textId="77777777" w:rsidR="008E7961" w:rsidRPr="00A76EBC" w:rsidRDefault="008E7961" w:rsidP="008E7961">
      <w:pPr>
        <w:rPr>
          <w:i/>
        </w:rPr>
      </w:pPr>
      <w:r w:rsidRPr="00A76EBC">
        <w:rPr>
          <w:i/>
        </w:rPr>
        <w:t>Medicine</w:t>
      </w:r>
      <w:r>
        <w:rPr>
          <w:i/>
        </w:rPr>
        <w:t xml:space="preserve">s </w:t>
      </w:r>
      <w:r w:rsidRPr="00A76EBC">
        <w:rPr>
          <w:i/>
        </w:rPr>
        <w:t xml:space="preserve">Management Guide for Community Residential and Facility-based Services – Disability, Mental Health and Addiction. </w:t>
      </w:r>
    </w:p>
    <w:p w14:paraId="79A2C7D0" w14:textId="77777777" w:rsidR="008E7961" w:rsidRDefault="00DF2B74" w:rsidP="008E7961">
      <w:pPr>
        <w:rPr>
          <w:rStyle w:val="Hyperlink"/>
        </w:rPr>
      </w:pPr>
      <w:hyperlink r:id="rId23" w:history="1">
        <w:r w:rsidR="008E7961" w:rsidRPr="00A76EBC">
          <w:rPr>
            <w:rStyle w:val="Hyperlink"/>
          </w:rPr>
          <w:t>http://www.health.govt.nz/publication/medicines-management-guide-community-residential-and-facility-based-services-disability-mental</w:t>
        </w:r>
      </w:hyperlink>
    </w:p>
    <w:p w14:paraId="27B8990D" w14:textId="77777777" w:rsidR="008E7961" w:rsidRPr="00A76EBC" w:rsidRDefault="008E7961" w:rsidP="008E7961"/>
    <w:p w14:paraId="74D872CA" w14:textId="77777777" w:rsidR="008E7961" w:rsidRPr="00A76EBC" w:rsidRDefault="008E7961" w:rsidP="008E7961">
      <w:pPr>
        <w:rPr>
          <w:i/>
        </w:rPr>
      </w:pPr>
      <w:r w:rsidRPr="00A76EBC">
        <w:rPr>
          <w:i/>
        </w:rPr>
        <w:t>Prescribing Controlled Drugs in Addiction Treatment.</w:t>
      </w:r>
    </w:p>
    <w:p w14:paraId="2EB8B5E1" w14:textId="77777777" w:rsidR="008E7961" w:rsidRDefault="00DF2B74" w:rsidP="008E7961">
      <w:pPr>
        <w:rPr>
          <w:rStyle w:val="Hyperlink"/>
        </w:rPr>
      </w:pPr>
      <w:hyperlink r:id="rId24" w:history="1">
        <w:r w:rsidR="008E7961" w:rsidRPr="00A76EBC">
          <w:rPr>
            <w:rStyle w:val="Hyperlink"/>
          </w:rPr>
          <w:t>http://www.health.govt.nz/publication/prescribing-controlled-drugs-addiction-treatment</w:t>
        </w:r>
      </w:hyperlink>
    </w:p>
    <w:p w14:paraId="3F77738E" w14:textId="77777777" w:rsidR="008E7961" w:rsidRPr="00A76EBC" w:rsidRDefault="008E7961" w:rsidP="008E7961"/>
    <w:p w14:paraId="6FD45798" w14:textId="4031542F" w:rsidR="008E7961" w:rsidRPr="00A76EBC" w:rsidRDefault="008E7961" w:rsidP="008E7961">
      <w:pPr>
        <w:rPr>
          <w:i/>
        </w:rPr>
      </w:pPr>
      <w:r w:rsidRPr="00A76EBC">
        <w:rPr>
          <w:i/>
        </w:rPr>
        <w:t xml:space="preserve">Supporting Parents, Healthy Children. </w:t>
      </w:r>
    </w:p>
    <w:p w14:paraId="7C7FC655" w14:textId="77777777" w:rsidR="008E7961" w:rsidRDefault="00DF2B74" w:rsidP="008E7961">
      <w:pPr>
        <w:rPr>
          <w:rStyle w:val="Hyperlink"/>
        </w:rPr>
      </w:pPr>
      <w:hyperlink r:id="rId25" w:history="1">
        <w:r w:rsidR="008E7961" w:rsidRPr="00A76EBC">
          <w:rPr>
            <w:rStyle w:val="Hyperlink"/>
          </w:rPr>
          <w:t>http://www.health.govt.nz/publication/supporting-parents-healthy-children</w:t>
        </w:r>
      </w:hyperlink>
    </w:p>
    <w:p w14:paraId="6498D850" w14:textId="77777777" w:rsidR="008E7961" w:rsidRPr="00A76EBC" w:rsidRDefault="008E7961" w:rsidP="008E7961"/>
    <w:p w14:paraId="4CE8949A" w14:textId="77777777" w:rsidR="008E7961" w:rsidRPr="00A76EBC" w:rsidRDefault="008E7961" w:rsidP="008E7961">
      <w:pPr>
        <w:rPr>
          <w:i/>
        </w:rPr>
      </w:pPr>
      <w:r w:rsidRPr="00A76EBC">
        <w:rPr>
          <w:i/>
        </w:rPr>
        <w:t xml:space="preserve">Mental Health and Addiction Services for Older People and Dementia Services. </w:t>
      </w:r>
    </w:p>
    <w:p w14:paraId="0E4430CE" w14:textId="1199BD2D" w:rsidR="00AF1BA2" w:rsidRPr="008215CD" w:rsidRDefault="00DF2B74" w:rsidP="008E7961">
      <w:pPr>
        <w:jc w:val="both"/>
        <w:rPr>
          <w:rFonts w:cs="Arial"/>
          <w:szCs w:val="24"/>
        </w:rPr>
      </w:pPr>
      <w:hyperlink r:id="rId26" w:history="1">
        <w:r w:rsidR="008E7961" w:rsidRPr="00A76EBC">
          <w:rPr>
            <w:rStyle w:val="Hyperlink"/>
          </w:rPr>
          <w:t>http://www.health.govt.nz/publication/mental-health-and-addiction-services-older-people-and-dementia-services</w:t>
        </w:r>
      </w:hyperlink>
    </w:p>
    <w:sectPr w:rsidR="00AF1BA2" w:rsidRPr="008215CD" w:rsidSect="00E03100">
      <w:footerReference w:type="default" r:id="rId27"/>
      <w:pgSz w:w="11907" w:h="16834" w:code="9"/>
      <w:pgMar w:top="851" w:right="1134" w:bottom="1134" w:left="850"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831A" w14:textId="77777777" w:rsidR="00DF2B74" w:rsidRDefault="00DF2B74">
      <w:pPr>
        <w:spacing w:line="240" w:lineRule="auto"/>
      </w:pPr>
      <w:r>
        <w:separator/>
      </w:r>
    </w:p>
    <w:p w14:paraId="24DB8245" w14:textId="77777777" w:rsidR="00DF2B74" w:rsidRDefault="00DF2B74"/>
  </w:endnote>
  <w:endnote w:type="continuationSeparator" w:id="0">
    <w:p w14:paraId="5DB0BEC0" w14:textId="77777777" w:rsidR="00DF2B74" w:rsidRDefault="00DF2B74">
      <w:pPr>
        <w:spacing w:line="240" w:lineRule="auto"/>
      </w:pPr>
      <w:r>
        <w:continuationSeparator/>
      </w:r>
    </w:p>
    <w:p w14:paraId="6092ADD4" w14:textId="77777777" w:rsidR="00DF2B74" w:rsidRDefault="00DF2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B40D" w14:textId="77777777" w:rsidR="00DF2B74" w:rsidRPr="00581136" w:rsidRDefault="00DF2B74"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3BA" w14:textId="77777777" w:rsidR="00DF2B74" w:rsidRDefault="00DF2B74"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9FDB" w14:textId="77777777" w:rsidR="00DF2B74" w:rsidRDefault="00DF2B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D8B5" w14:textId="6059A0C9" w:rsidR="00DF2B74" w:rsidRPr="00275D08" w:rsidRDefault="00DF2B7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C03AD1">
      <w:rPr>
        <w:rStyle w:val="PageNumber"/>
        <w:noProof/>
      </w:rPr>
      <w:t>6</w:t>
    </w:r>
    <w:r w:rsidRPr="00FC46E7">
      <w:rPr>
        <w:rStyle w:val="PageNumber"/>
      </w:rPr>
      <w:fldChar w:fldCharType="end"/>
    </w:r>
    <w:r>
      <w:tab/>
      <w:t>Criteria for Approved Providers Designated under the Substance Addictions (Compulsory Assessment and Treatment) Act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8BE9" w14:textId="309FCAA6" w:rsidR="00DF2B74" w:rsidRDefault="00DF2B74" w:rsidP="00533B90">
    <w:pPr>
      <w:pStyle w:val="RectoFooter"/>
    </w:pPr>
    <w:r>
      <w:tab/>
      <w:t>Criteria for Approved Providers Designated under the Substance Addictions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C03AD1">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CF7C" w14:textId="68B0B311" w:rsidR="00DF2B74" w:rsidRDefault="00DF2B74" w:rsidP="004E6F86">
    <w:pPr>
      <w:pStyle w:val="RectoFooter"/>
      <w:tabs>
        <w:tab w:val="clear" w:pos="8647"/>
        <w:tab w:val="clear" w:pos="9356"/>
        <w:tab w:val="right" w:pos="10065"/>
        <w:tab w:val="right" w:pos="10773"/>
      </w:tabs>
    </w:pPr>
    <w:r>
      <w:t>Criteria for Approved Providers Designated under the Substance Addictions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C03AD1">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F5B9" w14:textId="77777777" w:rsidR="00DF2B74" w:rsidRPr="00A26E6B" w:rsidRDefault="00DF2B74" w:rsidP="00A26E6B"/>
  </w:footnote>
  <w:footnote w:type="continuationSeparator" w:id="0">
    <w:p w14:paraId="3B2CCEE4" w14:textId="77777777" w:rsidR="00DF2B74" w:rsidRDefault="00DF2B74">
      <w:pPr>
        <w:spacing w:line="240" w:lineRule="auto"/>
      </w:pPr>
      <w:r>
        <w:continuationSeparator/>
      </w:r>
    </w:p>
    <w:p w14:paraId="4109DE1D" w14:textId="77777777" w:rsidR="00DF2B74" w:rsidRDefault="00DF2B74"/>
  </w:footnote>
  <w:footnote w:id="1">
    <w:p w14:paraId="683D80FA" w14:textId="77777777" w:rsidR="00DF2B74" w:rsidRDefault="00DF2B74" w:rsidP="0007739D">
      <w:pPr>
        <w:pStyle w:val="FootnoteText"/>
      </w:pPr>
      <w:r>
        <w:rPr>
          <w:rStyle w:val="FootnoteReference"/>
        </w:rPr>
        <w:footnoteRef/>
      </w:r>
      <w:r>
        <w:t xml:space="preserve"> </w:t>
      </w:r>
      <w:proofErr w:type="spellStart"/>
      <w:r>
        <w:t>HealthCERT</w:t>
      </w:r>
      <w:proofErr w:type="spellEnd"/>
      <w:r>
        <w:t xml:space="preserve"> is responsible for ensuring hospitals, residential disability care facilities and fertility providers provide safe and reasonable levels of service for consumers, as required under the Health and Disability Services (Safety) Act 2001.</w:t>
      </w:r>
    </w:p>
  </w:footnote>
  <w:footnote w:id="2">
    <w:p w14:paraId="54CD5D30" w14:textId="6763FB89" w:rsidR="00DF2B74" w:rsidRDefault="00DF2B74" w:rsidP="00581981">
      <w:pPr>
        <w:pStyle w:val="FootnoteText"/>
      </w:pPr>
      <w:r>
        <w:rPr>
          <w:rStyle w:val="FootnoteReference"/>
        </w:rPr>
        <w:footnoteRef/>
      </w:r>
      <w:r>
        <w:t xml:space="preserve"> Note that ‘capacity’, as used in section 92 of the Act, refers to resources. </w:t>
      </w:r>
    </w:p>
  </w:footnote>
  <w:footnote w:id="3">
    <w:p w14:paraId="25C521E8" w14:textId="77777777" w:rsidR="00DF2B74" w:rsidRDefault="00DF2B74" w:rsidP="00E45E16">
      <w:pPr>
        <w:pStyle w:val="FootnoteText"/>
      </w:pPr>
      <w:r>
        <w:rPr>
          <w:rStyle w:val="FootnoteReference"/>
        </w:rPr>
        <w:footnoteRef/>
      </w:r>
      <w:r>
        <w:t xml:space="preserve"> </w:t>
      </w:r>
      <w:r w:rsidRPr="00B51DB1">
        <w:t>http://teraumatatini.com/manaaki-mana-enhancing-and-mana-protecting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103B" w14:textId="77777777" w:rsidR="00DF2B74" w:rsidRDefault="00DF2B74" w:rsidP="009216CC">
    <w:pPr>
      <w:pStyle w:val="Header"/>
      <w:ind w:left="-1559"/>
    </w:pPr>
    <w:r>
      <w:rPr>
        <w:noProof/>
        <w:lang w:eastAsia="en-NZ"/>
      </w:rPr>
      <w:drawing>
        <wp:inline distT="0" distB="0" distL="0" distR="0" wp14:anchorId="030EF261" wp14:editId="6F75230A">
          <wp:extent cx="6467302" cy="53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79A" w14:textId="77777777" w:rsidR="00DF2B74" w:rsidRDefault="00DF2B7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647B" w14:textId="77777777" w:rsidR="00DF2B74" w:rsidRDefault="00DF2B74"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864067A"/>
    <w:multiLevelType w:val="hybridMultilevel"/>
    <w:tmpl w:val="5CB85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C750B91"/>
    <w:multiLevelType w:val="hybridMultilevel"/>
    <w:tmpl w:val="DE027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89157E"/>
    <w:multiLevelType w:val="hybridMultilevel"/>
    <w:tmpl w:val="E9FAA09E"/>
    <w:lvl w:ilvl="0" w:tplc="8C9CBEA2">
      <w:start w:val="1"/>
      <w:numFmt w:val="lowerLetter"/>
      <w:lvlText w:val="(%1)"/>
      <w:lvlJc w:val="left"/>
      <w:pPr>
        <w:ind w:left="1635" w:hanging="360"/>
      </w:pPr>
      <w:rPr>
        <w:rFonts w:hint="default"/>
      </w:rPr>
    </w:lvl>
    <w:lvl w:ilvl="1" w:tplc="14090019" w:tentative="1">
      <w:start w:val="1"/>
      <w:numFmt w:val="lowerLetter"/>
      <w:lvlText w:val="%2."/>
      <w:lvlJc w:val="left"/>
      <w:pPr>
        <w:ind w:left="2289" w:hanging="360"/>
      </w:pPr>
    </w:lvl>
    <w:lvl w:ilvl="2" w:tplc="1409001B" w:tentative="1">
      <w:start w:val="1"/>
      <w:numFmt w:val="lowerRoman"/>
      <w:lvlText w:val="%3."/>
      <w:lvlJc w:val="right"/>
      <w:pPr>
        <w:ind w:left="3009" w:hanging="180"/>
      </w:pPr>
    </w:lvl>
    <w:lvl w:ilvl="3" w:tplc="1409000F" w:tentative="1">
      <w:start w:val="1"/>
      <w:numFmt w:val="decimal"/>
      <w:lvlText w:val="%4."/>
      <w:lvlJc w:val="left"/>
      <w:pPr>
        <w:ind w:left="3729" w:hanging="360"/>
      </w:pPr>
    </w:lvl>
    <w:lvl w:ilvl="4" w:tplc="14090019" w:tentative="1">
      <w:start w:val="1"/>
      <w:numFmt w:val="lowerLetter"/>
      <w:lvlText w:val="%5."/>
      <w:lvlJc w:val="left"/>
      <w:pPr>
        <w:ind w:left="4449" w:hanging="360"/>
      </w:pPr>
    </w:lvl>
    <w:lvl w:ilvl="5" w:tplc="1409001B" w:tentative="1">
      <w:start w:val="1"/>
      <w:numFmt w:val="lowerRoman"/>
      <w:lvlText w:val="%6."/>
      <w:lvlJc w:val="right"/>
      <w:pPr>
        <w:ind w:left="5169" w:hanging="180"/>
      </w:pPr>
    </w:lvl>
    <w:lvl w:ilvl="6" w:tplc="1409000F" w:tentative="1">
      <w:start w:val="1"/>
      <w:numFmt w:val="decimal"/>
      <w:lvlText w:val="%7."/>
      <w:lvlJc w:val="left"/>
      <w:pPr>
        <w:ind w:left="5889" w:hanging="360"/>
      </w:pPr>
    </w:lvl>
    <w:lvl w:ilvl="7" w:tplc="14090019" w:tentative="1">
      <w:start w:val="1"/>
      <w:numFmt w:val="lowerLetter"/>
      <w:lvlText w:val="%8."/>
      <w:lvlJc w:val="left"/>
      <w:pPr>
        <w:ind w:left="6609" w:hanging="360"/>
      </w:pPr>
    </w:lvl>
    <w:lvl w:ilvl="8" w:tplc="1409001B" w:tentative="1">
      <w:start w:val="1"/>
      <w:numFmt w:val="lowerRoman"/>
      <w:lvlText w:val="%9."/>
      <w:lvlJc w:val="right"/>
      <w:pPr>
        <w:ind w:left="7329" w:hanging="180"/>
      </w:pPr>
    </w:lvl>
  </w:abstractNum>
  <w:abstractNum w:abstractNumId="4">
    <w:nsid w:val="14692613"/>
    <w:multiLevelType w:val="hybridMultilevel"/>
    <w:tmpl w:val="CE8A00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91F7D10"/>
    <w:multiLevelType w:val="hybridMultilevel"/>
    <w:tmpl w:val="FB8CB4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23A4959"/>
    <w:multiLevelType w:val="hybridMultilevel"/>
    <w:tmpl w:val="2BA25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4E4798E"/>
    <w:multiLevelType w:val="hybridMultilevel"/>
    <w:tmpl w:val="37F055A0"/>
    <w:lvl w:ilvl="0" w:tplc="8520C6C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14E3034"/>
    <w:multiLevelType w:val="hybridMultilevel"/>
    <w:tmpl w:val="1C7AF1EA"/>
    <w:lvl w:ilvl="0" w:tplc="0068CEEE">
      <w:start w:val="1"/>
      <w:numFmt w:val="lowerLetter"/>
      <w:lvlText w:val="(%1)"/>
      <w:lvlJc w:val="left"/>
      <w:pPr>
        <w:ind w:left="567" w:hanging="567"/>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3AF50846"/>
    <w:multiLevelType w:val="hybridMultilevel"/>
    <w:tmpl w:val="4ED22F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957ADF"/>
    <w:multiLevelType w:val="hybridMultilevel"/>
    <w:tmpl w:val="712C411A"/>
    <w:lvl w:ilvl="0" w:tplc="0290B7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6CF3211"/>
    <w:multiLevelType w:val="hybridMultilevel"/>
    <w:tmpl w:val="DFC07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7ED091F"/>
    <w:multiLevelType w:val="hybridMultilevel"/>
    <w:tmpl w:val="43EC007A"/>
    <w:lvl w:ilvl="0" w:tplc="14090017">
      <w:start w:val="1"/>
      <w:numFmt w:val="lowerLetter"/>
      <w:lvlText w:val="%1)"/>
      <w:lvlJc w:val="left"/>
      <w:pPr>
        <w:ind w:left="1791" w:hanging="360"/>
      </w:pPr>
    </w:lvl>
    <w:lvl w:ilvl="1" w:tplc="14090019" w:tentative="1">
      <w:start w:val="1"/>
      <w:numFmt w:val="lowerLetter"/>
      <w:lvlText w:val="%2."/>
      <w:lvlJc w:val="left"/>
      <w:pPr>
        <w:ind w:left="2511" w:hanging="360"/>
      </w:pPr>
    </w:lvl>
    <w:lvl w:ilvl="2" w:tplc="1409001B" w:tentative="1">
      <w:start w:val="1"/>
      <w:numFmt w:val="lowerRoman"/>
      <w:lvlText w:val="%3."/>
      <w:lvlJc w:val="right"/>
      <w:pPr>
        <w:ind w:left="3231" w:hanging="180"/>
      </w:pPr>
    </w:lvl>
    <w:lvl w:ilvl="3" w:tplc="1409000F" w:tentative="1">
      <w:start w:val="1"/>
      <w:numFmt w:val="decimal"/>
      <w:lvlText w:val="%4."/>
      <w:lvlJc w:val="left"/>
      <w:pPr>
        <w:ind w:left="3951" w:hanging="360"/>
      </w:pPr>
    </w:lvl>
    <w:lvl w:ilvl="4" w:tplc="14090019" w:tentative="1">
      <w:start w:val="1"/>
      <w:numFmt w:val="lowerLetter"/>
      <w:lvlText w:val="%5."/>
      <w:lvlJc w:val="left"/>
      <w:pPr>
        <w:ind w:left="4671" w:hanging="360"/>
      </w:pPr>
    </w:lvl>
    <w:lvl w:ilvl="5" w:tplc="1409001B" w:tentative="1">
      <w:start w:val="1"/>
      <w:numFmt w:val="lowerRoman"/>
      <w:lvlText w:val="%6."/>
      <w:lvlJc w:val="right"/>
      <w:pPr>
        <w:ind w:left="5391" w:hanging="180"/>
      </w:pPr>
    </w:lvl>
    <w:lvl w:ilvl="6" w:tplc="1409000F" w:tentative="1">
      <w:start w:val="1"/>
      <w:numFmt w:val="decimal"/>
      <w:lvlText w:val="%7."/>
      <w:lvlJc w:val="left"/>
      <w:pPr>
        <w:ind w:left="6111" w:hanging="360"/>
      </w:pPr>
    </w:lvl>
    <w:lvl w:ilvl="7" w:tplc="14090019" w:tentative="1">
      <w:start w:val="1"/>
      <w:numFmt w:val="lowerLetter"/>
      <w:lvlText w:val="%8."/>
      <w:lvlJc w:val="left"/>
      <w:pPr>
        <w:ind w:left="6831" w:hanging="360"/>
      </w:pPr>
    </w:lvl>
    <w:lvl w:ilvl="8" w:tplc="1409001B" w:tentative="1">
      <w:start w:val="1"/>
      <w:numFmt w:val="lowerRoman"/>
      <w:lvlText w:val="%9."/>
      <w:lvlJc w:val="right"/>
      <w:pPr>
        <w:ind w:left="7551" w:hanging="180"/>
      </w:pPr>
    </w:lvl>
  </w:abstractNum>
  <w:abstractNum w:abstractNumId="15">
    <w:nsid w:val="49626E1F"/>
    <w:multiLevelType w:val="hybridMultilevel"/>
    <w:tmpl w:val="F224F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E7512E2"/>
    <w:multiLevelType w:val="hybridMultilevel"/>
    <w:tmpl w:val="0FD84A16"/>
    <w:lvl w:ilvl="0" w:tplc="5930018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4E73B2"/>
    <w:multiLevelType w:val="hybridMultilevel"/>
    <w:tmpl w:val="0F58E472"/>
    <w:lvl w:ilvl="0" w:tplc="4B6266D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0">
    <w:nsid w:val="7D6D144F"/>
    <w:multiLevelType w:val="hybridMultilevel"/>
    <w:tmpl w:val="82A0D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0"/>
  </w:num>
  <w:num w:numId="4">
    <w:abstractNumId w:val="11"/>
  </w:num>
  <w:num w:numId="5">
    <w:abstractNumId w:val="0"/>
  </w:num>
  <w:num w:numId="6">
    <w:abstractNumId w:val="8"/>
  </w:num>
  <w:num w:numId="7">
    <w:abstractNumId w:val="3"/>
  </w:num>
  <w:num w:numId="8">
    <w:abstractNumId w:val="14"/>
  </w:num>
  <w:num w:numId="9">
    <w:abstractNumId w:val="17"/>
  </w:num>
  <w:num w:numId="10">
    <w:abstractNumId w:val="12"/>
  </w:num>
  <w:num w:numId="11">
    <w:abstractNumId w:val="20"/>
  </w:num>
  <w:num w:numId="12">
    <w:abstractNumId w:val="4"/>
  </w:num>
  <w:num w:numId="13">
    <w:abstractNumId w:val="5"/>
  </w:num>
  <w:num w:numId="14">
    <w:abstractNumId w:val="9"/>
  </w:num>
  <w:num w:numId="15">
    <w:abstractNumId w:val="2"/>
  </w:num>
  <w:num w:numId="16">
    <w:abstractNumId w:val="15"/>
  </w:num>
  <w:num w:numId="17">
    <w:abstractNumId w:val="6"/>
  </w:num>
  <w:num w:numId="18">
    <w:abstractNumId w:val="13"/>
  </w:num>
  <w:num w:numId="19">
    <w:abstractNumId w:val="16"/>
  </w:num>
  <w:num w:numId="20">
    <w:abstractNumId w:val="7"/>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1446"/>
    <w:rsid w:val="00030B26"/>
    <w:rsid w:val="00032C0A"/>
    <w:rsid w:val="00032C18"/>
    <w:rsid w:val="00035257"/>
    <w:rsid w:val="00045221"/>
    <w:rsid w:val="0006228D"/>
    <w:rsid w:val="00064A94"/>
    <w:rsid w:val="00071487"/>
    <w:rsid w:val="00072BD6"/>
    <w:rsid w:val="00075B78"/>
    <w:rsid w:val="00076417"/>
    <w:rsid w:val="0007739D"/>
    <w:rsid w:val="00082CD6"/>
    <w:rsid w:val="00085AFE"/>
    <w:rsid w:val="000B0730"/>
    <w:rsid w:val="000B2123"/>
    <w:rsid w:val="000C7C45"/>
    <w:rsid w:val="000F2AE2"/>
    <w:rsid w:val="000F50FF"/>
    <w:rsid w:val="000F600D"/>
    <w:rsid w:val="000F63DF"/>
    <w:rsid w:val="00102063"/>
    <w:rsid w:val="001022BE"/>
    <w:rsid w:val="0010541C"/>
    <w:rsid w:val="00106F93"/>
    <w:rsid w:val="00111D50"/>
    <w:rsid w:val="00113B8E"/>
    <w:rsid w:val="0012073B"/>
    <w:rsid w:val="001215C8"/>
    <w:rsid w:val="00130BF7"/>
    <w:rsid w:val="001342C7"/>
    <w:rsid w:val="0013585C"/>
    <w:rsid w:val="00142709"/>
    <w:rsid w:val="00142954"/>
    <w:rsid w:val="001460E0"/>
    <w:rsid w:val="00147F71"/>
    <w:rsid w:val="00150A6E"/>
    <w:rsid w:val="00150E13"/>
    <w:rsid w:val="00151F03"/>
    <w:rsid w:val="001571A8"/>
    <w:rsid w:val="0016468A"/>
    <w:rsid w:val="001655F5"/>
    <w:rsid w:val="00172439"/>
    <w:rsid w:val="00183A9B"/>
    <w:rsid w:val="001872FC"/>
    <w:rsid w:val="00193E57"/>
    <w:rsid w:val="00197375"/>
    <w:rsid w:val="00197960"/>
    <w:rsid w:val="001A1B24"/>
    <w:rsid w:val="001A21B4"/>
    <w:rsid w:val="001A34EE"/>
    <w:rsid w:val="001A5CF5"/>
    <w:rsid w:val="001B2AB8"/>
    <w:rsid w:val="001B39D2"/>
    <w:rsid w:val="001B3BD6"/>
    <w:rsid w:val="001B4BF8"/>
    <w:rsid w:val="001C4326"/>
    <w:rsid w:val="001C6505"/>
    <w:rsid w:val="001D0AFF"/>
    <w:rsid w:val="001D3541"/>
    <w:rsid w:val="001D739B"/>
    <w:rsid w:val="001E12E9"/>
    <w:rsid w:val="001F45A7"/>
    <w:rsid w:val="00201A01"/>
    <w:rsid w:val="0020696F"/>
    <w:rsid w:val="002104D3"/>
    <w:rsid w:val="00213A33"/>
    <w:rsid w:val="0021413D"/>
    <w:rsid w:val="0021763B"/>
    <w:rsid w:val="00221645"/>
    <w:rsid w:val="00225462"/>
    <w:rsid w:val="0023681C"/>
    <w:rsid w:val="00243981"/>
    <w:rsid w:val="00246DB1"/>
    <w:rsid w:val="002476B5"/>
    <w:rsid w:val="00253ECF"/>
    <w:rsid w:val="002546A1"/>
    <w:rsid w:val="00273CA1"/>
    <w:rsid w:val="00274492"/>
    <w:rsid w:val="00275D08"/>
    <w:rsid w:val="00285130"/>
    <w:rsid w:val="002858E3"/>
    <w:rsid w:val="0029190A"/>
    <w:rsid w:val="00292C5A"/>
    <w:rsid w:val="00295241"/>
    <w:rsid w:val="002A4DFC"/>
    <w:rsid w:val="002B047D"/>
    <w:rsid w:val="002B732B"/>
    <w:rsid w:val="002C16D1"/>
    <w:rsid w:val="002C2219"/>
    <w:rsid w:val="002D0DF2"/>
    <w:rsid w:val="002D23BD"/>
    <w:rsid w:val="002E0B47"/>
    <w:rsid w:val="002E0F3E"/>
    <w:rsid w:val="002E4D7E"/>
    <w:rsid w:val="002E6098"/>
    <w:rsid w:val="002F7213"/>
    <w:rsid w:val="0030382F"/>
    <w:rsid w:val="0030408D"/>
    <w:rsid w:val="003060E4"/>
    <w:rsid w:val="003160E7"/>
    <w:rsid w:val="0031739E"/>
    <w:rsid w:val="00317D21"/>
    <w:rsid w:val="003200F6"/>
    <w:rsid w:val="00321E0C"/>
    <w:rsid w:val="003221B6"/>
    <w:rsid w:val="00330059"/>
    <w:rsid w:val="003315B3"/>
    <w:rsid w:val="003325AB"/>
    <w:rsid w:val="003332D1"/>
    <w:rsid w:val="0033412B"/>
    <w:rsid w:val="00343365"/>
    <w:rsid w:val="00353501"/>
    <w:rsid w:val="00354C84"/>
    <w:rsid w:val="003606F8"/>
    <w:rsid w:val="003648EF"/>
    <w:rsid w:val="003673E6"/>
    <w:rsid w:val="00377264"/>
    <w:rsid w:val="003A26A5"/>
    <w:rsid w:val="003A3761"/>
    <w:rsid w:val="003A3F8A"/>
    <w:rsid w:val="003A5FEA"/>
    <w:rsid w:val="003B1D10"/>
    <w:rsid w:val="003B2EB2"/>
    <w:rsid w:val="003C4558"/>
    <w:rsid w:val="003C76D4"/>
    <w:rsid w:val="003D2CC5"/>
    <w:rsid w:val="003E2AC3"/>
    <w:rsid w:val="003E6060"/>
    <w:rsid w:val="003E7C46"/>
    <w:rsid w:val="003F4659"/>
    <w:rsid w:val="003F52A7"/>
    <w:rsid w:val="0040240C"/>
    <w:rsid w:val="00413021"/>
    <w:rsid w:val="00421A12"/>
    <w:rsid w:val="00425D12"/>
    <w:rsid w:val="00440BE0"/>
    <w:rsid w:val="00442C1C"/>
    <w:rsid w:val="00443505"/>
    <w:rsid w:val="0044584B"/>
    <w:rsid w:val="00447CB7"/>
    <w:rsid w:val="00455CC9"/>
    <w:rsid w:val="00460826"/>
    <w:rsid w:val="00460EA7"/>
    <w:rsid w:val="0046195B"/>
    <w:rsid w:val="00461B1E"/>
    <w:rsid w:val="0046596D"/>
    <w:rsid w:val="00473648"/>
    <w:rsid w:val="004761E3"/>
    <w:rsid w:val="00482A46"/>
    <w:rsid w:val="00487C04"/>
    <w:rsid w:val="004907E1"/>
    <w:rsid w:val="00493951"/>
    <w:rsid w:val="004A035B"/>
    <w:rsid w:val="004A38D7"/>
    <w:rsid w:val="004A778C"/>
    <w:rsid w:val="004C2E6A"/>
    <w:rsid w:val="004C64B8"/>
    <w:rsid w:val="004D2A2D"/>
    <w:rsid w:val="004D4AA4"/>
    <w:rsid w:val="004D6689"/>
    <w:rsid w:val="004E1D1D"/>
    <w:rsid w:val="004E464D"/>
    <w:rsid w:val="004E6F86"/>
    <w:rsid w:val="004E7AC8"/>
    <w:rsid w:val="004F0C94"/>
    <w:rsid w:val="004F129F"/>
    <w:rsid w:val="004F1E49"/>
    <w:rsid w:val="004F2521"/>
    <w:rsid w:val="004F30D3"/>
    <w:rsid w:val="004F5E42"/>
    <w:rsid w:val="005019AE"/>
    <w:rsid w:val="00503749"/>
    <w:rsid w:val="00503D49"/>
    <w:rsid w:val="00504CF4"/>
    <w:rsid w:val="0050635B"/>
    <w:rsid w:val="00510FE3"/>
    <w:rsid w:val="005151C2"/>
    <w:rsid w:val="00530322"/>
    <w:rsid w:val="005316A4"/>
    <w:rsid w:val="0053199F"/>
    <w:rsid w:val="00533B90"/>
    <w:rsid w:val="00535111"/>
    <w:rsid w:val="005410F8"/>
    <w:rsid w:val="005448EC"/>
    <w:rsid w:val="00545963"/>
    <w:rsid w:val="00550256"/>
    <w:rsid w:val="00553958"/>
    <w:rsid w:val="0055763D"/>
    <w:rsid w:val="00560D42"/>
    <w:rsid w:val="005621F2"/>
    <w:rsid w:val="00567B58"/>
    <w:rsid w:val="00572C23"/>
    <w:rsid w:val="005763E0"/>
    <w:rsid w:val="005770FA"/>
    <w:rsid w:val="00581136"/>
    <w:rsid w:val="00581981"/>
    <w:rsid w:val="0058620D"/>
    <w:rsid w:val="00593077"/>
    <w:rsid w:val="00595450"/>
    <w:rsid w:val="005A255E"/>
    <w:rsid w:val="005A27CA"/>
    <w:rsid w:val="005A2DD0"/>
    <w:rsid w:val="005A429E"/>
    <w:rsid w:val="005A43BD"/>
    <w:rsid w:val="005B5DF3"/>
    <w:rsid w:val="005B6770"/>
    <w:rsid w:val="005C5AF1"/>
    <w:rsid w:val="005C75D9"/>
    <w:rsid w:val="005D1604"/>
    <w:rsid w:val="005D3990"/>
    <w:rsid w:val="005E226E"/>
    <w:rsid w:val="005E2636"/>
    <w:rsid w:val="005F0002"/>
    <w:rsid w:val="006015D7"/>
    <w:rsid w:val="00601B21"/>
    <w:rsid w:val="00601F77"/>
    <w:rsid w:val="006041F0"/>
    <w:rsid w:val="00604229"/>
    <w:rsid w:val="00604BD6"/>
    <w:rsid w:val="00620BFC"/>
    <w:rsid w:val="00625571"/>
    <w:rsid w:val="00626CF8"/>
    <w:rsid w:val="00633590"/>
    <w:rsid w:val="00634ED8"/>
    <w:rsid w:val="00636D7D"/>
    <w:rsid w:val="00637408"/>
    <w:rsid w:val="00642868"/>
    <w:rsid w:val="00647AFE"/>
    <w:rsid w:val="006512BC"/>
    <w:rsid w:val="00653A5A"/>
    <w:rsid w:val="00657548"/>
    <w:rsid w:val="006575F4"/>
    <w:rsid w:val="006579E6"/>
    <w:rsid w:val="00663EDC"/>
    <w:rsid w:val="00665316"/>
    <w:rsid w:val="00671078"/>
    <w:rsid w:val="006734DC"/>
    <w:rsid w:val="006758CA"/>
    <w:rsid w:val="006771B7"/>
    <w:rsid w:val="00680225"/>
    <w:rsid w:val="00680A04"/>
    <w:rsid w:val="00684F74"/>
    <w:rsid w:val="00686D80"/>
    <w:rsid w:val="0069383A"/>
    <w:rsid w:val="00694895"/>
    <w:rsid w:val="00697E2E"/>
    <w:rsid w:val="006A25A2"/>
    <w:rsid w:val="006B0E73"/>
    <w:rsid w:val="006B4A4D"/>
    <w:rsid w:val="006B5695"/>
    <w:rsid w:val="006C78EB"/>
    <w:rsid w:val="006D073C"/>
    <w:rsid w:val="006D1660"/>
    <w:rsid w:val="006E15E8"/>
    <w:rsid w:val="006E4CA0"/>
    <w:rsid w:val="006E6CC9"/>
    <w:rsid w:val="006F1B67"/>
    <w:rsid w:val="0070091D"/>
    <w:rsid w:val="00702854"/>
    <w:rsid w:val="00706B89"/>
    <w:rsid w:val="00706F3B"/>
    <w:rsid w:val="00711AA8"/>
    <w:rsid w:val="0071741C"/>
    <w:rsid w:val="00727610"/>
    <w:rsid w:val="00727809"/>
    <w:rsid w:val="00730A82"/>
    <w:rsid w:val="00734F69"/>
    <w:rsid w:val="00742B90"/>
    <w:rsid w:val="0074434D"/>
    <w:rsid w:val="00752326"/>
    <w:rsid w:val="00756CFD"/>
    <w:rsid w:val="007712A1"/>
    <w:rsid w:val="00771B1E"/>
    <w:rsid w:val="00773C95"/>
    <w:rsid w:val="00775A24"/>
    <w:rsid w:val="0078171E"/>
    <w:rsid w:val="00795B34"/>
    <w:rsid w:val="007A171A"/>
    <w:rsid w:val="007A5882"/>
    <w:rsid w:val="007A6931"/>
    <w:rsid w:val="007B1770"/>
    <w:rsid w:val="007B2362"/>
    <w:rsid w:val="007B4D3E"/>
    <w:rsid w:val="007B583F"/>
    <w:rsid w:val="007B7C70"/>
    <w:rsid w:val="007D2151"/>
    <w:rsid w:val="007D42CC"/>
    <w:rsid w:val="007D5DE4"/>
    <w:rsid w:val="007D6DBE"/>
    <w:rsid w:val="007E01C7"/>
    <w:rsid w:val="007E0777"/>
    <w:rsid w:val="007E1341"/>
    <w:rsid w:val="007E1B41"/>
    <w:rsid w:val="007E30B9"/>
    <w:rsid w:val="007E74F1"/>
    <w:rsid w:val="007F0F0C"/>
    <w:rsid w:val="007F1288"/>
    <w:rsid w:val="00800A8A"/>
    <w:rsid w:val="0080155C"/>
    <w:rsid w:val="00804C52"/>
    <w:rsid w:val="008052E1"/>
    <w:rsid w:val="00822F2C"/>
    <w:rsid w:val="008305E8"/>
    <w:rsid w:val="008325F6"/>
    <w:rsid w:val="008458D8"/>
    <w:rsid w:val="00860826"/>
    <w:rsid w:val="00860E21"/>
    <w:rsid w:val="00863117"/>
    <w:rsid w:val="0086388B"/>
    <w:rsid w:val="008642E5"/>
    <w:rsid w:val="00870BE7"/>
    <w:rsid w:val="008726E1"/>
    <w:rsid w:val="00872BE3"/>
    <w:rsid w:val="00872D93"/>
    <w:rsid w:val="00873803"/>
    <w:rsid w:val="00873E6E"/>
    <w:rsid w:val="00880470"/>
    <w:rsid w:val="008806D5"/>
    <w:rsid w:val="00880D94"/>
    <w:rsid w:val="00887635"/>
    <w:rsid w:val="008924DE"/>
    <w:rsid w:val="008A0CD6"/>
    <w:rsid w:val="008A3755"/>
    <w:rsid w:val="008A6296"/>
    <w:rsid w:val="008B019A"/>
    <w:rsid w:val="008B264F"/>
    <w:rsid w:val="008B2B59"/>
    <w:rsid w:val="008B6F83"/>
    <w:rsid w:val="008B7FD8"/>
    <w:rsid w:val="008C2221"/>
    <w:rsid w:val="008C2973"/>
    <w:rsid w:val="008C6324"/>
    <w:rsid w:val="008C64C4"/>
    <w:rsid w:val="008D277E"/>
    <w:rsid w:val="008D74D5"/>
    <w:rsid w:val="008E2E27"/>
    <w:rsid w:val="008E46D0"/>
    <w:rsid w:val="008E7961"/>
    <w:rsid w:val="008F29BE"/>
    <w:rsid w:val="008F3F0D"/>
    <w:rsid w:val="008F4AE5"/>
    <w:rsid w:val="008F51EB"/>
    <w:rsid w:val="00900197"/>
    <w:rsid w:val="00902F55"/>
    <w:rsid w:val="0090582B"/>
    <w:rsid w:val="009060C0"/>
    <w:rsid w:val="00906FB2"/>
    <w:rsid w:val="009133F5"/>
    <w:rsid w:val="00920A27"/>
    <w:rsid w:val="00921216"/>
    <w:rsid w:val="009216CC"/>
    <w:rsid w:val="0092179B"/>
    <w:rsid w:val="009278D3"/>
    <w:rsid w:val="00927BAD"/>
    <w:rsid w:val="00930D08"/>
    <w:rsid w:val="00932D69"/>
    <w:rsid w:val="00944647"/>
    <w:rsid w:val="00944767"/>
    <w:rsid w:val="00950C19"/>
    <w:rsid w:val="00965469"/>
    <w:rsid w:val="00977B8A"/>
    <w:rsid w:val="00982971"/>
    <w:rsid w:val="009845AD"/>
    <w:rsid w:val="009867FC"/>
    <w:rsid w:val="00986A6B"/>
    <w:rsid w:val="00991169"/>
    <w:rsid w:val="00995BA0"/>
    <w:rsid w:val="00996CE6"/>
    <w:rsid w:val="009A418B"/>
    <w:rsid w:val="009A4473"/>
    <w:rsid w:val="009B62DF"/>
    <w:rsid w:val="009B63C9"/>
    <w:rsid w:val="009C063E"/>
    <w:rsid w:val="009C084E"/>
    <w:rsid w:val="009C151C"/>
    <w:rsid w:val="009C6113"/>
    <w:rsid w:val="009D4015"/>
    <w:rsid w:val="009D5125"/>
    <w:rsid w:val="009D60B8"/>
    <w:rsid w:val="009D7D4B"/>
    <w:rsid w:val="009E36ED"/>
    <w:rsid w:val="009E3C8C"/>
    <w:rsid w:val="009E6761"/>
    <w:rsid w:val="009E681C"/>
    <w:rsid w:val="009E6B77"/>
    <w:rsid w:val="009F13A1"/>
    <w:rsid w:val="009F3862"/>
    <w:rsid w:val="009F460A"/>
    <w:rsid w:val="00A043FB"/>
    <w:rsid w:val="00A0729C"/>
    <w:rsid w:val="00A07779"/>
    <w:rsid w:val="00A20B2E"/>
    <w:rsid w:val="00A25069"/>
    <w:rsid w:val="00A255E2"/>
    <w:rsid w:val="00A26E6B"/>
    <w:rsid w:val="00A3068F"/>
    <w:rsid w:val="00A3145B"/>
    <w:rsid w:val="00A32CD8"/>
    <w:rsid w:val="00A339D0"/>
    <w:rsid w:val="00A34F8D"/>
    <w:rsid w:val="00A37105"/>
    <w:rsid w:val="00A41002"/>
    <w:rsid w:val="00A4201A"/>
    <w:rsid w:val="00A474D2"/>
    <w:rsid w:val="00A51BDE"/>
    <w:rsid w:val="00A553CE"/>
    <w:rsid w:val="00A5677A"/>
    <w:rsid w:val="00A6490D"/>
    <w:rsid w:val="00A672AA"/>
    <w:rsid w:val="00A80363"/>
    <w:rsid w:val="00A81705"/>
    <w:rsid w:val="00A83469"/>
    <w:rsid w:val="00A83E9D"/>
    <w:rsid w:val="00A9169D"/>
    <w:rsid w:val="00AA240C"/>
    <w:rsid w:val="00AA2F80"/>
    <w:rsid w:val="00AC101C"/>
    <w:rsid w:val="00AC26B4"/>
    <w:rsid w:val="00AD4CF1"/>
    <w:rsid w:val="00AD5988"/>
    <w:rsid w:val="00AE22AB"/>
    <w:rsid w:val="00AE316D"/>
    <w:rsid w:val="00AE5AC2"/>
    <w:rsid w:val="00AE612D"/>
    <w:rsid w:val="00AE7F50"/>
    <w:rsid w:val="00AF016E"/>
    <w:rsid w:val="00AF1BA2"/>
    <w:rsid w:val="00AF7800"/>
    <w:rsid w:val="00B043B2"/>
    <w:rsid w:val="00B072E0"/>
    <w:rsid w:val="00B253F6"/>
    <w:rsid w:val="00B305DB"/>
    <w:rsid w:val="00B332F8"/>
    <w:rsid w:val="00B3458A"/>
    <w:rsid w:val="00B3492B"/>
    <w:rsid w:val="00B36E45"/>
    <w:rsid w:val="00B4646F"/>
    <w:rsid w:val="00B47559"/>
    <w:rsid w:val="00B52D25"/>
    <w:rsid w:val="00B55C7D"/>
    <w:rsid w:val="00B55CBC"/>
    <w:rsid w:val="00B63038"/>
    <w:rsid w:val="00B64BD8"/>
    <w:rsid w:val="00B701D1"/>
    <w:rsid w:val="00B73AF2"/>
    <w:rsid w:val="00B7551A"/>
    <w:rsid w:val="00B773F1"/>
    <w:rsid w:val="00B822E8"/>
    <w:rsid w:val="00B84AA2"/>
    <w:rsid w:val="00B86AB1"/>
    <w:rsid w:val="00B93DD9"/>
    <w:rsid w:val="00B951F4"/>
    <w:rsid w:val="00BB2CBB"/>
    <w:rsid w:val="00BC59F1"/>
    <w:rsid w:val="00BC7F3B"/>
    <w:rsid w:val="00BE1962"/>
    <w:rsid w:val="00BF239C"/>
    <w:rsid w:val="00BF249B"/>
    <w:rsid w:val="00BF3DE1"/>
    <w:rsid w:val="00BF4843"/>
    <w:rsid w:val="00BF5205"/>
    <w:rsid w:val="00C02243"/>
    <w:rsid w:val="00C03AD1"/>
    <w:rsid w:val="00C12508"/>
    <w:rsid w:val="00C22F63"/>
    <w:rsid w:val="00C23728"/>
    <w:rsid w:val="00C24AA8"/>
    <w:rsid w:val="00C45AA2"/>
    <w:rsid w:val="00C47C92"/>
    <w:rsid w:val="00C51C80"/>
    <w:rsid w:val="00C55BEF"/>
    <w:rsid w:val="00C66296"/>
    <w:rsid w:val="00C77282"/>
    <w:rsid w:val="00C8013C"/>
    <w:rsid w:val="00C84DE5"/>
    <w:rsid w:val="00C86248"/>
    <w:rsid w:val="00C952BE"/>
    <w:rsid w:val="00CA4C33"/>
    <w:rsid w:val="00CA63DC"/>
    <w:rsid w:val="00CA6F4A"/>
    <w:rsid w:val="00CB10B5"/>
    <w:rsid w:val="00CC05FB"/>
    <w:rsid w:val="00CC4011"/>
    <w:rsid w:val="00CC5FF0"/>
    <w:rsid w:val="00CD02D2"/>
    <w:rsid w:val="00CD2119"/>
    <w:rsid w:val="00CD237A"/>
    <w:rsid w:val="00CD36AC"/>
    <w:rsid w:val="00CE13A3"/>
    <w:rsid w:val="00CF010A"/>
    <w:rsid w:val="00CF1747"/>
    <w:rsid w:val="00D106F1"/>
    <w:rsid w:val="00D23323"/>
    <w:rsid w:val="00D2392A"/>
    <w:rsid w:val="00D25504"/>
    <w:rsid w:val="00D25FFE"/>
    <w:rsid w:val="00D358B7"/>
    <w:rsid w:val="00D37AFF"/>
    <w:rsid w:val="00D4476F"/>
    <w:rsid w:val="00D5016C"/>
    <w:rsid w:val="00D50BD9"/>
    <w:rsid w:val="00D54D50"/>
    <w:rsid w:val="00D66797"/>
    <w:rsid w:val="00D7087C"/>
    <w:rsid w:val="00D70C3C"/>
    <w:rsid w:val="00D72BE5"/>
    <w:rsid w:val="00D82F26"/>
    <w:rsid w:val="00D8632E"/>
    <w:rsid w:val="00D863D0"/>
    <w:rsid w:val="00D87C87"/>
    <w:rsid w:val="00D87EA9"/>
    <w:rsid w:val="00D90E07"/>
    <w:rsid w:val="00D942D0"/>
    <w:rsid w:val="00DA1E6A"/>
    <w:rsid w:val="00DA2CBB"/>
    <w:rsid w:val="00DA413F"/>
    <w:rsid w:val="00DA4B3C"/>
    <w:rsid w:val="00DA655E"/>
    <w:rsid w:val="00DB3727"/>
    <w:rsid w:val="00DB39CF"/>
    <w:rsid w:val="00DB43C5"/>
    <w:rsid w:val="00DD06E9"/>
    <w:rsid w:val="00DD0BCD"/>
    <w:rsid w:val="00DD447A"/>
    <w:rsid w:val="00DE3B20"/>
    <w:rsid w:val="00DE4D81"/>
    <w:rsid w:val="00DE6C94"/>
    <w:rsid w:val="00DE6FD7"/>
    <w:rsid w:val="00DE78EF"/>
    <w:rsid w:val="00DF2B74"/>
    <w:rsid w:val="00E03100"/>
    <w:rsid w:val="00E11F7E"/>
    <w:rsid w:val="00E12712"/>
    <w:rsid w:val="00E22B42"/>
    <w:rsid w:val="00E23271"/>
    <w:rsid w:val="00E24F80"/>
    <w:rsid w:val="00E25925"/>
    <w:rsid w:val="00E259F3"/>
    <w:rsid w:val="00E33238"/>
    <w:rsid w:val="00E42ABC"/>
    <w:rsid w:val="00E4486C"/>
    <w:rsid w:val="00E45E16"/>
    <w:rsid w:val="00E460B6"/>
    <w:rsid w:val="00E511D5"/>
    <w:rsid w:val="00E60249"/>
    <w:rsid w:val="00E65269"/>
    <w:rsid w:val="00E65941"/>
    <w:rsid w:val="00E76D66"/>
    <w:rsid w:val="00E875CC"/>
    <w:rsid w:val="00E96198"/>
    <w:rsid w:val="00EA796A"/>
    <w:rsid w:val="00EB1856"/>
    <w:rsid w:val="00EB47E4"/>
    <w:rsid w:val="00EC50CE"/>
    <w:rsid w:val="00EC5B34"/>
    <w:rsid w:val="00ED620B"/>
    <w:rsid w:val="00EE2D5C"/>
    <w:rsid w:val="00EE3925"/>
    <w:rsid w:val="00EE4ADE"/>
    <w:rsid w:val="00EE5CB7"/>
    <w:rsid w:val="00EF6B2C"/>
    <w:rsid w:val="00F01918"/>
    <w:rsid w:val="00F024FE"/>
    <w:rsid w:val="00F05AD4"/>
    <w:rsid w:val="00F25970"/>
    <w:rsid w:val="00F31792"/>
    <w:rsid w:val="00F37F68"/>
    <w:rsid w:val="00F5180D"/>
    <w:rsid w:val="00F55BB1"/>
    <w:rsid w:val="00F573AB"/>
    <w:rsid w:val="00F63781"/>
    <w:rsid w:val="00F660E4"/>
    <w:rsid w:val="00F67496"/>
    <w:rsid w:val="00F74208"/>
    <w:rsid w:val="00F801BA"/>
    <w:rsid w:val="00F9366A"/>
    <w:rsid w:val="00F946C9"/>
    <w:rsid w:val="00FA6144"/>
    <w:rsid w:val="00FA74EE"/>
    <w:rsid w:val="00FC1719"/>
    <w:rsid w:val="00FC3711"/>
    <w:rsid w:val="00FC46E7"/>
    <w:rsid w:val="00FC5D25"/>
    <w:rsid w:val="00FD041B"/>
    <w:rsid w:val="00FD0D7E"/>
    <w:rsid w:val="00FD2162"/>
    <w:rsid w:val="00FE6E13"/>
    <w:rsid w:val="00FF15F6"/>
    <w:rsid w:val="00FF494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BB1874"/>
  <w15:docId w15:val="{6C0398FC-9993-4F53-BC90-894A9A4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31"/>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3E2AC3"/>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3E2AC3"/>
    <w:pPr>
      <w:keepNext/>
      <w:spacing w:before="120" w:after="120"/>
      <w:ind w:left="992" w:hanging="992"/>
      <w:outlineLvl w:val="1"/>
    </w:pPr>
    <w:rPr>
      <w:b/>
      <w:sz w:val="40"/>
    </w:rPr>
  </w:style>
  <w:style w:type="paragraph" w:styleId="Heading3">
    <w:name w:val="heading 3"/>
    <w:basedOn w:val="Normal"/>
    <w:next w:val="Normal"/>
    <w:link w:val="Heading3Char"/>
    <w:uiPriority w:val="9"/>
    <w:qFormat/>
    <w:rsid w:val="00873803"/>
    <w:pPr>
      <w:keepNext/>
      <w:tabs>
        <w:tab w:val="left" w:pos="1985"/>
      </w:tabs>
      <w:spacing w:before="120" w:after="120"/>
      <w:ind w:left="992" w:hanging="992"/>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0696F"/>
    <w:pPr>
      <w:tabs>
        <w:tab w:val="right" w:pos="9356"/>
      </w:tabs>
      <w:spacing w:before="300"/>
      <w:ind w:left="567" w:right="567" w:hanging="567"/>
    </w:pPr>
    <w:rPr>
      <w:b/>
    </w:rPr>
  </w:style>
  <w:style w:type="paragraph" w:styleId="TOC2">
    <w:name w:val="toc 2"/>
    <w:basedOn w:val="Normal"/>
    <w:next w:val="Normal"/>
    <w:uiPriority w:val="39"/>
    <w:rsid w:val="0020696F"/>
    <w:pPr>
      <w:tabs>
        <w:tab w:val="left" w:pos="284"/>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9"/>
    <w:rsid w:val="003E2AC3"/>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3E2AC3"/>
    <w:rPr>
      <w:rFonts w:ascii="Georgia" w:hAnsi="Georgia"/>
      <w:b/>
      <w:sz w:val="40"/>
      <w:lang w:eastAsia="en-GB"/>
    </w:rPr>
  </w:style>
  <w:style w:type="character" w:customStyle="1" w:styleId="Heading3Char">
    <w:name w:val="Heading 3 Char"/>
    <w:link w:val="Heading3"/>
    <w:uiPriority w:val="9"/>
    <w:rsid w:val="00873803"/>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Heading4Char">
    <w:name w:val="Heading 4 Char"/>
    <w:link w:val="Heading4"/>
    <w:uiPriority w:val="9"/>
    <w:rsid w:val="00B822E8"/>
    <w:rPr>
      <w:rFonts w:ascii="Georgia" w:hAnsi="Georgia"/>
      <w:b/>
      <w:sz w:val="22"/>
      <w:lang w:eastAsia="en-GB"/>
    </w:rPr>
  </w:style>
  <w:style w:type="character" w:customStyle="1" w:styleId="Heading5Char">
    <w:name w:val="Heading 5 Char"/>
    <w:link w:val="Heading5"/>
    <w:uiPriority w:val="9"/>
    <w:rsid w:val="00B822E8"/>
    <w:rPr>
      <w:rFonts w:ascii="Georgia" w:hAnsi="Georgia"/>
      <w:sz w:val="22"/>
      <w:u w:val="single"/>
      <w:lang w:eastAsia="en-GB"/>
    </w:rPr>
  </w:style>
  <w:style w:type="character" w:customStyle="1" w:styleId="TitleChar">
    <w:name w:val="Title Char"/>
    <w:link w:val="Title"/>
    <w:uiPriority w:val="10"/>
    <w:rsid w:val="00B822E8"/>
    <w:rPr>
      <w:rFonts w:ascii="Georgia" w:hAnsi="Georgia"/>
      <w:b/>
      <w:sz w:val="80"/>
      <w:lang w:eastAsia="en-GB"/>
    </w:rPr>
  </w:style>
  <w:style w:type="paragraph" w:styleId="BalloonText">
    <w:name w:val="Balloon Text"/>
    <w:basedOn w:val="Normal"/>
    <w:link w:val="BalloonTextChar"/>
    <w:uiPriority w:val="99"/>
    <w:semiHidden/>
    <w:unhideWhenUsed/>
    <w:rsid w:val="00711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A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11AA8"/>
    <w:rPr>
      <w:sz w:val="16"/>
      <w:szCs w:val="16"/>
    </w:rPr>
  </w:style>
  <w:style w:type="paragraph" w:styleId="CommentText">
    <w:name w:val="annotation text"/>
    <w:basedOn w:val="Normal"/>
    <w:link w:val="CommentTextChar"/>
    <w:uiPriority w:val="99"/>
    <w:unhideWhenUsed/>
    <w:rsid w:val="00711AA8"/>
    <w:pPr>
      <w:spacing w:line="240" w:lineRule="auto"/>
    </w:pPr>
    <w:rPr>
      <w:sz w:val="20"/>
    </w:rPr>
  </w:style>
  <w:style w:type="character" w:customStyle="1" w:styleId="CommentTextChar">
    <w:name w:val="Comment Text Char"/>
    <w:basedOn w:val="DefaultParagraphFont"/>
    <w:link w:val="CommentText"/>
    <w:uiPriority w:val="99"/>
    <w:rsid w:val="00711AA8"/>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711AA8"/>
    <w:rPr>
      <w:b/>
      <w:bCs/>
    </w:rPr>
  </w:style>
  <w:style w:type="character" w:customStyle="1" w:styleId="CommentSubjectChar">
    <w:name w:val="Comment Subject Char"/>
    <w:basedOn w:val="CommentTextChar"/>
    <w:link w:val="CommentSubject"/>
    <w:uiPriority w:val="99"/>
    <w:semiHidden/>
    <w:rsid w:val="00711AA8"/>
    <w:rPr>
      <w:rFonts w:ascii="Georgia" w:hAnsi="Georgia"/>
      <w:b/>
      <w:bCs/>
      <w:lang w:eastAsia="en-GB"/>
    </w:rPr>
  </w:style>
  <w:style w:type="paragraph" w:styleId="ListParagraph">
    <w:name w:val="List Paragraph"/>
    <w:basedOn w:val="Normal"/>
    <w:uiPriority w:val="34"/>
    <w:qFormat/>
    <w:rsid w:val="0021413D"/>
    <w:pPr>
      <w:spacing w:after="200" w:line="276" w:lineRule="auto"/>
      <w:ind w:left="720"/>
      <w:contextualSpacing/>
    </w:pPr>
    <w:rPr>
      <w:rFonts w:eastAsiaTheme="minorHAnsi" w:cstheme="minorBidi"/>
      <w:szCs w:val="22"/>
      <w:lang w:eastAsia="en-US"/>
    </w:rPr>
  </w:style>
  <w:style w:type="character" w:customStyle="1" w:styleId="label2">
    <w:name w:val="label2"/>
    <w:basedOn w:val="DefaultParagraphFont"/>
    <w:rsid w:val="00A474D2"/>
  </w:style>
  <w:style w:type="character" w:customStyle="1" w:styleId="label3">
    <w:name w:val="label3"/>
    <w:basedOn w:val="DefaultParagraphFont"/>
    <w:rsid w:val="00A474D2"/>
  </w:style>
  <w:style w:type="paragraph" w:customStyle="1" w:styleId="subprov1">
    <w:name w:val="subprov1"/>
    <w:basedOn w:val="Normal"/>
    <w:rsid w:val="00A474D2"/>
    <w:pPr>
      <w:spacing w:before="83" w:after="216" w:line="288" w:lineRule="atLeast"/>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3889">
      <w:bodyDiv w:val="1"/>
      <w:marLeft w:val="0"/>
      <w:marRight w:val="0"/>
      <w:marTop w:val="0"/>
      <w:marBottom w:val="0"/>
      <w:divBdr>
        <w:top w:val="none" w:sz="0" w:space="0" w:color="auto"/>
        <w:left w:val="none" w:sz="0" w:space="0" w:color="auto"/>
        <w:bottom w:val="none" w:sz="0" w:space="0" w:color="auto"/>
        <w:right w:val="none" w:sz="0" w:space="0" w:color="auto"/>
      </w:divBdr>
    </w:div>
    <w:div w:id="1711031287">
      <w:bodyDiv w:val="1"/>
      <w:marLeft w:val="0"/>
      <w:marRight w:val="0"/>
      <w:marTop w:val="0"/>
      <w:marBottom w:val="0"/>
      <w:divBdr>
        <w:top w:val="none" w:sz="0" w:space="0" w:color="auto"/>
        <w:left w:val="none" w:sz="0" w:space="0" w:color="auto"/>
        <w:bottom w:val="none" w:sz="0" w:space="0" w:color="auto"/>
        <w:right w:val="none" w:sz="0" w:space="0" w:color="auto"/>
      </w:divBdr>
      <w:divsChild>
        <w:div w:id="39062084">
          <w:marLeft w:val="0"/>
          <w:marRight w:val="0"/>
          <w:marTop w:val="0"/>
          <w:marBottom w:val="0"/>
          <w:divBdr>
            <w:top w:val="none" w:sz="0" w:space="0" w:color="auto"/>
            <w:left w:val="none" w:sz="0" w:space="0" w:color="auto"/>
            <w:bottom w:val="none" w:sz="0" w:space="0" w:color="auto"/>
            <w:right w:val="none" w:sz="0" w:space="0" w:color="auto"/>
          </w:divBdr>
          <w:divsChild>
            <w:div w:id="618493783">
              <w:marLeft w:val="0"/>
              <w:marRight w:val="0"/>
              <w:marTop w:val="0"/>
              <w:marBottom w:val="0"/>
              <w:divBdr>
                <w:top w:val="none" w:sz="0" w:space="0" w:color="auto"/>
                <w:left w:val="none" w:sz="0" w:space="0" w:color="auto"/>
                <w:bottom w:val="none" w:sz="0" w:space="0" w:color="auto"/>
                <w:right w:val="none" w:sz="0" w:space="0" w:color="auto"/>
              </w:divBdr>
              <w:divsChild>
                <w:div w:id="687365344">
                  <w:marLeft w:val="0"/>
                  <w:marRight w:val="0"/>
                  <w:marTop w:val="105"/>
                  <w:marBottom w:val="0"/>
                  <w:divBdr>
                    <w:top w:val="none" w:sz="0" w:space="0" w:color="auto"/>
                    <w:left w:val="none" w:sz="0" w:space="0" w:color="auto"/>
                    <w:bottom w:val="none" w:sz="0" w:space="0" w:color="auto"/>
                    <w:right w:val="none" w:sz="0" w:space="0" w:color="auto"/>
                  </w:divBdr>
                  <w:divsChild>
                    <w:div w:id="1723092288">
                      <w:marLeft w:val="450"/>
                      <w:marRight w:val="225"/>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600"/>
                          <w:divBdr>
                            <w:top w:val="single" w:sz="6" w:space="0" w:color="314664"/>
                            <w:left w:val="single" w:sz="6" w:space="0" w:color="314664"/>
                            <w:bottom w:val="single" w:sz="6" w:space="0" w:color="314664"/>
                            <w:right w:val="single" w:sz="6" w:space="0" w:color="314664"/>
                          </w:divBdr>
                          <w:divsChild>
                            <w:div w:id="859439858">
                              <w:marLeft w:val="0"/>
                              <w:marRight w:val="0"/>
                              <w:marTop w:val="0"/>
                              <w:marBottom w:val="0"/>
                              <w:divBdr>
                                <w:top w:val="none" w:sz="0" w:space="0" w:color="auto"/>
                                <w:left w:val="none" w:sz="0" w:space="0" w:color="auto"/>
                                <w:bottom w:val="none" w:sz="0" w:space="0" w:color="auto"/>
                                <w:right w:val="none" w:sz="0" w:space="0" w:color="auto"/>
                              </w:divBdr>
                              <w:divsChild>
                                <w:div w:id="1101027085">
                                  <w:marLeft w:val="0"/>
                                  <w:marRight w:val="0"/>
                                  <w:marTop w:val="0"/>
                                  <w:marBottom w:val="0"/>
                                  <w:divBdr>
                                    <w:top w:val="none" w:sz="0" w:space="0" w:color="auto"/>
                                    <w:left w:val="none" w:sz="0" w:space="0" w:color="auto"/>
                                    <w:bottom w:val="none" w:sz="0" w:space="0" w:color="auto"/>
                                    <w:right w:val="none" w:sz="0" w:space="0" w:color="auto"/>
                                  </w:divBdr>
                                  <w:divsChild>
                                    <w:div w:id="1067024224">
                                      <w:marLeft w:val="0"/>
                                      <w:marRight w:val="0"/>
                                      <w:marTop w:val="0"/>
                                      <w:marBottom w:val="0"/>
                                      <w:divBdr>
                                        <w:top w:val="none" w:sz="0" w:space="0" w:color="auto"/>
                                        <w:left w:val="none" w:sz="0" w:space="0" w:color="auto"/>
                                        <w:bottom w:val="none" w:sz="0" w:space="0" w:color="auto"/>
                                        <w:right w:val="none" w:sz="0" w:space="0" w:color="auto"/>
                                      </w:divBdr>
                                      <w:divsChild>
                                        <w:div w:id="436486337">
                                          <w:marLeft w:val="0"/>
                                          <w:marRight w:val="0"/>
                                          <w:marTop w:val="0"/>
                                          <w:marBottom w:val="0"/>
                                          <w:divBdr>
                                            <w:top w:val="none" w:sz="0" w:space="0" w:color="auto"/>
                                            <w:left w:val="none" w:sz="0" w:space="0" w:color="auto"/>
                                            <w:bottom w:val="none" w:sz="0" w:space="0" w:color="auto"/>
                                            <w:right w:val="none" w:sz="0" w:space="0" w:color="auto"/>
                                          </w:divBdr>
                                          <w:divsChild>
                                            <w:div w:id="526262018">
                                              <w:marLeft w:val="0"/>
                                              <w:marRight w:val="0"/>
                                              <w:marTop w:val="0"/>
                                              <w:marBottom w:val="0"/>
                                              <w:divBdr>
                                                <w:top w:val="none" w:sz="0" w:space="0" w:color="auto"/>
                                                <w:left w:val="none" w:sz="0" w:space="0" w:color="auto"/>
                                                <w:bottom w:val="none" w:sz="0" w:space="0" w:color="auto"/>
                                                <w:right w:val="none" w:sz="0" w:space="0" w:color="auto"/>
                                              </w:divBdr>
                                              <w:divsChild>
                                                <w:div w:id="1377503867">
                                                  <w:marLeft w:val="0"/>
                                                  <w:marRight w:val="0"/>
                                                  <w:marTop w:val="0"/>
                                                  <w:marBottom w:val="0"/>
                                                  <w:divBdr>
                                                    <w:top w:val="none" w:sz="0" w:space="0" w:color="auto"/>
                                                    <w:left w:val="none" w:sz="0" w:space="0" w:color="auto"/>
                                                    <w:bottom w:val="none" w:sz="0" w:space="0" w:color="auto"/>
                                                    <w:right w:val="none" w:sz="0" w:space="0" w:color="auto"/>
                                                  </w:divBdr>
                                                  <w:divsChild>
                                                    <w:div w:id="961228332">
                                                      <w:marLeft w:val="0"/>
                                                      <w:marRight w:val="0"/>
                                                      <w:marTop w:val="0"/>
                                                      <w:marBottom w:val="0"/>
                                                      <w:divBdr>
                                                        <w:top w:val="none" w:sz="0" w:space="0" w:color="auto"/>
                                                        <w:left w:val="none" w:sz="0" w:space="0" w:color="auto"/>
                                                        <w:bottom w:val="none" w:sz="0" w:space="0" w:color="auto"/>
                                                        <w:right w:val="none" w:sz="0" w:space="0" w:color="auto"/>
                                                      </w:divBdr>
                                                      <w:divsChild>
                                                        <w:div w:id="845248435">
                                                          <w:marLeft w:val="0"/>
                                                          <w:marRight w:val="0"/>
                                                          <w:marTop w:val="0"/>
                                                          <w:marBottom w:val="0"/>
                                                          <w:divBdr>
                                                            <w:top w:val="none" w:sz="0" w:space="0" w:color="auto"/>
                                                            <w:left w:val="none" w:sz="0" w:space="0" w:color="auto"/>
                                                            <w:bottom w:val="none" w:sz="0" w:space="0" w:color="auto"/>
                                                            <w:right w:val="none" w:sz="0" w:space="0" w:color="auto"/>
                                                          </w:divBdr>
                                                          <w:divsChild>
                                                            <w:div w:id="1388719167">
                                                              <w:marLeft w:val="0"/>
                                                              <w:marRight w:val="0"/>
                                                              <w:marTop w:val="0"/>
                                                              <w:marBottom w:val="0"/>
                                                              <w:divBdr>
                                                                <w:top w:val="none" w:sz="0" w:space="0" w:color="auto"/>
                                                                <w:left w:val="none" w:sz="0" w:space="0" w:color="auto"/>
                                                                <w:bottom w:val="none" w:sz="0" w:space="0" w:color="auto"/>
                                                                <w:right w:val="none" w:sz="0" w:space="0" w:color="auto"/>
                                                              </w:divBdr>
                                                              <w:divsChild>
                                                                <w:div w:id="1416198328">
                                                                  <w:marLeft w:val="0"/>
                                                                  <w:marRight w:val="0"/>
                                                                  <w:marTop w:val="83"/>
                                                                  <w:marBottom w:val="0"/>
                                                                  <w:divBdr>
                                                                    <w:top w:val="none" w:sz="0" w:space="0" w:color="auto"/>
                                                                    <w:left w:val="none" w:sz="0" w:space="0" w:color="auto"/>
                                                                    <w:bottom w:val="none" w:sz="0" w:space="0" w:color="auto"/>
                                                                    <w:right w:val="none" w:sz="0" w:space="0" w:color="auto"/>
                                                                  </w:divBdr>
                                                                  <w:divsChild>
                                                                    <w:div w:id="1181317923">
                                                                      <w:marLeft w:val="0"/>
                                                                      <w:marRight w:val="0"/>
                                                                      <w:marTop w:val="0"/>
                                                                      <w:marBottom w:val="0"/>
                                                                      <w:divBdr>
                                                                        <w:top w:val="none" w:sz="0" w:space="0" w:color="auto"/>
                                                                        <w:left w:val="none" w:sz="0" w:space="0" w:color="auto"/>
                                                                        <w:bottom w:val="none" w:sz="0" w:space="0" w:color="auto"/>
                                                                        <w:right w:val="none" w:sz="0" w:space="0" w:color="auto"/>
                                                                      </w:divBdr>
                                                                      <w:divsChild>
                                                                        <w:div w:id="1279995782">
                                                                          <w:marLeft w:val="0"/>
                                                                          <w:marRight w:val="0"/>
                                                                          <w:marTop w:val="83"/>
                                                                          <w:marBottom w:val="0"/>
                                                                          <w:divBdr>
                                                                            <w:top w:val="none" w:sz="0" w:space="0" w:color="auto"/>
                                                                            <w:left w:val="none" w:sz="0" w:space="0" w:color="auto"/>
                                                                            <w:bottom w:val="none" w:sz="0" w:space="0" w:color="auto"/>
                                                                            <w:right w:val="none" w:sz="0" w:space="0" w:color="auto"/>
                                                                          </w:divBdr>
                                                                        </w:div>
                                                                      </w:divsChild>
                                                                    </w:div>
                                                                    <w:div w:id="526599655">
                                                                      <w:marLeft w:val="0"/>
                                                                      <w:marRight w:val="0"/>
                                                                      <w:marTop w:val="0"/>
                                                                      <w:marBottom w:val="0"/>
                                                                      <w:divBdr>
                                                                        <w:top w:val="none" w:sz="0" w:space="0" w:color="auto"/>
                                                                        <w:left w:val="none" w:sz="0" w:space="0" w:color="auto"/>
                                                                        <w:bottom w:val="none" w:sz="0" w:space="0" w:color="auto"/>
                                                                        <w:right w:val="none" w:sz="0" w:space="0" w:color="auto"/>
                                                                      </w:divBdr>
                                                                      <w:divsChild>
                                                                        <w:div w:id="419526532">
                                                                          <w:marLeft w:val="0"/>
                                                                          <w:marRight w:val="0"/>
                                                                          <w:marTop w:val="83"/>
                                                                          <w:marBottom w:val="0"/>
                                                                          <w:divBdr>
                                                                            <w:top w:val="none" w:sz="0" w:space="0" w:color="auto"/>
                                                                            <w:left w:val="none" w:sz="0" w:space="0" w:color="auto"/>
                                                                            <w:bottom w:val="none" w:sz="0" w:space="0" w:color="auto"/>
                                                                            <w:right w:val="none" w:sz="0" w:space="0" w:color="auto"/>
                                                                          </w:divBdr>
                                                                        </w:div>
                                                                      </w:divsChild>
                                                                    </w:div>
                                                                    <w:div w:id="806819824">
                                                                      <w:marLeft w:val="0"/>
                                                                      <w:marRight w:val="0"/>
                                                                      <w:marTop w:val="0"/>
                                                                      <w:marBottom w:val="0"/>
                                                                      <w:divBdr>
                                                                        <w:top w:val="none" w:sz="0" w:space="0" w:color="auto"/>
                                                                        <w:left w:val="none" w:sz="0" w:space="0" w:color="auto"/>
                                                                        <w:bottom w:val="none" w:sz="0" w:space="0" w:color="auto"/>
                                                                        <w:right w:val="none" w:sz="0" w:space="0" w:color="auto"/>
                                                                      </w:divBdr>
                                                                      <w:divsChild>
                                                                        <w:div w:id="15185403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0918849">
                                                              <w:marLeft w:val="0"/>
                                                              <w:marRight w:val="0"/>
                                                              <w:marTop w:val="0"/>
                                                              <w:marBottom w:val="0"/>
                                                              <w:divBdr>
                                                                <w:top w:val="none" w:sz="0" w:space="0" w:color="auto"/>
                                                                <w:left w:val="none" w:sz="0" w:space="0" w:color="auto"/>
                                                                <w:bottom w:val="none" w:sz="0" w:space="0" w:color="auto"/>
                                                                <w:right w:val="none" w:sz="0" w:space="0" w:color="auto"/>
                                                              </w:divBdr>
                                                              <w:divsChild>
                                                                <w:div w:id="1040864276">
                                                                  <w:marLeft w:val="0"/>
                                                                  <w:marRight w:val="0"/>
                                                                  <w:marTop w:val="83"/>
                                                                  <w:marBottom w:val="0"/>
                                                                  <w:divBdr>
                                                                    <w:top w:val="none" w:sz="0" w:space="0" w:color="auto"/>
                                                                    <w:left w:val="none" w:sz="0" w:space="0" w:color="auto"/>
                                                                    <w:bottom w:val="none" w:sz="0" w:space="0" w:color="auto"/>
                                                                    <w:right w:val="none" w:sz="0" w:space="0" w:color="auto"/>
                                                                  </w:divBdr>
                                                                  <w:divsChild>
                                                                    <w:div w:id="2084570778">
                                                                      <w:marLeft w:val="0"/>
                                                                      <w:marRight w:val="0"/>
                                                                      <w:marTop w:val="0"/>
                                                                      <w:marBottom w:val="0"/>
                                                                      <w:divBdr>
                                                                        <w:top w:val="none" w:sz="0" w:space="0" w:color="auto"/>
                                                                        <w:left w:val="none" w:sz="0" w:space="0" w:color="auto"/>
                                                                        <w:bottom w:val="none" w:sz="0" w:space="0" w:color="auto"/>
                                                                        <w:right w:val="none" w:sz="0" w:space="0" w:color="auto"/>
                                                                      </w:divBdr>
                                                                      <w:divsChild>
                                                                        <w:div w:id="232663039">
                                                                          <w:marLeft w:val="0"/>
                                                                          <w:marRight w:val="0"/>
                                                                          <w:marTop w:val="83"/>
                                                                          <w:marBottom w:val="0"/>
                                                                          <w:divBdr>
                                                                            <w:top w:val="none" w:sz="0" w:space="0" w:color="auto"/>
                                                                            <w:left w:val="none" w:sz="0" w:space="0" w:color="auto"/>
                                                                            <w:bottom w:val="none" w:sz="0" w:space="0" w:color="auto"/>
                                                                            <w:right w:val="none" w:sz="0" w:space="0" w:color="auto"/>
                                                                          </w:divBdr>
                                                                        </w:div>
                                                                      </w:divsChild>
                                                                    </w:div>
                                                                    <w:div w:id="421536166">
                                                                      <w:marLeft w:val="0"/>
                                                                      <w:marRight w:val="0"/>
                                                                      <w:marTop w:val="0"/>
                                                                      <w:marBottom w:val="0"/>
                                                                      <w:divBdr>
                                                                        <w:top w:val="none" w:sz="0" w:space="0" w:color="auto"/>
                                                                        <w:left w:val="none" w:sz="0" w:space="0" w:color="auto"/>
                                                                        <w:bottom w:val="none" w:sz="0" w:space="0" w:color="auto"/>
                                                                        <w:right w:val="none" w:sz="0" w:space="0" w:color="auto"/>
                                                                      </w:divBdr>
                                                                      <w:divsChild>
                                                                        <w:div w:id="1268345861">
                                                                          <w:marLeft w:val="0"/>
                                                                          <w:marRight w:val="0"/>
                                                                          <w:marTop w:val="83"/>
                                                                          <w:marBottom w:val="0"/>
                                                                          <w:divBdr>
                                                                            <w:top w:val="none" w:sz="0" w:space="0" w:color="auto"/>
                                                                            <w:left w:val="none" w:sz="0" w:space="0" w:color="auto"/>
                                                                            <w:bottom w:val="none" w:sz="0" w:space="0" w:color="auto"/>
                                                                            <w:right w:val="none" w:sz="0" w:space="0" w:color="auto"/>
                                                                          </w:divBdr>
                                                                        </w:div>
                                                                      </w:divsChild>
                                                                    </w:div>
                                                                    <w:div w:id="17044800">
                                                                      <w:marLeft w:val="0"/>
                                                                      <w:marRight w:val="0"/>
                                                                      <w:marTop w:val="0"/>
                                                                      <w:marBottom w:val="0"/>
                                                                      <w:divBdr>
                                                                        <w:top w:val="none" w:sz="0" w:space="0" w:color="auto"/>
                                                                        <w:left w:val="none" w:sz="0" w:space="0" w:color="auto"/>
                                                                        <w:bottom w:val="none" w:sz="0" w:space="0" w:color="auto"/>
                                                                        <w:right w:val="none" w:sz="0" w:space="0" w:color="auto"/>
                                                                      </w:divBdr>
                                                                      <w:divsChild>
                                                                        <w:div w:id="17163527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4537939">
                                                              <w:marLeft w:val="0"/>
                                                              <w:marRight w:val="0"/>
                                                              <w:marTop w:val="0"/>
                                                              <w:marBottom w:val="0"/>
                                                              <w:divBdr>
                                                                <w:top w:val="none" w:sz="0" w:space="0" w:color="auto"/>
                                                                <w:left w:val="none" w:sz="0" w:space="0" w:color="auto"/>
                                                                <w:bottom w:val="none" w:sz="0" w:space="0" w:color="auto"/>
                                                                <w:right w:val="none" w:sz="0" w:space="0" w:color="auto"/>
                                                              </w:divBdr>
                                                              <w:divsChild>
                                                                <w:div w:id="11202270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4990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74">
          <w:marLeft w:val="0"/>
          <w:marRight w:val="0"/>
          <w:marTop w:val="0"/>
          <w:marBottom w:val="0"/>
          <w:divBdr>
            <w:top w:val="none" w:sz="0" w:space="0" w:color="auto"/>
            <w:left w:val="none" w:sz="0" w:space="0" w:color="auto"/>
            <w:bottom w:val="none" w:sz="0" w:space="0" w:color="auto"/>
            <w:right w:val="none" w:sz="0" w:space="0" w:color="auto"/>
          </w:divBdr>
          <w:divsChild>
            <w:div w:id="573130305">
              <w:marLeft w:val="0"/>
              <w:marRight w:val="0"/>
              <w:marTop w:val="0"/>
              <w:marBottom w:val="0"/>
              <w:divBdr>
                <w:top w:val="none" w:sz="0" w:space="0" w:color="auto"/>
                <w:left w:val="none" w:sz="0" w:space="0" w:color="auto"/>
                <w:bottom w:val="none" w:sz="0" w:space="0" w:color="auto"/>
                <w:right w:val="none" w:sz="0" w:space="0" w:color="auto"/>
              </w:divBdr>
              <w:divsChild>
                <w:div w:id="965044069">
                  <w:marLeft w:val="0"/>
                  <w:marRight w:val="0"/>
                  <w:marTop w:val="105"/>
                  <w:marBottom w:val="0"/>
                  <w:divBdr>
                    <w:top w:val="none" w:sz="0" w:space="0" w:color="auto"/>
                    <w:left w:val="none" w:sz="0" w:space="0" w:color="auto"/>
                    <w:bottom w:val="none" w:sz="0" w:space="0" w:color="auto"/>
                    <w:right w:val="none" w:sz="0" w:space="0" w:color="auto"/>
                  </w:divBdr>
                  <w:divsChild>
                    <w:div w:id="941231647">
                      <w:marLeft w:val="450"/>
                      <w:marRight w:val="225"/>
                      <w:marTop w:val="0"/>
                      <w:marBottom w:val="0"/>
                      <w:divBdr>
                        <w:top w:val="none" w:sz="0" w:space="0" w:color="auto"/>
                        <w:left w:val="none" w:sz="0" w:space="0" w:color="auto"/>
                        <w:bottom w:val="none" w:sz="0" w:space="0" w:color="auto"/>
                        <w:right w:val="none" w:sz="0" w:space="0" w:color="auto"/>
                      </w:divBdr>
                      <w:divsChild>
                        <w:div w:id="1907762457">
                          <w:marLeft w:val="0"/>
                          <w:marRight w:val="0"/>
                          <w:marTop w:val="0"/>
                          <w:marBottom w:val="600"/>
                          <w:divBdr>
                            <w:top w:val="single" w:sz="6" w:space="0" w:color="314664"/>
                            <w:left w:val="single" w:sz="6" w:space="0" w:color="314664"/>
                            <w:bottom w:val="single" w:sz="6" w:space="0" w:color="314664"/>
                            <w:right w:val="single" w:sz="6" w:space="0" w:color="314664"/>
                          </w:divBdr>
                          <w:divsChild>
                            <w:div w:id="1888880773">
                              <w:marLeft w:val="0"/>
                              <w:marRight w:val="0"/>
                              <w:marTop w:val="0"/>
                              <w:marBottom w:val="0"/>
                              <w:divBdr>
                                <w:top w:val="none" w:sz="0" w:space="0" w:color="auto"/>
                                <w:left w:val="none" w:sz="0" w:space="0" w:color="auto"/>
                                <w:bottom w:val="none" w:sz="0" w:space="0" w:color="auto"/>
                                <w:right w:val="none" w:sz="0" w:space="0" w:color="auto"/>
                              </w:divBdr>
                              <w:divsChild>
                                <w:div w:id="1521579536">
                                  <w:marLeft w:val="0"/>
                                  <w:marRight w:val="0"/>
                                  <w:marTop w:val="0"/>
                                  <w:marBottom w:val="0"/>
                                  <w:divBdr>
                                    <w:top w:val="none" w:sz="0" w:space="0" w:color="auto"/>
                                    <w:left w:val="none" w:sz="0" w:space="0" w:color="auto"/>
                                    <w:bottom w:val="none" w:sz="0" w:space="0" w:color="auto"/>
                                    <w:right w:val="none" w:sz="0" w:space="0" w:color="auto"/>
                                  </w:divBdr>
                                  <w:divsChild>
                                    <w:div w:id="1901020487">
                                      <w:marLeft w:val="0"/>
                                      <w:marRight w:val="0"/>
                                      <w:marTop w:val="0"/>
                                      <w:marBottom w:val="0"/>
                                      <w:divBdr>
                                        <w:top w:val="none" w:sz="0" w:space="0" w:color="auto"/>
                                        <w:left w:val="none" w:sz="0" w:space="0" w:color="auto"/>
                                        <w:bottom w:val="none" w:sz="0" w:space="0" w:color="auto"/>
                                        <w:right w:val="none" w:sz="0" w:space="0" w:color="auto"/>
                                      </w:divBdr>
                                      <w:divsChild>
                                        <w:div w:id="1799489726">
                                          <w:marLeft w:val="0"/>
                                          <w:marRight w:val="0"/>
                                          <w:marTop w:val="0"/>
                                          <w:marBottom w:val="0"/>
                                          <w:divBdr>
                                            <w:top w:val="none" w:sz="0" w:space="0" w:color="auto"/>
                                            <w:left w:val="none" w:sz="0" w:space="0" w:color="auto"/>
                                            <w:bottom w:val="none" w:sz="0" w:space="0" w:color="auto"/>
                                            <w:right w:val="none" w:sz="0" w:space="0" w:color="auto"/>
                                          </w:divBdr>
                                          <w:divsChild>
                                            <w:div w:id="815296229">
                                              <w:marLeft w:val="0"/>
                                              <w:marRight w:val="0"/>
                                              <w:marTop w:val="0"/>
                                              <w:marBottom w:val="0"/>
                                              <w:divBdr>
                                                <w:top w:val="none" w:sz="0" w:space="0" w:color="auto"/>
                                                <w:left w:val="none" w:sz="0" w:space="0" w:color="auto"/>
                                                <w:bottom w:val="none" w:sz="0" w:space="0" w:color="auto"/>
                                                <w:right w:val="none" w:sz="0" w:space="0" w:color="auto"/>
                                              </w:divBdr>
                                              <w:divsChild>
                                                <w:div w:id="767700723">
                                                  <w:marLeft w:val="0"/>
                                                  <w:marRight w:val="0"/>
                                                  <w:marTop w:val="0"/>
                                                  <w:marBottom w:val="0"/>
                                                  <w:divBdr>
                                                    <w:top w:val="none" w:sz="0" w:space="0" w:color="auto"/>
                                                    <w:left w:val="none" w:sz="0" w:space="0" w:color="auto"/>
                                                    <w:bottom w:val="none" w:sz="0" w:space="0" w:color="auto"/>
                                                    <w:right w:val="none" w:sz="0" w:space="0" w:color="auto"/>
                                                  </w:divBdr>
                                                  <w:divsChild>
                                                    <w:div w:id="975448718">
                                                      <w:marLeft w:val="0"/>
                                                      <w:marRight w:val="0"/>
                                                      <w:marTop w:val="0"/>
                                                      <w:marBottom w:val="0"/>
                                                      <w:divBdr>
                                                        <w:top w:val="none" w:sz="0" w:space="0" w:color="auto"/>
                                                        <w:left w:val="none" w:sz="0" w:space="0" w:color="auto"/>
                                                        <w:bottom w:val="none" w:sz="0" w:space="0" w:color="auto"/>
                                                        <w:right w:val="none" w:sz="0" w:space="0" w:color="auto"/>
                                                      </w:divBdr>
                                                      <w:divsChild>
                                                        <w:div w:id="644816806">
                                                          <w:marLeft w:val="0"/>
                                                          <w:marRight w:val="0"/>
                                                          <w:marTop w:val="0"/>
                                                          <w:marBottom w:val="0"/>
                                                          <w:divBdr>
                                                            <w:top w:val="none" w:sz="0" w:space="0" w:color="auto"/>
                                                            <w:left w:val="none" w:sz="0" w:space="0" w:color="auto"/>
                                                            <w:bottom w:val="none" w:sz="0" w:space="0" w:color="auto"/>
                                                            <w:right w:val="none" w:sz="0" w:space="0" w:color="auto"/>
                                                          </w:divBdr>
                                                          <w:divsChild>
                                                            <w:div w:id="301154834">
                                                              <w:marLeft w:val="0"/>
                                                              <w:marRight w:val="0"/>
                                                              <w:marTop w:val="0"/>
                                                              <w:marBottom w:val="0"/>
                                                              <w:divBdr>
                                                                <w:top w:val="none" w:sz="0" w:space="0" w:color="auto"/>
                                                                <w:left w:val="none" w:sz="0" w:space="0" w:color="auto"/>
                                                                <w:bottom w:val="none" w:sz="0" w:space="0" w:color="auto"/>
                                                                <w:right w:val="none" w:sz="0" w:space="0" w:color="auto"/>
                                                              </w:divBdr>
                                                              <w:divsChild>
                                                                <w:div w:id="1131443479">
                                                                  <w:marLeft w:val="0"/>
                                                                  <w:marRight w:val="0"/>
                                                                  <w:marTop w:val="83"/>
                                                                  <w:marBottom w:val="0"/>
                                                                  <w:divBdr>
                                                                    <w:top w:val="none" w:sz="0" w:space="0" w:color="auto"/>
                                                                    <w:left w:val="none" w:sz="0" w:space="0" w:color="auto"/>
                                                                    <w:bottom w:val="none" w:sz="0" w:space="0" w:color="auto"/>
                                                                    <w:right w:val="none" w:sz="0" w:space="0" w:color="auto"/>
                                                                  </w:divBdr>
                                                                  <w:divsChild>
                                                                    <w:div w:id="46613225">
                                                                      <w:marLeft w:val="0"/>
                                                                      <w:marRight w:val="0"/>
                                                                      <w:marTop w:val="0"/>
                                                                      <w:marBottom w:val="0"/>
                                                                      <w:divBdr>
                                                                        <w:top w:val="none" w:sz="0" w:space="0" w:color="auto"/>
                                                                        <w:left w:val="none" w:sz="0" w:space="0" w:color="auto"/>
                                                                        <w:bottom w:val="none" w:sz="0" w:space="0" w:color="auto"/>
                                                                        <w:right w:val="none" w:sz="0" w:space="0" w:color="auto"/>
                                                                      </w:divBdr>
                                                                      <w:divsChild>
                                                                        <w:div w:id="1431700457">
                                                                          <w:marLeft w:val="0"/>
                                                                          <w:marRight w:val="0"/>
                                                                          <w:marTop w:val="83"/>
                                                                          <w:marBottom w:val="0"/>
                                                                          <w:divBdr>
                                                                            <w:top w:val="none" w:sz="0" w:space="0" w:color="auto"/>
                                                                            <w:left w:val="none" w:sz="0" w:space="0" w:color="auto"/>
                                                                            <w:bottom w:val="none" w:sz="0" w:space="0" w:color="auto"/>
                                                                            <w:right w:val="none" w:sz="0" w:space="0" w:color="auto"/>
                                                                          </w:divBdr>
                                                                        </w:div>
                                                                      </w:divsChild>
                                                                    </w:div>
                                                                    <w:div w:id="183444405">
                                                                      <w:marLeft w:val="0"/>
                                                                      <w:marRight w:val="0"/>
                                                                      <w:marTop w:val="0"/>
                                                                      <w:marBottom w:val="0"/>
                                                                      <w:divBdr>
                                                                        <w:top w:val="none" w:sz="0" w:space="0" w:color="auto"/>
                                                                        <w:left w:val="none" w:sz="0" w:space="0" w:color="auto"/>
                                                                        <w:bottom w:val="none" w:sz="0" w:space="0" w:color="auto"/>
                                                                        <w:right w:val="none" w:sz="0" w:space="0" w:color="auto"/>
                                                                      </w:divBdr>
                                                                      <w:divsChild>
                                                                        <w:div w:id="1966347866">
                                                                          <w:marLeft w:val="0"/>
                                                                          <w:marRight w:val="0"/>
                                                                          <w:marTop w:val="83"/>
                                                                          <w:marBottom w:val="0"/>
                                                                          <w:divBdr>
                                                                            <w:top w:val="none" w:sz="0" w:space="0" w:color="auto"/>
                                                                            <w:left w:val="none" w:sz="0" w:space="0" w:color="auto"/>
                                                                            <w:bottom w:val="none" w:sz="0" w:space="0" w:color="auto"/>
                                                                            <w:right w:val="none" w:sz="0" w:space="0" w:color="auto"/>
                                                                          </w:divBdr>
                                                                        </w:div>
                                                                      </w:divsChild>
                                                                    </w:div>
                                                                    <w:div w:id="1769543760">
                                                                      <w:marLeft w:val="0"/>
                                                                      <w:marRight w:val="0"/>
                                                                      <w:marTop w:val="0"/>
                                                                      <w:marBottom w:val="0"/>
                                                                      <w:divBdr>
                                                                        <w:top w:val="none" w:sz="0" w:space="0" w:color="auto"/>
                                                                        <w:left w:val="none" w:sz="0" w:space="0" w:color="auto"/>
                                                                        <w:bottom w:val="none" w:sz="0" w:space="0" w:color="auto"/>
                                                                        <w:right w:val="none" w:sz="0" w:space="0" w:color="auto"/>
                                                                      </w:divBdr>
                                                                      <w:divsChild>
                                                                        <w:div w:id="20287497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529606243">
                                                              <w:marLeft w:val="0"/>
                                                              <w:marRight w:val="0"/>
                                                              <w:marTop w:val="0"/>
                                                              <w:marBottom w:val="0"/>
                                                              <w:divBdr>
                                                                <w:top w:val="none" w:sz="0" w:space="0" w:color="auto"/>
                                                                <w:left w:val="none" w:sz="0" w:space="0" w:color="auto"/>
                                                                <w:bottom w:val="none" w:sz="0" w:space="0" w:color="auto"/>
                                                                <w:right w:val="none" w:sz="0" w:space="0" w:color="auto"/>
                                                              </w:divBdr>
                                                              <w:divsChild>
                                                                <w:div w:id="607857538">
                                                                  <w:marLeft w:val="0"/>
                                                                  <w:marRight w:val="0"/>
                                                                  <w:marTop w:val="83"/>
                                                                  <w:marBottom w:val="0"/>
                                                                  <w:divBdr>
                                                                    <w:top w:val="none" w:sz="0" w:space="0" w:color="auto"/>
                                                                    <w:left w:val="none" w:sz="0" w:space="0" w:color="auto"/>
                                                                    <w:bottom w:val="none" w:sz="0" w:space="0" w:color="auto"/>
                                                                    <w:right w:val="none" w:sz="0" w:space="0" w:color="auto"/>
                                                                  </w:divBdr>
                                                                  <w:divsChild>
                                                                    <w:div w:id="1197738266">
                                                                      <w:marLeft w:val="0"/>
                                                                      <w:marRight w:val="0"/>
                                                                      <w:marTop w:val="0"/>
                                                                      <w:marBottom w:val="0"/>
                                                                      <w:divBdr>
                                                                        <w:top w:val="none" w:sz="0" w:space="0" w:color="auto"/>
                                                                        <w:left w:val="none" w:sz="0" w:space="0" w:color="auto"/>
                                                                        <w:bottom w:val="none" w:sz="0" w:space="0" w:color="auto"/>
                                                                        <w:right w:val="none" w:sz="0" w:space="0" w:color="auto"/>
                                                                      </w:divBdr>
                                                                      <w:divsChild>
                                                                        <w:div w:id="1475878422">
                                                                          <w:marLeft w:val="0"/>
                                                                          <w:marRight w:val="0"/>
                                                                          <w:marTop w:val="83"/>
                                                                          <w:marBottom w:val="0"/>
                                                                          <w:divBdr>
                                                                            <w:top w:val="none" w:sz="0" w:space="0" w:color="auto"/>
                                                                            <w:left w:val="none" w:sz="0" w:space="0" w:color="auto"/>
                                                                            <w:bottom w:val="none" w:sz="0" w:space="0" w:color="auto"/>
                                                                            <w:right w:val="none" w:sz="0" w:space="0" w:color="auto"/>
                                                                          </w:divBdr>
                                                                        </w:div>
                                                                      </w:divsChild>
                                                                    </w:div>
                                                                    <w:div w:id="136069552">
                                                                      <w:marLeft w:val="0"/>
                                                                      <w:marRight w:val="0"/>
                                                                      <w:marTop w:val="0"/>
                                                                      <w:marBottom w:val="0"/>
                                                                      <w:divBdr>
                                                                        <w:top w:val="none" w:sz="0" w:space="0" w:color="auto"/>
                                                                        <w:left w:val="none" w:sz="0" w:space="0" w:color="auto"/>
                                                                        <w:bottom w:val="none" w:sz="0" w:space="0" w:color="auto"/>
                                                                        <w:right w:val="none" w:sz="0" w:space="0" w:color="auto"/>
                                                                      </w:divBdr>
                                                                      <w:divsChild>
                                                                        <w:div w:id="690304401">
                                                                          <w:marLeft w:val="0"/>
                                                                          <w:marRight w:val="0"/>
                                                                          <w:marTop w:val="83"/>
                                                                          <w:marBottom w:val="0"/>
                                                                          <w:divBdr>
                                                                            <w:top w:val="none" w:sz="0" w:space="0" w:color="auto"/>
                                                                            <w:left w:val="none" w:sz="0" w:space="0" w:color="auto"/>
                                                                            <w:bottom w:val="none" w:sz="0" w:space="0" w:color="auto"/>
                                                                            <w:right w:val="none" w:sz="0" w:space="0" w:color="auto"/>
                                                                          </w:divBdr>
                                                                        </w:div>
                                                                      </w:divsChild>
                                                                    </w:div>
                                                                    <w:div w:id="1574196791">
                                                                      <w:marLeft w:val="0"/>
                                                                      <w:marRight w:val="0"/>
                                                                      <w:marTop w:val="0"/>
                                                                      <w:marBottom w:val="0"/>
                                                                      <w:divBdr>
                                                                        <w:top w:val="none" w:sz="0" w:space="0" w:color="auto"/>
                                                                        <w:left w:val="none" w:sz="0" w:space="0" w:color="auto"/>
                                                                        <w:bottom w:val="none" w:sz="0" w:space="0" w:color="auto"/>
                                                                        <w:right w:val="none" w:sz="0" w:space="0" w:color="auto"/>
                                                                      </w:divBdr>
                                                                      <w:divsChild>
                                                                        <w:div w:id="4678172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65630210">
                                                              <w:marLeft w:val="0"/>
                                                              <w:marRight w:val="0"/>
                                                              <w:marTop w:val="0"/>
                                                              <w:marBottom w:val="0"/>
                                                              <w:divBdr>
                                                                <w:top w:val="none" w:sz="0" w:space="0" w:color="auto"/>
                                                                <w:left w:val="none" w:sz="0" w:space="0" w:color="auto"/>
                                                                <w:bottom w:val="none" w:sz="0" w:space="0" w:color="auto"/>
                                                                <w:right w:val="none" w:sz="0" w:space="0" w:color="auto"/>
                                                              </w:divBdr>
                                                              <w:divsChild>
                                                                <w:div w:id="70661217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alth.govt.nz/our-work/regulation-health-and-disability-system/certification-health-care-services" TargetMode="External"/><Relationship Id="rId26" Type="http://schemas.openxmlformats.org/officeDocument/2006/relationships/hyperlink" Target="http://www.health.govt.nz/publication/mental-health-and-addiction-services-older-people-and-dementia-services" TargetMode="External"/><Relationship Id="rId3" Type="http://schemas.openxmlformats.org/officeDocument/2006/relationships/styles" Target="styles.xml"/><Relationship Id="rId21" Type="http://schemas.openxmlformats.org/officeDocument/2006/relationships/hyperlink" Target="http://www.health.govt.nz/publication/transition-planning-guidelines-infant-child-and-adolescent-mental-health-alcohol-and-other-drug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health.govt.nz/publication/supporting-parents-healthy-childre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ombudsman.parliament.nz/what-we-do/protecting-your-rights/monitoring-places-of-deten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ealth.govt.nz/publication/prescribing-controlled-drugs-addiction-treatme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health.govt.nz/publication/medicines-management-guide-community-residential-and-facility-based-services-disability-menta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govt.nz/our-work/regulation-health-and-disability-system/certification-health-care-services/services-standa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health.govt.nz/publication/commissioning-framework-mental-health-and-addiction-new-zealand-guide" TargetMode="Externa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4B54-7484-49F4-B5C1-62989C4F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36</TotalTime>
  <Pages>10</Pages>
  <Words>2479</Words>
  <Characters>16018</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Criteria for Approved Providers under the Substance Addiction (Compulsory Assessment and Treatment) Act 2017</vt:lpstr>
    </vt:vector>
  </TitlesOfParts>
  <Company>Microsoft</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Approved Providers under the Substance Addiction (Compulsory Assessment and Treatment) Act 2017</dc:title>
  <dc:creator>Ministry of Health</dc:creator>
  <cp:lastModifiedBy>Jane Adam</cp:lastModifiedBy>
  <cp:revision>4</cp:revision>
  <cp:lastPrinted>2017-11-16T20:58:00Z</cp:lastPrinted>
  <dcterms:created xsi:type="dcterms:W3CDTF">2017-11-16T20:20:00Z</dcterms:created>
  <dcterms:modified xsi:type="dcterms:W3CDTF">2017-11-16T20:59:00Z</dcterms:modified>
</cp:coreProperties>
</file>