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57C" w:rsidRDefault="00D9457C" w:rsidP="00D9457C">
      <w:pPr>
        <w:jc w:val="center"/>
        <w:rPr>
          <w:b/>
          <w:sz w:val="32"/>
          <w:szCs w:val="32"/>
        </w:rPr>
      </w:pPr>
      <w:bookmarkStart w:id="0" w:name="_GoBack"/>
      <w:r>
        <w:rPr>
          <w:b/>
          <w:sz w:val="32"/>
          <w:szCs w:val="32"/>
        </w:rPr>
        <w:t xml:space="preserve">MENTAL HEALTH REVIEW TRIBUNAL </w:t>
      </w:r>
    </w:p>
    <w:p w:rsidR="00D9457C" w:rsidRDefault="00D9457C" w:rsidP="00D9457C">
      <w:pPr>
        <w:jc w:val="center"/>
        <w:rPr>
          <w:b/>
          <w:sz w:val="32"/>
          <w:szCs w:val="32"/>
        </w:rPr>
      </w:pPr>
      <w:r>
        <w:rPr>
          <w:b/>
          <w:sz w:val="32"/>
          <w:szCs w:val="32"/>
        </w:rPr>
        <w:t>Practice and Policy Guideline #8</w:t>
      </w:r>
    </w:p>
    <w:bookmarkEnd w:id="0"/>
    <w:p w:rsidR="00AC746C" w:rsidRDefault="00AC746C" w:rsidP="00AC746C">
      <w:pPr>
        <w:rPr>
          <w:b/>
          <w:i/>
          <w:sz w:val="20"/>
          <w:szCs w:val="20"/>
        </w:rPr>
      </w:pPr>
      <w:r>
        <w:rPr>
          <w:b/>
          <w:i/>
          <w:sz w:val="20"/>
          <w:szCs w:val="20"/>
        </w:rPr>
        <w:t>Practice and Policy Guidelines provide general direction and assistance to the members and secretariat of the Review Tribunal. They may be departed from or supplemented by the Review Tribunal as circumstances require.</w:t>
      </w:r>
      <w:r w:rsidR="0031240B" w:rsidRPr="0031240B">
        <w:rPr>
          <w:b/>
          <w:i/>
          <w:sz w:val="20"/>
          <w:szCs w:val="20"/>
        </w:rPr>
        <w:t xml:space="preserve"> </w:t>
      </w:r>
      <w:r w:rsidR="0031240B">
        <w:rPr>
          <w:b/>
          <w:i/>
          <w:sz w:val="20"/>
          <w:szCs w:val="20"/>
        </w:rPr>
        <w:t>They do not constitute legal opinions.</w:t>
      </w:r>
    </w:p>
    <w:p w:rsidR="00AC746C" w:rsidRDefault="00AC746C" w:rsidP="00D9457C">
      <w:pPr>
        <w:jc w:val="center"/>
        <w:rPr>
          <w:b/>
          <w:sz w:val="32"/>
          <w:szCs w:val="32"/>
        </w:rPr>
      </w:pPr>
    </w:p>
    <w:p w:rsidR="00D9457C" w:rsidRDefault="00AC746C" w:rsidP="00AC746C">
      <w:r>
        <w:rPr>
          <w:b/>
          <w:sz w:val="32"/>
          <w:szCs w:val="32"/>
        </w:rPr>
        <w:t xml:space="preserve">                                   </w:t>
      </w:r>
      <w:r w:rsidR="00D9457C">
        <w:t>TELE</w:t>
      </w:r>
      <w:r w:rsidR="001E0971">
        <w:t xml:space="preserve">PHONE </w:t>
      </w:r>
      <w:r w:rsidR="00D9457C">
        <w:t>CONFERENCE HEARINGS</w:t>
      </w:r>
    </w:p>
    <w:p w:rsidR="00D31891" w:rsidRPr="00680A8C" w:rsidRDefault="00D31891" w:rsidP="00D31891">
      <w:pPr>
        <w:jc w:val="center"/>
        <w:rPr>
          <w:rFonts w:ascii="Book Antiqua" w:hAnsi="Book Antiqua"/>
          <w:b/>
        </w:rPr>
      </w:pPr>
    </w:p>
    <w:p w:rsidR="00D9457C" w:rsidRDefault="00D9457C" w:rsidP="00D9457C">
      <w:pPr>
        <w:pStyle w:val="ListParagraph"/>
        <w:numPr>
          <w:ilvl w:val="0"/>
          <w:numId w:val="3"/>
        </w:numPr>
        <w:rPr>
          <w:rFonts w:ascii="Book Antiqua" w:hAnsi="Book Antiqua"/>
        </w:rPr>
      </w:pPr>
      <w:r>
        <w:rPr>
          <w:rFonts w:ascii="Book Antiqua" w:hAnsi="Book Antiqua"/>
        </w:rPr>
        <w:t>Review Tribunal hearings may be held by tele</w:t>
      </w:r>
      <w:r w:rsidR="001E0971">
        <w:rPr>
          <w:rFonts w:ascii="Book Antiqua" w:hAnsi="Book Antiqua"/>
        </w:rPr>
        <w:t xml:space="preserve">phone </w:t>
      </w:r>
      <w:r>
        <w:rPr>
          <w:rFonts w:ascii="Book Antiqua" w:hAnsi="Book Antiqua"/>
        </w:rPr>
        <w:t>conference.</w:t>
      </w:r>
    </w:p>
    <w:p w:rsidR="00D9457C" w:rsidRDefault="00D9457C" w:rsidP="00D9457C">
      <w:pPr>
        <w:pStyle w:val="ListParagraph"/>
        <w:rPr>
          <w:rFonts w:ascii="Book Antiqua" w:hAnsi="Book Antiqua"/>
        </w:rPr>
      </w:pPr>
    </w:p>
    <w:p w:rsidR="00D31891" w:rsidRDefault="00D9457C" w:rsidP="00D9457C">
      <w:pPr>
        <w:pStyle w:val="ListParagraph"/>
        <w:numPr>
          <w:ilvl w:val="0"/>
          <w:numId w:val="3"/>
        </w:numPr>
        <w:rPr>
          <w:rFonts w:ascii="Book Antiqua" w:hAnsi="Book Antiqua"/>
        </w:rPr>
      </w:pPr>
      <w:r>
        <w:rPr>
          <w:rFonts w:ascii="Book Antiqua" w:hAnsi="Book Antiqua"/>
        </w:rPr>
        <w:t xml:space="preserve"> It is expected </w:t>
      </w:r>
      <w:r w:rsidR="001E0971">
        <w:rPr>
          <w:rFonts w:ascii="Book Antiqua" w:hAnsi="Book Antiqua"/>
        </w:rPr>
        <w:t xml:space="preserve">that </w:t>
      </w:r>
      <w:r>
        <w:rPr>
          <w:rFonts w:ascii="Book Antiqua" w:hAnsi="Book Antiqua"/>
        </w:rPr>
        <w:t xml:space="preserve">this will rarely occur, because </w:t>
      </w:r>
      <w:r w:rsidR="001E0971">
        <w:rPr>
          <w:rFonts w:ascii="Book Antiqua" w:hAnsi="Book Antiqua"/>
        </w:rPr>
        <w:t xml:space="preserve">telephone conferences </w:t>
      </w:r>
      <w:r>
        <w:rPr>
          <w:rFonts w:ascii="Book Antiqua" w:hAnsi="Book Antiqua"/>
        </w:rPr>
        <w:t xml:space="preserve">lack the visual element which is usually necessary in order that reviews can </w:t>
      </w:r>
      <w:r w:rsidR="00227CE1">
        <w:rPr>
          <w:rFonts w:ascii="Book Antiqua" w:hAnsi="Book Antiqua"/>
        </w:rPr>
        <w:t xml:space="preserve">be properly </w:t>
      </w:r>
      <w:r>
        <w:rPr>
          <w:rFonts w:ascii="Book Antiqua" w:hAnsi="Book Antiqua"/>
        </w:rPr>
        <w:t>undertaken.</w:t>
      </w:r>
    </w:p>
    <w:p w:rsidR="00D9457C" w:rsidRDefault="00D9457C" w:rsidP="00D9457C">
      <w:pPr>
        <w:pStyle w:val="ListParagraph"/>
        <w:rPr>
          <w:rFonts w:ascii="Book Antiqua" w:hAnsi="Book Antiqua"/>
        </w:rPr>
      </w:pPr>
    </w:p>
    <w:p w:rsidR="001E0971" w:rsidRDefault="001E0971" w:rsidP="001E0971">
      <w:pPr>
        <w:pStyle w:val="ListParagraph"/>
        <w:numPr>
          <w:ilvl w:val="0"/>
          <w:numId w:val="3"/>
        </w:numPr>
        <w:spacing w:line="259" w:lineRule="auto"/>
        <w:jc w:val="both"/>
        <w:rPr>
          <w:rFonts w:ascii="Book Antiqua" w:hAnsi="Book Antiqua"/>
          <w:sz w:val="24"/>
          <w:szCs w:val="24"/>
        </w:rPr>
      </w:pPr>
      <w:r>
        <w:rPr>
          <w:rFonts w:ascii="Book Antiqua" w:hAnsi="Book Antiqua"/>
        </w:rPr>
        <w:t>Telephone conferencing</w:t>
      </w:r>
      <w:r>
        <w:rPr>
          <w:rFonts w:ascii="Book Antiqua" w:hAnsi="Book Antiqua"/>
          <w:sz w:val="24"/>
          <w:szCs w:val="24"/>
        </w:rPr>
        <w:t xml:space="preserve"> should not be utilised if that would be contrary to the rights or welfare of patients, or appreciably limit the effectiveness of the hearing process.</w:t>
      </w:r>
    </w:p>
    <w:p w:rsidR="001E0971" w:rsidRDefault="001E0971" w:rsidP="001E0971">
      <w:pPr>
        <w:pStyle w:val="ListParagraph"/>
        <w:rPr>
          <w:rFonts w:ascii="Book Antiqua" w:hAnsi="Book Antiqua"/>
          <w:sz w:val="24"/>
          <w:szCs w:val="24"/>
        </w:rPr>
      </w:pPr>
    </w:p>
    <w:p w:rsidR="001E0971" w:rsidRPr="001E0971" w:rsidRDefault="001E0971" w:rsidP="001E0971">
      <w:pPr>
        <w:pStyle w:val="ListParagraph"/>
        <w:numPr>
          <w:ilvl w:val="0"/>
          <w:numId w:val="3"/>
        </w:numPr>
        <w:spacing w:line="259" w:lineRule="auto"/>
        <w:jc w:val="both"/>
        <w:rPr>
          <w:rFonts w:ascii="Book Antiqua" w:hAnsi="Book Antiqua"/>
          <w:sz w:val="24"/>
          <w:szCs w:val="24"/>
        </w:rPr>
      </w:pPr>
      <w:r>
        <w:rPr>
          <w:rFonts w:ascii="Book Antiqua" w:hAnsi="Book Antiqua"/>
          <w:sz w:val="24"/>
          <w:szCs w:val="24"/>
        </w:rPr>
        <w:t xml:space="preserve">Many of the considerations applying to hearings by video conference also apply to </w:t>
      </w:r>
      <w:r>
        <w:rPr>
          <w:rFonts w:ascii="Book Antiqua" w:hAnsi="Book Antiqua"/>
        </w:rPr>
        <w:t>telephone conferences: see Practice and Policy Guideline #7.</w:t>
      </w:r>
    </w:p>
    <w:p w:rsidR="001E0971" w:rsidRDefault="001E0971" w:rsidP="001E0971">
      <w:pPr>
        <w:pStyle w:val="ListParagraph"/>
        <w:rPr>
          <w:rFonts w:ascii="Book Antiqua" w:hAnsi="Book Antiqua"/>
          <w:sz w:val="24"/>
          <w:szCs w:val="24"/>
        </w:rPr>
      </w:pPr>
    </w:p>
    <w:p w:rsidR="001E0971" w:rsidRPr="001E0971" w:rsidRDefault="001E0971" w:rsidP="001E0971">
      <w:pPr>
        <w:pStyle w:val="ListParagraph"/>
        <w:numPr>
          <w:ilvl w:val="0"/>
          <w:numId w:val="3"/>
        </w:numPr>
        <w:spacing w:line="259" w:lineRule="auto"/>
        <w:jc w:val="both"/>
        <w:rPr>
          <w:rFonts w:ascii="Book Antiqua" w:hAnsi="Book Antiqua"/>
          <w:sz w:val="24"/>
          <w:szCs w:val="24"/>
        </w:rPr>
      </w:pPr>
      <w:r>
        <w:rPr>
          <w:rFonts w:ascii="Book Antiqua" w:hAnsi="Book Antiqua"/>
          <w:sz w:val="24"/>
          <w:szCs w:val="24"/>
        </w:rPr>
        <w:t xml:space="preserve">Advantages of </w:t>
      </w:r>
      <w:r>
        <w:rPr>
          <w:rFonts w:ascii="Book Antiqua" w:hAnsi="Book Antiqua"/>
        </w:rPr>
        <w:t>telephone conferences over  video conferences include:</w:t>
      </w:r>
    </w:p>
    <w:p w:rsidR="001E0971" w:rsidRDefault="001E0971" w:rsidP="001E0971">
      <w:pPr>
        <w:pStyle w:val="ListParagraph"/>
        <w:rPr>
          <w:rFonts w:ascii="Book Antiqua" w:hAnsi="Book Antiqua"/>
          <w:sz w:val="24"/>
          <w:szCs w:val="24"/>
        </w:rPr>
      </w:pPr>
    </w:p>
    <w:p w:rsidR="001E0971" w:rsidRDefault="001E0971" w:rsidP="001E0971">
      <w:pPr>
        <w:pStyle w:val="ListParagraph"/>
        <w:numPr>
          <w:ilvl w:val="0"/>
          <w:numId w:val="5"/>
        </w:numPr>
        <w:spacing w:line="259" w:lineRule="auto"/>
        <w:jc w:val="both"/>
        <w:rPr>
          <w:rFonts w:ascii="Book Antiqua" w:hAnsi="Book Antiqua"/>
          <w:sz w:val="24"/>
          <w:szCs w:val="24"/>
        </w:rPr>
      </w:pPr>
      <w:r>
        <w:rPr>
          <w:rFonts w:ascii="Book Antiqua" w:hAnsi="Book Antiqua"/>
          <w:sz w:val="24"/>
          <w:szCs w:val="24"/>
        </w:rPr>
        <w:t xml:space="preserve">Participants can </w:t>
      </w:r>
      <w:r w:rsidR="00DE3231">
        <w:rPr>
          <w:rFonts w:ascii="Book Antiqua" w:hAnsi="Book Antiqua"/>
          <w:sz w:val="24"/>
          <w:szCs w:val="24"/>
        </w:rPr>
        <w:t>join</w:t>
      </w:r>
      <w:r>
        <w:rPr>
          <w:rFonts w:ascii="Book Antiqua" w:hAnsi="Book Antiqua"/>
          <w:sz w:val="24"/>
          <w:szCs w:val="24"/>
        </w:rPr>
        <w:t xml:space="preserve"> from multiple locations</w:t>
      </w:r>
    </w:p>
    <w:p w:rsidR="001E0971" w:rsidRDefault="001E0971" w:rsidP="001E0971">
      <w:pPr>
        <w:pStyle w:val="ListParagraph"/>
        <w:numPr>
          <w:ilvl w:val="0"/>
          <w:numId w:val="5"/>
        </w:numPr>
        <w:spacing w:line="259" w:lineRule="auto"/>
        <w:jc w:val="both"/>
        <w:rPr>
          <w:rFonts w:ascii="Book Antiqua" w:hAnsi="Book Antiqua"/>
          <w:sz w:val="24"/>
          <w:szCs w:val="24"/>
        </w:rPr>
      </w:pPr>
      <w:r>
        <w:rPr>
          <w:rFonts w:ascii="Book Antiqua" w:hAnsi="Book Antiqua"/>
          <w:sz w:val="24"/>
          <w:szCs w:val="24"/>
        </w:rPr>
        <w:t>Participants are not required to travel to video conference facilities</w:t>
      </w:r>
    </w:p>
    <w:p w:rsidR="001E0971" w:rsidRDefault="001E0971" w:rsidP="001E0971">
      <w:pPr>
        <w:pStyle w:val="ListParagraph"/>
        <w:numPr>
          <w:ilvl w:val="0"/>
          <w:numId w:val="5"/>
        </w:numPr>
        <w:spacing w:line="259" w:lineRule="auto"/>
        <w:jc w:val="both"/>
        <w:rPr>
          <w:rFonts w:ascii="Book Antiqua" w:hAnsi="Book Antiqua"/>
          <w:sz w:val="24"/>
          <w:szCs w:val="24"/>
        </w:rPr>
      </w:pPr>
      <w:r>
        <w:rPr>
          <w:rFonts w:ascii="Book Antiqua" w:hAnsi="Book Antiqua"/>
          <w:sz w:val="24"/>
          <w:szCs w:val="24"/>
        </w:rPr>
        <w:t>Relative inexpensiveness</w:t>
      </w:r>
    </w:p>
    <w:p w:rsidR="00D9457C" w:rsidRPr="00F81C6C" w:rsidRDefault="00F81C6C" w:rsidP="00F81C6C">
      <w:pPr>
        <w:pStyle w:val="ListParagraph"/>
        <w:numPr>
          <w:ilvl w:val="0"/>
          <w:numId w:val="5"/>
        </w:numPr>
        <w:spacing w:line="259" w:lineRule="auto"/>
        <w:jc w:val="both"/>
        <w:rPr>
          <w:rFonts w:ascii="Book Antiqua" w:hAnsi="Book Antiqua"/>
          <w:sz w:val="24"/>
          <w:szCs w:val="24"/>
        </w:rPr>
      </w:pPr>
      <w:r>
        <w:rPr>
          <w:rFonts w:ascii="Book Antiqua" w:hAnsi="Book Antiqua"/>
          <w:sz w:val="24"/>
          <w:szCs w:val="24"/>
        </w:rPr>
        <w:t xml:space="preserve">They </w:t>
      </w:r>
      <w:r w:rsidR="00C24142">
        <w:rPr>
          <w:rFonts w:ascii="Book Antiqua" w:hAnsi="Book Antiqua"/>
          <w:sz w:val="24"/>
          <w:szCs w:val="24"/>
        </w:rPr>
        <w:t>are</w:t>
      </w:r>
      <w:r>
        <w:rPr>
          <w:rFonts w:ascii="Book Antiqua" w:hAnsi="Book Antiqua"/>
          <w:sz w:val="24"/>
          <w:szCs w:val="24"/>
        </w:rPr>
        <w:t xml:space="preserve"> relatively focussed and succinct in nature.</w:t>
      </w:r>
    </w:p>
    <w:p w:rsidR="00D9457C" w:rsidRPr="00680A8C" w:rsidRDefault="00D9457C" w:rsidP="00D9457C">
      <w:pPr>
        <w:pStyle w:val="ListParagraph"/>
        <w:ind w:left="0"/>
        <w:rPr>
          <w:rFonts w:ascii="Book Antiqua" w:hAnsi="Book Antiqua"/>
        </w:rPr>
      </w:pPr>
    </w:p>
    <w:p w:rsidR="00D31891" w:rsidRPr="00680A8C" w:rsidRDefault="00F81C6C" w:rsidP="00D31891">
      <w:pPr>
        <w:pStyle w:val="ListParagraph"/>
        <w:numPr>
          <w:ilvl w:val="0"/>
          <w:numId w:val="3"/>
        </w:numPr>
        <w:rPr>
          <w:rFonts w:ascii="Book Antiqua" w:hAnsi="Book Antiqua"/>
        </w:rPr>
      </w:pPr>
      <w:r>
        <w:rPr>
          <w:rFonts w:ascii="Book Antiqua" w:hAnsi="Book Antiqua"/>
        </w:rPr>
        <w:t>A hearing by telephone conference</w:t>
      </w:r>
      <w:r w:rsidRPr="00680A8C">
        <w:rPr>
          <w:rFonts w:ascii="Book Antiqua" w:hAnsi="Book Antiqua"/>
        </w:rPr>
        <w:t xml:space="preserve"> </w:t>
      </w:r>
      <w:r>
        <w:rPr>
          <w:rFonts w:ascii="Book Antiqua" w:hAnsi="Book Antiqua"/>
        </w:rPr>
        <w:t xml:space="preserve">might be appropriate </w:t>
      </w:r>
      <w:r w:rsidR="00D31891" w:rsidRPr="00680A8C">
        <w:rPr>
          <w:rFonts w:ascii="Book Antiqua" w:hAnsi="Book Antiqua"/>
        </w:rPr>
        <w:t xml:space="preserve">where the Review Tribunal has previously met the patient </w:t>
      </w:r>
      <w:r>
        <w:rPr>
          <w:rFonts w:ascii="Book Antiqua" w:hAnsi="Book Antiqua"/>
        </w:rPr>
        <w:t xml:space="preserve">in person on multiple occasions and new evidence is unlikely to emerge. See for example </w:t>
      </w:r>
      <w:r w:rsidRPr="00680A8C">
        <w:rPr>
          <w:rFonts w:ascii="Book Antiqua" w:hAnsi="Book Antiqua"/>
        </w:rPr>
        <w:t>K10</w:t>
      </w:r>
      <w:r w:rsidR="009E604F" w:rsidRPr="00680A8C">
        <w:rPr>
          <w:rFonts w:ascii="Book Antiqua" w:hAnsi="Book Antiqua"/>
        </w:rPr>
        <w:t>/070A</w:t>
      </w:r>
      <w:r w:rsidR="009E604F" w:rsidRPr="00680A8C">
        <w:rPr>
          <w:rStyle w:val="FootnoteReference"/>
          <w:rFonts w:ascii="Book Antiqua" w:hAnsi="Book Antiqua"/>
        </w:rPr>
        <w:footnoteReference w:id="1"/>
      </w:r>
      <w:r>
        <w:rPr>
          <w:rFonts w:ascii="Book Antiqua" w:hAnsi="Book Antiqua"/>
        </w:rPr>
        <w:t xml:space="preserve"> and</w:t>
      </w:r>
      <w:r w:rsidR="009E604F" w:rsidRPr="00680A8C">
        <w:rPr>
          <w:rFonts w:ascii="Book Antiqua" w:hAnsi="Book Antiqua"/>
        </w:rPr>
        <w:t xml:space="preserve"> G</w:t>
      </w:r>
      <w:r w:rsidR="00E60013" w:rsidRPr="00680A8C">
        <w:rPr>
          <w:rFonts w:ascii="Book Antiqua" w:hAnsi="Book Antiqua"/>
        </w:rPr>
        <w:t xml:space="preserve"> </w:t>
      </w:r>
      <w:r w:rsidR="009E604F" w:rsidRPr="00680A8C">
        <w:rPr>
          <w:rFonts w:ascii="Book Antiqua" w:hAnsi="Book Antiqua"/>
        </w:rPr>
        <w:t>[2012]</w:t>
      </w:r>
      <w:r w:rsidR="009E604F" w:rsidRPr="00680A8C">
        <w:rPr>
          <w:rStyle w:val="FootnoteReference"/>
          <w:rFonts w:ascii="Book Antiqua" w:hAnsi="Book Antiqua"/>
        </w:rPr>
        <w:footnoteReference w:id="2"/>
      </w:r>
      <w:r w:rsidR="00A3110F" w:rsidRPr="00680A8C">
        <w:rPr>
          <w:rFonts w:ascii="Book Antiqua" w:hAnsi="Book Antiqua"/>
        </w:rPr>
        <w:t>.</w:t>
      </w:r>
      <w:r w:rsidR="00E60013" w:rsidRPr="00680A8C">
        <w:rPr>
          <w:rFonts w:ascii="Book Antiqua" w:hAnsi="Book Antiqua"/>
        </w:rPr>
        <w:t xml:space="preserve"> </w:t>
      </w:r>
    </w:p>
    <w:p w:rsidR="00A3110F" w:rsidRPr="00680A8C" w:rsidRDefault="00A3110F" w:rsidP="00A3110F">
      <w:pPr>
        <w:pStyle w:val="ListParagraph"/>
        <w:rPr>
          <w:rFonts w:ascii="Book Antiqua" w:hAnsi="Book Antiqua"/>
        </w:rPr>
      </w:pPr>
    </w:p>
    <w:p w:rsidR="00A3110F" w:rsidRDefault="00AD0816" w:rsidP="00D31891">
      <w:pPr>
        <w:pStyle w:val="ListParagraph"/>
        <w:numPr>
          <w:ilvl w:val="0"/>
          <w:numId w:val="3"/>
        </w:numPr>
        <w:rPr>
          <w:rFonts w:ascii="Book Antiqua" w:hAnsi="Book Antiqua"/>
        </w:rPr>
      </w:pPr>
      <w:r w:rsidRPr="00680A8C">
        <w:rPr>
          <w:rFonts w:ascii="Book Antiqua" w:hAnsi="Book Antiqua"/>
        </w:rPr>
        <w:t xml:space="preserve"> </w:t>
      </w:r>
      <w:r w:rsidR="00AA52E7">
        <w:rPr>
          <w:rFonts w:ascii="Book Antiqua" w:hAnsi="Book Antiqua"/>
        </w:rPr>
        <w:t>If a hearing by telephone conference proves to be deficient on that account, it can be adjourned to resume at a later date by a hearing in person or by video conference.</w:t>
      </w:r>
    </w:p>
    <w:p w:rsidR="00AA52E7" w:rsidRDefault="00AA52E7" w:rsidP="00AA52E7">
      <w:pPr>
        <w:pStyle w:val="ListParagraph"/>
        <w:rPr>
          <w:rFonts w:ascii="Book Antiqua" w:hAnsi="Book Antiqua"/>
        </w:rPr>
      </w:pPr>
    </w:p>
    <w:p w:rsidR="00AA52E7" w:rsidRPr="00680A8C" w:rsidRDefault="00AA52E7" w:rsidP="00D31891">
      <w:pPr>
        <w:pStyle w:val="ListParagraph"/>
        <w:numPr>
          <w:ilvl w:val="0"/>
          <w:numId w:val="3"/>
        </w:numPr>
        <w:rPr>
          <w:rFonts w:ascii="Book Antiqua" w:hAnsi="Book Antiqua"/>
        </w:rPr>
      </w:pPr>
      <w:r>
        <w:rPr>
          <w:rFonts w:ascii="Book Antiqua" w:hAnsi="Book Antiqua"/>
        </w:rPr>
        <w:lastRenderedPageBreak/>
        <w:t>Initial examinations under clause 1 of Schedule 1 of the Act can be undertaken in the context of teleconferences by those not involved in the examination temporarily exiting the call, or leaving the room where a conference call telephone is located.</w:t>
      </w:r>
    </w:p>
    <w:p w:rsidR="00A3110F" w:rsidRPr="00680A8C" w:rsidRDefault="00A3110F" w:rsidP="00A3110F">
      <w:pPr>
        <w:pStyle w:val="ListParagraph"/>
        <w:rPr>
          <w:rFonts w:ascii="Book Antiqua" w:hAnsi="Book Antiqua"/>
        </w:rPr>
      </w:pPr>
    </w:p>
    <w:p w:rsidR="005F08A3" w:rsidRDefault="005F08A3" w:rsidP="005F08A3">
      <w:pPr>
        <w:pStyle w:val="ListParagraph"/>
        <w:rPr>
          <w:rFonts w:ascii="Book Antiqua" w:hAnsi="Book Antiqua"/>
        </w:rPr>
      </w:pPr>
    </w:p>
    <w:p w:rsidR="003E7DAB" w:rsidRPr="00680A8C" w:rsidRDefault="003E7DAB" w:rsidP="003E7DAB">
      <w:pPr>
        <w:spacing w:line="360" w:lineRule="auto"/>
        <w:ind w:left="720"/>
        <w:jc w:val="center"/>
        <w:rPr>
          <w:rFonts w:ascii="Book Antiqua" w:hAnsi="Book Antiqua"/>
          <w:i/>
          <w:sz w:val="24"/>
          <w:szCs w:val="24"/>
        </w:rPr>
      </w:pPr>
      <w:r w:rsidRPr="00680A8C">
        <w:rPr>
          <w:rFonts w:ascii="Book Antiqua" w:hAnsi="Book Antiqua"/>
          <w:i/>
          <w:sz w:val="24"/>
          <w:szCs w:val="24"/>
        </w:rPr>
        <w:t xml:space="preserve">Last updated </w:t>
      </w:r>
      <w:r w:rsidR="0031240B">
        <w:rPr>
          <w:rFonts w:ascii="Book Antiqua" w:hAnsi="Book Antiqua"/>
          <w:i/>
          <w:sz w:val="24"/>
          <w:szCs w:val="24"/>
        </w:rPr>
        <w:t>August 2015</w:t>
      </w:r>
    </w:p>
    <w:p w:rsidR="003E7DAB" w:rsidRPr="00680A8C" w:rsidRDefault="003E7DAB" w:rsidP="003E7DAB">
      <w:pPr>
        <w:spacing w:line="360" w:lineRule="auto"/>
        <w:ind w:left="720"/>
        <w:jc w:val="both"/>
        <w:rPr>
          <w:rFonts w:ascii="Book Antiqua" w:hAnsi="Book Antiqua"/>
          <w:sz w:val="24"/>
          <w:szCs w:val="24"/>
        </w:rPr>
      </w:pPr>
    </w:p>
    <w:p w:rsidR="003E7DAB" w:rsidRPr="00680A8C" w:rsidRDefault="003E7DAB" w:rsidP="003E7DAB">
      <w:pPr>
        <w:spacing w:line="360" w:lineRule="auto"/>
        <w:ind w:left="720"/>
        <w:jc w:val="center"/>
        <w:rPr>
          <w:rFonts w:ascii="Book Antiqua" w:hAnsi="Book Antiqua"/>
          <w:sz w:val="24"/>
          <w:szCs w:val="24"/>
        </w:rPr>
      </w:pPr>
      <w:r w:rsidRPr="00680A8C">
        <w:rPr>
          <w:rFonts w:ascii="Book Antiqua" w:hAnsi="Book Antiqua"/>
          <w:sz w:val="24"/>
          <w:szCs w:val="24"/>
        </w:rPr>
        <w:t>NJ Dunlop</w:t>
      </w:r>
    </w:p>
    <w:p w:rsidR="003E7DAB" w:rsidRPr="00680A8C" w:rsidRDefault="003E7DAB" w:rsidP="003E7DAB">
      <w:pPr>
        <w:spacing w:line="360" w:lineRule="auto"/>
        <w:ind w:left="720"/>
        <w:jc w:val="center"/>
        <w:rPr>
          <w:rFonts w:ascii="Book Antiqua" w:hAnsi="Book Antiqua"/>
          <w:sz w:val="24"/>
          <w:szCs w:val="24"/>
        </w:rPr>
      </w:pPr>
      <w:r w:rsidRPr="00680A8C">
        <w:rPr>
          <w:rFonts w:ascii="Book Antiqua" w:hAnsi="Book Antiqua"/>
          <w:sz w:val="24"/>
          <w:szCs w:val="24"/>
        </w:rPr>
        <w:t>Convener</w:t>
      </w:r>
    </w:p>
    <w:p w:rsidR="003E7DAB" w:rsidRPr="00680A8C" w:rsidRDefault="003E7DAB" w:rsidP="003E7DAB">
      <w:pPr>
        <w:jc w:val="both"/>
        <w:rPr>
          <w:rFonts w:ascii="Book Antiqua" w:hAnsi="Book Antiqua"/>
          <w:sz w:val="24"/>
          <w:szCs w:val="24"/>
        </w:rPr>
      </w:pPr>
    </w:p>
    <w:p w:rsidR="003E7DAB" w:rsidRPr="00680A8C" w:rsidRDefault="003E7DAB" w:rsidP="003E7DAB">
      <w:pPr>
        <w:jc w:val="both"/>
        <w:rPr>
          <w:rFonts w:ascii="Book Antiqua" w:hAnsi="Book Antiqua"/>
          <w:sz w:val="24"/>
          <w:szCs w:val="24"/>
        </w:rPr>
      </w:pPr>
    </w:p>
    <w:p w:rsidR="003E7DAB" w:rsidRPr="00680A8C" w:rsidRDefault="003E7DAB" w:rsidP="003E7DAB">
      <w:pPr>
        <w:pStyle w:val="ListParagraph"/>
        <w:rPr>
          <w:rFonts w:ascii="Book Antiqua" w:hAnsi="Book Antiqua"/>
        </w:rPr>
      </w:pPr>
    </w:p>
    <w:p w:rsidR="00264999" w:rsidRPr="00680A8C" w:rsidRDefault="00264999">
      <w:pPr>
        <w:rPr>
          <w:rFonts w:ascii="Book Antiqua" w:hAnsi="Book Antiqua"/>
        </w:rPr>
      </w:pPr>
    </w:p>
    <w:sectPr w:rsidR="00264999" w:rsidRPr="00680A8C" w:rsidSect="0026499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21B" w:rsidRDefault="00E4021B" w:rsidP="00D31891">
      <w:pPr>
        <w:spacing w:after="0" w:line="240" w:lineRule="auto"/>
      </w:pPr>
      <w:r>
        <w:separator/>
      </w:r>
    </w:p>
  </w:endnote>
  <w:endnote w:type="continuationSeparator" w:id="0">
    <w:p w:rsidR="00E4021B" w:rsidRDefault="00E4021B" w:rsidP="00D3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891" w:rsidRDefault="00D318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891" w:rsidRDefault="00D318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891" w:rsidRDefault="00D31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21B" w:rsidRDefault="00E4021B" w:rsidP="00D31891">
      <w:pPr>
        <w:spacing w:after="0" w:line="240" w:lineRule="auto"/>
      </w:pPr>
      <w:r>
        <w:separator/>
      </w:r>
    </w:p>
  </w:footnote>
  <w:footnote w:type="continuationSeparator" w:id="0">
    <w:p w:rsidR="00E4021B" w:rsidRDefault="00E4021B" w:rsidP="00D31891">
      <w:pPr>
        <w:spacing w:after="0" w:line="240" w:lineRule="auto"/>
      </w:pPr>
      <w:r>
        <w:continuationSeparator/>
      </w:r>
    </w:p>
  </w:footnote>
  <w:footnote w:id="1">
    <w:p w:rsidR="009E604F" w:rsidRPr="009E604F" w:rsidRDefault="009E604F">
      <w:pPr>
        <w:pStyle w:val="FootnoteText"/>
        <w:rPr>
          <w:lang w:val="en-US"/>
        </w:rPr>
      </w:pPr>
      <w:r>
        <w:rPr>
          <w:rStyle w:val="FootnoteReference"/>
        </w:rPr>
        <w:footnoteRef/>
      </w:r>
      <w:r>
        <w:t xml:space="preserve"> </w:t>
      </w:r>
      <w:r>
        <w:rPr>
          <w:lang w:val="en-US"/>
        </w:rPr>
        <w:t xml:space="preserve"> Available online at </w:t>
      </w:r>
      <w:r w:rsidRPr="009E604F">
        <w:rPr>
          <w:lang w:val="en-US"/>
        </w:rPr>
        <w:t>http://www.nzlii.org/nz/cases/NZMHRT/2010/70.html</w:t>
      </w:r>
    </w:p>
  </w:footnote>
  <w:footnote w:id="2">
    <w:p w:rsidR="009E604F" w:rsidRPr="009E604F" w:rsidRDefault="009E604F">
      <w:pPr>
        <w:pStyle w:val="FootnoteText"/>
        <w:rPr>
          <w:lang w:val="en-US"/>
        </w:rPr>
      </w:pPr>
      <w:r>
        <w:rPr>
          <w:rStyle w:val="FootnoteReference"/>
        </w:rPr>
        <w:footnoteRef/>
      </w:r>
      <w:r>
        <w:t xml:space="preserve"> </w:t>
      </w:r>
      <w:r>
        <w:rPr>
          <w:lang w:val="en-US"/>
        </w:rPr>
        <w:t xml:space="preserve">Available online at </w:t>
      </w:r>
      <w:r w:rsidRPr="009E604F">
        <w:rPr>
          <w:lang w:val="en-US"/>
        </w:rPr>
        <w:t>http://www.nzlii.org/nz/cases/NZMHRT/2012/125.html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891" w:rsidRDefault="00D318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891" w:rsidRDefault="00D318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891" w:rsidRDefault="00D31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24EFF"/>
    <w:multiLevelType w:val="hybridMultilevel"/>
    <w:tmpl w:val="BD82A3A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07A6D5A"/>
    <w:multiLevelType w:val="hybridMultilevel"/>
    <w:tmpl w:val="D7101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E11AEF"/>
    <w:multiLevelType w:val="hybridMultilevel"/>
    <w:tmpl w:val="E31E8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577A6B"/>
    <w:multiLevelType w:val="hybridMultilevel"/>
    <w:tmpl w:val="63ECE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C2B0E2D"/>
    <w:multiLevelType w:val="hybridMultilevel"/>
    <w:tmpl w:val="EC4CCC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oNotTrackMoves/>
  <w:defaultTabStop w:val="720"/>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891"/>
    <w:rsid w:val="00070611"/>
    <w:rsid w:val="00183595"/>
    <w:rsid w:val="001D3377"/>
    <w:rsid w:val="001E0971"/>
    <w:rsid w:val="00227CE1"/>
    <w:rsid w:val="00264999"/>
    <w:rsid w:val="0031240B"/>
    <w:rsid w:val="003A5CE0"/>
    <w:rsid w:val="003E7DAB"/>
    <w:rsid w:val="0043357D"/>
    <w:rsid w:val="00451AAF"/>
    <w:rsid w:val="00504BBB"/>
    <w:rsid w:val="0051053A"/>
    <w:rsid w:val="0057513C"/>
    <w:rsid w:val="00585CE2"/>
    <w:rsid w:val="00593ABB"/>
    <w:rsid w:val="005F08A3"/>
    <w:rsid w:val="00616119"/>
    <w:rsid w:val="0065458C"/>
    <w:rsid w:val="00680A8C"/>
    <w:rsid w:val="007950FE"/>
    <w:rsid w:val="007B6BD5"/>
    <w:rsid w:val="007E2F25"/>
    <w:rsid w:val="008948EA"/>
    <w:rsid w:val="009C66DD"/>
    <w:rsid w:val="009E604F"/>
    <w:rsid w:val="00A3110F"/>
    <w:rsid w:val="00AA52E7"/>
    <w:rsid w:val="00AC746C"/>
    <w:rsid w:val="00AD0816"/>
    <w:rsid w:val="00B85585"/>
    <w:rsid w:val="00C24142"/>
    <w:rsid w:val="00D31891"/>
    <w:rsid w:val="00D93072"/>
    <w:rsid w:val="00D9457C"/>
    <w:rsid w:val="00DE3231"/>
    <w:rsid w:val="00E4021B"/>
    <w:rsid w:val="00E60013"/>
    <w:rsid w:val="00F61B5A"/>
    <w:rsid w:val="00F72989"/>
    <w:rsid w:val="00F81C6C"/>
    <w:rsid w:val="00FB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891"/>
    <w:pPr>
      <w:spacing w:after="160" w:line="256" w:lineRule="auto"/>
    </w:pPr>
    <w:rPr>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318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1891"/>
    <w:rPr>
      <w:sz w:val="20"/>
      <w:szCs w:val="20"/>
      <w:lang w:val="en-NZ"/>
    </w:rPr>
  </w:style>
  <w:style w:type="character" w:styleId="FootnoteReference">
    <w:name w:val="footnote reference"/>
    <w:basedOn w:val="DefaultParagraphFont"/>
    <w:uiPriority w:val="99"/>
    <w:semiHidden/>
    <w:unhideWhenUsed/>
    <w:rsid w:val="00D31891"/>
    <w:rPr>
      <w:vertAlign w:val="superscript"/>
    </w:rPr>
  </w:style>
  <w:style w:type="paragraph" w:styleId="Header">
    <w:name w:val="header"/>
    <w:basedOn w:val="Normal"/>
    <w:link w:val="HeaderChar"/>
    <w:uiPriority w:val="99"/>
    <w:semiHidden/>
    <w:unhideWhenUsed/>
    <w:rsid w:val="00D318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1891"/>
    <w:rPr>
      <w:lang w:val="en-NZ"/>
    </w:rPr>
  </w:style>
  <w:style w:type="paragraph" w:styleId="Footer">
    <w:name w:val="footer"/>
    <w:basedOn w:val="Normal"/>
    <w:link w:val="FooterChar"/>
    <w:uiPriority w:val="99"/>
    <w:semiHidden/>
    <w:unhideWhenUsed/>
    <w:rsid w:val="00D318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1891"/>
    <w:rPr>
      <w:lang w:val="en-NZ"/>
    </w:rPr>
  </w:style>
  <w:style w:type="paragraph" w:styleId="ListParagraph">
    <w:name w:val="List Paragraph"/>
    <w:basedOn w:val="Normal"/>
    <w:uiPriority w:val="34"/>
    <w:qFormat/>
    <w:rsid w:val="00D318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4274">
      <w:bodyDiv w:val="1"/>
      <w:marLeft w:val="0"/>
      <w:marRight w:val="0"/>
      <w:marTop w:val="0"/>
      <w:marBottom w:val="0"/>
      <w:divBdr>
        <w:top w:val="none" w:sz="0" w:space="0" w:color="auto"/>
        <w:left w:val="none" w:sz="0" w:space="0" w:color="auto"/>
        <w:bottom w:val="none" w:sz="0" w:space="0" w:color="auto"/>
        <w:right w:val="none" w:sz="0" w:space="0" w:color="auto"/>
      </w:divBdr>
    </w:div>
    <w:div w:id="306786871">
      <w:bodyDiv w:val="1"/>
      <w:marLeft w:val="0"/>
      <w:marRight w:val="0"/>
      <w:marTop w:val="0"/>
      <w:marBottom w:val="0"/>
      <w:divBdr>
        <w:top w:val="none" w:sz="0" w:space="0" w:color="auto"/>
        <w:left w:val="none" w:sz="0" w:space="0" w:color="auto"/>
        <w:bottom w:val="none" w:sz="0" w:space="0" w:color="auto"/>
        <w:right w:val="none" w:sz="0" w:space="0" w:color="auto"/>
      </w:divBdr>
    </w:div>
    <w:div w:id="926889776">
      <w:bodyDiv w:val="1"/>
      <w:marLeft w:val="0"/>
      <w:marRight w:val="0"/>
      <w:marTop w:val="0"/>
      <w:marBottom w:val="0"/>
      <w:divBdr>
        <w:top w:val="none" w:sz="0" w:space="0" w:color="auto"/>
        <w:left w:val="none" w:sz="0" w:space="0" w:color="auto"/>
        <w:bottom w:val="none" w:sz="0" w:space="0" w:color="auto"/>
        <w:right w:val="none" w:sz="0" w:space="0" w:color="auto"/>
      </w:divBdr>
    </w:div>
    <w:div w:id="1099182689">
      <w:bodyDiv w:val="1"/>
      <w:marLeft w:val="0"/>
      <w:marRight w:val="0"/>
      <w:marTop w:val="0"/>
      <w:marBottom w:val="0"/>
      <w:divBdr>
        <w:top w:val="none" w:sz="0" w:space="0" w:color="auto"/>
        <w:left w:val="none" w:sz="0" w:space="0" w:color="auto"/>
        <w:bottom w:val="none" w:sz="0" w:space="0" w:color="auto"/>
        <w:right w:val="none" w:sz="0" w:space="0" w:color="auto"/>
      </w:divBdr>
    </w:div>
    <w:div w:id="172405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4F860-46AC-4691-BECD-CF1AC27A5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REVIEW TRIBUNAL Practice and Policy Guideline #8</dc:title>
  <dc:creator>MHRT</dc:creator>
  <cp:lastModifiedBy>Ministry of Health</cp:lastModifiedBy>
  <cp:revision>9</cp:revision>
  <dcterms:created xsi:type="dcterms:W3CDTF">2015-07-16T02:54:00Z</dcterms:created>
  <dcterms:modified xsi:type="dcterms:W3CDTF">2015-07-29T03:03:00Z</dcterms:modified>
</cp:coreProperties>
</file>