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93" w:rsidRDefault="00AA3593" w:rsidP="00AA3593">
      <w:pPr>
        <w:jc w:val="center"/>
        <w:rPr>
          <w:b/>
          <w:sz w:val="32"/>
          <w:szCs w:val="32"/>
        </w:rPr>
      </w:pPr>
      <w:r>
        <w:rPr>
          <w:b/>
          <w:sz w:val="32"/>
          <w:szCs w:val="32"/>
        </w:rPr>
        <w:t xml:space="preserve">MENTAL HEALTH REVIEW TRIBUNAL </w:t>
      </w:r>
    </w:p>
    <w:p w:rsidR="00AA3593" w:rsidRDefault="00D75DD8" w:rsidP="00AA3593">
      <w:pPr>
        <w:jc w:val="center"/>
        <w:rPr>
          <w:b/>
          <w:sz w:val="32"/>
          <w:szCs w:val="32"/>
        </w:rPr>
      </w:pPr>
      <w:bookmarkStart w:id="0" w:name="_GoBack"/>
      <w:r>
        <w:rPr>
          <w:b/>
          <w:sz w:val="32"/>
          <w:szCs w:val="32"/>
        </w:rPr>
        <w:t>Practice and Policy Guideline #7</w:t>
      </w:r>
    </w:p>
    <w:p w:rsidR="00AA3593" w:rsidRDefault="00AA3593" w:rsidP="00AA3593">
      <w:pPr>
        <w:jc w:val="center"/>
        <w:rPr>
          <w:b/>
          <w:sz w:val="32"/>
          <w:szCs w:val="32"/>
        </w:rPr>
      </w:pPr>
    </w:p>
    <w:p w:rsidR="00AA3593" w:rsidRDefault="00AA3593" w:rsidP="00AA3593">
      <w:pPr>
        <w:jc w:val="center"/>
      </w:pPr>
      <w:r>
        <w:t>VIDEO</w:t>
      </w:r>
      <w:r w:rsidR="00D75DD8">
        <w:t xml:space="preserve"> </w:t>
      </w:r>
      <w:r w:rsidR="00782821">
        <w:t>CONFERENCE HEARINGS</w:t>
      </w:r>
    </w:p>
    <w:bookmarkEnd w:id="0"/>
    <w:p w:rsidR="00AA3593" w:rsidRDefault="00AA3593" w:rsidP="00AA3593">
      <w:pPr>
        <w:jc w:val="center"/>
      </w:pPr>
    </w:p>
    <w:p w:rsidR="00AA3593" w:rsidRDefault="00AA3593" w:rsidP="00AA3593">
      <w:pPr>
        <w:rPr>
          <w:b/>
          <w:i/>
          <w:sz w:val="20"/>
          <w:szCs w:val="20"/>
        </w:rPr>
      </w:pPr>
      <w:r>
        <w:rPr>
          <w:b/>
          <w:i/>
          <w:sz w:val="20"/>
          <w:szCs w:val="20"/>
        </w:rPr>
        <w:t>Practice and Policy Guidelines provide general direction and assistance to the members and secretariat of the Review Tribunal. They may be departed from or supplemented by the Review Tribunal as circumstances require.</w:t>
      </w:r>
      <w:r w:rsidR="00A265DE" w:rsidRPr="00A265DE">
        <w:rPr>
          <w:b/>
          <w:i/>
          <w:sz w:val="20"/>
          <w:szCs w:val="20"/>
        </w:rPr>
        <w:t xml:space="preserve"> </w:t>
      </w:r>
      <w:r w:rsidR="00A265DE">
        <w:rPr>
          <w:b/>
          <w:i/>
          <w:sz w:val="20"/>
          <w:szCs w:val="20"/>
        </w:rPr>
        <w:t>They do not constitute legal opinions.</w:t>
      </w:r>
    </w:p>
    <w:p w:rsidR="00AA3593" w:rsidRDefault="00AA3593" w:rsidP="00AA3593">
      <w:pPr>
        <w:jc w:val="center"/>
        <w:rPr>
          <w:sz w:val="24"/>
          <w:szCs w:val="24"/>
        </w:rPr>
      </w:pPr>
    </w:p>
    <w:p w:rsidR="00682E61" w:rsidRDefault="00682E61" w:rsidP="00682E61">
      <w:pPr>
        <w:jc w:val="center"/>
        <w:rPr>
          <w:rFonts w:ascii="Book Antiqua" w:hAnsi="Book Antiqua"/>
          <w:b/>
          <w:sz w:val="24"/>
          <w:szCs w:val="24"/>
        </w:rPr>
      </w:pPr>
    </w:p>
    <w:p w:rsidR="00682E61" w:rsidRPr="005F1A43" w:rsidRDefault="005F1A43" w:rsidP="005F1A43">
      <w:pPr>
        <w:rPr>
          <w:rFonts w:ascii="Book Antiqua" w:hAnsi="Book Antiqua"/>
          <w:b/>
          <w:sz w:val="24"/>
          <w:szCs w:val="24"/>
        </w:rPr>
      </w:pPr>
      <w:r>
        <w:rPr>
          <w:rFonts w:ascii="Book Antiqua" w:hAnsi="Book Antiqua"/>
          <w:b/>
          <w:sz w:val="24"/>
          <w:szCs w:val="24"/>
        </w:rPr>
        <w:t>Introduction</w:t>
      </w:r>
    </w:p>
    <w:p w:rsidR="00682E61" w:rsidRPr="00682E61" w:rsidRDefault="00682E61" w:rsidP="00EC7F71">
      <w:pPr>
        <w:pStyle w:val="ListParagraph"/>
        <w:jc w:val="both"/>
        <w:rPr>
          <w:rFonts w:ascii="Book Antiqua" w:hAnsi="Book Antiqua"/>
          <w:sz w:val="24"/>
          <w:szCs w:val="24"/>
        </w:rPr>
      </w:pPr>
    </w:p>
    <w:p w:rsidR="00682E61" w:rsidRDefault="00D75DD8" w:rsidP="00EC7F71">
      <w:pPr>
        <w:pStyle w:val="ListParagraph"/>
        <w:numPr>
          <w:ilvl w:val="0"/>
          <w:numId w:val="1"/>
        </w:numPr>
        <w:jc w:val="both"/>
        <w:rPr>
          <w:rFonts w:ascii="Book Antiqua" w:hAnsi="Book Antiqua"/>
          <w:sz w:val="24"/>
          <w:szCs w:val="24"/>
        </w:rPr>
      </w:pPr>
      <w:r>
        <w:rPr>
          <w:rFonts w:ascii="Book Antiqua" w:hAnsi="Book Antiqua"/>
          <w:sz w:val="24"/>
          <w:szCs w:val="24"/>
        </w:rPr>
        <w:t>T</w:t>
      </w:r>
      <w:r w:rsidR="00682E61">
        <w:rPr>
          <w:rFonts w:ascii="Book Antiqua" w:hAnsi="Book Antiqua"/>
          <w:sz w:val="24"/>
          <w:szCs w:val="24"/>
        </w:rPr>
        <w:t xml:space="preserve">he </w:t>
      </w:r>
      <w:r w:rsidR="005F1A43">
        <w:rPr>
          <w:rFonts w:ascii="Book Antiqua" w:hAnsi="Book Antiqua"/>
          <w:sz w:val="24"/>
          <w:szCs w:val="24"/>
        </w:rPr>
        <w:t>Review Tribunal</w:t>
      </w:r>
      <w:r w:rsidR="00682E61">
        <w:rPr>
          <w:rFonts w:ascii="Book Antiqua" w:hAnsi="Book Antiqua"/>
          <w:sz w:val="24"/>
          <w:szCs w:val="24"/>
        </w:rPr>
        <w:t xml:space="preserve"> </w:t>
      </w:r>
      <w:r>
        <w:rPr>
          <w:rFonts w:ascii="Book Antiqua" w:hAnsi="Book Antiqua"/>
          <w:sz w:val="24"/>
          <w:szCs w:val="24"/>
        </w:rPr>
        <w:t>may conduct hearings by video conference in order to efficiently utilise financial and human resources</w:t>
      </w:r>
      <w:r w:rsidR="00B203F2">
        <w:rPr>
          <w:rFonts w:ascii="Book Antiqua" w:hAnsi="Book Antiqua"/>
          <w:sz w:val="24"/>
          <w:szCs w:val="24"/>
        </w:rPr>
        <w:t>.</w:t>
      </w:r>
    </w:p>
    <w:p w:rsidR="00682E61" w:rsidRPr="00682E61" w:rsidRDefault="00682E61" w:rsidP="00EC7F71">
      <w:pPr>
        <w:pStyle w:val="ListParagraph"/>
        <w:jc w:val="both"/>
        <w:rPr>
          <w:rFonts w:ascii="Book Antiqua" w:hAnsi="Book Antiqua"/>
          <w:sz w:val="24"/>
          <w:szCs w:val="24"/>
        </w:rPr>
      </w:pPr>
    </w:p>
    <w:p w:rsidR="00682E61" w:rsidRDefault="00CA5A4B" w:rsidP="00EC7F71">
      <w:pPr>
        <w:pStyle w:val="ListParagraph"/>
        <w:numPr>
          <w:ilvl w:val="0"/>
          <w:numId w:val="1"/>
        </w:numPr>
        <w:jc w:val="both"/>
        <w:rPr>
          <w:rFonts w:ascii="Book Antiqua" w:hAnsi="Book Antiqua"/>
          <w:sz w:val="24"/>
          <w:szCs w:val="24"/>
        </w:rPr>
      </w:pPr>
      <w:r>
        <w:rPr>
          <w:rFonts w:ascii="Book Antiqua" w:hAnsi="Book Antiqua"/>
          <w:sz w:val="24"/>
          <w:szCs w:val="24"/>
        </w:rPr>
        <w:t>Video conferencing should not be utilised if that would be contrary to the rights or welfare of patients, or appreciably limit the effectiveness of the hearing process.</w:t>
      </w:r>
    </w:p>
    <w:p w:rsidR="00682E61" w:rsidRPr="00682E61" w:rsidRDefault="00682E61" w:rsidP="00EC7F71">
      <w:pPr>
        <w:pStyle w:val="ListParagraph"/>
        <w:jc w:val="both"/>
        <w:rPr>
          <w:rFonts w:ascii="Book Antiqua" w:hAnsi="Book Antiqua"/>
          <w:sz w:val="24"/>
          <w:szCs w:val="24"/>
        </w:rPr>
      </w:pPr>
    </w:p>
    <w:p w:rsidR="00682E61" w:rsidRDefault="0020679D" w:rsidP="00EC7F71">
      <w:pPr>
        <w:pStyle w:val="ListParagraph"/>
        <w:numPr>
          <w:ilvl w:val="0"/>
          <w:numId w:val="1"/>
        </w:numPr>
        <w:jc w:val="both"/>
        <w:rPr>
          <w:rFonts w:ascii="Book Antiqua" w:hAnsi="Book Antiqua"/>
          <w:sz w:val="24"/>
          <w:szCs w:val="24"/>
        </w:rPr>
      </w:pPr>
      <w:r>
        <w:rPr>
          <w:rFonts w:ascii="Book Antiqua" w:hAnsi="Book Antiqua"/>
          <w:sz w:val="24"/>
          <w:szCs w:val="24"/>
        </w:rPr>
        <w:t xml:space="preserve">It should only occur </w:t>
      </w:r>
      <w:r w:rsidR="00057061">
        <w:rPr>
          <w:rFonts w:ascii="Book Antiqua" w:hAnsi="Book Antiqua"/>
          <w:sz w:val="24"/>
          <w:szCs w:val="24"/>
        </w:rPr>
        <w:t>if</w:t>
      </w:r>
      <w:r>
        <w:rPr>
          <w:rFonts w:ascii="Book Antiqua" w:hAnsi="Book Antiqua"/>
          <w:sz w:val="24"/>
          <w:szCs w:val="24"/>
        </w:rPr>
        <w:t xml:space="preserve"> the Review Tribunal members are together at one venue.</w:t>
      </w:r>
    </w:p>
    <w:p w:rsidR="0020679D" w:rsidRPr="0020679D" w:rsidRDefault="0020679D" w:rsidP="0020679D">
      <w:pPr>
        <w:pStyle w:val="ListParagraph"/>
        <w:rPr>
          <w:rFonts w:ascii="Book Antiqua" w:hAnsi="Book Antiqua"/>
          <w:sz w:val="24"/>
          <w:szCs w:val="24"/>
        </w:rPr>
      </w:pPr>
    </w:p>
    <w:p w:rsidR="0020679D" w:rsidRDefault="00057061" w:rsidP="00EC7F71">
      <w:pPr>
        <w:pStyle w:val="ListParagraph"/>
        <w:numPr>
          <w:ilvl w:val="0"/>
          <w:numId w:val="1"/>
        </w:numPr>
        <w:jc w:val="both"/>
        <w:rPr>
          <w:rFonts w:ascii="Book Antiqua" w:hAnsi="Book Antiqua"/>
          <w:sz w:val="24"/>
          <w:szCs w:val="24"/>
        </w:rPr>
      </w:pPr>
      <w:r>
        <w:rPr>
          <w:rFonts w:ascii="Book Antiqua" w:hAnsi="Book Antiqua"/>
          <w:sz w:val="24"/>
          <w:szCs w:val="24"/>
        </w:rPr>
        <w:t>The decision as</w:t>
      </w:r>
      <w:r w:rsidR="0020679D">
        <w:rPr>
          <w:rFonts w:ascii="Book Antiqua" w:hAnsi="Book Antiqua"/>
          <w:sz w:val="24"/>
          <w:szCs w:val="24"/>
        </w:rPr>
        <w:t xml:space="preserve"> whether or not hearings sho</w:t>
      </w:r>
      <w:r>
        <w:rPr>
          <w:rFonts w:ascii="Book Antiqua" w:hAnsi="Book Antiqua"/>
          <w:sz w:val="24"/>
          <w:szCs w:val="24"/>
        </w:rPr>
        <w:t>uld proceed by video conference is that of the Review Tribunal.</w:t>
      </w:r>
      <w:r w:rsidR="0020679D">
        <w:rPr>
          <w:rFonts w:ascii="Book Antiqua" w:hAnsi="Book Antiqua"/>
          <w:sz w:val="24"/>
          <w:szCs w:val="24"/>
        </w:rPr>
        <w:t xml:space="preserve"> The views of interested parties should be sought and taken into account</w:t>
      </w:r>
      <w:r w:rsidR="00332D7C">
        <w:rPr>
          <w:rFonts w:ascii="Book Antiqua" w:hAnsi="Book Antiqua"/>
          <w:sz w:val="24"/>
          <w:szCs w:val="24"/>
        </w:rPr>
        <w:t>, but none has the right to decide.</w:t>
      </w:r>
    </w:p>
    <w:p w:rsidR="001D5E99" w:rsidRPr="001D5E99" w:rsidRDefault="001D5E99" w:rsidP="001D5E99">
      <w:pPr>
        <w:pStyle w:val="ListParagraph"/>
        <w:rPr>
          <w:rFonts w:ascii="Book Antiqua" w:hAnsi="Book Antiqua"/>
          <w:sz w:val="24"/>
          <w:szCs w:val="24"/>
        </w:rPr>
      </w:pPr>
    </w:p>
    <w:p w:rsidR="001D5E99" w:rsidRDefault="001D5E99" w:rsidP="00EC7F71">
      <w:pPr>
        <w:pStyle w:val="ListParagraph"/>
        <w:numPr>
          <w:ilvl w:val="0"/>
          <w:numId w:val="1"/>
        </w:numPr>
        <w:jc w:val="both"/>
        <w:rPr>
          <w:rFonts w:ascii="Book Antiqua" w:hAnsi="Book Antiqua"/>
          <w:sz w:val="24"/>
          <w:szCs w:val="24"/>
        </w:rPr>
      </w:pPr>
      <w:r>
        <w:rPr>
          <w:rFonts w:ascii="Book Antiqua" w:hAnsi="Book Antiqua"/>
          <w:sz w:val="24"/>
          <w:szCs w:val="24"/>
        </w:rPr>
        <w:t>The possibility of video conferencing should be considered at the pre-hearing telephone conference.</w:t>
      </w:r>
    </w:p>
    <w:p w:rsidR="001D5E99" w:rsidRPr="001D5E99" w:rsidRDefault="001D5E99" w:rsidP="001D5E99">
      <w:pPr>
        <w:pStyle w:val="ListParagraph"/>
        <w:rPr>
          <w:rFonts w:ascii="Book Antiqua" w:hAnsi="Book Antiqua"/>
          <w:sz w:val="24"/>
          <w:szCs w:val="24"/>
        </w:rPr>
      </w:pPr>
    </w:p>
    <w:p w:rsidR="001D5E99" w:rsidRDefault="001D5E99" w:rsidP="00EC7F71">
      <w:pPr>
        <w:pStyle w:val="ListParagraph"/>
        <w:numPr>
          <w:ilvl w:val="0"/>
          <w:numId w:val="1"/>
        </w:numPr>
        <w:jc w:val="both"/>
        <w:rPr>
          <w:rFonts w:ascii="Book Antiqua" w:hAnsi="Book Antiqua"/>
          <w:sz w:val="24"/>
          <w:szCs w:val="24"/>
        </w:rPr>
      </w:pPr>
      <w:r>
        <w:rPr>
          <w:rFonts w:ascii="Book Antiqua" w:hAnsi="Book Antiqua"/>
          <w:sz w:val="24"/>
          <w:szCs w:val="24"/>
        </w:rPr>
        <w:t xml:space="preserve">Should it be apparent to the secretariat that video conferencing might be appropriate they should notify the member </w:t>
      </w:r>
      <w:r w:rsidR="00057061">
        <w:rPr>
          <w:rFonts w:ascii="Book Antiqua" w:hAnsi="Book Antiqua"/>
          <w:sz w:val="24"/>
          <w:szCs w:val="24"/>
        </w:rPr>
        <w:t>due to conduct</w:t>
      </w:r>
      <w:r>
        <w:rPr>
          <w:rFonts w:ascii="Book Antiqua" w:hAnsi="Book Antiqua"/>
          <w:sz w:val="24"/>
          <w:szCs w:val="24"/>
        </w:rPr>
        <w:t xml:space="preserve"> the pre-hearing telephone conference.</w:t>
      </w:r>
    </w:p>
    <w:p w:rsidR="001D5E99" w:rsidRPr="001D5E99" w:rsidRDefault="001D5E99" w:rsidP="001D5E99">
      <w:pPr>
        <w:pStyle w:val="ListParagraph"/>
        <w:rPr>
          <w:rFonts w:ascii="Book Antiqua" w:hAnsi="Book Antiqua"/>
          <w:sz w:val="24"/>
          <w:szCs w:val="24"/>
        </w:rPr>
      </w:pPr>
    </w:p>
    <w:p w:rsidR="001D5E99" w:rsidRPr="001D5E99" w:rsidRDefault="001D5E99" w:rsidP="001D5E99">
      <w:pPr>
        <w:jc w:val="both"/>
        <w:rPr>
          <w:rFonts w:ascii="Book Antiqua" w:hAnsi="Book Antiqua"/>
          <w:sz w:val="24"/>
          <w:szCs w:val="24"/>
        </w:rPr>
      </w:pPr>
    </w:p>
    <w:p w:rsidR="00EC7F71" w:rsidRDefault="00057061" w:rsidP="00EC7F71">
      <w:pPr>
        <w:jc w:val="both"/>
        <w:rPr>
          <w:rFonts w:ascii="Book Antiqua" w:hAnsi="Book Antiqua"/>
          <w:sz w:val="24"/>
          <w:szCs w:val="24"/>
        </w:rPr>
      </w:pPr>
      <w:r>
        <w:rPr>
          <w:rFonts w:ascii="Book Antiqua" w:hAnsi="Book Antiqua"/>
          <w:b/>
          <w:sz w:val="24"/>
          <w:szCs w:val="24"/>
        </w:rPr>
        <w:t>Relevant considerations</w:t>
      </w:r>
    </w:p>
    <w:p w:rsidR="00EC7F71" w:rsidRDefault="00EC7F71" w:rsidP="00EC7F71">
      <w:pPr>
        <w:jc w:val="both"/>
        <w:rPr>
          <w:rFonts w:ascii="Book Antiqua" w:hAnsi="Book Antiqua"/>
          <w:sz w:val="24"/>
          <w:szCs w:val="24"/>
        </w:rPr>
      </w:pPr>
    </w:p>
    <w:p w:rsidR="003117A4" w:rsidRPr="003117A4" w:rsidRDefault="003117A4" w:rsidP="003117A4">
      <w:pPr>
        <w:pStyle w:val="ListParagraph"/>
        <w:rPr>
          <w:rFonts w:ascii="Book Antiqua" w:hAnsi="Book Antiqua"/>
          <w:sz w:val="24"/>
          <w:szCs w:val="24"/>
        </w:rPr>
      </w:pPr>
    </w:p>
    <w:p w:rsidR="003117A4" w:rsidRDefault="003117A4" w:rsidP="006F19BB">
      <w:pPr>
        <w:pStyle w:val="ListParagraph"/>
        <w:numPr>
          <w:ilvl w:val="0"/>
          <w:numId w:val="1"/>
        </w:numPr>
        <w:jc w:val="both"/>
        <w:rPr>
          <w:rFonts w:ascii="Book Antiqua" w:hAnsi="Book Antiqua"/>
          <w:sz w:val="24"/>
          <w:szCs w:val="24"/>
        </w:rPr>
      </w:pPr>
      <w:r>
        <w:rPr>
          <w:rFonts w:ascii="Book Antiqua" w:hAnsi="Book Antiqua"/>
          <w:sz w:val="24"/>
          <w:szCs w:val="24"/>
        </w:rPr>
        <w:t xml:space="preserve">Considerations </w:t>
      </w:r>
      <w:r w:rsidR="00C24025">
        <w:rPr>
          <w:rFonts w:ascii="Book Antiqua" w:hAnsi="Book Antiqua"/>
          <w:sz w:val="24"/>
          <w:szCs w:val="24"/>
        </w:rPr>
        <w:t>which may be relevant to the determination of whether or not a hearing should proceed by videoconference include</w:t>
      </w:r>
      <w:r>
        <w:rPr>
          <w:rFonts w:ascii="Book Antiqua" w:hAnsi="Book Antiqua"/>
          <w:sz w:val="24"/>
          <w:szCs w:val="24"/>
        </w:rPr>
        <w:t>:</w:t>
      </w:r>
    </w:p>
    <w:p w:rsidR="002E3075" w:rsidRDefault="002E3075" w:rsidP="002E3075">
      <w:pPr>
        <w:pStyle w:val="ListParagraph"/>
        <w:jc w:val="both"/>
        <w:rPr>
          <w:rFonts w:ascii="Book Antiqua" w:hAnsi="Book Antiqua"/>
          <w:sz w:val="24"/>
          <w:szCs w:val="24"/>
        </w:rPr>
      </w:pPr>
    </w:p>
    <w:p w:rsidR="003117A4" w:rsidRPr="003117A4" w:rsidRDefault="002E3075" w:rsidP="002E3075">
      <w:pPr>
        <w:pStyle w:val="ListParagraph"/>
        <w:numPr>
          <w:ilvl w:val="0"/>
          <w:numId w:val="9"/>
        </w:numPr>
        <w:rPr>
          <w:rFonts w:ascii="Book Antiqua" w:hAnsi="Book Antiqua"/>
          <w:sz w:val="24"/>
          <w:szCs w:val="24"/>
        </w:rPr>
      </w:pPr>
      <w:r>
        <w:rPr>
          <w:rFonts w:ascii="Book Antiqua" w:hAnsi="Book Antiqua"/>
          <w:sz w:val="24"/>
          <w:szCs w:val="24"/>
        </w:rPr>
        <w:t>The views of the patients and other participants in the hearing;</w:t>
      </w:r>
    </w:p>
    <w:p w:rsidR="003117A4" w:rsidRDefault="00C24025" w:rsidP="003117A4">
      <w:pPr>
        <w:pStyle w:val="ListParagraph"/>
        <w:numPr>
          <w:ilvl w:val="0"/>
          <w:numId w:val="9"/>
        </w:numPr>
        <w:jc w:val="both"/>
        <w:rPr>
          <w:rFonts w:ascii="Book Antiqua" w:hAnsi="Book Antiqua"/>
          <w:sz w:val="24"/>
          <w:szCs w:val="24"/>
        </w:rPr>
      </w:pPr>
      <w:r>
        <w:rPr>
          <w:rFonts w:ascii="Book Antiqua" w:hAnsi="Book Antiqua"/>
          <w:sz w:val="24"/>
          <w:szCs w:val="24"/>
        </w:rPr>
        <w:t>The number of previous hearings involving the patient;</w:t>
      </w:r>
    </w:p>
    <w:p w:rsidR="00C24025" w:rsidRDefault="00C24025" w:rsidP="003117A4">
      <w:pPr>
        <w:pStyle w:val="ListParagraph"/>
        <w:numPr>
          <w:ilvl w:val="0"/>
          <w:numId w:val="9"/>
        </w:numPr>
        <w:jc w:val="both"/>
        <w:rPr>
          <w:rFonts w:ascii="Book Antiqua" w:hAnsi="Book Antiqua"/>
          <w:sz w:val="24"/>
          <w:szCs w:val="24"/>
        </w:rPr>
      </w:pPr>
      <w:r>
        <w:rPr>
          <w:rFonts w:ascii="Book Antiqua" w:hAnsi="Book Antiqua"/>
          <w:sz w:val="24"/>
          <w:szCs w:val="24"/>
        </w:rPr>
        <w:t>The proximity of the most recent hearing involving the patient;</w:t>
      </w:r>
    </w:p>
    <w:p w:rsidR="00464D1E" w:rsidRDefault="00C24025" w:rsidP="003117A4">
      <w:pPr>
        <w:pStyle w:val="ListParagraph"/>
        <w:numPr>
          <w:ilvl w:val="0"/>
          <w:numId w:val="9"/>
        </w:numPr>
        <w:jc w:val="both"/>
        <w:rPr>
          <w:rFonts w:ascii="Book Antiqua" w:hAnsi="Book Antiqua"/>
          <w:sz w:val="24"/>
          <w:szCs w:val="24"/>
        </w:rPr>
      </w:pPr>
      <w:r>
        <w:rPr>
          <w:rFonts w:ascii="Book Antiqua" w:hAnsi="Book Antiqua"/>
          <w:sz w:val="24"/>
          <w:szCs w:val="24"/>
        </w:rPr>
        <w:t>Whether there has been</w:t>
      </w:r>
      <w:r w:rsidR="00464D1E">
        <w:rPr>
          <w:rFonts w:ascii="Book Antiqua" w:hAnsi="Book Antiqua"/>
          <w:sz w:val="24"/>
          <w:szCs w:val="24"/>
        </w:rPr>
        <w:t xml:space="preserve"> an appreciabl</w:t>
      </w:r>
      <w:r>
        <w:rPr>
          <w:rFonts w:ascii="Book Antiqua" w:hAnsi="Book Antiqua"/>
          <w:sz w:val="24"/>
          <w:szCs w:val="24"/>
        </w:rPr>
        <w:t>e change in the patient’s</w:t>
      </w:r>
      <w:r w:rsidR="00464D1E">
        <w:rPr>
          <w:rFonts w:ascii="Book Antiqua" w:hAnsi="Book Antiqua"/>
          <w:sz w:val="24"/>
          <w:szCs w:val="24"/>
        </w:rPr>
        <w:t xml:space="preserve"> circumstances since the previous hearing;</w:t>
      </w:r>
    </w:p>
    <w:p w:rsidR="00464D1E" w:rsidRDefault="00C24025" w:rsidP="003117A4">
      <w:pPr>
        <w:pStyle w:val="ListParagraph"/>
        <w:numPr>
          <w:ilvl w:val="0"/>
          <w:numId w:val="9"/>
        </w:numPr>
        <w:jc w:val="both"/>
        <w:rPr>
          <w:rFonts w:ascii="Book Antiqua" w:hAnsi="Book Antiqua"/>
          <w:sz w:val="24"/>
          <w:szCs w:val="24"/>
        </w:rPr>
      </w:pPr>
      <w:r>
        <w:rPr>
          <w:rFonts w:ascii="Book Antiqua" w:hAnsi="Book Antiqua"/>
          <w:sz w:val="24"/>
          <w:szCs w:val="24"/>
        </w:rPr>
        <w:t>Whether there appear</w:t>
      </w:r>
      <w:r w:rsidR="002E3075">
        <w:rPr>
          <w:rFonts w:ascii="Book Antiqua" w:hAnsi="Book Antiqua"/>
          <w:sz w:val="24"/>
          <w:szCs w:val="24"/>
        </w:rPr>
        <w:t xml:space="preserve"> to be sound arguments in support of the application</w:t>
      </w:r>
      <w:r w:rsidR="00F45F21">
        <w:rPr>
          <w:rFonts w:ascii="Book Antiqua" w:hAnsi="Book Antiqua"/>
          <w:sz w:val="24"/>
          <w:szCs w:val="24"/>
        </w:rPr>
        <w:t>;</w:t>
      </w:r>
    </w:p>
    <w:p w:rsidR="00464D1E" w:rsidRDefault="002E3075" w:rsidP="003117A4">
      <w:pPr>
        <w:pStyle w:val="ListParagraph"/>
        <w:numPr>
          <w:ilvl w:val="0"/>
          <w:numId w:val="9"/>
        </w:numPr>
        <w:jc w:val="both"/>
        <w:rPr>
          <w:rFonts w:ascii="Book Antiqua" w:hAnsi="Book Antiqua"/>
          <w:sz w:val="24"/>
          <w:szCs w:val="24"/>
        </w:rPr>
      </w:pPr>
      <w:r>
        <w:rPr>
          <w:rFonts w:ascii="Book Antiqua" w:hAnsi="Book Antiqua"/>
          <w:sz w:val="24"/>
          <w:szCs w:val="24"/>
        </w:rPr>
        <w:t>The level of risk that the application will be withdrawn at a late stage;</w:t>
      </w:r>
    </w:p>
    <w:p w:rsidR="009F42D4" w:rsidRDefault="002E3075" w:rsidP="003117A4">
      <w:pPr>
        <w:pStyle w:val="ListParagraph"/>
        <w:numPr>
          <w:ilvl w:val="0"/>
          <w:numId w:val="9"/>
        </w:numPr>
        <w:jc w:val="both"/>
        <w:rPr>
          <w:rFonts w:ascii="Book Antiqua" w:hAnsi="Book Antiqua"/>
          <w:sz w:val="24"/>
          <w:szCs w:val="24"/>
        </w:rPr>
      </w:pPr>
      <w:r>
        <w:rPr>
          <w:rFonts w:ascii="Book Antiqua" w:hAnsi="Book Antiqua"/>
          <w:sz w:val="24"/>
          <w:szCs w:val="24"/>
        </w:rPr>
        <w:t>Whether there are</w:t>
      </w:r>
      <w:r w:rsidR="009F42D4">
        <w:rPr>
          <w:rFonts w:ascii="Book Antiqua" w:hAnsi="Book Antiqua"/>
          <w:sz w:val="24"/>
          <w:szCs w:val="24"/>
        </w:rPr>
        <w:t xml:space="preserve"> other Review Tribunal hearings being set down in the centre concerned for that day;</w:t>
      </w:r>
    </w:p>
    <w:p w:rsidR="009F42D4" w:rsidRDefault="009F42D4" w:rsidP="003117A4">
      <w:pPr>
        <w:pStyle w:val="ListParagraph"/>
        <w:numPr>
          <w:ilvl w:val="0"/>
          <w:numId w:val="9"/>
        </w:numPr>
        <w:jc w:val="both"/>
        <w:rPr>
          <w:rFonts w:ascii="Book Antiqua" w:hAnsi="Book Antiqua"/>
          <w:sz w:val="24"/>
          <w:szCs w:val="24"/>
        </w:rPr>
      </w:pPr>
      <w:r>
        <w:rPr>
          <w:rFonts w:ascii="Book Antiqua" w:hAnsi="Book Antiqua"/>
          <w:sz w:val="24"/>
          <w:szCs w:val="24"/>
        </w:rPr>
        <w:t xml:space="preserve">The </w:t>
      </w:r>
      <w:r w:rsidR="00783AA7">
        <w:rPr>
          <w:rFonts w:ascii="Book Antiqua" w:hAnsi="Book Antiqua"/>
          <w:sz w:val="24"/>
          <w:szCs w:val="24"/>
        </w:rPr>
        <w:t>extent to which the video conference would achieve savings in relation to financial and human resources</w:t>
      </w:r>
      <w:r>
        <w:rPr>
          <w:rFonts w:ascii="Book Antiqua" w:hAnsi="Book Antiqua"/>
          <w:sz w:val="24"/>
          <w:szCs w:val="24"/>
        </w:rPr>
        <w:t>;</w:t>
      </w:r>
    </w:p>
    <w:p w:rsidR="00783AA7" w:rsidRDefault="00783AA7" w:rsidP="003117A4">
      <w:pPr>
        <w:pStyle w:val="ListParagraph"/>
        <w:numPr>
          <w:ilvl w:val="0"/>
          <w:numId w:val="9"/>
        </w:numPr>
        <w:jc w:val="both"/>
        <w:rPr>
          <w:rFonts w:ascii="Book Antiqua" w:hAnsi="Book Antiqua"/>
          <w:sz w:val="24"/>
          <w:szCs w:val="24"/>
        </w:rPr>
      </w:pPr>
      <w:r>
        <w:rPr>
          <w:rFonts w:ascii="Book Antiqua" w:hAnsi="Book Antiqua"/>
          <w:sz w:val="24"/>
          <w:szCs w:val="24"/>
        </w:rPr>
        <w:t>The degree of risk of disruption to transport to a hearing venue;</w:t>
      </w:r>
    </w:p>
    <w:p w:rsidR="00ED4AB6" w:rsidRPr="002E3075" w:rsidRDefault="002E3075" w:rsidP="002E3075">
      <w:pPr>
        <w:pStyle w:val="ListParagraph"/>
        <w:numPr>
          <w:ilvl w:val="0"/>
          <w:numId w:val="9"/>
        </w:numPr>
        <w:jc w:val="both"/>
        <w:rPr>
          <w:rFonts w:ascii="Book Antiqua" w:hAnsi="Book Antiqua"/>
          <w:sz w:val="24"/>
          <w:szCs w:val="24"/>
        </w:rPr>
      </w:pPr>
      <w:r>
        <w:rPr>
          <w:rFonts w:ascii="Book Antiqua" w:hAnsi="Book Antiqua"/>
          <w:sz w:val="24"/>
          <w:szCs w:val="24"/>
        </w:rPr>
        <w:t>Whether previous hearings for the patient have been conducted by video conference</w:t>
      </w:r>
      <w:r w:rsidR="007819D3">
        <w:rPr>
          <w:rFonts w:ascii="Book Antiqua" w:hAnsi="Book Antiqua"/>
          <w:sz w:val="24"/>
          <w:szCs w:val="24"/>
        </w:rPr>
        <w:t>;</w:t>
      </w:r>
    </w:p>
    <w:p w:rsidR="00ED4AB6" w:rsidRPr="002E3075" w:rsidRDefault="002E3075" w:rsidP="002E3075">
      <w:pPr>
        <w:pStyle w:val="ListParagraph"/>
        <w:numPr>
          <w:ilvl w:val="0"/>
          <w:numId w:val="10"/>
        </w:numPr>
        <w:jc w:val="both"/>
        <w:rPr>
          <w:rFonts w:ascii="Book Antiqua" w:hAnsi="Book Antiqua"/>
          <w:sz w:val="24"/>
          <w:szCs w:val="24"/>
        </w:rPr>
      </w:pPr>
      <w:r>
        <w:rPr>
          <w:rFonts w:ascii="Book Antiqua" w:hAnsi="Book Antiqua"/>
          <w:sz w:val="24"/>
          <w:szCs w:val="24"/>
        </w:rPr>
        <w:t>The</w:t>
      </w:r>
      <w:r w:rsidR="00ED4AB6">
        <w:rPr>
          <w:rFonts w:ascii="Book Antiqua" w:hAnsi="Book Antiqua"/>
          <w:sz w:val="24"/>
          <w:szCs w:val="24"/>
        </w:rPr>
        <w:t xml:space="preserve"> number of persons expected to attend the hearing;</w:t>
      </w:r>
    </w:p>
    <w:p w:rsidR="00ED4AB6" w:rsidRDefault="002E3075" w:rsidP="00ED4AB6">
      <w:pPr>
        <w:pStyle w:val="ListParagraph"/>
        <w:numPr>
          <w:ilvl w:val="0"/>
          <w:numId w:val="10"/>
        </w:numPr>
        <w:jc w:val="both"/>
        <w:rPr>
          <w:rFonts w:ascii="Book Antiqua" w:hAnsi="Book Antiqua"/>
          <w:sz w:val="24"/>
          <w:szCs w:val="24"/>
        </w:rPr>
      </w:pPr>
      <w:r>
        <w:rPr>
          <w:rFonts w:ascii="Book Antiqua" w:hAnsi="Book Antiqua"/>
          <w:sz w:val="24"/>
          <w:szCs w:val="24"/>
        </w:rPr>
        <w:t>The need</w:t>
      </w:r>
      <w:r w:rsidR="00ED4AB6">
        <w:rPr>
          <w:rFonts w:ascii="Book Antiqua" w:hAnsi="Book Antiqua"/>
          <w:sz w:val="24"/>
          <w:szCs w:val="24"/>
        </w:rPr>
        <w:t xml:space="preserve"> for the Review Tribunal to peruse the clinical files before the hearing;</w:t>
      </w:r>
    </w:p>
    <w:p w:rsidR="00B422EC" w:rsidRDefault="002E3075" w:rsidP="00ED4AB6">
      <w:pPr>
        <w:pStyle w:val="ListParagraph"/>
        <w:numPr>
          <w:ilvl w:val="0"/>
          <w:numId w:val="10"/>
        </w:numPr>
        <w:jc w:val="both"/>
        <w:rPr>
          <w:rFonts w:ascii="Book Antiqua" w:hAnsi="Book Antiqua"/>
          <w:sz w:val="24"/>
          <w:szCs w:val="24"/>
        </w:rPr>
      </w:pPr>
      <w:r>
        <w:rPr>
          <w:rFonts w:ascii="Book Antiqua" w:hAnsi="Book Antiqua"/>
          <w:sz w:val="24"/>
          <w:szCs w:val="24"/>
        </w:rPr>
        <w:t>Whether the case involves a special</w:t>
      </w:r>
      <w:r w:rsidR="00B422EC">
        <w:rPr>
          <w:rFonts w:ascii="Book Antiqua" w:hAnsi="Book Antiqua"/>
          <w:sz w:val="24"/>
          <w:szCs w:val="24"/>
        </w:rPr>
        <w:t xml:space="preserve"> or restricted patient;</w:t>
      </w:r>
    </w:p>
    <w:p w:rsidR="00B422EC" w:rsidRPr="00CD08C2" w:rsidRDefault="00B422EC" w:rsidP="00CD08C2">
      <w:pPr>
        <w:pStyle w:val="ListParagraph"/>
        <w:numPr>
          <w:ilvl w:val="0"/>
          <w:numId w:val="10"/>
        </w:numPr>
        <w:jc w:val="both"/>
        <w:rPr>
          <w:rFonts w:ascii="Book Antiqua" w:hAnsi="Book Antiqua"/>
          <w:sz w:val="24"/>
          <w:szCs w:val="24"/>
        </w:rPr>
      </w:pPr>
      <w:r>
        <w:rPr>
          <w:rFonts w:ascii="Book Antiqua" w:hAnsi="Book Antiqua"/>
          <w:sz w:val="24"/>
          <w:szCs w:val="24"/>
        </w:rPr>
        <w:t>The expected technical quality or reliability of the videoconference l</w:t>
      </w:r>
      <w:r w:rsidR="002E3075">
        <w:rPr>
          <w:rFonts w:ascii="Book Antiqua" w:hAnsi="Book Antiqua"/>
          <w:sz w:val="24"/>
          <w:szCs w:val="24"/>
        </w:rPr>
        <w:t>ink</w:t>
      </w:r>
      <w:r w:rsidR="00CD08C2">
        <w:rPr>
          <w:rFonts w:ascii="Book Antiqua" w:hAnsi="Book Antiqua"/>
          <w:sz w:val="24"/>
          <w:szCs w:val="24"/>
        </w:rPr>
        <w:t>;</w:t>
      </w:r>
      <w:r w:rsidR="002E3075">
        <w:rPr>
          <w:rFonts w:ascii="Book Antiqua" w:hAnsi="Book Antiqua"/>
          <w:sz w:val="24"/>
          <w:szCs w:val="24"/>
        </w:rPr>
        <w:t xml:space="preserve"> </w:t>
      </w:r>
    </w:p>
    <w:p w:rsidR="00B422EC" w:rsidRDefault="00CD08C2" w:rsidP="00ED4AB6">
      <w:pPr>
        <w:pStyle w:val="ListParagraph"/>
        <w:numPr>
          <w:ilvl w:val="0"/>
          <w:numId w:val="10"/>
        </w:numPr>
        <w:jc w:val="both"/>
        <w:rPr>
          <w:rFonts w:ascii="Book Antiqua" w:hAnsi="Book Antiqua"/>
          <w:sz w:val="24"/>
          <w:szCs w:val="24"/>
        </w:rPr>
      </w:pPr>
      <w:r>
        <w:rPr>
          <w:rFonts w:ascii="Book Antiqua" w:hAnsi="Book Antiqua"/>
          <w:sz w:val="24"/>
          <w:szCs w:val="24"/>
        </w:rPr>
        <w:t>The availability of</w:t>
      </w:r>
      <w:r w:rsidR="00B422EC">
        <w:rPr>
          <w:rFonts w:ascii="Book Antiqua" w:hAnsi="Book Antiqua"/>
          <w:sz w:val="24"/>
          <w:szCs w:val="24"/>
        </w:rPr>
        <w:t xml:space="preserve"> technical support during the vid</w:t>
      </w:r>
      <w:r>
        <w:rPr>
          <w:rFonts w:ascii="Book Antiqua" w:hAnsi="Book Antiqua"/>
          <w:sz w:val="24"/>
          <w:szCs w:val="24"/>
        </w:rPr>
        <w:t>eoconference;</w:t>
      </w:r>
    </w:p>
    <w:p w:rsidR="00CD08C2" w:rsidRPr="00ED4AB6" w:rsidRDefault="00CD08C2" w:rsidP="00ED4AB6">
      <w:pPr>
        <w:pStyle w:val="ListParagraph"/>
        <w:numPr>
          <w:ilvl w:val="0"/>
          <w:numId w:val="10"/>
        </w:numPr>
        <w:jc w:val="both"/>
        <w:rPr>
          <w:rFonts w:ascii="Book Antiqua" w:hAnsi="Book Antiqua"/>
          <w:sz w:val="24"/>
          <w:szCs w:val="24"/>
        </w:rPr>
      </w:pPr>
      <w:r>
        <w:rPr>
          <w:rFonts w:ascii="Book Antiqua" w:hAnsi="Book Antiqua"/>
          <w:sz w:val="24"/>
          <w:szCs w:val="24"/>
        </w:rPr>
        <w:t>The degree of familiarity of participants with video conferencing.</w:t>
      </w:r>
    </w:p>
    <w:p w:rsidR="006F19BB" w:rsidRPr="006F19BB" w:rsidRDefault="006F19BB" w:rsidP="006F19BB">
      <w:pPr>
        <w:pStyle w:val="ListParagraph"/>
        <w:rPr>
          <w:rFonts w:ascii="Book Antiqua" w:hAnsi="Book Antiqua"/>
          <w:sz w:val="24"/>
          <w:szCs w:val="24"/>
        </w:rPr>
      </w:pPr>
    </w:p>
    <w:p w:rsidR="00D6066E" w:rsidRPr="005C32AF" w:rsidRDefault="00D6066E" w:rsidP="005C32AF">
      <w:pPr>
        <w:jc w:val="both"/>
        <w:rPr>
          <w:rFonts w:ascii="Book Antiqua" w:hAnsi="Book Antiqua"/>
          <w:sz w:val="24"/>
          <w:szCs w:val="24"/>
        </w:rPr>
      </w:pPr>
      <w:r>
        <w:rPr>
          <w:rFonts w:ascii="Book Antiqua" w:hAnsi="Book Antiqua"/>
          <w:b/>
          <w:sz w:val="24"/>
          <w:szCs w:val="24"/>
        </w:rPr>
        <w:t>General</w:t>
      </w:r>
    </w:p>
    <w:p w:rsidR="00D6066E" w:rsidRDefault="00D6066E" w:rsidP="00D6066E">
      <w:pPr>
        <w:pStyle w:val="ListParagraph"/>
        <w:jc w:val="both"/>
        <w:rPr>
          <w:rFonts w:ascii="Book Antiqua" w:hAnsi="Book Antiqua"/>
          <w:sz w:val="24"/>
          <w:szCs w:val="24"/>
        </w:rPr>
      </w:pPr>
    </w:p>
    <w:p w:rsidR="00D6066E" w:rsidRDefault="00783AA7" w:rsidP="00D6066E">
      <w:pPr>
        <w:pStyle w:val="ListParagraph"/>
        <w:numPr>
          <w:ilvl w:val="0"/>
          <w:numId w:val="1"/>
        </w:numPr>
        <w:jc w:val="both"/>
        <w:rPr>
          <w:rFonts w:ascii="Book Antiqua" w:hAnsi="Book Antiqua"/>
          <w:sz w:val="24"/>
          <w:szCs w:val="24"/>
        </w:rPr>
      </w:pPr>
      <w:r>
        <w:rPr>
          <w:rFonts w:ascii="Book Antiqua" w:hAnsi="Book Antiqua"/>
          <w:sz w:val="24"/>
          <w:szCs w:val="24"/>
        </w:rPr>
        <w:t>T</w:t>
      </w:r>
      <w:r w:rsidR="00D6066E">
        <w:rPr>
          <w:rFonts w:ascii="Book Antiqua" w:hAnsi="Book Antiqua"/>
          <w:sz w:val="24"/>
          <w:szCs w:val="24"/>
        </w:rPr>
        <w:t>he format</w:t>
      </w:r>
      <w:r w:rsidR="00B26AB5">
        <w:rPr>
          <w:rFonts w:ascii="Book Antiqua" w:hAnsi="Book Antiqua"/>
          <w:sz w:val="24"/>
          <w:szCs w:val="24"/>
        </w:rPr>
        <w:t xml:space="preserve"> of hearings conducted by video</w:t>
      </w:r>
      <w:r w:rsidR="00D6066E">
        <w:rPr>
          <w:rFonts w:ascii="Book Antiqua" w:hAnsi="Book Antiqua"/>
          <w:sz w:val="24"/>
          <w:szCs w:val="24"/>
        </w:rPr>
        <w:t>conference should</w:t>
      </w:r>
      <w:r>
        <w:rPr>
          <w:rFonts w:ascii="Book Antiqua" w:hAnsi="Book Antiqua"/>
          <w:sz w:val="24"/>
          <w:szCs w:val="24"/>
        </w:rPr>
        <w:t xml:space="preserve"> not</w:t>
      </w:r>
      <w:r w:rsidR="00D6066E">
        <w:rPr>
          <w:rFonts w:ascii="Book Antiqua" w:hAnsi="Book Antiqua"/>
          <w:sz w:val="24"/>
          <w:szCs w:val="24"/>
        </w:rPr>
        <w:t xml:space="preserve"> differ from that of in-person hearings.</w:t>
      </w:r>
      <w:r w:rsidR="009D24E6">
        <w:rPr>
          <w:rFonts w:ascii="Book Antiqua" w:hAnsi="Book Antiqua"/>
          <w:sz w:val="24"/>
          <w:szCs w:val="24"/>
        </w:rPr>
        <w:t xml:space="preserve"> </w:t>
      </w:r>
      <w:r w:rsidR="006B60F0">
        <w:rPr>
          <w:rFonts w:ascii="Book Antiqua" w:hAnsi="Book Antiqua"/>
          <w:sz w:val="24"/>
          <w:szCs w:val="24"/>
        </w:rPr>
        <w:t>During</w:t>
      </w:r>
      <w:r w:rsidR="009D24E6">
        <w:rPr>
          <w:rFonts w:ascii="Book Antiqua" w:hAnsi="Book Antiqua"/>
          <w:sz w:val="24"/>
          <w:szCs w:val="24"/>
        </w:rPr>
        <w:t xml:space="preserve"> initial examinations</w:t>
      </w:r>
      <w:r w:rsidR="006B60F0">
        <w:rPr>
          <w:rFonts w:ascii="Book Antiqua" w:hAnsi="Book Antiqua"/>
          <w:sz w:val="24"/>
          <w:szCs w:val="24"/>
        </w:rPr>
        <w:t>,</w:t>
      </w:r>
      <w:r w:rsidR="009D24E6">
        <w:rPr>
          <w:rFonts w:ascii="Book Antiqua" w:hAnsi="Book Antiqua"/>
          <w:sz w:val="24"/>
          <w:szCs w:val="24"/>
        </w:rPr>
        <w:t xml:space="preserve"> all persons other than those involved in the examinations </w:t>
      </w:r>
      <w:r w:rsidR="006B60F0">
        <w:rPr>
          <w:rFonts w:ascii="Book Antiqua" w:hAnsi="Book Antiqua"/>
          <w:sz w:val="24"/>
          <w:szCs w:val="24"/>
        </w:rPr>
        <w:t>leave</w:t>
      </w:r>
      <w:r w:rsidR="009D24E6">
        <w:rPr>
          <w:rFonts w:ascii="Book Antiqua" w:hAnsi="Book Antiqua"/>
          <w:sz w:val="24"/>
          <w:szCs w:val="24"/>
        </w:rPr>
        <w:t xml:space="preserve"> the rooms involved.</w:t>
      </w:r>
    </w:p>
    <w:p w:rsidR="00D6066E" w:rsidRPr="00D6066E" w:rsidRDefault="00D6066E" w:rsidP="00D6066E">
      <w:pPr>
        <w:pStyle w:val="ListParagraph"/>
        <w:rPr>
          <w:rFonts w:ascii="Book Antiqua" w:hAnsi="Book Antiqua"/>
          <w:sz w:val="24"/>
          <w:szCs w:val="24"/>
        </w:rPr>
      </w:pPr>
    </w:p>
    <w:p w:rsidR="00D6066E" w:rsidRDefault="005C32AF" w:rsidP="00D6066E">
      <w:pPr>
        <w:pStyle w:val="ListParagraph"/>
        <w:numPr>
          <w:ilvl w:val="0"/>
          <w:numId w:val="1"/>
        </w:numPr>
        <w:jc w:val="both"/>
        <w:rPr>
          <w:rFonts w:ascii="Book Antiqua" w:hAnsi="Book Antiqua"/>
          <w:sz w:val="24"/>
          <w:szCs w:val="24"/>
        </w:rPr>
      </w:pPr>
      <w:r>
        <w:rPr>
          <w:rFonts w:ascii="Book Antiqua" w:hAnsi="Book Antiqua"/>
          <w:sz w:val="24"/>
          <w:szCs w:val="24"/>
        </w:rPr>
        <w:t>The Review Tribunal</w:t>
      </w:r>
      <w:r w:rsidR="00D6066E">
        <w:rPr>
          <w:rFonts w:ascii="Book Antiqua" w:hAnsi="Book Antiqua"/>
          <w:sz w:val="24"/>
          <w:szCs w:val="24"/>
        </w:rPr>
        <w:t xml:space="preserve"> should </w:t>
      </w:r>
      <w:r>
        <w:rPr>
          <w:rFonts w:ascii="Book Antiqua" w:hAnsi="Book Antiqua"/>
          <w:sz w:val="24"/>
          <w:szCs w:val="24"/>
        </w:rPr>
        <w:t>take care to ascertain that n</w:t>
      </w:r>
      <w:r w:rsidR="00783AA7">
        <w:rPr>
          <w:rFonts w:ascii="Book Antiqua" w:hAnsi="Book Antiqua"/>
          <w:sz w:val="24"/>
          <w:szCs w:val="24"/>
        </w:rPr>
        <w:t>o-one present at the other</w:t>
      </w:r>
      <w:r>
        <w:rPr>
          <w:rFonts w:ascii="Book Antiqua" w:hAnsi="Book Antiqua"/>
          <w:sz w:val="24"/>
          <w:szCs w:val="24"/>
        </w:rPr>
        <w:t xml:space="preserve"> venue is</w:t>
      </w:r>
      <w:r w:rsidR="00D6066E">
        <w:rPr>
          <w:rFonts w:ascii="Book Antiqua" w:hAnsi="Book Antiqua"/>
          <w:sz w:val="24"/>
          <w:szCs w:val="24"/>
        </w:rPr>
        <w:t xml:space="preserve"> unidentified and </w:t>
      </w:r>
      <w:r w:rsidR="00A15F55">
        <w:rPr>
          <w:rFonts w:ascii="Book Antiqua" w:hAnsi="Book Antiqua"/>
          <w:sz w:val="24"/>
          <w:szCs w:val="24"/>
        </w:rPr>
        <w:t>can</w:t>
      </w:r>
      <w:r w:rsidR="00D6066E">
        <w:rPr>
          <w:rFonts w:ascii="Book Antiqua" w:hAnsi="Book Antiqua"/>
          <w:sz w:val="24"/>
          <w:szCs w:val="24"/>
        </w:rPr>
        <w:t xml:space="preserve">not </w:t>
      </w:r>
      <w:r w:rsidR="00A15F55">
        <w:rPr>
          <w:rFonts w:ascii="Book Antiqua" w:hAnsi="Book Antiqua"/>
          <w:sz w:val="24"/>
          <w:szCs w:val="24"/>
        </w:rPr>
        <w:t xml:space="preserve">be </w:t>
      </w:r>
      <w:r w:rsidR="00D6066E">
        <w:rPr>
          <w:rFonts w:ascii="Book Antiqua" w:hAnsi="Book Antiqua"/>
          <w:sz w:val="24"/>
          <w:szCs w:val="24"/>
        </w:rPr>
        <w:t>seen on camera.</w:t>
      </w:r>
    </w:p>
    <w:p w:rsidR="00D6066E" w:rsidRPr="00D6066E" w:rsidRDefault="00D6066E" w:rsidP="00D6066E">
      <w:pPr>
        <w:pStyle w:val="ListParagraph"/>
        <w:rPr>
          <w:rFonts w:ascii="Book Antiqua" w:hAnsi="Book Antiqua"/>
          <w:sz w:val="24"/>
          <w:szCs w:val="24"/>
        </w:rPr>
      </w:pPr>
    </w:p>
    <w:p w:rsidR="00D6066E" w:rsidRDefault="00D6066E" w:rsidP="00D6066E">
      <w:pPr>
        <w:pStyle w:val="ListParagraph"/>
        <w:numPr>
          <w:ilvl w:val="0"/>
          <w:numId w:val="1"/>
        </w:numPr>
        <w:jc w:val="both"/>
        <w:rPr>
          <w:rFonts w:ascii="Book Antiqua" w:hAnsi="Book Antiqua"/>
          <w:sz w:val="24"/>
          <w:szCs w:val="24"/>
        </w:rPr>
      </w:pPr>
      <w:r w:rsidRPr="005C32AF">
        <w:rPr>
          <w:rFonts w:ascii="Book Antiqua" w:hAnsi="Book Antiqua"/>
          <w:sz w:val="24"/>
          <w:szCs w:val="24"/>
        </w:rPr>
        <w:t xml:space="preserve">Video conferences should not be recorded without the prior permission of the </w:t>
      </w:r>
      <w:r w:rsidR="005F1A43" w:rsidRPr="005C32AF">
        <w:rPr>
          <w:rFonts w:ascii="Book Antiqua" w:hAnsi="Book Antiqua"/>
          <w:sz w:val="24"/>
          <w:szCs w:val="24"/>
        </w:rPr>
        <w:t>Review Tribunal</w:t>
      </w:r>
      <w:r w:rsidR="005C32AF" w:rsidRPr="005C32AF">
        <w:rPr>
          <w:rFonts w:ascii="Book Antiqua" w:hAnsi="Book Antiqua"/>
          <w:sz w:val="24"/>
          <w:szCs w:val="24"/>
        </w:rPr>
        <w:t>.</w:t>
      </w:r>
      <w:r w:rsidRPr="005C32AF">
        <w:rPr>
          <w:rFonts w:ascii="Book Antiqua" w:hAnsi="Book Antiqua"/>
          <w:sz w:val="24"/>
          <w:szCs w:val="24"/>
        </w:rPr>
        <w:t xml:space="preserve"> </w:t>
      </w:r>
    </w:p>
    <w:p w:rsidR="005C32AF" w:rsidRPr="005C32AF" w:rsidRDefault="005C32AF" w:rsidP="005C32AF">
      <w:pPr>
        <w:pStyle w:val="ListParagraph"/>
        <w:rPr>
          <w:rFonts w:ascii="Book Antiqua" w:hAnsi="Book Antiqua"/>
          <w:sz w:val="24"/>
          <w:szCs w:val="24"/>
        </w:rPr>
      </w:pPr>
    </w:p>
    <w:p w:rsidR="005C32AF" w:rsidRDefault="009208A5" w:rsidP="00D6066E">
      <w:pPr>
        <w:pStyle w:val="ListParagraph"/>
        <w:numPr>
          <w:ilvl w:val="0"/>
          <w:numId w:val="1"/>
        </w:numPr>
        <w:jc w:val="both"/>
        <w:rPr>
          <w:rFonts w:ascii="Book Antiqua" w:hAnsi="Book Antiqua"/>
          <w:sz w:val="24"/>
          <w:szCs w:val="24"/>
        </w:rPr>
      </w:pPr>
      <w:r>
        <w:rPr>
          <w:rFonts w:ascii="Book Antiqua" w:hAnsi="Book Antiqua"/>
          <w:sz w:val="24"/>
          <w:szCs w:val="24"/>
        </w:rPr>
        <w:lastRenderedPageBreak/>
        <w:t xml:space="preserve">Should a hearing commence by videoconference and </w:t>
      </w:r>
      <w:r w:rsidR="00057061">
        <w:rPr>
          <w:rFonts w:ascii="Book Antiqua" w:hAnsi="Book Antiqua"/>
          <w:sz w:val="24"/>
          <w:szCs w:val="24"/>
        </w:rPr>
        <w:t>on that account be</w:t>
      </w:r>
      <w:r>
        <w:rPr>
          <w:rFonts w:ascii="Book Antiqua" w:hAnsi="Book Antiqua"/>
          <w:sz w:val="24"/>
          <w:szCs w:val="24"/>
        </w:rPr>
        <w:t xml:space="preserve"> found to be unsatisfactory, it is open to the Review Tribunal to adjourn the hearing part heard and reconvene on a later date in person.</w:t>
      </w:r>
    </w:p>
    <w:p w:rsidR="005C32AF" w:rsidRPr="005C32AF" w:rsidRDefault="005C32AF" w:rsidP="005C32AF">
      <w:pPr>
        <w:pStyle w:val="ListParagraph"/>
        <w:rPr>
          <w:rFonts w:ascii="Book Antiqua" w:hAnsi="Book Antiqua"/>
          <w:sz w:val="24"/>
          <w:szCs w:val="24"/>
        </w:rPr>
      </w:pPr>
    </w:p>
    <w:p w:rsidR="005C32AF" w:rsidRPr="00783AA7" w:rsidRDefault="005C32AF" w:rsidP="009208A5">
      <w:pPr>
        <w:pStyle w:val="ListParagraph"/>
        <w:numPr>
          <w:ilvl w:val="0"/>
          <w:numId w:val="1"/>
        </w:numPr>
        <w:jc w:val="both"/>
        <w:rPr>
          <w:rFonts w:ascii="Book Antiqua" w:hAnsi="Book Antiqua"/>
          <w:sz w:val="24"/>
          <w:szCs w:val="24"/>
        </w:rPr>
      </w:pPr>
      <w:r w:rsidRPr="00783AA7">
        <w:rPr>
          <w:rFonts w:ascii="Book Antiqua" w:hAnsi="Book Antiqua"/>
          <w:sz w:val="24"/>
          <w:szCs w:val="24"/>
        </w:rPr>
        <w:t xml:space="preserve">The written decision following a videoconference hearing should record the fact of the video conference and identify the venues concerned.  </w:t>
      </w:r>
    </w:p>
    <w:p w:rsidR="005C32AF" w:rsidRPr="005C32AF" w:rsidRDefault="005C32AF" w:rsidP="005C32AF">
      <w:pPr>
        <w:pStyle w:val="ListParagraph"/>
        <w:rPr>
          <w:rFonts w:ascii="Book Antiqua" w:hAnsi="Book Antiqua"/>
          <w:sz w:val="24"/>
          <w:szCs w:val="24"/>
        </w:rPr>
      </w:pPr>
    </w:p>
    <w:p w:rsidR="00850360" w:rsidRPr="00850360" w:rsidRDefault="00850360" w:rsidP="00850360">
      <w:pPr>
        <w:pStyle w:val="ListParagraph"/>
        <w:rPr>
          <w:rFonts w:ascii="Book Antiqua" w:hAnsi="Book Antiqua"/>
          <w:sz w:val="24"/>
          <w:szCs w:val="24"/>
        </w:rPr>
      </w:pPr>
    </w:p>
    <w:p w:rsidR="00850360" w:rsidRDefault="00850360" w:rsidP="00850360">
      <w:pPr>
        <w:jc w:val="both"/>
        <w:rPr>
          <w:rFonts w:ascii="Book Antiqua" w:hAnsi="Book Antiqua"/>
          <w:sz w:val="24"/>
          <w:szCs w:val="24"/>
        </w:rPr>
      </w:pPr>
    </w:p>
    <w:p w:rsidR="00850360" w:rsidRDefault="00850360" w:rsidP="00850360">
      <w:pPr>
        <w:spacing w:line="360" w:lineRule="auto"/>
        <w:ind w:left="720"/>
        <w:jc w:val="center"/>
        <w:rPr>
          <w:rFonts w:ascii="Times New Roman" w:hAnsi="Times New Roman" w:cs="Times New Roman"/>
          <w:i/>
          <w:sz w:val="24"/>
          <w:szCs w:val="24"/>
        </w:rPr>
      </w:pPr>
      <w:r>
        <w:rPr>
          <w:rFonts w:ascii="Times New Roman" w:hAnsi="Times New Roman" w:cs="Times New Roman"/>
          <w:i/>
          <w:sz w:val="24"/>
          <w:szCs w:val="24"/>
        </w:rPr>
        <w:t xml:space="preserve">Last updated </w:t>
      </w:r>
      <w:r w:rsidR="00A265DE">
        <w:rPr>
          <w:rFonts w:ascii="Times New Roman" w:hAnsi="Times New Roman" w:cs="Times New Roman"/>
          <w:i/>
          <w:sz w:val="24"/>
          <w:szCs w:val="24"/>
        </w:rPr>
        <w:t>August 2015</w:t>
      </w:r>
    </w:p>
    <w:p w:rsidR="00850360" w:rsidRDefault="00850360" w:rsidP="00850360">
      <w:pPr>
        <w:spacing w:line="360" w:lineRule="auto"/>
        <w:ind w:left="720"/>
        <w:jc w:val="both"/>
        <w:rPr>
          <w:rFonts w:ascii="Times New Roman" w:hAnsi="Times New Roman" w:cs="Times New Roman"/>
          <w:sz w:val="24"/>
          <w:szCs w:val="24"/>
        </w:rPr>
      </w:pPr>
    </w:p>
    <w:p w:rsidR="00850360" w:rsidRDefault="00850360" w:rsidP="00850360">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NJ Dunlop</w:t>
      </w:r>
    </w:p>
    <w:p w:rsidR="00850360" w:rsidRDefault="00850360" w:rsidP="00850360">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rPr>
        <w:t>Convener</w:t>
      </w:r>
    </w:p>
    <w:p w:rsidR="00850360" w:rsidRPr="00850360" w:rsidRDefault="00850360" w:rsidP="00850360">
      <w:pPr>
        <w:jc w:val="both"/>
        <w:rPr>
          <w:rFonts w:ascii="Book Antiqua" w:hAnsi="Book Antiqua"/>
          <w:sz w:val="24"/>
          <w:szCs w:val="24"/>
        </w:rPr>
      </w:pPr>
    </w:p>
    <w:p w:rsidR="007C2DF2" w:rsidRPr="007C2DF2" w:rsidRDefault="007C2DF2" w:rsidP="007C2DF2">
      <w:pPr>
        <w:pStyle w:val="ListParagraph"/>
        <w:rPr>
          <w:rFonts w:ascii="Book Antiqua" w:hAnsi="Book Antiqua"/>
          <w:sz w:val="24"/>
          <w:szCs w:val="24"/>
        </w:rPr>
      </w:pPr>
    </w:p>
    <w:p w:rsidR="007C2DF2" w:rsidRDefault="007C2DF2" w:rsidP="007C2DF2">
      <w:pPr>
        <w:jc w:val="both"/>
        <w:rPr>
          <w:rFonts w:ascii="Book Antiqua" w:hAnsi="Book Antiqua"/>
          <w:sz w:val="24"/>
          <w:szCs w:val="24"/>
        </w:rPr>
      </w:pPr>
    </w:p>
    <w:p w:rsidR="007C2DF2" w:rsidRDefault="007C2DF2" w:rsidP="007C2DF2">
      <w:pPr>
        <w:jc w:val="both"/>
        <w:rPr>
          <w:rFonts w:ascii="Book Antiqua" w:hAnsi="Book Antiqua"/>
          <w:sz w:val="24"/>
          <w:szCs w:val="24"/>
        </w:rPr>
      </w:pPr>
    </w:p>
    <w:p w:rsidR="00D6066E" w:rsidRDefault="00D6066E" w:rsidP="00D6066E">
      <w:pPr>
        <w:pStyle w:val="ListParagraph"/>
        <w:jc w:val="both"/>
        <w:rPr>
          <w:rFonts w:ascii="Book Antiqua" w:hAnsi="Book Antiqua"/>
          <w:sz w:val="24"/>
          <w:szCs w:val="24"/>
        </w:rPr>
      </w:pPr>
    </w:p>
    <w:p w:rsidR="00D6066E" w:rsidRPr="00D6066E" w:rsidRDefault="00D6066E" w:rsidP="00D6066E">
      <w:pPr>
        <w:pStyle w:val="ListParagraph"/>
        <w:jc w:val="both"/>
        <w:rPr>
          <w:rFonts w:ascii="Book Antiqua" w:hAnsi="Book Antiqua"/>
          <w:sz w:val="24"/>
          <w:szCs w:val="24"/>
        </w:rPr>
      </w:pPr>
    </w:p>
    <w:p w:rsidR="00BD4173" w:rsidRPr="00BD4173" w:rsidRDefault="00BD4173" w:rsidP="00BD4173">
      <w:pPr>
        <w:jc w:val="both"/>
        <w:rPr>
          <w:rFonts w:ascii="Book Antiqua" w:hAnsi="Book Antiqua"/>
          <w:b/>
          <w:sz w:val="24"/>
          <w:szCs w:val="24"/>
        </w:rPr>
      </w:pPr>
    </w:p>
    <w:p w:rsidR="006F19BB" w:rsidRPr="006F19BB" w:rsidRDefault="006F19BB" w:rsidP="006F19BB">
      <w:pPr>
        <w:pStyle w:val="ListParagraph"/>
        <w:rPr>
          <w:rFonts w:ascii="Book Antiqua" w:hAnsi="Book Antiqua"/>
          <w:sz w:val="24"/>
          <w:szCs w:val="24"/>
        </w:rPr>
      </w:pPr>
    </w:p>
    <w:p w:rsidR="00682E61" w:rsidRPr="007C2DF2" w:rsidRDefault="00682E61" w:rsidP="007C2DF2">
      <w:pPr>
        <w:jc w:val="both"/>
        <w:rPr>
          <w:rFonts w:ascii="Book Antiqua" w:hAnsi="Book Antiqua"/>
          <w:sz w:val="24"/>
          <w:szCs w:val="24"/>
        </w:rPr>
      </w:pPr>
    </w:p>
    <w:sectPr w:rsidR="00682E61" w:rsidRPr="007C2DF2" w:rsidSect="00F718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0D" w:rsidRDefault="00822C0D" w:rsidP="00EC7F71">
      <w:pPr>
        <w:spacing w:after="0" w:line="240" w:lineRule="auto"/>
      </w:pPr>
      <w:r>
        <w:separator/>
      </w:r>
    </w:p>
  </w:endnote>
  <w:endnote w:type="continuationSeparator" w:id="0">
    <w:p w:rsidR="00822C0D" w:rsidRDefault="00822C0D" w:rsidP="00EC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9" w:rsidRDefault="001D5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72678"/>
      <w:docPartObj>
        <w:docPartGallery w:val="Page Numbers (Bottom of Page)"/>
        <w:docPartUnique/>
      </w:docPartObj>
    </w:sdtPr>
    <w:sdtEndPr>
      <w:rPr>
        <w:noProof/>
      </w:rPr>
    </w:sdtEndPr>
    <w:sdtContent>
      <w:p w:rsidR="001D5E99" w:rsidRDefault="00437F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D5E99" w:rsidRDefault="001D5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9" w:rsidRDefault="001D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0D" w:rsidRDefault="00822C0D" w:rsidP="00EC7F71">
      <w:pPr>
        <w:spacing w:after="0" w:line="240" w:lineRule="auto"/>
      </w:pPr>
      <w:r>
        <w:separator/>
      </w:r>
    </w:p>
  </w:footnote>
  <w:footnote w:type="continuationSeparator" w:id="0">
    <w:p w:rsidR="00822C0D" w:rsidRDefault="00822C0D" w:rsidP="00EC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9" w:rsidRDefault="001D5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9" w:rsidRDefault="001D5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9" w:rsidRDefault="001D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235"/>
    <w:multiLevelType w:val="hybridMultilevel"/>
    <w:tmpl w:val="D46A71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CC86420"/>
    <w:multiLevelType w:val="hybridMultilevel"/>
    <w:tmpl w:val="290E8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424EFF"/>
    <w:multiLevelType w:val="hybridMultilevel"/>
    <w:tmpl w:val="BD82A3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5125A41"/>
    <w:multiLevelType w:val="hybridMultilevel"/>
    <w:tmpl w:val="DBF6263A"/>
    <w:lvl w:ilvl="0" w:tplc="10000BF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333005D6"/>
    <w:multiLevelType w:val="hybridMultilevel"/>
    <w:tmpl w:val="13F271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375049E2"/>
    <w:multiLevelType w:val="hybridMultilevel"/>
    <w:tmpl w:val="2AAEA92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513D5D1A"/>
    <w:multiLevelType w:val="hybridMultilevel"/>
    <w:tmpl w:val="AA143278"/>
    <w:lvl w:ilvl="0" w:tplc="328C7DE8">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nsid w:val="5A0A02C3"/>
    <w:multiLevelType w:val="hybridMultilevel"/>
    <w:tmpl w:val="54222B1E"/>
    <w:lvl w:ilvl="0" w:tplc="29305DB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6A9E0F79"/>
    <w:multiLevelType w:val="hybridMultilevel"/>
    <w:tmpl w:val="BA92E430"/>
    <w:lvl w:ilvl="0" w:tplc="98B49F2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6FFC5E1C"/>
    <w:multiLevelType w:val="hybridMultilevel"/>
    <w:tmpl w:val="55145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4"/>
  </w:num>
  <w:num w:numId="6">
    <w:abstractNumId w:val="5"/>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37889"/>
  </w:hdrShapeDefaults>
  <w:footnotePr>
    <w:footnote w:id="-1"/>
    <w:footnote w:id="0"/>
  </w:footnotePr>
  <w:endnotePr>
    <w:endnote w:id="-1"/>
    <w:endnote w:id="0"/>
  </w:endnotePr>
  <w:compat>
    <w:applyBreakingRules/>
    <w:compatSetting w:name="compatibilityMode" w:uri="http://schemas.microsoft.com/office/word" w:val="12"/>
  </w:compat>
  <w:rsids>
    <w:rsidRoot w:val="00682E61"/>
    <w:rsid w:val="0005642E"/>
    <w:rsid w:val="00057061"/>
    <w:rsid w:val="00064857"/>
    <w:rsid w:val="0009338F"/>
    <w:rsid w:val="000B1929"/>
    <w:rsid w:val="00132BD5"/>
    <w:rsid w:val="001D3E37"/>
    <w:rsid w:val="001D5E99"/>
    <w:rsid w:val="00205C9B"/>
    <w:rsid w:val="0020679D"/>
    <w:rsid w:val="00220F52"/>
    <w:rsid w:val="0026459A"/>
    <w:rsid w:val="0027176E"/>
    <w:rsid w:val="002D417B"/>
    <w:rsid w:val="002E3075"/>
    <w:rsid w:val="003117A4"/>
    <w:rsid w:val="003241D6"/>
    <w:rsid w:val="00332D7C"/>
    <w:rsid w:val="00333F25"/>
    <w:rsid w:val="003D1CDD"/>
    <w:rsid w:val="004149E5"/>
    <w:rsid w:val="004324D5"/>
    <w:rsid w:val="00437F4D"/>
    <w:rsid w:val="00464D1E"/>
    <w:rsid w:val="004E0FBD"/>
    <w:rsid w:val="004F1083"/>
    <w:rsid w:val="005025C4"/>
    <w:rsid w:val="00530AA5"/>
    <w:rsid w:val="00535593"/>
    <w:rsid w:val="00551E07"/>
    <w:rsid w:val="0055242A"/>
    <w:rsid w:val="005869A5"/>
    <w:rsid w:val="005A2AC7"/>
    <w:rsid w:val="005C32AF"/>
    <w:rsid w:val="005F1A43"/>
    <w:rsid w:val="006256CC"/>
    <w:rsid w:val="0067767E"/>
    <w:rsid w:val="00682E61"/>
    <w:rsid w:val="006B60F0"/>
    <w:rsid w:val="006F19BB"/>
    <w:rsid w:val="007171DB"/>
    <w:rsid w:val="00722F5F"/>
    <w:rsid w:val="00731FFD"/>
    <w:rsid w:val="00764EDD"/>
    <w:rsid w:val="007819D3"/>
    <w:rsid w:val="00782821"/>
    <w:rsid w:val="00783AA7"/>
    <w:rsid w:val="007C2DF2"/>
    <w:rsid w:val="007C3922"/>
    <w:rsid w:val="007C6F11"/>
    <w:rsid w:val="007D35BC"/>
    <w:rsid w:val="00822C0D"/>
    <w:rsid w:val="008360E6"/>
    <w:rsid w:val="00850360"/>
    <w:rsid w:val="00892708"/>
    <w:rsid w:val="008A3875"/>
    <w:rsid w:val="008C7F2C"/>
    <w:rsid w:val="009208A5"/>
    <w:rsid w:val="009226A6"/>
    <w:rsid w:val="00961270"/>
    <w:rsid w:val="0096532E"/>
    <w:rsid w:val="009A16EA"/>
    <w:rsid w:val="009D24E6"/>
    <w:rsid w:val="009F42D4"/>
    <w:rsid w:val="009F50C9"/>
    <w:rsid w:val="00A143BE"/>
    <w:rsid w:val="00A15F55"/>
    <w:rsid w:val="00A224F9"/>
    <w:rsid w:val="00A265DE"/>
    <w:rsid w:val="00A357F5"/>
    <w:rsid w:val="00A657FE"/>
    <w:rsid w:val="00A714FF"/>
    <w:rsid w:val="00A8760F"/>
    <w:rsid w:val="00AA3593"/>
    <w:rsid w:val="00AD26E3"/>
    <w:rsid w:val="00B203F2"/>
    <w:rsid w:val="00B204AA"/>
    <w:rsid w:val="00B23843"/>
    <w:rsid w:val="00B26AB5"/>
    <w:rsid w:val="00B422EC"/>
    <w:rsid w:val="00B5065B"/>
    <w:rsid w:val="00B5295B"/>
    <w:rsid w:val="00BD4173"/>
    <w:rsid w:val="00C24025"/>
    <w:rsid w:val="00CA5A4B"/>
    <w:rsid w:val="00CD043E"/>
    <w:rsid w:val="00CD08C2"/>
    <w:rsid w:val="00D5526E"/>
    <w:rsid w:val="00D6066E"/>
    <w:rsid w:val="00D62C88"/>
    <w:rsid w:val="00D75DD8"/>
    <w:rsid w:val="00D87185"/>
    <w:rsid w:val="00D9400B"/>
    <w:rsid w:val="00DC6045"/>
    <w:rsid w:val="00DD0635"/>
    <w:rsid w:val="00DE7B11"/>
    <w:rsid w:val="00E11221"/>
    <w:rsid w:val="00E14AA5"/>
    <w:rsid w:val="00E54F10"/>
    <w:rsid w:val="00E741DE"/>
    <w:rsid w:val="00E80FFE"/>
    <w:rsid w:val="00EC7F71"/>
    <w:rsid w:val="00ED4AB6"/>
    <w:rsid w:val="00EE38A1"/>
    <w:rsid w:val="00F055D5"/>
    <w:rsid w:val="00F058D3"/>
    <w:rsid w:val="00F21A93"/>
    <w:rsid w:val="00F45F21"/>
    <w:rsid w:val="00F7181A"/>
    <w:rsid w:val="00F77F8C"/>
    <w:rsid w:val="00FA0A04"/>
    <w:rsid w:val="00FF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E61"/>
    <w:pPr>
      <w:ind w:left="720"/>
      <w:contextualSpacing/>
    </w:pPr>
  </w:style>
  <w:style w:type="paragraph" w:styleId="Header">
    <w:name w:val="header"/>
    <w:basedOn w:val="Normal"/>
    <w:link w:val="HeaderChar"/>
    <w:uiPriority w:val="99"/>
    <w:unhideWhenUsed/>
    <w:rsid w:val="00EC7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F71"/>
  </w:style>
  <w:style w:type="paragraph" w:styleId="Footer">
    <w:name w:val="footer"/>
    <w:basedOn w:val="Normal"/>
    <w:link w:val="FooterChar"/>
    <w:uiPriority w:val="99"/>
    <w:unhideWhenUsed/>
    <w:rsid w:val="00EC7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F71"/>
  </w:style>
  <w:style w:type="paragraph" w:styleId="FootnoteText">
    <w:name w:val="footnote text"/>
    <w:basedOn w:val="Normal"/>
    <w:link w:val="FootnoteTextChar"/>
    <w:uiPriority w:val="99"/>
    <w:semiHidden/>
    <w:unhideWhenUsed/>
    <w:rsid w:val="00E14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AA5"/>
    <w:rPr>
      <w:sz w:val="20"/>
      <w:szCs w:val="20"/>
    </w:rPr>
  </w:style>
  <w:style w:type="character" w:styleId="FootnoteReference">
    <w:name w:val="footnote reference"/>
    <w:basedOn w:val="DefaultParagraphFont"/>
    <w:uiPriority w:val="99"/>
    <w:semiHidden/>
    <w:unhideWhenUsed/>
    <w:rsid w:val="00E14AA5"/>
    <w:rPr>
      <w:vertAlign w:val="superscript"/>
    </w:rPr>
  </w:style>
  <w:style w:type="paragraph" w:styleId="EndnoteText">
    <w:name w:val="endnote text"/>
    <w:basedOn w:val="Normal"/>
    <w:link w:val="EndnoteTextChar"/>
    <w:uiPriority w:val="99"/>
    <w:semiHidden/>
    <w:unhideWhenUsed/>
    <w:rsid w:val="006B60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60F0"/>
    <w:rPr>
      <w:sz w:val="20"/>
      <w:szCs w:val="20"/>
    </w:rPr>
  </w:style>
  <w:style w:type="character" w:styleId="EndnoteReference">
    <w:name w:val="endnote reference"/>
    <w:basedOn w:val="DefaultParagraphFont"/>
    <w:uiPriority w:val="99"/>
    <w:semiHidden/>
    <w:unhideWhenUsed/>
    <w:rsid w:val="006B60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5585">
      <w:bodyDiv w:val="1"/>
      <w:marLeft w:val="0"/>
      <w:marRight w:val="0"/>
      <w:marTop w:val="0"/>
      <w:marBottom w:val="0"/>
      <w:divBdr>
        <w:top w:val="none" w:sz="0" w:space="0" w:color="auto"/>
        <w:left w:val="none" w:sz="0" w:space="0" w:color="auto"/>
        <w:bottom w:val="none" w:sz="0" w:space="0" w:color="auto"/>
        <w:right w:val="none" w:sz="0" w:space="0" w:color="auto"/>
      </w:divBdr>
    </w:div>
    <w:div w:id="752241654">
      <w:bodyDiv w:val="1"/>
      <w:marLeft w:val="0"/>
      <w:marRight w:val="0"/>
      <w:marTop w:val="0"/>
      <w:marBottom w:val="0"/>
      <w:divBdr>
        <w:top w:val="none" w:sz="0" w:space="0" w:color="auto"/>
        <w:left w:val="none" w:sz="0" w:space="0" w:color="auto"/>
        <w:bottom w:val="none" w:sz="0" w:space="0" w:color="auto"/>
        <w:right w:val="none" w:sz="0" w:space="0" w:color="auto"/>
      </w:divBdr>
    </w:div>
    <w:div w:id="19079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651F-C839-4A00-90CB-95A55B21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and Policy Guideline #7 VIDEO CONFERENCE HEARINGS</dc:title>
  <dc:creator>MHRT</dc:creator>
  <cp:lastModifiedBy>Ministry of Health</cp:lastModifiedBy>
  <cp:revision>11</cp:revision>
  <dcterms:created xsi:type="dcterms:W3CDTF">2015-07-15T20:41:00Z</dcterms:created>
  <dcterms:modified xsi:type="dcterms:W3CDTF">2015-07-29T03:03:00Z</dcterms:modified>
</cp:coreProperties>
</file>