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D6" w:rsidRDefault="001702D6" w:rsidP="001702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MENTAL HEALTH REVIEW TRIBUNAL </w:t>
      </w:r>
    </w:p>
    <w:p w:rsidR="001702D6" w:rsidRDefault="001702D6" w:rsidP="001702D6">
      <w:pPr>
        <w:jc w:val="center"/>
        <w:rPr>
          <w:b/>
          <w:sz w:val="32"/>
          <w:szCs w:val="32"/>
        </w:rPr>
      </w:pPr>
    </w:p>
    <w:p w:rsidR="001702D6" w:rsidRDefault="001702D6" w:rsidP="001702D6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Practice and Policy Guideline #5</w:t>
      </w:r>
    </w:p>
    <w:p w:rsidR="001702D6" w:rsidRDefault="001702D6" w:rsidP="001702D6">
      <w:pPr>
        <w:jc w:val="center"/>
        <w:rPr>
          <w:b/>
          <w:sz w:val="32"/>
          <w:szCs w:val="32"/>
        </w:rPr>
      </w:pPr>
    </w:p>
    <w:p w:rsidR="001702D6" w:rsidRDefault="001702D6" w:rsidP="001702D6">
      <w:pPr>
        <w:jc w:val="center"/>
        <w:rPr>
          <w:b/>
        </w:rPr>
      </w:pPr>
    </w:p>
    <w:p w:rsidR="001702D6" w:rsidRDefault="001702D6" w:rsidP="001702D6">
      <w:pPr>
        <w:jc w:val="center"/>
      </w:pPr>
      <w:r>
        <w:t>APPLICATIONS BY THOSE NOT SUBJECT TO COMPULSORY TREATMENT</w:t>
      </w:r>
    </w:p>
    <w:bookmarkEnd w:id="0"/>
    <w:p w:rsidR="00D212D8" w:rsidRDefault="00D212D8" w:rsidP="001702D6">
      <w:pPr>
        <w:jc w:val="center"/>
      </w:pPr>
    </w:p>
    <w:p w:rsidR="00D212D8" w:rsidRDefault="00D212D8" w:rsidP="001702D6">
      <w:pPr>
        <w:jc w:val="center"/>
      </w:pPr>
    </w:p>
    <w:p w:rsidR="00D212D8" w:rsidRDefault="00D212D8" w:rsidP="00D212D8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Practice and Policy Guidelines provide general direction and assistance to the members and secretariat of the Review Tribunal. They may be departed from or supplemented</w:t>
      </w:r>
      <w:r w:rsidR="00626FF3">
        <w:rPr>
          <w:b/>
          <w:i/>
          <w:sz w:val="20"/>
          <w:szCs w:val="20"/>
        </w:rPr>
        <w:t xml:space="preserve"> by the Review Tribunal</w:t>
      </w:r>
      <w:r>
        <w:rPr>
          <w:b/>
          <w:i/>
          <w:sz w:val="20"/>
          <w:szCs w:val="20"/>
        </w:rPr>
        <w:t xml:space="preserve"> as circumstances require.</w:t>
      </w:r>
      <w:r w:rsidR="00AE2A6D" w:rsidRPr="00AE2A6D">
        <w:rPr>
          <w:b/>
          <w:i/>
          <w:sz w:val="20"/>
          <w:szCs w:val="20"/>
        </w:rPr>
        <w:t xml:space="preserve"> </w:t>
      </w:r>
      <w:r w:rsidR="00AE2A6D">
        <w:rPr>
          <w:b/>
          <w:i/>
          <w:sz w:val="20"/>
          <w:szCs w:val="20"/>
        </w:rPr>
        <w:t>They do not constitute legal opinions.</w:t>
      </w:r>
    </w:p>
    <w:p w:rsidR="00D212D8" w:rsidRDefault="00D212D8" w:rsidP="001702D6">
      <w:pPr>
        <w:jc w:val="center"/>
      </w:pPr>
    </w:p>
    <w:p w:rsidR="00716080" w:rsidRPr="00FF0307" w:rsidRDefault="00716080" w:rsidP="00716080">
      <w:pPr>
        <w:rPr>
          <w:b/>
          <w:bCs/>
          <w:sz w:val="22"/>
          <w:szCs w:val="22"/>
        </w:rPr>
      </w:pPr>
    </w:p>
    <w:p w:rsidR="00716080" w:rsidRPr="00FF0307" w:rsidRDefault="00716080" w:rsidP="00716080">
      <w:pPr>
        <w:jc w:val="both"/>
      </w:pPr>
    </w:p>
    <w:p w:rsidR="00716080" w:rsidRPr="00FF0307" w:rsidRDefault="00716080" w:rsidP="00716080">
      <w:pPr>
        <w:pStyle w:val="Heading1"/>
        <w:jc w:val="both"/>
      </w:pPr>
      <w:r w:rsidRPr="00FF0307">
        <w:t>Section 79 Reviews</w:t>
      </w:r>
    </w:p>
    <w:p w:rsidR="00716080" w:rsidRPr="00FF0307" w:rsidRDefault="00716080" w:rsidP="00716080">
      <w:pPr>
        <w:jc w:val="both"/>
      </w:pPr>
    </w:p>
    <w:p w:rsidR="00716080" w:rsidRPr="00FF0307" w:rsidRDefault="00716080" w:rsidP="00144C01">
      <w:pPr>
        <w:numPr>
          <w:ilvl w:val="0"/>
          <w:numId w:val="1"/>
        </w:numPr>
        <w:jc w:val="both"/>
      </w:pPr>
      <w:r w:rsidRPr="00FF0307">
        <w:t xml:space="preserve">Section 79 </w:t>
      </w:r>
      <w:r w:rsidR="00595B6C" w:rsidRPr="00FF0307">
        <w:t>provides</w:t>
      </w:r>
      <w:r w:rsidRPr="00FF0307">
        <w:t xml:space="preserve"> that any person to whom a copy of a certificate of clinical review is sent under section 76 may apply to the Review</w:t>
      </w:r>
      <w:r w:rsidR="00754B3B" w:rsidRPr="00FF0307">
        <w:t xml:space="preserve"> Tribunal</w:t>
      </w:r>
      <w:r w:rsidRPr="00FF0307">
        <w:t xml:space="preserve"> for a review of the patient’s condition.</w:t>
      </w:r>
      <w:r w:rsidR="00144C01">
        <w:t xml:space="preserve"> Those persons are specified in section 76 (7)</w:t>
      </w:r>
      <w:r w:rsidR="00EE6621">
        <w:t>(b)</w:t>
      </w:r>
      <w:r w:rsidR="00500575">
        <w:t>:</w:t>
      </w:r>
    </w:p>
    <w:p w:rsidR="00716080" w:rsidRPr="00FF0307" w:rsidRDefault="00716080" w:rsidP="00716080"/>
    <w:p w:rsidR="00716080" w:rsidRPr="00FF0307" w:rsidRDefault="00716080" w:rsidP="00716080">
      <w:pPr>
        <w:numPr>
          <w:ilvl w:val="1"/>
          <w:numId w:val="1"/>
        </w:numPr>
      </w:pPr>
      <w:r w:rsidRPr="00FF0307">
        <w:t>the patient</w:t>
      </w:r>
    </w:p>
    <w:p w:rsidR="00716080" w:rsidRPr="00FF0307" w:rsidRDefault="00716080" w:rsidP="00716080">
      <w:pPr>
        <w:numPr>
          <w:ilvl w:val="1"/>
          <w:numId w:val="1"/>
        </w:numPr>
      </w:pPr>
      <w:r w:rsidRPr="00FF0307">
        <w:t>any welfare guardian of the patient</w:t>
      </w:r>
      <w:r w:rsidR="00C176FB" w:rsidRPr="00FF0307">
        <w:rPr>
          <w:rStyle w:val="EndnoteReference"/>
        </w:rPr>
        <w:endnoteReference w:id="1"/>
      </w:r>
    </w:p>
    <w:p w:rsidR="00716080" w:rsidRPr="00FF0307" w:rsidRDefault="00716080" w:rsidP="00716080">
      <w:pPr>
        <w:numPr>
          <w:ilvl w:val="1"/>
          <w:numId w:val="1"/>
        </w:numPr>
      </w:pPr>
      <w:r w:rsidRPr="00FF0307">
        <w:t>the patient’s principal care giver</w:t>
      </w:r>
      <w:r w:rsidR="00595B6C" w:rsidRPr="00FF0307">
        <w:rPr>
          <w:rStyle w:val="EndnoteReference"/>
        </w:rPr>
        <w:endnoteReference w:id="2"/>
      </w:r>
    </w:p>
    <w:p w:rsidR="00716080" w:rsidRPr="00FF0307" w:rsidRDefault="00716080" w:rsidP="00716080">
      <w:pPr>
        <w:numPr>
          <w:ilvl w:val="1"/>
          <w:numId w:val="1"/>
        </w:numPr>
      </w:pPr>
      <w:r w:rsidRPr="00FF0307">
        <w:t>the medical practitioner who usually attended the patient before the patient was required to undergo assessment and t</w:t>
      </w:r>
      <w:r w:rsidR="00754B3B" w:rsidRPr="00FF0307">
        <w:t>reatment</w:t>
      </w:r>
    </w:p>
    <w:p w:rsidR="00716080" w:rsidRPr="00FF0307" w:rsidRDefault="00716080" w:rsidP="00716080">
      <w:pPr>
        <w:numPr>
          <w:ilvl w:val="1"/>
          <w:numId w:val="1"/>
        </w:numPr>
      </w:pPr>
      <w:r w:rsidRPr="00FF0307">
        <w:t>a district inspector</w:t>
      </w:r>
    </w:p>
    <w:p w:rsidR="00716080" w:rsidRPr="00FF0307" w:rsidRDefault="00716080" w:rsidP="00716080">
      <w:pPr>
        <w:numPr>
          <w:ilvl w:val="1"/>
          <w:numId w:val="1"/>
        </w:numPr>
      </w:pPr>
      <w:proofErr w:type="gramStart"/>
      <w:r w:rsidRPr="00FF0307">
        <w:t>an</w:t>
      </w:r>
      <w:proofErr w:type="gramEnd"/>
      <w:r w:rsidRPr="00FF0307">
        <w:t xml:space="preserve"> official visitor.</w:t>
      </w:r>
    </w:p>
    <w:p w:rsidR="00716080" w:rsidRPr="00FF0307" w:rsidRDefault="00716080" w:rsidP="00716080"/>
    <w:p w:rsidR="00716080" w:rsidRPr="00FF0307" w:rsidRDefault="00716080" w:rsidP="00C176FB">
      <w:pPr>
        <w:jc w:val="both"/>
      </w:pPr>
      <w:r w:rsidRPr="00FF0307">
        <w:t>.</w:t>
      </w:r>
    </w:p>
    <w:p w:rsidR="00500575" w:rsidRDefault="00D67224" w:rsidP="00D67224">
      <w:pPr>
        <w:pStyle w:val="ListParagraph"/>
        <w:numPr>
          <w:ilvl w:val="0"/>
          <w:numId w:val="1"/>
        </w:numPr>
      </w:pPr>
      <w:r w:rsidRPr="00FF0307">
        <w:t>Where an application</w:t>
      </w:r>
      <w:r w:rsidR="00805FD8" w:rsidRPr="00FF0307">
        <w:t xml:space="preserve"> </w:t>
      </w:r>
      <w:r w:rsidRPr="00FF0307">
        <w:t xml:space="preserve">is signed by someone other than the patient, </w:t>
      </w:r>
      <w:r w:rsidR="00EE6621">
        <w:t>the Review Tribunal should</w:t>
      </w:r>
      <w:r w:rsidRPr="00FF0307">
        <w:t xml:space="preserve"> ascertain whether that person is signing </w:t>
      </w:r>
      <w:r w:rsidRPr="00FF0307">
        <w:rPr>
          <w:i/>
        </w:rPr>
        <w:t xml:space="preserve">on behalf </w:t>
      </w:r>
      <w:r w:rsidRPr="00FF0307">
        <w:t>of the patient, or whether they are an applicant in their own right.</w:t>
      </w:r>
      <w:r w:rsidR="00500575">
        <w:t xml:space="preserve"> </w:t>
      </w:r>
    </w:p>
    <w:p w:rsidR="00500575" w:rsidRDefault="00500575" w:rsidP="00500575"/>
    <w:p w:rsidR="00BA6137" w:rsidRPr="00FF0307" w:rsidRDefault="00BA6137" w:rsidP="00BA6137">
      <w:pPr>
        <w:pStyle w:val="ListParagraph"/>
      </w:pPr>
    </w:p>
    <w:p w:rsidR="00BA6137" w:rsidRPr="00FF0307" w:rsidRDefault="00500575" w:rsidP="00716080">
      <w:pPr>
        <w:numPr>
          <w:ilvl w:val="0"/>
          <w:numId w:val="1"/>
        </w:numPr>
      </w:pPr>
      <w:r>
        <w:t>W</w:t>
      </w:r>
      <w:r w:rsidR="00BA6137" w:rsidRPr="00FF0307">
        <w:t xml:space="preserve">here it appears that the </w:t>
      </w:r>
      <w:r w:rsidR="00E00305" w:rsidRPr="00FF0307">
        <w:t>applicant</w:t>
      </w:r>
      <w:r w:rsidR="00BA6137" w:rsidRPr="00FF0307">
        <w:t xml:space="preserve"> </w:t>
      </w:r>
      <w:r w:rsidR="003006EF" w:rsidRPr="00FF0307">
        <w:t>is</w:t>
      </w:r>
      <w:r w:rsidR="00BA6137" w:rsidRPr="00FF0307">
        <w:t xml:space="preserve"> someone other than the patient:</w:t>
      </w:r>
    </w:p>
    <w:p w:rsidR="00716080" w:rsidRPr="00FF0307" w:rsidRDefault="00716080" w:rsidP="00716080"/>
    <w:p w:rsidR="00716080" w:rsidRDefault="00716080" w:rsidP="00716080">
      <w:pPr>
        <w:numPr>
          <w:ilvl w:val="3"/>
          <w:numId w:val="1"/>
        </w:numPr>
        <w:jc w:val="both"/>
      </w:pPr>
      <w:r w:rsidRPr="00FF0307">
        <w:t>The secretariat should alert the member</w:t>
      </w:r>
      <w:r w:rsidR="00500575">
        <w:t xml:space="preserve"> </w:t>
      </w:r>
      <w:r w:rsidR="00EE6621">
        <w:t>dealing with</w:t>
      </w:r>
      <w:r w:rsidRPr="00FF0307">
        <w:t xml:space="preserve"> the pre-hearing telephone conference</w:t>
      </w:r>
      <w:r w:rsidR="00500575">
        <w:t>;</w:t>
      </w:r>
    </w:p>
    <w:p w:rsidR="00EE6621" w:rsidRDefault="00EE6621" w:rsidP="00EE6621">
      <w:pPr>
        <w:ind w:left="2340"/>
        <w:jc w:val="both"/>
      </w:pPr>
    </w:p>
    <w:p w:rsidR="00EE6621" w:rsidRPr="00FF0307" w:rsidRDefault="00EE6621" w:rsidP="00716080">
      <w:pPr>
        <w:numPr>
          <w:ilvl w:val="3"/>
          <w:numId w:val="1"/>
        </w:numPr>
        <w:jc w:val="both"/>
      </w:pPr>
      <w:r>
        <w:t>The secretariat and member should endeavour to ascertain the eligibility of the applicant in terms of section 79 (7</w:t>
      </w:r>
      <w:proofErr w:type="gramStart"/>
      <w:r>
        <w:t>)</w:t>
      </w:r>
      <w:r w:rsidR="00E57E6C">
        <w:t>(</w:t>
      </w:r>
      <w:proofErr w:type="gramEnd"/>
      <w:r w:rsidR="00E57E6C">
        <w:t>b)</w:t>
      </w:r>
      <w:r>
        <w:t xml:space="preserve">. </w:t>
      </w:r>
    </w:p>
    <w:p w:rsidR="00716080" w:rsidRPr="00FF0307" w:rsidRDefault="00716080" w:rsidP="00BA6137">
      <w:pPr>
        <w:ind w:left="2910"/>
        <w:jc w:val="both"/>
      </w:pPr>
    </w:p>
    <w:p w:rsidR="00716080" w:rsidRPr="00FF0307" w:rsidRDefault="00BA6137" w:rsidP="00E57E6C">
      <w:pPr>
        <w:pStyle w:val="ListParagraph"/>
        <w:numPr>
          <w:ilvl w:val="3"/>
          <w:numId w:val="1"/>
        </w:numPr>
        <w:jc w:val="both"/>
      </w:pPr>
      <w:r w:rsidRPr="00FF0307">
        <w:lastRenderedPageBreak/>
        <w:t>T</w:t>
      </w:r>
      <w:r w:rsidR="00E070AB" w:rsidRPr="00FF0307">
        <w:t>he</w:t>
      </w:r>
      <w:r w:rsidRPr="00FF0307">
        <w:t xml:space="preserve"> secretariat</w:t>
      </w:r>
      <w:r w:rsidR="00E070AB" w:rsidRPr="00FF0307">
        <w:t xml:space="preserve"> should</w:t>
      </w:r>
      <w:r w:rsidRPr="00FF0307">
        <w:t xml:space="preserve"> ascertain whether the a</w:t>
      </w:r>
      <w:r w:rsidR="00716080" w:rsidRPr="00FF0307">
        <w:t xml:space="preserve">pplicant and the patient are </w:t>
      </w:r>
      <w:r w:rsidRPr="00FF0307">
        <w:t>each</w:t>
      </w:r>
      <w:r w:rsidR="00716080" w:rsidRPr="00FF0307">
        <w:t xml:space="preserve"> le</w:t>
      </w:r>
      <w:r w:rsidR="00595D09" w:rsidRPr="00FF0307">
        <w:t>gally represented. If</w:t>
      </w:r>
      <w:r w:rsidR="003006EF" w:rsidRPr="00FF0307">
        <w:t xml:space="preserve"> they are</w:t>
      </w:r>
      <w:r w:rsidR="00716080" w:rsidRPr="00FF0307">
        <w:t xml:space="preserve"> then both lawyers should participate in the pre-hearing telephone </w:t>
      </w:r>
      <w:r w:rsidR="00595D09" w:rsidRPr="00FF0307">
        <w:t>conference. If</w:t>
      </w:r>
      <w:r w:rsidRPr="00FF0307">
        <w:t xml:space="preserve"> the a</w:t>
      </w:r>
      <w:r w:rsidR="00716080" w:rsidRPr="00FF0307">
        <w:t>pplicant</w:t>
      </w:r>
      <w:r w:rsidRPr="00FF0307">
        <w:t xml:space="preserve"> is not legally represented then he/she</w:t>
      </w:r>
      <w:r w:rsidR="00716080" w:rsidRPr="00FF0307">
        <w:t xml:space="preserve"> should be </w:t>
      </w:r>
      <w:r w:rsidRPr="00FF0307">
        <w:t>requested to participate in the</w:t>
      </w:r>
      <w:r w:rsidR="00716080" w:rsidRPr="00FF0307">
        <w:t xml:space="preserve"> pre-hearing telephone conference.</w:t>
      </w:r>
    </w:p>
    <w:p w:rsidR="00E070AB" w:rsidRPr="00FF0307" w:rsidRDefault="00E070AB" w:rsidP="00E070AB">
      <w:pPr>
        <w:pStyle w:val="ListParagraph"/>
      </w:pPr>
    </w:p>
    <w:p w:rsidR="00E070AB" w:rsidRPr="00FF0307" w:rsidRDefault="00E070AB" w:rsidP="00E070AB">
      <w:pPr>
        <w:ind w:left="2340"/>
        <w:jc w:val="both"/>
      </w:pPr>
    </w:p>
    <w:p w:rsidR="00716080" w:rsidRPr="00FF0307" w:rsidRDefault="00E070AB" w:rsidP="00716080">
      <w:pPr>
        <w:numPr>
          <w:ilvl w:val="3"/>
          <w:numId w:val="1"/>
        </w:numPr>
        <w:jc w:val="both"/>
      </w:pPr>
      <w:r w:rsidRPr="00FF0307">
        <w:t>The member should</w:t>
      </w:r>
      <w:r w:rsidR="00EE6621">
        <w:t xml:space="preserve"> at the pre-hearing telephone conference</w:t>
      </w:r>
      <w:r w:rsidR="00716080" w:rsidRPr="00FF0307">
        <w:t xml:space="preserve"> ascertain </w:t>
      </w:r>
      <w:r w:rsidRPr="00FF0307">
        <w:t>why the patient is not the a</w:t>
      </w:r>
      <w:r w:rsidR="00716080" w:rsidRPr="00FF0307">
        <w:t>pplicant</w:t>
      </w:r>
      <w:r w:rsidR="00EE6621">
        <w:t>,</w:t>
      </w:r>
      <w:r w:rsidR="00716080" w:rsidRPr="00FF0307">
        <w:t xml:space="preserve"> and what the implications for that might b</w:t>
      </w:r>
      <w:r w:rsidRPr="00FF0307">
        <w:t>e for the hearing process</w:t>
      </w:r>
      <w:r w:rsidR="00B30E73" w:rsidRPr="00FF0307">
        <w:rPr>
          <w:rStyle w:val="EndnoteReference"/>
        </w:rPr>
        <w:endnoteReference w:id="3"/>
      </w:r>
      <w:r w:rsidRPr="00FF0307">
        <w:t>. The a</w:t>
      </w:r>
      <w:r w:rsidR="00716080" w:rsidRPr="00FF0307">
        <w:t>pplicant should be asked w</w:t>
      </w:r>
      <w:r w:rsidRPr="00FF0307">
        <w:t>hat issues they intend to raise.</w:t>
      </w:r>
      <w:r w:rsidR="00716080" w:rsidRPr="00FF0307">
        <w:t xml:space="preserve"> </w:t>
      </w:r>
      <w:r w:rsidRPr="00FF0307">
        <w:t>Should the applicant</w:t>
      </w:r>
      <w:r w:rsidR="00716080" w:rsidRPr="00FF0307">
        <w:t xml:space="preserve"> wish to complain about aspects of care and treatment</w:t>
      </w:r>
      <w:r w:rsidRPr="00FF0307">
        <w:t xml:space="preserve"> they should be</w:t>
      </w:r>
      <w:r w:rsidR="00716080" w:rsidRPr="00FF0307">
        <w:t xml:space="preserve"> refe</w:t>
      </w:r>
      <w:r w:rsidRPr="00FF0307">
        <w:t xml:space="preserve">rred to section 75 of the </w:t>
      </w:r>
      <w:proofErr w:type="gramStart"/>
      <w:r w:rsidRPr="00FF0307">
        <w:t>Act.</w:t>
      </w:r>
      <w:proofErr w:type="gramEnd"/>
      <w:r w:rsidRPr="00FF0307">
        <w:t xml:space="preserve"> The member should have regard</w:t>
      </w:r>
      <w:r w:rsidR="00716080" w:rsidRPr="00FF0307">
        <w:t xml:space="preserve"> to section 79(6</w:t>
      </w:r>
      <w:proofErr w:type="gramStart"/>
      <w:r w:rsidR="00716080" w:rsidRPr="00FF0307">
        <w:t>)(</w:t>
      </w:r>
      <w:proofErr w:type="gramEnd"/>
      <w:r w:rsidR="00716080" w:rsidRPr="00FF0307">
        <w:t xml:space="preserve">b) which empowers the </w:t>
      </w:r>
      <w:r w:rsidR="00754B3B" w:rsidRPr="00FF0307">
        <w:t>Review Tribunal</w:t>
      </w:r>
      <w:r w:rsidR="00716080" w:rsidRPr="00FF0307">
        <w:t xml:space="preserve"> to refuse to consider an application made by a relative or friend of a p</w:t>
      </w:r>
      <w:r w:rsidR="003006EF" w:rsidRPr="00FF0307">
        <w:t>atient</w:t>
      </w:r>
      <w:r w:rsidR="00716080" w:rsidRPr="00FF0307">
        <w:t xml:space="preserve"> otherwise than in the interests of the patient.</w:t>
      </w:r>
    </w:p>
    <w:p w:rsidR="003006EF" w:rsidRPr="00FF0307" w:rsidRDefault="003006EF" w:rsidP="003006EF">
      <w:pPr>
        <w:ind w:left="2340"/>
        <w:jc w:val="both"/>
      </w:pPr>
    </w:p>
    <w:p w:rsidR="00716080" w:rsidRDefault="003006EF" w:rsidP="003006EF">
      <w:pPr>
        <w:numPr>
          <w:ilvl w:val="3"/>
          <w:numId w:val="1"/>
        </w:numPr>
        <w:jc w:val="both"/>
      </w:pPr>
      <w:r w:rsidRPr="00FF0307">
        <w:t>The hearing</w:t>
      </w:r>
      <w:r w:rsidR="00716080" w:rsidRPr="00FF0307">
        <w:t xml:space="preserve"> should not </w:t>
      </w:r>
      <w:r w:rsidRPr="00FF0307">
        <w:t>proceed</w:t>
      </w:r>
      <w:r w:rsidR="00716080" w:rsidRPr="00FF0307">
        <w:t xml:space="preserve"> unless the </w:t>
      </w:r>
      <w:r w:rsidR="00754B3B" w:rsidRPr="00FF0307">
        <w:t>Review Tribunal</w:t>
      </w:r>
      <w:r w:rsidRPr="00FF0307">
        <w:t xml:space="preserve"> is satisfied that</w:t>
      </w:r>
      <w:r w:rsidR="00EE6621">
        <w:t xml:space="preserve"> both</w:t>
      </w:r>
      <w:r w:rsidRPr="00FF0307">
        <w:t xml:space="preserve"> the a</w:t>
      </w:r>
      <w:r w:rsidR="00716080" w:rsidRPr="00FF0307">
        <w:t>pplicant</w:t>
      </w:r>
      <w:r w:rsidR="00EE6621">
        <w:t xml:space="preserve"> and the patient</w:t>
      </w:r>
      <w:r w:rsidR="00716080" w:rsidRPr="00FF0307">
        <w:t xml:space="preserve"> will be present at the hearing</w:t>
      </w:r>
      <w:r w:rsidRPr="00FF0307">
        <w:t>.</w:t>
      </w:r>
    </w:p>
    <w:p w:rsidR="00273E1F" w:rsidRDefault="00273E1F" w:rsidP="00273E1F">
      <w:pPr>
        <w:pStyle w:val="ListParagraph"/>
      </w:pPr>
    </w:p>
    <w:p w:rsidR="00273E1F" w:rsidRPr="00273E1F" w:rsidRDefault="00273E1F" w:rsidP="00273E1F">
      <w:pPr>
        <w:pStyle w:val="ListParagraph"/>
        <w:numPr>
          <w:ilvl w:val="0"/>
          <w:numId w:val="1"/>
        </w:numPr>
        <w:jc w:val="both"/>
        <w:rPr>
          <w:b/>
        </w:rPr>
      </w:pPr>
      <w:r w:rsidRPr="00273E1F">
        <w:rPr>
          <w:b/>
        </w:rPr>
        <w:t>Where the Review Tribunal is aware that the Director of Mental Health is contemplating or intending to apply for a patient to be made a restricted patient, the Director should be given the opportunity to be heard</w:t>
      </w:r>
      <w:r>
        <w:rPr>
          <w:rStyle w:val="EndnoteReference"/>
          <w:b/>
        </w:rPr>
        <w:endnoteReference w:id="4"/>
      </w:r>
      <w:r w:rsidRPr="00273E1F">
        <w:rPr>
          <w:b/>
        </w:rPr>
        <w:t>.</w:t>
      </w:r>
    </w:p>
    <w:p w:rsidR="00273E1F" w:rsidRPr="00273E1F" w:rsidRDefault="00273E1F" w:rsidP="00273E1F">
      <w:pPr>
        <w:pStyle w:val="ListParagraph"/>
        <w:rPr>
          <w:b/>
        </w:rPr>
      </w:pPr>
    </w:p>
    <w:p w:rsidR="00716080" w:rsidRPr="00FF0307" w:rsidRDefault="00716080" w:rsidP="00716080">
      <w:pPr>
        <w:jc w:val="both"/>
      </w:pPr>
    </w:p>
    <w:p w:rsidR="00716080" w:rsidRPr="00FF0307" w:rsidRDefault="00716080" w:rsidP="00716080">
      <w:pPr>
        <w:jc w:val="both"/>
      </w:pPr>
    </w:p>
    <w:p w:rsidR="00716080" w:rsidRPr="00FF0307" w:rsidRDefault="00716080" w:rsidP="00716080">
      <w:pPr>
        <w:pStyle w:val="Heading2"/>
      </w:pPr>
      <w:r w:rsidRPr="00FF0307">
        <w:t xml:space="preserve">Section 80 </w:t>
      </w:r>
    </w:p>
    <w:p w:rsidR="00716080" w:rsidRPr="00FF0307" w:rsidRDefault="00716080" w:rsidP="00716080">
      <w:pPr>
        <w:jc w:val="both"/>
      </w:pPr>
    </w:p>
    <w:p w:rsidR="00A81474" w:rsidRPr="00FF0307" w:rsidRDefault="00A81474" w:rsidP="00716080">
      <w:pPr>
        <w:numPr>
          <w:ilvl w:val="0"/>
          <w:numId w:val="1"/>
        </w:numPr>
        <w:jc w:val="both"/>
      </w:pPr>
      <w:r w:rsidRPr="00FF0307">
        <w:t>Section 80</w:t>
      </w:r>
      <w:r w:rsidR="00E57E6C">
        <w:t xml:space="preserve"> (1)</w:t>
      </w:r>
      <w:r w:rsidRPr="00FF0307">
        <w:t xml:space="preserve"> which relates to special patient reviews refers to section</w:t>
      </w:r>
      <w:r w:rsidR="00E57E6C">
        <w:t xml:space="preserve"> 77 which in turn at subsections (3</w:t>
      </w:r>
      <w:proofErr w:type="gramStart"/>
      <w:r w:rsidR="00E57E6C">
        <w:t>)(</w:t>
      </w:r>
      <w:proofErr w:type="gramEnd"/>
      <w:r w:rsidR="00E57E6C">
        <w:t>b)(iii) and (4)(b)(iii) refers to</w:t>
      </w:r>
      <w:r w:rsidRPr="00FF0307">
        <w:t xml:space="preserve"> 76(7)(b)</w:t>
      </w:r>
      <w:r w:rsidR="00716080" w:rsidRPr="00FF0307">
        <w:t xml:space="preserve"> with the result that the sam</w:t>
      </w:r>
      <w:r w:rsidR="00B2172D" w:rsidRPr="00FF0307">
        <w:t>e categories of persons can be a</w:t>
      </w:r>
      <w:r w:rsidR="00716080" w:rsidRPr="00FF0307">
        <w:t xml:space="preserve">pplicants as with s.79 reviews.  Therefore, the same considerations as above apply.  It is noted that additionally the Minister of Health, Attorney General and Director of Mental Health </w:t>
      </w:r>
      <w:r w:rsidRPr="00FF0307">
        <w:t>can</w:t>
      </w:r>
      <w:r w:rsidR="00B2172D" w:rsidRPr="00FF0307">
        <w:t xml:space="preserve"> be applicants</w:t>
      </w:r>
      <w:r w:rsidR="00B2172D" w:rsidRPr="00FF0307">
        <w:rPr>
          <w:rStyle w:val="EndnoteReference"/>
        </w:rPr>
        <w:endnoteReference w:id="5"/>
      </w:r>
      <w:r w:rsidR="006A59A0" w:rsidRPr="00FF0307">
        <w:t>; in such cases the hearing may proceed without the applicant being represented should they choose not to be represented.</w:t>
      </w:r>
      <w:r w:rsidR="00B2172D" w:rsidRPr="00FF0307">
        <w:t xml:space="preserve"> </w:t>
      </w:r>
    </w:p>
    <w:p w:rsidR="00A81474" w:rsidRPr="00FF0307" w:rsidRDefault="00A81474" w:rsidP="00A81474">
      <w:pPr>
        <w:jc w:val="both"/>
      </w:pPr>
    </w:p>
    <w:p w:rsidR="00A81474" w:rsidRPr="00FF0307" w:rsidRDefault="00A81474" w:rsidP="00A81474">
      <w:pPr>
        <w:jc w:val="both"/>
        <w:rPr>
          <w:b/>
        </w:rPr>
      </w:pPr>
      <w:r w:rsidRPr="00FF0307">
        <w:rPr>
          <w:b/>
        </w:rPr>
        <w:t>Section 81</w:t>
      </w:r>
    </w:p>
    <w:p w:rsidR="00A81474" w:rsidRPr="00FF0307" w:rsidRDefault="00A81474" w:rsidP="00A81474">
      <w:pPr>
        <w:jc w:val="both"/>
        <w:rPr>
          <w:b/>
        </w:rPr>
      </w:pPr>
    </w:p>
    <w:p w:rsidR="006A59A0" w:rsidRPr="00FF0307" w:rsidRDefault="00A81474" w:rsidP="006A59A0">
      <w:pPr>
        <w:pStyle w:val="ListParagraph"/>
        <w:numPr>
          <w:ilvl w:val="0"/>
          <w:numId w:val="1"/>
        </w:numPr>
        <w:jc w:val="both"/>
      </w:pPr>
      <w:r w:rsidRPr="00FF0307">
        <w:t>Section 81</w:t>
      </w:r>
      <w:r w:rsidR="00FA579C">
        <w:t>(1)</w:t>
      </w:r>
      <w:r w:rsidR="00B2172D" w:rsidRPr="00FF0307">
        <w:t xml:space="preserve"> </w:t>
      </w:r>
      <w:r w:rsidRPr="00FF0307">
        <w:t>refers to</w:t>
      </w:r>
      <w:r w:rsidR="00FA579C">
        <w:t xml:space="preserve"> section 78, subsection (4</w:t>
      </w:r>
      <w:proofErr w:type="gramStart"/>
      <w:r w:rsidR="00FA579C">
        <w:t>)(</w:t>
      </w:r>
      <w:proofErr w:type="gramEnd"/>
      <w:r w:rsidR="00FA579C">
        <w:t>c) of which refers to</w:t>
      </w:r>
      <w:r w:rsidRPr="00FF0307">
        <w:t xml:space="preserve"> section 76(7)(b) with the result that the same categories of persons can be applicants as </w:t>
      </w:r>
      <w:r w:rsidRPr="00FF0307">
        <w:lastRenderedPageBreak/>
        <w:t>with section 79 reviews. Therefore the same considerations as above apply. It is noted that additionally the Director of Mental Health</w:t>
      </w:r>
      <w:r w:rsidR="00394C65" w:rsidRPr="00FF0307">
        <w:t xml:space="preserve"> and the Minister of Health</w:t>
      </w:r>
      <w:r w:rsidRPr="00FF0307">
        <w:t xml:space="preserve"> can be an applicant</w:t>
      </w:r>
      <w:r w:rsidRPr="00FF0307">
        <w:rPr>
          <w:rStyle w:val="EndnoteReference"/>
        </w:rPr>
        <w:endnoteReference w:id="6"/>
      </w:r>
      <w:r w:rsidR="006A59A0" w:rsidRPr="00FF0307">
        <w:t xml:space="preserve">; in such cases the hearing may proceed without the applicant being represented should they choose not to be represented. </w:t>
      </w:r>
      <w:r w:rsidR="00996114">
        <w:t xml:space="preserve">The Director should however be given the opportunity to be heard in relation to </w:t>
      </w:r>
      <w:r w:rsidR="00996114">
        <w:rPr>
          <w:u w:val="single"/>
        </w:rPr>
        <w:t xml:space="preserve">all </w:t>
      </w:r>
      <w:r w:rsidR="00996114">
        <w:t>section 81 hearings</w:t>
      </w:r>
      <w:r w:rsidR="00996114">
        <w:rPr>
          <w:rStyle w:val="EndnoteReference"/>
        </w:rPr>
        <w:endnoteReference w:id="7"/>
      </w:r>
    </w:p>
    <w:p w:rsidR="006A59A0" w:rsidRPr="00FF0307" w:rsidRDefault="006A59A0" w:rsidP="006A59A0">
      <w:pPr>
        <w:jc w:val="both"/>
      </w:pPr>
    </w:p>
    <w:p w:rsidR="00716080" w:rsidRPr="00FF0307" w:rsidRDefault="00716080" w:rsidP="006A59A0">
      <w:pPr>
        <w:pStyle w:val="ListParagraph"/>
        <w:jc w:val="both"/>
      </w:pPr>
    </w:p>
    <w:p w:rsidR="00F61AE2" w:rsidRPr="00FF0307" w:rsidRDefault="00F61AE2" w:rsidP="00F61AE2">
      <w:pPr>
        <w:jc w:val="both"/>
      </w:pPr>
    </w:p>
    <w:p w:rsidR="00F61AE2" w:rsidRPr="00FF0307" w:rsidRDefault="00F61AE2" w:rsidP="00F61AE2">
      <w:pPr>
        <w:jc w:val="both"/>
      </w:pPr>
    </w:p>
    <w:p w:rsidR="00F61AE2" w:rsidRPr="00FF0307" w:rsidRDefault="00F61AE2" w:rsidP="00F61AE2">
      <w:pPr>
        <w:spacing w:line="360" w:lineRule="auto"/>
        <w:ind w:left="720"/>
        <w:jc w:val="center"/>
        <w:rPr>
          <w:i/>
        </w:rPr>
      </w:pPr>
      <w:r w:rsidRPr="00FF0307">
        <w:t xml:space="preserve">       </w:t>
      </w:r>
      <w:r w:rsidRPr="00FF0307">
        <w:rPr>
          <w:i/>
        </w:rPr>
        <w:t xml:space="preserve">Last updated </w:t>
      </w:r>
      <w:r w:rsidR="00AE2A6D">
        <w:rPr>
          <w:i/>
        </w:rPr>
        <w:t>August 2015</w:t>
      </w:r>
    </w:p>
    <w:p w:rsidR="00F61AE2" w:rsidRPr="00FF0307" w:rsidRDefault="00F61AE2" w:rsidP="00F61AE2">
      <w:pPr>
        <w:spacing w:line="360" w:lineRule="auto"/>
        <w:ind w:left="720"/>
        <w:jc w:val="both"/>
      </w:pPr>
    </w:p>
    <w:p w:rsidR="00F61AE2" w:rsidRPr="00FF0307" w:rsidRDefault="00F61AE2" w:rsidP="00F61AE2">
      <w:pPr>
        <w:spacing w:line="360" w:lineRule="auto"/>
        <w:ind w:left="720"/>
        <w:jc w:val="center"/>
      </w:pPr>
      <w:r w:rsidRPr="00FF0307">
        <w:t>NJ Dunlop</w:t>
      </w:r>
    </w:p>
    <w:p w:rsidR="00F61AE2" w:rsidRPr="00FF0307" w:rsidRDefault="00F61AE2" w:rsidP="00F61AE2">
      <w:pPr>
        <w:spacing w:line="360" w:lineRule="auto"/>
        <w:ind w:left="720"/>
        <w:jc w:val="center"/>
      </w:pPr>
      <w:r w:rsidRPr="00FF0307">
        <w:t>Convener</w:t>
      </w:r>
    </w:p>
    <w:p w:rsidR="00F61AE2" w:rsidRPr="00FF0307" w:rsidRDefault="00F61AE2" w:rsidP="00F61AE2">
      <w:pPr>
        <w:jc w:val="both"/>
      </w:pPr>
    </w:p>
    <w:p w:rsidR="00264999" w:rsidRPr="00FF0307" w:rsidRDefault="00264999" w:rsidP="00F61AE2">
      <w:pPr>
        <w:jc w:val="both"/>
        <w:rPr>
          <w:b/>
          <w:bCs/>
        </w:rPr>
      </w:pPr>
    </w:p>
    <w:sectPr w:rsidR="00264999" w:rsidRPr="00FF0307" w:rsidSect="002649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C78" w:rsidRDefault="00DD4C78" w:rsidP="00754B3B">
      <w:r>
        <w:separator/>
      </w:r>
    </w:p>
  </w:endnote>
  <w:endnote w:type="continuationSeparator" w:id="0">
    <w:p w:rsidR="00DD4C78" w:rsidRDefault="00DD4C78" w:rsidP="00754B3B">
      <w:r>
        <w:continuationSeparator/>
      </w:r>
    </w:p>
  </w:endnote>
  <w:endnote w:id="1">
    <w:p w:rsidR="00C176FB" w:rsidRPr="00C176FB" w:rsidRDefault="00C176FB" w:rsidP="00C176FB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val="en-US"/>
        </w:rPr>
      </w:pPr>
      <w:r>
        <w:rPr>
          <w:rStyle w:val="EndnoteReference"/>
        </w:rPr>
        <w:endnoteRef/>
      </w:r>
      <w:r>
        <w:t xml:space="preserve">  </w:t>
      </w:r>
      <w:r w:rsidRPr="00C176FB">
        <w:rPr>
          <w:rFonts w:ascii="Times New Roman" w:hAnsi="Times New Roman"/>
          <w:sz w:val="20"/>
          <w:szCs w:val="20"/>
        </w:rPr>
        <w:t xml:space="preserve">Section 2 includes the following definition: </w:t>
      </w:r>
      <w:r>
        <w:rPr>
          <w:rFonts w:ascii="Times New Roman" w:hAnsi="Times New Roman"/>
          <w:sz w:val="20"/>
          <w:szCs w:val="20"/>
        </w:rPr>
        <w:t>“</w:t>
      </w:r>
      <w:r w:rsidRPr="00C176FB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 xml:space="preserve">welfare guardian </w:t>
      </w:r>
      <w:r w:rsidRPr="00C176FB">
        <w:rPr>
          <w:rFonts w:ascii="Times New Roman" w:eastAsiaTheme="minorHAnsi" w:hAnsi="Times New Roman"/>
          <w:sz w:val="20"/>
          <w:szCs w:val="20"/>
          <w:lang w:val="en-US"/>
        </w:rPr>
        <w:t>has the same meaning as it has in section 2</w:t>
      </w:r>
    </w:p>
    <w:p w:rsidR="00C176FB" w:rsidRDefault="00C176FB" w:rsidP="00C176FB">
      <w:pPr>
        <w:pStyle w:val="EndnoteText"/>
        <w:rPr>
          <w:rFonts w:ascii="Times New Roman" w:eastAsiaTheme="minorHAnsi" w:hAnsi="Times New Roman"/>
          <w:lang w:val="en-US"/>
        </w:rPr>
      </w:pPr>
      <w:proofErr w:type="gramStart"/>
      <w:r w:rsidRPr="00C176FB">
        <w:rPr>
          <w:rFonts w:ascii="Times New Roman" w:eastAsiaTheme="minorHAnsi" w:hAnsi="Times New Roman"/>
          <w:lang w:val="en-US"/>
        </w:rPr>
        <w:t>of</w:t>
      </w:r>
      <w:proofErr w:type="gramEnd"/>
      <w:r w:rsidRPr="00C176FB">
        <w:rPr>
          <w:rFonts w:ascii="Times New Roman" w:eastAsiaTheme="minorHAnsi" w:hAnsi="Times New Roman"/>
          <w:lang w:val="en-US"/>
        </w:rPr>
        <w:t xml:space="preserve"> the Protection of Personal and Property Rights Act 1988</w:t>
      </w:r>
      <w:r>
        <w:rPr>
          <w:rFonts w:ascii="Times New Roman" w:eastAsiaTheme="minorHAnsi" w:hAnsi="Times New Roman"/>
          <w:lang w:val="en-US"/>
        </w:rPr>
        <w:t>”</w:t>
      </w:r>
      <w:r w:rsidRPr="00C176FB">
        <w:rPr>
          <w:rFonts w:ascii="Times New Roman" w:eastAsiaTheme="minorHAnsi" w:hAnsi="Times New Roman"/>
          <w:lang w:val="en-US"/>
        </w:rPr>
        <w:t>.</w:t>
      </w:r>
    </w:p>
    <w:p w:rsidR="003A7860" w:rsidRPr="00C176FB" w:rsidRDefault="003A7860" w:rsidP="00C176FB">
      <w:pPr>
        <w:pStyle w:val="EndnoteText"/>
        <w:rPr>
          <w:rFonts w:ascii="Times New Roman" w:hAnsi="Times New Roman"/>
          <w:lang w:val="en-US"/>
        </w:rPr>
      </w:pPr>
    </w:p>
  </w:endnote>
  <w:endnote w:id="2">
    <w:p w:rsidR="00595B6C" w:rsidRPr="00052135" w:rsidRDefault="00595B6C" w:rsidP="00595B6C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Pr="00595B6C">
        <w:rPr>
          <w:sz w:val="20"/>
          <w:szCs w:val="20"/>
          <w:lang w:val="en-US"/>
        </w:rPr>
        <w:t xml:space="preserve">Section 2 includes the following definition: </w:t>
      </w:r>
      <w:r w:rsidRPr="00052135">
        <w:rPr>
          <w:rFonts w:ascii="Times New Roman" w:hAnsi="Times New Roman"/>
          <w:sz w:val="20"/>
          <w:szCs w:val="20"/>
          <w:lang w:val="en-US"/>
        </w:rPr>
        <w:t>“</w:t>
      </w:r>
      <w:r w:rsidRPr="00052135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principal caregiver</w:t>
      </w:r>
      <w:r w:rsidRPr="00052135">
        <w:rPr>
          <w:rFonts w:ascii="Times New Roman" w:eastAsiaTheme="minorHAnsi" w:hAnsi="Times New Roman"/>
          <w:sz w:val="20"/>
          <w:szCs w:val="20"/>
          <w:lang w:val="en-US"/>
        </w:rPr>
        <w:t>, in relation to any patient, means the</w:t>
      </w:r>
    </w:p>
    <w:p w:rsidR="00595B6C" w:rsidRDefault="00595B6C" w:rsidP="00595B6C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val="en-US"/>
        </w:rPr>
      </w:pPr>
      <w:proofErr w:type="gramStart"/>
      <w:r w:rsidRPr="00052135">
        <w:rPr>
          <w:rFonts w:ascii="Times New Roman" w:eastAsiaTheme="minorHAnsi" w:hAnsi="Times New Roman"/>
          <w:sz w:val="20"/>
          <w:szCs w:val="20"/>
          <w:lang w:val="en-US"/>
        </w:rPr>
        <w:t>friend</w:t>
      </w:r>
      <w:proofErr w:type="gramEnd"/>
      <w:r w:rsidRPr="00052135">
        <w:rPr>
          <w:rFonts w:ascii="Times New Roman" w:eastAsiaTheme="minorHAnsi" w:hAnsi="Times New Roman"/>
          <w:sz w:val="20"/>
          <w:szCs w:val="20"/>
          <w:lang w:val="en-US"/>
        </w:rPr>
        <w:t xml:space="preserve"> of the patient or the member of the patient’s family group or whanau who is most evidently and directly concerned with the oversight of the patient’s care and welfare.”</w:t>
      </w:r>
    </w:p>
    <w:p w:rsidR="003A7860" w:rsidRPr="00052135" w:rsidRDefault="003A7860" w:rsidP="00595B6C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val="en-US"/>
        </w:rPr>
      </w:pPr>
    </w:p>
  </w:endnote>
  <w:endnote w:id="3">
    <w:p w:rsidR="00B30E73" w:rsidRDefault="00B30E73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en-US"/>
        </w:rPr>
        <w:t xml:space="preserve">Some of the relevant issues were discussed in case 13/012 which is available online at </w:t>
      </w:r>
      <w:hyperlink r:id="rId1" w:history="1">
        <w:r w:rsidR="003A7860" w:rsidRPr="00767D7E">
          <w:rPr>
            <w:rStyle w:val="Hyperlink"/>
            <w:lang w:val="en-US"/>
          </w:rPr>
          <w:t>http://www.nzlii.org/nz/cases/NZMHRT/2013/12.html</w:t>
        </w:r>
      </w:hyperlink>
    </w:p>
    <w:p w:rsidR="003A7860" w:rsidRPr="00B30E73" w:rsidRDefault="003A7860">
      <w:pPr>
        <w:pStyle w:val="EndnoteText"/>
        <w:rPr>
          <w:lang w:val="en-US"/>
        </w:rPr>
      </w:pPr>
    </w:p>
  </w:endnote>
  <w:endnote w:id="4">
    <w:p w:rsidR="00273E1F" w:rsidRDefault="00273E1F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4F5382">
        <w:rPr>
          <w:u w:val="single"/>
          <w:lang w:val="en-US"/>
        </w:rPr>
        <w:t>Waitemata Health</w:t>
      </w:r>
      <w:r w:rsidR="00996114">
        <w:rPr>
          <w:u w:val="single"/>
          <w:lang w:val="en-US"/>
        </w:rPr>
        <w:t xml:space="preserve"> </w:t>
      </w:r>
      <w:hyperlink r:id="rId2" w:history="1">
        <w:r w:rsidR="00996114">
          <w:rPr>
            <w:rStyle w:val="Hyperlink"/>
          </w:rPr>
          <w:t>[2001] NZCA 312; [2001] NZFLR 1122; (2001) 21 FRNZ 216 (3 October 2001)</w:t>
        </w:r>
      </w:hyperlink>
    </w:p>
    <w:p w:rsidR="00996114" w:rsidRPr="004F5382" w:rsidRDefault="00996114">
      <w:pPr>
        <w:pStyle w:val="EndnoteText"/>
        <w:rPr>
          <w:u w:val="single"/>
          <w:lang w:val="en-US"/>
        </w:rPr>
      </w:pPr>
    </w:p>
  </w:endnote>
  <w:endnote w:id="5">
    <w:p w:rsidR="00B2172D" w:rsidRDefault="00B2172D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en-US"/>
        </w:rPr>
        <w:t>Section 80(</w:t>
      </w:r>
      <w:r w:rsidR="00E57E6C">
        <w:rPr>
          <w:lang w:val="en-US"/>
        </w:rPr>
        <w:t>2</w:t>
      </w:r>
      <w:r w:rsidR="00C800AF">
        <w:rPr>
          <w:lang w:val="en-US"/>
        </w:rPr>
        <w:t>) and section 77(3</w:t>
      </w:r>
      <w:proofErr w:type="gramStart"/>
      <w:r w:rsidR="00C800AF">
        <w:rPr>
          <w:lang w:val="en-US"/>
        </w:rPr>
        <w:t>)(</w:t>
      </w:r>
      <w:proofErr w:type="gramEnd"/>
      <w:r w:rsidR="00C800AF">
        <w:rPr>
          <w:lang w:val="en-US"/>
        </w:rPr>
        <w:t>d) and section 77 (4)(d).</w:t>
      </w:r>
    </w:p>
    <w:p w:rsidR="003A7860" w:rsidRPr="00B2172D" w:rsidRDefault="003A7860">
      <w:pPr>
        <w:pStyle w:val="EndnoteText"/>
        <w:rPr>
          <w:lang w:val="en-US"/>
        </w:rPr>
      </w:pPr>
    </w:p>
  </w:endnote>
  <w:endnote w:id="6">
    <w:p w:rsidR="00A81474" w:rsidRDefault="00A81474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="00394C65">
        <w:rPr>
          <w:lang w:val="en-US"/>
        </w:rPr>
        <w:t xml:space="preserve"> Section 81(2)</w:t>
      </w:r>
      <w:r w:rsidR="00FA579C">
        <w:rPr>
          <w:lang w:val="en-US"/>
        </w:rPr>
        <w:t xml:space="preserve"> and section 78(5</w:t>
      </w:r>
      <w:proofErr w:type="gramStart"/>
      <w:r w:rsidR="00FA579C">
        <w:rPr>
          <w:lang w:val="en-US"/>
        </w:rPr>
        <w:t>)(</w:t>
      </w:r>
      <w:proofErr w:type="gramEnd"/>
      <w:r w:rsidR="00FA579C">
        <w:rPr>
          <w:lang w:val="en-US"/>
        </w:rPr>
        <w:t>b) and section 78(6)(b)(ii).</w:t>
      </w:r>
    </w:p>
    <w:p w:rsidR="00996114" w:rsidRPr="00A81474" w:rsidRDefault="00996114">
      <w:pPr>
        <w:pStyle w:val="EndnoteText"/>
        <w:rPr>
          <w:lang w:val="en-US"/>
        </w:rPr>
      </w:pPr>
    </w:p>
  </w:endnote>
  <w:endnote w:id="7">
    <w:p w:rsidR="00996114" w:rsidRPr="00996114" w:rsidRDefault="00996114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en-US"/>
        </w:rPr>
        <w:t xml:space="preserve">See </w:t>
      </w:r>
      <w:proofErr w:type="gramStart"/>
      <w:r>
        <w:rPr>
          <w:lang w:val="en-US"/>
        </w:rPr>
        <w:t>iv</w:t>
      </w:r>
      <w:proofErr w:type="gramEnd"/>
      <w:r>
        <w:rPr>
          <w:lang w:val="en-US"/>
        </w:rPr>
        <w:t xml:space="preserve"> above.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AD7" w:rsidRDefault="00591A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AD7" w:rsidRDefault="00591A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AD7" w:rsidRDefault="00591A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C78" w:rsidRDefault="00DD4C78" w:rsidP="00754B3B">
      <w:r>
        <w:separator/>
      </w:r>
    </w:p>
  </w:footnote>
  <w:footnote w:type="continuationSeparator" w:id="0">
    <w:p w:rsidR="00DD4C78" w:rsidRDefault="00DD4C78" w:rsidP="00754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AD7" w:rsidRDefault="00591A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AD7" w:rsidRDefault="00591A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AD7" w:rsidRDefault="00591A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2462"/>
    <w:multiLevelType w:val="hybridMultilevel"/>
    <w:tmpl w:val="8F9849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42F35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223A8D82">
      <w:start w:val="1"/>
      <w:numFmt w:val="lowerLetter"/>
      <w:lvlText w:val="(%4)"/>
      <w:lvlJc w:val="left"/>
      <w:pPr>
        <w:tabs>
          <w:tab w:val="num" w:pos="2910"/>
        </w:tabs>
        <w:ind w:left="2910" w:hanging="390"/>
      </w:p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E013D6"/>
    <w:multiLevelType w:val="hybridMultilevel"/>
    <w:tmpl w:val="8F9849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42F35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223A8D82">
      <w:start w:val="1"/>
      <w:numFmt w:val="lowerLetter"/>
      <w:lvlText w:val="(%4)"/>
      <w:lvlJc w:val="left"/>
      <w:pPr>
        <w:tabs>
          <w:tab w:val="num" w:pos="2910"/>
        </w:tabs>
        <w:ind w:left="2910" w:hanging="390"/>
      </w:p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DB28A2"/>
    <w:multiLevelType w:val="hybridMultilevel"/>
    <w:tmpl w:val="105E5AD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080"/>
    <w:rsid w:val="00031E8C"/>
    <w:rsid w:val="00052135"/>
    <w:rsid w:val="000963B2"/>
    <w:rsid w:val="00144C01"/>
    <w:rsid w:val="0015307C"/>
    <w:rsid w:val="001702D6"/>
    <w:rsid w:val="00215DAC"/>
    <w:rsid w:val="00221E4D"/>
    <w:rsid w:val="00226C3D"/>
    <w:rsid w:val="00264999"/>
    <w:rsid w:val="00273E1F"/>
    <w:rsid w:val="003006EF"/>
    <w:rsid w:val="00315D39"/>
    <w:rsid w:val="003168A4"/>
    <w:rsid w:val="00341361"/>
    <w:rsid w:val="00353DBF"/>
    <w:rsid w:val="00394C65"/>
    <w:rsid w:val="003A7860"/>
    <w:rsid w:val="004F5382"/>
    <w:rsid w:val="00500575"/>
    <w:rsid w:val="0054271F"/>
    <w:rsid w:val="00555505"/>
    <w:rsid w:val="00591AD7"/>
    <w:rsid w:val="00595B6C"/>
    <w:rsid w:val="00595D09"/>
    <w:rsid w:val="005C78D4"/>
    <w:rsid w:val="005D0581"/>
    <w:rsid w:val="005E4034"/>
    <w:rsid w:val="00611D95"/>
    <w:rsid w:val="00626FF3"/>
    <w:rsid w:val="006A59A0"/>
    <w:rsid w:val="00716080"/>
    <w:rsid w:val="007425B3"/>
    <w:rsid w:val="00754B3B"/>
    <w:rsid w:val="00805F86"/>
    <w:rsid w:val="00805FD8"/>
    <w:rsid w:val="00874B34"/>
    <w:rsid w:val="008C3C02"/>
    <w:rsid w:val="00996114"/>
    <w:rsid w:val="009C66DD"/>
    <w:rsid w:val="00A81474"/>
    <w:rsid w:val="00AE2A6D"/>
    <w:rsid w:val="00AE6C71"/>
    <w:rsid w:val="00B2172D"/>
    <w:rsid w:val="00B30E73"/>
    <w:rsid w:val="00BA6137"/>
    <w:rsid w:val="00C176FB"/>
    <w:rsid w:val="00C800AF"/>
    <w:rsid w:val="00CB649E"/>
    <w:rsid w:val="00D1174C"/>
    <w:rsid w:val="00D13F5B"/>
    <w:rsid w:val="00D212D8"/>
    <w:rsid w:val="00D67224"/>
    <w:rsid w:val="00DD4C78"/>
    <w:rsid w:val="00E00305"/>
    <w:rsid w:val="00E055C0"/>
    <w:rsid w:val="00E070AB"/>
    <w:rsid w:val="00E5771B"/>
    <w:rsid w:val="00E57E6C"/>
    <w:rsid w:val="00EE6621"/>
    <w:rsid w:val="00F27492"/>
    <w:rsid w:val="00F61AE2"/>
    <w:rsid w:val="00F7363D"/>
    <w:rsid w:val="00FA579C"/>
    <w:rsid w:val="00FF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080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71608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16080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6080"/>
    <w:rPr>
      <w:rFonts w:ascii="Book Antiqua" w:eastAsia="Times New Roman" w:hAnsi="Book Antiqua" w:cs="Times New Roman"/>
      <w:b/>
      <w:bCs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semiHidden/>
    <w:rsid w:val="00716080"/>
    <w:rPr>
      <w:rFonts w:ascii="Book Antiqua" w:eastAsia="Times New Roman" w:hAnsi="Book Antiqua" w:cs="Times New Roman"/>
      <w:b/>
      <w:bCs/>
      <w:sz w:val="24"/>
      <w:szCs w:val="24"/>
      <w:lang w:val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4B3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4B3B"/>
    <w:rPr>
      <w:rFonts w:ascii="Book Antiqua" w:eastAsia="Times New Roman" w:hAnsi="Book Antiqua" w:cs="Times New Roman"/>
      <w:sz w:val="20"/>
      <w:szCs w:val="20"/>
      <w:lang w:val="en-AU"/>
    </w:rPr>
  </w:style>
  <w:style w:type="character" w:styleId="EndnoteReference">
    <w:name w:val="endnote reference"/>
    <w:basedOn w:val="DefaultParagraphFont"/>
    <w:uiPriority w:val="99"/>
    <w:semiHidden/>
    <w:unhideWhenUsed/>
    <w:rsid w:val="00754B3B"/>
    <w:rPr>
      <w:vertAlign w:val="superscript"/>
    </w:rPr>
  </w:style>
  <w:style w:type="paragraph" w:styleId="ListParagraph">
    <w:name w:val="List Paragraph"/>
    <w:basedOn w:val="Normal"/>
    <w:uiPriority w:val="34"/>
    <w:qFormat/>
    <w:rsid w:val="00C176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86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91A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1AD7"/>
    <w:rPr>
      <w:rFonts w:ascii="Book Antiqua" w:eastAsia="Times New Roman" w:hAnsi="Book Antiqua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591A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1AD7"/>
    <w:rPr>
      <w:rFonts w:ascii="Book Antiqua" w:eastAsia="Times New Roman" w:hAnsi="Book Antiqua" w:cs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zlii.org/nz/cases/NZCA/2001/312.html" TargetMode="External"/><Relationship Id="rId1" Type="http://schemas.openxmlformats.org/officeDocument/2006/relationships/hyperlink" Target="http://www.nzlii.org/nz/cases/NZMHRT/2013/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717AE-9D52-4961-84A6-1618C1E2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and Policy Guideline #5 APPLICATIONS BY THOSE NOT SUBJECT TO COMPULSORY TREATMENT</dc:title>
  <dc:creator>MHRT</dc:creator>
  <cp:lastModifiedBy>Ministry of Health</cp:lastModifiedBy>
  <cp:revision>12</cp:revision>
  <dcterms:created xsi:type="dcterms:W3CDTF">2015-07-01T03:54:00Z</dcterms:created>
  <dcterms:modified xsi:type="dcterms:W3CDTF">2015-07-29T03:01:00Z</dcterms:modified>
</cp:coreProperties>
</file>