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85" w:rsidRDefault="00FF6285" w:rsidP="00FF6285">
      <w:pPr>
        <w:jc w:val="center"/>
        <w:rPr>
          <w:b/>
          <w:sz w:val="32"/>
          <w:szCs w:val="32"/>
        </w:rPr>
      </w:pPr>
      <w:r>
        <w:rPr>
          <w:b/>
          <w:sz w:val="32"/>
          <w:szCs w:val="32"/>
        </w:rPr>
        <w:t xml:space="preserve">MENTAL HEALTH REVIEW TRIBUNAL </w:t>
      </w:r>
    </w:p>
    <w:p w:rsidR="00FF6285" w:rsidRDefault="00FF6285" w:rsidP="00FF6285">
      <w:pPr>
        <w:jc w:val="center"/>
        <w:rPr>
          <w:b/>
          <w:sz w:val="32"/>
          <w:szCs w:val="32"/>
        </w:rPr>
      </w:pPr>
      <w:r>
        <w:rPr>
          <w:b/>
          <w:sz w:val="32"/>
          <w:szCs w:val="32"/>
        </w:rPr>
        <w:t>Practice and Policy Guideline #12</w:t>
      </w:r>
    </w:p>
    <w:p w:rsidR="00FF6285" w:rsidRDefault="00FF6285" w:rsidP="00FF6285">
      <w:pPr>
        <w:jc w:val="center"/>
        <w:rPr>
          <w:b/>
          <w:sz w:val="32"/>
          <w:szCs w:val="32"/>
        </w:rPr>
      </w:pPr>
    </w:p>
    <w:p w:rsidR="00FF6285" w:rsidRDefault="00BC5A7B" w:rsidP="00FF6285">
      <w:pPr>
        <w:jc w:val="center"/>
      </w:pPr>
      <w:r>
        <w:t xml:space="preserve">COMMENT </w:t>
      </w:r>
      <w:r w:rsidR="006C1C32">
        <w:t>OUTSIDE</w:t>
      </w:r>
      <w:r>
        <w:t xml:space="preserve"> THE REVIEW TRIBUNAL’S JURISDICTION</w:t>
      </w:r>
    </w:p>
    <w:p w:rsidR="00FF6285" w:rsidRDefault="00FF6285" w:rsidP="00FF6285">
      <w:pPr>
        <w:jc w:val="center"/>
      </w:pPr>
    </w:p>
    <w:p w:rsidR="00FF6285" w:rsidRDefault="00FF6285" w:rsidP="00FF6285">
      <w:pPr>
        <w:rPr>
          <w:b/>
          <w:i/>
          <w:sz w:val="20"/>
          <w:szCs w:val="20"/>
        </w:rPr>
      </w:pPr>
      <w:r>
        <w:rPr>
          <w:b/>
          <w:i/>
          <w:sz w:val="20"/>
          <w:szCs w:val="20"/>
        </w:rPr>
        <w:t>Practice and Policy Guidelines provide general direction and assistance to the members and secretariat of the Review Tribunal. They may be departed from or supplemented by the Review Tribunal as circumstances require.</w:t>
      </w:r>
      <w:r w:rsidR="00CA5D54" w:rsidRPr="00CA5D54">
        <w:rPr>
          <w:b/>
          <w:i/>
          <w:sz w:val="20"/>
          <w:szCs w:val="20"/>
        </w:rPr>
        <w:t xml:space="preserve"> </w:t>
      </w:r>
      <w:r w:rsidR="00CA5D54">
        <w:rPr>
          <w:b/>
          <w:i/>
          <w:sz w:val="20"/>
          <w:szCs w:val="20"/>
        </w:rPr>
        <w:t>They do not constitute legal opinions.</w:t>
      </w:r>
    </w:p>
    <w:p w:rsidR="00CA5D54" w:rsidRDefault="00CA5D54" w:rsidP="00FF6285">
      <w:pPr>
        <w:rPr>
          <w:b/>
          <w:i/>
          <w:sz w:val="20"/>
          <w:szCs w:val="20"/>
        </w:rPr>
      </w:pPr>
    </w:p>
    <w:p w:rsidR="00FF6285" w:rsidRDefault="00FF6285" w:rsidP="00FF6285">
      <w:pPr>
        <w:jc w:val="center"/>
        <w:rPr>
          <w:rFonts w:ascii="Times New Roman" w:hAnsi="Times New Roman" w:cs="Times New Roman"/>
          <w:b/>
          <w:sz w:val="40"/>
          <w:szCs w:val="40"/>
        </w:rPr>
      </w:pPr>
    </w:p>
    <w:p w:rsidR="000228AB" w:rsidRDefault="00A92486" w:rsidP="000228AB">
      <w:pPr>
        <w:rPr>
          <w:rFonts w:ascii="Book Antiqua" w:hAnsi="Book Antiqua"/>
          <w:b/>
          <w:sz w:val="24"/>
          <w:szCs w:val="24"/>
        </w:rPr>
      </w:pPr>
      <w:r>
        <w:rPr>
          <w:rFonts w:ascii="Book Antiqua" w:hAnsi="Book Antiqua"/>
          <w:b/>
          <w:sz w:val="24"/>
          <w:szCs w:val="24"/>
        </w:rPr>
        <w:t>Introduction</w:t>
      </w:r>
    </w:p>
    <w:p w:rsidR="00C44545" w:rsidRDefault="00C44545" w:rsidP="00C44545">
      <w:pPr>
        <w:jc w:val="both"/>
        <w:rPr>
          <w:rFonts w:ascii="Book Antiqua" w:hAnsi="Book Antiqua"/>
          <w:sz w:val="24"/>
          <w:szCs w:val="24"/>
        </w:rPr>
      </w:pPr>
    </w:p>
    <w:p w:rsidR="00763CAE" w:rsidRPr="00C44545" w:rsidRDefault="00FF6285" w:rsidP="00C44545">
      <w:pPr>
        <w:pStyle w:val="ListParagraph"/>
        <w:numPr>
          <w:ilvl w:val="0"/>
          <w:numId w:val="1"/>
        </w:numPr>
        <w:jc w:val="both"/>
        <w:rPr>
          <w:rFonts w:ascii="Book Antiqua" w:hAnsi="Book Antiqua"/>
          <w:sz w:val="24"/>
          <w:szCs w:val="24"/>
        </w:rPr>
      </w:pPr>
      <w:r w:rsidRPr="00C44545">
        <w:rPr>
          <w:rFonts w:ascii="Book Antiqua" w:hAnsi="Book Antiqua"/>
          <w:sz w:val="24"/>
          <w:szCs w:val="24"/>
        </w:rPr>
        <w:t xml:space="preserve">Is </w:t>
      </w:r>
      <w:r w:rsidR="00A92486" w:rsidRPr="00C44545">
        <w:rPr>
          <w:rFonts w:ascii="Book Antiqua" w:hAnsi="Book Antiqua"/>
          <w:sz w:val="24"/>
          <w:szCs w:val="24"/>
        </w:rPr>
        <w:t>the Review Tribunal</w:t>
      </w:r>
      <w:r w:rsidRPr="00C44545">
        <w:rPr>
          <w:rFonts w:ascii="Book Antiqua" w:hAnsi="Book Antiqua"/>
          <w:sz w:val="24"/>
          <w:szCs w:val="24"/>
        </w:rPr>
        <w:t xml:space="preserve"> permitted to</w:t>
      </w:r>
      <w:r w:rsidR="00A92486" w:rsidRPr="00C44545">
        <w:rPr>
          <w:rFonts w:ascii="Book Antiqua" w:hAnsi="Book Antiqua"/>
          <w:sz w:val="24"/>
          <w:szCs w:val="24"/>
        </w:rPr>
        <w:t xml:space="preserve"> </w:t>
      </w:r>
      <w:r w:rsidR="00344735" w:rsidRPr="00C44545">
        <w:rPr>
          <w:rFonts w:ascii="Book Antiqua" w:hAnsi="Book Antiqua"/>
          <w:sz w:val="24"/>
          <w:szCs w:val="24"/>
        </w:rPr>
        <w:t>express an opinion</w:t>
      </w:r>
      <w:r w:rsidR="005223D9" w:rsidRPr="00C44545">
        <w:rPr>
          <w:rFonts w:ascii="Book Antiqua" w:hAnsi="Book Antiqua"/>
          <w:sz w:val="24"/>
          <w:szCs w:val="24"/>
        </w:rPr>
        <w:t xml:space="preserve"> on</w:t>
      </w:r>
      <w:r w:rsidRPr="00C44545">
        <w:rPr>
          <w:rFonts w:ascii="Book Antiqua" w:hAnsi="Book Antiqua"/>
          <w:sz w:val="24"/>
          <w:szCs w:val="24"/>
        </w:rPr>
        <w:t xml:space="preserve"> issues about which is has no formal power to decide?</w:t>
      </w:r>
      <w:r w:rsidR="005223D9" w:rsidRPr="00C44545">
        <w:rPr>
          <w:rFonts w:ascii="Book Antiqua" w:hAnsi="Book Antiqua"/>
          <w:sz w:val="24"/>
          <w:szCs w:val="24"/>
        </w:rPr>
        <w:t xml:space="preserve"> </w:t>
      </w:r>
    </w:p>
    <w:p w:rsidR="00FF6285" w:rsidRDefault="00FF6285" w:rsidP="00FF6285">
      <w:pPr>
        <w:pStyle w:val="ListParagraph"/>
        <w:jc w:val="both"/>
        <w:rPr>
          <w:rFonts w:ascii="Book Antiqua" w:hAnsi="Book Antiqua"/>
          <w:sz w:val="24"/>
          <w:szCs w:val="24"/>
        </w:rPr>
      </w:pPr>
    </w:p>
    <w:p w:rsidR="00FF6285" w:rsidRDefault="00FF6285" w:rsidP="00763CAE">
      <w:pPr>
        <w:pStyle w:val="ListParagraph"/>
        <w:numPr>
          <w:ilvl w:val="0"/>
          <w:numId w:val="1"/>
        </w:numPr>
        <w:jc w:val="both"/>
        <w:rPr>
          <w:rFonts w:ascii="Book Antiqua" w:hAnsi="Book Antiqua"/>
          <w:sz w:val="24"/>
          <w:szCs w:val="24"/>
        </w:rPr>
      </w:pPr>
      <w:r>
        <w:rPr>
          <w:rFonts w:ascii="Book Antiqua" w:hAnsi="Book Antiqua"/>
          <w:sz w:val="24"/>
          <w:szCs w:val="24"/>
        </w:rPr>
        <w:t>If so, when</w:t>
      </w:r>
      <w:r w:rsidR="005025C2">
        <w:rPr>
          <w:rFonts w:ascii="Book Antiqua" w:hAnsi="Book Antiqua"/>
          <w:sz w:val="24"/>
          <w:szCs w:val="24"/>
        </w:rPr>
        <w:t xml:space="preserve"> and how</w:t>
      </w:r>
      <w:r>
        <w:rPr>
          <w:rFonts w:ascii="Book Antiqua" w:hAnsi="Book Antiqua"/>
          <w:sz w:val="24"/>
          <w:szCs w:val="24"/>
        </w:rPr>
        <w:t xml:space="preserve"> should it do so?</w:t>
      </w:r>
    </w:p>
    <w:p w:rsidR="00FF6285" w:rsidRPr="00FF6285" w:rsidRDefault="00FF6285" w:rsidP="00FF6285">
      <w:pPr>
        <w:pStyle w:val="ListParagraph"/>
        <w:jc w:val="both"/>
        <w:rPr>
          <w:rFonts w:ascii="Book Antiqua" w:hAnsi="Book Antiqua"/>
          <w:sz w:val="24"/>
          <w:szCs w:val="24"/>
        </w:rPr>
      </w:pPr>
    </w:p>
    <w:p w:rsidR="000228AB" w:rsidRDefault="00FF6285" w:rsidP="005223D9">
      <w:pPr>
        <w:pStyle w:val="ListParagraph"/>
        <w:numPr>
          <w:ilvl w:val="0"/>
          <w:numId w:val="1"/>
        </w:numPr>
        <w:jc w:val="both"/>
        <w:rPr>
          <w:rFonts w:ascii="Book Antiqua" w:hAnsi="Book Antiqua"/>
          <w:sz w:val="24"/>
          <w:szCs w:val="24"/>
        </w:rPr>
      </w:pPr>
      <w:r>
        <w:rPr>
          <w:rFonts w:ascii="Book Antiqua" w:hAnsi="Book Antiqua"/>
          <w:sz w:val="24"/>
          <w:szCs w:val="24"/>
        </w:rPr>
        <w:t xml:space="preserve">Examples of matters about which the Review Tribunal </w:t>
      </w:r>
      <w:r w:rsidR="00344735">
        <w:rPr>
          <w:rFonts w:ascii="Book Antiqua" w:hAnsi="Book Antiqua"/>
          <w:sz w:val="24"/>
          <w:szCs w:val="24"/>
        </w:rPr>
        <w:t>is often</w:t>
      </w:r>
      <w:r>
        <w:rPr>
          <w:rFonts w:ascii="Book Antiqua" w:hAnsi="Book Antiqua"/>
          <w:sz w:val="24"/>
          <w:szCs w:val="24"/>
        </w:rPr>
        <w:t xml:space="preserve"> asked to express an opinion include:</w:t>
      </w:r>
    </w:p>
    <w:p w:rsidR="00FF6285" w:rsidRDefault="00344735" w:rsidP="00FF6285">
      <w:pPr>
        <w:pStyle w:val="ListParagraph"/>
        <w:numPr>
          <w:ilvl w:val="0"/>
          <w:numId w:val="16"/>
        </w:numPr>
        <w:jc w:val="both"/>
        <w:rPr>
          <w:rFonts w:ascii="Book Antiqua" w:hAnsi="Book Antiqua"/>
          <w:sz w:val="24"/>
          <w:szCs w:val="24"/>
        </w:rPr>
      </w:pPr>
      <w:r>
        <w:rPr>
          <w:rFonts w:ascii="Book Antiqua" w:hAnsi="Book Antiqua"/>
          <w:sz w:val="24"/>
          <w:szCs w:val="24"/>
        </w:rPr>
        <w:t>The type or dose of medication which  applicants should receive;</w:t>
      </w:r>
    </w:p>
    <w:p w:rsidR="00344735" w:rsidRDefault="00344735" w:rsidP="00FF6285">
      <w:pPr>
        <w:pStyle w:val="ListParagraph"/>
        <w:numPr>
          <w:ilvl w:val="0"/>
          <w:numId w:val="16"/>
        </w:numPr>
        <w:jc w:val="both"/>
        <w:rPr>
          <w:rFonts w:ascii="Book Antiqua" w:hAnsi="Book Antiqua"/>
          <w:sz w:val="24"/>
          <w:szCs w:val="24"/>
        </w:rPr>
      </w:pPr>
      <w:r>
        <w:rPr>
          <w:rFonts w:ascii="Book Antiqua" w:hAnsi="Book Antiqua"/>
          <w:sz w:val="24"/>
          <w:szCs w:val="24"/>
        </w:rPr>
        <w:t>Whether hospitalisation is required.</w:t>
      </w:r>
    </w:p>
    <w:p w:rsidR="00344735" w:rsidRDefault="00344735" w:rsidP="00344735">
      <w:pPr>
        <w:pStyle w:val="ListParagraph"/>
        <w:ind w:left="1860"/>
        <w:jc w:val="both"/>
        <w:rPr>
          <w:rFonts w:ascii="Book Antiqua" w:hAnsi="Book Antiqua"/>
          <w:sz w:val="24"/>
          <w:szCs w:val="24"/>
        </w:rPr>
      </w:pPr>
    </w:p>
    <w:p w:rsidR="00344735" w:rsidRDefault="00344735" w:rsidP="00344735">
      <w:pPr>
        <w:pStyle w:val="ListParagraph"/>
        <w:numPr>
          <w:ilvl w:val="0"/>
          <w:numId w:val="1"/>
        </w:numPr>
        <w:jc w:val="both"/>
        <w:rPr>
          <w:rFonts w:ascii="Book Antiqua" w:hAnsi="Book Antiqua"/>
          <w:sz w:val="24"/>
          <w:szCs w:val="24"/>
        </w:rPr>
      </w:pPr>
      <w:r>
        <w:rPr>
          <w:rFonts w:ascii="Book Antiqua" w:hAnsi="Book Antiqua"/>
          <w:sz w:val="24"/>
          <w:szCs w:val="24"/>
        </w:rPr>
        <w:t>For its part, the Review Tribunal may on its own volition wish to comment on, for example:</w:t>
      </w:r>
    </w:p>
    <w:p w:rsidR="00344735" w:rsidRDefault="00344735" w:rsidP="00344735">
      <w:pPr>
        <w:pStyle w:val="ListParagraph"/>
        <w:numPr>
          <w:ilvl w:val="0"/>
          <w:numId w:val="18"/>
        </w:numPr>
        <w:jc w:val="both"/>
        <w:rPr>
          <w:rFonts w:ascii="Book Antiqua" w:hAnsi="Book Antiqua"/>
          <w:sz w:val="24"/>
          <w:szCs w:val="24"/>
        </w:rPr>
      </w:pPr>
      <w:r>
        <w:rPr>
          <w:rFonts w:ascii="Book Antiqua" w:hAnsi="Book Antiqua"/>
          <w:sz w:val="24"/>
          <w:szCs w:val="24"/>
        </w:rPr>
        <w:t>The standard of care which applicants are receiving;</w:t>
      </w:r>
    </w:p>
    <w:p w:rsidR="00344735" w:rsidRPr="00344735" w:rsidRDefault="00344735" w:rsidP="00344735">
      <w:pPr>
        <w:pStyle w:val="ListParagraph"/>
        <w:numPr>
          <w:ilvl w:val="0"/>
          <w:numId w:val="18"/>
        </w:numPr>
        <w:jc w:val="both"/>
        <w:rPr>
          <w:rFonts w:ascii="Book Antiqua" w:hAnsi="Book Antiqua"/>
          <w:sz w:val="24"/>
          <w:szCs w:val="24"/>
        </w:rPr>
      </w:pPr>
      <w:r>
        <w:rPr>
          <w:rFonts w:ascii="Book Antiqua" w:hAnsi="Book Antiqua"/>
          <w:sz w:val="24"/>
          <w:szCs w:val="24"/>
        </w:rPr>
        <w:t>Other treatment options which might be available.</w:t>
      </w:r>
    </w:p>
    <w:p w:rsidR="000228AB" w:rsidRPr="000228AB" w:rsidRDefault="000228AB" w:rsidP="00655742">
      <w:pPr>
        <w:pStyle w:val="ListParagraph"/>
        <w:jc w:val="both"/>
        <w:rPr>
          <w:rFonts w:ascii="Book Antiqua" w:hAnsi="Book Antiqua"/>
          <w:sz w:val="24"/>
          <w:szCs w:val="24"/>
        </w:rPr>
      </w:pPr>
    </w:p>
    <w:p w:rsidR="008554BB" w:rsidRPr="003A6ABE" w:rsidRDefault="008554BB" w:rsidP="003A6ABE">
      <w:pPr>
        <w:pStyle w:val="ListParagraph"/>
        <w:numPr>
          <w:ilvl w:val="0"/>
          <w:numId w:val="1"/>
        </w:numPr>
        <w:jc w:val="both"/>
        <w:rPr>
          <w:rFonts w:ascii="Book Antiqua" w:hAnsi="Book Antiqua"/>
          <w:sz w:val="24"/>
          <w:szCs w:val="24"/>
        </w:rPr>
      </w:pPr>
      <w:r w:rsidRPr="003A6ABE">
        <w:rPr>
          <w:rFonts w:ascii="Book Antiqua" w:hAnsi="Book Antiqua"/>
          <w:sz w:val="24"/>
          <w:szCs w:val="24"/>
        </w:rPr>
        <w:t>The long title of the Mental Health (Compulsory Assessment and Treatment) Act 1992 describes the Act as:</w:t>
      </w:r>
    </w:p>
    <w:p w:rsidR="008554BB" w:rsidRDefault="008554BB" w:rsidP="00655742">
      <w:pPr>
        <w:pStyle w:val="ListParagraph"/>
        <w:jc w:val="both"/>
        <w:rPr>
          <w:rFonts w:ascii="Book Antiqua" w:hAnsi="Book Antiqua"/>
          <w:sz w:val="24"/>
          <w:szCs w:val="24"/>
        </w:rPr>
      </w:pPr>
    </w:p>
    <w:p w:rsidR="008554BB" w:rsidRDefault="008554BB" w:rsidP="00655742">
      <w:pPr>
        <w:ind w:left="1440"/>
        <w:jc w:val="both"/>
        <w:rPr>
          <w:rFonts w:ascii="Book Antiqua" w:hAnsi="Book Antiqua"/>
          <w:i/>
          <w:sz w:val="24"/>
          <w:szCs w:val="24"/>
        </w:rPr>
      </w:pPr>
      <w:r>
        <w:rPr>
          <w:rFonts w:ascii="Book Antiqua" w:hAnsi="Book Antiqua"/>
          <w:i/>
          <w:sz w:val="24"/>
          <w:szCs w:val="24"/>
        </w:rPr>
        <w:t>“An Act to redefine the circumstances in which and the conditions under which persons may be subjected to compulsory psychiatric assessment and treatment, to define the rights of such persons and to better provide protection for those rights, and generally to reform and consolidate the law relating to the assessment and treatment of persons suffering from mental disorder”.</w:t>
      </w:r>
    </w:p>
    <w:p w:rsidR="003A6ABE" w:rsidRDefault="003A6ABE" w:rsidP="00655742">
      <w:pPr>
        <w:ind w:left="1440"/>
        <w:jc w:val="both"/>
        <w:rPr>
          <w:rFonts w:ascii="Book Antiqua" w:hAnsi="Book Antiqua"/>
          <w:i/>
          <w:sz w:val="24"/>
          <w:szCs w:val="24"/>
        </w:rPr>
      </w:pPr>
    </w:p>
    <w:p w:rsidR="00051871" w:rsidRPr="003A6ABE" w:rsidRDefault="00051871" w:rsidP="003A6ABE">
      <w:pPr>
        <w:pStyle w:val="ListParagraph"/>
        <w:numPr>
          <w:ilvl w:val="0"/>
          <w:numId w:val="1"/>
        </w:numPr>
        <w:jc w:val="both"/>
        <w:rPr>
          <w:rFonts w:ascii="Book Antiqua" w:hAnsi="Book Antiqua"/>
          <w:sz w:val="24"/>
          <w:szCs w:val="24"/>
        </w:rPr>
      </w:pPr>
      <w:r w:rsidRPr="003A6ABE">
        <w:rPr>
          <w:rFonts w:ascii="Book Antiqua" w:hAnsi="Book Antiqua"/>
          <w:sz w:val="24"/>
          <w:szCs w:val="24"/>
        </w:rPr>
        <w:lastRenderedPageBreak/>
        <w:t>Section 102(2) of the Act states that:</w:t>
      </w:r>
    </w:p>
    <w:p w:rsidR="00051871" w:rsidRPr="00051871" w:rsidRDefault="00051871" w:rsidP="00051871">
      <w:pPr>
        <w:ind w:left="1440"/>
        <w:jc w:val="both"/>
        <w:rPr>
          <w:rFonts w:ascii="Book Antiqua" w:hAnsi="Book Antiqua"/>
          <w:i/>
          <w:sz w:val="24"/>
          <w:szCs w:val="24"/>
        </w:rPr>
      </w:pPr>
      <w:r>
        <w:rPr>
          <w:rFonts w:ascii="Book Antiqua" w:hAnsi="Book Antiqua"/>
          <w:sz w:val="24"/>
          <w:szCs w:val="24"/>
        </w:rPr>
        <w:t xml:space="preserve">     </w:t>
      </w:r>
      <w:r>
        <w:rPr>
          <w:rFonts w:ascii="Book Antiqua" w:hAnsi="Book Antiqua"/>
          <w:i/>
          <w:sz w:val="24"/>
          <w:szCs w:val="24"/>
        </w:rPr>
        <w:t>“A Review Tribunal may at any time....report to the Director [of Mental          [Health] on any matter relating to the exercise or performance of its powers and   functions under this Act.”</w:t>
      </w:r>
    </w:p>
    <w:p w:rsidR="008554BB" w:rsidRPr="008554BB" w:rsidRDefault="008554BB" w:rsidP="00655742">
      <w:pPr>
        <w:jc w:val="both"/>
        <w:rPr>
          <w:rFonts w:ascii="Book Antiqua" w:hAnsi="Book Antiqua"/>
          <w:sz w:val="24"/>
          <w:szCs w:val="24"/>
        </w:rPr>
      </w:pPr>
    </w:p>
    <w:p w:rsidR="000228AB" w:rsidRPr="00E611D5" w:rsidRDefault="008554BB" w:rsidP="00E611D5">
      <w:pPr>
        <w:pStyle w:val="ListParagraph"/>
        <w:numPr>
          <w:ilvl w:val="0"/>
          <w:numId w:val="1"/>
        </w:numPr>
        <w:jc w:val="both"/>
        <w:rPr>
          <w:rFonts w:ascii="Book Antiqua" w:hAnsi="Book Antiqua"/>
          <w:sz w:val="24"/>
          <w:szCs w:val="24"/>
        </w:rPr>
      </w:pPr>
      <w:r w:rsidRPr="00E611D5">
        <w:rPr>
          <w:rFonts w:ascii="Book Antiqua" w:hAnsi="Book Antiqua"/>
          <w:sz w:val="24"/>
          <w:szCs w:val="24"/>
        </w:rPr>
        <w:t xml:space="preserve">In </w:t>
      </w:r>
      <w:proofErr w:type="spellStart"/>
      <w:r w:rsidRPr="00AA1269">
        <w:rPr>
          <w:rFonts w:ascii="Book Antiqua" w:hAnsi="Book Antiqua"/>
          <w:sz w:val="24"/>
          <w:szCs w:val="24"/>
          <w:u w:val="single"/>
        </w:rPr>
        <w:t>Waitemata</w:t>
      </w:r>
      <w:proofErr w:type="spellEnd"/>
      <w:r w:rsidRPr="00AA1269">
        <w:rPr>
          <w:rFonts w:ascii="Book Antiqua" w:hAnsi="Book Antiqua"/>
          <w:sz w:val="24"/>
          <w:szCs w:val="24"/>
          <w:u w:val="single"/>
        </w:rPr>
        <w:t xml:space="preserve"> Health v. AG and MHRT and H</w:t>
      </w:r>
      <w:r w:rsidRPr="00E611D5">
        <w:rPr>
          <w:rFonts w:ascii="Book Antiqua" w:hAnsi="Book Antiqua"/>
          <w:sz w:val="24"/>
          <w:szCs w:val="24"/>
        </w:rPr>
        <w:t xml:space="preserve"> [2001] NZFLR 1122 and [2001] 21FRNZ 216 th</w:t>
      </w:r>
      <w:r w:rsidR="00AA1269">
        <w:rPr>
          <w:rFonts w:ascii="Book Antiqua" w:hAnsi="Book Antiqua"/>
          <w:sz w:val="24"/>
          <w:szCs w:val="24"/>
        </w:rPr>
        <w:t>e Chief Justice stated</w:t>
      </w:r>
      <w:r w:rsidRPr="00E611D5">
        <w:rPr>
          <w:rFonts w:ascii="Book Antiqua" w:hAnsi="Book Antiqua"/>
          <w:sz w:val="24"/>
          <w:szCs w:val="24"/>
        </w:rPr>
        <w:t>:</w:t>
      </w:r>
    </w:p>
    <w:p w:rsidR="008554BB" w:rsidRDefault="008554BB" w:rsidP="00AA1269">
      <w:pPr>
        <w:ind w:left="360"/>
        <w:jc w:val="both"/>
        <w:rPr>
          <w:rFonts w:ascii="Book Antiqua" w:hAnsi="Book Antiqua"/>
          <w:sz w:val="24"/>
          <w:szCs w:val="24"/>
        </w:rPr>
      </w:pPr>
    </w:p>
    <w:p w:rsidR="00AA1269" w:rsidRDefault="008554BB" w:rsidP="00E46B65">
      <w:pPr>
        <w:ind w:left="1440"/>
        <w:jc w:val="both"/>
        <w:rPr>
          <w:rFonts w:ascii="Book Antiqua" w:hAnsi="Book Antiqua"/>
          <w:sz w:val="24"/>
          <w:szCs w:val="24"/>
        </w:rPr>
      </w:pPr>
      <w:r>
        <w:rPr>
          <w:rFonts w:ascii="Book Antiqua" w:hAnsi="Book Antiqua"/>
          <w:i/>
          <w:sz w:val="24"/>
          <w:szCs w:val="24"/>
        </w:rPr>
        <w:t xml:space="preserve">“… that the Act is a humane and careful response to the need to provide for compulsory treatment for those </w:t>
      </w:r>
      <w:r w:rsidR="00AA1269">
        <w:rPr>
          <w:rFonts w:ascii="Book Antiqua" w:hAnsi="Book Antiqua"/>
          <w:i/>
          <w:sz w:val="24"/>
          <w:szCs w:val="24"/>
        </w:rPr>
        <w:t xml:space="preserve">suffering from mental illness…”  </w:t>
      </w:r>
      <w:r w:rsidR="00AA1269">
        <w:rPr>
          <w:rFonts w:ascii="Book Antiqua" w:hAnsi="Book Antiqua"/>
          <w:sz w:val="24"/>
          <w:szCs w:val="24"/>
        </w:rPr>
        <w:t>(</w:t>
      </w:r>
      <w:proofErr w:type="gramStart"/>
      <w:r w:rsidR="00AA1269">
        <w:rPr>
          <w:rFonts w:ascii="Book Antiqua" w:hAnsi="Book Antiqua"/>
          <w:sz w:val="24"/>
          <w:szCs w:val="24"/>
        </w:rPr>
        <w:t>paragraph</w:t>
      </w:r>
      <w:proofErr w:type="gramEnd"/>
      <w:r w:rsidR="00AA1269">
        <w:rPr>
          <w:rFonts w:ascii="Book Antiqua" w:hAnsi="Book Antiqua"/>
          <w:sz w:val="24"/>
          <w:szCs w:val="24"/>
        </w:rPr>
        <w:t xml:space="preserve"> 78)</w:t>
      </w:r>
    </w:p>
    <w:p w:rsidR="00AA1269" w:rsidRDefault="00AA1269" w:rsidP="00AA1269">
      <w:pPr>
        <w:ind w:left="720"/>
        <w:jc w:val="both"/>
        <w:rPr>
          <w:rFonts w:ascii="Book Antiqua" w:hAnsi="Book Antiqua"/>
          <w:sz w:val="24"/>
          <w:szCs w:val="24"/>
        </w:rPr>
      </w:pPr>
    </w:p>
    <w:p w:rsidR="00BD6D34" w:rsidRPr="00AA1269" w:rsidRDefault="00BD6D34" w:rsidP="00E46B65">
      <w:pPr>
        <w:ind w:left="1440"/>
        <w:jc w:val="both"/>
        <w:rPr>
          <w:rFonts w:ascii="Book Antiqua" w:hAnsi="Book Antiqua"/>
          <w:sz w:val="24"/>
          <w:szCs w:val="24"/>
        </w:rPr>
      </w:pPr>
      <w:r>
        <w:rPr>
          <w:rFonts w:ascii="Book Antiqua" w:hAnsi="Book Antiqua"/>
          <w:i/>
          <w:sz w:val="24"/>
          <w:szCs w:val="24"/>
        </w:rPr>
        <w:t>“The Review</w:t>
      </w:r>
      <w:r w:rsidR="008B7B24">
        <w:rPr>
          <w:rFonts w:ascii="Book Antiqua" w:hAnsi="Book Antiqua"/>
          <w:i/>
          <w:sz w:val="24"/>
          <w:szCs w:val="24"/>
        </w:rPr>
        <w:t xml:space="preserve"> Tribunal</w:t>
      </w:r>
      <w:r>
        <w:rPr>
          <w:rFonts w:ascii="Book Antiqua" w:hAnsi="Book Antiqua"/>
          <w:i/>
          <w:sz w:val="24"/>
          <w:szCs w:val="24"/>
        </w:rPr>
        <w:t xml:space="preserve"> is a body required to act in accordance with the standards of procedural fairnes</w:t>
      </w:r>
      <w:r w:rsidR="00AA1269">
        <w:rPr>
          <w:rFonts w:ascii="Book Antiqua" w:hAnsi="Book Antiqua"/>
          <w:i/>
          <w:sz w:val="24"/>
          <w:szCs w:val="24"/>
        </w:rPr>
        <w:t xml:space="preserve">s described as natural justice” </w:t>
      </w:r>
      <w:r w:rsidR="00AA1269">
        <w:rPr>
          <w:rFonts w:ascii="Book Antiqua" w:hAnsi="Book Antiqua"/>
          <w:sz w:val="24"/>
          <w:szCs w:val="24"/>
        </w:rPr>
        <w:t>(paragraph 96)</w:t>
      </w:r>
    </w:p>
    <w:p w:rsidR="006A7A6D" w:rsidRPr="006A7A6D" w:rsidRDefault="006A7A6D" w:rsidP="00E46B65">
      <w:pPr>
        <w:ind w:left="1440"/>
        <w:jc w:val="both"/>
        <w:rPr>
          <w:rFonts w:ascii="Book Antiqua" w:hAnsi="Book Antiqua"/>
          <w:sz w:val="24"/>
          <w:szCs w:val="24"/>
        </w:rPr>
      </w:pPr>
    </w:p>
    <w:p w:rsidR="00BD6D34" w:rsidRPr="00AA1269" w:rsidRDefault="00BD6D34" w:rsidP="00E46B65">
      <w:pPr>
        <w:ind w:left="1440"/>
        <w:jc w:val="both"/>
        <w:rPr>
          <w:rFonts w:ascii="Book Antiqua" w:hAnsi="Book Antiqua"/>
          <w:sz w:val="24"/>
          <w:szCs w:val="24"/>
        </w:rPr>
      </w:pPr>
      <w:r>
        <w:rPr>
          <w:rFonts w:ascii="Book Antiqua" w:hAnsi="Book Antiqua"/>
          <w:i/>
          <w:sz w:val="24"/>
          <w:szCs w:val="24"/>
        </w:rPr>
        <w:t xml:space="preserve">“… </w:t>
      </w:r>
      <w:proofErr w:type="gramStart"/>
      <w:r>
        <w:rPr>
          <w:rFonts w:ascii="Book Antiqua" w:hAnsi="Book Antiqua"/>
          <w:i/>
          <w:sz w:val="24"/>
          <w:szCs w:val="24"/>
        </w:rPr>
        <w:t>the</w:t>
      </w:r>
      <w:proofErr w:type="gramEnd"/>
      <w:r>
        <w:rPr>
          <w:rFonts w:ascii="Book Antiqua" w:hAnsi="Book Antiqua"/>
          <w:i/>
          <w:sz w:val="24"/>
          <w:szCs w:val="24"/>
        </w:rPr>
        <w:t xml:space="preserve"> common law will supplement the sta</w:t>
      </w:r>
      <w:r w:rsidR="00AA1269">
        <w:rPr>
          <w:rFonts w:ascii="Book Antiqua" w:hAnsi="Book Antiqua"/>
          <w:i/>
          <w:sz w:val="24"/>
          <w:szCs w:val="24"/>
        </w:rPr>
        <w:t xml:space="preserve">tute to achieve fair procedure” </w:t>
      </w:r>
      <w:r w:rsidR="00AA1269">
        <w:rPr>
          <w:rFonts w:ascii="Book Antiqua" w:hAnsi="Book Antiqua"/>
          <w:sz w:val="24"/>
          <w:szCs w:val="24"/>
        </w:rPr>
        <w:t xml:space="preserve">(paragraph 98) </w:t>
      </w:r>
    </w:p>
    <w:p w:rsidR="00E611D5" w:rsidRPr="00AA1269" w:rsidRDefault="00E611D5" w:rsidP="00AA1269">
      <w:pPr>
        <w:jc w:val="both"/>
        <w:rPr>
          <w:rFonts w:ascii="Book Antiqua" w:hAnsi="Book Antiqua"/>
          <w:sz w:val="24"/>
          <w:szCs w:val="24"/>
        </w:rPr>
      </w:pPr>
    </w:p>
    <w:p w:rsidR="00C25ADB" w:rsidRDefault="00BD6D34" w:rsidP="00E46B65">
      <w:pPr>
        <w:ind w:left="1440"/>
        <w:jc w:val="both"/>
        <w:rPr>
          <w:rFonts w:ascii="Book Antiqua" w:hAnsi="Book Antiqua"/>
          <w:i/>
          <w:sz w:val="24"/>
          <w:szCs w:val="24"/>
        </w:rPr>
      </w:pPr>
      <w:r w:rsidRPr="00AA1269">
        <w:rPr>
          <w:rFonts w:ascii="Book Antiqua" w:hAnsi="Book Antiqua"/>
          <w:i/>
          <w:sz w:val="24"/>
          <w:szCs w:val="24"/>
        </w:rPr>
        <w:t xml:space="preserve">“The rights and interests </w:t>
      </w:r>
      <w:proofErr w:type="gramStart"/>
      <w:r w:rsidRPr="00AA1269">
        <w:rPr>
          <w:rFonts w:ascii="Book Antiqua" w:hAnsi="Book Antiqua"/>
          <w:i/>
          <w:sz w:val="24"/>
          <w:szCs w:val="24"/>
        </w:rPr>
        <w:t>which</w:t>
      </w:r>
      <w:proofErr w:type="gramEnd"/>
      <w:r w:rsidRPr="00AA1269">
        <w:rPr>
          <w:rFonts w:ascii="Book Antiqua" w:hAnsi="Book Antiqua"/>
          <w:i/>
          <w:sz w:val="24"/>
          <w:szCs w:val="24"/>
        </w:rPr>
        <w:t xml:space="preserve"> may require h</w:t>
      </w:r>
      <w:r w:rsidR="006A7A6D" w:rsidRPr="00AA1269">
        <w:rPr>
          <w:rFonts w:ascii="Book Antiqua" w:hAnsi="Book Antiqua"/>
          <w:i/>
          <w:sz w:val="24"/>
          <w:szCs w:val="24"/>
        </w:rPr>
        <w:t>e</w:t>
      </w:r>
      <w:r w:rsidRPr="00AA1269">
        <w:rPr>
          <w:rFonts w:ascii="Book Antiqua" w:hAnsi="Book Antiqua"/>
          <w:i/>
          <w:sz w:val="24"/>
          <w:szCs w:val="24"/>
        </w:rPr>
        <w:t xml:space="preserve">aring are broader </w:t>
      </w:r>
      <w:r w:rsidR="00AA1269">
        <w:rPr>
          <w:rFonts w:ascii="Book Antiqua" w:hAnsi="Book Antiqua"/>
          <w:i/>
          <w:sz w:val="24"/>
          <w:szCs w:val="24"/>
        </w:rPr>
        <w:t xml:space="preserve">than legal </w:t>
      </w:r>
    </w:p>
    <w:p w:rsidR="00C25ADB" w:rsidRPr="003A6ABE" w:rsidRDefault="00AA1269" w:rsidP="003A6ABE">
      <w:pPr>
        <w:ind w:left="1440"/>
        <w:jc w:val="both"/>
        <w:rPr>
          <w:rFonts w:ascii="Book Antiqua" w:hAnsi="Book Antiqua"/>
          <w:sz w:val="24"/>
          <w:szCs w:val="24"/>
        </w:rPr>
      </w:pPr>
      <w:proofErr w:type="gramStart"/>
      <w:r>
        <w:rPr>
          <w:rFonts w:ascii="Book Antiqua" w:hAnsi="Book Antiqua"/>
          <w:i/>
          <w:sz w:val="24"/>
          <w:szCs w:val="24"/>
        </w:rPr>
        <w:t>rights</w:t>
      </w:r>
      <w:proofErr w:type="gramEnd"/>
      <w:r>
        <w:rPr>
          <w:rFonts w:ascii="Book Antiqua" w:hAnsi="Book Antiqua"/>
          <w:i/>
          <w:sz w:val="24"/>
          <w:szCs w:val="24"/>
        </w:rPr>
        <w:t xml:space="preserve"> and interests.</w:t>
      </w:r>
      <w:r w:rsidR="00BD6D34" w:rsidRPr="00AA1269">
        <w:rPr>
          <w:rFonts w:ascii="Book Antiqua" w:hAnsi="Book Antiqua"/>
          <w:i/>
          <w:sz w:val="24"/>
          <w:szCs w:val="24"/>
        </w:rPr>
        <w:t>”</w:t>
      </w:r>
      <w:r w:rsidRPr="00AA1269">
        <w:rPr>
          <w:rFonts w:ascii="Book Antiqua" w:hAnsi="Book Antiqua"/>
          <w:i/>
          <w:sz w:val="24"/>
          <w:szCs w:val="24"/>
        </w:rPr>
        <w:t xml:space="preserve"> </w:t>
      </w:r>
      <w:r w:rsidRPr="00AA1269">
        <w:rPr>
          <w:rFonts w:ascii="Book Antiqua" w:hAnsi="Book Antiqua"/>
          <w:sz w:val="24"/>
          <w:szCs w:val="24"/>
        </w:rPr>
        <w:t>(</w:t>
      </w:r>
      <w:proofErr w:type="gramStart"/>
      <w:r w:rsidRPr="00AA1269">
        <w:rPr>
          <w:rFonts w:ascii="Book Antiqua" w:hAnsi="Book Antiqua"/>
          <w:sz w:val="24"/>
          <w:szCs w:val="24"/>
        </w:rPr>
        <w:t>paragraph</w:t>
      </w:r>
      <w:proofErr w:type="gramEnd"/>
      <w:r w:rsidRPr="00AA1269">
        <w:rPr>
          <w:rFonts w:ascii="Book Antiqua" w:hAnsi="Book Antiqua"/>
          <w:sz w:val="24"/>
          <w:szCs w:val="24"/>
        </w:rPr>
        <w:t xml:space="preserve"> 99)</w:t>
      </w:r>
    </w:p>
    <w:p w:rsidR="00E611D5" w:rsidRPr="00E611D5" w:rsidRDefault="00E611D5" w:rsidP="00E611D5">
      <w:pPr>
        <w:pStyle w:val="ListParagraph"/>
        <w:jc w:val="both"/>
        <w:rPr>
          <w:rFonts w:ascii="Book Antiqua" w:hAnsi="Book Antiqua"/>
          <w:sz w:val="24"/>
          <w:szCs w:val="24"/>
        </w:rPr>
      </w:pPr>
    </w:p>
    <w:p w:rsidR="00E46B65" w:rsidRDefault="00E46B65" w:rsidP="00655742">
      <w:pPr>
        <w:pStyle w:val="ListParagraph"/>
        <w:numPr>
          <w:ilvl w:val="0"/>
          <w:numId w:val="1"/>
        </w:numPr>
        <w:jc w:val="both"/>
        <w:rPr>
          <w:rFonts w:ascii="Book Antiqua" w:hAnsi="Book Antiqua"/>
          <w:sz w:val="24"/>
          <w:szCs w:val="24"/>
        </w:rPr>
      </w:pPr>
      <w:r>
        <w:rPr>
          <w:rFonts w:ascii="Book Antiqua" w:hAnsi="Book Antiqua"/>
          <w:sz w:val="24"/>
          <w:szCs w:val="24"/>
        </w:rPr>
        <w:t xml:space="preserve">The </w:t>
      </w:r>
      <w:r w:rsidR="00175417">
        <w:rPr>
          <w:rFonts w:ascii="Book Antiqua" w:hAnsi="Book Antiqua"/>
          <w:sz w:val="24"/>
          <w:szCs w:val="24"/>
        </w:rPr>
        <w:t xml:space="preserve">references in the previous </w:t>
      </w:r>
      <w:r w:rsidR="003A6ABE">
        <w:rPr>
          <w:rFonts w:ascii="Book Antiqua" w:hAnsi="Book Antiqua"/>
          <w:sz w:val="24"/>
          <w:szCs w:val="24"/>
        </w:rPr>
        <w:t>three</w:t>
      </w:r>
      <w:r w:rsidR="00175417">
        <w:rPr>
          <w:rFonts w:ascii="Book Antiqua" w:hAnsi="Book Antiqua"/>
          <w:sz w:val="24"/>
          <w:szCs w:val="24"/>
        </w:rPr>
        <w:t xml:space="preserve"> paragraphs</w:t>
      </w:r>
      <w:r>
        <w:rPr>
          <w:rFonts w:ascii="Book Antiqua" w:hAnsi="Book Antiqua"/>
          <w:sz w:val="24"/>
          <w:szCs w:val="24"/>
        </w:rPr>
        <w:t xml:space="preserve"> </w:t>
      </w:r>
      <w:r w:rsidR="00175417">
        <w:rPr>
          <w:rFonts w:ascii="Book Antiqua" w:hAnsi="Book Antiqua"/>
          <w:sz w:val="24"/>
          <w:szCs w:val="24"/>
        </w:rPr>
        <w:t>suggest</w:t>
      </w:r>
      <w:r>
        <w:rPr>
          <w:rFonts w:ascii="Book Antiqua" w:hAnsi="Book Antiqua"/>
          <w:sz w:val="24"/>
          <w:szCs w:val="24"/>
        </w:rPr>
        <w:t xml:space="preserve"> that</w:t>
      </w:r>
      <w:r w:rsidR="00BD6D34" w:rsidRPr="00AA1269">
        <w:rPr>
          <w:rFonts w:ascii="Book Antiqua" w:hAnsi="Book Antiqua"/>
          <w:sz w:val="24"/>
          <w:szCs w:val="24"/>
        </w:rPr>
        <w:t xml:space="preserve"> the Act is rights based legislation</w:t>
      </w:r>
      <w:r>
        <w:rPr>
          <w:rFonts w:ascii="Book Antiqua" w:hAnsi="Book Antiqua"/>
          <w:sz w:val="24"/>
          <w:szCs w:val="24"/>
        </w:rPr>
        <w:t xml:space="preserve"> with a humane purpose, in respect of which the Review Tribunal has an important part to play.</w:t>
      </w:r>
    </w:p>
    <w:p w:rsidR="00E46B65" w:rsidRPr="00E46B65" w:rsidRDefault="00E46B65" w:rsidP="00E46B65">
      <w:pPr>
        <w:jc w:val="both"/>
        <w:rPr>
          <w:rFonts w:ascii="Book Antiqua" w:hAnsi="Book Antiqua"/>
          <w:sz w:val="24"/>
          <w:szCs w:val="24"/>
        </w:rPr>
      </w:pPr>
    </w:p>
    <w:p w:rsidR="00BD6D34" w:rsidRDefault="00BD6D34" w:rsidP="00655742">
      <w:pPr>
        <w:pStyle w:val="ListParagraph"/>
        <w:numPr>
          <w:ilvl w:val="0"/>
          <w:numId w:val="1"/>
        </w:numPr>
        <w:jc w:val="both"/>
        <w:rPr>
          <w:rFonts w:ascii="Book Antiqua" w:hAnsi="Book Antiqua"/>
          <w:sz w:val="24"/>
          <w:szCs w:val="24"/>
        </w:rPr>
      </w:pPr>
      <w:r w:rsidRPr="00AA1269">
        <w:rPr>
          <w:rFonts w:ascii="Book Antiqua" w:hAnsi="Book Antiqua"/>
          <w:sz w:val="24"/>
          <w:szCs w:val="24"/>
        </w:rPr>
        <w:t xml:space="preserve"> </w:t>
      </w:r>
      <w:r w:rsidR="005025C2">
        <w:rPr>
          <w:rFonts w:ascii="Book Antiqua" w:hAnsi="Book Antiqua"/>
          <w:sz w:val="24"/>
          <w:szCs w:val="24"/>
        </w:rPr>
        <w:t xml:space="preserve">This in turn </w:t>
      </w:r>
      <w:r w:rsidR="003A6ABE">
        <w:rPr>
          <w:rFonts w:ascii="Book Antiqua" w:hAnsi="Book Antiqua"/>
          <w:sz w:val="24"/>
          <w:szCs w:val="24"/>
        </w:rPr>
        <w:t>suggest</w:t>
      </w:r>
      <w:r w:rsidR="005025C2">
        <w:rPr>
          <w:rFonts w:ascii="Book Antiqua" w:hAnsi="Book Antiqua"/>
          <w:sz w:val="24"/>
          <w:szCs w:val="24"/>
        </w:rPr>
        <w:t>s</w:t>
      </w:r>
      <w:r w:rsidR="00E927D8">
        <w:rPr>
          <w:rFonts w:ascii="Book Antiqua" w:hAnsi="Book Antiqua"/>
          <w:sz w:val="24"/>
          <w:szCs w:val="24"/>
        </w:rPr>
        <w:t xml:space="preserve"> that</w:t>
      </w:r>
      <w:r w:rsidR="006D4EDC">
        <w:rPr>
          <w:rFonts w:ascii="Book Antiqua" w:hAnsi="Book Antiqua"/>
          <w:sz w:val="24"/>
          <w:szCs w:val="24"/>
        </w:rPr>
        <w:t xml:space="preserve"> the Review Tribunal</w:t>
      </w:r>
      <w:r w:rsidR="00E46B65">
        <w:rPr>
          <w:rFonts w:ascii="Book Antiqua" w:hAnsi="Book Antiqua"/>
          <w:sz w:val="24"/>
          <w:szCs w:val="24"/>
        </w:rPr>
        <w:t xml:space="preserve"> </w:t>
      </w:r>
      <w:r w:rsidR="003A6ABE">
        <w:rPr>
          <w:rFonts w:ascii="Book Antiqua" w:hAnsi="Book Antiqua"/>
          <w:sz w:val="24"/>
          <w:szCs w:val="24"/>
        </w:rPr>
        <w:t>is not prevented from</w:t>
      </w:r>
      <w:r w:rsidR="00E46B65">
        <w:rPr>
          <w:rFonts w:ascii="Book Antiqua" w:hAnsi="Book Antiqua"/>
          <w:sz w:val="24"/>
          <w:szCs w:val="24"/>
        </w:rPr>
        <w:t xml:space="preserve"> commenting on matters which </w:t>
      </w:r>
      <w:r w:rsidR="003A6ABE">
        <w:rPr>
          <w:rFonts w:ascii="Book Antiqua" w:hAnsi="Book Antiqua"/>
          <w:sz w:val="24"/>
          <w:szCs w:val="24"/>
        </w:rPr>
        <w:t>it is not formally required to decide</w:t>
      </w:r>
      <w:r w:rsidR="005025C2">
        <w:rPr>
          <w:rFonts w:ascii="Book Antiqua" w:hAnsi="Book Antiqua"/>
          <w:sz w:val="24"/>
          <w:szCs w:val="24"/>
        </w:rPr>
        <w:t>, and arguably should do so in some circumstances.</w:t>
      </w:r>
    </w:p>
    <w:p w:rsidR="00BE79A7" w:rsidRPr="00BE79A7" w:rsidRDefault="00BE79A7" w:rsidP="00BE79A7">
      <w:pPr>
        <w:pStyle w:val="ListParagraph"/>
        <w:rPr>
          <w:rFonts w:ascii="Book Antiqua" w:hAnsi="Book Antiqua"/>
          <w:sz w:val="24"/>
          <w:szCs w:val="24"/>
        </w:rPr>
      </w:pPr>
    </w:p>
    <w:p w:rsidR="00BE79A7" w:rsidRPr="00BE79A7" w:rsidRDefault="00BE79A7" w:rsidP="00BE79A7">
      <w:pPr>
        <w:pStyle w:val="ListParagraph"/>
        <w:numPr>
          <w:ilvl w:val="0"/>
          <w:numId w:val="1"/>
        </w:numPr>
        <w:spacing w:line="256" w:lineRule="auto"/>
        <w:jc w:val="both"/>
        <w:rPr>
          <w:rFonts w:ascii="Book Antiqua" w:hAnsi="Book Antiqua"/>
          <w:sz w:val="24"/>
          <w:szCs w:val="24"/>
        </w:rPr>
      </w:pPr>
      <w:r w:rsidRPr="00BE79A7">
        <w:rPr>
          <w:rFonts w:ascii="Book Antiqua" w:hAnsi="Book Antiqua"/>
          <w:sz w:val="24"/>
          <w:szCs w:val="24"/>
        </w:rPr>
        <w:t xml:space="preserve">However, these circumstances will be relatively infrequent and in general terms </w:t>
      </w:r>
      <w:r>
        <w:rPr>
          <w:rFonts w:ascii="Book Antiqua" w:hAnsi="Book Antiqua"/>
          <w:sz w:val="24"/>
          <w:szCs w:val="24"/>
        </w:rPr>
        <w:t xml:space="preserve">Review </w:t>
      </w:r>
      <w:r w:rsidRPr="00BE79A7">
        <w:rPr>
          <w:rFonts w:ascii="Book Antiqua" w:hAnsi="Book Antiqua"/>
          <w:sz w:val="24"/>
          <w:szCs w:val="24"/>
        </w:rPr>
        <w:t xml:space="preserve">Tribunal hearings should not be used as </w:t>
      </w:r>
      <w:r>
        <w:rPr>
          <w:rFonts w:ascii="Book Antiqua" w:hAnsi="Book Antiqua"/>
          <w:sz w:val="24"/>
          <w:szCs w:val="24"/>
        </w:rPr>
        <w:t>a</w:t>
      </w:r>
      <w:r w:rsidRPr="00BE79A7">
        <w:rPr>
          <w:rFonts w:ascii="Book Antiqua" w:hAnsi="Book Antiqua"/>
          <w:sz w:val="24"/>
          <w:szCs w:val="24"/>
        </w:rPr>
        <w:t xml:space="preserve"> vehicle to raise issues not related to its core functions.</w:t>
      </w:r>
    </w:p>
    <w:p w:rsidR="00BE79A7" w:rsidRDefault="00BE79A7" w:rsidP="00BE79A7">
      <w:pPr>
        <w:pStyle w:val="ListParagraph"/>
        <w:rPr>
          <w:rFonts w:ascii="Book Antiqua" w:hAnsi="Book Antiqua"/>
          <w:sz w:val="24"/>
          <w:szCs w:val="24"/>
        </w:rPr>
      </w:pPr>
    </w:p>
    <w:p w:rsidR="00BE79A7" w:rsidRDefault="00BE79A7" w:rsidP="00BE79A7">
      <w:pPr>
        <w:pStyle w:val="ListParagraph"/>
        <w:jc w:val="both"/>
        <w:rPr>
          <w:rFonts w:ascii="Book Antiqua" w:hAnsi="Book Antiqua"/>
          <w:sz w:val="24"/>
          <w:szCs w:val="24"/>
        </w:rPr>
      </w:pPr>
    </w:p>
    <w:p w:rsidR="005025C2" w:rsidRPr="005025C2" w:rsidRDefault="005025C2" w:rsidP="005025C2">
      <w:pPr>
        <w:pStyle w:val="ListParagraph"/>
        <w:rPr>
          <w:rFonts w:ascii="Book Antiqua" w:hAnsi="Book Antiqua"/>
          <w:sz w:val="24"/>
          <w:szCs w:val="24"/>
        </w:rPr>
      </w:pPr>
    </w:p>
    <w:p w:rsidR="005025C2" w:rsidRDefault="005025C2" w:rsidP="005025C2">
      <w:pPr>
        <w:pStyle w:val="ListParagraph"/>
        <w:jc w:val="both"/>
        <w:rPr>
          <w:rFonts w:ascii="Book Antiqua" w:hAnsi="Book Antiqua"/>
          <w:sz w:val="24"/>
          <w:szCs w:val="24"/>
        </w:rPr>
      </w:pPr>
    </w:p>
    <w:p w:rsidR="003C2C29" w:rsidRPr="005025C2" w:rsidRDefault="005025C2" w:rsidP="005025C2">
      <w:pPr>
        <w:jc w:val="both"/>
        <w:rPr>
          <w:rFonts w:ascii="Book Antiqua" w:hAnsi="Book Antiqua"/>
          <w:b/>
          <w:sz w:val="24"/>
          <w:szCs w:val="24"/>
        </w:rPr>
      </w:pPr>
      <w:r>
        <w:rPr>
          <w:rFonts w:ascii="Book Antiqua" w:hAnsi="Book Antiqua"/>
          <w:b/>
          <w:sz w:val="24"/>
          <w:szCs w:val="24"/>
        </w:rPr>
        <w:lastRenderedPageBreak/>
        <w:t>Considerations</w:t>
      </w:r>
    </w:p>
    <w:p w:rsidR="00940F27" w:rsidRDefault="00BE79A7" w:rsidP="00E00D09">
      <w:pPr>
        <w:pStyle w:val="ListParagraph"/>
        <w:numPr>
          <w:ilvl w:val="0"/>
          <w:numId w:val="1"/>
        </w:numPr>
        <w:jc w:val="both"/>
        <w:rPr>
          <w:rFonts w:ascii="Book Antiqua" w:hAnsi="Book Antiqua"/>
          <w:sz w:val="24"/>
          <w:szCs w:val="24"/>
        </w:rPr>
      </w:pPr>
      <w:r w:rsidRPr="00BE79A7">
        <w:rPr>
          <w:rFonts w:ascii="Book Antiqua" w:hAnsi="Book Antiqua"/>
          <w:sz w:val="24"/>
          <w:szCs w:val="24"/>
          <w:u w:val="single"/>
        </w:rPr>
        <w:t>Subject to the general principle referred to in paragraph 10</w:t>
      </w:r>
      <w:r>
        <w:rPr>
          <w:rFonts w:ascii="Book Antiqua" w:hAnsi="Book Antiqua"/>
          <w:sz w:val="24"/>
          <w:szCs w:val="24"/>
        </w:rPr>
        <w:t>, c</w:t>
      </w:r>
      <w:r w:rsidR="003C2C29">
        <w:rPr>
          <w:rFonts w:ascii="Book Antiqua" w:hAnsi="Book Antiqua"/>
          <w:sz w:val="24"/>
          <w:szCs w:val="24"/>
        </w:rPr>
        <w:t>onsiderations relevant to whether comment</w:t>
      </w:r>
      <w:r w:rsidR="009928D3">
        <w:rPr>
          <w:rFonts w:ascii="Book Antiqua" w:hAnsi="Book Antiqua"/>
          <w:sz w:val="24"/>
          <w:szCs w:val="24"/>
        </w:rPr>
        <w:t xml:space="preserve"> on matters strictly outside the Review Tribunal’s jurisdiction is appropriate</w:t>
      </w:r>
      <w:r w:rsidR="00967054">
        <w:rPr>
          <w:rFonts w:ascii="Book Antiqua" w:hAnsi="Book Antiqua"/>
          <w:sz w:val="24"/>
          <w:szCs w:val="24"/>
        </w:rPr>
        <w:t xml:space="preserve"> include:</w:t>
      </w:r>
    </w:p>
    <w:p w:rsidR="005E3B38" w:rsidRDefault="005E3B38" w:rsidP="005E3B38">
      <w:pPr>
        <w:pStyle w:val="ListParagraph"/>
        <w:numPr>
          <w:ilvl w:val="0"/>
          <w:numId w:val="19"/>
        </w:numPr>
        <w:jc w:val="both"/>
        <w:rPr>
          <w:rFonts w:ascii="Book Antiqua" w:hAnsi="Book Antiqua"/>
          <w:sz w:val="24"/>
          <w:szCs w:val="24"/>
        </w:rPr>
      </w:pPr>
      <w:r>
        <w:rPr>
          <w:rFonts w:ascii="Book Antiqua" w:hAnsi="Book Antiqua"/>
          <w:sz w:val="24"/>
          <w:szCs w:val="24"/>
        </w:rPr>
        <w:t>Whether there is a</w:t>
      </w:r>
      <w:r w:rsidR="001540A9">
        <w:rPr>
          <w:rFonts w:ascii="Book Antiqua" w:hAnsi="Book Antiqua"/>
          <w:sz w:val="24"/>
          <w:szCs w:val="24"/>
        </w:rPr>
        <w:t xml:space="preserve"> close</w:t>
      </w:r>
      <w:r>
        <w:rPr>
          <w:rFonts w:ascii="Book Antiqua" w:hAnsi="Book Antiqua"/>
          <w:sz w:val="24"/>
          <w:szCs w:val="24"/>
        </w:rPr>
        <w:t xml:space="preserve"> interconnection between</w:t>
      </w:r>
      <w:r w:rsidR="001540A9">
        <w:rPr>
          <w:rFonts w:ascii="Book Antiqua" w:hAnsi="Book Antiqua"/>
          <w:sz w:val="24"/>
          <w:szCs w:val="24"/>
        </w:rPr>
        <w:t xml:space="preserve"> those matters, and the matters</w:t>
      </w:r>
      <w:r>
        <w:rPr>
          <w:rFonts w:ascii="Book Antiqua" w:hAnsi="Book Antiqua"/>
          <w:sz w:val="24"/>
          <w:szCs w:val="24"/>
        </w:rPr>
        <w:t xml:space="preserve"> </w:t>
      </w:r>
      <w:r w:rsidR="001540A9">
        <w:rPr>
          <w:rFonts w:ascii="Book Antiqua" w:hAnsi="Book Antiqua"/>
          <w:sz w:val="24"/>
          <w:szCs w:val="24"/>
        </w:rPr>
        <w:t>which it</w:t>
      </w:r>
      <w:r>
        <w:rPr>
          <w:rFonts w:ascii="Book Antiqua" w:hAnsi="Book Antiqua"/>
          <w:sz w:val="24"/>
          <w:szCs w:val="24"/>
        </w:rPr>
        <w:t xml:space="preserve"> is required to  decide;</w:t>
      </w:r>
    </w:p>
    <w:p w:rsidR="008D5753" w:rsidRDefault="008D5753" w:rsidP="008D5753">
      <w:pPr>
        <w:pStyle w:val="ListParagraph"/>
        <w:ind w:left="1440"/>
        <w:jc w:val="both"/>
        <w:rPr>
          <w:rFonts w:ascii="Book Antiqua" w:hAnsi="Book Antiqua"/>
          <w:sz w:val="24"/>
          <w:szCs w:val="24"/>
        </w:rPr>
      </w:pPr>
    </w:p>
    <w:p w:rsidR="00797D91" w:rsidRDefault="00797D91" w:rsidP="00540FD4">
      <w:pPr>
        <w:pStyle w:val="ListParagraph"/>
        <w:numPr>
          <w:ilvl w:val="0"/>
          <w:numId w:val="14"/>
        </w:numPr>
        <w:rPr>
          <w:rFonts w:ascii="Book Antiqua" w:hAnsi="Book Antiqua"/>
          <w:sz w:val="24"/>
          <w:szCs w:val="24"/>
        </w:rPr>
      </w:pPr>
      <w:r>
        <w:rPr>
          <w:rFonts w:ascii="Book Antiqua" w:hAnsi="Book Antiqua"/>
          <w:sz w:val="24"/>
          <w:szCs w:val="24"/>
        </w:rPr>
        <w:t>Whether there is a breach of the law or acceptable professional standards;</w:t>
      </w:r>
    </w:p>
    <w:p w:rsidR="001540A9" w:rsidRDefault="001540A9" w:rsidP="001540A9">
      <w:pPr>
        <w:pStyle w:val="ListParagraph"/>
        <w:numPr>
          <w:ilvl w:val="0"/>
          <w:numId w:val="14"/>
        </w:numPr>
        <w:rPr>
          <w:rFonts w:ascii="Book Antiqua" w:hAnsi="Book Antiqua"/>
          <w:sz w:val="24"/>
          <w:szCs w:val="24"/>
        </w:rPr>
      </w:pPr>
      <w:r>
        <w:rPr>
          <w:rFonts w:ascii="Book Antiqua" w:hAnsi="Book Antiqua"/>
          <w:sz w:val="24"/>
          <w:szCs w:val="24"/>
        </w:rPr>
        <w:t>The degree of importance of the matters to the rights and welfare of  the applicant concerned;</w:t>
      </w:r>
    </w:p>
    <w:p w:rsidR="001540A9" w:rsidRPr="00540FD4" w:rsidRDefault="001540A9" w:rsidP="00540FD4">
      <w:pPr>
        <w:pStyle w:val="ListParagraph"/>
        <w:numPr>
          <w:ilvl w:val="0"/>
          <w:numId w:val="14"/>
        </w:numPr>
        <w:rPr>
          <w:rFonts w:ascii="Book Antiqua" w:hAnsi="Book Antiqua"/>
          <w:sz w:val="24"/>
          <w:szCs w:val="24"/>
        </w:rPr>
      </w:pPr>
      <w:r>
        <w:rPr>
          <w:rFonts w:ascii="Book Antiqua" w:hAnsi="Book Antiqua"/>
          <w:sz w:val="24"/>
          <w:szCs w:val="24"/>
        </w:rPr>
        <w:t>Whether the matters affect the rights and welfare of others</w:t>
      </w:r>
      <w:r w:rsidR="00F00E3B">
        <w:rPr>
          <w:rFonts w:ascii="Book Antiqua" w:hAnsi="Book Antiqua"/>
          <w:sz w:val="24"/>
          <w:szCs w:val="24"/>
        </w:rPr>
        <w:t xml:space="preserve"> as well as the applicant concerned</w:t>
      </w:r>
      <w:r>
        <w:rPr>
          <w:rFonts w:ascii="Book Antiqua" w:hAnsi="Book Antiqua"/>
          <w:sz w:val="24"/>
          <w:szCs w:val="24"/>
        </w:rPr>
        <w:t>;</w:t>
      </w:r>
    </w:p>
    <w:p w:rsidR="008D5753" w:rsidRPr="00940F27" w:rsidRDefault="001540A9" w:rsidP="008D5753">
      <w:pPr>
        <w:pStyle w:val="ListParagraph"/>
        <w:numPr>
          <w:ilvl w:val="0"/>
          <w:numId w:val="14"/>
        </w:numPr>
        <w:jc w:val="both"/>
        <w:rPr>
          <w:rFonts w:ascii="Book Antiqua" w:hAnsi="Book Antiqua"/>
          <w:sz w:val="24"/>
          <w:szCs w:val="24"/>
        </w:rPr>
      </w:pPr>
      <w:r>
        <w:rPr>
          <w:rFonts w:ascii="Book Antiqua" w:hAnsi="Book Antiqua"/>
          <w:sz w:val="24"/>
          <w:szCs w:val="24"/>
        </w:rPr>
        <w:t>Whether comment might damage therapeutic</w:t>
      </w:r>
      <w:r w:rsidR="008D5753">
        <w:rPr>
          <w:rFonts w:ascii="Book Antiqua" w:hAnsi="Book Antiqua"/>
          <w:sz w:val="24"/>
          <w:szCs w:val="24"/>
        </w:rPr>
        <w:t xml:space="preserve"> relationship</w:t>
      </w:r>
      <w:r>
        <w:rPr>
          <w:rFonts w:ascii="Book Antiqua" w:hAnsi="Book Antiqua"/>
          <w:sz w:val="24"/>
          <w:szCs w:val="24"/>
        </w:rPr>
        <w:t>s</w:t>
      </w:r>
      <w:r w:rsidR="008D5753">
        <w:rPr>
          <w:rFonts w:ascii="Book Antiqua" w:hAnsi="Book Antiqua"/>
          <w:sz w:val="24"/>
          <w:szCs w:val="24"/>
        </w:rPr>
        <w:t>;</w:t>
      </w:r>
    </w:p>
    <w:p w:rsidR="008D5753" w:rsidRDefault="009C3644" w:rsidP="008D5753">
      <w:pPr>
        <w:pStyle w:val="ListParagraph"/>
        <w:numPr>
          <w:ilvl w:val="0"/>
          <w:numId w:val="14"/>
        </w:numPr>
        <w:jc w:val="both"/>
        <w:rPr>
          <w:rFonts w:ascii="Book Antiqua" w:hAnsi="Book Antiqua"/>
          <w:sz w:val="24"/>
          <w:szCs w:val="24"/>
        </w:rPr>
      </w:pPr>
      <w:r>
        <w:rPr>
          <w:rFonts w:ascii="Book Antiqua" w:hAnsi="Book Antiqua"/>
          <w:sz w:val="24"/>
          <w:szCs w:val="24"/>
        </w:rPr>
        <w:t xml:space="preserve">Whether </w:t>
      </w:r>
      <w:r w:rsidR="001540A9">
        <w:rPr>
          <w:rFonts w:ascii="Book Antiqua" w:hAnsi="Book Antiqua"/>
          <w:sz w:val="24"/>
          <w:szCs w:val="24"/>
        </w:rPr>
        <w:t>comment</w:t>
      </w:r>
      <w:r>
        <w:rPr>
          <w:rFonts w:ascii="Book Antiqua" w:hAnsi="Book Antiqua"/>
          <w:sz w:val="24"/>
          <w:szCs w:val="24"/>
        </w:rPr>
        <w:t xml:space="preserve"> would give rise to misunderstanding or confusion as to the role of the Review Tribunal;</w:t>
      </w:r>
    </w:p>
    <w:p w:rsidR="00BA600D" w:rsidRDefault="00BA600D" w:rsidP="008D5753">
      <w:pPr>
        <w:pStyle w:val="ListParagraph"/>
        <w:numPr>
          <w:ilvl w:val="0"/>
          <w:numId w:val="14"/>
        </w:numPr>
        <w:jc w:val="both"/>
        <w:rPr>
          <w:rFonts w:ascii="Book Antiqua" w:hAnsi="Book Antiqua"/>
          <w:sz w:val="24"/>
          <w:szCs w:val="24"/>
        </w:rPr>
      </w:pPr>
      <w:r>
        <w:rPr>
          <w:rFonts w:ascii="Book Antiqua" w:hAnsi="Book Antiqua"/>
          <w:sz w:val="24"/>
          <w:szCs w:val="24"/>
        </w:rPr>
        <w:t xml:space="preserve">Whether </w:t>
      </w:r>
      <w:r w:rsidR="00F00E3B">
        <w:rPr>
          <w:rFonts w:ascii="Book Antiqua" w:hAnsi="Book Antiqua"/>
          <w:sz w:val="24"/>
          <w:szCs w:val="24"/>
        </w:rPr>
        <w:t>comment</w:t>
      </w:r>
      <w:r>
        <w:rPr>
          <w:rFonts w:ascii="Book Antiqua" w:hAnsi="Book Antiqua"/>
          <w:sz w:val="24"/>
          <w:szCs w:val="24"/>
        </w:rPr>
        <w:t xml:space="preserve"> would diminish the standing of the Review Tribunal;</w:t>
      </w:r>
    </w:p>
    <w:p w:rsidR="00BA600D" w:rsidRDefault="00BA600D" w:rsidP="008D5753">
      <w:pPr>
        <w:pStyle w:val="ListParagraph"/>
        <w:numPr>
          <w:ilvl w:val="0"/>
          <w:numId w:val="14"/>
        </w:numPr>
        <w:jc w:val="both"/>
        <w:rPr>
          <w:rFonts w:ascii="Book Antiqua" w:hAnsi="Book Antiqua"/>
          <w:sz w:val="24"/>
          <w:szCs w:val="24"/>
        </w:rPr>
      </w:pPr>
      <w:r>
        <w:rPr>
          <w:rFonts w:ascii="Book Antiqua" w:hAnsi="Book Antiqua"/>
          <w:sz w:val="24"/>
          <w:szCs w:val="24"/>
        </w:rPr>
        <w:t xml:space="preserve">Whether </w:t>
      </w:r>
      <w:r w:rsidR="00F00E3B">
        <w:rPr>
          <w:rFonts w:ascii="Book Antiqua" w:hAnsi="Book Antiqua"/>
          <w:sz w:val="24"/>
          <w:szCs w:val="24"/>
        </w:rPr>
        <w:t>comment</w:t>
      </w:r>
      <w:r>
        <w:rPr>
          <w:rFonts w:ascii="Book Antiqua" w:hAnsi="Book Antiqua"/>
          <w:sz w:val="24"/>
          <w:szCs w:val="24"/>
        </w:rPr>
        <w:t xml:space="preserve"> would serve to limit future cooperation with the R</w:t>
      </w:r>
      <w:r w:rsidR="00F00E3B">
        <w:rPr>
          <w:rFonts w:ascii="Book Antiqua" w:hAnsi="Book Antiqua"/>
          <w:sz w:val="24"/>
          <w:szCs w:val="24"/>
        </w:rPr>
        <w:t>eview Tribunal</w:t>
      </w:r>
      <w:r>
        <w:rPr>
          <w:rFonts w:ascii="Book Antiqua" w:hAnsi="Book Antiqua"/>
          <w:sz w:val="24"/>
          <w:szCs w:val="24"/>
        </w:rPr>
        <w:t>;</w:t>
      </w:r>
    </w:p>
    <w:p w:rsidR="009C3644" w:rsidRPr="00940F27" w:rsidRDefault="009C3644" w:rsidP="008D5753">
      <w:pPr>
        <w:pStyle w:val="ListParagraph"/>
        <w:numPr>
          <w:ilvl w:val="0"/>
          <w:numId w:val="14"/>
        </w:numPr>
        <w:jc w:val="both"/>
        <w:rPr>
          <w:rFonts w:ascii="Book Antiqua" w:hAnsi="Book Antiqua"/>
          <w:sz w:val="24"/>
          <w:szCs w:val="24"/>
        </w:rPr>
      </w:pPr>
      <w:r>
        <w:rPr>
          <w:rFonts w:ascii="Book Antiqua" w:hAnsi="Book Antiqua"/>
          <w:sz w:val="24"/>
          <w:szCs w:val="24"/>
        </w:rPr>
        <w:t xml:space="preserve">Whether </w:t>
      </w:r>
      <w:r w:rsidR="00F00E3B">
        <w:rPr>
          <w:rFonts w:ascii="Book Antiqua" w:hAnsi="Book Antiqua"/>
          <w:sz w:val="24"/>
          <w:szCs w:val="24"/>
        </w:rPr>
        <w:t xml:space="preserve">comment </w:t>
      </w:r>
      <w:r>
        <w:rPr>
          <w:rFonts w:ascii="Book Antiqua" w:hAnsi="Book Antiqua"/>
          <w:sz w:val="24"/>
          <w:szCs w:val="24"/>
        </w:rPr>
        <w:t>would distract from the primary issues before the Review Tribunal;</w:t>
      </w:r>
    </w:p>
    <w:p w:rsidR="008D5753" w:rsidRDefault="009C3644" w:rsidP="00940F27">
      <w:pPr>
        <w:pStyle w:val="ListParagraph"/>
        <w:numPr>
          <w:ilvl w:val="0"/>
          <w:numId w:val="14"/>
        </w:numPr>
        <w:jc w:val="both"/>
        <w:rPr>
          <w:rFonts w:ascii="Book Antiqua" w:hAnsi="Book Antiqua"/>
          <w:sz w:val="24"/>
          <w:szCs w:val="24"/>
        </w:rPr>
      </w:pPr>
      <w:r>
        <w:rPr>
          <w:rFonts w:ascii="Book Antiqua" w:hAnsi="Book Antiqua"/>
          <w:sz w:val="24"/>
          <w:szCs w:val="24"/>
        </w:rPr>
        <w:t xml:space="preserve">Whether </w:t>
      </w:r>
      <w:r w:rsidR="00F00E3B">
        <w:rPr>
          <w:rFonts w:ascii="Book Antiqua" w:hAnsi="Book Antiqua"/>
          <w:sz w:val="24"/>
          <w:szCs w:val="24"/>
        </w:rPr>
        <w:t xml:space="preserve">comment </w:t>
      </w:r>
      <w:r>
        <w:rPr>
          <w:rFonts w:ascii="Book Antiqua" w:hAnsi="Book Antiqua"/>
          <w:sz w:val="24"/>
          <w:szCs w:val="24"/>
        </w:rPr>
        <w:t>might give rise to false hopes or expectations on the part of applicants or family members</w:t>
      </w:r>
      <w:r w:rsidR="0003279C">
        <w:rPr>
          <w:rFonts w:ascii="Book Antiqua" w:hAnsi="Book Antiqua"/>
          <w:sz w:val="24"/>
          <w:szCs w:val="24"/>
        </w:rPr>
        <w:t>;</w:t>
      </w:r>
    </w:p>
    <w:p w:rsidR="0003279C" w:rsidRDefault="0003279C" w:rsidP="00940F27">
      <w:pPr>
        <w:pStyle w:val="ListParagraph"/>
        <w:numPr>
          <w:ilvl w:val="0"/>
          <w:numId w:val="14"/>
        </w:numPr>
        <w:jc w:val="both"/>
        <w:rPr>
          <w:rFonts w:ascii="Book Antiqua" w:hAnsi="Book Antiqua"/>
          <w:sz w:val="24"/>
          <w:szCs w:val="24"/>
        </w:rPr>
      </w:pPr>
      <w:r>
        <w:rPr>
          <w:rFonts w:ascii="Book Antiqua" w:hAnsi="Book Antiqua"/>
          <w:sz w:val="24"/>
          <w:szCs w:val="24"/>
        </w:rPr>
        <w:t>The extent to which the Review Tribunal has complete</w:t>
      </w:r>
      <w:r w:rsidR="00682AB6">
        <w:rPr>
          <w:rFonts w:ascii="Book Antiqua" w:hAnsi="Book Antiqua"/>
          <w:sz w:val="24"/>
          <w:szCs w:val="24"/>
        </w:rPr>
        <w:t xml:space="preserve"> and</w:t>
      </w:r>
      <w:r>
        <w:rPr>
          <w:rFonts w:ascii="Book Antiqua" w:hAnsi="Book Antiqua"/>
          <w:sz w:val="24"/>
          <w:szCs w:val="24"/>
        </w:rPr>
        <w:t xml:space="preserve"> reliable information to comment;</w:t>
      </w:r>
    </w:p>
    <w:p w:rsidR="00682AB6" w:rsidRDefault="00682AB6" w:rsidP="00940F27">
      <w:pPr>
        <w:pStyle w:val="ListParagraph"/>
        <w:numPr>
          <w:ilvl w:val="0"/>
          <w:numId w:val="14"/>
        </w:numPr>
        <w:jc w:val="both"/>
        <w:rPr>
          <w:rFonts w:ascii="Book Antiqua" w:hAnsi="Book Antiqua"/>
          <w:sz w:val="24"/>
          <w:szCs w:val="24"/>
        </w:rPr>
      </w:pPr>
      <w:r>
        <w:rPr>
          <w:rFonts w:ascii="Book Antiqua" w:hAnsi="Book Antiqua"/>
          <w:sz w:val="24"/>
          <w:szCs w:val="24"/>
        </w:rPr>
        <w:t xml:space="preserve">The extent to which </w:t>
      </w:r>
      <w:r w:rsidR="00F00E3B">
        <w:rPr>
          <w:rFonts w:ascii="Book Antiqua" w:hAnsi="Book Antiqua"/>
          <w:sz w:val="24"/>
          <w:szCs w:val="24"/>
        </w:rPr>
        <w:t>comment</w:t>
      </w:r>
      <w:r w:rsidR="00F8578D">
        <w:rPr>
          <w:rFonts w:ascii="Book Antiqua" w:hAnsi="Book Antiqua"/>
          <w:sz w:val="24"/>
          <w:szCs w:val="24"/>
        </w:rPr>
        <w:t xml:space="preserve"> would be of practical benefit;</w:t>
      </w:r>
    </w:p>
    <w:p w:rsidR="00F8578D" w:rsidRDefault="00F8578D" w:rsidP="00940F27">
      <w:pPr>
        <w:pStyle w:val="ListParagraph"/>
        <w:numPr>
          <w:ilvl w:val="0"/>
          <w:numId w:val="14"/>
        </w:numPr>
        <w:jc w:val="both"/>
        <w:rPr>
          <w:rFonts w:ascii="Book Antiqua" w:hAnsi="Book Antiqua"/>
          <w:sz w:val="24"/>
          <w:szCs w:val="24"/>
        </w:rPr>
      </w:pPr>
      <w:r>
        <w:rPr>
          <w:rFonts w:ascii="Book Antiqua" w:hAnsi="Book Antiqua"/>
          <w:sz w:val="24"/>
          <w:szCs w:val="24"/>
        </w:rPr>
        <w:t>Whether</w:t>
      </w:r>
      <w:r w:rsidR="00F00E3B">
        <w:rPr>
          <w:rFonts w:ascii="Book Antiqua" w:hAnsi="Book Antiqua"/>
          <w:sz w:val="24"/>
          <w:szCs w:val="24"/>
        </w:rPr>
        <w:t xml:space="preserve"> it is a matter about which</w:t>
      </w:r>
      <w:r>
        <w:rPr>
          <w:rFonts w:ascii="Book Antiqua" w:hAnsi="Book Antiqua"/>
          <w:sz w:val="24"/>
          <w:szCs w:val="24"/>
        </w:rPr>
        <w:t xml:space="preserve"> authorities should be alerted;</w:t>
      </w:r>
    </w:p>
    <w:p w:rsidR="00BC5A7B" w:rsidRDefault="00797D91" w:rsidP="00940F27">
      <w:pPr>
        <w:pStyle w:val="ListParagraph"/>
        <w:numPr>
          <w:ilvl w:val="0"/>
          <w:numId w:val="14"/>
        </w:numPr>
        <w:jc w:val="both"/>
        <w:rPr>
          <w:rFonts w:ascii="Book Antiqua" w:hAnsi="Book Antiqua"/>
          <w:sz w:val="24"/>
          <w:szCs w:val="24"/>
        </w:rPr>
      </w:pPr>
      <w:r w:rsidRPr="00BC5A7B">
        <w:rPr>
          <w:rFonts w:ascii="Book Antiqua" w:hAnsi="Book Antiqua"/>
          <w:sz w:val="24"/>
          <w:szCs w:val="24"/>
        </w:rPr>
        <w:t xml:space="preserve">Whether or not the Review Tribunal will be </w:t>
      </w:r>
      <w:r w:rsidR="00F00E3B" w:rsidRPr="00BC5A7B">
        <w:rPr>
          <w:rFonts w:ascii="Book Antiqua" w:hAnsi="Book Antiqua"/>
          <w:sz w:val="24"/>
          <w:szCs w:val="24"/>
        </w:rPr>
        <w:t>in a position</w:t>
      </w:r>
      <w:r w:rsidRPr="00BC5A7B">
        <w:rPr>
          <w:rFonts w:ascii="Book Antiqua" w:hAnsi="Book Antiqua"/>
          <w:sz w:val="24"/>
          <w:szCs w:val="24"/>
        </w:rPr>
        <w:t xml:space="preserve"> to monitor the issue</w:t>
      </w:r>
      <w:r w:rsidR="00F00E3B" w:rsidRPr="00BC5A7B">
        <w:rPr>
          <w:rFonts w:ascii="Book Antiqua" w:hAnsi="Book Antiqua"/>
          <w:sz w:val="24"/>
          <w:szCs w:val="24"/>
        </w:rPr>
        <w:t xml:space="preserve"> commented on</w:t>
      </w:r>
      <w:r w:rsidRPr="00BC5A7B">
        <w:rPr>
          <w:rFonts w:ascii="Book Antiqua" w:hAnsi="Book Antiqua"/>
          <w:sz w:val="24"/>
          <w:szCs w:val="24"/>
        </w:rPr>
        <w:t xml:space="preserve"> at later review hearings;</w:t>
      </w:r>
    </w:p>
    <w:p w:rsidR="00BC5A7B" w:rsidRDefault="00BC5A7B" w:rsidP="00940F27">
      <w:pPr>
        <w:pStyle w:val="ListParagraph"/>
        <w:numPr>
          <w:ilvl w:val="0"/>
          <w:numId w:val="14"/>
        </w:numPr>
        <w:jc w:val="both"/>
        <w:rPr>
          <w:rFonts w:ascii="Book Antiqua" w:hAnsi="Book Antiqua"/>
          <w:sz w:val="24"/>
          <w:szCs w:val="24"/>
        </w:rPr>
      </w:pPr>
      <w:r>
        <w:rPr>
          <w:rFonts w:ascii="Book Antiqua" w:hAnsi="Book Antiqua"/>
          <w:sz w:val="24"/>
          <w:szCs w:val="24"/>
        </w:rPr>
        <w:t>Whether comment would involve personal or institutional criticism;</w:t>
      </w:r>
    </w:p>
    <w:p w:rsidR="007E6211" w:rsidRPr="00BC5A7B" w:rsidRDefault="00472F2A" w:rsidP="00940F27">
      <w:pPr>
        <w:pStyle w:val="ListParagraph"/>
        <w:numPr>
          <w:ilvl w:val="0"/>
          <w:numId w:val="14"/>
        </w:numPr>
        <w:jc w:val="both"/>
        <w:rPr>
          <w:rFonts w:ascii="Book Antiqua" w:hAnsi="Book Antiqua"/>
          <w:sz w:val="24"/>
          <w:szCs w:val="24"/>
        </w:rPr>
      </w:pPr>
      <w:r w:rsidRPr="00BC5A7B">
        <w:rPr>
          <w:rFonts w:ascii="Book Antiqua" w:hAnsi="Book Antiqua"/>
          <w:sz w:val="24"/>
          <w:szCs w:val="24"/>
        </w:rPr>
        <w:t xml:space="preserve">Whether </w:t>
      </w:r>
      <w:r w:rsidR="00F00E3B" w:rsidRPr="00BC5A7B">
        <w:rPr>
          <w:rFonts w:ascii="Book Antiqua" w:hAnsi="Book Antiqua"/>
          <w:sz w:val="24"/>
          <w:szCs w:val="24"/>
        </w:rPr>
        <w:t>comment would be</w:t>
      </w:r>
      <w:r w:rsidRPr="00BC5A7B">
        <w:rPr>
          <w:rFonts w:ascii="Book Antiqua" w:hAnsi="Book Antiqua"/>
          <w:sz w:val="24"/>
          <w:szCs w:val="24"/>
        </w:rPr>
        <w:t xml:space="preserve"> procedurally fair and in accord with natural justice;</w:t>
      </w:r>
    </w:p>
    <w:p w:rsidR="00472F2A" w:rsidRDefault="00F00E3B" w:rsidP="00940F27">
      <w:pPr>
        <w:pStyle w:val="ListParagraph"/>
        <w:numPr>
          <w:ilvl w:val="0"/>
          <w:numId w:val="14"/>
        </w:numPr>
        <w:jc w:val="both"/>
        <w:rPr>
          <w:rFonts w:ascii="Book Antiqua" w:hAnsi="Book Antiqua"/>
          <w:sz w:val="24"/>
          <w:szCs w:val="24"/>
        </w:rPr>
      </w:pPr>
      <w:r>
        <w:rPr>
          <w:rFonts w:ascii="Book Antiqua" w:hAnsi="Book Antiqua"/>
          <w:sz w:val="24"/>
          <w:szCs w:val="24"/>
        </w:rPr>
        <w:t>Whether comment is a means of acknowledging concerns and displaying sympathy</w:t>
      </w:r>
      <w:r w:rsidR="00472F2A">
        <w:rPr>
          <w:rFonts w:ascii="Book Antiqua" w:hAnsi="Book Antiqua"/>
          <w:sz w:val="24"/>
          <w:szCs w:val="24"/>
        </w:rPr>
        <w:t>;</w:t>
      </w:r>
    </w:p>
    <w:p w:rsidR="00472F2A" w:rsidRDefault="00472F2A" w:rsidP="00940F27">
      <w:pPr>
        <w:pStyle w:val="ListParagraph"/>
        <w:numPr>
          <w:ilvl w:val="0"/>
          <w:numId w:val="14"/>
        </w:numPr>
        <w:jc w:val="both"/>
        <w:rPr>
          <w:rFonts w:ascii="Book Antiqua" w:hAnsi="Book Antiqua"/>
          <w:sz w:val="24"/>
          <w:szCs w:val="24"/>
        </w:rPr>
      </w:pPr>
      <w:r>
        <w:rPr>
          <w:rFonts w:ascii="Book Antiqua" w:hAnsi="Book Antiqua"/>
          <w:sz w:val="24"/>
          <w:szCs w:val="24"/>
        </w:rPr>
        <w:t xml:space="preserve">The extent </w:t>
      </w:r>
      <w:r w:rsidR="00F00E3B">
        <w:rPr>
          <w:rFonts w:ascii="Book Antiqua" w:hAnsi="Book Antiqua"/>
          <w:sz w:val="24"/>
          <w:szCs w:val="24"/>
        </w:rPr>
        <w:t>to which third parties would expect comment</w:t>
      </w:r>
      <w:r>
        <w:rPr>
          <w:rFonts w:ascii="Book Antiqua" w:hAnsi="Book Antiqua"/>
          <w:sz w:val="24"/>
          <w:szCs w:val="24"/>
        </w:rPr>
        <w:t>;</w:t>
      </w:r>
    </w:p>
    <w:p w:rsidR="006B4CD6" w:rsidRDefault="006B4CD6" w:rsidP="00940F27">
      <w:pPr>
        <w:pStyle w:val="ListParagraph"/>
        <w:numPr>
          <w:ilvl w:val="0"/>
          <w:numId w:val="14"/>
        </w:numPr>
        <w:jc w:val="both"/>
        <w:rPr>
          <w:rFonts w:ascii="Book Antiqua" w:hAnsi="Book Antiqua"/>
          <w:sz w:val="24"/>
          <w:szCs w:val="24"/>
        </w:rPr>
      </w:pPr>
      <w:r>
        <w:rPr>
          <w:rFonts w:ascii="Book Antiqua" w:hAnsi="Book Antiqua"/>
          <w:sz w:val="24"/>
          <w:szCs w:val="24"/>
        </w:rPr>
        <w:t>Whether there are other</w:t>
      </w:r>
      <w:r w:rsidR="00F00E3B">
        <w:rPr>
          <w:rFonts w:ascii="Book Antiqua" w:hAnsi="Book Antiqua"/>
          <w:sz w:val="24"/>
          <w:szCs w:val="24"/>
        </w:rPr>
        <w:t xml:space="preserve"> options available;</w:t>
      </w:r>
    </w:p>
    <w:p w:rsidR="00F00E3B" w:rsidRDefault="00F00E3B" w:rsidP="00940F27">
      <w:pPr>
        <w:pStyle w:val="ListParagraph"/>
        <w:numPr>
          <w:ilvl w:val="0"/>
          <w:numId w:val="14"/>
        </w:numPr>
        <w:jc w:val="both"/>
        <w:rPr>
          <w:rFonts w:ascii="Book Antiqua" w:hAnsi="Book Antiqua"/>
          <w:sz w:val="24"/>
          <w:szCs w:val="24"/>
        </w:rPr>
      </w:pPr>
      <w:r>
        <w:rPr>
          <w:rFonts w:ascii="Book Antiqua" w:hAnsi="Book Antiqua"/>
          <w:sz w:val="24"/>
          <w:szCs w:val="24"/>
        </w:rPr>
        <w:t>Whether comment would give rise to controversy.</w:t>
      </w:r>
    </w:p>
    <w:p w:rsidR="00DE5740" w:rsidRPr="00DE5740" w:rsidRDefault="00DE5740" w:rsidP="00DE5740">
      <w:pPr>
        <w:jc w:val="both"/>
        <w:rPr>
          <w:rFonts w:ascii="Book Antiqua" w:hAnsi="Book Antiqua"/>
          <w:sz w:val="24"/>
          <w:szCs w:val="24"/>
        </w:rPr>
      </w:pPr>
    </w:p>
    <w:p w:rsidR="00DE5740" w:rsidRDefault="00BC5A7B" w:rsidP="00DE5740">
      <w:pPr>
        <w:pStyle w:val="ListParagraph"/>
        <w:numPr>
          <w:ilvl w:val="0"/>
          <w:numId w:val="1"/>
        </w:numPr>
        <w:jc w:val="both"/>
        <w:rPr>
          <w:rFonts w:ascii="Book Antiqua" w:hAnsi="Book Antiqua"/>
          <w:sz w:val="24"/>
          <w:szCs w:val="24"/>
        </w:rPr>
      </w:pPr>
      <w:r>
        <w:rPr>
          <w:rFonts w:ascii="Book Antiqua" w:hAnsi="Book Antiqua"/>
          <w:sz w:val="24"/>
          <w:szCs w:val="24"/>
        </w:rPr>
        <w:t>Any comment should be with the agreement of all members of the hearing panel.</w:t>
      </w:r>
    </w:p>
    <w:p w:rsidR="00BC5A7B" w:rsidRDefault="00BC5A7B" w:rsidP="00BC5A7B">
      <w:pPr>
        <w:pStyle w:val="ListParagraph"/>
        <w:jc w:val="both"/>
        <w:rPr>
          <w:rFonts w:ascii="Book Antiqua" w:hAnsi="Book Antiqua"/>
          <w:sz w:val="24"/>
          <w:szCs w:val="24"/>
        </w:rPr>
      </w:pPr>
    </w:p>
    <w:p w:rsidR="00BC5A7B" w:rsidRDefault="00BC5A7B" w:rsidP="00DE5740">
      <w:pPr>
        <w:pStyle w:val="ListParagraph"/>
        <w:numPr>
          <w:ilvl w:val="0"/>
          <w:numId w:val="1"/>
        </w:numPr>
        <w:jc w:val="both"/>
        <w:rPr>
          <w:rFonts w:ascii="Book Antiqua" w:hAnsi="Book Antiqua"/>
          <w:sz w:val="24"/>
          <w:szCs w:val="24"/>
        </w:rPr>
      </w:pPr>
      <w:r>
        <w:rPr>
          <w:rFonts w:ascii="Book Antiqua" w:hAnsi="Book Antiqua"/>
          <w:sz w:val="24"/>
          <w:szCs w:val="24"/>
        </w:rPr>
        <w:t>The panel should decide on whether comment is best made verbally or in writing.</w:t>
      </w:r>
    </w:p>
    <w:p w:rsidR="00BC5A7B" w:rsidRPr="00BC5A7B" w:rsidRDefault="00BC5A7B" w:rsidP="00BC5A7B">
      <w:pPr>
        <w:pStyle w:val="ListParagraph"/>
        <w:rPr>
          <w:rFonts w:ascii="Book Antiqua" w:hAnsi="Book Antiqua"/>
          <w:sz w:val="24"/>
          <w:szCs w:val="24"/>
        </w:rPr>
      </w:pPr>
    </w:p>
    <w:p w:rsidR="00BC5A7B" w:rsidRDefault="00BC5A7B" w:rsidP="00BC5A7B">
      <w:pPr>
        <w:pStyle w:val="ListParagraph"/>
        <w:jc w:val="both"/>
        <w:rPr>
          <w:rFonts w:ascii="Book Antiqua" w:hAnsi="Book Antiqua"/>
          <w:sz w:val="24"/>
          <w:szCs w:val="24"/>
        </w:rPr>
      </w:pPr>
    </w:p>
    <w:p w:rsidR="00BC5A7B" w:rsidRDefault="00BC5A7B" w:rsidP="00DE5740">
      <w:pPr>
        <w:pStyle w:val="ListParagraph"/>
        <w:numPr>
          <w:ilvl w:val="0"/>
          <w:numId w:val="1"/>
        </w:numPr>
        <w:jc w:val="both"/>
        <w:rPr>
          <w:rFonts w:ascii="Book Antiqua" w:hAnsi="Book Antiqua"/>
          <w:sz w:val="24"/>
          <w:szCs w:val="24"/>
        </w:rPr>
      </w:pPr>
      <w:r>
        <w:rPr>
          <w:rFonts w:ascii="Book Antiqua" w:hAnsi="Book Antiqua"/>
          <w:sz w:val="24"/>
          <w:szCs w:val="24"/>
        </w:rPr>
        <w:t>If the comment is to involve serious criticism of an individual or institution, the convener of the Review Tribunal should be consulted first.</w:t>
      </w:r>
    </w:p>
    <w:p w:rsidR="00BC5A7B" w:rsidRPr="00DE5740" w:rsidRDefault="00BC5A7B" w:rsidP="00DE5740">
      <w:pPr>
        <w:pStyle w:val="ListParagraph"/>
        <w:numPr>
          <w:ilvl w:val="0"/>
          <w:numId w:val="1"/>
        </w:numPr>
        <w:jc w:val="both"/>
        <w:rPr>
          <w:rFonts w:ascii="Book Antiqua" w:hAnsi="Book Antiqua"/>
          <w:sz w:val="24"/>
          <w:szCs w:val="24"/>
        </w:rPr>
      </w:pPr>
      <w:r>
        <w:rPr>
          <w:rFonts w:ascii="Book Antiqua" w:hAnsi="Book Antiqua"/>
          <w:sz w:val="24"/>
          <w:szCs w:val="24"/>
        </w:rPr>
        <w:t xml:space="preserve">The Review Tribunal should not communicate with persons other than those involved in hearings, </w:t>
      </w:r>
      <w:r w:rsidR="006C1C32">
        <w:rPr>
          <w:rFonts w:ascii="Book Antiqua" w:hAnsi="Book Antiqua"/>
          <w:sz w:val="24"/>
          <w:szCs w:val="24"/>
        </w:rPr>
        <w:t>except</w:t>
      </w:r>
      <w:r>
        <w:rPr>
          <w:rFonts w:ascii="Book Antiqua" w:hAnsi="Book Antiqua"/>
          <w:sz w:val="24"/>
          <w:szCs w:val="24"/>
        </w:rPr>
        <w:t xml:space="preserve"> through the convener.</w:t>
      </w:r>
    </w:p>
    <w:p w:rsidR="00800DF4" w:rsidRDefault="00800DF4" w:rsidP="00800DF4">
      <w:pPr>
        <w:jc w:val="both"/>
        <w:rPr>
          <w:rFonts w:ascii="Book Antiqua" w:hAnsi="Book Antiqua"/>
          <w:sz w:val="24"/>
          <w:szCs w:val="24"/>
        </w:rPr>
      </w:pPr>
    </w:p>
    <w:p w:rsidR="000A2B8F" w:rsidRDefault="000A2B8F" w:rsidP="000A2B8F">
      <w:pPr>
        <w:spacing w:line="360" w:lineRule="auto"/>
        <w:ind w:left="720"/>
        <w:jc w:val="center"/>
        <w:rPr>
          <w:rFonts w:ascii="Times New Roman" w:hAnsi="Times New Roman"/>
          <w:i/>
          <w:sz w:val="24"/>
          <w:szCs w:val="24"/>
        </w:rPr>
      </w:pPr>
      <w:r>
        <w:rPr>
          <w:rFonts w:ascii="Times New Roman" w:hAnsi="Times New Roman"/>
          <w:i/>
          <w:sz w:val="24"/>
          <w:szCs w:val="24"/>
        </w:rPr>
        <w:t xml:space="preserve">Last updated </w:t>
      </w:r>
      <w:r w:rsidR="00E20802">
        <w:rPr>
          <w:rFonts w:ascii="Times New Roman" w:hAnsi="Times New Roman"/>
          <w:i/>
          <w:sz w:val="24"/>
          <w:szCs w:val="24"/>
        </w:rPr>
        <w:t>August 2015</w:t>
      </w:r>
    </w:p>
    <w:p w:rsidR="000A2B8F" w:rsidRDefault="000A2B8F" w:rsidP="000A2B8F">
      <w:pPr>
        <w:spacing w:line="360" w:lineRule="auto"/>
        <w:ind w:left="720"/>
        <w:jc w:val="both"/>
        <w:rPr>
          <w:rFonts w:ascii="Times New Roman" w:hAnsi="Times New Roman"/>
          <w:sz w:val="24"/>
          <w:szCs w:val="24"/>
        </w:rPr>
      </w:pPr>
    </w:p>
    <w:p w:rsidR="000A2B8F" w:rsidRDefault="000A2B8F" w:rsidP="000A2B8F">
      <w:pPr>
        <w:spacing w:line="360" w:lineRule="auto"/>
        <w:ind w:left="720"/>
        <w:jc w:val="center"/>
        <w:rPr>
          <w:rFonts w:ascii="Times New Roman" w:hAnsi="Times New Roman"/>
          <w:sz w:val="24"/>
          <w:szCs w:val="24"/>
        </w:rPr>
      </w:pPr>
      <w:r>
        <w:rPr>
          <w:rFonts w:ascii="Times New Roman" w:hAnsi="Times New Roman"/>
          <w:sz w:val="24"/>
          <w:szCs w:val="24"/>
        </w:rPr>
        <w:t>NJ Dunlop</w:t>
      </w:r>
    </w:p>
    <w:p w:rsidR="000A2B8F" w:rsidRDefault="000A2B8F" w:rsidP="000A2B8F">
      <w:pPr>
        <w:spacing w:line="360" w:lineRule="auto"/>
        <w:ind w:left="720"/>
        <w:jc w:val="center"/>
        <w:rPr>
          <w:rFonts w:ascii="Times New Roman" w:hAnsi="Times New Roman"/>
          <w:sz w:val="24"/>
          <w:szCs w:val="24"/>
        </w:rPr>
      </w:pPr>
      <w:r>
        <w:rPr>
          <w:rFonts w:ascii="Times New Roman" w:hAnsi="Times New Roman"/>
          <w:sz w:val="24"/>
          <w:szCs w:val="24"/>
        </w:rPr>
        <w:t>Convener</w:t>
      </w:r>
    </w:p>
    <w:p w:rsidR="000A2B8F" w:rsidRDefault="000A2B8F" w:rsidP="000A2B8F">
      <w:pPr>
        <w:jc w:val="both"/>
        <w:rPr>
          <w:rFonts w:ascii="Book Antiqua" w:hAnsi="Book Antiqua"/>
          <w:sz w:val="24"/>
          <w:szCs w:val="24"/>
        </w:rPr>
      </w:pPr>
    </w:p>
    <w:p w:rsidR="00800DF4" w:rsidRPr="00800DF4" w:rsidRDefault="00800DF4" w:rsidP="00800DF4">
      <w:pPr>
        <w:jc w:val="both"/>
        <w:rPr>
          <w:rFonts w:ascii="Book Antiqua" w:hAnsi="Book Antiqua"/>
          <w:sz w:val="24"/>
          <w:szCs w:val="24"/>
        </w:rPr>
      </w:pPr>
    </w:p>
    <w:p w:rsidR="0078162B" w:rsidRPr="0078162B" w:rsidRDefault="0078162B" w:rsidP="0078162B">
      <w:pPr>
        <w:ind w:left="360"/>
        <w:jc w:val="both"/>
        <w:rPr>
          <w:rFonts w:ascii="Book Antiqua" w:hAnsi="Book Antiqua"/>
          <w:sz w:val="24"/>
          <w:szCs w:val="24"/>
        </w:rPr>
      </w:pPr>
    </w:p>
    <w:sectPr w:rsidR="0078162B" w:rsidRPr="0078162B" w:rsidSect="00DD4E7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936" w:rsidRDefault="00CE5936" w:rsidP="000228AB">
      <w:pPr>
        <w:spacing w:after="0" w:line="240" w:lineRule="auto"/>
      </w:pPr>
      <w:r>
        <w:separator/>
      </w:r>
    </w:p>
  </w:endnote>
  <w:endnote w:type="continuationSeparator" w:id="0">
    <w:p w:rsidR="00CE5936" w:rsidRDefault="00CE5936" w:rsidP="00022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7B" w:rsidRDefault="00BC5A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942631"/>
      <w:docPartObj>
        <w:docPartGallery w:val="Page Numbers (Bottom of Page)"/>
        <w:docPartUnique/>
      </w:docPartObj>
    </w:sdtPr>
    <w:sdtEndPr>
      <w:rPr>
        <w:noProof/>
      </w:rPr>
    </w:sdtEndPr>
    <w:sdtContent>
      <w:p w:rsidR="00BC5A7B" w:rsidRDefault="00340095">
        <w:pPr>
          <w:pStyle w:val="Footer"/>
          <w:jc w:val="center"/>
        </w:pPr>
        <w:fldSimple w:instr=" PAGE   \* MERGEFORMAT ">
          <w:r w:rsidR="00E20802">
            <w:rPr>
              <w:noProof/>
            </w:rPr>
            <w:t>4</w:t>
          </w:r>
        </w:fldSimple>
      </w:p>
    </w:sdtContent>
  </w:sdt>
  <w:p w:rsidR="00BC5A7B" w:rsidRDefault="00BC5A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7B" w:rsidRDefault="00BC5A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936" w:rsidRDefault="00CE5936" w:rsidP="000228AB">
      <w:pPr>
        <w:spacing w:after="0" w:line="240" w:lineRule="auto"/>
      </w:pPr>
      <w:r>
        <w:separator/>
      </w:r>
    </w:p>
  </w:footnote>
  <w:footnote w:type="continuationSeparator" w:id="0">
    <w:p w:rsidR="00CE5936" w:rsidRDefault="00CE5936" w:rsidP="000228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7B" w:rsidRDefault="00BC5A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7B" w:rsidRDefault="00BC5A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7B" w:rsidRDefault="00BC5A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951"/>
    <w:multiLevelType w:val="hybridMultilevel"/>
    <w:tmpl w:val="ECECC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D2D2ACE"/>
    <w:multiLevelType w:val="hybridMultilevel"/>
    <w:tmpl w:val="B066A5AA"/>
    <w:lvl w:ilvl="0" w:tplc="3EAA75E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nsid w:val="10A6506A"/>
    <w:multiLevelType w:val="hybridMultilevel"/>
    <w:tmpl w:val="971A292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151D3425"/>
    <w:multiLevelType w:val="hybridMultilevel"/>
    <w:tmpl w:val="750E3A7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171E1B58"/>
    <w:multiLevelType w:val="hybridMultilevel"/>
    <w:tmpl w:val="58D0A4A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nsid w:val="1E6D6478"/>
    <w:multiLevelType w:val="hybridMultilevel"/>
    <w:tmpl w:val="C36A6C3A"/>
    <w:lvl w:ilvl="0" w:tplc="87789D8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nsid w:val="2D2C1E4C"/>
    <w:multiLevelType w:val="hybridMultilevel"/>
    <w:tmpl w:val="7B60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E51CE6"/>
    <w:multiLevelType w:val="hybridMultilevel"/>
    <w:tmpl w:val="0A8ABBFE"/>
    <w:lvl w:ilvl="0" w:tplc="5F1048D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nsid w:val="3CA830F3"/>
    <w:multiLevelType w:val="hybridMultilevel"/>
    <w:tmpl w:val="3B908A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FDF04A2"/>
    <w:multiLevelType w:val="hybridMultilevel"/>
    <w:tmpl w:val="BF300BE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0">
    <w:nsid w:val="53860C93"/>
    <w:multiLevelType w:val="hybridMultilevel"/>
    <w:tmpl w:val="1EDE8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8C3C76"/>
    <w:multiLevelType w:val="hybridMultilevel"/>
    <w:tmpl w:val="8E2A4C06"/>
    <w:lvl w:ilvl="0" w:tplc="D4C4DF5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5777378E"/>
    <w:multiLevelType w:val="hybridMultilevel"/>
    <w:tmpl w:val="39E4662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nsid w:val="5F1A25DC"/>
    <w:multiLevelType w:val="hybridMultilevel"/>
    <w:tmpl w:val="4F18AC8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nsid w:val="60351F9F"/>
    <w:multiLevelType w:val="hybridMultilevel"/>
    <w:tmpl w:val="AD4A8B4A"/>
    <w:lvl w:ilvl="0" w:tplc="E49E0470">
      <w:start w:val="1"/>
      <w:numFmt w:val="lowerLetter"/>
      <w:lvlText w:val="(%1)"/>
      <w:lvlJc w:val="left"/>
      <w:pPr>
        <w:ind w:left="108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5">
    <w:nsid w:val="61030D00"/>
    <w:multiLevelType w:val="hybridMultilevel"/>
    <w:tmpl w:val="8D509BE4"/>
    <w:lvl w:ilvl="0" w:tplc="CA12A77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62BE4EFD"/>
    <w:multiLevelType w:val="hybridMultilevel"/>
    <w:tmpl w:val="FFD894A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7">
    <w:nsid w:val="78006B64"/>
    <w:multiLevelType w:val="hybridMultilevel"/>
    <w:tmpl w:val="3D2625F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nsid w:val="7D236C33"/>
    <w:multiLevelType w:val="hybridMultilevel"/>
    <w:tmpl w:val="5B345A4A"/>
    <w:lvl w:ilvl="0" w:tplc="FE662D6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1"/>
  </w:num>
  <w:num w:numId="2">
    <w:abstractNumId w:val="7"/>
  </w:num>
  <w:num w:numId="3">
    <w:abstractNumId w:val="18"/>
  </w:num>
  <w:num w:numId="4">
    <w:abstractNumId w:val="15"/>
  </w:num>
  <w:num w:numId="5">
    <w:abstractNumId w:val="1"/>
  </w:num>
  <w:num w:numId="6">
    <w:abstractNumId w:val="4"/>
  </w:num>
  <w:num w:numId="7">
    <w:abstractNumId w:val="13"/>
  </w:num>
  <w:num w:numId="8">
    <w:abstractNumId w:val="0"/>
  </w:num>
  <w:num w:numId="9">
    <w:abstractNumId w:val="17"/>
  </w:num>
  <w:num w:numId="10">
    <w:abstractNumId w:val="2"/>
  </w:num>
  <w:num w:numId="11">
    <w:abstractNumId w:val="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2"/>
  </w:num>
  <w:num w:numId="15">
    <w:abstractNumId w:val="10"/>
  </w:num>
  <w:num w:numId="16">
    <w:abstractNumId w:val="9"/>
  </w:num>
  <w:num w:numId="17">
    <w:abstractNumId w:val="8"/>
  </w:num>
  <w:num w:numId="18">
    <w:abstractNumId w:val="16"/>
  </w:num>
  <w:num w:numId="19">
    <w:abstractNumId w:val="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applyBreakingRules/>
  </w:compat>
  <w:rsids>
    <w:rsidRoot w:val="000228AB"/>
    <w:rsid w:val="000228AB"/>
    <w:rsid w:val="0003279C"/>
    <w:rsid w:val="00051871"/>
    <w:rsid w:val="00056B5D"/>
    <w:rsid w:val="000A2B8F"/>
    <w:rsid w:val="000A5592"/>
    <w:rsid w:val="000B2DBC"/>
    <w:rsid w:val="000C4398"/>
    <w:rsid w:val="000E6CF8"/>
    <w:rsid w:val="0010775E"/>
    <w:rsid w:val="00126FF8"/>
    <w:rsid w:val="00152569"/>
    <w:rsid w:val="001540A9"/>
    <w:rsid w:val="001728E7"/>
    <w:rsid w:val="00175417"/>
    <w:rsid w:val="001871F6"/>
    <w:rsid w:val="00195957"/>
    <w:rsid w:val="002012B0"/>
    <w:rsid w:val="00253774"/>
    <w:rsid w:val="00262A79"/>
    <w:rsid w:val="00317DBB"/>
    <w:rsid w:val="00340095"/>
    <w:rsid w:val="00344735"/>
    <w:rsid w:val="00377E95"/>
    <w:rsid w:val="003861AE"/>
    <w:rsid w:val="003A6ABE"/>
    <w:rsid w:val="003C1C87"/>
    <w:rsid w:val="003C2C29"/>
    <w:rsid w:val="003E4773"/>
    <w:rsid w:val="00432C63"/>
    <w:rsid w:val="004651D5"/>
    <w:rsid w:val="00472F2A"/>
    <w:rsid w:val="00492C45"/>
    <w:rsid w:val="004D16DD"/>
    <w:rsid w:val="004F6847"/>
    <w:rsid w:val="005025C2"/>
    <w:rsid w:val="00515F91"/>
    <w:rsid w:val="005223D9"/>
    <w:rsid w:val="00540FD4"/>
    <w:rsid w:val="00583D79"/>
    <w:rsid w:val="00584955"/>
    <w:rsid w:val="005C31B6"/>
    <w:rsid w:val="005E3B38"/>
    <w:rsid w:val="00637AFE"/>
    <w:rsid w:val="00655742"/>
    <w:rsid w:val="00682AB6"/>
    <w:rsid w:val="00697BF1"/>
    <w:rsid w:val="006A7A6D"/>
    <w:rsid w:val="006B4CD6"/>
    <w:rsid w:val="006C1C32"/>
    <w:rsid w:val="006C1EFB"/>
    <w:rsid w:val="006C4358"/>
    <w:rsid w:val="006C6316"/>
    <w:rsid w:val="006D2911"/>
    <w:rsid w:val="006D4EDC"/>
    <w:rsid w:val="00763CAE"/>
    <w:rsid w:val="00772B8F"/>
    <w:rsid w:val="0078162B"/>
    <w:rsid w:val="00797D91"/>
    <w:rsid w:val="007A597F"/>
    <w:rsid w:val="007A6C45"/>
    <w:rsid w:val="007D1432"/>
    <w:rsid w:val="007E6211"/>
    <w:rsid w:val="00800DF4"/>
    <w:rsid w:val="00827444"/>
    <w:rsid w:val="00847C8E"/>
    <w:rsid w:val="008554BB"/>
    <w:rsid w:val="00882809"/>
    <w:rsid w:val="008B7B24"/>
    <w:rsid w:val="008C7059"/>
    <w:rsid w:val="008D5753"/>
    <w:rsid w:val="00921686"/>
    <w:rsid w:val="00940F27"/>
    <w:rsid w:val="00967054"/>
    <w:rsid w:val="009928D3"/>
    <w:rsid w:val="009A546A"/>
    <w:rsid w:val="009B6309"/>
    <w:rsid w:val="009C354E"/>
    <w:rsid w:val="009C3644"/>
    <w:rsid w:val="009D41EA"/>
    <w:rsid w:val="009E60D1"/>
    <w:rsid w:val="009F289B"/>
    <w:rsid w:val="00A10376"/>
    <w:rsid w:val="00A314D0"/>
    <w:rsid w:val="00A61D2B"/>
    <w:rsid w:val="00A729C5"/>
    <w:rsid w:val="00A92486"/>
    <w:rsid w:val="00AA1269"/>
    <w:rsid w:val="00AB2878"/>
    <w:rsid w:val="00AC19D0"/>
    <w:rsid w:val="00AD2745"/>
    <w:rsid w:val="00AE2834"/>
    <w:rsid w:val="00B03739"/>
    <w:rsid w:val="00B243D9"/>
    <w:rsid w:val="00B408D5"/>
    <w:rsid w:val="00BA600D"/>
    <w:rsid w:val="00BA67D0"/>
    <w:rsid w:val="00BC5A7B"/>
    <w:rsid w:val="00BC622D"/>
    <w:rsid w:val="00BD6D34"/>
    <w:rsid w:val="00BE79A7"/>
    <w:rsid w:val="00BF25E2"/>
    <w:rsid w:val="00C043EB"/>
    <w:rsid w:val="00C25ADB"/>
    <w:rsid w:val="00C402E7"/>
    <w:rsid w:val="00C40B7B"/>
    <w:rsid w:val="00C44545"/>
    <w:rsid w:val="00C85644"/>
    <w:rsid w:val="00C90E86"/>
    <w:rsid w:val="00CA5D54"/>
    <w:rsid w:val="00CE5936"/>
    <w:rsid w:val="00D51F16"/>
    <w:rsid w:val="00D52CE5"/>
    <w:rsid w:val="00D87185"/>
    <w:rsid w:val="00D92E2A"/>
    <w:rsid w:val="00DA57B6"/>
    <w:rsid w:val="00DD4E76"/>
    <w:rsid w:val="00DD7733"/>
    <w:rsid w:val="00DE5740"/>
    <w:rsid w:val="00E00D09"/>
    <w:rsid w:val="00E20802"/>
    <w:rsid w:val="00E4424F"/>
    <w:rsid w:val="00E46B65"/>
    <w:rsid w:val="00E46EDD"/>
    <w:rsid w:val="00E52FD4"/>
    <w:rsid w:val="00E611D5"/>
    <w:rsid w:val="00E741AB"/>
    <w:rsid w:val="00E927D8"/>
    <w:rsid w:val="00EB65C2"/>
    <w:rsid w:val="00F00E3B"/>
    <w:rsid w:val="00F14879"/>
    <w:rsid w:val="00F70DF9"/>
    <w:rsid w:val="00F8578D"/>
    <w:rsid w:val="00FE533C"/>
    <w:rsid w:val="00FE64D3"/>
    <w:rsid w:val="00FF6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8AB"/>
    <w:pPr>
      <w:ind w:left="720"/>
      <w:contextualSpacing/>
    </w:pPr>
  </w:style>
  <w:style w:type="paragraph" w:styleId="Header">
    <w:name w:val="header"/>
    <w:basedOn w:val="Normal"/>
    <w:link w:val="HeaderChar"/>
    <w:uiPriority w:val="99"/>
    <w:unhideWhenUsed/>
    <w:rsid w:val="00022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8AB"/>
  </w:style>
  <w:style w:type="paragraph" w:styleId="Footer">
    <w:name w:val="footer"/>
    <w:basedOn w:val="Normal"/>
    <w:link w:val="FooterChar"/>
    <w:uiPriority w:val="99"/>
    <w:unhideWhenUsed/>
    <w:rsid w:val="00022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8AB"/>
  </w:style>
  <w:style w:type="paragraph" w:styleId="FootnoteText">
    <w:name w:val="footnote text"/>
    <w:basedOn w:val="Normal"/>
    <w:link w:val="FootnoteTextChar"/>
    <w:uiPriority w:val="99"/>
    <w:semiHidden/>
    <w:unhideWhenUsed/>
    <w:rsid w:val="000C43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398"/>
    <w:rPr>
      <w:sz w:val="20"/>
      <w:szCs w:val="20"/>
    </w:rPr>
  </w:style>
  <w:style w:type="character" w:styleId="FootnoteReference">
    <w:name w:val="footnote reference"/>
    <w:basedOn w:val="DefaultParagraphFont"/>
    <w:uiPriority w:val="99"/>
    <w:semiHidden/>
    <w:unhideWhenUsed/>
    <w:rsid w:val="000C4398"/>
    <w:rPr>
      <w:vertAlign w:val="superscript"/>
    </w:rPr>
  </w:style>
</w:styles>
</file>

<file path=word/webSettings.xml><?xml version="1.0" encoding="utf-8"?>
<w:webSettings xmlns:r="http://schemas.openxmlformats.org/officeDocument/2006/relationships" xmlns:w="http://schemas.openxmlformats.org/wordprocessingml/2006/main">
  <w:divs>
    <w:div w:id="811097103">
      <w:bodyDiv w:val="1"/>
      <w:marLeft w:val="0"/>
      <w:marRight w:val="0"/>
      <w:marTop w:val="0"/>
      <w:marBottom w:val="0"/>
      <w:divBdr>
        <w:top w:val="none" w:sz="0" w:space="0" w:color="auto"/>
        <w:left w:val="none" w:sz="0" w:space="0" w:color="auto"/>
        <w:bottom w:val="none" w:sz="0" w:space="0" w:color="auto"/>
        <w:right w:val="none" w:sz="0" w:space="0" w:color="auto"/>
      </w:divBdr>
    </w:div>
    <w:div w:id="1145465852">
      <w:bodyDiv w:val="1"/>
      <w:marLeft w:val="0"/>
      <w:marRight w:val="0"/>
      <w:marTop w:val="0"/>
      <w:marBottom w:val="0"/>
      <w:divBdr>
        <w:top w:val="none" w:sz="0" w:space="0" w:color="auto"/>
        <w:left w:val="none" w:sz="0" w:space="0" w:color="auto"/>
        <w:bottom w:val="none" w:sz="0" w:space="0" w:color="auto"/>
        <w:right w:val="none" w:sz="0" w:space="0" w:color="auto"/>
      </w:divBdr>
    </w:div>
    <w:div w:id="185880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D8F40-46AC-494B-94E2-580C0E77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 </cp:lastModifiedBy>
  <cp:revision>12</cp:revision>
  <cp:lastPrinted>2015-07-19T22:49:00Z</cp:lastPrinted>
  <dcterms:created xsi:type="dcterms:W3CDTF">2015-07-19T05:05:00Z</dcterms:created>
  <dcterms:modified xsi:type="dcterms:W3CDTF">2015-07-29T02:05:00Z</dcterms:modified>
</cp:coreProperties>
</file>