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D5" w:rsidRDefault="00152DD5" w:rsidP="00152DD5">
      <w:pPr>
        <w:jc w:val="center"/>
        <w:rPr>
          <w:b/>
          <w:sz w:val="32"/>
          <w:szCs w:val="32"/>
        </w:rPr>
      </w:pPr>
      <w:r>
        <w:rPr>
          <w:b/>
          <w:sz w:val="32"/>
          <w:szCs w:val="32"/>
        </w:rPr>
        <w:t xml:space="preserve">MENTAL HEALTH REVIEW TRIBUNAL </w:t>
      </w:r>
    </w:p>
    <w:p w:rsidR="00152DD5" w:rsidRDefault="00152DD5" w:rsidP="00152DD5">
      <w:pPr>
        <w:jc w:val="center"/>
        <w:rPr>
          <w:b/>
          <w:sz w:val="32"/>
          <w:szCs w:val="32"/>
        </w:rPr>
      </w:pPr>
      <w:bookmarkStart w:id="0" w:name="_GoBack"/>
      <w:r>
        <w:rPr>
          <w:b/>
          <w:sz w:val="32"/>
          <w:szCs w:val="32"/>
        </w:rPr>
        <w:t>Practice and Policy Guideline #10</w:t>
      </w:r>
    </w:p>
    <w:p w:rsidR="00152DD5" w:rsidRDefault="00152DD5" w:rsidP="00152DD5">
      <w:pPr>
        <w:jc w:val="center"/>
        <w:rPr>
          <w:b/>
          <w:sz w:val="32"/>
          <w:szCs w:val="32"/>
        </w:rPr>
      </w:pPr>
    </w:p>
    <w:p w:rsidR="00152DD5" w:rsidRDefault="00152DD5" w:rsidP="00152DD5">
      <w:pPr>
        <w:jc w:val="center"/>
      </w:pPr>
      <w:r>
        <w:t>CO-OPTED MEMBERS</w:t>
      </w:r>
    </w:p>
    <w:bookmarkEnd w:id="0"/>
    <w:p w:rsidR="00152DD5" w:rsidRDefault="00152DD5" w:rsidP="00152DD5">
      <w:pPr>
        <w:jc w:val="center"/>
      </w:pPr>
    </w:p>
    <w:p w:rsidR="00152DD5" w:rsidRDefault="00152DD5" w:rsidP="00152DD5">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w:t>
      </w:r>
      <w:r w:rsidR="001610F4" w:rsidRPr="001610F4">
        <w:rPr>
          <w:b/>
          <w:i/>
          <w:sz w:val="20"/>
          <w:szCs w:val="20"/>
        </w:rPr>
        <w:t xml:space="preserve"> </w:t>
      </w:r>
      <w:r w:rsidR="001610F4">
        <w:rPr>
          <w:b/>
          <w:i/>
          <w:sz w:val="20"/>
          <w:szCs w:val="20"/>
        </w:rPr>
        <w:t>They do not constitute legal opinions.</w:t>
      </w:r>
    </w:p>
    <w:p w:rsidR="00152DD5" w:rsidRDefault="00152DD5" w:rsidP="00152DD5">
      <w:pPr>
        <w:rPr>
          <w:b/>
          <w:i/>
          <w:sz w:val="20"/>
          <w:szCs w:val="20"/>
        </w:rPr>
      </w:pPr>
    </w:p>
    <w:p w:rsidR="00152DD5" w:rsidRDefault="00152DD5" w:rsidP="00152DD5">
      <w:pPr>
        <w:rPr>
          <w:b/>
          <w:i/>
          <w:sz w:val="20"/>
          <w:szCs w:val="20"/>
        </w:rPr>
      </w:pPr>
      <w:r>
        <w:rPr>
          <w:b/>
          <w:i/>
          <w:sz w:val="20"/>
          <w:szCs w:val="20"/>
        </w:rPr>
        <w:t xml:space="preserve">This Practice and Policy Guideline is designed especially for the benefit of co-opted members of the Review Tribunal who may be unfamiliar with its functions and procedures. </w:t>
      </w:r>
    </w:p>
    <w:p w:rsidR="00152DD5" w:rsidRDefault="00152DD5" w:rsidP="00152DD5">
      <w:pPr>
        <w:jc w:val="center"/>
        <w:rPr>
          <w:sz w:val="24"/>
          <w:szCs w:val="24"/>
        </w:rPr>
      </w:pPr>
    </w:p>
    <w:p w:rsidR="000273B1" w:rsidRPr="00004FC8" w:rsidRDefault="000273B1" w:rsidP="00771C00">
      <w:pPr>
        <w:rPr>
          <w:rFonts w:ascii="Book Antiqua" w:hAnsi="Book Antiqua"/>
          <w:b/>
          <w:sz w:val="24"/>
          <w:szCs w:val="24"/>
          <w:u w:val="single"/>
        </w:rPr>
      </w:pPr>
      <w:r w:rsidRPr="00004FC8">
        <w:rPr>
          <w:rFonts w:ascii="Book Antiqua" w:hAnsi="Book Antiqua"/>
          <w:b/>
          <w:sz w:val="24"/>
          <w:szCs w:val="24"/>
          <w:u w:val="single"/>
        </w:rPr>
        <w:t>Introduction</w:t>
      </w:r>
    </w:p>
    <w:p w:rsidR="00FA792E" w:rsidRPr="00A420BD" w:rsidRDefault="00FA792E" w:rsidP="00103587">
      <w:pPr>
        <w:jc w:val="center"/>
        <w:rPr>
          <w:rFonts w:ascii="Book Antiqua" w:hAnsi="Book Antiqua"/>
          <w:b/>
        </w:rPr>
      </w:pPr>
    </w:p>
    <w:p w:rsidR="00077611" w:rsidRDefault="00077611" w:rsidP="0000290B">
      <w:pPr>
        <w:numPr>
          <w:ilvl w:val="0"/>
          <w:numId w:val="5"/>
        </w:numPr>
        <w:jc w:val="both"/>
        <w:rPr>
          <w:rFonts w:ascii="Book Antiqua" w:hAnsi="Book Antiqua"/>
          <w:sz w:val="24"/>
          <w:szCs w:val="24"/>
        </w:rPr>
      </w:pPr>
      <w:r w:rsidRPr="002959A9">
        <w:rPr>
          <w:rFonts w:ascii="Book Antiqua" w:hAnsi="Book Antiqua"/>
          <w:sz w:val="24"/>
          <w:szCs w:val="24"/>
        </w:rPr>
        <w:t>Most hearings of the Review</w:t>
      </w:r>
      <w:r w:rsidR="0000290B" w:rsidRPr="002959A9">
        <w:rPr>
          <w:rFonts w:ascii="Book Antiqua" w:hAnsi="Book Antiqua"/>
          <w:sz w:val="24"/>
          <w:szCs w:val="24"/>
        </w:rPr>
        <w:t xml:space="preserve"> Tribunal are conducted by a panel of </w:t>
      </w:r>
      <w:r w:rsidR="002959A9" w:rsidRPr="002959A9">
        <w:rPr>
          <w:rFonts w:ascii="Book Antiqua" w:hAnsi="Book Antiqua"/>
          <w:sz w:val="24"/>
          <w:szCs w:val="24"/>
        </w:rPr>
        <w:t>three</w:t>
      </w:r>
      <w:r w:rsidRPr="002959A9">
        <w:rPr>
          <w:rFonts w:ascii="Book Antiqua" w:hAnsi="Book Antiqua"/>
          <w:sz w:val="24"/>
          <w:szCs w:val="24"/>
        </w:rPr>
        <w:t xml:space="preserve"> persons: a lawyer, psychiatrist and community member. </w:t>
      </w:r>
    </w:p>
    <w:p w:rsidR="00674689" w:rsidRPr="002959A9" w:rsidRDefault="00674689" w:rsidP="0000290B">
      <w:pPr>
        <w:numPr>
          <w:ilvl w:val="0"/>
          <w:numId w:val="5"/>
        </w:numPr>
        <w:jc w:val="both"/>
        <w:rPr>
          <w:rFonts w:ascii="Book Antiqua" w:hAnsi="Book Antiqua"/>
          <w:sz w:val="24"/>
          <w:szCs w:val="24"/>
        </w:rPr>
      </w:pPr>
      <w:r>
        <w:rPr>
          <w:rFonts w:ascii="Book Antiqua" w:hAnsi="Book Antiqua"/>
          <w:sz w:val="24"/>
          <w:szCs w:val="24"/>
        </w:rPr>
        <w:t>Occasionally the Review Tribunal co-opts a fourth member for reasons of ethnic ide</w:t>
      </w:r>
      <w:r w:rsidR="00137996">
        <w:rPr>
          <w:rFonts w:ascii="Book Antiqua" w:hAnsi="Book Antiqua"/>
          <w:sz w:val="24"/>
          <w:szCs w:val="24"/>
        </w:rPr>
        <w:t>ntity</w:t>
      </w:r>
      <w:proofErr w:type="gramStart"/>
      <w:r w:rsidR="00137996">
        <w:rPr>
          <w:rFonts w:ascii="Book Antiqua" w:hAnsi="Book Antiqua"/>
          <w:sz w:val="24"/>
          <w:szCs w:val="24"/>
        </w:rPr>
        <w:t>;</w:t>
      </w:r>
      <w:r>
        <w:rPr>
          <w:rFonts w:ascii="Book Antiqua" w:hAnsi="Book Antiqua"/>
          <w:sz w:val="24"/>
          <w:szCs w:val="24"/>
        </w:rPr>
        <w:t xml:space="preserve"> </w:t>
      </w:r>
      <w:r w:rsidR="00137996">
        <w:rPr>
          <w:rFonts w:ascii="Book Antiqua" w:hAnsi="Book Antiqua"/>
          <w:sz w:val="24"/>
          <w:szCs w:val="24"/>
        </w:rPr>
        <w:t xml:space="preserve"> if</w:t>
      </w:r>
      <w:proofErr w:type="gramEnd"/>
      <w:r w:rsidR="00137996">
        <w:rPr>
          <w:rFonts w:ascii="Book Antiqua" w:hAnsi="Book Antiqua"/>
          <w:sz w:val="24"/>
          <w:szCs w:val="24"/>
        </w:rPr>
        <w:t xml:space="preserve"> necessary it can also co-opt for reasons of </w:t>
      </w:r>
      <w:r>
        <w:rPr>
          <w:rFonts w:ascii="Book Antiqua" w:hAnsi="Book Antiqua"/>
          <w:sz w:val="24"/>
          <w:szCs w:val="24"/>
        </w:rPr>
        <w:t>gender, or special knowledge or expertise.</w:t>
      </w:r>
    </w:p>
    <w:p w:rsidR="00371F14" w:rsidRPr="00371F14" w:rsidRDefault="0000290B" w:rsidP="00371F14">
      <w:pPr>
        <w:numPr>
          <w:ilvl w:val="0"/>
          <w:numId w:val="5"/>
        </w:numPr>
        <w:jc w:val="both"/>
        <w:rPr>
          <w:rFonts w:ascii="Book Antiqua" w:hAnsi="Book Antiqua"/>
          <w:sz w:val="24"/>
          <w:szCs w:val="24"/>
        </w:rPr>
      </w:pPr>
      <w:r>
        <w:rPr>
          <w:rFonts w:ascii="Book Antiqua" w:hAnsi="Book Antiqua"/>
          <w:sz w:val="24"/>
          <w:szCs w:val="24"/>
        </w:rPr>
        <w:t>C</w:t>
      </w:r>
      <w:r w:rsidR="00FA792E" w:rsidRPr="0000290B">
        <w:rPr>
          <w:rFonts w:ascii="Book Antiqua" w:hAnsi="Book Antiqua"/>
          <w:sz w:val="24"/>
          <w:szCs w:val="24"/>
        </w:rPr>
        <w:t>o-opted member</w:t>
      </w:r>
      <w:r>
        <w:rPr>
          <w:rFonts w:ascii="Book Antiqua" w:hAnsi="Book Antiqua"/>
          <w:sz w:val="24"/>
          <w:szCs w:val="24"/>
        </w:rPr>
        <w:t>s</w:t>
      </w:r>
      <w:r w:rsidR="007A1D51">
        <w:rPr>
          <w:rFonts w:ascii="Book Antiqua" w:hAnsi="Book Antiqua"/>
          <w:sz w:val="24"/>
          <w:szCs w:val="24"/>
        </w:rPr>
        <w:t xml:space="preserve"> have</w:t>
      </w:r>
      <w:r w:rsidR="00FA792E" w:rsidRPr="0000290B">
        <w:rPr>
          <w:rFonts w:ascii="Book Antiqua" w:hAnsi="Book Antiqua"/>
          <w:sz w:val="24"/>
          <w:szCs w:val="24"/>
        </w:rPr>
        <w:t xml:space="preserve"> the same</w:t>
      </w:r>
      <w:r>
        <w:rPr>
          <w:rFonts w:ascii="Book Antiqua" w:hAnsi="Book Antiqua"/>
          <w:sz w:val="24"/>
          <w:szCs w:val="24"/>
        </w:rPr>
        <w:t xml:space="preserve"> standing</w:t>
      </w:r>
      <w:r w:rsidR="006F7C22">
        <w:rPr>
          <w:rFonts w:ascii="Book Antiqua" w:hAnsi="Book Antiqua"/>
          <w:sz w:val="24"/>
          <w:szCs w:val="24"/>
        </w:rPr>
        <w:t>, role</w:t>
      </w:r>
      <w:r>
        <w:rPr>
          <w:rFonts w:ascii="Book Antiqua" w:hAnsi="Book Antiqua"/>
          <w:sz w:val="24"/>
          <w:szCs w:val="24"/>
        </w:rPr>
        <w:t xml:space="preserve"> and</w:t>
      </w:r>
      <w:r w:rsidR="00FA792E" w:rsidRPr="0000290B">
        <w:rPr>
          <w:rFonts w:ascii="Book Antiqua" w:hAnsi="Book Antiqua"/>
          <w:sz w:val="24"/>
          <w:szCs w:val="24"/>
        </w:rPr>
        <w:t xml:space="preserve"> responsibilit</w:t>
      </w:r>
      <w:r>
        <w:rPr>
          <w:rFonts w:ascii="Book Antiqua" w:hAnsi="Book Antiqua"/>
          <w:sz w:val="24"/>
          <w:szCs w:val="24"/>
        </w:rPr>
        <w:t>ies</w:t>
      </w:r>
      <w:r w:rsidR="00FA792E" w:rsidRPr="0000290B">
        <w:rPr>
          <w:rFonts w:ascii="Book Antiqua" w:hAnsi="Book Antiqua"/>
          <w:sz w:val="24"/>
          <w:szCs w:val="24"/>
        </w:rPr>
        <w:t xml:space="preserve"> as the </w:t>
      </w:r>
      <w:r w:rsidR="007A1D51">
        <w:rPr>
          <w:rFonts w:ascii="Book Antiqua" w:hAnsi="Book Antiqua"/>
          <w:sz w:val="24"/>
          <w:szCs w:val="24"/>
        </w:rPr>
        <w:t xml:space="preserve">other </w:t>
      </w:r>
      <w:r w:rsidR="00A31292">
        <w:rPr>
          <w:rFonts w:ascii="Book Antiqua" w:hAnsi="Book Antiqua"/>
          <w:sz w:val="24"/>
          <w:szCs w:val="24"/>
        </w:rPr>
        <w:t xml:space="preserve">three </w:t>
      </w:r>
      <w:r w:rsidR="007A1D51">
        <w:rPr>
          <w:rFonts w:ascii="Book Antiqua" w:hAnsi="Book Antiqua"/>
          <w:sz w:val="24"/>
          <w:szCs w:val="24"/>
        </w:rPr>
        <w:t>members</w:t>
      </w:r>
      <w:r w:rsidR="007A1D51" w:rsidRPr="0000290B">
        <w:rPr>
          <w:rFonts w:ascii="Book Antiqua" w:hAnsi="Book Antiqua"/>
          <w:sz w:val="24"/>
          <w:szCs w:val="24"/>
        </w:rPr>
        <w:t xml:space="preserve"> </w:t>
      </w:r>
      <w:r w:rsidR="00FA792E" w:rsidRPr="0000290B">
        <w:rPr>
          <w:rFonts w:ascii="Book Antiqua" w:hAnsi="Book Antiqua"/>
          <w:sz w:val="24"/>
          <w:szCs w:val="24"/>
        </w:rPr>
        <w:t>of the panel</w:t>
      </w:r>
      <w:r w:rsidR="006F7C22">
        <w:rPr>
          <w:rFonts w:ascii="Book Antiqua" w:hAnsi="Book Antiqua"/>
          <w:sz w:val="24"/>
          <w:szCs w:val="24"/>
        </w:rPr>
        <w:t xml:space="preserve">. </w:t>
      </w:r>
      <w:r w:rsidR="00371F14" w:rsidRPr="006218D0">
        <w:rPr>
          <w:rFonts w:ascii="Book Antiqua" w:hAnsi="Book Antiqua"/>
          <w:sz w:val="24"/>
          <w:szCs w:val="24"/>
        </w:rPr>
        <w:t xml:space="preserve">It is not the role of </w:t>
      </w:r>
      <w:r w:rsidR="006F7C22">
        <w:rPr>
          <w:rFonts w:ascii="Book Antiqua" w:hAnsi="Book Antiqua"/>
          <w:sz w:val="24"/>
          <w:szCs w:val="24"/>
        </w:rPr>
        <w:t>any member</w:t>
      </w:r>
      <w:r w:rsidR="00371F14" w:rsidRPr="006218D0">
        <w:rPr>
          <w:rFonts w:ascii="Book Antiqua" w:hAnsi="Book Antiqua"/>
          <w:sz w:val="24"/>
          <w:szCs w:val="24"/>
        </w:rPr>
        <w:t xml:space="preserve"> to represent</w:t>
      </w:r>
      <w:r w:rsidR="006F7C22">
        <w:rPr>
          <w:rFonts w:ascii="Book Antiqua" w:hAnsi="Book Antiqua"/>
          <w:sz w:val="24"/>
          <w:szCs w:val="24"/>
        </w:rPr>
        <w:t xml:space="preserve"> the interests of</w:t>
      </w:r>
      <w:r w:rsidR="007D5138">
        <w:rPr>
          <w:rFonts w:ascii="Book Antiqua" w:hAnsi="Book Antiqua"/>
          <w:sz w:val="24"/>
          <w:szCs w:val="24"/>
        </w:rPr>
        <w:t>,</w:t>
      </w:r>
      <w:r w:rsidR="00371F14" w:rsidRPr="006218D0">
        <w:rPr>
          <w:rFonts w:ascii="Book Antiqua" w:hAnsi="Book Antiqua"/>
          <w:sz w:val="24"/>
          <w:szCs w:val="24"/>
        </w:rPr>
        <w:t xml:space="preserve"> or advocate for </w:t>
      </w:r>
      <w:r w:rsidR="006F7C22">
        <w:rPr>
          <w:rFonts w:ascii="Book Antiqua" w:hAnsi="Book Antiqua"/>
          <w:sz w:val="24"/>
          <w:szCs w:val="24"/>
        </w:rPr>
        <w:t>patients.</w:t>
      </w:r>
    </w:p>
    <w:p w:rsidR="00203632" w:rsidRDefault="006218D0" w:rsidP="00FA792E">
      <w:pPr>
        <w:numPr>
          <w:ilvl w:val="0"/>
          <w:numId w:val="5"/>
        </w:numPr>
        <w:jc w:val="both"/>
        <w:rPr>
          <w:rFonts w:ascii="Book Antiqua" w:hAnsi="Book Antiqua"/>
          <w:sz w:val="24"/>
          <w:szCs w:val="24"/>
        </w:rPr>
      </w:pPr>
      <w:r>
        <w:rPr>
          <w:rFonts w:ascii="Book Antiqua" w:hAnsi="Book Antiqua"/>
          <w:sz w:val="24"/>
          <w:szCs w:val="24"/>
        </w:rPr>
        <w:t xml:space="preserve">Hearings are conducted pursuant to the </w:t>
      </w:r>
      <w:r w:rsidR="007A1D51">
        <w:rPr>
          <w:rFonts w:ascii="Book Antiqua" w:hAnsi="Book Antiqua"/>
          <w:sz w:val="24"/>
          <w:szCs w:val="24"/>
        </w:rPr>
        <w:t>Mental Health (Compulsory Assessment and Treatment) Act 1992.</w:t>
      </w:r>
    </w:p>
    <w:p w:rsidR="006218D0" w:rsidRDefault="007E5128" w:rsidP="00FA792E">
      <w:pPr>
        <w:numPr>
          <w:ilvl w:val="0"/>
          <w:numId w:val="5"/>
        </w:numPr>
        <w:jc w:val="both"/>
        <w:rPr>
          <w:rFonts w:ascii="Book Antiqua" w:hAnsi="Book Antiqua"/>
          <w:sz w:val="24"/>
          <w:szCs w:val="24"/>
        </w:rPr>
      </w:pPr>
      <w:r w:rsidRPr="006218D0">
        <w:rPr>
          <w:rFonts w:ascii="Book Antiqua" w:hAnsi="Book Antiqua"/>
          <w:sz w:val="24"/>
          <w:szCs w:val="24"/>
        </w:rPr>
        <w:t xml:space="preserve"> The he</w:t>
      </w:r>
      <w:r w:rsidR="006218D0" w:rsidRPr="006218D0">
        <w:rPr>
          <w:rFonts w:ascii="Book Antiqua" w:hAnsi="Book Antiqua"/>
          <w:sz w:val="24"/>
          <w:szCs w:val="24"/>
        </w:rPr>
        <w:t>aring process is quasi-judicial. T</w:t>
      </w:r>
      <w:r w:rsidR="00203632" w:rsidRPr="006218D0">
        <w:rPr>
          <w:rFonts w:ascii="Book Antiqua" w:hAnsi="Book Antiqua"/>
          <w:sz w:val="24"/>
          <w:szCs w:val="24"/>
        </w:rPr>
        <w:t>he</w:t>
      </w:r>
      <w:r w:rsidRPr="006218D0">
        <w:rPr>
          <w:rFonts w:ascii="Book Antiqua" w:hAnsi="Book Antiqua"/>
          <w:sz w:val="24"/>
          <w:szCs w:val="24"/>
        </w:rPr>
        <w:t xml:space="preserve"> hearing panel must</w:t>
      </w:r>
      <w:r w:rsidR="006218D0" w:rsidRPr="006218D0">
        <w:rPr>
          <w:rFonts w:ascii="Book Antiqua" w:hAnsi="Book Antiqua"/>
          <w:sz w:val="24"/>
          <w:szCs w:val="24"/>
        </w:rPr>
        <w:t xml:space="preserve"> display independence, integrity and fairness.</w:t>
      </w:r>
      <w:r w:rsidR="0019528B" w:rsidRPr="006218D0">
        <w:rPr>
          <w:rFonts w:ascii="Book Antiqua" w:hAnsi="Book Antiqua"/>
          <w:sz w:val="24"/>
          <w:szCs w:val="24"/>
        </w:rPr>
        <w:t xml:space="preserve"> </w:t>
      </w:r>
    </w:p>
    <w:p w:rsidR="00462A88" w:rsidRPr="006218D0" w:rsidRDefault="001A259D" w:rsidP="00FA792E">
      <w:pPr>
        <w:numPr>
          <w:ilvl w:val="0"/>
          <w:numId w:val="5"/>
        </w:numPr>
        <w:jc w:val="both"/>
        <w:rPr>
          <w:rFonts w:ascii="Book Antiqua" w:hAnsi="Book Antiqua"/>
          <w:sz w:val="24"/>
          <w:szCs w:val="24"/>
        </w:rPr>
      </w:pPr>
      <w:r w:rsidRPr="006218D0">
        <w:rPr>
          <w:rFonts w:ascii="Book Antiqua" w:hAnsi="Book Antiqua"/>
          <w:sz w:val="24"/>
          <w:szCs w:val="24"/>
        </w:rPr>
        <w:t xml:space="preserve">The hearing process is private and confidential. </w:t>
      </w:r>
      <w:r w:rsidR="006218D0">
        <w:rPr>
          <w:rFonts w:ascii="Book Antiqua" w:hAnsi="Book Antiqua"/>
          <w:sz w:val="24"/>
          <w:szCs w:val="24"/>
        </w:rPr>
        <w:t>The hearing panel must not discuss</w:t>
      </w:r>
      <w:r w:rsidR="005B3417" w:rsidRPr="006218D0">
        <w:rPr>
          <w:rFonts w:ascii="Book Antiqua" w:hAnsi="Book Antiqua"/>
          <w:sz w:val="24"/>
          <w:szCs w:val="24"/>
        </w:rPr>
        <w:t xml:space="preserve"> </w:t>
      </w:r>
      <w:r w:rsidR="00691BCF">
        <w:rPr>
          <w:rFonts w:ascii="Book Antiqua" w:hAnsi="Book Antiqua"/>
          <w:sz w:val="24"/>
          <w:szCs w:val="24"/>
        </w:rPr>
        <w:t xml:space="preserve">or share any information </w:t>
      </w:r>
      <w:r w:rsidR="00371F14">
        <w:rPr>
          <w:rFonts w:ascii="Book Antiqua" w:hAnsi="Book Antiqua"/>
          <w:sz w:val="24"/>
          <w:szCs w:val="24"/>
        </w:rPr>
        <w:t>about the case</w:t>
      </w:r>
      <w:r w:rsidR="00203632" w:rsidRPr="006218D0">
        <w:rPr>
          <w:rFonts w:ascii="Book Antiqua" w:hAnsi="Book Antiqua"/>
          <w:sz w:val="24"/>
          <w:szCs w:val="24"/>
        </w:rPr>
        <w:t xml:space="preserve"> with anyone other than the s</w:t>
      </w:r>
      <w:r w:rsidRPr="006218D0">
        <w:rPr>
          <w:rFonts w:ascii="Book Antiqua" w:hAnsi="Book Antiqua"/>
          <w:sz w:val="24"/>
          <w:szCs w:val="24"/>
        </w:rPr>
        <w:t>ecretariat</w:t>
      </w:r>
      <w:r w:rsidR="00371F14">
        <w:rPr>
          <w:rFonts w:ascii="Book Antiqua" w:hAnsi="Book Antiqua"/>
          <w:sz w:val="24"/>
          <w:szCs w:val="24"/>
        </w:rPr>
        <w:t>,</w:t>
      </w:r>
      <w:r w:rsidRPr="006218D0">
        <w:rPr>
          <w:rFonts w:ascii="Book Antiqua" w:hAnsi="Book Antiqua"/>
          <w:sz w:val="24"/>
          <w:szCs w:val="24"/>
        </w:rPr>
        <w:t xml:space="preserve"> or </w:t>
      </w:r>
      <w:r w:rsidR="006218D0">
        <w:rPr>
          <w:rFonts w:ascii="Book Antiqua" w:hAnsi="Book Antiqua"/>
          <w:sz w:val="24"/>
          <w:szCs w:val="24"/>
        </w:rPr>
        <w:t>other members of the Review Tribunal</w:t>
      </w:r>
      <w:r w:rsidRPr="006218D0">
        <w:rPr>
          <w:rFonts w:ascii="Book Antiqua" w:hAnsi="Book Antiqua"/>
          <w:sz w:val="24"/>
          <w:szCs w:val="24"/>
        </w:rPr>
        <w:t>.</w:t>
      </w:r>
      <w:r w:rsidR="00CA0438">
        <w:rPr>
          <w:rFonts w:ascii="Book Antiqua" w:hAnsi="Book Antiqua"/>
          <w:sz w:val="24"/>
          <w:szCs w:val="24"/>
        </w:rPr>
        <w:t xml:space="preserve"> Care must be taken to ensure the security of all documentation received.</w:t>
      </w:r>
    </w:p>
    <w:p w:rsidR="0019528B" w:rsidRPr="006218D0" w:rsidRDefault="0019528B" w:rsidP="0019528B">
      <w:pPr>
        <w:pStyle w:val="ListParagraph"/>
        <w:rPr>
          <w:rFonts w:ascii="Book Antiqua" w:hAnsi="Book Antiqua"/>
          <w:sz w:val="24"/>
          <w:szCs w:val="24"/>
        </w:rPr>
      </w:pPr>
    </w:p>
    <w:p w:rsidR="002A357D" w:rsidRDefault="002A357D" w:rsidP="002A357D">
      <w:pPr>
        <w:pStyle w:val="ListParagraph"/>
        <w:rPr>
          <w:rFonts w:ascii="Book Antiqua" w:hAnsi="Book Antiqua"/>
          <w:sz w:val="24"/>
          <w:szCs w:val="24"/>
        </w:rPr>
      </w:pPr>
    </w:p>
    <w:p w:rsidR="002A357D" w:rsidRPr="006218D0" w:rsidRDefault="002A357D" w:rsidP="002A357D">
      <w:pPr>
        <w:pStyle w:val="ListParagraph"/>
        <w:jc w:val="both"/>
        <w:rPr>
          <w:rFonts w:ascii="Book Antiqua" w:hAnsi="Book Antiqua"/>
          <w:sz w:val="24"/>
          <w:szCs w:val="24"/>
        </w:rPr>
      </w:pPr>
    </w:p>
    <w:p w:rsidR="00004FC8" w:rsidRDefault="002A357D" w:rsidP="002A357D">
      <w:pPr>
        <w:pStyle w:val="ListParagraph"/>
        <w:numPr>
          <w:ilvl w:val="0"/>
          <w:numId w:val="5"/>
        </w:numPr>
        <w:jc w:val="both"/>
        <w:rPr>
          <w:rFonts w:ascii="Book Antiqua" w:hAnsi="Book Antiqua"/>
          <w:sz w:val="24"/>
          <w:szCs w:val="24"/>
        </w:rPr>
      </w:pPr>
      <w:r>
        <w:rPr>
          <w:rFonts w:ascii="Book Antiqua" w:hAnsi="Book Antiqua"/>
          <w:sz w:val="24"/>
          <w:szCs w:val="24"/>
        </w:rPr>
        <w:t>If</w:t>
      </w:r>
      <w:r w:rsidR="00EA1058" w:rsidRPr="002A357D">
        <w:rPr>
          <w:rFonts w:ascii="Book Antiqua" w:hAnsi="Book Antiqua"/>
          <w:sz w:val="24"/>
          <w:szCs w:val="24"/>
        </w:rPr>
        <w:t xml:space="preserve"> co-opted members know </w:t>
      </w:r>
      <w:r w:rsidR="007D5138">
        <w:rPr>
          <w:rFonts w:ascii="Book Antiqua" w:hAnsi="Book Antiqua"/>
          <w:sz w:val="24"/>
          <w:szCs w:val="24"/>
        </w:rPr>
        <w:t>the patients</w:t>
      </w:r>
      <w:r w:rsidR="00EA1058" w:rsidRPr="002A357D">
        <w:rPr>
          <w:rFonts w:ascii="Book Antiqua" w:hAnsi="Book Antiqua"/>
          <w:sz w:val="24"/>
          <w:szCs w:val="24"/>
        </w:rPr>
        <w:t xml:space="preserve"> or </w:t>
      </w:r>
      <w:r>
        <w:rPr>
          <w:rFonts w:ascii="Book Antiqua" w:hAnsi="Book Antiqua"/>
          <w:sz w:val="24"/>
          <w:szCs w:val="24"/>
        </w:rPr>
        <w:t xml:space="preserve">persons of significance to them, </w:t>
      </w:r>
      <w:r w:rsidRPr="002A357D">
        <w:rPr>
          <w:rFonts w:ascii="Book Antiqua" w:hAnsi="Book Antiqua"/>
          <w:sz w:val="24"/>
          <w:szCs w:val="24"/>
        </w:rPr>
        <w:t>the</w:t>
      </w:r>
      <w:r w:rsidR="00EA1058" w:rsidRPr="002A357D">
        <w:rPr>
          <w:rFonts w:ascii="Book Antiqua" w:hAnsi="Book Antiqua"/>
          <w:sz w:val="24"/>
          <w:szCs w:val="24"/>
        </w:rPr>
        <w:t xml:space="preserve"> secretariat </w:t>
      </w:r>
      <w:r w:rsidRPr="002A357D">
        <w:rPr>
          <w:rFonts w:ascii="Book Antiqua" w:hAnsi="Book Antiqua"/>
          <w:sz w:val="24"/>
          <w:szCs w:val="24"/>
        </w:rPr>
        <w:t>and</w:t>
      </w:r>
      <w:r w:rsidR="00EA1058" w:rsidRPr="002A357D">
        <w:rPr>
          <w:rFonts w:ascii="Book Antiqua" w:hAnsi="Book Antiqua"/>
          <w:sz w:val="24"/>
          <w:szCs w:val="24"/>
        </w:rPr>
        <w:t xml:space="preserve"> other panel members</w:t>
      </w:r>
      <w:r w:rsidRPr="002A357D">
        <w:rPr>
          <w:rFonts w:ascii="Book Antiqua" w:hAnsi="Book Antiqua"/>
          <w:sz w:val="24"/>
          <w:szCs w:val="24"/>
        </w:rPr>
        <w:t xml:space="preserve"> should be advised</w:t>
      </w:r>
      <w:r w:rsidR="00EA1058" w:rsidRPr="002A357D">
        <w:rPr>
          <w:rFonts w:ascii="Book Antiqua" w:hAnsi="Book Antiqua"/>
          <w:sz w:val="24"/>
          <w:szCs w:val="24"/>
        </w:rPr>
        <w:t xml:space="preserve"> at the earliest opportunity.</w:t>
      </w:r>
      <w:r w:rsidR="00E15510" w:rsidRPr="002A357D">
        <w:rPr>
          <w:rFonts w:ascii="Book Antiqua" w:hAnsi="Book Antiqua"/>
          <w:sz w:val="24"/>
          <w:szCs w:val="24"/>
        </w:rPr>
        <w:t xml:space="preserve"> </w:t>
      </w:r>
      <w:r>
        <w:rPr>
          <w:rFonts w:ascii="Book Antiqua" w:hAnsi="Book Antiqua"/>
          <w:sz w:val="24"/>
          <w:szCs w:val="24"/>
        </w:rPr>
        <w:t xml:space="preserve"> </w:t>
      </w:r>
    </w:p>
    <w:p w:rsidR="000273B1" w:rsidRDefault="000273B1" w:rsidP="000273B1">
      <w:pPr>
        <w:pStyle w:val="ListParagraph"/>
        <w:rPr>
          <w:rFonts w:ascii="Book Antiqua" w:hAnsi="Book Antiqua"/>
          <w:sz w:val="24"/>
          <w:szCs w:val="24"/>
        </w:rPr>
      </w:pPr>
    </w:p>
    <w:p w:rsidR="000273B1" w:rsidRPr="00004FC8" w:rsidRDefault="000273B1" w:rsidP="000273B1">
      <w:pPr>
        <w:pStyle w:val="ListParagraph"/>
        <w:jc w:val="both"/>
        <w:rPr>
          <w:rFonts w:ascii="Book Antiqua" w:hAnsi="Book Antiqua"/>
          <w:b/>
          <w:sz w:val="24"/>
          <w:szCs w:val="24"/>
          <w:u w:val="single"/>
        </w:rPr>
      </w:pPr>
      <w:r w:rsidRPr="000273B1">
        <w:rPr>
          <w:rFonts w:ascii="Book Antiqua" w:hAnsi="Book Antiqua"/>
          <w:sz w:val="24"/>
          <w:szCs w:val="24"/>
        </w:rPr>
        <w:t xml:space="preserve">                    </w:t>
      </w:r>
    </w:p>
    <w:p w:rsidR="008527B8" w:rsidRDefault="008527B8" w:rsidP="002A357D">
      <w:pPr>
        <w:pStyle w:val="ListParagraph"/>
        <w:numPr>
          <w:ilvl w:val="0"/>
          <w:numId w:val="5"/>
        </w:numPr>
        <w:jc w:val="both"/>
        <w:rPr>
          <w:rFonts w:ascii="Book Antiqua" w:hAnsi="Book Antiqua"/>
          <w:sz w:val="24"/>
          <w:szCs w:val="24"/>
        </w:rPr>
      </w:pPr>
      <w:r>
        <w:rPr>
          <w:rFonts w:ascii="Book Antiqua" w:hAnsi="Book Antiqua"/>
          <w:sz w:val="24"/>
          <w:szCs w:val="24"/>
        </w:rPr>
        <w:t>Hearings relate</w:t>
      </w:r>
      <w:r w:rsidR="000273B1">
        <w:rPr>
          <w:rFonts w:ascii="Book Antiqua" w:hAnsi="Book Antiqua"/>
          <w:sz w:val="24"/>
          <w:szCs w:val="24"/>
        </w:rPr>
        <w:t xml:space="preserve"> either</w:t>
      </w:r>
      <w:r>
        <w:rPr>
          <w:rFonts w:ascii="Book Antiqua" w:hAnsi="Book Antiqua"/>
          <w:sz w:val="24"/>
          <w:szCs w:val="24"/>
        </w:rPr>
        <w:t xml:space="preserve"> to </w:t>
      </w:r>
      <w:r w:rsidR="000273B1">
        <w:rPr>
          <w:rFonts w:ascii="Book Antiqua" w:hAnsi="Book Antiqua"/>
          <w:sz w:val="24"/>
          <w:szCs w:val="24"/>
        </w:rPr>
        <w:t>civil</w:t>
      </w:r>
      <w:r w:rsidR="002A357D">
        <w:rPr>
          <w:rFonts w:ascii="Book Antiqua" w:hAnsi="Book Antiqua"/>
          <w:sz w:val="24"/>
          <w:szCs w:val="24"/>
        </w:rPr>
        <w:t xml:space="preserve"> patients</w:t>
      </w:r>
      <w:r w:rsidR="00800DFC">
        <w:rPr>
          <w:rFonts w:ascii="Book Antiqua" w:hAnsi="Book Antiqua"/>
          <w:sz w:val="24"/>
          <w:szCs w:val="24"/>
        </w:rPr>
        <w:t xml:space="preserve"> or </w:t>
      </w:r>
      <w:r w:rsidR="002A357D">
        <w:rPr>
          <w:rFonts w:ascii="Book Antiqua" w:hAnsi="Book Antiqua"/>
          <w:sz w:val="24"/>
          <w:szCs w:val="24"/>
        </w:rPr>
        <w:t xml:space="preserve">to special patients. </w:t>
      </w:r>
      <w:r w:rsidR="00800DFC">
        <w:rPr>
          <w:rFonts w:ascii="Book Antiqua" w:hAnsi="Book Antiqua"/>
          <w:sz w:val="24"/>
          <w:szCs w:val="24"/>
        </w:rPr>
        <w:t xml:space="preserve">Although the same process applies to both categories of patient, the legal considerations are different. They are referred to </w:t>
      </w:r>
      <w:r w:rsidR="002A357D">
        <w:rPr>
          <w:rFonts w:ascii="Book Antiqua" w:hAnsi="Book Antiqua"/>
          <w:sz w:val="24"/>
          <w:szCs w:val="24"/>
        </w:rPr>
        <w:t>below</w:t>
      </w:r>
      <w:r w:rsidR="00800DFC">
        <w:rPr>
          <w:rFonts w:ascii="Book Antiqua" w:hAnsi="Book Antiqua"/>
          <w:sz w:val="24"/>
          <w:szCs w:val="24"/>
        </w:rPr>
        <w:t>.</w:t>
      </w:r>
      <w:r w:rsidR="002A357D">
        <w:rPr>
          <w:rFonts w:ascii="Book Antiqua" w:hAnsi="Book Antiqua"/>
          <w:sz w:val="24"/>
          <w:szCs w:val="24"/>
        </w:rPr>
        <w:t xml:space="preserve"> Co-opted members should be clear as to whether the hearing in which they are involved relates to a civil or special patient.</w:t>
      </w:r>
    </w:p>
    <w:p w:rsidR="00077611" w:rsidRDefault="00077611" w:rsidP="00077611">
      <w:pPr>
        <w:pStyle w:val="ListParagraph"/>
        <w:rPr>
          <w:rFonts w:ascii="Book Antiqua" w:hAnsi="Book Antiqua"/>
          <w:sz w:val="24"/>
          <w:szCs w:val="24"/>
        </w:rPr>
      </w:pPr>
    </w:p>
    <w:p w:rsidR="00077611" w:rsidRDefault="00077611" w:rsidP="00077611">
      <w:pPr>
        <w:pStyle w:val="ListParagraph"/>
        <w:jc w:val="both"/>
        <w:rPr>
          <w:rFonts w:ascii="Book Antiqua" w:hAnsi="Book Antiqua"/>
          <w:sz w:val="24"/>
          <w:szCs w:val="24"/>
        </w:rPr>
      </w:pPr>
    </w:p>
    <w:p w:rsidR="00077611" w:rsidRPr="00771C00" w:rsidRDefault="00077611" w:rsidP="00771C00">
      <w:pPr>
        <w:rPr>
          <w:rFonts w:ascii="Book Antiqua" w:hAnsi="Book Antiqua"/>
          <w:b/>
          <w:sz w:val="24"/>
          <w:szCs w:val="24"/>
          <w:u w:val="single"/>
        </w:rPr>
      </w:pPr>
      <w:r w:rsidRPr="00771C00">
        <w:rPr>
          <w:rFonts w:ascii="Book Antiqua" w:hAnsi="Book Antiqua"/>
          <w:b/>
          <w:sz w:val="24"/>
          <w:szCs w:val="24"/>
          <w:u w:val="single"/>
        </w:rPr>
        <w:t xml:space="preserve">The </w:t>
      </w:r>
      <w:r w:rsidR="0000290B" w:rsidRPr="00771C00">
        <w:rPr>
          <w:rFonts w:ascii="Book Antiqua" w:hAnsi="Book Antiqua"/>
          <w:b/>
          <w:sz w:val="24"/>
          <w:szCs w:val="24"/>
          <w:u w:val="single"/>
        </w:rPr>
        <w:t>Review Tribunal</w:t>
      </w:r>
      <w:r w:rsidRPr="00771C00">
        <w:rPr>
          <w:rFonts w:ascii="Book Antiqua" w:hAnsi="Book Antiqua"/>
          <w:b/>
          <w:sz w:val="24"/>
          <w:szCs w:val="24"/>
          <w:u w:val="single"/>
        </w:rPr>
        <w:t>’s</w:t>
      </w:r>
      <w:r w:rsidR="00800DFC" w:rsidRPr="00771C00">
        <w:rPr>
          <w:rFonts w:ascii="Book Antiqua" w:hAnsi="Book Antiqua"/>
          <w:b/>
          <w:sz w:val="24"/>
          <w:szCs w:val="24"/>
          <w:u w:val="single"/>
        </w:rPr>
        <w:t xml:space="preserve"> role </w:t>
      </w:r>
      <w:r w:rsidR="002A357D" w:rsidRPr="00771C00">
        <w:rPr>
          <w:rFonts w:ascii="Book Antiqua" w:hAnsi="Book Antiqua"/>
          <w:b/>
          <w:sz w:val="24"/>
          <w:szCs w:val="24"/>
          <w:u w:val="single"/>
        </w:rPr>
        <w:t>in relation to civil</w:t>
      </w:r>
      <w:r w:rsidR="00800DFC" w:rsidRPr="00771C00">
        <w:rPr>
          <w:rFonts w:ascii="Book Antiqua" w:hAnsi="Book Antiqua"/>
          <w:b/>
          <w:sz w:val="24"/>
          <w:szCs w:val="24"/>
          <w:u w:val="single"/>
        </w:rPr>
        <w:t xml:space="preserve"> patients</w:t>
      </w:r>
    </w:p>
    <w:p w:rsidR="00077611" w:rsidRPr="00A420BD" w:rsidRDefault="003104A4" w:rsidP="00800DFC">
      <w:pPr>
        <w:numPr>
          <w:ilvl w:val="0"/>
          <w:numId w:val="5"/>
        </w:numPr>
        <w:jc w:val="both"/>
        <w:rPr>
          <w:rFonts w:ascii="Book Antiqua" w:hAnsi="Book Antiqua"/>
          <w:sz w:val="24"/>
          <w:szCs w:val="24"/>
        </w:rPr>
      </w:pPr>
      <w:r>
        <w:rPr>
          <w:rFonts w:ascii="Book Antiqua" w:hAnsi="Book Antiqua"/>
          <w:sz w:val="24"/>
          <w:szCs w:val="24"/>
        </w:rPr>
        <w:t>The hearings are under section 79 of the Act.</w:t>
      </w:r>
    </w:p>
    <w:p w:rsidR="00A01A34" w:rsidRDefault="003104A4" w:rsidP="00800DFC">
      <w:pPr>
        <w:numPr>
          <w:ilvl w:val="0"/>
          <w:numId w:val="5"/>
        </w:numPr>
        <w:jc w:val="both"/>
        <w:rPr>
          <w:rFonts w:ascii="Book Antiqua" w:hAnsi="Book Antiqua"/>
          <w:sz w:val="24"/>
          <w:szCs w:val="24"/>
        </w:rPr>
      </w:pPr>
      <w:r>
        <w:rPr>
          <w:rFonts w:ascii="Book Antiqua" w:hAnsi="Book Antiqua"/>
          <w:sz w:val="24"/>
          <w:szCs w:val="24"/>
        </w:rPr>
        <w:t>T</w:t>
      </w:r>
      <w:r w:rsidR="00800DFC">
        <w:rPr>
          <w:rFonts w:ascii="Book Antiqua" w:hAnsi="Book Antiqua"/>
          <w:sz w:val="24"/>
          <w:szCs w:val="24"/>
        </w:rPr>
        <w:t>he Review Tribunal is required</w:t>
      </w:r>
      <w:r w:rsidR="00077611" w:rsidRPr="00A420BD">
        <w:rPr>
          <w:rFonts w:ascii="Book Antiqua" w:hAnsi="Book Antiqua"/>
          <w:sz w:val="24"/>
          <w:szCs w:val="24"/>
        </w:rPr>
        <w:t xml:space="preserve"> to</w:t>
      </w:r>
      <w:r w:rsidR="00A01A34">
        <w:rPr>
          <w:rFonts w:ascii="Book Antiqua" w:hAnsi="Book Antiqua"/>
          <w:sz w:val="24"/>
          <w:szCs w:val="24"/>
        </w:rPr>
        <w:t xml:space="preserve"> determine</w:t>
      </w:r>
      <w:r w:rsidR="00077611" w:rsidRPr="00A420BD">
        <w:rPr>
          <w:rFonts w:ascii="Book Antiqua" w:hAnsi="Book Antiqua"/>
          <w:sz w:val="24"/>
          <w:szCs w:val="24"/>
        </w:rPr>
        <w:t xml:space="preserve"> whether </w:t>
      </w:r>
      <w:r>
        <w:rPr>
          <w:rFonts w:ascii="Book Antiqua" w:hAnsi="Book Antiqua"/>
          <w:sz w:val="24"/>
          <w:szCs w:val="24"/>
        </w:rPr>
        <w:t>the patient is</w:t>
      </w:r>
      <w:r w:rsidR="00A01A34">
        <w:rPr>
          <w:rFonts w:ascii="Book Antiqua" w:hAnsi="Book Antiqua"/>
          <w:sz w:val="24"/>
          <w:szCs w:val="24"/>
        </w:rPr>
        <w:t xml:space="preserve"> fit to be released from compulsory status.</w:t>
      </w:r>
    </w:p>
    <w:p w:rsidR="00A01A34" w:rsidRDefault="00A01A34" w:rsidP="00800DFC">
      <w:pPr>
        <w:numPr>
          <w:ilvl w:val="0"/>
          <w:numId w:val="5"/>
        </w:numPr>
        <w:jc w:val="both"/>
        <w:rPr>
          <w:rFonts w:ascii="Book Antiqua" w:hAnsi="Book Antiqua"/>
          <w:sz w:val="24"/>
          <w:szCs w:val="24"/>
        </w:rPr>
      </w:pPr>
      <w:r>
        <w:rPr>
          <w:rFonts w:ascii="Book Antiqua" w:hAnsi="Book Antiqua"/>
          <w:sz w:val="24"/>
          <w:szCs w:val="24"/>
        </w:rPr>
        <w:t>This in turn requires the Review Tribunal to decide whether or not the patient</w:t>
      </w:r>
      <w:r w:rsidR="003104A4">
        <w:rPr>
          <w:rFonts w:ascii="Book Antiqua" w:hAnsi="Book Antiqua"/>
          <w:sz w:val="24"/>
          <w:szCs w:val="24"/>
        </w:rPr>
        <w:t xml:space="preserve"> remains</w:t>
      </w:r>
      <w:r w:rsidR="00077611" w:rsidRPr="00A420BD">
        <w:rPr>
          <w:rFonts w:ascii="Book Antiqua" w:hAnsi="Book Antiqua"/>
          <w:sz w:val="24"/>
          <w:szCs w:val="24"/>
        </w:rPr>
        <w:t xml:space="preserve"> mentally disordered. </w:t>
      </w:r>
    </w:p>
    <w:p w:rsidR="00077611" w:rsidRPr="00A420BD" w:rsidRDefault="00077611" w:rsidP="00800DFC">
      <w:pPr>
        <w:numPr>
          <w:ilvl w:val="0"/>
          <w:numId w:val="5"/>
        </w:numPr>
        <w:jc w:val="both"/>
        <w:rPr>
          <w:rFonts w:ascii="Book Antiqua" w:hAnsi="Book Antiqua"/>
          <w:sz w:val="24"/>
          <w:szCs w:val="24"/>
        </w:rPr>
      </w:pPr>
      <w:r w:rsidRPr="00A420BD">
        <w:rPr>
          <w:rFonts w:ascii="Book Antiqua" w:hAnsi="Book Antiqua"/>
          <w:sz w:val="24"/>
          <w:szCs w:val="24"/>
        </w:rPr>
        <w:t>The term mentally disor</w:t>
      </w:r>
      <w:r w:rsidR="00A01A34">
        <w:rPr>
          <w:rFonts w:ascii="Book Antiqua" w:hAnsi="Book Antiqua"/>
          <w:sz w:val="24"/>
          <w:szCs w:val="24"/>
        </w:rPr>
        <w:t xml:space="preserve">dered is defined in the Act </w:t>
      </w:r>
      <w:r w:rsidRPr="00A420BD">
        <w:rPr>
          <w:rFonts w:ascii="Book Antiqua" w:hAnsi="Book Antiqua"/>
          <w:sz w:val="24"/>
          <w:szCs w:val="24"/>
        </w:rPr>
        <w:t xml:space="preserve"> as:</w:t>
      </w:r>
    </w:p>
    <w:p w:rsidR="00077611" w:rsidRPr="003104A4" w:rsidRDefault="00077611" w:rsidP="00077611">
      <w:pPr>
        <w:ind w:left="720"/>
        <w:jc w:val="both"/>
        <w:rPr>
          <w:rFonts w:ascii="Book Antiqua" w:hAnsi="Book Antiqua"/>
          <w:i/>
          <w:sz w:val="24"/>
          <w:szCs w:val="24"/>
        </w:rPr>
      </w:pPr>
      <w:r w:rsidRPr="003104A4">
        <w:rPr>
          <w:rFonts w:ascii="Book Antiqua" w:hAnsi="Book Antiqua"/>
          <w:i/>
          <w:sz w:val="24"/>
          <w:szCs w:val="24"/>
        </w:rPr>
        <w:t>“</w:t>
      </w:r>
      <w:proofErr w:type="gramStart"/>
      <w:r w:rsidRPr="003104A4">
        <w:rPr>
          <w:rFonts w:ascii="Book Antiqua" w:hAnsi="Book Antiqua"/>
          <w:i/>
          <w:sz w:val="24"/>
          <w:szCs w:val="24"/>
        </w:rPr>
        <w:t>an</w:t>
      </w:r>
      <w:proofErr w:type="gramEnd"/>
      <w:r w:rsidRPr="003104A4">
        <w:rPr>
          <w:rFonts w:ascii="Book Antiqua" w:hAnsi="Book Antiqua"/>
          <w:i/>
          <w:sz w:val="24"/>
          <w:szCs w:val="24"/>
        </w:rPr>
        <w:t xml:space="preserve"> abnormal state of mind (whether of a continuous or intermittent nature), characterised by delusions, or disorders of mood or perception or volition or cognition, of such a degree that it –</w:t>
      </w:r>
    </w:p>
    <w:p w:rsidR="00077611" w:rsidRPr="003104A4" w:rsidRDefault="00077611" w:rsidP="00077611">
      <w:pPr>
        <w:pStyle w:val="ListParagraph"/>
        <w:numPr>
          <w:ilvl w:val="0"/>
          <w:numId w:val="1"/>
        </w:numPr>
        <w:jc w:val="both"/>
        <w:rPr>
          <w:rFonts w:ascii="Book Antiqua" w:hAnsi="Book Antiqua"/>
          <w:i/>
          <w:sz w:val="24"/>
          <w:szCs w:val="24"/>
        </w:rPr>
      </w:pPr>
      <w:r w:rsidRPr="003104A4">
        <w:rPr>
          <w:rFonts w:ascii="Book Antiqua" w:hAnsi="Book Antiqua"/>
          <w:i/>
          <w:sz w:val="24"/>
          <w:szCs w:val="24"/>
        </w:rPr>
        <w:t>Poses a serious danger to the health and safety of that person or of others; or</w:t>
      </w:r>
    </w:p>
    <w:p w:rsidR="00077611" w:rsidRDefault="00077611" w:rsidP="00077611">
      <w:pPr>
        <w:pStyle w:val="ListParagraph"/>
        <w:numPr>
          <w:ilvl w:val="0"/>
          <w:numId w:val="1"/>
        </w:numPr>
        <w:jc w:val="both"/>
        <w:rPr>
          <w:rFonts w:ascii="Book Antiqua" w:hAnsi="Book Antiqua"/>
          <w:i/>
          <w:sz w:val="24"/>
          <w:szCs w:val="24"/>
        </w:rPr>
      </w:pPr>
      <w:r w:rsidRPr="003104A4">
        <w:rPr>
          <w:rFonts w:ascii="Book Antiqua" w:hAnsi="Book Antiqua"/>
          <w:i/>
          <w:sz w:val="24"/>
          <w:szCs w:val="24"/>
        </w:rPr>
        <w:t>Seriously diminishes the capacity of that person to take care of himself or herself.”</w:t>
      </w:r>
    </w:p>
    <w:p w:rsidR="003104A4" w:rsidRDefault="003104A4" w:rsidP="003104A4">
      <w:pPr>
        <w:pStyle w:val="ListParagraph"/>
        <w:ind w:left="1080"/>
        <w:jc w:val="both"/>
        <w:rPr>
          <w:rFonts w:ascii="Book Antiqua" w:hAnsi="Book Antiqua"/>
          <w:i/>
          <w:sz w:val="24"/>
          <w:szCs w:val="24"/>
        </w:rPr>
      </w:pPr>
    </w:p>
    <w:p w:rsidR="003104A4" w:rsidRPr="003104A4" w:rsidRDefault="003104A4" w:rsidP="003104A4">
      <w:pPr>
        <w:pStyle w:val="ListParagraph"/>
        <w:numPr>
          <w:ilvl w:val="0"/>
          <w:numId w:val="5"/>
        </w:numPr>
        <w:jc w:val="both"/>
        <w:rPr>
          <w:rFonts w:ascii="Book Antiqua" w:hAnsi="Book Antiqua"/>
          <w:sz w:val="24"/>
          <w:szCs w:val="24"/>
        </w:rPr>
      </w:pPr>
      <w:r>
        <w:rPr>
          <w:rFonts w:ascii="Book Antiqua" w:hAnsi="Book Antiqua"/>
          <w:sz w:val="24"/>
          <w:szCs w:val="24"/>
        </w:rPr>
        <w:t>Mental disorder, as defined above, is not the same as mental illness. A patient may have a mental illness but not be mentally disordered. Typically, the issue is whether or not</w:t>
      </w:r>
      <w:r w:rsidR="001C2926">
        <w:rPr>
          <w:rFonts w:ascii="Book Antiqua" w:hAnsi="Book Antiqua"/>
          <w:sz w:val="24"/>
          <w:szCs w:val="24"/>
        </w:rPr>
        <w:t xml:space="preserve"> the</w:t>
      </w:r>
      <w:r>
        <w:rPr>
          <w:rFonts w:ascii="Book Antiqua" w:hAnsi="Book Antiqua"/>
          <w:sz w:val="24"/>
          <w:szCs w:val="24"/>
        </w:rPr>
        <w:t xml:space="preserve"> danger or self care issues</w:t>
      </w:r>
      <w:r w:rsidR="00F10645">
        <w:rPr>
          <w:rFonts w:ascii="Book Antiqua" w:hAnsi="Book Antiqua"/>
          <w:sz w:val="24"/>
          <w:szCs w:val="24"/>
        </w:rPr>
        <w:t xml:space="preserve"> referred to in the sec</w:t>
      </w:r>
      <w:r w:rsidR="001C2926">
        <w:rPr>
          <w:rFonts w:ascii="Book Antiqua" w:hAnsi="Book Antiqua"/>
          <w:sz w:val="24"/>
          <w:szCs w:val="24"/>
        </w:rPr>
        <w:t>ond part of the definition apply to the patient</w:t>
      </w:r>
      <w:r w:rsidR="00265711">
        <w:rPr>
          <w:rFonts w:ascii="Book Antiqua" w:hAnsi="Book Antiqua"/>
          <w:sz w:val="24"/>
          <w:szCs w:val="24"/>
        </w:rPr>
        <w:t>, and if they do, whether that is</w:t>
      </w:r>
      <w:r w:rsidR="00F10645">
        <w:rPr>
          <w:rFonts w:ascii="Book Antiqua" w:hAnsi="Book Antiqua"/>
          <w:sz w:val="24"/>
          <w:szCs w:val="24"/>
        </w:rPr>
        <w:t xml:space="preserve"> </w:t>
      </w:r>
      <w:r w:rsidR="001C2926">
        <w:rPr>
          <w:rFonts w:ascii="Book Antiqua" w:hAnsi="Book Antiqua"/>
          <w:sz w:val="24"/>
          <w:szCs w:val="24"/>
        </w:rPr>
        <w:t>of such a degree as to</w:t>
      </w:r>
      <w:r w:rsidR="00F10645">
        <w:rPr>
          <w:rFonts w:ascii="Book Antiqua" w:hAnsi="Book Antiqua"/>
          <w:sz w:val="24"/>
          <w:szCs w:val="24"/>
        </w:rPr>
        <w:t xml:space="preserve"> </w:t>
      </w:r>
      <w:r w:rsidR="001C2926">
        <w:rPr>
          <w:rFonts w:ascii="Book Antiqua" w:hAnsi="Book Antiqua"/>
          <w:sz w:val="24"/>
          <w:szCs w:val="24"/>
        </w:rPr>
        <w:t>justify</w:t>
      </w:r>
      <w:r>
        <w:rPr>
          <w:rFonts w:ascii="Book Antiqua" w:hAnsi="Book Antiqua"/>
          <w:sz w:val="24"/>
          <w:szCs w:val="24"/>
        </w:rPr>
        <w:t xml:space="preserve"> compulsory treatment.</w:t>
      </w:r>
    </w:p>
    <w:p w:rsidR="00534D53" w:rsidRDefault="00534D53" w:rsidP="00534D53">
      <w:pPr>
        <w:pStyle w:val="ListParagraph"/>
        <w:jc w:val="both"/>
        <w:rPr>
          <w:rFonts w:ascii="Book Antiqua" w:hAnsi="Book Antiqua"/>
          <w:sz w:val="24"/>
          <w:szCs w:val="24"/>
        </w:rPr>
      </w:pPr>
    </w:p>
    <w:p w:rsidR="00A01A34" w:rsidRPr="00A420BD" w:rsidRDefault="00A01A34" w:rsidP="00A01A34">
      <w:pPr>
        <w:pStyle w:val="ListParagraph"/>
        <w:numPr>
          <w:ilvl w:val="0"/>
          <w:numId w:val="5"/>
        </w:numPr>
        <w:jc w:val="both"/>
        <w:rPr>
          <w:rFonts w:ascii="Book Antiqua" w:hAnsi="Book Antiqua"/>
          <w:sz w:val="24"/>
          <w:szCs w:val="24"/>
        </w:rPr>
      </w:pPr>
      <w:r>
        <w:rPr>
          <w:rFonts w:ascii="Book Antiqua" w:hAnsi="Book Antiqua"/>
          <w:sz w:val="24"/>
          <w:szCs w:val="24"/>
        </w:rPr>
        <w:t xml:space="preserve">If the Review Tribunal finds the </w:t>
      </w:r>
      <w:r w:rsidR="003104A4">
        <w:rPr>
          <w:rFonts w:ascii="Book Antiqua" w:hAnsi="Book Antiqua"/>
          <w:sz w:val="24"/>
          <w:szCs w:val="24"/>
        </w:rPr>
        <w:t xml:space="preserve">patient </w:t>
      </w:r>
      <w:r>
        <w:rPr>
          <w:rFonts w:ascii="Book Antiqua" w:hAnsi="Book Antiqua"/>
          <w:sz w:val="24"/>
          <w:szCs w:val="24"/>
        </w:rPr>
        <w:t>to be mentally disordere</w:t>
      </w:r>
      <w:r w:rsidR="003104A4">
        <w:rPr>
          <w:rFonts w:ascii="Book Antiqua" w:hAnsi="Book Antiqua"/>
          <w:sz w:val="24"/>
          <w:szCs w:val="24"/>
        </w:rPr>
        <w:t>d, it means</w:t>
      </w:r>
      <w:r>
        <w:rPr>
          <w:rFonts w:ascii="Book Antiqua" w:hAnsi="Book Antiqua"/>
          <w:sz w:val="24"/>
          <w:szCs w:val="24"/>
        </w:rPr>
        <w:t xml:space="preserve"> that they are not fit to be released from compulsory status. </w:t>
      </w:r>
      <w:r w:rsidR="003104A4">
        <w:rPr>
          <w:rFonts w:ascii="Book Antiqua" w:hAnsi="Book Antiqua"/>
          <w:sz w:val="24"/>
          <w:szCs w:val="24"/>
        </w:rPr>
        <w:t>Equally</w:t>
      </w:r>
      <w:r>
        <w:rPr>
          <w:rFonts w:ascii="Book Antiqua" w:hAnsi="Book Antiqua"/>
          <w:sz w:val="24"/>
          <w:szCs w:val="24"/>
        </w:rPr>
        <w:t xml:space="preserve">, if the Review Tribunal finds the </w:t>
      </w:r>
      <w:r w:rsidR="003104A4">
        <w:rPr>
          <w:rFonts w:ascii="Book Antiqua" w:hAnsi="Book Antiqua"/>
          <w:sz w:val="24"/>
          <w:szCs w:val="24"/>
        </w:rPr>
        <w:t>patient</w:t>
      </w:r>
      <w:r>
        <w:rPr>
          <w:rFonts w:ascii="Book Antiqua" w:hAnsi="Book Antiqua"/>
          <w:sz w:val="24"/>
          <w:szCs w:val="24"/>
        </w:rPr>
        <w:t xml:space="preserve"> no longer to be mentally disordered, it </w:t>
      </w:r>
      <w:r w:rsidR="003104A4">
        <w:rPr>
          <w:rFonts w:ascii="Book Antiqua" w:hAnsi="Book Antiqua"/>
          <w:sz w:val="24"/>
          <w:szCs w:val="24"/>
        </w:rPr>
        <w:t>means that</w:t>
      </w:r>
      <w:r>
        <w:rPr>
          <w:rFonts w:ascii="Book Antiqua" w:hAnsi="Book Antiqua"/>
          <w:sz w:val="24"/>
          <w:szCs w:val="24"/>
        </w:rPr>
        <w:t xml:space="preserve"> they are fit to be released from compulsory status.</w:t>
      </w:r>
    </w:p>
    <w:p w:rsidR="00082380" w:rsidRPr="00082380" w:rsidRDefault="00082380" w:rsidP="00CE2C97">
      <w:pPr>
        <w:numPr>
          <w:ilvl w:val="0"/>
          <w:numId w:val="5"/>
        </w:numPr>
        <w:ind w:left="360"/>
        <w:jc w:val="both"/>
        <w:rPr>
          <w:rFonts w:ascii="Book Antiqua" w:hAnsi="Book Antiqua"/>
          <w:b/>
          <w:sz w:val="24"/>
          <w:szCs w:val="24"/>
        </w:rPr>
      </w:pPr>
      <w:r>
        <w:rPr>
          <w:rFonts w:ascii="Book Antiqua" w:hAnsi="Book Antiqua"/>
          <w:sz w:val="24"/>
          <w:szCs w:val="24"/>
        </w:rPr>
        <w:lastRenderedPageBreak/>
        <w:t xml:space="preserve"> </w:t>
      </w:r>
      <w:r w:rsidR="00077611" w:rsidRPr="00082380">
        <w:rPr>
          <w:rFonts w:ascii="Book Antiqua" w:hAnsi="Book Antiqua"/>
          <w:sz w:val="24"/>
          <w:szCs w:val="24"/>
        </w:rPr>
        <w:t xml:space="preserve">It is </w:t>
      </w:r>
      <w:r w:rsidR="00A01A34" w:rsidRPr="00082380">
        <w:rPr>
          <w:rFonts w:ascii="Book Antiqua" w:hAnsi="Book Antiqua"/>
          <w:sz w:val="24"/>
          <w:szCs w:val="24"/>
        </w:rPr>
        <w:t>not</w:t>
      </w:r>
      <w:r w:rsidR="00077611" w:rsidRPr="00082380">
        <w:rPr>
          <w:rFonts w:ascii="Book Antiqua" w:hAnsi="Book Antiqua"/>
          <w:sz w:val="24"/>
          <w:szCs w:val="24"/>
        </w:rPr>
        <w:t xml:space="preserve"> the </w:t>
      </w:r>
      <w:r w:rsidR="0000290B" w:rsidRPr="00082380">
        <w:rPr>
          <w:rFonts w:ascii="Book Antiqua" w:hAnsi="Book Antiqua"/>
          <w:sz w:val="24"/>
          <w:szCs w:val="24"/>
        </w:rPr>
        <w:t>Review Tribunal</w:t>
      </w:r>
      <w:r w:rsidR="00A01A34" w:rsidRPr="00082380">
        <w:rPr>
          <w:rFonts w:ascii="Book Antiqua" w:hAnsi="Book Antiqua"/>
          <w:sz w:val="24"/>
          <w:szCs w:val="24"/>
        </w:rPr>
        <w:t>’s role</w:t>
      </w:r>
      <w:r w:rsidR="00077611" w:rsidRPr="00082380">
        <w:rPr>
          <w:rFonts w:ascii="Book Antiqua" w:hAnsi="Book Antiqua"/>
          <w:sz w:val="24"/>
          <w:szCs w:val="24"/>
        </w:rPr>
        <w:t xml:space="preserve"> </w:t>
      </w:r>
      <w:r w:rsidR="00A01A34" w:rsidRPr="00082380">
        <w:rPr>
          <w:rFonts w:ascii="Book Antiqua" w:hAnsi="Book Antiqua"/>
          <w:sz w:val="24"/>
          <w:szCs w:val="24"/>
        </w:rPr>
        <w:t>to</w:t>
      </w:r>
      <w:r w:rsidR="00077611" w:rsidRPr="00082380">
        <w:rPr>
          <w:rFonts w:ascii="Book Antiqua" w:hAnsi="Book Antiqua"/>
          <w:sz w:val="24"/>
          <w:szCs w:val="24"/>
        </w:rPr>
        <w:t xml:space="preserve"> make any decisions or recommendations </w:t>
      </w:r>
      <w:r w:rsidRPr="00082380">
        <w:rPr>
          <w:rFonts w:ascii="Book Antiqua" w:hAnsi="Book Antiqua"/>
          <w:sz w:val="24"/>
          <w:szCs w:val="24"/>
        </w:rPr>
        <w:t>about the treatment patients should receive, or</w:t>
      </w:r>
      <w:r w:rsidR="00077611" w:rsidRPr="00082380">
        <w:rPr>
          <w:rFonts w:ascii="Book Antiqua" w:hAnsi="Book Antiqua"/>
          <w:sz w:val="24"/>
          <w:szCs w:val="24"/>
        </w:rPr>
        <w:t xml:space="preserve"> </w:t>
      </w:r>
      <w:r w:rsidRPr="00082380">
        <w:rPr>
          <w:rFonts w:ascii="Book Antiqua" w:hAnsi="Book Antiqua"/>
          <w:sz w:val="24"/>
          <w:szCs w:val="24"/>
        </w:rPr>
        <w:t>whether or not they should be in hospital</w:t>
      </w:r>
      <w:r w:rsidR="00077611" w:rsidRPr="00082380">
        <w:rPr>
          <w:rFonts w:ascii="Book Antiqua" w:hAnsi="Book Antiqua"/>
          <w:sz w:val="24"/>
          <w:szCs w:val="24"/>
        </w:rPr>
        <w:t xml:space="preserve">. </w:t>
      </w:r>
    </w:p>
    <w:p w:rsidR="00082380" w:rsidRPr="00082380" w:rsidRDefault="00082380" w:rsidP="00082380">
      <w:pPr>
        <w:jc w:val="both"/>
        <w:rPr>
          <w:rFonts w:ascii="Book Antiqua" w:hAnsi="Book Antiqua"/>
          <w:b/>
          <w:sz w:val="24"/>
          <w:szCs w:val="24"/>
        </w:rPr>
      </w:pPr>
    </w:p>
    <w:p w:rsidR="00AA3836" w:rsidRDefault="00E76B87" w:rsidP="00082380">
      <w:pPr>
        <w:jc w:val="both"/>
        <w:rPr>
          <w:rFonts w:ascii="Book Antiqua" w:hAnsi="Book Antiqua"/>
          <w:b/>
          <w:sz w:val="24"/>
          <w:szCs w:val="24"/>
          <w:u w:val="single"/>
        </w:rPr>
      </w:pPr>
      <w:r w:rsidRPr="00082380">
        <w:rPr>
          <w:rFonts w:ascii="Book Antiqua" w:hAnsi="Book Antiqua"/>
          <w:b/>
          <w:sz w:val="24"/>
          <w:szCs w:val="24"/>
          <w:u w:val="single"/>
        </w:rPr>
        <w:t>The Review Tribunal’s role</w:t>
      </w:r>
      <w:r w:rsidR="00AA3836" w:rsidRPr="00082380">
        <w:rPr>
          <w:rFonts w:ascii="Book Antiqua" w:hAnsi="Book Antiqua"/>
          <w:b/>
          <w:sz w:val="24"/>
          <w:szCs w:val="24"/>
          <w:u w:val="single"/>
        </w:rPr>
        <w:t xml:space="preserve"> </w:t>
      </w:r>
      <w:r w:rsidR="00082380">
        <w:rPr>
          <w:rFonts w:ascii="Book Antiqua" w:hAnsi="Book Antiqua"/>
          <w:b/>
          <w:sz w:val="24"/>
          <w:szCs w:val="24"/>
          <w:u w:val="single"/>
        </w:rPr>
        <w:t>relation to special patients</w:t>
      </w:r>
    </w:p>
    <w:p w:rsidR="00082380" w:rsidRDefault="00082380" w:rsidP="00082380">
      <w:pPr>
        <w:jc w:val="both"/>
        <w:rPr>
          <w:rFonts w:ascii="Book Antiqua" w:hAnsi="Book Antiqua"/>
          <w:b/>
          <w:sz w:val="24"/>
          <w:szCs w:val="24"/>
          <w:u w:val="single"/>
        </w:rPr>
      </w:pPr>
    </w:p>
    <w:p w:rsidR="00082380" w:rsidRPr="00082380" w:rsidRDefault="00082380" w:rsidP="00082380">
      <w:pPr>
        <w:numPr>
          <w:ilvl w:val="0"/>
          <w:numId w:val="5"/>
        </w:numPr>
        <w:jc w:val="both"/>
        <w:rPr>
          <w:rFonts w:ascii="Book Antiqua" w:hAnsi="Book Antiqua"/>
          <w:sz w:val="24"/>
          <w:szCs w:val="24"/>
        </w:rPr>
      </w:pPr>
      <w:r>
        <w:rPr>
          <w:rFonts w:ascii="Book Antiqua" w:hAnsi="Book Antiqua"/>
          <w:sz w:val="24"/>
          <w:szCs w:val="24"/>
        </w:rPr>
        <w:t>The hearings are under section 80 of the Act.</w:t>
      </w:r>
    </w:p>
    <w:p w:rsidR="00A72B6F" w:rsidRPr="00E76B87" w:rsidRDefault="00534D53" w:rsidP="00082380">
      <w:pPr>
        <w:numPr>
          <w:ilvl w:val="0"/>
          <w:numId w:val="5"/>
        </w:numPr>
        <w:jc w:val="both"/>
        <w:rPr>
          <w:rFonts w:ascii="Book Antiqua" w:hAnsi="Book Antiqua"/>
          <w:sz w:val="24"/>
          <w:szCs w:val="24"/>
        </w:rPr>
      </w:pPr>
      <w:r>
        <w:rPr>
          <w:rFonts w:ascii="Book Antiqua" w:hAnsi="Book Antiqua"/>
          <w:sz w:val="24"/>
          <w:szCs w:val="24"/>
        </w:rPr>
        <w:t>There are two</w:t>
      </w:r>
      <w:r w:rsidR="00A72B6F" w:rsidRPr="00E76B87">
        <w:rPr>
          <w:rFonts w:ascii="Book Antiqua" w:hAnsi="Book Antiqua"/>
          <w:sz w:val="24"/>
          <w:szCs w:val="24"/>
        </w:rPr>
        <w:t xml:space="preserve"> categories of special patient: those who have been found</w:t>
      </w:r>
      <w:r w:rsidR="000F481C" w:rsidRPr="00E76B87">
        <w:rPr>
          <w:rFonts w:ascii="Book Antiqua" w:hAnsi="Book Antiqua"/>
          <w:sz w:val="24"/>
          <w:szCs w:val="24"/>
        </w:rPr>
        <w:t xml:space="preserve"> by a criminal court</w:t>
      </w:r>
      <w:r w:rsidR="00A72B6F" w:rsidRPr="00E76B87">
        <w:rPr>
          <w:rFonts w:ascii="Book Antiqua" w:hAnsi="Book Antiqua"/>
          <w:sz w:val="24"/>
          <w:szCs w:val="24"/>
        </w:rPr>
        <w:t xml:space="preserve"> unfit to stand trial, and those who have been found not guilty by reason of </w:t>
      </w:r>
      <w:r w:rsidR="000F481C" w:rsidRPr="00E76B87">
        <w:rPr>
          <w:rFonts w:ascii="Book Antiqua" w:hAnsi="Book Antiqua"/>
          <w:sz w:val="24"/>
          <w:szCs w:val="24"/>
        </w:rPr>
        <w:t>insanity</w:t>
      </w:r>
      <w:r w:rsidR="00A72B6F" w:rsidRPr="00E76B87">
        <w:rPr>
          <w:rFonts w:ascii="Book Antiqua" w:hAnsi="Book Antiqua"/>
          <w:sz w:val="24"/>
          <w:szCs w:val="24"/>
        </w:rPr>
        <w:t>.</w:t>
      </w:r>
    </w:p>
    <w:p w:rsidR="00A72B6F" w:rsidRPr="00E76B87" w:rsidRDefault="00A72B6F" w:rsidP="00082380">
      <w:pPr>
        <w:numPr>
          <w:ilvl w:val="0"/>
          <w:numId w:val="5"/>
        </w:numPr>
        <w:jc w:val="both"/>
        <w:rPr>
          <w:rFonts w:ascii="Book Antiqua" w:hAnsi="Book Antiqua"/>
          <w:sz w:val="24"/>
          <w:szCs w:val="24"/>
        </w:rPr>
      </w:pPr>
      <w:r w:rsidRPr="00E76B87">
        <w:rPr>
          <w:rFonts w:ascii="Book Antiqua" w:hAnsi="Book Antiqua"/>
          <w:sz w:val="24"/>
          <w:szCs w:val="24"/>
        </w:rPr>
        <w:t>In the case of the former, the Review Tribunal is required to express an opinion as to whether or not the patient remains unfit to stand trial, and if they still are, express the further opinion as to whether they should still be subject to detention as a special patient.</w:t>
      </w:r>
      <w:r w:rsidR="005A0803" w:rsidRPr="00E76B87">
        <w:rPr>
          <w:rFonts w:ascii="Book Antiqua" w:hAnsi="Book Antiqua"/>
          <w:sz w:val="24"/>
          <w:szCs w:val="24"/>
        </w:rPr>
        <w:t xml:space="preserve"> </w:t>
      </w:r>
    </w:p>
    <w:p w:rsidR="005A0803" w:rsidRDefault="005A0803" w:rsidP="00082380">
      <w:pPr>
        <w:pStyle w:val="text1"/>
        <w:numPr>
          <w:ilvl w:val="0"/>
          <w:numId w:val="5"/>
        </w:numPr>
        <w:shd w:val="clear" w:color="auto" w:fill="FFFFFF"/>
        <w:rPr>
          <w:rFonts w:ascii="Book Antiqua" w:hAnsi="Book Antiqua"/>
          <w:lang w:val="en-NZ"/>
        </w:rPr>
      </w:pPr>
      <w:r>
        <w:rPr>
          <w:rFonts w:ascii="Book Antiqua" w:hAnsi="Book Antiqua"/>
          <w:b/>
        </w:rPr>
        <w:t xml:space="preserve">   </w:t>
      </w:r>
      <w:r w:rsidR="003750F1" w:rsidRPr="003750F1">
        <w:rPr>
          <w:rStyle w:val="HTMLDefinition"/>
          <w:rFonts w:ascii="Book Antiqua" w:hAnsi="Book Antiqua"/>
          <w:bCs/>
          <w:i w:val="0"/>
          <w:iCs w:val="0"/>
          <w:lang w:val="en-NZ"/>
        </w:rPr>
        <w:t>U</w:t>
      </w:r>
      <w:r w:rsidRPr="003750F1">
        <w:rPr>
          <w:rStyle w:val="HTMLDefinition"/>
          <w:rFonts w:ascii="Book Antiqua" w:hAnsi="Book Antiqua"/>
          <w:bCs/>
          <w:i w:val="0"/>
          <w:iCs w:val="0"/>
          <w:lang w:val="en-NZ"/>
        </w:rPr>
        <w:t>nfit to stand trial</w:t>
      </w:r>
      <w:r w:rsidR="0053621B">
        <w:rPr>
          <w:rFonts w:ascii="Book Antiqua" w:hAnsi="Book Antiqua"/>
          <w:lang w:val="en-NZ"/>
        </w:rPr>
        <w:t>, in relation to a patient (referred to below as a defendant)</w:t>
      </w:r>
      <w:r w:rsidR="003750F1">
        <w:rPr>
          <w:rFonts w:ascii="Book Antiqua" w:hAnsi="Book Antiqua"/>
          <w:lang w:val="en-NZ"/>
        </w:rPr>
        <w:t>:</w:t>
      </w:r>
    </w:p>
    <w:p w:rsidR="00534D53" w:rsidRPr="003750F1" w:rsidRDefault="00534D53" w:rsidP="00534D53">
      <w:pPr>
        <w:pStyle w:val="text1"/>
        <w:shd w:val="clear" w:color="auto" w:fill="FFFFFF"/>
        <w:ind w:left="720"/>
        <w:rPr>
          <w:rFonts w:ascii="Book Antiqua" w:hAnsi="Book Antiqua"/>
          <w:lang w:val="en-NZ"/>
        </w:rPr>
      </w:pPr>
    </w:p>
    <w:p w:rsidR="005A0803" w:rsidRPr="0053621B" w:rsidRDefault="003750F1" w:rsidP="005A0803">
      <w:pPr>
        <w:pStyle w:val="labelled4"/>
        <w:shd w:val="clear" w:color="auto" w:fill="FFFFFF"/>
        <w:ind w:left="1440"/>
        <w:rPr>
          <w:rFonts w:ascii="Book Antiqua" w:hAnsi="Book Antiqua"/>
          <w:i/>
          <w:lang w:val="en-NZ"/>
        </w:rPr>
      </w:pPr>
      <w:r w:rsidRPr="0053621B">
        <w:rPr>
          <w:rStyle w:val="label"/>
          <w:rFonts w:ascii="Book Antiqua" w:hAnsi="Book Antiqua"/>
          <w:i/>
          <w:lang w:val="en-NZ"/>
        </w:rPr>
        <w:t>“</w:t>
      </w:r>
      <w:r w:rsidR="005A0803" w:rsidRPr="0053621B">
        <w:rPr>
          <w:rStyle w:val="label"/>
          <w:rFonts w:ascii="Book Antiqua" w:hAnsi="Book Antiqua"/>
          <w:i/>
          <w:lang w:val="en-NZ"/>
        </w:rPr>
        <w:t>(a)</w:t>
      </w:r>
      <w:r w:rsidR="005A0803" w:rsidRPr="0053621B">
        <w:rPr>
          <w:rStyle w:val="spc1"/>
          <w:rFonts w:ascii="Book Antiqua" w:hAnsi="Book Antiqua"/>
          <w:i/>
          <w:lang w:val="en-NZ"/>
        </w:rPr>
        <w:t> </w:t>
      </w:r>
      <w:r w:rsidR="005A0803" w:rsidRPr="0053621B">
        <w:rPr>
          <w:rFonts w:ascii="Book Antiqua" w:hAnsi="Book Antiqua"/>
          <w:i/>
          <w:lang w:val="en-NZ"/>
        </w:rPr>
        <w:t>means a defendant who is unable, due to mental impairment, to conduct a defence or to instruct counsel to do so; and</w:t>
      </w:r>
    </w:p>
    <w:p w:rsidR="005A0803" w:rsidRPr="0053621B" w:rsidRDefault="005A0803" w:rsidP="005A0803">
      <w:pPr>
        <w:pStyle w:val="labelled4"/>
        <w:shd w:val="clear" w:color="auto" w:fill="FFFFFF"/>
        <w:ind w:left="1440"/>
        <w:rPr>
          <w:rFonts w:ascii="Book Antiqua" w:hAnsi="Book Antiqua"/>
          <w:i/>
          <w:lang w:val="en-NZ"/>
        </w:rPr>
      </w:pPr>
      <w:r w:rsidRPr="0053621B">
        <w:rPr>
          <w:rStyle w:val="label"/>
          <w:rFonts w:ascii="Book Antiqua" w:hAnsi="Book Antiqua"/>
          <w:i/>
          <w:lang w:val="en-NZ"/>
        </w:rPr>
        <w:t>(b)</w:t>
      </w:r>
      <w:r w:rsidRPr="0053621B">
        <w:rPr>
          <w:rStyle w:val="spc1"/>
          <w:rFonts w:ascii="Book Antiqua" w:hAnsi="Book Antiqua"/>
          <w:i/>
          <w:lang w:val="en-NZ"/>
        </w:rPr>
        <w:t> </w:t>
      </w:r>
      <w:proofErr w:type="gramStart"/>
      <w:r w:rsidRPr="0053621B">
        <w:rPr>
          <w:rFonts w:ascii="Book Antiqua" w:hAnsi="Book Antiqua"/>
          <w:i/>
          <w:lang w:val="en-NZ"/>
        </w:rPr>
        <w:t>includes</w:t>
      </w:r>
      <w:proofErr w:type="gramEnd"/>
      <w:r w:rsidRPr="0053621B">
        <w:rPr>
          <w:rFonts w:ascii="Book Antiqua" w:hAnsi="Book Antiqua"/>
          <w:i/>
          <w:lang w:val="en-NZ"/>
        </w:rPr>
        <w:t xml:space="preserve"> a defendant who, due to mental impairment, is unable—</w:t>
      </w:r>
    </w:p>
    <w:p w:rsidR="005A0803" w:rsidRPr="0053621B" w:rsidRDefault="005A0803" w:rsidP="005A0803">
      <w:pPr>
        <w:pStyle w:val="labelled4"/>
        <w:shd w:val="clear" w:color="auto" w:fill="FFFFFF"/>
        <w:ind w:left="2160"/>
        <w:rPr>
          <w:rFonts w:ascii="Book Antiqua" w:hAnsi="Book Antiqua"/>
          <w:i/>
          <w:lang w:val="en-NZ"/>
        </w:rPr>
      </w:pPr>
      <w:r w:rsidRPr="0053621B">
        <w:rPr>
          <w:rStyle w:val="label"/>
          <w:rFonts w:ascii="Book Antiqua" w:hAnsi="Book Antiqua"/>
          <w:i/>
          <w:lang w:val="en-NZ"/>
        </w:rPr>
        <w:t>(</w:t>
      </w:r>
      <w:proofErr w:type="spellStart"/>
      <w:r w:rsidRPr="0053621B">
        <w:rPr>
          <w:rStyle w:val="label"/>
          <w:rFonts w:ascii="Book Antiqua" w:hAnsi="Book Antiqua"/>
          <w:i/>
          <w:lang w:val="en-NZ"/>
        </w:rPr>
        <w:t>i</w:t>
      </w:r>
      <w:proofErr w:type="spellEnd"/>
      <w:r w:rsidRPr="0053621B">
        <w:rPr>
          <w:rStyle w:val="label"/>
          <w:rFonts w:ascii="Book Antiqua" w:hAnsi="Book Antiqua"/>
          <w:i/>
          <w:lang w:val="en-NZ"/>
        </w:rPr>
        <w:t>)</w:t>
      </w:r>
      <w:r w:rsidRPr="0053621B">
        <w:rPr>
          <w:rStyle w:val="spc1"/>
          <w:rFonts w:ascii="Book Antiqua" w:hAnsi="Book Antiqua"/>
          <w:i/>
          <w:lang w:val="en-NZ"/>
        </w:rPr>
        <w:t> </w:t>
      </w:r>
      <w:proofErr w:type="gramStart"/>
      <w:r w:rsidRPr="0053621B">
        <w:rPr>
          <w:rFonts w:ascii="Book Antiqua" w:hAnsi="Book Antiqua"/>
          <w:i/>
          <w:lang w:val="en-NZ"/>
        </w:rPr>
        <w:t>to</w:t>
      </w:r>
      <w:proofErr w:type="gramEnd"/>
      <w:r w:rsidRPr="0053621B">
        <w:rPr>
          <w:rFonts w:ascii="Book Antiqua" w:hAnsi="Book Antiqua"/>
          <w:i/>
          <w:lang w:val="en-NZ"/>
        </w:rPr>
        <w:t xml:space="preserve"> plead:</w:t>
      </w:r>
    </w:p>
    <w:p w:rsidR="005A0803" w:rsidRPr="0053621B" w:rsidRDefault="005A0803" w:rsidP="005A0803">
      <w:pPr>
        <w:pStyle w:val="labelled4"/>
        <w:shd w:val="clear" w:color="auto" w:fill="FFFFFF"/>
        <w:ind w:left="2160"/>
        <w:rPr>
          <w:rFonts w:ascii="Book Antiqua" w:hAnsi="Book Antiqua"/>
          <w:i/>
          <w:lang w:val="en-NZ"/>
        </w:rPr>
      </w:pPr>
      <w:r w:rsidRPr="0053621B">
        <w:rPr>
          <w:rStyle w:val="label"/>
          <w:rFonts w:ascii="Book Antiqua" w:hAnsi="Book Antiqua"/>
          <w:i/>
          <w:lang w:val="en-NZ"/>
        </w:rPr>
        <w:t>(ii)</w:t>
      </w:r>
      <w:r w:rsidRPr="0053621B">
        <w:rPr>
          <w:rStyle w:val="spc1"/>
          <w:rFonts w:ascii="Book Antiqua" w:hAnsi="Book Antiqua"/>
          <w:i/>
          <w:lang w:val="en-NZ"/>
        </w:rPr>
        <w:t> </w:t>
      </w:r>
      <w:proofErr w:type="gramStart"/>
      <w:r w:rsidRPr="0053621B">
        <w:rPr>
          <w:rFonts w:ascii="Book Antiqua" w:hAnsi="Book Antiqua"/>
          <w:i/>
          <w:lang w:val="en-NZ"/>
        </w:rPr>
        <w:t>to</w:t>
      </w:r>
      <w:proofErr w:type="gramEnd"/>
      <w:r w:rsidRPr="0053621B">
        <w:rPr>
          <w:rFonts w:ascii="Book Antiqua" w:hAnsi="Book Antiqua"/>
          <w:i/>
          <w:lang w:val="en-NZ"/>
        </w:rPr>
        <w:t xml:space="preserve"> adequately understand the nature or purpose or possible consequences of the proceedings:</w:t>
      </w:r>
    </w:p>
    <w:p w:rsidR="005A0803" w:rsidRDefault="005A0803" w:rsidP="005A0803">
      <w:pPr>
        <w:pStyle w:val="labelled4"/>
        <w:shd w:val="clear" w:color="auto" w:fill="FFFFFF"/>
        <w:ind w:left="2160"/>
        <w:rPr>
          <w:rFonts w:ascii="Book Antiqua" w:hAnsi="Book Antiqua"/>
          <w:lang w:val="en-NZ"/>
        </w:rPr>
      </w:pPr>
      <w:r w:rsidRPr="0053621B">
        <w:rPr>
          <w:rStyle w:val="label"/>
          <w:rFonts w:ascii="Book Antiqua" w:hAnsi="Book Antiqua"/>
          <w:i/>
          <w:lang w:val="en-NZ"/>
        </w:rPr>
        <w:t>(iii)</w:t>
      </w:r>
      <w:r w:rsidRPr="0053621B">
        <w:rPr>
          <w:rStyle w:val="spc1"/>
          <w:rFonts w:ascii="Book Antiqua" w:hAnsi="Book Antiqua"/>
          <w:i/>
          <w:lang w:val="en-NZ"/>
        </w:rPr>
        <w:t> </w:t>
      </w:r>
      <w:proofErr w:type="gramStart"/>
      <w:r w:rsidRPr="0053621B">
        <w:rPr>
          <w:rFonts w:ascii="Book Antiqua" w:hAnsi="Book Antiqua"/>
          <w:i/>
          <w:lang w:val="en-NZ"/>
        </w:rPr>
        <w:t>to</w:t>
      </w:r>
      <w:proofErr w:type="gramEnd"/>
      <w:r w:rsidRPr="0053621B">
        <w:rPr>
          <w:rFonts w:ascii="Book Antiqua" w:hAnsi="Book Antiqua"/>
          <w:i/>
          <w:lang w:val="en-NZ"/>
        </w:rPr>
        <w:t xml:space="preserve"> communicate adequately with counsel for the purposes of conducting a defence</w:t>
      </w:r>
      <w:r w:rsidR="003750F1" w:rsidRPr="0053621B">
        <w:rPr>
          <w:rFonts w:ascii="Book Antiqua" w:hAnsi="Book Antiqua"/>
          <w:i/>
          <w:lang w:val="en-NZ"/>
        </w:rPr>
        <w:t>”</w:t>
      </w:r>
      <w:r w:rsidR="003750F1" w:rsidRPr="00E76B87">
        <w:rPr>
          <w:rStyle w:val="FootnoteReference"/>
          <w:rFonts w:ascii="Book Antiqua" w:hAnsi="Book Antiqua"/>
          <w:lang w:val="en-NZ"/>
        </w:rPr>
        <w:footnoteReference w:id="1"/>
      </w:r>
      <w:r w:rsidRPr="00E76B87">
        <w:rPr>
          <w:rFonts w:ascii="Book Antiqua" w:hAnsi="Book Antiqua"/>
          <w:lang w:val="en-NZ"/>
        </w:rPr>
        <w:t>.</w:t>
      </w:r>
    </w:p>
    <w:p w:rsidR="00E76B87" w:rsidRPr="00E76B87" w:rsidRDefault="00E76B87" w:rsidP="005A0803">
      <w:pPr>
        <w:pStyle w:val="labelled4"/>
        <w:shd w:val="clear" w:color="auto" w:fill="FFFFFF"/>
        <w:ind w:left="2160"/>
        <w:rPr>
          <w:rFonts w:ascii="Book Antiqua" w:hAnsi="Book Antiqua"/>
          <w:lang w:val="en-NZ"/>
        </w:rPr>
      </w:pPr>
    </w:p>
    <w:p w:rsidR="003750F1" w:rsidRPr="003750F1" w:rsidRDefault="003750F1" w:rsidP="00082380">
      <w:pPr>
        <w:pStyle w:val="labelled4"/>
        <w:numPr>
          <w:ilvl w:val="0"/>
          <w:numId w:val="5"/>
        </w:numPr>
        <w:shd w:val="clear" w:color="auto" w:fill="FFFFFF"/>
        <w:rPr>
          <w:rFonts w:ascii="Book Antiqua" w:hAnsi="Book Antiqua"/>
          <w:sz w:val="25"/>
          <w:szCs w:val="25"/>
          <w:lang w:val="en-NZ"/>
        </w:rPr>
      </w:pPr>
      <w:r w:rsidRPr="003750F1">
        <w:rPr>
          <w:rFonts w:ascii="Book Antiqua" w:hAnsi="Book Antiqua"/>
          <w:sz w:val="25"/>
          <w:szCs w:val="25"/>
          <w:lang w:val="en-NZ"/>
        </w:rPr>
        <w:t xml:space="preserve"> </w:t>
      </w:r>
      <w:r w:rsidRPr="003750F1">
        <w:rPr>
          <w:rFonts w:ascii="Book Antiqua" w:hAnsi="Book Antiqua"/>
          <w:lang w:val="en-NZ"/>
        </w:rPr>
        <w:t xml:space="preserve">In the </w:t>
      </w:r>
      <w:r w:rsidR="00534D53">
        <w:rPr>
          <w:rFonts w:ascii="Book Antiqua" w:hAnsi="Book Antiqua"/>
          <w:lang w:val="en-NZ"/>
        </w:rPr>
        <w:t xml:space="preserve">case of </w:t>
      </w:r>
      <w:r w:rsidR="000F481C">
        <w:rPr>
          <w:rFonts w:ascii="Book Antiqua" w:hAnsi="Book Antiqua"/>
          <w:lang w:val="en-NZ"/>
        </w:rPr>
        <w:t xml:space="preserve">a person who was made a special patient after being found not guilty by a criminal court on account of insanity, the Review Tribunal is required to express an opinion as to whether or not the patient’s condition still requires, either in the patient’s own interest or for the safety of the public, that he or she should remain a special patient. </w:t>
      </w:r>
    </w:p>
    <w:p w:rsidR="005A0803" w:rsidRPr="00AA3836" w:rsidRDefault="005A0803" w:rsidP="005A0803">
      <w:pPr>
        <w:jc w:val="both"/>
        <w:rPr>
          <w:rFonts w:ascii="Book Antiqua" w:hAnsi="Book Antiqua"/>
          <w:b/>
          <w:sz w:val="24"/>
          <w:szCs w:val="24"/>
        </w:rPr>
      </w:pPr>
    </w:p>
    <w:p w:rsidR="00FA792E" w:rsidRPr="0053621B" w:rsidRDefault="00FA792E" w:rsidP="00C940B9">
      <w:pPr>
        <w:jc w:val="both"/>
        <w:rPr>
          <w:rFonts w:ascii="Book Antiqua" w:hAnsi="Book Antiqua"/>
          <w:sz w:val="24"/>
          <w:szCs w:val="24"/>
          <w:u w:val="single"/>
        </w:rPr>
      </w:pPr>
      <w:r w:rsidRPr="0053621B">
        <w:rPr>
          <w:rFonts w:ascii="Book Antiqua" w:hAnsi="Book Antiqua"/>
          <w:b/>
          <w:sz w:val="24"/>
          <w:szCs w:val="24"/>
          <w:u w:val="single"/>
        </w:rPr>
        <w:t>The Hearing</w:t>
      </w:r>
    </w:p>
    <w:p w:rsidR="00FA792E" w:rsidRPr="00A420BD" w:rsidRDefault="00FA792E" w:rsidP="00FA792E">
      <w:pPr>
        <w:jc w:val="both"/>
        <w:rPr>
          <w:rFonts w:ascii="Book Antiqua" w:hAnsi="Book Antiqua"/>
          <w:sz w:val="24"/>
          <w:szCs w:val="24"/>
        </w:rPr>
      </w:pPr>
    </w:p>
    <w:p w:rsidR="00FA792E" w:rsidRPr="00A420BD" w:rsidRDefault="005B3108" w:rsidP="00082380">
      <w:pPr>
        <w:numPr>
          <w:ilvl w:val="0"/>
          <w:numId w:val="5"/>
        </w:numPr>
        <w:jc w:val="both"/>
        <w:rPr>
          <w:rFonts w:ascii="Book Antiqua" w:hAnsi="Book Antiqua"/>
          <w:sz w:val="24"/>
          <w:szCs w:val="24"/>
        </w:rPr>
      </w:pPr>
      <w:r>
        <w:rPr>
          <w:rFonts w:ascii="Book Antiqua" w:hAnsi="Book Antiqua"/>
          <w:sz w:val="24"/>
          <w:szCs w:val="24"/>
        </w:rPr>
        <w:t xml:space="preserve">Immediately </w:t>
      </w:r>
      <w:r w:rsidR="00F276E0">
        <w:rPr>
          <w:rFonts w:ascii="Book Antiqua" w:hAnsi="Book Antiqua"/>
          <w:sz w:val="24"/>
          <w:szCs w:val="24"/>
        </w:rPr>
        <w:t>before</w:t>
      </w:r>
      <w:r w:rsidR="00FA792E" w:rsidRPr="00A420BD">
        <w:rPr>
          <w:rFonts w:ascii="Book Antiqua" w:hAnsi="Book Antiqua"/>
          <w:sz w:val="24"/>
          <w:szCs w:val="24"/>
        </w:rPr>
        <w:t xml:space="preserve"> the commencement of the hearing</w:t>
      </w:r>
      <w:r w:rsidR="00691BCF">
        <w:rPr>
          <w:rFonts w:ascii="Book Antiqua" w:hAnsi="Book Antiqua"/>
          <w:sz w:val="24"/>
          <w:szCs w:val="24"/>
        </w:rPr>
        <w:t xml:space="preserve"> the co-opted member has</w:t>
      </w:r>
      <w:r>
        <w:rPr>
          <w:rFonts w:ascii="Book Antiqua" w:hAnsi="Book Antiqua"/>
          <w:sz w:val="24"/>
          <w:szCs w:val="24"/>
        </w:rPr>
        <w:t xml:space="preserve"> the opportunity to discuss the case with other panel members</w:t>
      </w:r>
      <w:r w:rsidR="00691BCF">
        <w:rPr>
          <w:rFonts w:ascii="Book Antiqua" w:hAnsi="Book Antiqua"/>
          <w:sz w:val="24"/>
          <w:szCs w:val="24"/>
        </w:rPr>
        <w:t>,</w:t>
      </w:r>
      <w:r w:rsidR="00FA792E" w:rsidRPr="00A420BD">
        <w:rPr>
          <w:rFonts w:ascii="Book Antiqua" w:hAnsi="Book Antiqua"/>
          <w:sz w:val="24"/>
          <w:szCs w:val="24"/>
        </w:rPr>
        <w:t xml:space="preserve"> and to clarify any </w:t>
      </w:r>
      <w:r w:rsidR="00691BCF">
        <w:rPr>
          <w:rFonts w:ascii="Book Antiqua" w:hAnsi="Book Antiqua"/>
          <w:sz w:val="24"/>
          <w:szCs w:val="24"/>
        </w:rPr>
        <w:lastRenderedPageBreak/>
        <w:t>matters concerning their role. The co-opted member is also welcome</w:t>
      </w:r>
      <w:r w:rsidR="00656B7D">
        <w:rPr>
          <w:rFonts w:ascii="Book Antiqua" w:hAnsi="Book Antiqua"/>
          <w:sz w:val="24"/>
          <w:szCs w:val="24"/>
        </w:rPr>
        <w:t xml:space="preserve"> to contact the </w:t>
      </w:r>
      <w:r w:rsidR="00691BCF">
        <w:rPr>
          <w:rFonts w:ascii="Book Antiqua" w:hAnsi="Book Antiqua"/>
          <w:sz w:val="24"/>
          <w:szCs w:val="24"/>
        </w:rPr>
        <w:t>legal</w:t>
      </w:r>
      <w:r w:rsidR="00656B7D">
        <w:rPr>
          <w:rFonts w:ascii="Book Antiqua" w:hAnsi="Book Antiqua"/>
          <w:sz w:val="24"/>
          <w:szCs w:val="24"/>
        </w:rPr>
        <w:t xml:space="preserve"> member of the hearing panel </w:t>
      </w:r>
      <w:r w:rsidR="00691BCF">
        <w:rPr>
          <w:rFonts w:ascii="Book Antiqua" w:hAnsi="Book Antiqua"/>
          <w:sz w:val="24"/>
          <w:szCs w:val="24"/>
        </w:rPr>
        <w:t>at any time before the hearing</w:t>
      </w:r>
      <w:r w:rsidR="00656B7D">
        <w:rPr>
          <w:rFonts w:ascii="Book Antiqua" w:hAnsi="Book Antiqua"/>
          <w:sz w:val="24"/>
          <w:szCs w:val="24"/>
        </w:rPr>
        <w:t>.</w:t>
      </w:r>
    </w:p>
    <w:p w:rsidR="00FA792E" w:rsidRPr="00A420BD" w:rsidRDefault="00FA792E" w:rsidP="00FA792E">
      <w:pPr>
        <w:jc w:val="both"/>
        <w:rPr>
          <w:rFonts w:ascii="Book Antiqua" w:hAnsi="Book Antiqua"/>
          <w:sz w:val="24"/>
          <w:szCs w:val="24"/>
        </w:rPr>
      </w:pPr>
    </w:p>
    <w:p w:rsidR="00FA792E" w:rsidRPr="00A420BD" w:rsidRDefault="005B3108" w:rsidP="00082380">
      <w:pPr>
        <w:numPr>
          <w:ilvl w:val="0"/>
          <w:numId w:val="5"/>
        </w:numPr>
        <w:jc w:val="both"/>
        <w:rPr>
          <w:rFonts w:ascii="Book Antiqua" w:hAnsi="Book Antiqua"/>
          <w:sz w:val="24"/>
          <w:szCs w:val="24"/>
        </w:rPr>
      </w:pPr>
      <w:r>
        <w:rPr>
          <w:rFonts w:ascii="Book Antiqua" w:hAnsi="Book Antiqua"/>
          <w:sz w:val="24"/>
          <w:szCs w:val="24"/>
        </w:rPr>
        <w:t xml:space="preserve">The hearing process is described in Practice </w:t>
      </w:r>
      <w:r w:rsidR="00E14586">
        <w:rPr>
          <w:rFonts w:ascii="Book Antiqua" w:hAnsi="Book Antiqua"/>
          <w:sz w:val="24"/>
          <w:szCs w:val="24"/>
        </w:rPr>
        <w:t>and Policy Guideline #</w:t>
      </w:r>
      <w:r>
        <w:rPr>
          <w:rFonts w:ascii="Book Antiqua" w:hAnsi="Book Antiqua"/>
          <w:sz w:val="24"/>
          <w:szCs w:val="24"/>
        </w:rPr>
        <w:t xml:space="preserve">6 which is </w:t>
      </w:r>
      <w:r w:rsidR="00E14586">
        <w:rPr>
          <w:rFonts w:ascii="Book Antiqua" w:hAnsi="Book Antiqua"/>
          <w:sz w:val="24"/>
          <w:szCs w:val="24"/>
        </w:rPr>
        <w:t>available from the secretariat</w:t>
      </w:r>
      <w:r>
        <w:rPr>
          <w:rFonts w:ascii="Book Antiqua" w:hAnsi="Book Antiqua"/>
          <w:sz w:val="24"/>
          <w:szCs w:val="24"/>
        </w:rPr>
        <w:t>.</w:t>
      </w:r>
    </w:p>
    <w:p w:rsidR="00FA792E" w:rsidRPr="00A420BD" w:rsidRDefault="00FA792E" w:rsidP="00FA792E">
      <w:pPr>
        <w:jc w:val="both"/>
        <w:rPr>
          <w:rFonts w:ascii="Book Antiqua" w:hAnsi="Book Antiqua"/>
          <w:sz w:val="24"/>
          <w:szCs w:val="24"/>
        </w:rPr>
      </w:pPr>
    </w:p>
    <w:p w:rsidR="00A65AF4" w:rsidRDefault="00FA792E" w:rsidP="00082380">
      <w:pPr>
        <w:numPr>
          <w:ilvl w:val="0"/>
          <w:numId w:val="5"/>
        </w:numPr>
        <w:jc w:val="both"/>
        <w:rPr>
          <w:rFonts w:ascii="Book Antiqua" w:hAnsi="Book Antiqua"/>
          <w:sz w:val="24"/>
          <w:szCs w:val="24"/>
        </w:rPr>
      </w:pPr>
      <w:r w:rsidRPr="00A420BD">
        <w:rPr>
          <w:rFonts w:ascii="Book Antiqua" w:hAnsi="Book Antiqua"/>
          <w:sz w:val="24"/>
          <w:szCs w:val="24"/>
        </w:rPr>
        <w:t>A</w:t>
      </w:r>
      <w:r w:rsidR="00E14586">
        <w:rPr>
          <w:rFonts w:ascii="Book Antiqua" w:hAnsi="Book Antiqua"/>
          <w:sz w:val="24"/>
          <w:szCs w:val="24"/>
        </w:rPr>
        <w:t>fter the hearing</w:t>
      </w:r>
      <w:r w:rsidR="005B3108">
        <w:rPr>
          <w:rFonts w:ascii="Book Antiqua" w:hAnsi="Book Antiqua"/>
          <w:sz w:val="24"/>
          <w:szCs w:val="24"/>
        </w:rPr>
        <w:t xml:space="preserve"> the </w:t>
      </w:r>
      <w:r w:rsidR="00E14586">
        <w:rPr>
          <w:rFonts w:ascii="Book Antiqua" w:hAnsi="Book Antiqua"/>
          <w:sz w:val="24"/>
          <w:szCs w:val="24"/>
        </w:rPr>
        <w:t>lawyer</w:t>
      </w:r>
      <w:r w:rsidR="005B3108">
        <w:rPr>
          <w:rFonts w:ascii="Book Antiqua" w:hAnsi="Book Antiqua"/>
          <w:sz w:val="24"/>
          <w:szCs w:val="24"/>
        </w:rPr>
        <w:t xml:space="preserve"> member of the panel</w:t>
      </w:r>
      <w:r w:rsidRPr="00A420BD">
        <w:rPr>
          <w:rFonts w:ascii="Book Antiqua" w:hAnsi="Book Antiqua"/>
          <w:sz w:val="24"/>
          <w:szCs w:val="24"/>
        </w:rPr>
        <w:t xml:space="preserve"> </w:t>
      </w:r>
      <w:r w:rsidR="005B3108">
        <w:rPr>
          <w:rFonts w:ascii="Book Antiqua" w:hAnsi="Book Antiqua"/>
          <w:sz w:val="24"/>
          <w:szCs w:val="24"/>
        </w:rPr>
        <w:t xml:space="preserve">will </w:t>
      </w:r>
      <w:r w:rsidRPr="00A420BD">
        <w:rPr>
          <w:rFonts w:ascii="Book Antiqua" w:hAnsi="Book Antiqua"/>
          <w:sz w:val="24"/>
          <w:szCs w:val="24"/>
        </w:rPr>
        <w:t>draft</w:t>
      </w:r>
      <w:r w:rsidR="005B3108">
        <w:rPr>
          <w:rFonts w:ascii="Book Antiqua" w:hAnsi="Book Antiqua"/>
          <w:sz w:val="24"/>
          <w:szCs w:val="24"/>
        </w:rPr>
        <w:t xml:space="preserve"> a</w:t>
      </w:r>
      <w:r w:rsidR="00E14586">
        <w:rPr>
          <w:rFonts w:ascii="Book Antiqua" w:hAnsi="Book Antiqua"/>
          <w:sz w:val="24"/>
          <w:szCs w:val="24"/>
        </w:rPr>
        <w:t xml:space="preserve"> written decision</w:t>
      </w:r>
      <w:r w:rsidR="005B3108">
        <w:rPr>
          <w:rFonts w:ascii="Book Antiqua" w:hAnsi="Book Antiqua"/>
          <w:sz w:val="24"/>
          <w:szCs w:val="24"/>
        </w:rPr>
        <w:t>.</w:t>
      </w:r>
      <w:r w:rsidR="00E14586">
        <w:rPr>
          <w:rFonts w:ascii="Book Antiqua" w:hAnsi="Book Antiqua"/>
          <w:sz w:val="24"/>
          <w:szCs w:val="24"/>
        </w:rPr>
        <w:t xml:space="preserve"> All four members of the panel are required to agree on its contents.</w:t>
      </w:r>
      <w:r w:rsidRPr="00A420BD">
        <w:rPr>
          <w:rFonts w:ascii="Book Antiqua" w:hAnsi="Book Antiqua"/>
          <w:sz w:val="24"/>
          <w:szCs w:val="24"/>
        </w:rPr>
        <w:t xml:space="preserve"> </w:t>
      </w:r>
      <w:r w:rsidR="00534D53">
        <w:rPr>
          <w:rFonts w:ascii="Book Antiqua" w:hAnsi="Book Antiqua"/>
          <w:sz w:val="24"/>
          <w:szCs w:val="24"/>
        </w:rPr>
        <w:t xml:space="preserve">  </w:t>
      </w:r>
    </w:p>
    <w:p w:rsidR="00FA792E" w:rsidRPr="00E14586" w:rsidRDefault="001A259D" w:rsidP="00FA792E">
      <w:pPr>
        <w:numPr>
          <w:ilvl w:val="0"/>
          <w:numId w:val="5"/>
        </w:numPr>
        <w:jc w:val="both"/>
        <w:rPr>
          <w:rFonts w:ascii="Book Antiqua" w:hAnsi="Book Antiqua"/>
          <w:sz w:val="24"/>
          <w:szCs w:val="24"/>
        </w:rPr>
      </w:pPr>
      <w:r w:rsidRPr="00E14586">
        <w:rPr>
          <w:rFonts w:ascii="Book Antiqua" w:hAnsi="Book Antiqua"/>
          <w:sz w:val="24"/>
          <w:szCs w:val="24"/>
        </w:rPr>
        <w:t xml:space="preserve"> Once the written decision </w:t>
      </w:r>
      <w:r w:rsidR="00E14586" w:rsidRPr="00E14586">
        <w:rPr>
          <w:rFonts w:ascii="Book Antiqua" w:hAnsi="Book Antiqua"/>
          <w:sz w:val="24"/>
          <w:szCs w:val="24"/>
        </w:rPr>
        <w:t>is</w:t>
      </w:r>
      <w:r w:rsidRPr="00E14586">
        <w:rPr>
          <w:rFonts w:ascii="Book Antiqua" w:hAnsi="Book Antiqua"/>
          <w:sz w:val="24"/>
          <w:szCs w:val="24"/>
        </w:rPr>
        <w:t xml:space="preserve"> finalised, </w:t>
      </w:r>
      <w:r w:rsidR="00E14586" w:rsidRPr="00E14586">
        <w:rPr>
          <w:rFonts w:ascii="Book Antiqua" w:hAnsi="Book Antiqua"/>
          <w:sz w:val="24"/>
          <w:szCs w:val="24"/>
        </w:rPr>
        <w:t>panel members are required to</w:t>
      </w:r>
      <w:r w:rsidRPr="00E14586">
        <w:rPr>
          <w:rFonts w:ascii="Book Antiqua" w:hAnsi="Book Antiqua"/>
          <w:sz w:val="24"/>
          <w:szCs w:val="24"/>
        </w:rPr>
        <w:t xml:space="preserve"> shred </w:t>
      </w:r>
      <w:r w:rsidR="00E14586" w:rsidRPr="00E14586">
        <w:rPr>
          <w:rFonts w:ascii="Book Antiqua" w:hAnsi="Book Antiqua"/>
          <w:sz w:val="24"/>
          <w:szCs w:val="24"/>
        </w:rPr>
        <w:t xml:space="preserve">the </w:t>
      </w:r>
      <w:r w:rsidRPr="00E14586">
        <w:rPr>
          <w:rFonts w:ascii="Book Antiqua" w:hAnsi="Book Antiqua"/>
          <w:sz w:val="24"/>
          <w:szCs w:val="24"/>
        </w:rPr>
        <w:t xml:space="preserve">hard copies of </w:t>
      </w:r>
      <w:r w:rsidR="00E14586" w:rsidRPr="00E14586">
        <w:rPr>
          <w:rFonts w:ascii="Book Antiqua" w:hAnsi="Book Antiqua"/>
          <w:sz w:val="24"/>
          <w:szCs w:val="24"/>
        </w:rPr>
        <w:t>all documents</w:t>
      </w:r>
      <w:r w:rsidR="00534D53" w:rsidRPr="00E14586">
        <w:rPr>
          <w:rFonts w:ascii="Book Antiqua" w:hAnsi="Book Antiqua"/>
          <w:sz w:val="24"/>
          <w:szCs w:val="24"/>
        </w:rPr>
        <w:t xml:space="preserve"> or send them to the s</w:t>
      </w:r>
      <w:r w:rsidRPr="00E14586">
        <w:rPr>
          <w:rFonts w:ascii="Book Antiqua" w:hAnsi="Book Antiqua"/>
          <w:sz w:val="24"/>
          <w:szCs w:val="24"/>
        </w:rPr>
        <w:t>ecretariat for that purpos</w:t>
      </w:r>
      <w:r w:rsidR="00E14586" w:rsidRPr="00E14586">
        <w:rPr>
          <w:rFonts w:ascii="Book Antiqua" w:hAnsi="Book Antiqua"/>
          <w:sz w:val="24"/>
          <w:szCs w:val="24"/>
        </w:rPr>
        <w:t>e. E</w:t>
      </w:r>
      <w:r w:rsidRPr="00E14586">
        <w:rPr>
          <w:rFonts w:ascii="Book Antiqua" w:hAnsi="Book Antiqua"/>
          <w:sz w:val="24"/>
          <w:szCs w:val="24"/>
        </w:rPr>
        <w:t>lectronic copies of documents are</w:t>
      </w:r>
      <w:r w:rsidR="00E14586" w:rsidRPr="00E14586">
        <w:rPr>
          <w:rFonts w:ascii="Book Antiqua" w:hAnsi="Book Antiqua"/>
          <w:sz w:val="24"/>
          <w:szCs w:val="24"/>
        </w:rPr>
        <w:t xml:space="preserve"> to be</w:t>
      </w:r>
      <w:r w:rsidRPr="00E14586">
        <w:rPr>
          <w:rFonts w:ascii="Book Antiqua" w:hAnsi="Book Antiqua"/>
          <w:sz w:val="24"/>
          <w:szCs w:val="24"/>
        </w:rPr>
        <w:t xml:space="preserve"> deleted. </w:t>
      </w:r>
    </w:p>
    <w:p w:rsidR="00FA792E" w:rsidRPr="00A420BD" w:rsidRDefault="00FA792E" w:rsidP="00FA792E">
      <w:pPr>
        <w:jc w:val="both"/>
        <w:rPr>
          <w:rFonts w:ascii="Book Antiqua" w:hAnsi="Book Antiqua"/>
          <w:sz w:val="24"/>
          <w:szCs w:val="24"/>
        </w:rPr>
      </w:pPr>
    </w:p>
    <w:p w:rsidR="00D62D73" w:rsidRPr="00A97BC1" w:rsidRDefault="00D62D73" w:rsidP="00D62D73">
      <w:pPr>
        <w:spacing w:line="360" w:lineRule="auto"/>
        <w:ind w:left="720"/>
        <w:jc w:val="center"/>
        <w:rPr>
          <w:rFonts w:ascii="Times New Roman" w:hAnsi="Times New Roman"/>
          <w:i/>
          <w:sz w:val="24"/>
          <w:szCs w:val="24"/>
        </w:rPr>
      </w:pPr>
      <w:r w:rsidRPr="00A97BC1">
        <w:rPr>
          <w:rFonts w:ascii="Times New Roman" w:hAnsi="Times New Roman"/>
          <w:i/>
          <w:sz w:val="24"/>
          <w:szCs w:val="24"/>
        </w:rPr>
        <w:t xml:space="preserve">Last updated </w:t>
      </w:r>
      <w:r w:rsidR="001610F4">
        <w:rPr>
          <w:rFonts w:ascii="Times New Roman" w:hAnsi="Times New Roman"/>
          <w:i/>
          <w:sz w:val="24"/>
          <w:szCs w:val="24"/>
        </w:rPr>
        <w:t>August 2015</w:t>
      </w:r>
    </w:p>
    <w:p w:rsidR="00D62D73" w:rsidRPr="00A97BC1" w:rsidRDefault="00D62D73" w:rsidP="00D62D73">
      <w:pPr>
        <w:spacing w:line="360" w:lineRule="auto"/>
        <w:ind w:left="720"/>
        <w:jc w:val="both"/>
        <w:rPr>
          <w:rFonts w:ascii="Times New Roman" w:hAnsi="Times New Roman"/>
          <w:sz w:val="24"/>
          <w:szCs w:val="24"/>
        </w:rPr>
      </w:pPr>
    </w:p>
    <w:p w:rsidR="00D62D73" w:rsidRPr="00A97BC1" w:rsidRDefault="00D62D73" w:rsidP="00D62D73">
      <w:pPr>
        <w:spacing w:line="360" w:lineRule="auto"/>
        <w:ind w:left="720"/>
        <w:jc w:val="center"/>
        <w:rPr>
          <w:rFonts w:ascii="Times New Roman" w:hAnsi="Times New Roman"/>
          <w:sz w:val="24"/>
          <w:szCs w:val="24"/>
        </w:rPr>
      </w:pPr>
      <w:r w:rsidRPr="00A97BC1">
        <w:rPr>
          <w:rFonts w:ascii="Times New Roman" w:hAnsi="Times New Roman"/>
          <w:sz w:val="24"/>
          <w:szCs w:val="24"/>
        </w:rPr>
        <w:t>NJ Dunlop</w:t>
      </w:r>
    </w:p>
    <w:p w:rsidR="00D62D73" w:rsidRPr="00A97BC1" w:rsidRDefault="00D62D73" w:rsidP="00D62D73">
      <w:pPr>
        <w:spacing w:line="360" w:lineRule="auto"/>
        <w:ind w:left="720"/>
        <w:jc w:val="center"/>
        <w:rPr>
          <w:rFonts w:ascii="Times New Roman" w:hAnsi="Times New Roman"/>
          <w:sz w:val="24"/>
          <w:szCs w:val="24"/>
        </w:rPr>
      </w:pPr>
      <w:r w:rsidRPr="00A97BC1">
        <w:rPr>
          <w:rFonts w:ascii="Times New Roman" w:hAnsi="Times New Roman"/>
          <w:sz w:val="24"/>
          <w:szCs w:val="24"/>
        </w:rPr>
        <w:t>Convener</w:t>
      </w:r>
    </w:p>
    <w:p w:rsidR="00FA792E" w:rsidRPr="00A420BD" w:rsidRDefault="00FA792E" w:rsidP="00D62D73">
      <w:pPr>
        <w:jc w:val="both"/>
        <w:rPr>
          <w:rFonts w:ascii="Book Antiqua" w:hAnsi="Book Antiqua"/>
          <w:sz w:val="24"/>
          <w:szCs w:val="24"/>
        </w:rPr>
      </w:pPr>
    </w:p>
    <w:p w:rsidR="00FA792E" w:rsidRPr="00A420BD" w:rsidRDefault="00FA792E" w:rsidP="00FA792E">
      <w:pPr>
        <w:jc w:val="both"/>
        <w:rPr>
          <w:rFonts w:ascii="Book Antiqua" w:hAnsi="Book Antiqua"/>
          <w:sz w:val="24"/>
          <w:szCs w:val="24"/>
        </w:rPr>
      </w:pPr>
    </w:p>
    <w:p w:rsidR="00FA792E" w:rsidRPr="00A420BD" w:rsidRDefault="00FA792E" w:rsidP="00FA792E">
      <w:pPr>
        <w:jc w:val="both"/>
        <w:rPr>
          <w:rFonts w:ascii="Book Antiqua" w:hAnsi="Book Antiqua"/>
          <w:sz w:val="24"/>
          <w:szCs w:val="24"/>
        </w:rPr>
      </w:pPr>
    </w:p>
    <w:p w:rsidR="00FA792E" w:rsidRPr="00A420BD" w:rsidRDefault="00FA792E" w:rsidP="00FA792E">
      <w:pPr>
        <w:jc w:val="both"/>
        <w:rPr>
          <w:rFonts w:ascii="Book Antiqua" w:hAnsi="Book Antiqua"/>
          <w:sz w:val="24"/>
          <w:szCs w:val="24"/>
        </w:rPr>
      </w:pPr>
    </w:p>
    <w:p w:rsidR="00FA792E" w:rsidRPr="00A420BD" w:rsidRDefault="00FA792E" w:rsidP="00FA792E">
      <w:pPr>
        <w:rPr>
          <w:rFonts w:ascii="Book Antiqua" w:hAnsi="Book Antiqua"/>
          <w:sz w:val="24"/>
          <w:szCs w:val="24"/>
        </w:rPr>
      </w:pPr>
    </w:p>
    <w:p w:rsidR="00FA792E" w:rsidRPr="00A420BD" w:rsidRDefault="00FA792E" w:rsidP="00FA792E">
      <w:pPr>
        <w:rPr>
          <w:rFonts w:ascii="Book Antiqua" w:hAnsi="Book Antiqua"/>
          <w:sz w:val="24"/>
          <w:szCs w:val="24"/>
        </w:rPr>
      </w:pPr>
    </w:p>
    <w:p w:rsidR="00FA792E" w:rsidRPr="00A420BD" w:rsidRDefault="00FA792E" w:rsidP="00FA792E">
      <w:pPr>
        <w:rPr>
          <w:rFonts w:ascii="Book Antiqua" w:hAnsi="Book Antiqua"/>
          <w:b/>
          <w:sz w:val="24"/>
          <w:szCs w:val="24"/>
        </w:rPr>
      </w:pPr>
    </w:p>
    <w:p w:rsidR="00FA792E" w:rsidRPr="00A420BD" w:rsidRDefault="00FA792E" w:rsidP="00103587">
      <w:pPr>
        <w:jc w:val="center"/>
        <w:rPr>
          <w:rFonts w:ascii="Book Antiqua" w:hAnsi="Book Antiqua"/>
          <w:b/>
        </w:rPr>
      </w:pPr>
    </w:p>
    <w:p w:rsidR="00264999" w:rsidRPr="00A420BD" w:rsidRDefault="00264999">
      <w:pPr>
        <w:rPr>
          <w:rFonts w:ascii="Book Antiqua" w:hAnsi="Book Antiqua"/>
        </w:rPr>
      </w:pPr>
    </w:p>
    <w:sectPr w:rsidR="00264999" w:rsidRPr="00A420BD" w:rsidSect="002649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17" w:rsidRDefault="00377717" w:rsidP="003750F1">
      <w:pPr>
        <w:spacing w:after="0" w:line="240" w:lineRule="auto"/>
      </w:pPr>
      <w:r>
        <w:separator/>
      </w:r>
    </w:p>
  </w:endnote>
  <w:endnote w:type="continuationSeparator" w:id="0">
    <w:p w:rsidR="00377717" w:rsidRDefault="00377717" w:rsidP="0037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9E" w:rsidRDefault="00716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9E" w:rsidRDefault="00716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9E" w:rsidRDefault="0071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17" w:rsidRDefault="00377717" w:rsidP="003750F1">
      <w:pPr>
        <w:spacing w:after="0" w:line="240" w:lineRule="auto"/>
      </w:pPr>
      <w:r>
        <w:separator/>
      </w:r>
    </w:p>
  </w:footnote>
  <w:footnote w:type="continuationSeparator" w:id="0">
    <w:p w:rsidR="00377717" w:rsidRDefault="00377717" w:rsidP="003750F1">
      <w:pPr>
        <w:spacing w:after="0" w:line="240" w:lineRule="auto"/>
      </w:pPr>
      <w:r>
        <w:continuationSeparator/>
      </w:r>
    </w:p>
  </w:footnote>
  <w:footnote w:id="1">
    <w:p w:rsidR="003750F1" w:rsidRPr="003750F1" w:rsidRDefault="003750F1">
      <w:pPr>
        <w:pStyle w:val="FootnoteText"/>
        <w:rPr>
          <w:lang w:val="en-US"/>
        </w:rPr>
      </w:pPr>
      <w:r>
        <w:rPr>
          <w:rStyle w:val="FootnoteReference"/>
        </w:rPr>
        <w:footnoteRef/>
      </w:r>
      <w:r>
        <w:t xml:space="preserve"> </w:t>
      </w:r>
      <w:proofErr w:type="gramStart"/>
      <w:r>
        <w:rPr>
          <w:lang w:val="en-US"/>
        </w:rPr>
        <w:t>Section 4, Criminal Procedure (Mentally Impaired Persons) Act 2003.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9E" w:rsidRDefault="00716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9E" w:rsidRDefault="007161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9E" w:rsidRDefault="00716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E4C"/>
    <w:multiLevelType w:val="hybridMultilevel"/>
    <w:tmpl w:val="DEF62312"/>
    <w:lvl w:ilvl="0" w:tplc="CBD8B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021F4"/>
    <w:multiLevelType w:val="multilevel"/>
    <w:tmpl w:val="D48C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8074D"/>
    <w:multiLevelType w:val="hybridMultilevel"/>
    <w:tmpl w:val="DEF62312"/>
    <w:lvl w:ilvl="0" w:tplc="CBD8B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80F75"/>
    <w:multiLevelType w:val="hybridMultilevel"/>
    <w:tmpl w:val="07D8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C0B1E"/>
    <w:multiLevelType w:val="hybridMultilevel"/>
    <w:tmpl w:val="8F6470A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4D382AC1"/>
    <w:multiLevelType w:val="hybridMultilevel"/>
    <w:tmpl w:val="71E8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51F9F"/>
    <w:multiLevelType w:val="hybridMultilevel"/>
    <w:tmpl w:val="AD4A8B4A"/>
    <w:lvl w:ilvl="0" w:tplc="E49E0470">
      <w:start w:val="1"/>
      <w:numFmt w:val="lowerLetter"/>
      <w:lvlText w:val="(%1)"/>
      <w:lvlJc w:val="left"/>
      <w:pPr>
        <w:ind w:left="108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7">
    <w:nsid w:val="7A7C3FBB"/>
    <w:multiLevelType w:val="hybridMultilevel"/>
    <w:tmpl w:val="ABB4B1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1"/>
  </w:num>
  <w:num w:numId="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587"/>
    <w:rsid w:val="0000290B"/>
    <w:rsid w:val="00004FC8"/>
    <w:rsid w:val="000273B1"/>
    <w:rsid w:val="00077611"/>
    <w:rsid w:val="00082380"/>
    <w:rsid w:val="00090BF4"/>
    <w:rsid w:val="000F481C"/>
    <w:rsid w:val="00103587"/>
    <w:rsid w:val="00115CDA"/>
    <w:rsid w:val="00137996"/>
    <w:rsid w:val="00152DD5"/>
    <w:rsid w:val="001610F4"/>
    <w:rsid w:val="001900AD"/>
    <w:rsid w:val="0019528B"/>
    <w:rsid w:val="001A259D"/>
    <w:rsid w:val="001B5986"/>
    <w:rsid w:val="001B6798"/>
    <w:rsid w:val="001C2926"/>
    <w:rsid w:val="00203632"/>
    <w:rsid w:val="00211A95"/>
    <w:rsid w:val="002525F7"/>
    <w:rsid w:val="00264999"/>
    <w:rsid w:val="00265711"/>
    <w:rsid w:val="002959A9"/>
    <w:rsid w:val="002A357D"/>
    <w:rsid w:val="002B1D84"/>
    <w:rsid w:val="002D30F8"/>
    <w:rsid w:val="002F2D14"/>
    <w:rsid w:val="00306448"/>
    <w:rsid w:val="003104A4"/>
    <w:rsid w:val="00326D51"/>
    <w:rsid w:val="00371F14"/>
    <w:rsid w:val="003750F1"/>
    <w:rsid w:val="00377717"/>
    <w:rsid w:val="004141BE"/>
    <w:rsid w:val="00462A88"/>
    <w:rsid w:val="00463814"/>
    <w:rsid w:val="00534D53"/>
    <w:rsid w:val="0053621B"/>
    <w:rsid w:val="005A0803"/>
    <w:rsid w:val="005B3108"/>
    <w:rsid w:val="005B3417"/>
    <w:rsid w:val="006218D0"/>
    <w:rsid w:val="00653216"/>
    <w:rsid w:val="00655C39"/>
    <w:rsid w:val="00656B7D"/>
    <w:rsid w:val="00674689"/>
    <w:rsid w:val="00691BCF"/>
    <w:rsid w:val="0069332F"/>
    <w:rsid w:val="006C41C5"/>
    <w:rsid w:val="006F79FD"/>
    <w:rsid w:val="006F7C22"/>
    <w:rsid w:val="00714213"/>
    <w:rsid w:val="0071619E"/>
    <w:rsid w:val="0073687A"/>
    <w:rsid w:val="00771C00"/>
    <w:rsid w:val="007779C5"/>
    <w:rsid w:val="0079601C"/>
    <w:rsid w:val="007A1D51"/>
    <w:rsid w:val="007A7EEF"/>
    <w:rsid w:val="007D5138"/>
    <w:rsid w:val="007E5128"/>
    <w:rsid w:val="00800DFC"/>
    <w:rsid w:val="008527B8"/>
    <w:rsid w:val="008F43CB"/>
    <w:rsid w:val="009C66DD"/>
    <w:rsid w:val="00A01A34"/>
    <w:rsid w:val="00A31292"/>
    <w:rsid w:val="00A36FC0"/>
    <w:rsid w:val="00A420BD"/>
    <w:rsid w:val="00A65AF4"/>
    <w:rsid w:val="00A72B6F"/>
    <w:rsid w:val="00AA3836"/>
    <w:rsid w:val="00AC2D7E"/>
    <w:rsid w:val="00AF0FC3"/>
    <w:rsid w:val="00B24C22"/>
    <w:rsid w:val="00C31580"/>
    <w:rsid w:val="00C92EDA"/>
    <w:rsid w:val="00C940B9"/>
    <w:rsid w:val="00CA0438"/>
    <w:rsid w:val="00CB3C00"/>
    <w:rsid w:val="00CE2C97"/>
    <w:rsid w:val="00CE7D15"/>
    <w:rsid w:val="00D1410B"/>
    <w:rsid w:val="00D62D73"/>
    <w:rsid w:val="00E14586"/>
    <w:rsid w:val="00E15510"/>
    <w:rsid w:val="00E76B87"/>
    <w:rsid w:val="00EA1058"/>
    <w:rsid w:val="00F10645"/>
    <w:rsid w:val="00F15DD3"/>
    <w:rsid w:val="00F276E0"/>
    <w:rsid w:val="00FA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87"/>
    <w:pPr>
      <w:spacing w:after="160" w:line="254"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2E"/>
    <w:pPr>
      <w:spacing w:line="256" w:lineRule="auto"/>
      <w:ind w:left="720"/>
      <w:contextualSpacing/>
    </w:pPr>
  </w:style>
  <w:style w:type="paragraph" w:styleId="BalloonText">
    <w:name w:val="Balloon Text"/>
    <w:basedOn w:val="Normal"/>
    <w:link w:val="BalloonTextChar"/>
    <w:uiPriority w:val="99"/>
    <w:semiHidden/>
    <w:unhideWhenUsed/>
    <w:rsid w:val="00A4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0BD"/>
    <w:rPr>
      <w:rFonts w:ascii="Tahoma" w:hAnsi="Tahoma" w:cs="Tahoma"/>
      <w:sz w:val="16"/>
      <w:szCs w:val="16"/>
      <w:lang w:val="en-NZ"/>
    </w:rPr>
  </w:style>
  <w:style w:type="character" w:styleId="HTMLDefinition">
    <w:name w:val="HTML Definition"/>
    <w:basedOn w:val="DefaultParagraphFont"/>
    <w:uiPriority w:val="99"/>
    <w:semiHidden/>
    <w:unhideWhenUsed/>
    <w:rsid w:val="005A0803"/>
    <w:rPr>
      <w:i/>
      <w:iCs/>
    </w:rPr>
  </w:style>
  <w:style w:type="character" w:customStyle="1" w:styleId="label">
    <w:name w:val="label"/>
    <w:basedOn w:val="DefaultParagraphFont"/>
    <w:rsid w:val="005A0803"/>
  </w:style>
  <w:style w:type="character" w:customStyle="1" w:styleId="spc1">
    <w:name w:val="spc1"/>
    <w:basedOn w:val="DefaultParagraphFont"/>
    <w:rsid w:val="005A0803"/>
    <w:rPr>
      <w:strike w:val="0"/>
      <w:dstrike w:val="0"/>
      <w:u w:val="none"/>
      <w:effect w:val="none"/>
    </w:rPr>
  </w:style>
  <w:style w:type="paragraph" w:customStyle="1" w:styleId="text1">
    <w:name w:val="text1"/>
    <w:basedOn w:val="Normal"/>
    <w:rsid w:val="005A0803"/>
    <w:pPr>
      <w:spacing w:after="0" w:line="288" w:lineRule="atLeast"/>
    </w:pPr>
    <w:rPr>
      <w:rFonts w:ascii="Times New Roman" w:eastAsia="Times New Roman" w:hAnsi="Times New Roman"/>
      <w:color w:val="000000"/>
      <w:sz w:val="24"/>
      <w:szCs w:val="24"/>
      <w:lang w:val="en-US"/>
    </w:rPr>
  </w:style>
  <w:style w:type="paragraph" w:customStyle="1" w:styleId="labelled4">
    <w:name w:val="labelled4"/>
    <w:basedOn w:val="Normal"/>
    <w:rsid w:val="005A0803"/>
    <w:pPr>
      <w:spacing w:after="0" w:line="288" w:lineRule="atLeast"/>
      <w:ind w:right="240"/>
    </w:pPr>
    <w:rPr>
      <w:rFonts w:ascii="Times New Roman" w:eastAsia="Times New Roman" w:hAnsi="Times New Roman"/>
      <w:color w:val="000000"/>
      <w:sz w:val="24"/>
      <w:szCs w:val="24"/>
      <w:lang w:val="en-US"/>
    </w:rPr>
  </w:style>
  <w:style w:type="paragraph" w:styleId="FootnoteText">
    <w:name w:val="footnote text"/>
    <w:basedOn w:val="Normal"/>
    <w:link w:val="FootnoteTextChar"/>
    <w:uiPriority w:val="99"/>
    <w:semiHidden/>
    <w:unhideWhenUsed/>
    <w:rsid w:val="003750F1"/>
    <w:rPr>
      <w:sz w:val="20"/>
      <w:szCs w:val="20"/>
    </w:rPr>
  </w:style>
  <w:style w:type="character" w:customStyle="1" w:styleId="FootnoteTextChar">
    <w:name w:val="Footnote Text Char"/>
    <w:basedOn w:val="DefaultParagraphFont"/>
    <w:link w:val="FootnoteText"/>
    <w:uiPriority w:val="99"/>
    <w:semiHidden/>
    <w:rsid w:val="003750F1"/>
    <w:rPr>
      <w:lang w:val="en-NZ"/>
    </w:rPr>
  </w:style>
  <w:style w:type="character" w:styleId="FootnoteReference">
    <w:name w:val="footnote reference"/>
    <w:basedOn w:val="DefaultParagraphFont"/>
    <w:uiPriority w:val="99"/>
    <w:semiHidden/>
    <w:unhideWhenUsed/>
    <w:rsid w:val="003750F1"/>
    <w:rPr>
      <w:vertAlign w:val="superscript"/>
    </w:rPr>
  </w:style>
  <w:style w:type="paragraph" w:styleId="Header">
    <w:name w:val="header"/>
    <w:basedOn w:val="Normal"/>
    <w:link w:val="HeaderChar"/>
    <w:uiPriority w:val="99"/>
    <w:semiHidden/>
    <w:unhideWhenUsed/>
    <w:rsid w:val="0071619E"/>
    <w:pPr>
      <w:tabs>
        <w:tab w:val="center" w:pos="4680"/>
        <w:tab w:val="right" w:pos="9360"/>
      </w:tabs>
    </w:pPr>
  </w:style>
  <w:style w:type="character" w:customStyle="1" w:styleId="HeaderChar">
    <w:name w:val="Header Char"/>
    <w:basedOn w:val="DefaultParagraphFont"/>
    <w:link w:val="Header"/>
    <w:uiPriority w:val="99"/>
    <w:semiHidden/>
    <w:rsid w:val="0071619E"/>
    <w:rPr>
      <w:sz w:val="22"/>
      <w:szCs w:val="22"/>
      <w:lang w:val="en-NZ"/>
    </w:rPr>
  </w:style>
  <w:style w:type="paragraph" w:styleId="Footer">
    <w:name w:val="footer"/>
    <w:basedOn w:val="Normal"/>
    <w:link w:val="FooterChar"/>
    <w:uiPriority w:val="99"/>
    <w:semiHidden/>
    <w:unhideWhenUsed/>
    <w:rsid w:val="0071619E"/>
    <w:pPr>
      <w:tabs>
        <w:tab w:val="center" w:pos="4680"/>
        <w:tab w:val="right" w:pos="9360"/>
      </w:tabs>
    </w:pPr>
  </w:style>
  <w:style w:type="character" w:customStyle="1" w:styleId="FooterChar">
    <w:name w:val="Footer Char"/>
    <w:basedOn w:val="DefaultParagraphFont"/>
    <w:link w:val="Footer"/>
    <w:uiPriority w:val="99"/>
    <w:semiHidden/>
    <w:rsid w:val="0071619E"/>
    <w:rPr>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6974">
      <w:bodyDiv w:val="1"/>
      <w:marLeft w:val="0"/>
      <w:marRight w:val="0"/>
      <w:marTop w:val="0"/>
      <w:marBottom w:val="0"/>
      <w:divBdr>
        <w:top w:val="none" w:sz="0" w:space="0" w:color="auto"/>
        <w:left w:val="none" w:sz="0" w:space="0" w:color="auto"/>
        <w:bottom w:val="none" w:sz="0" w:space="0" w:color="auto"/>
        <w:right w:val="none" w:sz="0" w:space="0" w:color="auto"/>
      </w:divBdr>
    </w:div>
    <w:div w:id="487943110">
      <w:bodyDiv w:val="1"/>
      <w:marLeft w:val="0"/>
      <w:marRight w:val="0"/>
      <w:marTop w:val="0"/>
      <w:marBottom w:val="0"/>
      <w:divBdr>
        <w:top w:val="none" w:sz="0" w:space="0" w:color="auto"/>
        <w:left w:val="none" w:sz="0" w:space="0" w:color="auto"/>
        <w:bottom w:val="none" w:sz="0" w:space="0" w:color="auto"/>
        <w:right w:val="none" w:sz="0" w:space="0" w:color="auto"/>
      </w:divBdr>
    </w:div>
    <w:div w:id="1420564468">
      <w:bodyDiv w:val="1"/>
      <w:marLeft w:val="0"/>
      <w:marRight w:val="0"/>
      <w:marTop w:val="0"/>
      <w:marBottom w:val="0"/>
      <w:divBdr>
        <w:top w:val="none" w:sz="0" w:space="0" w:color="auto"/>
        <w:left w:val="none" w:sz="0" w:space="0" w:color="auto"/>
        <w:bottom w:val="none" w:sz="0" w:space="0" w:color="auto"/>
        <w:right w:val="none" w:sz="0" w:space="0" w:color="auto"/>
      </w:divBdr>
    </w:div>
    <w:div w:id="1867717820">
      <w:bodyDiv w:val="1"/>
      <w:marLeft w:val="0"/>
      <w:marRight w:val="0"/>
      <w:marTop w:val="0"/>
      <w:marBottom w:val="0"/>
      <w:divBdr>
        <w:top w:val="none" w:sz="0" w:space="0" w:color="auto"/>
        <w:left w:val="none" w:sz="0" w:space="0" w:color="auto"/>
        <w:bottom w:val="none" w:sz="0" w:space="0" w:color="auto"/>
        <w:right w:val="none" w:sz="0" w:space="0" w:color="auto"/>
      </w:divBdr>
      <w:divsChild>
        <w:div w:id="749690829">
          <w:marLeft w:val="0"/>
          <w:marRight w:val="0"/>
          <w:marTop w:val="0"/>
          <w:marBottom w:val="0"/>
          <w:divBdr>
            <w:top w:val="none" w:sz="0" w:space="0" w:color="auto"/>
            <w:left w:val="none" w:sz="0" w:space="0" w:color="auto"/>
            <w:bottom w:val="none" w:sz="0" w:space="0" w:color="auto"/>
            <w:right w:val="none" w:sz="0" w:space="0" w:color="auto"/>
          </w:divBdr>
          <w:divsChild>
            <w:div w:id="1305544252">
              <w:marLeft w:val="0"/>
              <w:marRight w:val="0"/>
              <w:marTop w:val="0"/>
              <w:marBottom w:val="0"/>
              <w:divBdr>
                <w:top w:val="none" w:sz="0" w:space="0" w:color="auto"/>
                <w:left w:val="none" w:sz="0" w:space="0" w:color="auto"/>
                <w:bottom w:val="none" w:sz="0" w:space="0" w:color="auto"/>
                <w:right w:val="none" w:sz="0" w:space="0" w:color="auto"/>
              </w:divBdr>
              <w:divsChild>
                <w:div w:id="1839617319">
                  <w:marLeft w:val="0"/>
                  <w:marRight w:val="0"/>
                  <w:marTop w:val="105"/>
                  <w:marBottom w:val="0"/>
                  <w:divBdr>
                    <w:top w:val="none" w:sz="0" w:space="0" w:color="auto"/>
                    <w:left w:val="none" w:sz="0" w:space="0" w:color="auto"/>
                    <w:bottom w:val="none" w:sz="0" w:space="0" w:color="auto"/>
                    <w:right w:val="none" w:sz="0" w:space="0" w:color="auto"/>
                  </w:divBdr>
                  <w:divsChild>
                    <w:div w:id="566573640">
                      <w:marLeft w:val="450"/>
                      <w:marRight w:val="225"/>
                      <w:marTop w:val="0"/>
                      <w:marBottom w:val="0"/>
                      <w:divBdr>
                        <w:top w:val="none" w:sz="0" w:space="0" w:color="auto"/>
                        <w:left w:val="none" w:sz="0" w:space="0" w:color="auto"/>
                        <w:bottom w:val="none" w:sz="0" w:space="0" w:color="auto"/>
                        <w:right w:val="none" w:sz="0" w:space="0" w:color="auto"/>
                      </w:divBdr>
                      <w:divsChild>
                        <w:div w:id="188032650">
                          <w:marLeft w:val="0"/>
                          <w:marRight w:val="0"/>
                          <w:marTop w:val="0"/>
                          <w:marBottom w:val="600"/>
                          <w:divBdr>
                            <w:top w:val="single" w:sz="6" w:space="0" w:color="314664"/>
                            <w:left w:val="single" w:sz="6" w:space="0" w:color="314664"/>
                            <w:bottom w:val="single" w:sz="6" w:space="0" w:color="314664"/>
                            <w:right w:val="single" w:sz="6" w:space="0" w:color="314664"/>
                          </w:divBdr>
                          <w:divsChild>
                            <w:div w:id="1628660199">
                              <w:marLeft w:val="0"/>
                              <w:marRight w:val="0"/>
                              <w:marTop w:val="0"/>
                              <w:marBottom w:val="0"/>
                              <w:divBdr>
                                <w:top w:val="none" w:sz="0" w:space="0" w:color="auto"/>
                                <w:left w:val="none" w:sz="0" w:space="0" w:color="auto"/>
                                <w:bottom w:val="none" w:sz="0" w:space="0" w:color="auto"/>
                                <w:right w:val="none" w:sz="0" w:space="0" w:color="auto"/>
                              </w:divBdr>
                              <w:divsChild>
                                <w:div w:id="550070268">
                                  <w:marLeft w:val="0"/>
                                  <w:marRight w:val="0"/>
                                  <w:marTop w:val="0"/>
                                  <w:marBottom w:val="0"/>
                                  <w:divBdr>
                                    <w:top w:val="none" w:sz="0" w:space="0" w:color="auto"/>
                                    <w:left w:val="none" w:sz="0" w:space="0" w:color="auto"/>
                                    <w:bottom w:val="none" w:sz="0" w:space="0" w:color="auto"/>
                                    <w:right w:val="none" w:sz="0" w:space="0" w:color="auto"/>
                                  </w:divBdr>
                                  <w:divsChild>
                                    <w:div w:id="1994064473">
                                      <w:marLeft w:val="0"/>
                                      <w:marRight w:val="0"/>
                                      <w:marTop w:val="0"/>
                                      <w:marBottom w:val="0"/>
                                      <w:divBdr>
                                        <w:top w:val="none" w:sz="0" w:space="0" w:color="auto"/>
                                        <w:left w:val="none" w:sz="0" w:space="0" w:color="auto"/>
                                        <w:bottom w:val="none" w:sz="0" w:space="0" w:color="auto"/>
                                        <w:right w:val="none" w:sz="0" w:space="0" w:color="auto"/>
                                      </w:divBdr>
                                      <w:divsChild>
                                        <w:div w:id="2140566302">
                                          <w:marLeft w:val="0"/>
                                          <w:marRight w:val="0"/>
                                          <w:marTop w:val="0"/>
                                          <w:marBottom w:val="0"/>
                                          <w:divBdr>
                                            <w:top w:val="none" w:sz="0" w:space="0" w:color="auto"/>
                                            <w:left w:val="none" w:sz="0" w:space="0" w:color="auto"/>
                                            <w:bottom w:val="none" w:sz="0" w:space="0" w:color="auto"/>
                                            <w:right w:val="none" w:sz="0" w:space="0" w:color="auto"/>
                                          </w:divBdr>
                                          <w:divsChild>
                                            <w:div w:id="2146385524">
                                              <w:marLeft w:val="0"/>
                                              <w:marRight w:val="0"/>
                                              <w:marTop w:val="0"/>
                                              <w:marBottom w:val="0"/>
                                              <w:divBdr>
                                                <w:top w:val="none" w:sz="0" w:space="0" w:color="auto"/>
                                                <w:left w:val="none" w:sz="0" w:space="0" w:color="auto"/>
                                                <w:bottom w:val="none" w:sz="0" w:space="0" w:color="auto"/>
                                                <w:right w:val="none" w:sz="0" w:space="0" w:color="auto"/>
                                              </w:divBdr>
                                              <w:divsChild>
                                                <w:div w:id="1898396840">
                                                  <w:marLeft w:val="0"/>
                                                  <w:marRight w:val="0"/>
                                                  <w:marTop w:val="0"/>
                                                  <w:marBottom w:val="0"/>
                                                  <w:divBdr>
                                                    <w:top w:val="none" w:sz="0" w:space="0" w:color="auto"/>
                                                    <w:left w:val="none" w:sz="0" w:space="0" w:color="auto"/>
                                                    <w:bottom w:val="none" w:sz="0" w:space="0" w:color="auto"/>
                                                    <w:right w:val="none" w:sz="0" w:space="0" w:color="auto"/>
                                                  </w:divBdr>
                                                  <w:divsChild>
                                                    <w:div w:id="34472529">
                                                      <w:marLeft w:val="0"/>
                                                      <w:marRight w:val="0"/>
                                                      <w:marTop w:val="0"/>
                                                      <w:marBottom w:val="0"/>
                                                      <w:divBdr>
                                                        <w:top w:val="none" w:sz="0" w:space="0" w:color="auto"/>
                                                        <w:left w:val="none" w:sz="0" w:space="0" w:color="auto"/>
                                                        <w:bottom w:val="none" w:sz="0" w:space="0" w:color="auto"/>
                                                        <w:right w:val="none" w:sz="0" w:space="0" w:color="auto"/>
                                                      </w:divBdr>
                                                      <w:divsChild>
                                                        <w:div w:id="16903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A47A1-9496-4F85-9000-BDECB73B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and Policy Guideline #10 CO-OPTED MEMBERS</dc:title>
  <dc:creator>MHRT</dc:creator>
  <cp:lastModifiedBy>Ministry of Health</cp:lastModifiedBy>
  <cp:revision>17</cp:revision>
  <dcterms:created xsi:type="dcterms:W3CDTF">2015-07-16T05:36:00Z</dcterms:created>
  <dcterms:modified xsi:type="dcterms:W3CDTF">2015-07-29T03:04:00Z</dcterms:modified>
</cp:coreProperties>
</file>