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FE50" w14:textId="77777777" w:rsidR="00A10064" w:rsidRDefault="00A10064" w:rsidP="00A10064">
      <w:pPr>
        <w:pStyle w:val="Title"/>
      </w:pPr>
      <w:r>
        <w:t>Code of Practice for Nuclear Medicine</w:t>
      </w:r>
    </w:p>
    <w:p w14:paraId="700512B5" w14:textId="77777777" w:rsidR="00A10064" w:rsidRDefault="00A10064" w:rsidP="00A10064">
      <w:pPr>
        <w:pStyle w:val="Subhead"/>
      </w:pPr>
      <w:r>
        <w:t>ORS C2</w:t>
      </w:r>
    </w:p>
    <w:p w14:paraId="0DABAD2E" w14:textId="77777777" w:rsidR="00A10064" w:rsidRDefault="00A10064" w:rsidP="00A10064">
      <w:pPr>
        <w:pStyle w:val="Year"/>
      </w:pPr>
      <w:r>
        <w:t>2024</w:t>
      </w:r>
    </w:p>
    <w:p w14:paraId="0E1F8845" w14:textId="77777777" w:rsidR="00A10064" w:rsidRDefault="00A10064" w:rsidP="00A10064">
      <w:pPr>
        <w:spacing w:before="600"/>
        <w:rPr>
          <w:b/>
          <w:bCs/>
        </w:rPr>
      </w:pPr>
      <w:r>
        <w:rPr>
          <w:b/>
          <w:bCs/>
        </w:rPr>
        <w:t>FOR PUBLIC CONSULTATION</w:t>
      </w:r>
    </w:p>
    <w:p w14:paraId="36187804" w14:textId="77777777" w:rsidR="00EB49F4" w:rsidRPr="00583BE6" w:rsidRDefault="00EB49F4" w:rsidP="00142954"/>
    <w:p w14:paraId="7106B1CF" w14:textId="77777777" w:rsidR="00EB49F4" w:rsidRPr="00583BE6" w:rsidRDefault="00EB49F4" w:rsidP="00142954"/>
    <w:p w14:paraId="4C5D055F" w14:textId="28E0546D" w:rsidR="00583BE6" w:rsidRPr="00911C38" w:rsidRDefault="00583BE6" w:rsidP="00142954">
      <w:pPr>
        <w:rPr>
          <w:b/>
          <w:bCs/>
        </w:rPr>
        <w:sectPr w:rsidR="00583BE6" w:rsidRPr="00911C38" w:rsidSect="00A03E47">
          <w:headerReference w:type="default" r:id="rId12"/>
          <w:footerReference w:type="default" r:id="rId13"/>
          <w:pgSz w:w="11907" w:h="16834" w:code="9"/>
          <w:pgMar w:top="5670" w:right="1134" w:bottom="1134" w:left="1134" w:header="567" w:footer="851" w:gutter="0"/>
          <w:pgNumType w:start="1"/>
          <w:cols w:space="720"/>
        </w:sectPr>
      </w:pPr>
    </w:p>
    <w:p w14:paraId="27A3FE95" w14:textId="3751625E" w:rsidR="00A80363" w:rsidRPr="00C05132" w:rsidRDefault="00A80363" w:rsidP="00A63DFF">
      <w:pPr>
        <w:pStyle w:val="Imprint"/>
        <w:spacing w:before="1200"/>
        <w:rPr>
          <w:rFonts w:cs="Segoe UI"/>
        </w:rPr>
      </w:pPr>
      <w:bookmarkStart w:id="1" w:name="_Hlk161122169"/>
      <w:r w:rsidRPr="00C05132">
        <w:rPr>
          <w:rFonts w:cs="Segoe UI"/>
        </w:rPr>
        <w:lastRenderedPageBreak/>
        <w:t xml:space="preserve">Citation: </w:t>
      </w:r>
      <w:r w:rsidR="00442C1C" w:rsidRPr="00C05132">
        <w:rPr>
          <w:rFonts w:cs="Segoe UI"/>
        </w:rPr>
        <w:t xml:space="preserve">Ministry of Health. </w:t>
      </w:r>
      <w:bookmarkStart w:id="2" w:name="_Hlk161044476"/>
      <w:r w:rsidR="00B8494E">
        <w:rPr>
          <w:rFonts w:cs="Segoe UI"/>
        </w:rPr>
        <w:t xml:space="preserve">2024. </w:t>
      </w:r>
      <w:r w:rsidR="007A0047">
        <w:rPr>
          <w:rFonts w:cs="Segoe UI"/>
          <w:i/>
        </w:rPr>
        <w:t>Code of Practice for Nuclear Medicine</w:t>
      </w:r>
      <w:r w:rsidR="00442C1C" w:rsidRPr="00C05132">
        <w:rPr>
          <w:rFonts w:cs="Segoe UI"/>
        </w:rPr>
        <w:t xml:space="preserve">: </w:t>
      </w:r>
      <w:r w:rsidR="009146C7">
        <w:rPr>
          <w:rFonts w:cs="Segoe UI"/>
          <w:i/>
        </w:rPr>
        <w:t xml:space="preserve">ORS C2: </w:t>
      </w:r>
      <w:r w:rsidR="00B8494E" w:rsidRPr="005F5AB1">
        <w:rPr>
          <w:rFonts w:cs="Segoe UI"/>
          <w:i/>
          <w:iCs/>
        </w:rPr>
        <w:t>For</w:t>
      </w:r>
      <w:r w:rsidR="009B6E5A" w:rsidRPr="005F5AB1">
        <w:rPr>
          <w:rFonts w:cs="Segoe UI"/>
          <w:i/>
          <w:iCs/>
        </w:rPr>
        <w:t xml:space="preserve"> public</w:t>
      </w:r>
      <w:r w:rsidR="00B8494E" w:rsidRPr="005F5AB1">
        <w:rPr>
          <w:rFonts w:cs="Segoe UI"/>
          <w:i/>
          <w:iCs/>
        </w:rPr>
        <w:t xml:space="preserve"> consultation</w:t>
      </w:r>
      <w:r w:rsidR="009B6E5A">
        <w:rPr>
          <w:rFonts w:cs="Segoe UI"/>
        </w:rPr>
        <w:t>.</w:t>
      </w:r>
      <w:r w:rsidR="008158AC">
        <w:rPr>
          <w:rFonts w:cs="Segoe UI"/>
        </w:rPr>
        <w:t xml:space="preserve"> </w:t>
      </w:r>
      <w:bookmarkEnd w:id="2"/>
      <w:r w:rsidR="008158AC">
        <w:rPr>
          <w:rFonts w:cs="Segoe UI"/>
        </w:rPr>
        <w:t>Wellington</w:t>
      </w:r>
      <w:r w:rsidR="009B6E5A">
        <w:rPr>
          <w:rFonts w:cs="Segoe UI"/>
        </w:rPr>
        <w:t xml:space="preserve">: </w:t>
      </w:r>
      <w:r w:rsidR="00442C1C" w:rsidRPr="00C05132">
        <w:rPr>
          <w:rFonts w:cs="Segoe UI"/>
        </w:rPr>
        <w:t>Ministry of Health.</w:t>
      </w:r>
    </w:p>
    <w:bookmarkEnd w:id="1"/>
    <w:p w14:paraId="52135FCD" w14:textId="77777777" w:rsidR="00550FD4" w:rsidRDefault="00550FD4" w:rsidP="00550FD4">
      <w:pPr>
        <w:pStyle w:val="Imprint"/>
      </w:pPr>
      <w:r>
        <w:t>Published in March 2024 by the Ministry of Health</w:t>
      </w:r>
      <w:r>
        <w:br/>
        <w:t>PO Box 5013, Wellington 6140, New Zealand</w:t>
      </w:r>
    </w:p>
    <w:p w14:paraId="0F38B225" w14:textId="449D90FC" w:rsidR="00293988" w:rsidRDefault="008A4F9A" w:rsidP="00293988">
      <w:r>
        <w:t xml:space="preserve">ISBN </w:t>
      </w:r>
      <w:r w:rsidR="00136B33" w:rsidRPr="00136B33">
        <w:t>978-1-991075-67-3</w:t>
      </w:r>
      <w:r w:rsidR="00136B33">
        <w:t xml:space="preserve"> (online)</w:t>
      </w:r>
      <w:r>
        <w:br/>
      </w:r>
      <w:r w:rsidR="006D0C82" w:rsidRPr="00E5063F">
        <w:t xml:space="preserve">HP </w:t>
      </w:r>
      <w:r w:rsidR="00E5063F">
        <w:t>9062</w:t>
      </w:r>
    </w:p>
    <w:p w14:paraId="461CEC93" w14:textId="77777777" w:rsidR="00293988" w:rsidRPr="00293988" w:rsidRDefault="00293988" w:rsidP="00293988"/>
    <w:p w14:paraId="13C00F68" w14:textId="2078EB98" w:rsidR="00550FD4" w:rsidRDefault="00550FD4" w:rsidP="00550FD4">
      <w:bookmarkStart w:id="3" w:name="_Hlk161050895"/>
      <w:r>
        <w:rPr>
          <w:noProof/>
          <w:lang w:eastAsia="en-NZ"/>
        </w:rPr>
        <w:drawing>
          <wp:inline distT="0" distB="0" distL="0" distR="0" wp14:anchorId="76C080A0" wp14:editId="1EE983FC">
            <wp:extent cx="1219200" cy="575945"/>
            <wp:effectExtent l="0" t="0" r="0" b="0"/>
            <wp:docPr id="8" name="Picture 8"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inistry of Health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575945"/>
                    </a:xfrm>
                    <a:prstGeom prst="rect">
                      <a:avLst/>
                    </a:prstGeom>
                    <a:noFill/>
                    <a:ln>
                      <a:noFill/>
                    </a:ln>
                  </pic:spPr>
                </pic:pic>
              </a:graphicData>
            </a:graphic>
          </wp:inline>
        </w:drawing>
      </w:r>
    </w:p>
    <w:bookmarkEnd w:id="3"/>
    <w:p w14:paraId="7E3E318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2AC253F4" w14:textId="77777777" w:rsidTr="00A63DFF">
        <w:trPr>
          <w:cantSplit/>
        </w:trPr>
        <w:tc>
          <w:tcPr>
            <w:tcW w:w="1526" w:type="dxa"/>
          </w:tcPr>
          <w:p w14:paraId="33004053"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16E4CAE6" wp14:editId="62488DC7">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2BB06FEB"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C1B7959" w14:textId="77777777" w:rsidR="007E74F1" w:rsidRPr="001F45A7" w:rsidRDefault="007E74F1" w:rsidP="00A63DFF"/>
    <w:p w14:paraId="450B5700" w14:textId="77777777" w:rsidR="00C86248" w:rsidRDefault="00C86248">
      <w:pPr>
        <w:jc w:val="center"/>
        <w:sectPr w:rsidR="00C86248" w:rsidSect="00A03E47">
          <w:footerReference w:type="even" r:id="rId16"/>
          <w:footerReference w:type="default" r:id="rId17"/>
          <w:pgSz w:w="11907" w:h="16834" w:code="9"/>
          <w:pgMar w:top="1701" w:right="2268" w:bottom="1134" w:left="2268" w:header="0" w:footer="0" w:gutter="0"/>
          <w:cols w:space="720"/>
          <w:vAlign w:val="bottom"/>
        </w:sectPr>
      </w:pPr>
    </w:p>
    <w:p w14:paraId="752B917C" w14:textId="77777777" w:rsidR="002C6103" w:rsidRDefault="002C6103" w:rsidP="002C6103">
      <w:pPr>
        <w:pStyle w:val="IntroHead"/>
      </w:pPr>
      <w:bookmarkStart w:id="4" w:name="_Toc405792991"/>
      <w:bookmarkStart w:id="5" w:name="_Toc405793224"/>
      <w:r>
        <w:lastRenderedPageBreak/>
        <w:t>Contents</w:t>
      </w:r>
      <w:bookmarkEnd w:id="4"/>
      <w:bookmarkEnd w:id="5"/>
    </w:p>
    <w:p w14:paraId="69C7E4F7" w14:textId="2326AF72" w:rsidR="00550FD4" w:rsidRDefault="002C6103">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61051002" w:history="1">
        <w:r w:rsidR="00550FD4" w:rsidRPr="002D4EA8">
          <w:rPr>
            <w:rStyle w:val="Hyperlink"/>
            <w:noProof/>
          </w:rPr>
          <w:t>This consultation</w:t>
        </w:r>
        <w:r w:rsidR="00550FD4">
          <w:rPr>
            <w:noProof/>
            <w:webHidden/>
          </w:rPr>
          <w:tab/>
        </w:r>
        <w:r w:rsidR="00550FD4">
          <w:rPr>
            <w:noProof/>
            <w:webHidden/>
          </w:rPr>
          <w:fldChar w:fldCharType="begin"/>
        </w:r>
        <w:r w:rsidR="00550FD4">
          <w:rPr>
            <w:noProof/>
            <w:webHidden/>
          </w:rPr>
          <w:instrText xml:space="preserve"> PAGEREF _Toc161051002 \h </w:instrText>
        </w:r>
        <w:r w:rsidR="00550FD4">
          <w:rPr>
            <w:noProof/>
            <w:webHidden/>
          </w:rPr>
        </w:r>
        <w:r w:rsidR="00550FD4">
          <w:rPr>
            <w:noProof/>
            <w:webHidden/>
          </w:rPr>
          <w:fldChar w:fldCharType="separate"/>
        </w:r>
        <w:r w:rsidR="001F2BD7">
          <w:rPr>
            <w:noProof/>
            <w:webHidden/>
          </w:rPr>
          <w:t>iv</w:t>
        </w:r>
        <w:r w:rsidR="00550FD4">
          <w:rPr>
            <w:noProof/>
            <w:webHidden/>
          </w:rPr>
          <w:fldChar w:fldCharType="end"/>
        </w:r>
      </w:hyperlink>
    </w:p>
    <w:p w14:paraId="34A7C667" w14:textId="3A01DBF6" w:rsidR="00550FD4" w:rsidRDefault="001F2BD7">
      <w:pPr>
        <w:pStyle w:val="TOC2"/>
        <w:rPr>
          <w:rFonts w:asciiTheme="minorHAnsi" w:eastAsiaTheme="minorEastAsia" w:hAnsiTheme="minorHAnsi" w:cstheme="minorBidi"/>
          <w:noProof/>
          <w:szCs w:val="22"/>
          <w:lang w:val="en-AU" w:eastAsia="en-AU"/>
        </w:rPr>
      </w:pPr>
      <w:hyperlink w:anchor="_Toc161051003" w:history="1">
        <w:r w:rsidR="00550FD4" w:rsidRPr="002D4EA8">
          <w:rPr>
            <w:rStyle w:val="Hyperlink"/>
            <w:noProof/>
          </w:rPr>
          <w:t>Summary of the proposed principal amendments in the revised C2</w:t>
        </w:r>
        <w:r w:rsidR="00550FD4">
          <w:rPr>
            <w:noProof/>
            <w:webHidden/>
          </w:rPr>
          <w:tab/>
        </w:r>
        <w:r w:rsidR="00550FD4">
          <w:rPr>
            <w:noProof/>
            <w:webHidden/>
          </w:rPr>
          <w:fldChar w:fldCharType="begin"/>
        </w:r>
        <w:r w:rsidR="00550FD4">
          <w:rPr>
            <w:noProof/>
            <w:webHidden/>
          </w:rPr>
          <w:instrText xml:space="preserve"> PAGEREF _Toc161051003 \h </w:instrText>
        </w:r>
        <w:r w:rsidR="00550FD4">
          <w:rPr>
            <w:noProof/>
            <w:webHidden/>
          </w:rPr>
        </w:r>
        <w:r w:rsidR="00550FD4">
          <w:rPr>
            <w:noProof/>
            <w:webHidden/>
          </w:rPr>
          <w:fldChar w:fldCharType="separate"/>
        </w:r>
        <w:r>
          <w:rPr>
            <w:noProof/>
            <w:webHidden/>
          </w:rPr>
          <w:t>v</w:t>
        </w:r>
        <w:r w:rsidR="00550FD4">
          <w:rPr>
            <w:noProof/>
            <w:webHidden/>
          </w:rPr>
          <w:fldChar w:fldCharType="end"/>
        </w:r>
      </w:hyperlink>
    </w:p>
    <w:p w14:paraId="23731BC3" w14:textId="28CBFAF5" w:rsidR="00550FD4" w:rsidRDefault="001F2BD7">
      <w:pPr>
        <w:pStyle w:val="TOC2"/>
        <w:rPr>
          <w:rFonts w:asciiTheme="minorHAnsi" w:eastAsiaTheme="minorEastAsia" w:hAnsiTheme="minorHAnsi" w:cstheme="minorBidi"/>
          <w:noProof/>
          <w:szCs w:val="22"/>
          <w:lang w:val="en-AU" w:eastAsia="en-AU"/>
        </w:rPr>
      </w:pPr>
      <w:hyperlink w:anchor="_Toc161051004" w:history="1">
        <w:r w:rsidR="00550FD4" w:rsidRPr="002D4EA8">
          <w:rPr>
            <w:rStyle w:val="Hyperlink"/>
            <w:noProof/>
          </w:rPr>
          <w:t>How to provide feedback</w:t>
        </w:r>
        <w:r w:rsidR="00550FD4">
          <w:rPr>
            <w:noProof/>
            <w:webHidden/>
          </w:rPr>
          <w:tab/>
        </w:r>
        <w:r w:rsidR="00550FD4">
          <w:rPr>
            <w:noProof/>
            <w:webHidden/>
          </w:rPr>
          <w:fldChar w:fldCharType="begin"/>
        </w:r>
        <w:r w:rsidR="00550FD4">
          <w:rPr>
            <w:noProof/>
            <w:webHidden/>
          </w:rPr>
          <w:instrText xml:space="preserve"> PAGEREF _Toc161051004 \h </w:instrText>
        </w:r>
        <w:r w:rsidR="00550FD4">
          <w:rPr>
            <w:noProof/>
            <w:webHidden/>
          </w:rPr>
        </w:r>
        <w:r w:rsidR="00550FD4">
          <w:rPr>
            <w:noProof/>
            <w:webHidden/>
          </w:rPr>
          <w:fldChar w:fldCharType="separate"/>
        </w:r>
        <w:r>
          <w:rPr>
            <w:noProof/>
            <w:webHidden/>
          </w:rPr>
          <w:t>xvi</w:t>
        </w:r>
        <w:r w:rsidR="00550FD4">
          <w:rPr>
            <w:noProof/>
            <w:webHidden/>
          </w:rPr>
          <w:fldChar w:fldCharType="end"/>
        </w:r>
      </w:hyperlink>
    </w:p>
    <w:p w14:paraId="11FCC01D" w14:textId="7CB8109A" w:rsidR="00550FD4" w:rsidRDefault="001F2BD7">
      <w:pPr>
        <w:pStyle w:val="TOC2"/>
        <w:rPr>
          <w:rFonts w:asciiTheme="minorHAnsi" w:eastAsiaTheme="minorEastAsia" w:hAnsiTheme="minorHAnsi" w:cstheme="minorBidi"/>
          <w:noProof/>
          <w:szCs w:val="22"/>
          <w:lang w:val="en-AU" w:eastAsia="en-AU"/>
        </w:rPr>
      </w:pPr>
      <w:hyperlink w:anchor="_Toc161051005" w:history="1">
        <w:r w:rsidR="00550FD4" w:rsidRPr="002D4EA8">
          <w:rPr>
            <w:rStyle w:val="Hyperlink"/>
            <w:noProof/>
          </w:rPr>
          <w:t>What happens after the consultation?</w:t>
        </w:r>
        <w:r w:rsidR="00550FD4">
          <w:rPr>
            <w:noProof/>
            <w:webHidden/>
          </w:rPr>
          <w:tab/>
        </w:r>
        <w:r w:rsidR="00550FD4">
          <w:rPr>
            <w:noProof/>
            <w:webHidden/>
          </w:rPr>
          <w:fldChar w:fldCharType="begin"/>
        </w:r>
        <w:r w:rsidR="00550FD4">
          <w:rPr>
            <w:noProof/>
            <w:webHidden/>
          </w:rPr>
          <w:instrText xml:space="preserve"> PAGEREF _Toc161051005 \h </w:instrText>
        </w:r>
        <w:r w:rsidR="00550FD4">
          <w:rPr>
            <w:noProof/>
            <w:webHidden/>
          </w:rPr>
        </w:r>
        <w:r w:rsidR="00550FD4">
          <w:rPr>
            <w:noProof/>
            <w:webHidden/>
          </w:rPr>
          <w:fldChar w:fldCharType="separate"/>
        </w:r>
        <w:r>
          <w:rPr>
            <w:noProof/>
            <w:webHidden/>
          </w:rPr>
          <w:t>xvi</w:t>
        </w:r>
        <w:r w:rsidR="00550FD4">
          <w:rPr>
            <w:noProof/>
            <w:webHidden/>
          </w:rPr>
          <w:fldChar w:fldCharType="end"/>
        </w:r>
      </w:hyperlink>
    </w:p>
    <w:p w14:paraId="2862DBD3" w14:textId="148B3FC2" w:rsidR="00550FD4" w:rsidRDefault="001F2BD7">
      <w:pPr>
        <w:pStyle w:val="TOC1"/>
        <w:rPr>
          <w:rFonts w:asciiTheme="minorHAnsi" w:eastAsiaTheme="minorEastAsia" w:hAnsiTheme="minorHAnsi" w:cstheme="minorBidi"/>
          <w:noProof/>
          <w:sz w:val="22"/>
          <w:szCs w:val="22"/>
          <w:lang w:val="en-AU" w:eastAsia="en-AU"/>
        </w:rPr>
      </w:pPr>
      <w:hyperlink w:anchor="_Toc161051006" w:history="1">
        <w:r w:rsidR="00550FD4" w:rsidRPr="002D4EA8">
          <w:rPr>
            <w:rStyle w:val="Hyperlink"/>
            <w:noProof/>
          </w:rPr>
          <w:t>Introduction</w:t>
        </w:r>
        <w:r w:rsidR="00550FD4">
          <w:rPr>
            <w:noProof/>
            <w:webHidden/>
          </w:rPr>
          <w:tab/>
        </w:r>
        <w:r w:rsidR="00550FD4">
          <w:rPr>
            <w:noProof/>
            <w:webHidden/>
          </w:rPr>
          <w:fldChar w:fldCharType="begin"/>
        </w:r>
        <w:r w:rsidR="00550FD4">
          <w:rPr>
            <w:noProof/>
            <w:webHidden/>
          </w:rPr>
          <w:instrText xml:space="preserve"> PAGEREF _Toc161051006 \h </w:instrText>
        </w:r>
        <w:r w:rsidR="00550FD4">
          <w:rPr>
            <w:noProof/>
            <w:webHidden/>
          </w:rPr>
        </w:r>
        <w:r w:rsidR="00550FD4">
          <w:rPr>
            <w:noProof/>
            <w:webHidden/>
          </w:rPr>
          <w:fldChar w:fldCharType="separate"/>
        </w:r>
        <w:r>
          <w:rPr>
            <w:noProof/>
            <w:webHidden/>
          </w:rPr>
          <w:t>1</w:t>
        </w:r>
        <w:r w:rsidR="00550FD4">
          <w:rPr>
            <w:noProof/>
            <w:webHidden/>
          </w:rPr>
          <w:fldChar w:fldCharType="end"/>
        </w:r>
      </w:hyperlink>
    </w:p>
    <w:p w14:paraId="7397E579" w14:textId="1EC66F8B" w:rsidR="00550FD4" w:rsidRDefault="001F2BD7">
      <w:pPr>
        <w:pStyle w:val="TOC2"/>
        <w:rPr>
          <w:rFonts w:asciiTheme="minorHAnsi" w:eastAsiaTheme="minorEastAsia" w:hAnsiTheme="minorHAnsi" w:cstheme="minorBidi"/>
          <w:noProof/>
          <w:szCs w:val="22"/>
          <w:lang w:val="en-AU" w:eastAsia="en-AU"/>
        </w:rPr>
      </w:pPr>
      <w:hyperlink w:anchor="_Toc161051007" w:history="1">
        <w:r w:rsidR="00550FD4" w:rsidRPr="002D4EA8">
          <w:rPr>
            <w:rStyle w:val="Hyperlink"/>
            <w:noProof/>
          </w:rPr>
          <w:t>Purpose and commencement</w:t>
        </w:r>
        <w:r w:rsidR="00550FD4">
          <w:rPr>
            <w:noProof/>
            <w:webHidden/>
          </w:rPr>
          <w:tab/>
        </w:r>
        <w:r w:rsidR="00550FD4">
          <w:rPr>
            <w:noProof/>
            <w:webHidden/>
          </w:rPr>
          <w:fldChar w:fldCharType="begin"/>
        </w:r>
        <w:r w:rsidR="00550FD4">
          <w:rPr>
            <w:noProof/>
            <w:webHidden/>
          </w:rPr>
          <w:instrText xml:space="preserve"> PAGEREF _Toc161051007 \h </w:instrText>
        </w:r>
        <w:r w:rsidR="00550FD4">
          <w:rPr>
            <w:noProof/>
            <w:webHidden/>
          </w:rPr>
        </w:r>
        <w:r w:rsidR="00550FD4">
          <w:rPr>
            <w:noProof/>
            <w:webHidden/>
          </w:rPr>
          <w:fldChar w:fldCharType="separate"/>
        </w:r>
        <w:r>
          <w:rPr>
            <w:noProof/>
            <w:webHidden/>
          </w:rPr>
          <w:t>1</w:t>
        </w:r>
        <w:r w:rsidR="00550FD4">
          <w:rPr>
            <w:noProof/>
            <w:webHidden/>
          </w:rPr>
          <w:fldChar w:fldCharType="end"/>
        </w:r>
      </w:hyperlink>
    </w:p>
    <w:p w14:paraId="254B3929" w14:textId="6F7D0256" w:rsidR="00550FD4" w:rsidRDefault="001F2BD7">
      <w:pPr>
        <w:pStyle w:val="TOC2"/>
        <w:rPr>
          <w:rFonts w:asciiTheme="minorHAnsi" w:eastAsiaTheme="minorEastAsia" w:hAnsiTheme="minorHAnsi" w:cstheme="minorBidi"/>
          <w:noProof/>
          <w:szCs w:val="22"/>
          <w:lang w:val="en-AU" w:eastAsia="en-AU"/>
        </w:rPr>
      </w:pPr>
      <w:hyperlink w:anchor="_Toc161051008" w:history="1">
        <w:r w:rsidR="00550FD4" w:rsidRPr="002D4EA8">
          <w:rPr>
            <w:rStyle w:val="Hyperlink"/>
            <w:noProof/>
          </w:rPr>
          <w:t>Scope</w:t>
        </w:r>
        <w:r w:rsidR="00550FD4">
          <w:rPr>
            <w:noProof/>
            <w:webHidden/>
          </w:rPr>
          <w:tab/>
        </w:r>
        <w:r w:rsidR="00550FD4">
          <w:rPr>
            <w:noProof/>
            <w:webHidden/>
          </w:rPr>
          <w:fldChar w:fldCharType="begin"/>
        </w:r>
        <w:r w:rsidR="00550FD4">
          <w:rPr>
            <w:noProof/>
            <w:webHidden/>
          </w:rPr>
          <w:instrText xml:space="preserve"> PAGEREF _Toc161051008 \h </w:instrText>
        </w:r>
        <w:r w:rsidR="00550FD4">
          <w:rPr>
            <w:noProof/>
            <w:webHidden/>
          </w:rPr>
        </w:r>
        <w:r w:rsidR="00550FD4">
          <w:rPr>
            <w:noProof/>
            <w:webHidden/>
          </w:rPr>
          <w:fldChar w:fldCharType="separate"/>
        </w:r>
        <w:r>
          <w:rPr>
            <w:noProof/>
            <w:webHidden/>
          </w:rPr>
          <w:t>1</w:t>
        </w:r>
        <w:r w:rsidR="00550FD4">
          <w:rPr>
            <w:noProof/>
            <w:webHidden/>
          </w:rPr>
          <w:fldChar w:fldCharType="end"/>
        </w:r>
      </w:hyperlink>
    </w:p>
    <w:p w14:paraId="51DCAA71" w14:textId="1AB8A8AE" w:rsidR="00550FD4" w:rsidRDefault="001F2BD7">
      <w:pPr>
        <w:pStyle w:val="TOC1"/>
        <w:rPr>
          <w:rFonts w:asciiTheme="minorHAnsi" w:eastAsiaTheme="minorEastAsia" w:hAnsiTheme="minorHAnsi" w:cstheme="minorBidi"/>
          <w:noProof/>
          <w:sz w:val="22"/>
          <w:szCs w:val="22"/>
          <w:lang w:val="en-AU" w:eastAsia="en-AU"/>
        </w:rPr>
      </w:pPr>
      <w:hyperlink w:anchor="_Toc161051009" w:history="1">
        <w:r w:rsidR="00550FD4" w:rsidRPr="002D4EA8">
          <w:rPr>
            <w:rStyle w:val="Hyperlink"/>
            <w:noProof/>
          </w:rPr>
          <w:t>Roles and responsibilities</w:t>
        </w:r>
        <w:r w:rsidR="00550FD4">
          <w:rPr>
            <w:noProof/>
            <w:webHidden/>
          </w:rPr>
          <w:tab/>
        </w:r>
        <w:r w:rsidR="00550FD4">
          <w:rPr>
            <w:noProof/>
            <w:webHidden/>
          </w:rPr>
          <w:fldChar w:fldCharType="begin"/>
        </w:r>
        <w:r w:rsidR="00550FD4">
          <w:rPr>
            <w:noProof/>
            <w:webHidden/>
          </w:rPr>
          <w:instrText xml:space="preserve"> PAGEREF _Toc161051009 \h </w:instrText>
        </w:r>
        <w:r w:rsidR="00550FD4">
          <w:rPr>
            <w:noProof/>
            <w:webHidden/>
          </w:rPr>
        </w:r>
        <w:r w:rsidR="00550FD4">
          <w:rPr>
            <w:noProof/>
            <w:webHidden/>
          </w:rPr>
          <w:fldChar w:fldCharType="separate"/>
        </w:r>
        <w:r>
          <w:rPr>
            <w:noProof/>
            <w:webHidden/>
          </w:rPr>
          <w:t>2</w:t>
        </w:r>
        <w:r w:rsidR="00550FD4">
          <w:rPr>
            <w:noProof/>
            <w:webHidden/>
          </w:rPr>
          <w:fldChar w:fldCharType="end"/>
        </w:r>
      </w:hyperlink>
    </w:p>
    <w:p w14:paraId="19839502" w14:textId="6467FC49" w:rsidR="00550FD4" w:rsidRDefault="001F2BD7">
      <w:pPr>
        <w:pStyle w:val="TOC1"/>
        <w:rPr>
          <w:rFonts w:asciiTheme="minorHAnsi" w:eastAsiaTheme="minorEastAsia" w:hAnsiTheme="minorHAnsi" w:cstheme="minorBidi"/>
          <w:noProof/>
          <w:sz w:val="22"/>
          <w:szCs w:val="22"/>
          <w:lang w:val="en-AU" w:eastAsia="en-AU"/>
        </w:rPr>
      </w:pPr>
      <w:hyperlink w:anchor="_Toc161051010" w:history="1">
        <w:r w:rsidR="00550FD4" w:rsidRPr="002D4EA8">
          <w:rPr>
            <w:rStyle w:val="Hyperlink"/>
            <w:noProof/>
          </w:rPr>
          <w:t>Interpretation</w:t>
        </w:r>
        <w:r w:rsidR="00550FD4">
          <w:rPr>
            <w:noProof/>
            <w:webHidden/>
          </w:rPr>
          <w:tab/>
        </w:r>
        <w:r w:rsidR="00550FD4">
          <w:rPr>
            <w:noProof/>
            <w:webHidden/>
          </w:rPr>
          <w:fldChar w:fldCharType="begin"/>
        </w:r>
        <w:r w:rsidR="00550FD4">
          <w:rPr>
            <w:noProof/>
            <w:webHidden/>
          </w:rPr>
          <w:instrText xml:space="preserve"> PAGEREF _Toc161051010 \h </w:instrText>
        </w:r>
        <w:r w:rsidR="00550FD4">
          <w:rPr>
            <w:noProof/>
            <w:webHidden/>
          </w:rPr>
        </w:r>
        <w:r w:rsidR="00550FD4">
          <w:rPr>
            <w:noProof/>
            <w:webHidden/>
          </w:rPr>
          <w:fldChar w:fldCharType="separate"/>
        </w:r>
        <w:r>
          <w:rPr>
            <w:noProof/>
            <w:webHidden/>
          </w:rPr>
          <w:t>4</w:t>
        </w:r>
        <w:r w:rsidR="00550FD4">
          <w:rPr>
            <w:noProof/>
            <w:webHidden/>
          </w:rPr>
          <w:fldChar w:fldCharType="end"/>
        </w:r>
      </w:hyperlink>
    </w:p>
    <w:p w14:paraId="67F82D0A" w14:textId="196EB8F8" w:rsidR="00550FD4" w:rsidRDefault="001F2BD7">
      <w:pPr>
        <w:pStyle w:val="TOC1"/>
        <w:rPr>
          <w:rFonts w:asciiTheme="minorHAnsi" w:eastAsiaTheme="minorEastAsia" w:hAnsiTheme="minorHAnsi" w:cstheme="minorBidi"/>
          <w:noProof/>
          <w:sz w:val="22"/>
          <w:szCs w:val="22"/>
          <w:lang w:val="en-AU" w:eastAsia="en-AU"/>
        </w:rPr>
      </w:pPr>
      <w:hyperlink w:anchor="_Toc161051011" w:history="1">
        <w:r w:rsidR="00550FD4" w:rsidRPr="002D4EA8">
          <w:rPr>
            <w:rStyle w:val="Hyperlink"/>
            <w:noProof/>
          </w:rPr>
          <w:t>The holder of a source licence</w:t>
        </w:r>
        <w:r w:rsidR="00550FD4">
          <w:rPr>
            <w:noProof/>
            <w:webHidden/>
          </w:rPr>
          <w:tab/>
        </w:r>
        <w:r w:rsidR="00550FD4">
          <w:rPr>
            <w:noProof/>
            <w:webHidden/>
          </w:rPr>
          <w:fldChar w:fldCharType="begin"/>
        </w:r>
        <w:r w:rsidR="00550FD4">
          <w:rPr>
            <w:noProof/>
            <w:webHidden/>
          </w:rPr>
          <w:instrText xml:space="preserve"> PAGEREF _Toc161051011 \h </w:instrText>
        </w:r>
        <w:r w:rsidR="00550FD4">
          <w:rPr>
            <w:noProof/>
            <w:webHidden/>
          </w:rPr>
        </w:r>
        <w:r w:rsidR="00550FD4">
          <w:rPr>
            <w:noProof/>
            <w:webHidden/>
          </w:rPr>
          <w:fldChar w:fldCharType="separate"/>
        </w:r>
        <w:r>
          <w:rPr>
            <w:noProof/>
            <w:webHidden/>
          </w:rPr>
          <w:t>10</w:t>
        </w:r>
        <w:r w:rsidR="00550FD4">
          <w:rPr>
            <w:noProof/>
            <w:webHidden/>
          </w:rPr>
          <w:fldChar w:fldCharType="end"/>
        </w:r>
      </w:hyperlink>
    </w:p>
    <w:p w14:paraId="36E4C521" w14:textId="60251B99" w:rsidR="00550FD4" w:rsidRDefault="001F2BD7">
      <w:pPr>
        <w:pStyle w:val="TOC2"/>
        <w:rPr>
          <w:rFonts w:asciiTheme="minorHAnsi" w:eastAsiaTheme="minorEastAsia" w:hAnsiTheme="minorHAnsi" w:cstheme="minorBidi"/>
          <w:noProof/>
          <w:szCs w:val="22"/>
          <w:lang w:val="en-AU" w:eastAsia="en-AU"/>
        </w:rPr>
      </w:pPr>
      <w:hyperlink w:anchor="_Toc161051012" w:history="1">
        <w:r w:rsidR="00550FD4" w:rsidRPr="002D4EA8">
          <w:rPr>
            <w:rStyle w:val="Hyperlink"/>
            <w:noProof/>
          </w:rPr>
          <w:t>General</w:t>
        </w:r>
        <w:r w:rsidR="00550FD4">
          <w:rPr>
            <w:noProof/>
            <w:webHidden/>
          </w:rPr>
          <w:tab/>
        </w:r>
        <w:r w:rsidR="00550FD4">
          <w:rPr>
            <w:noProof/>
            <w:webHidden/>
          </w:rPr>
          <w:fldChar w:fldCharType="begin"/>
        </w:r>
        <w:r w:rsidR="00550FD4">
          <w:rPr>
            <w:noProof/>
            <w:webHidden/>
          </w:rPr>
          <w:instrText xml:space="preserve"> PAGEREF _Toc161051012 \h </w:instrText>
        </w:r>
        <w:r w:rsidR="00550FD4">
          <w:rPr>
            <w:noProof/>
            <w:webHidden/>
          </w:rPr>
        </w:r>
        <w:r w:rsidR="00550FD4">
          <w:rPr>
            <w:noProof/>
            <w:webHidden/>
          </w:rPr>
          <w:fldChar w:fldCharType="separate"/>
        </w:r>
        <w:r>
          <w:rPr>
            <w:noProof/>
            <w:webHidden/>
          </w:rPr>
          <w:t>10</w:t>
        </w:r>
        <w:r w:rsidR="00550FD4">
          <w:rPr>
            <w:noProof/>
            <w:webHidden/>
          </w:rPr>
          <w:fldChar w:fldCharType="end"/>
        </w:r>
      </w:hyperlink>
    </w:p>
    <w:p w14:paraId="016B5D6E" w14:textId="50D3BB15" w:rsidR="00550FD4" w:rsidRDefault="001F2BD7">
      <w:pPr>
        <w:pStyle w:val="TOC2"/>
        <w:rPr>
          <w:rFonts w:asciiTheme="minorHAnsi" w:eastAsiaTheme="minorEastAsia" w:hAnsiTheme="minorHAnsi" w:cstheme="minorBidi"/>
          <w:noProof/>
          <w:szCs w:val="22"/>
          <w:lang w:val="en-AU" w:eastAsia="en-AU"/>
        </w:rPr>
      </w:pPr>
      <w:hyperlink w:anchor="_Toc161051013" w:history="1">
        <w:r w:rsidR="00550FD4" w:rsidRPr="002D4EA8">
          <w:rPr>
            <w:rStyle w:val="Hyperlink"/>
            <w:noProof/>
          </w:rPr>
          <w:t>Risk assessment</w:t>
        </w:r>
        <w:r w:rsidR="00550FD4">
          <w:rPr>
            <w:noProof/>
            <w:webHidden/>
          </w:rPr>
          <w:tab/>
        </w:r>
        <w:r w:rsidR="00550FD4">
          <w:rPr>
            <w:noProof/>
            <w:webHidden/>
          </w:rPr>
          <w:fldChar w:fldCharType="begin"/>
        </w:r>
        <w:r w:rsidR="00550FD4">
          <w:rPr>
            <w:noProof/>
            <w:webHidden/>
          </w:rPr>
          <w:instrText xml:space="preserve"> PAGEREF _Toc161051013 \h </w:instrText>
        </w:r>
        <w:r w:rsidR="00550FD4">
          <w:rPr>
            <w:noProof/>
            <w:webHidden/>
          </w:rPr>
        </w:r>
        <w:r w:rsidR="00550FD4">
          <w:rPr>
            <w:noProof/>
            <w:webHidden/>
          </w:rPr>
          <w:fldChar w:fldCharType="separate"/>
        </w:r>
        <w:r>
          <w:rPr>
            <w:noProof/>
            <w:webHidden/>
          </w:rPr>
          <w:t>11</w:t>
        </w:r>
        <w:r w:rsidR="00550FD4">
          <w:rPr>
            <w:noProof/>
            <w:webHidden/>
          </w:rPr>
          <w:fldChar w:fldCharType="end"/>
        </w:r>
      </w:hyperlink>
    </w:p>
    <w:p w14:paraId="0EEC01A8" w14:textId="1D6B53E1" w:rsidR="00550FD4" w:rsidRDefault="001F2BD7">
      <w:pPr>
        <w:pStyle w:val="TOC2"/>
        <w:rPr>
          <w:rFonts w:asciiTheme="minorHAnsi" w:eastAsiaTheme="minorEastAsia" w:hAnsiTheme="minorHAnsi" w:cstheme="minorBidi"/>
          <w:noProof/>
          <w:szCs w:val="22"/>
          <w:lang w:val="en-AU" w:eastAsia="en-AU"/>
        </w:rPr>
      </w:pPr>
      <w:hyperlink w:anchor="_Toc161051014" w:history="1">
        <w:r w:rsidR="00550FD4" w:rsidRPr="002D4EA8">
          <w:rPr>
            <w:rStyle w:val="Hyperlink"/>
            <w:noProof/>
          </w:rPr>
          <w:t>Places</w:t>
        </w:r>
        <w:r w:rsidR="00550FD4">
          <w:rPr>
            <w:noProof/>
            <w:webHidden/>
          </w:rPr>
          <w:tab/>
        </w:r>
        <w:r w:rsidR="00550FD4">
          <w:rPr>
            <w:noProof/>
            <w:webHidden/>
          </w:rPr>
          <w:fldChar w:fldCharType="begin"/>
        </w:r>
        <w:r w:rsidR="00550FD4">
          <w:rPr>
            <w:noProof/>
            <w:webHidden/>
          </w:rPr>
          <w:instrText xml:space="preserve"> PAGEREF _Toc161051014 \h </w:instrText>
        </w:r>
        <w:r w:rsidR="00550FD4">
          <w:rPr>
            <w:noProof/>
            <w:webHidden/>
          </w:rPr>
        </w:r>
        <w:r w:rsidR="00550FD4">
          <w:rPr>
            <w:noProof/>
            <w:webHidden/>
          </w:rPr>
          <w:fldChar w:fldCharType="separate"/>
        </w:r>
        <w:r>
          <w:rPr>
            <w:noProof/>
            <w:webHidden/>
          </w:rPr>
          <w:t>11</w:t>
        </w:r>
        <w:r w:rsidR="00550FD4">
          <w:rPr>
            <w:noProof/>
            <w:webHidden/>
          </w:rPr>
          <w:fldChar w:fldCharType="end"/>
        </w:r>
      </w:hyperlink>
    </w:p>
    <w:p w14:paraId="0F084275" w14:textId="228CEC13" w:rsidR="00550FD4" w:rsidRDefault="001F2BD7">
      <w:pPr>
        <w:pStyle w:val="TOC2"/>
        <w:rPr>
          <w:rFonts w:asciiTheme="minorHAnsi" w:eastAsiaTheme="minorEastAsia" w:hAnsiTheme="minorHAnsi" w:cstheme="minorBidi"/>
          <w:noProof/>
          <w:szCs w:val="22"/>
          <w:lang w:val="en-AU" w:eastAsia="en-AU"/>
        </w:rPr>
      </w:pPr>
      <w:hyperlink w:anchor="_Toc161051015" w:history="1">
        <w:r w:rsidR="00550FD4" w:rsidRPr="002D4EA8">
          <w:rPr>
            <w:rStyle w:val="Hyperlink"/>
            <w:noProof/>
          </w:rPr>
          <w:t>Unsealed radioactive material and equipment</w:t>
        </w:r>
        <w:r w:rsidR="00550FD4">
          <w:rPr>
            <w:noProof/>
            <w:webHidden/>
          </w:rPr>
          <w:tab/>
        </w:r>
        <w:r w:rsidR="00550FD4">
          <w:rPr>
            <w:noProof/>
            <w:webHidden/>
          </w:rPr>
          <w:fldChar w:fldCharType="begin"/>
        </w:r>
        <w:r w:rsidR="00550FD4">
          <w:rPr>
            <w:noProof/>
            <w:webHidden/>
          </w:rPr>
          <w:instrText xml:space="preserve"> PAGEREF _Toc161051015 \h </w:instrText>
        </w:r>
        <w:r w:rsidR="00550FD4">
          <w:rPr>
            <w:noProof/>
            <w:webHidden/>
          </w:rPr>
        </w:r>
        <w:r w:rsidR="00550FD4">
          <w:rPr>
            <w:noProof/>
            <w:webHidden/>
          </w:rPr>
          <w:fldChar w:fldCharType="separate"/>
        </w:r>
        <w:r>
          <w:rPr>
            <w:noProof/>
            <w:webHidden/>
          </w:rPr>
          <w:t>13</w:t>
        </w:r>
        <w:r w:rsidR="00550FD4">
          <w:rPr>
            <w:noProof/>
            <w:webHidden/>
          </w:rPr>
          <w:fldChar w:fldCharType="end"/>
        </w:r>
      </w:hyperlink>
    </w:p>
    <w:p w14:paraId="4AEA38DD" w14:textId="017DF3F8" w:rsidR="00550FD4" w:rsidRDefault="001F2BD7">
      <w:pPr>
        <w:pStyle w:val="TOC2"/>
        <w:rPr>
          <w:rFonts w:asciiTheme="minorHAnsi" w:eastAsiaTheme="minorEastAsia" w:hAnsiTheme="minorHAnsi" w:cstheme="minorBidi"/>
          <w:noProof/>
          <w:szCs w:val="22"/>
          <w:lang w:val="en-AU" w:eastAsia="en-AU"/>
        </w:rPr>
      </w:pPr>
      <w:hyperlink w:anchor="_Toc161051016" w:history="1">
        <w:r w:rsidR="00550FD4" w:rsidRPr="002D4EA8">
          <w:rPr>
            <w:rStyle w:val="Hyperlink"/>
            <w:noProof/>
          </w:rPr>
          <w:t>Training and authorisation</w:t>
        </w:r>
        <w:r w:rsidR="00550FD4">
          <w:rPr>
            <w:noProof/>
            <w:webHidden/>
          </w:rPr>
          <w:tab/>
        </w:r>
        <w:r w:rsidR="00550FD4">
          <w:rPr>
            <w:noProof/>
            <w:webHidden/>
          </w:rPr>
          <w:fldChar w:fldCharType="begin"/>
        </w:r>
        <w:r w:rsidR="00550FD4">
          <w:rPr>
            <w:noProof/>
            <w:webHidden/>
          </w:rPr>
          <w:instrText xml:space="preserve"> PAGEREF _Toc161051016 \h </w:instrText>
        </w:r>
        <w:r w:rsidR="00550FD4">
          <w:rPr>
            <w:noProof/>
            <w:webHidden/>
          </w:rPr>
        </w:r>
        <w:r w:rsidR="00550FD4">
          <w:rPr>
            <w:noProof/>
            <w:webHidden/>
          </w:rPr>
          <w:fldChar w:fldCharType="separate"/>
        </w:r>
        <w:r>
          <w:rPr>
            <w:noProof/>
            <w:webHidden/>
          </w:rPr>
          <w:t>14</w:t>
        </w:r>
        <w:r w:rsidR="00550FD4">
          <w:rPr>
            <w:noProof/>
            <w:webHidden/>
          </w:rPr>
          <w:fldChar w:fldCharType="end"/>
        </w:r>
      </w:hyperlink>
    </w:p>
    <w:p w14:paraId="16945AE1" w14:textId="58502719" w:rsidR="00550FD4" w:rsidRDefault="001F2BD7">
      <w:pPr>
        <w:pStyle w:val="TOC2"/>
        <w:rPr>
          <w:rFonts w:asciiTheme="minorHAnsi" w:eastAsiaTheme="minorEastAsia" w:hAnsiTheme="minorHAnsi" w:cstheme="minorBidi"/>
          <w:noProof/>
          <w:szCs w:val="22"/>
          <w:lang w:val="en-AU" w:eastAsia="en-AU"/>
        </w:rPr>
      </w:pPr>
      <w:hyperlink w:anchor="_Toc161051017" w:history="1">
        <w:r w:rsidR="00550FD4" w:rsidRPr="002D4EA8">
          <w:rPr>
            <w:rStyle w:val="Hyperlink"/>
            <w:noProof/>
          </w:rPr>
          <w:t>Policies, procedures and local rules</w:t>
        </w:r>
        <w:r w:rsidR="00550FD4">
          <w:rPr>
            <w:noProof/>
            <w:webHidden/>
          </w:rPr>
          <w:tab/>
        </w:r>
        <w:r w:rsidR="00550FD4">
          <w:rPr>
            <w:noProof/>
            <w:webHidden/>
          </w:rPr>
          <w:fldChar w:fldCharType="begin"/>
        </w:r>
        <w:r w:rsidR="00550FD4">
          <w:rPr>
            <w:noProof/>
            <w:webHidden/>
          </w:rPr>
          <w:instrText xml:space="preserve"> PAGEREF _Toc161051017 \h </w:instrText>
        </w:r>
        <w:r w:rsidR="00550FD4">
          <w:rPr>
            <w:noProof/>
            <w:webHidden/>
          </w:rPr>
        </w:r>
        <w:r w:rsidR="00550FD4">
          <w:rPr>
            <w:noProof/>
            <w:webHidden/>
          </w:rPr>
          <w:fldChar w:fldCharType="separate"/>
        </w:r>
        <w:r>
          <w:rPr>
            <w:noProof/>
            <w:webHidden/>
          </w:rPr>
          <w:t>15</w:t>
        </w:r>
        <w:r w:rsidR="00550FD4">
          <w:rPr>
            <w:noProof/>
            <w:webHidden/>
          </w:rPr>
          <w:fldChar w:fldCharType="end"/>
        </w:r>
      </w:hyperlink>
    </w:p>
    <w:p w14:paraId="546F2AC6" w14:textId="0701DE0F" w:rsidR="00550FD4" w:rsidRDefault="001F2BD7">
      <w:pPr>
        <w:pStyle w:val="TOC2"/>
        <w:rPr>
          <w:rFonts w:asciiTheme="minorHAnsi" w:eastAsiaTheme="minorEastAsia" w:hAnsiTheme="minorHAnsi" w:cstheme="minorBidi"/>
          <w:noProof/>
          <w:szCs w:val="22"/>
          <w:lang w:val="en-AU" w:eastAsia="en-AU"/>
        </w:rPr>
      </w:pPr>
      <w:hyperlink w:anchor="_Toc161051018" w:history="1">
        <w:r w:rsidR="00550FD4" w:rsidRPr="002D4EA8">
          <w:rPr>
            <w:rStyle w:val="Hyperlink"/>
            <w:noProof/>
          </w:rPr>
          <w:t>Patient dosimetry</w:t>
        </w:r>
        <w:r w:rsidR="00550FD4">
          <w:rPr>
            <w:noProof/>
            <w:webHidden/>
          </w:rPr>
          <w:tab/>
        </w:r>
        <w:r w:rsidR="00550FD4">
          <w:rPr>
            <w:noProof/>
            <w:webHidden/>
          </w:rPr>
          <w:fldChar w:fldCharType="begin"/>
        </w:r>
        <w:r w:rsidR="00550FD4">
          <w:rPr>
            <w:noProof/>
            <w:webHidden/>
          </w:rPr>
          <w:instrText xml:space="preserve"> PAGEREF _Toc161051018 \h </w:instrText>
        </w:r>
        <w:r w:rsidR="00550FD4">
          <w:rPr>
            <w:noProof/>
            <w:webHidden/>
          </w:rPr>
        </w:r>
        <w:r w:rsidR="00550FD4">
          <w:rPr>
            <w:noProof/>
            <w:webHidden/>
          </w:rPr>
          <w:fldChar w:fldCharType="separate"/>
        </w:r>
        <w:r>
          <w:rPr>
            <w:noProof/>
            <w:webHidden/>
          </w:rPr>
          <w:t>16</w:t>
        </w:r>
        <w:r w:rsidR="00550FD4">
          <w:rPr>
            <w:noProof/>
            <w:webHidden/>
          </w:rPr>
          <w:fldChar w:fldCharType="end"/>
        </w:r>
      </w:hyperlink>
    </w:p>
    <w:p w14:paraId="47C8E13F" w14:textId="2D9F2E79" w:rsidR="00550FD4" w:rsidRDefault="001F2BD7">
      <w:pPr>
        <w:pStyle w:val="TOC2"/>
        <w:rPr>
          <w:rFonts w:asciiTheme="minorHAnsi" w:eastAsiaTheme="minorEastAsia" w:hAnsiTheme="minorHAnsi" w:cstheme="minorBidi"/>
          <w:noProof/>
          <w:szCs w:val="22"/>
          <w:lang w:val="en-AU" w:eastAsia="en-AU"/>
        </w:rPr>
      </w:pPr>
      <w:hyperlink w:anchor="_Toc161051019" w:history="1">
        <w:r w:rsidR="00550FD4" w:rsidRPr="002D4EA8">
          <w:rPr>
            <w:rStyle w:val="Hyperlink"/>
            <w:noProof/>
          </w:rPr>
          <w:t>Monitoring and measurement</w:t>
        </w:r>
        <w:r w:rsidR="00550FD4">
          <w:rPr>
            <w:noProof/>
            <w:webHidden/>
          </w:rPr>
          <w:tab/>
        </w:r>
        <w:r w:rsidR="00550FD4">
          <w:rPr>
            <w:noProof/>
            <w:webHidden/>
          </w:rPr>
          <w:fldChar w:fldCharType="begin"/>
        </w:r>
        <w:r w:rsidR="00550FD4">
          <w:rPr>
            <w:noProof/>
            <w:webHidden/>
          </w:rPr>
          <w:instrText xml:space="preserve"> PAGEREF _Toc161051019 \h </w:instrText>
        </w:r>
        <w:r w:rsidR="00550FD4">
          <w:rPr>
            <w:noProof/>
            <w:webHidden/>
          </w:rPr>
        </w:r>
        <w:r w:rsidR="00550FD4">
          <w:rPr>
            <w:noProof/>
            <w:webHidden/>
          </w:rPr>
          <w:fldChar w:fldCharType="separate"/>
        </w:r>
        <w:r>
          <w:rPr>
            <w:noProof/>
            <w:webHidden/>
          </w:rPr>
          <w:t>16</w:t>
        </w:r>
        <w:r w:rsidR="00550FD4">
          <w:rPr>
            <w:noProof/>
            <w:webHidden/>
          </w:rPr>
          <w:fldChar w:fldCharType="end"/>
        </w:r>
      </w:hyperlink>
    </w:p>
    <w:p w14:paraId="0075F646" w14:textId="3794314D" w:rsidR="00550FD4" w:rsidRDefault="001F2BD7">
      <w:pPr>
        <w:pStyle w:val="TOC2"/>
        <w:rPr>
          <w:rFonts w:asciiTheme="minorHAnsi" w:eastAsiaTheme="minorEastAsia" w:hAnsiTheme="minorHAnsi" w:cstheme="minorBidi"/>
          <w:noProof/>
          <w:szCs w:val="22"/>
          <w:lang w:val="en-AU" w:eastAsia="en-AU"/>
        </w:rPr>
      </w:pPr>
      <w:hyperlink w:anchor="_Toc161051020" w:history="1">
        <w:r w:rsidR="00550FD4" w:rsidRPr="002D4EA8">
          <w:rPr>
            <w:rStyle w:val="Hyperlink"/>
            <w:noProof/>
          </w:rPr>
          <w:t>Incidents, accidents and emergencies</w:t>
        </w:r>
        <w:r w:rsidR="00550FD4">
          <w:rPr>
            <w:noProof/>
            <w:webHidden/>
          </w:rPr>
          <w:tab/>
        </w:r>
        <w:r w:rsidR="00550FD4">
          <w:rPr>
            <w:noProof/>
            <w:webHidden/>
          </w:rPr>
          <w:fldChar w:fldCharType="begin"/>
        </w:r>
        <w:r w:rsidR="00550FD4">
          <w:rPr>
            <w:noProof/>
            <w:webHidden/>
          </w:rPr>
          <w:instrText xml:space="preserve"> PAGEREF _Toc161051020 \h </w:instrText>
        </w:r>
        <w:r w:rsidR="00550FD4">
          <w:rPr>
            <w:noProof/>
            <w:webHidden/>
          </w:rPr>
        </w:r>
        <w:r w:rsidR="00550FD4">
          <w:rPr>
            <w:noProof/>
            <w:webHidden/>
          </w:rPr>
          <w:fldChar w:fldCharType="separate"/>
        </w:r>
        <w:r>
          <w:rPr>
            <w:noProof/>
            <w:webHidden/>
          </w:rPr>
          <w:t>18</w:t>
        </w:r>
        <w:r w:rsidR="00550FD4">
          <w:rPr>
            <w:noProof/>
            <w:webHidden/>
          </w:rPr>
          <w:fldChar w:fldCharType="end"/>
        </w:r>
      </w:hyperlink>
    </w:p>
    <w:p w14:paraId="48757A60" w14:textId="28E8D3C6" w:rsidR="00550FD4" w:rsidRDefault="001F2BD7">
      <w:pPr>
        <w:pStyle w:val="TOC2"/>
        <w:rPr>
          <w:rFonts w:asciiTheme="minorHAnsi" w:eastAsiaTheme="minorEastAsia" w:hAnsiTheme="minorHAnsi" w:cstheme="minorBidi"/>
          <w:noProof/>
          <w:szCs w:val="22"/>
          <w:lang w:val="en-AU" w:eastAsia="en-AU"/>
        </w:rPr>
      </w:pPr>
      <w:hyperlink w:anchor="_Toc161051021" w:history="1">
        <w:r w:rsidR="00550FD4" w:rsidRPr="002D4EA8">
          <w:rPr>
            <w:rStyle w:val="Hyperlink"/>
            <w:noProof/>
          </w:rPr>
          <w:t>Records</w:t>
        </w:r>
        <w:r w:rsidR="00550FD4">
          <w:rPr>
            <w:noProof/>
            <w:webHidden/>
          </w:rPr>
          <w:tab/>
        </w:r>
        <w:r w:rsidR="00550FD4">
          <w:rPr>
            <w:noProof/>
            <w:webHidden/>
          </w:rPr>
          <w:fldChar w:fldCharType="begin"/>
        </w:r>
        <w:r w:rsidR="00550FD4">
          <w:rPr>
            <w:noProof/>
            <w:webHidden/>
          </w:rPr>
          <w:instrText xml:space="preserve"> PAGEREF _Toc161051021 \h </w:instrText>
        </w:r>
        <w:r w:rsidR="00550FD4">
          <w:rPr>
            <w:noProof/>
            <w:webHidden/>
          </w:rPr>
        </w:r>
        <w:r w:rsidR="00550FD4">
          <w:rPr>
            <w:noProof/>
            <w:webHidden/>
          </w:rPr>
          <w:fldChar w:fldCharType="separate"/>
        </w:r>
        <w:r>
          <w:rPr>
            <w:noProof/>
            <w:webHidden/>
          </w:rPr>
          <w:t>19</w:t>
        </w:r>
        <w:r w:rsidR="00550FD4">
          <w:rPr>
            <w:noProof/>
            <w:webHidden/>
          </w:rPr>
          <w:fldChar w:fldCharType="end"/>
        </w:r>
      </w:hyperlink>
    </w:p>
    <w:p w14:paraId="5DE48F63" w14:textId="38EF533D" w:rsidR="00550FD4" w:rsidRDefault="001F2BD7">
      <w:pPr>
        <w:pStyle w:val="TOC2"/>
        <w:rPr>
          <w:rFonts w:asciiTheme="minorHAnsi" w:eastAsiaTheme="minorEastAsia" w:hAnsiTheme="minorHAnsi" w:cstheme="minorBidi"/>
          <w:noProof/>
          <w:szCs w:val="22"/>
          <w:lang w:val="en-AU" w:eastAsia="en-AU"/>
        </w:rPr>
      </w:pPr>
      <w:hyperlink w:anchor="_Toc161051022" w:history="1">
        <w:r w:rsidR="00550FD4" w:rsidRPr="002D4EA8">
          <w:rPr>
            <w:rStyle w:val="Hyperlink"/>
            <w:noProof/>
          </w:rPr>
          <w:t>Quality assurance</w:t>
        </w:r>
        <w:r w:rsidR="00550FD4">
          <w:rPr>
            <w:noProof/>
            <w:webHidden/>
          </w:rPr>
          <w:tab/>
        </w:r>
        <w:r w:rsidR="00550FD4">
          <w:rPr>
            <w:noProof/>
            <w:webHidden/>
          </w:rPr>
          <w:fldChar w:fldCharType="begin"/>
        </w:r>
        <w:r w:rsidR="00550FD4">
          <w:rPr>
            <w:noProof/>
            <w:webHidden/>
          </w:rPr>
          <w:instrText xml:space="preserve"> PAGEREF _Toc161051022 \h </w:instrText>
        </w:r>
        <w:r w:rsidR="00550FD4">
          <w:rPr>
            <w:noProof/>
            <w:webHidden/>
          </w:rPr>
        </w:r>
        <w:r w:rsidR="00550FD4">
          <w:rPr>
            <w:noProof/>
            <w:webHidden/>
          </w:rPr>
          <w:fldChar w:fldCharType="separate"/>
        </w:r>
        <w:r>
          <w:rPr>
            <w:noProof/>
            <w:webHidden/>
          </w:rPr>
          <w:t>19</w:t>
        </w:r>
        <w:r w:rsidR="00550FD4">
          <w:rPr>
            <w:noProof/>
            <w:webHidden/>
          </w:rPr>
          <w:fldChar w:fldCharType="end"/>
        </w:r>
      </w:hyperlink>
    </w:p>
    <w:p w14:paraId="245DBE74" w14:textId="06DC0374" w:rsidR="00550FD4" w:rsidRDefault="001F2BD7">
      <w:pPr>
        <w:pStyle w:val="TOC2"/>
        <w:rPr>
          <w:rFonts w:asciiTheme="minorHAnsi" w:eastAsiaTheme="minorEastAsia" w:hAnsiTheme="minorHAnsi" w:cstheme="minorBidi"/>
          <w:noProof/>
          <w:szCs w:val="22"/>
          <w:lang w:val="en-AU" w:eastAsia="en-AU"/>
        </w:rPr>
      </w:pPr>
      <w:hyperlink w:anchor="_Toc161051023" w:history="1">
        <w:r w:rsidR="00550FD4" w:rsidRPr="002D4EA8">
          <w:rPr>
            <w:rStyle w:val="Hyperlink"/>
            <w:noProof/>
          </w:rPr>
          <w:t>Discharge of a patient who has undergone therapy</w:t>
        </w:r>
        <w:r w:rsidR="00550FD4">
          <w:rPr>
            <w:noProof/>
            <w:webHidden/>
          </w:rPr>
          <w:tab/>
        </w:r>
        <w:r w:rsidR="00550FD4">
          <w:rPr>
            <w:noProof/>
            <w:webHidden/>
          </w:rPr>
          <w:fldChar w:fldCharType="begin"/>
        </w:r>
        <w:r w:rsidR="00550FD4">
          <w:rPr>
            <w:noProof/>
            <w:webHidden/>
          </w:rPr>
          <w:instrText xml:space="preserve"> PAGEREF _Toc161051023 \h </w:instrText>
        </w:r>
        <w:r w:rsidR="00550FD4">
          <w:rPr>
            <w:noProof/>
            <w:webHidden/>
          </w:rPr>
        </w:r>
        <w:r w:rsidR="00550FD4">
          <w:rPr>
            <w:noProof/>
            <w:webHidden/>
          </w:rPr>
          <w:fldChar w:fldCharType="separate"/>
        </w:r>
        <w:r>
          <w:rPr>
            <w:noProof/>
            <w:webHidden/>
          </w:rPr>
          <w:t>21</w:t>
        </w:r>
        <w:r w:rsidR="00550FD4">
          <w:rPr>
            <w:noProof/>
            <w:webHidden/>
          </w:rPr>
          <w:fldChar w:fldCharType="end"/>
        </w:r>
      </w:hyperlink>
    </w:p>
    <w:p w14:paraId="3B603ACA" w14:textId="78091361" w:rsidR="00550FD4" w:rsidRDefault="001F2BD7">
      <w:pPr>
        <w:pStyle w:val="TOC1"/>
        <w:rPr>
          <w:rFonts w:asciiTheme="minorHAnsi" w:eastAsiaTheme="minorEastAsia" w:hAnsiTheme="minorHAnsi" w:cstheme="minorBidi"/>
          <w:noProof/>
          <w:sz w:val="22"/>
          <w:szCs w:val="22"/>
          <w:lang w:val="en-AU" w:eastAsia="en-AU"/>
        </w:rPr>
      </w:pPr>
      <w:hyperlink w:anchor="_Toc161051024" w:history="1">
        <w:r w:rsidR="00550FD4" w:rsidRPr="002D4EA8">
          <w:rPr>
            <w:rStyle w:val="Hyperlink"/>
            <w:noProof/>
          </w:rPr>
          <w:t>Radiation practitioner</w:t>
        </w:r>
        <w:r w:rsidR="00550FD4">
          <w:rPr>
            <w:noProof/>
            <w:webHidden/>
          </w:rPr>
          <w:tab/>
        </w:r>
        <w:r w:rsidR="00550FD4">
          <w:rPr>
            <w:noProof/>
            <w:webHidden/>
          </w:rPr>
          <w:fldChar w:fldCharType="begin"/>
        </w:r>
        <w:r w:rsidR="00550FD4">
          <w:rPr>
            <w:noProof/>
            <w:webHidden/>
          </w:rPr>
          <w:instrText xml:space="preserve"> PAGEREF _Toc161051024 \h </w:instrText>
        </w:r>
        <w:r w:rsidR="00550FD4">
          <w:rPr>
            <w:noProof/>
            <w:webHidden/>
          </w:rPr>
        </w:r>
        <w:r w:rsidR="00550FD4">
          <w:rPr>
            <w:noProof/>
            <w:webHidden/>
          </w:rPr>
          <w:fldChar w:fldCharType="separate"/>
        </w:r>
        <w:r>
          <w:rPr>
            <w:noProof/>
            <w:webHidden/>
          </w:rPr>
          <w:t>22</w:t>
        </w:r>
        <w:r w:rsidR="00550FD4">
          <w:rPr>
            <w:noProof/>
            <w:webHidden/>
          </w:rPr>
          <w:fldChar w:fldCharType="end"/>
        </w:r>
      </w:hyperlink>
    </w:p>
    <w:p w14:paraId="75BC1845" w14:textId="2AA9A4A4" w:rsidR="00550FD4" w:rsidRDefault="001F2BD7">
      <w:pPr>
        <w:pStyle w:val="TOC2"/>
        <w:rPr>
          <w:rFonts w:asciiTheme="minorHAnsi" w:eastAsiaTheme="minorEastAsia" w:hAnsiTheme="minorHAnsi" w:cstheme="minorBidi"/>
          <w:noProof/>
          <w:szCs w:val="22"/>
          <w:lang w:val="en-AU" w:eastAsia="en-AU"/>
        </w:rPr>
      </w:pPr>
      <w:hyperlink w:anchor="_Toc161051025" w:history="1">
        <w:r w:rsidR="00550FD4" w:rsidRPr="002D4EA8">
          <w:rPr>
            <w:rStyle w:val="Hyperlink"/>
            <w:noProof/>
          </w:rPr>
          <w:t>General</w:t>
        </w:r>
        <w:r w:rsidR="00550FD4">
          <w:rPr>
            <w:noProof/>
            <w:webHidden/>
          </w:rPr>
          <w:tab/>
        </w:r>
        <w:r w:rsidR="00550FD4">
          <w:rPr>
            <w:noProof/>
            <w:webHidden/>
          </w:rPr>
          <w:fldChar w:fldCharType="begin"/>
        </w:r>
        <w:r w:rsidR="00550FD4">
          <w:rPr>
            <w:noProof/>
            <w:webHidden/>
          </w:rPr>
          <w:instrText xml:space="preserve"> PAGEREF _Toc161051025 \h </w:instrText>
        </w:r>
        <w:r w:rsidR="00550FD4">
          <w:rPr>
            <w:noProof/>
            <w:webHidden/>
          </w:rPr>
        </w:r>
        <w:r w:rsidR="00550FD4">
          <w:rPr>
            <w:noProof/>
            <w:webHidden/>
          </w:rPr>
          <w:fldChar w:fldCharType="separate"/>
        </w:r>
        <w:r>
          <w:rPr>
            <w:noProof/>
            <w:webHidden/>
          </w:rPr>
          <w:t>22</w:t>
        </w:r>
        <w:r w:rsidR="00550FD4">
          <w:rPr>
            <w:noProof/>
            <w:webHidden/>
          </w:rPr>
          <w:fldChar w:fldCharType="end"/>
        </w:r>
      </w:hyperlink>
    </w:p>
    <w:p w14:paraId="4BFBF472" w14:textId="1F9392C3" w:rsidR="00550FD4" w:rsidRDefault="001F2BD7">
      <w:pPr>
        <w:pStyle w:val="TOC2"/>
        <w:rPr>
          <w:rFonts w:asciiTheme="minorHAnsi" w:eastAsiaTheme="minorEastAsia" w:hAnsiTheme="minorHAnsi" w:cstheme="minorBidi"/>
          <w:noProof/>
          <w:szCs w:val="22"/>
          <w:lang w:val="en-AU" w:eastAsia="en-AU"/>
        </w:rPr>
      </w:pPr>
      <w:hyperlink w:anchor="_Toc161051026" w:history="1">
        <w:r w:rsidR="00550FD4" w:rsidRPr="002D4EA8">
          <w:rPr>
            <w:rStyle w:val="Hyperlink"/>
            <w:noProof/>
          </w:rPr>
          <w:t>Justification</w:t>
        </w:r>
        <w:r w:rsidR="00550FD4">
          <w:rPr>
            <w:noProof/>
            <w:webHidden/>
          </w:rPr>
          <w:tab/>
        </w:r>
        <w:r w:rsidR="00550FD4">
          <w:rPr>
            <w:noProof/>
            <w:webHidden/>
          </w:rPr>
          <w:fldChar w:fldCharType="begin"/>
        </w:r>
        <w:r w:rsidR="00550FD4">
          <w:rPr>
            <w:noProof/>
            <w:webHidden/>
          </w:rPr>
          <w:instrText xml:space="preserve"> PAGEREF _Toc161051026 \h </w:instrText>
        </w:r>
        <w:r w:rsidR="00550FD4">
          <w:rPr>
            <w:noProof/>
            <w:webHidden/>
          </w:rPr>
        </w:r>
        <w:r w:rsidR="00550FD4">
          <w:rPr>
            <w:noProof/>
            <w:webHidden/>
          </w:rPr>
          <w:fldChar w:fldCharType="separate"/>
        </w:r>
        <w:r>
          <w:rPr>
            <w:noProof/>
            <w:webHidden/>
          </w:rPr>
          <w:t>22</w:t>
        </w:r>
        <w:r w:rsidR="00550FD4">
          <w:rPr>
            <w:noProof/>
            <w:webHidden/>
          </w:rPr>
          <w:fldChar w:fldCharType="end"/>
        </w:r>
      </w:hyperlink>
    </w:p>
    <w:p w14:paraId="1BDD8A1D" w14:textId="5E177231" w:rsidR="00550FD4" w:rsidRDefault="001F2BD7">
      <w:pPr>
        <w:pStyle w:val="TOC2"/>
        <w:rPr>
          <w:rFonts w:asciiTheme="minorHAnsi" w:eastAsiaTheme="minorEastAsia" w:hAnsiTheme="minorHAnsi" w:cstheme="minorBidi"/>
          <w:noProof/>
          <w:szCs w:val="22"/>
          <w:lang w:val="en-AU" w:eastAsia="en-AU"/>
        </w:rPr>
      </w:pPr>
      <w:hyperlink w:anchor="_Toc161051027" w:history="1">
        <w:r w:rsidR="00550FD4" w:rsidRPr="002D4EA8">
          <w:rPr>
            <w:rStyle w:val="Hyperlink"/>
            <w:noProof/>
          </w:rPr>
          <w:t>Optimisation</w:t>
        </w:r>
        <w:r w:rsidR="00550FD4">
          <w:rPr>
            <w:noProof/>
            <w:webHidden/>
          </w:rPr>
          <w:tab/>
        </w:r>
        <w:r w:rsidR="00550FD4">
          <w:rPr>
            <w:noProof/>
            <w:webHidden/>
          </w:rPr>
          <w:fldChar w:fldCharType="begin"/>
        </w:r>
        <w:r w:rsidR="00550FD4">
          <w:rPr>
            <w:noProof/>
            <w:webHidden/>
          </w:rPr>
          <w:instrText xml:space="preserve"> PAGEREF _Toc161051027 \h </w:instrText>
        </w:r>
        <w:r w:rsidR="00550FD4">
          <w:rPr>
            <w:noProof/>
            <w:webHidden/>
          </w:rPr>
        </w:r>
        <w:r w:rsidR="00550FD4">
          <w:rPr>
            <w:noProof/>
            <w:webHidden/>
          </w:rPr>
          <w:fldChar w:fldCharType="separate"/>
        </w:r>
        <w:r>
          <w:rPr>
            <w:noProof/>
            <w:webHidden/>
          </w:rPr>
          <w:t>22</w:t>
        </w:r>
        <w:r w:rsidR="00550FD4">
          <w:rPr>
            <w:noProof/>
            <w:webHidden/>
          </w:rPr>
          <w:fldChar w:fldCharType="end"/>
        </w:r>
      </w:hyperlink>
    </w:p>
    <w:p w14:paraId="1D084611" w14:textId="2FB26479" w:rsidR="00550FD4" w:rsidRDefault="001F2BD7">
      <w:pPr>
        <w:pStyle w:val="TOC1"/>
        <w:rPr>
          <w:rFonts w:asciiTheme="minorHAnsi" w:eastAsiaTheme="minorEastAsia" w:hAnsiTheme="minorHAnsi" w:cstheme="minorBidi"/>
          <w:noProof/>
          <w:sz w:val="22"/>
          <w:szCs w:val="22"/>
          <w:lang w:val="en-AU" w:eastAsia="en-AU"/>
        </w:rPr>
      </w:pPr>
      <w:hyperlink w:anchor="_Toc161051028" w:history="1">
        <w:r w:rsidR="00550FD4" w:rsidRPr="002D4EA8">
          <w:rPr>
            <w:rStyle w:val="Hyperlink"/>
            <w:noProof/>
          </w:rPr>
          <w:t>Other parties</w:t>
        </w:r>
        <w:r w:rsidR="00550FD4">
          <w:rPr>
            <w:noProof/>
            <w:webHidden/>
          </w:rPr>
          <w:tab/>
        </w:r>
        <w:r w:rsidR="00550FD4">
          <w:rPr>
            <w:noProof/>
            <w:webHidden/>
          </w:rPr>
          <w:fldChar w:fldCharType="begin"/>
        </w:r>
        <w:r w:rsidR="00550FD4">
          <w:rPr>
            <w:noProof/>
            <w:webHidden/>
          </w:rPr>
          <w:instrText xml:space="preserve"> PAGEREF _Toc161051028 \h </w:instrText>
        </w:r>
        <w:r w:rsidR="00550FD4">
          <w:rPr>
            <w:noProof/>
            <w:webHidden/>
          </w:rPr>
        </w:r>
        <w:r w:rsidR="00550FD4">
          <w:rPr>
            <w:noProof/>
            <w:webHidden/>
          </w:rPr>
          <w:fldChar w:fldCharType="separate"/>
        </w:r>
        <w:r>
          <w:rPr>
            <w:noProof/>
            <w:webHidden/>
          </w:rPr>
          <w:t>24</w:t>
        </w:r>
        <w:r w:rsidR="00550FD4">
          <w:rPr>
            <w:noProof/>
            <w:webHidden/>
          </w:rPr>
          <w:fldChar w:fldCharType="end"/>
        </w:r>
      </w:hyperlink>
    </w:p>
    <w:p w14:paraId="6174B13F" w14:textId="50E69E8A" w:rsidR="00550FD4" w:rsidRDefault="001F2BD7">
      <w:pPr>
        <w:pStyle w:val="TOC2"/>
        <w:rPr>
          <w:rFonts w:asciiTheme="minorHAnsi" w:eastAsiaTheme="minorEastAsia" w:hAnsiTheme="minorHAnsi" w:cstheme="minorBidi"/>
          <w:noProof/>
          <w:szCs w:val="22"/>
          <w:lang w:val="en-AU" w:eastAsia="en-AU"/>
        </w:rPr>
      </w:pPr>
      <w:hyperlink w:anchor="_Toc161051029" w:history="1">
        <w:r w:rsidR="00550FD4" w:rsidRPr="002D4EA8">
          <w:rPr>
            <w:rStyle w:val="Hyperlink"/>
            <w:noProof/>
          </w:rPr>
          <w:t>Manufacturer/supplier</w:t>
        </w:r>
        <w:r w:rsidR="00550FD4">
          <w:rPr>
            <w:noProof/>
            <w:webHidden/>
          </w:rPr>
          <w:tab/>
        </w:r>
        <w:r w:rsidR="00550FD4">
          <w:rPr>
            <w:noProof/>
            <w:webHidden/>
          </w:rPr>
          <w:fldChar w:fldCharType="begin"/>
        </w:r>
        <w:r w:rsidR="00550FD4">
          <w:rPr>
            <w:noProof/>
            <w:webHidden/>
          </w:rPr>
          <w:instrText xml:space="preserve"> PAGEREF _Toc161051029 \h </w:instrText>
        </w:r>
        <w:r w:rsidR="00550FD4">
          <w:rPr>
            <w:noProof/>
            <w:webHidden/>
          </w:rPr>
        </w:r>
        <w:r w:rsidR="00550FD4">
          <w:rPr>
            <w:noProof/>
            <w:webHidden/>
          </w:rPr>
          <w:fldChar w:fldCharType="separate"/>
        </w:r>
        <w:r>
          <w:rPr>
            <w:noProof/>
            <w:webHidden/>
          </w:rPr>
          <w:t>24</w:t>
        </w:r>
        <w:r w:rsidR="00550FD4">
          <w:rPr>
            <w:noProof/>
            <w:webHidden/>
          </w:rPr>
          <w:fldChar w:fldCharType="end"/>
        </w:r>
      </w:hyperlink>
    </w:p>
    <w:p w14:paraId="54C0AB22" w14:textId="1CA05E6C" w:rsidR="00550FD4" w:rsidRDefault="001F2BD7">
      <w:pPr>
        <w:pStyle w:val="TOC1"/>
        <w:rPr>
          <w:rFonts w:asciiTheme="minorHAnsi" w:eastAsiaTheme="minorEastAsia" w:hAnsiTheme="minorHAnsi" w:cstheme="minorBidi"/>
          <w:noProof/>
          <w:sz w:val="22"/>
          <w:szCs w:val="22"/>
          <w:lang w:val="en-AU" w:eastAsia="en-AU"/>
        </w:rPr>
      </w:pPr>
      <w:hyperlink w:anchor="_Toc161051030" w:history="1">
        <w:r w:rsidR="00550FD4" w:rsidRPr="002D4EA8">
          <w:rPr>
            <w:rStyle w:val="Hyperlink"/>
            <w:noProof/>
          </w:rPr>
          <w:t>Appendix 1: Cross-reference to Radiation Safety Act 2016</w:t>
        </w:r>
        <w:r w:rsidR="00550FD4">
          <w:rPr>
            <w:noProof/>
            <w:webHidden/>
          </w:rPr>
          <w:tab/>
        </w:r>
        <w:r w:rsidR="00550FD4">
          <w:rPr>
            <w:noProof/>
            <w:webHidden/>
          </w:rPr>
          <w:fldChar w:fldCharType="begin"/>
        </w:r>
        <w:r w:rsidR="00550FD4">
          <w:rPr>
            <w:noProof/>
            <w:webHidden/>
          </w:rPr>
          <w:instrText xml:space="preserve"> PAGEREF _Toc161051030 \h </w:instrText>
        </w:r>
        <w:r w:rsidR="00550FD4">
          <w:rPr>
            <w:noProof/>
            <w:webHidden/>
          </w:rPr>
        </w:r>
        <w:r w:rsidR="00550FD4">
          <w:rPr>
            <w:noProof/>
            <w:webHidden/>
          </w:rPr>
          <w:fldChar w:fldCharType="separate"/>
        </w:r>
        <w:r>
          <w:rPr>
            <w:noProof/>
            <w:webHidden/>
          </w:rPr>
          <w:t>25</w:t>
        </w:r>
        <w:r w:rsidR="00550FD4">
          <w:rPr>
            <w:noProof/>
            <w:webHidden/>
          </w:rPr>
          <w:fldChar w:fldCharType="end"/>
        </w:r>
      </w:hyperlink>
    </w:p>
    <w:p w14:paraId="7E720ABE" w14:textId="4050F67A" w:rsidR="00550FD4" w:rsidRDefault="001F2BD7">
      <w:pPr>
        <w:pStyle w:val="TOC1"/>
        <w:rPr>
          <w:rFonts w:asciiTheme="minorHAnsi" w:eastAsiaTheme="minorEastAsia" w:hAnsiTheme="minorHAnsi" w:cstheme="minorBidi"/>
          <w:noProof/>
          <w:sz w:val="22"/>
          <w:szCs w:val="22"/>
          <w:lang w:val="en-AU" w:eastAsia="en-AU"/>
        </w:rPr>
      </w:pPr>
      <w:hyperlink w:anchor="_Toc161051031" w:history="1">
        <w:r w:rsidR="00550FD4" w:rsidRPr="002D4EA8">
          <w:rPr>
            <w:rStyle w:val="Hyperlink"/>
            <w:noProof/>
          </w:rPr>
          <w:t>Appendix 2: Training requirements for radiation safety officers</w:t>
        </w:r>
        <w:r w:rsidR="00550FD4">
          <w:rPr>
            <w:noProof/>
            <w:webHidden/>
          </w:rPr>
          <w:tab/>
        </w:r>
        <w:r w:rsidR="00550FD4">
          <w:rPr>
            <w:noProof/>
            <w:webHidden/>
          </w:rPr>
          <w:fldChar w:fldCharType="begin"/>
        </w:r>
        <w:r w:rsidR="00550FD4">
          <w:rPr>
            <w:noProof/>
            <w:webHidden/>
          </w:rPr>
          <w:instrText xml:space="preserve"> PAGEREF _Toc161051031 \h </w:instrText>
        </w:r>
        <w:r w:rsidR="00550FD4">
          <w:rPr>
            <w:noProof/>
            <w:webHidden/>
          </w:rPr>
        </w:r>
        <w:r w:rsidR="00550FD4">
          <w:rPr>
            <w:noProof/>
            <w:webHidden/>
          </w:rPr>
          <w:fldChar w:fldCharType="separate"/>
        </w:r>
        <w:r>
          <w:rPr>
            <w:noProof/>
            <w:webHidden/>
          </w:rPr>
          <w:t>26</w:t>
        </w:r>
        <w:r w:rsidR="00550FD4">
          <w:rPr>
            <w:noProof/>
            <w:webHidden/>
          </w:rPr>
          <w:fldChar w:fldCharType="end"/>
        </w:r>
      </w:hyperlink>
    </w:p>
    <w:p w14:paraId="5544BCFB" w14:textId="651325C1" w:rsidR="002C6103" w:rsidRDefault="001F2BD7" w:rsidP="00550FD4">
      <w:pPr>
        <w:pStyle w:val="TOC1"/>
      </w:pPr>
      <w:hyperlink w:anchor="_Toc161051032" w:history="1">
        <w:r w:rsidR="00550FD4" w:rsidRPr="002D4EA8">
          <w:rPr>
            <w:rStyle w:val="Hyperlink"/>
            <w:noProof/>
          </w:rPr>
          <w:t>Submission form for revised C2 2024</w:t>
        </w:r>
        <w:r w:rsidR="00550FD4">
          <w:rPr>
            <w:noProof/>
            <w:webHidden/>
          </w:rPr>
          <w:tab/>
        </w:r>
        <w:r w:rsidR="00550FD4">
          <w:rPr>
            <w:noProof/>
            <w:webHidden/>
          </w:rPr>
          <w:fldChar w:fldCharType="begin"/>
        </w:r>
        <w:r w:rsidR="00550FD4">
          <w:rPr>
            <w:noProof/>
            <w:webHidden/>
          </w:rPr>
          <w:instrText xml:space="preserve"> PAGEREF _Toc161051032 \h </w:instrText>
        </w:r>
        <w:r w:rsidR="00550FD4">
          <w:rPr>
            <w:noProof/>
            <w:webHidden/>
          </w:rPr>
        </w:r>
        <w:r w:rsidR="00550FD4">
          <w:rPr>
            <w:noProof/>
            <w:webHidden/>
          </w:rPr>
          <w:fldChar w:fldCharType="separate"/>
        </w:r>
        <w:r>
          <w:rPr>
            <w:noProof/>
            <w:webHidden/>
          </w:rPr>
          <w:t>28</w:t>
        </w:r>
        <w:r w:rsidR="00550FD4">
          <w:rPr>
            <w:noProof/>
            <w:webHidden/>
          </w:rPr>
          <w:fldChar w:fldCharType="end"/>
        </w:r>
      </w:hyperlink>
      <w:r w:rsidR="002C6103">
        <w:rPr>
          <w:b/>
        </w:rPr>
        <w:fldChar w:fldCharType="end"/>
      </w:r>
    </w:p>
    <w:p w14:paraId="77A28262" w14:textId="77777777" w:rsidR="00906FB1" w:rsidRPr="00A11439" w:rsidRDefault="00906FB1" w:rsidP="00A11439">
      <w:pPr>
        <w:pStyle w:val="Heading1"/>
      </w:pPr>
      <w:bookmarkStart w:id="6" w:name="_Toc144957752"/>
      <w:bookmarkStart w:id="7" w:name="_Toc161051002"/>
      <w:r w:rsidRPr="00A11439">
        <w:lastRenderedPageBreak/>
        <w:t>This consultation</w:t>
      </w:r>
      <w:bookmarkEnd w:id="6"/>
      <w:bookmarkEnd w:id="7"/>
      <w:r w:rsidRPr="00A11439">
        <w:t xml:space="preserve"> </w:t>
      </w:r>
    </w:p>
    <w:p w14:paraId="7B4AF056" w14:textId="3874B82A" w:rsidR="001E5E02" w:rsidRPr="00475EAB" w:rsidRDefault="00906FB1" w:rsidP="001E5E02">
      <w:bookmarkStart w:id="8" w:name="_Hlk161044601"/>
      <w:r w:rsidRPr="00475EAB">
        <w:t xml:space="preserve">This document sets out the revised </w:t>
      </w:r>
      <w:r w:rsidR="000472DC" w:rsidRPr="003D5538">
        <w:rPr>
          <w:bCs/>
        </w:rPr>
        <w:t>Code of Practice for Nuclear Medicine</w:t>
      </w:r>
      <w:r w:rsidR="00933CEF">
        <w:rPr>
          <w:bCs/>
        </w:rPr>
        <w:t>:</w:t>
      </w:r>
      <w:r w:rsidR="00975831">
        <w:rPr>
          <w:bCs/>
        </w:rPr>
        <w:t xml:space="preserve"> </w:t>
      </w:r>
      <w:r w:rsidR="00975831" w:rsidRPr="003D5538">
        <w:rPr>
          <w:bCs/>
        </w:rPr>
        <w:t>ORS C2</w:t>
      </w:r>
      <w:r w:rsidR="00933CEF">
        <w:rPr>
          <w:bCs/>
        </w:rPr>
        <w:t xml:space="preserve"> </w:t>
      </w:r>
      <w:r w:rsidRPr="00475EAB">
        <w:t xml:space="preserve">(revised </w:t>
      </w:r>
      <w:r w:rsidR="000C35BC">
        <w:t>C2</w:t>
      </w:r>
      <w:r w:rsidRPr="00475EAB">
        <w:t xml:space="preserve">). </w:t>
      </w:r>
      <w:r w:rsidR="001E5E02" w:rsidRPr="00475EAB">
        <w:t>The Director for Radiation Safety (</w:t>
      </w:r>
      <w:r w:rsidR="001E5E02">
        <w:t>the Director</w:t>
      </w:r>
      <w:r w:rsidR="001E5E02" w:rsidRPr="00475EAB">
        <w:t xml:space="preserve">) proposes to issue </w:t>
      </w:r>
      <w:r w:rsidR="001E5E02">
        <w:t xml:space="preserve">a </w:t>
      </w:r>
      <w:r w:rsidR="00DD7C7F">
        <w:t xml:space="preserve">further </w:t>
      </w:r>
      <w:r w:rsidR="001E5E02">
        <w:t>revised</w:t>
      </w:r>
      <w:r w:rsidR="001E5E02" w:rsidRPr="00475EAB">
        <w:t xml:space="preserve"> </w:t>
      </w:r>
      <w:r w:rsidR="001E5E02">
        <w:t>C</w:t>
      </w:r>
      <w:r w:rsidR="00E70603">
        <w:t>2</w:t>
      </w:r>
      <w:r w:rsidR="001E5E02">
        <w:t>,</w:t>
      </w:r>
      <w:r w:rsidR="001E5E02" w:rsidRPr="00475EAB">
        <w:t xml:space="preserve"> </w:t>
      </w:r>
      <w:r w:rsidR="001E5E02">
        <w:t xml:space="preserve">with amendments and revocations, </w:t>
      </w:r>
      <w:r w:rsidR="001E5E02" w:rsidRPr="00475EAB">
        <w:t xml:space="preserve">under </w:t>
      </w:r>
      <w:hyperlink r:id="rId18" w:history="1">
        <w:r w:rsidR="001E5E02">
          <w:rPr>
            <w:rStyle w:val="Hyperlink"/>
          </w:rPr>
          <w:t>section 86</w:t>
        </w:r>
      </w:hyperlink>
      <w:r w:rsidR="001E5E02" w:rsidRPr="00592810">
        <w:rPr>
          <w:rStyle w:val="Hyperlink"/>
          <w:b w:val="0"/>
          <w:bCs/>
        </w:rPr>
        <w:t xml:space="preserve"> </w:t>
      </w:r>
      <w:r w:rsidR="001E5E02" w:rsidRPr="00475EAB">
        <w:t>of the Radiation Safety Act 2016 (the Act).</w:t>
      </w:r>
      <w:r w:rsidR="001E5E02">
        <w:t xml:space="preserve"> </w:t>
      </w:r>
      <w:hyperlink r:id="rId19" w:history="1">
        <w:r w:rsidR="001E5E02" w:rsidRPr="005451D6">
          <w:rPr>
            <w:rStyle w:val="Hyperlink"/>
          </w:rPr>
          <w:t>Section 8</w:t>
        </w:r>
        <w:r w:rsidR="00E70603">
          <w:rPr>
            <w:rStyle w:val="Hyperlink"/>
          </w:rPr>
          <w:t>9(1)</w:t>
        </w:r>
      </w:hyperlink>
      <w:r w:rsidR="001E5E02">
        <w:t xml:space="preserve"> of the Act allows the Director to amended or revoked a code of practice (code).</w:t>
      </w:r>
    </w:p>
    <w:p w14:paraId="7827E5BF" w14:textId="77777777" w:rsidR="00906FB1" w:rsidRPr="00475EAB" w:rsidRDefault="00906FB1" w:rsidP="00906FB1"/>
    <w:p w14:paraId="211C2444" w14:textId="6E1C4BC4" w:rsidR="00DD7C7F" w:rsidRDefault="00906FB1" w:rsidP="00906FB1">
      <w:r>
        <w:t>Th</w:t>
      </w:r>
      <w:r w:rsidR="00D2425F">
        <w:t>is</w:t>
      </w:r>
      <w:r>
        <w:t xml:space="preserve"> r</w:t>
      </w:r>
      <w:r w:rsidRPr="00475EAB">
        <w:t xml:space="preserve">evised </w:t>
      </w:r>
      <w:r w:rsidR="000C35BC">
        <w:t>C2</w:t>
      </w:r>
      <w:r w:rsidRPr="00475EAB">
        <w:t xml:space="preserve"> has been </w:t>
      </w:r>
      <w:r w:rsidR="006360FA">
        <w:t xml:space="preserve">drafted </w:t>
      </w:r>
      <w:r w:rsidR="005F5AB1">
        <w:t xml:space="preserve">following </w:t>
      </w:r>
      <w:r w:rsidR="006360FA">
        <w:t xml:space="preserve">the </w:t>
      </w:r>
      <w:r w:rsidRPr="00475EAB">
        <w:t xml:space="preserve">review </w:t>
      </w:r>
      <w:r w:rsidR="006360FA">
        <w:t xml:space="preserve">under </w:t>
      </w:r>
      <w:hyperlink r:id="rId20" w:history="1">
        <w:r w:rsidR="003176F7">
          <w:rPr>
            <w:rStyle w:val="Hyperlink"/>
          </w:rPr>
          <w:t>section 90</w:t>
        </w:r>
        <w:r w:rsidR="00E70603">
          <w:rPr>
            <w:rStyle w:val="Hyperlink"/>
          </w:rPr>
          <w:t>(a)</w:t>
        </w:r>
      </w:hyperlink>
      <w:r w:rsidRPr="00475EAB">
        <w:t xml:space="preserve"> of the Act</w:t>
      </w:r>
      <w:r w:rsidR="003176F7">
        <w:t>, which</w:t>
      </w:r>
      <w:r w:rsidRPr="00475EAB">
        <w:t xml:space="preserve"> requires </w:t>
      </w:r>
      <w:r>
        <w:t>the Director</w:t>
      </w:r>
      <w:r w:rsidRPr="00475EAB">
        <w:t xml:space="preserve"> to review a code of practice </w:t>
      </w:r>
      <w:r w:rsidR="00E70603">
        <w:t xml:space="preserve">once </w:t>
      </w:r>
      <w:r w:rsidRPr="00475EAB">
        <w:t>every five years.</w:t>
      </w:r>
      <w:r w:rsidR="00DD7C7F">
        <w:t xml:space="preserve"> </w:t>
      </w:r>
    </w:p>
    <w:p w14:paraId="44F0D4FD" w14:textId="77777777" w:rsidR="00DD7C7F" w:rsidRDefault="00DD7C7F" w:rsidP="00906FB1"/>
    <w:p w14:paraId="5B367F6F" w14:textId="738C397C" w:rsidR="00DD7C7F" w:rsidRDefault="00DD7C7F" w:rsidP="00DD7C7F">
      <w:r w:rsidRPr="00475EAB">
        <w:t xml:space="preserve">Section </w:t>
      </w:r>
      <w:r>
        <w:t>89(2</w:t>
      </w:r>
      <w:r w:rsidRPr="00475EAB">
        <w:t xml:space="preserve">) of the Act requires </w:t>
      </w:r>
      <w:r>
        <w:t>the Director to</w:t>
      </w:r>
      <w:r w:rsidRPr="00475EAB">
        <w:t xml:space="preserve"> consult with any person </w:t>
      </w:r>
      <w:r>
        <w:t>who the Director</w:t>
      </w:r>
      <w:r w:rsidRPr="00475EAB">
        <w:t xml:space="preserve"> reason</w:t>
      </w:r>
      <w:r>
        <w:t xml:space="preserve">ably </w:t>
      </w:r>
      <w:r w:rsidRPr="00475EAB">
        <w:t xml:space="preserve">considers </w:t>
      </w:r>
      <w:r w:rsidR="003B2229">
        <w:t xml:space="preserve">is </w:t>
      </w:r>
      <w:r w:rsidRPr="00475EAB">
        <w:t xml:space="preserve">likely to be affected by </w:t>
      </w:r>
      <w:r>
        <w:t>a proposed amendment or revocation of a code</w:t>
      </w:r>
      <w:r w:rsidRPr="00475EAB">
        <w:t xml:space="preserve">. </w:t>
      </w:r>
      <w:r>
        <w:t>This consultation is under section 89(2) of the Act.</w:t>
      </w:r>
    </w:p>
    <w:p w14:paraId="4E0C197F" w14:textId="6D8DCBA3" w:rsidR="00906FB1" w:rsidRDefault="00906FB1" w:rsidP="00906FB1"/>
    <w:p w14:paraId="4CBAE00E" w14:textId="709A4BC0" w:rsidR="001E5E02" w:rsidRPr="00475EAB" w:rsidRDefault="001E5E02" w:rsidP="001E5E02">
      <w:r>
        <w:t>A</w:t>
      </w:r>
      <w:r w:rsidRPr="00475EAB">
        <w:t xml:space="preserve"> submission form </w:t>
      </w:r>
      <w:r>
        <w:t>is included</w:t>
      </w:r>
      <w:r w:rsidRPr="00475EAB">
        <w:t xml:space="preserve"> at the end of this document</w:t>
      </w:r>
      <w:r>
        <w:t xml:space="preserve"> to help with this consultation process</w:t>
      </w:r>
      <w:r w:rsidRPr="00475EAB">
        <w:t xml:space="preserve">. The form is also available </w:t>
      </w:r>
      <w:hyperlink r:id="rId21" w:history="1">
        <w:r w:rsidRPr="00293988">
          <w:rPr>
            <w:rStyle w:val="Hyperlink"/>
          </w:rPr>
          <w:t>online</w:t>
        </w:r>
      </w:hyperlink>
      <w:r w:rsidRPr="00475EAB">
        <w:t>. The form is intended as a guide</w:t>
      </w:r>
      <w:r>
        <w:t xml:space="preserve"> only</w:t>
      </w:r>
      <w:r w:rsidRPr="00475EAB">
        <w:t xml:space="preserve">. You are </w:t>
      </w:r>
      <w:r>
        <w:t>welcome</w:t>
      </w:r>
      <w:r w:rsidRPr="00475EAB">
        <w:t xml:space="preserve"> to submit any information that you consider to be relevant.</w:t>
      </w:r>
    </w:p>
    <w:p w14:paraId="0C8C58BB" w14:textId="77777777" w:rsidR="00906FB1" w:rsidRPr="00475EAB" w:rsidRDefault="00906FB1" w:rsidP="009B705F">
      <w:pPr>
        <w:pStyle w:val="Heading3"/>
        <w:ind w:firstLine="1277"/>
        <w:rPr>
          <w:w w:val="105"/>
        </w:rPr>
      </w:pPr>
      <w:r w:rsidRPr="00475EAB">
        <w:rPr>
          <w:w w:val="105"/>
        </w:rPr>
        <w:t>Your views matter</w:t>
      </w:r>
    </w:p>
    <w:p w14:paraId="1BDA4E0D" w14:textId="0FDBA673" w:rsidR="007E7E0F" w:rsidRDefault="00906FB1" w:rsidP="007E7E0F">
      <w:r w:rsidRPr="00475EAB">
        <w:t xml:space="preserve">The current </w:t>
      </w:r>
      <w:hyperlink r:id="rId22" w:history="1">
        <w:r w:rsidR="000472DC" w:rsidRPr="00AE2C24">
          <w:rPr>
            <w:rStyle w:val="Hyperlink"/>
          </w:rPr>
          <w:t>Code of Practice for Nuclear Medicin</w:t>
        </w:r>
        <w:r w:rsidR="00975831">
          <w:rPr>
            <w:rStyle w:val="Hyperlink"/>
          </w:rPr>
          <w:t>e: ORS C2</w:t>
        </w:r>
      </w:hyperlink>
      <w:r w:rsidRPr="00475EAB">
        <w:t xml:space="preserve"> (</w:t>
      </w:r>
      <w:r w:rsidR="00417CD5">
        <w:t xml:space="preserve">current </w:t>
      </w:r>
      <w:r w:rsidR="000C35BC">
        <w:t>C2</w:t>
      </w:r>
      <w:r w:rsidRPr="00475EAB">
        <w:t xml:space="preserve">) came into force on </w:t>
      </w:r>
      <w:r w:rsidR="00281AF4">
        <w:t>19 April 2019</w:t>
      </w:r>
      <w:r w:rsidRPr="00475EAB">
        <w:t xml:space="preserve">. </w:t>
      </w:r>
      <w:r w:rsidR="00417CD5">
        <w:t xml:space="preserve">Current </w:t>
      </w:r>
      <w:r w:rsidR="000C35BC">
        <w:t>C2</w:t>
      </w:r>
      <w:r w:rsidRPr="00475EAB">
        <w:t xml:space="preserve"> and any amendments made</w:t>
      </w:r>
      <w:r w:rsidR="00F0566B">
        <w:t xml:space="preserve"> are</w:t>
      </w:r>
      <w:r w:rsidRPr="00475EAB">
        <w:t xml:space="preserve"> </w:t>
      </w:r>
      <w:hyperlink r:id="rId23" w:anchor="DLM7298133" w:history="1">
        <w:r w:rsidRPr="0020690B">
          <w:rPr>
            <w:rStyle w:val="Hyperlink"/>
          </w:rPr>
          <w:t>secondary legislation</w:t>
        </w:r>
      </w:hyperlink>
      <w:r w:rsidRPr="00475EAB">
        <w:t xml:space="preserve"> under </w:t>
      </w:r>
      <w:hyperlink r:id="rId24" w:history="1">
        <w:r w:rsidRPr="0020690B">
          <w:rPr>
            <w:rStyle w:val="Hyperlink"/>
          </w:rPr>
          <w:t>section</w:t>
        </w:r>
        <w:r w:rsidR="000674C3">
          <w:rPr>
            <w:rStyle w:val="Hyperlink"/>
          </w:rPr>
          <w:t>s</w:t>
        </w:r>
        <w:r w:rsidRPr="0020690B">
          <w:rPr>
            <w:rStyle w:val="Hyperlink"/>
          </w:rPr>
          <w:t xml:space="preserve"> 86(6)</w:t>
        </w:r>
      </w:hyperlink>
      <w:r w:rsidR="007E7E0F" w:rsidRPr="00475EAB">
        <w:t xml:space="preserve"> </w:t>
      </w:r>
      <w:r w:rsidR="007E7E0F">
        <w:t xml:space="preserve">and </w:t>
      </w:r>
      <w:hyperlink r:id="rId25" w:history="1">
        <w:r w:rsidR="007E7E0F" w:rsidRPr="00D55F78">
          <w:rPr>
            <w:rStyle w:val="Hyperlink"/>
          </w:rPr>
          <w:t>89(4)</w:t>
        </w:r>
      </w:hyperlink>
      <w:r w:rsidR="007E7E0F">
        <w:t xml:space="preserve"> of the Act.</w:t>
      </w:r>
    </w:p>
    <w:p w14:paraId="293373EA" w14:textId="77777777" w:rsidR="006360FA" w:rsidRDefault="006360FA" w:rsidP="00906FB1"/>
    <w:p w14:paraId="7F34B693" w14:textId="26531EFA" w:rsidR="00906FB1" w:rsidRPr="00475EAB" w:rsidRDefault="00417CD5" w:rsidP="00906FB1">
      <w:r>
        <w:t xml:space="preserve">Current </w:t>
      </w:r>
      <w:r w:rsidR="006360FA">
        <w:t xml:space="preserve">C2 </w:t>
      </w:r>
      <w:r w:rsidR="00906FB1" w:rsidRPr="00475EAB">
        <w:t>applies to any person who ‘</w:t>
      </w:r>
      <w:r w:rsidR="00906FB1" w:rsidRPr="00475EAB">
        <w:rPr>
          <w:bCs/>
        </w:rPr>
        <w:t>deals with’</w:t>
      </w:r>
      <w:r w:rsidR="00906FB1" w:rsidRPr="00475EAB">
        <w:t xml:space="preserve"> a radiation source. The term ‘deal with’ is defined in </w:t>
      </w:r>
      <w:hyperlink r:id="rId26" w:history="1">
        <w:r w:rsidR="00906FB1" w:rsidRPr="0020690B">
          <w:rPr>
            <w:rStyle w:val="Hyperlink"/>
          </w:rPr>
          <w:t>section 5</w:t>
        </w:r>
      </w:hyperlink>
      <w:r w:rsidR="00906FB1" w:rsidRPr="0020690B">
        <w:rPr>
          <w:rStyle w:val="Hyperlink"/>
        </w:rPr>
        <w:t xml:space="preserve"> </w:t>
      </w:r>
      <w:r w:rsidR="00906FB1" w:rsidRPr="00475EAB">
        <w:t>of the Act a</w:t>
      </w:r>
      <w:r w:rsidR="006360FA">
        <w:t xml:space="preserve">s: </w:t>
      </w:r>
      <w:r w:rsidR="009F6C09">
        <w:t>‘</w:t>
      </w:r>
      <w:r w:rsidR="006360FA">
        <w:t xml:space="preserve">to </w:t>
      </w:r>
      <w:r w:rsidR="00906FB1" w:rsidRPr="00475EAB">
        <w:t>manufacture, possess, control, manage, use, transport, store, export, import, sell, supply, or dispose of a radiation source</w:t>
      </w:r>
      <w:r w:rsidR="006360FA">
        <w:t xml:space="preserve">; or to </w:t>
      </w:r>
      <w:r w:rsidR="00906FB1" w:rsidRPr="00475EAB">
        <w:t>carry out any other activity or practice involving the radiation source’</w:t>
      </w:r>
      <w:r w:rsidR="003B2229">
        <w:t>.</w:t>
      </w:r>
    </w:p>
    <w:p w14:paraId="244D31E5" w14:textId="77777777" w:rsidR="00906FB1" w:rsidRPr="00475EAB" w:rsidRDefault="00906FB1" w:rsidP="00906FB1"/>
    <w:p w14:paraId="407FE7D9" w14:textId="73EFB503" w:rsidR="00906FB1" w:rsidRPr="00475EAB" w:rsidRDefault="00906FB1" w:rsidP="00906FB1">
      <w:pPr>
        <w:rPr>
          <w:color w:val="000000" w:themeColor="text1"/>
        </w:rPr>
      </w:pPr>
      <w:r w:rsidRPr="00475EAB">
        <w:rPr>
          <w:color w:val="000000" w:themeColor="text1"/>
        </w:rPr>
        <w:t xml:space="preserve">Those affected by </w:t>
      </w:r>
      <w:r>
        <w:rPr>
          <w:color w:val="000000" w:themeColor="text1"/>
        </w:rPr>
        <w:t xml:space="preserve">the </w:t>
      </w:r>
      <w:r w:rsidRPr="00475EAB">
        <w:rPr>
          <w:color w:val="000000" w:themeColor="text1"/>
        </w:rPr>
        <w:t xml:space="preserve">revised </w:t>
      </w:r>
      <w:r w:rsidR="000C35BC">
        <w:rPr>
          <w:color w:val="000000" w:themeColor="text1"/>
        </w:rPr>
        <w:t>C2</w:t>
      </w:r>
      <w:r w:rsidRPr="00475EAB">
        <w:rPr>
          <w:color w:val="000000" w:themeColor="text1"/>
        </w:rPr>
        <w:t xml:space="preserve"> include all regulated parties and other people and organisations with a professional interest in </w:t>
      </w:r>
      <w:r w:rsidR="00DE5117">
        <w:rPr>
          <w:color w:val="000000" w:themeColor="text1"/>
        </w:rPr>
        <w:t>nuclear medicine</w:t>
      </w:r>
      <w:r w:rsidRPr="00475EAB">
        <w:rPr>
          <w:color w:val="000000" w:themeColor="text1"/>
        </w:rPr>
        <w:t>.</w:t>
      </w:r>
    </w:p>
    <w:p w14:paraId="05EE3884" w14:textId="77777777" w:rsidR="00906FB1" w:rsidRPr="00475EAB" w:rsidRDefault="00906FB1" w:rsidP="00906FB1">
      <w:pPr>
        <w:rPr>
          <w:color w:val="000000" w:themeColor="text1"/>
        </w:rPr>
      </w:pPr>
    </w:p>
    <w:p w14:paraId="1EFADAC6" w14:textId="739CC9FE" w:rsidR="00906FB1" w:rsidRPr="00475EAB" w:rsidRDefault="00DE5117" w:rsidP="00906FB1">
      <w:r>
        <w:rPr>
          <w:color w:val="000000"/>
          <w:lang w:eastAsia="en-NZ"/>
        </w:rPr>
        <w:t>T</w:t>
      </w:r>
      <w:r w:rsidR="00906FB1" w:rsidRPr="00475EAB">
        <w:rPr>
          <w:color w:val="000000"/>
          <w:lang w:eastAsia="en-NZ"/>
        </w:rPr>
        <w:t>he Ministry of Health</w:t>
      </w:r>
      <w:r w:rsidR="006360FA">
        <w:rPr>
          <w:color w:val="000000"/>
          <w:lang w:eastAsia="en-NZ"/>
        </w:rPr>
        <w:t xml:space="preserve"> </w:t>
      </w:r>
      <w:r w:rsidR="00B9670F">
        <w:rPr>
          <w:color w:val="000000"/>
          <w:lang w:eastAsia="en-NZ"/>
        </w:rPr>
        <w:t>–</w:t>
      </w:r>
      <w:r w:rsidR="003D1AF8">
        <w:rPr>
          <w:color w:val="000000"/>
          <w:lang w:eastAsia="en-NZ"/>
        </w:rPr>
        <w:t xml:space="preserve"> </w:t>
      </w:r>
      <w:r w:rsidRPr="00475EAB">
        <w:rPr>
          <w:color w:val="000000"/>
          <w:lang w:eastAsia="en-NZ"/>
        </w:rPr>
        <w:t>Manatū Hauora</w:t>
      </w:r>
      <w:r w:rsidR="006360FA">
        <w:rPr>
          <w:color w:val="000000"/>
          <w:lang w:eastAsia="en-NZ"/>
        </w:rPr>
        <w:t xml:space="preserve"> </w:t>
      </w:r>
      <w:r w:rsidR="00CB672C">
        <w:rPr>
          <w:color w:val="000000"/>
          <w:lang w:eastAsia="en-NZ"/>
        </w:rPr>
        <w:t>(</w:t>
      </w:r>
      <w:r w:rsidR="00906FB1" w:rsidRPr="00475EAB">
        <w:rPr>
          <w:color w:val="000000"/>
          <w:lang w:eastAsia="en-NZ"/>
        </w:rPr>
        <w:t>the Ministry)</w:t>
      </w:r>
      <w:r w:rsidR="00906FB1" w:rsidRPr="00475EAB">
        <w:t xml:space="preserve"> will review all feedback received as part of th</w:t>
      </w:r>
      <w:r w:rsidR="00EA51EB">
        <w:t>is</w:t>
      </w:r>
      <w:r w:rsidR="00906FB1" w:rsidRPr="00475EAB">
        <w:t xml:space="preserve"> consultation and use it to inform amendment</w:t>
      </w:r>
      <w:r w:rsidR="003C2B8E">
        <w:t>s</w:t>
      </w:r>
      <w:r w:rsidR="00906FB1" w:rsidRPr="00475EAB">
        <w:t xml:space="preserve"> </w:t>
      </w:r>
      <w:r w:rsidR="00DD7C7F">
        <w:t xml:space="preserve">and revocations </w:t>
      </w:r>
      <w:r w:rsidR="003C2B8E">
        <w:t>to</w:t>
      </w:r>
      <w:r w:rsidR="00906FB1" w:rsidRPr="00475EAB">
        <w:t xml:space="preserve"> </w:t>
      </w:r>
      <w:r w:rsidR="00906FB1">
        <w:t xml:space="preserve">the </w:t>
      </w:r>
      <w:r w:rsidR="00906FB1" w:rsidRPr="00475EAB">
        <w:t xml:space="preserve">revised </w:t>
      </w:r>
      <w:r w:rsidR="000C35BC">
        <w:t>C2</w:t>
      </w:r>
      <w:r w:rsidR="00906FB1" w:rsidRPr="00475EAB">
        <w:t>.</w:t>
      </w:r>
    </w:p>
    <w:bookmarkEnd w:id="8"/>
    <w:p w14:paraId="18A7A7F6" w14:textId="77777777" w:rsidR="00906FB1" w:rsidRPr="00475EAB" w:rsidRDefault="00906FB1" w:rsidP="00906FB1">
      <w:pPr>
        <w:rPr>
          <w:w w:val="105"/>
        </w:rPr>
      </w:pPr>
      <w:r w:rsidRPr="00475EAB">
        <w:rPr>
          <w:w w:val="105"/>
        </w:rPr>
        <w:br w:type="page"/>
      </w:r>
    </w:p>
    <w:p w14:paraId="3A175C47" w14:textId="77777777" w:rsidR="00EF0A39" w:rsidRPr="00475EAB" w:rsidRDefault="00EF0A39" w:rsidP="00EF0A39">
      <w:pPr>
        <w:pStyle w:val="Heading2"/>
        <w:pageBreakBefore/>
      </w:pPr>
      <w:bookmarkStart w:id="9" w:name="_Toc134269905"/>
      <w:bookmarkStart w:id="10" w:name="_Toc142646949"/>
      <w:bookmarkStart w:id="11" w:name="_Toc144957753"/>
      <w:bookmarkStart w:id="12" w:name="_Toc161051003"/>
      <w:bookmarkStart w:id="13" w:name="_Hlk161044632"/>
      <w:bookmarkStart w:id="14" w:name="_Toc144957754"/>
      <w:r w:rsidRPr="00475EAB">
        <w:lastRenderedPageBreak/>
        <w:t xml:space="preserve">Summary of the proposed principal amendments in </w:t>
      </w:r>
      <w:r>
        <w:t xml:space="preserve">the </w:t>
      </w:r>
      <w:r w:rsidRPr="00475EAB">
        <w:t xml:space="preserve">revised </w:t>
      </w:r>
      <w:bookmarkEnd w:id="9"/>
      <w:bookmarkEnd w:id="10"/>
      <w:r>
        <w:t>C2</w:t>
      </w:r>
      <w:bookmarkEnd w:id="11"/>
      <w:bookmarkEnd w:id="12"/>
      <w:r w:rsidRPr="00475EAB">
        <w:t xml:space="preserve"> </w:t>
      </w:r>
    </w:p>
    <w:p w14:paraId="2D3BEDFB" w14:textId="044AFB0F" w:rsidR="00EF0A39" w:rsidRPr="00475EAB" w:rsidRDefault="00EF0A39" w:rsidP="00EF0A39">
      <w:r>
        <w:t>The Director</w:t>
      </w:r>
      <w:r w:rsidRPr="00475EAB">
        <w:t xml:space="preserve">’s view is that the revised </w:t>
      </w:r>
      <w:r>
        <w:t>C2</w:t>
      </w:r>
      <w:r w:rsidRPr="00475EAB">
        <w:t xml:space="preserve"> represents a</w:t>
      </w:r>
      <w:r w:rsidR="00EA1422">
        <w:t xml:space="preserve">n evolution </w:t>
      </w:r>
      <w:r w:rsidR="00EA1422" w:rsidRPr="003734B2">
        <w:t>in</w:t>
      </w:r>
      <w:r w:rsidR="00911C60">
        <w:t xml:space="preserve"> the </w:t>
      </w:r>
      <w:r w:rsidR="00EA1422" w:rsidRPr="003734B2">
        <w:t>framework established by</w:t>
      </w:r>
      <w:r w:rsidR="00911C60">
        <w:t xml:space="preserve"> the Act to </w:t>
      </w:r>
      <w:r w:rsidRPr="00475EAB">
        <w:t>protect the health and safety of people. The proposed changes are not expected to significantly increase the compliance burden on regulated parties.</w:t>
      </w:r>
    </w:p>
    <w:p w14:paraId="6F257605" w14:textId="77777777" w:rsidR="00EF0A39" w:rsidRPr="00475EAB" w:rsidRDefault="00EF0A39" w:rsidP="00EF0A39"/>
    <w:p w14:paraId="0B2D94BB" w14:textId="06948C99" w:rsidR="00EF0A39" w:rsidRDefault="00EF0A39" w:rsidP="00EF0A39">
      <w:bookmarkStart w:id="15" w:name="_Hlk160613366"/>
      <w:r>
        <w:t>The r</w:t>
      </w:r>
      <w:r w:rsidRPr="00475EAB">
        <w:t xml:space="preserve">evised </w:t>
      </w:r>
      <w:r>
        <w:t>C2</w:t>
      </w:r>
      <w:r w:rsidRPr="00475EAB">
        <w:t xml:space="preserve"> has </w:t>
      </w:r>
      <w:r>
        <w:t>deletions,</w:t>
      </w:r>
      <w:r w:rsidRPr="00475EAB">
        <w:t xml:space="preserve"> new clauses</w:t>
      </w:r>
      <w:r>
        <w:t xml:space="preserve">, </w:t>
      </w:r>
      <w:r w:rsidRPr="00475EAB">
        <w:t>replaced terms, changes to interpretations and rewordings.</w:t>
      </w:r>
      <w:r w:rsidR="00237F51" w:rsidRPr="00237F51">
        <w:rPr>
          <w:b/>
          <w:bCs/>
        </w:rPr>
        <w:t xml:space="preserve"> </w:t>
      </w:r>
      <w:r w:rsidR="00237F51" w:rsidRPr="004D413F">
        <w:rPr>
          <w:b/>
          <w:bCs/>
        </w:rPr>
        <w:fldChar w:fldCharType="begin"/>
      </w:r>
      <w:r w:rsidR="00237F51" w:rsidRPr="004D413F">
        <w:rPr>
          <w:b/>
          <w:bCs/>
        </w:rPr>
        <w:instrText xml:space="preserve"> REF _Ref144198409 \h  \* MERGEFORMAT </w:instrText>
      </w:r>
      <w:r w:rsidR="00237F51" w:rsidRPr="004D413F">
        <w:rPr>
          <w:b/>
          <w:bCs/>
        </w:rPr>
      </w:r>
      <w:r w:rsidR="00237F51" w:rsidRPr="004D413F">
        <w:rPr>
          <w:b/>
          <w:bCs/>
        </w:rPr>
        <w:fldChar w:fldCharType="separate"/>
      </w:r>
      <w:r w:rsidR="001F2BD7" w:rsidRPr="001F2BD7">
        <w:rPr>
          <w:b/>
          <w:bCs/>
        </w:rPr>
        <w:t xml:space="preserve">Table </w:t>
      </w:r>
      <w:r w:rsidR="001F2BD7" w:rsidRPr="001F2BD7">
        <w:rPr>
          <w:b/>
          <w:bCs/>
          <w:noProof/>
        </w:rPr>
        <w:t>1</w:t>
      </w:r>
      <w:r w:rsidR="00237F51" w:rsidRPr="004D413F">
        <w:rPr>
          <w:b/>
          <w:bCs/>
        </w:rPr>
        <w:fldChar w:fldCharType="end"/>
      </w:r>
      <w:r w:rsidR="00237F51" w:rsidRPr="00475EAB">
        <w:t xml:space="preserve"> lists the principal proposed changes in </w:t>
      </w:r>
      <w:r w:rsidR="00237F51">
        <w:t xml:space="preserve">the </w:t>
      </w:r>
      <w:r w:rsidR="00237F51" w:rsidRPr="00475EAB">
        <w:t xml:space="preserve">revised </w:t>
      </w:r>
      <w:r w:rsidR="00237F51">
        <w:t>C2</w:t>
      </w:r>
      <w:r w:rsidR="00237F51" w:rsidRPr="00475EAB">
        <w:t xml:space="preserve"> and </w:t>
      </w:r>
      <w:r w:rsidR="003267CE">
        <w:t xml:space="preserve">the main </w:t>
      </w:r>
      <w:r w:rsidR="00911C60">
        <w:t xml:space="preserve">reasons for </w:t>
      </w:r>
      <w:r w:rsidR="003267CE">
        <w:t xml:space="preserve">each </w:t>
      </w:r>
      <w:r w:rsidR="00237F51" w:rsidRPr="00475EAB">
        <w:t>change</w:t>
      </w:r>
      <w:r w:rsidR="00237F51">
        <w:t xml:space="preserve">. </w:t>
      </w:r>
      <w:r w:rsidR="007D6044">
        <w:t>C</w:t>
      </w:r>
      <w:r w:rsidR="00237F51">
        <w:t xml:space="preserve">hanges </w:t>
      </w:r>
      <w:r w:rsidR="006E661A">
        <w:t xml:space="preserve">in the </w:t>
      </w:r>
      <w:r w:rsidR="00EA1422">
        <w:t>r</w:t>
      </w:r>
      <w:r w:rsidR="006E661A">
        <w:t xml:space="preserve">evised C2 compared </w:t>
      </w:r>
      <w:r w:rsidR="00EA2DEC">
        <w:t xml:space="preserve">with </w:t>
      </w:r>
      <w:r w:rsidR="003B2229">
        <w:t xml:space="preserve">current </w:t>
      </w:r>
      <w:r w:rsidR="006E661A">
        <w:t>C2</w:t>
      </w:r>
      <w:r w:rsidR="007D6044">
        <w:t xml:space="preserve"> include</w:t>
      </w:r>
      <w:r w:rsidR="00F41D89">
        <w:t xml:space="preserve"> the following.</w:t>
      </w:r>
    </w:p>
    <w:p w14:paraId="425D8321" w14:textId="17E14777" w:rsidR="002925CB" w:rsidRPr="002925CB" w:rsidRDefault="005722DF" w:rsidP="00EF0A39">
      <w:pPr>
        <w:pStyle w:val="Bullet"/>
      </w:pPr>
      <w:bookmarkStart w:id="16" w:name="_Hlk144122609"/>
      <w:r>
        <w:t xml:space="preserve">Amendments </w:t>
      </w:r>
      <w:r w:rsidR="003B2229">
        <w:t xml:space="preserve">have been </w:t>
      </w:r>
      <w:r w:rsidR="00417CD5">
        <w:t xml:space="preserve">made </w:t>
      </w:r>
      <w:r>
        <w:t xml:space="preserve">to </w:t>
      </w:r>
      <w:r w:rsidR="005B34DE">
        <w:t xml:space="preserve">align with the </w:t>
      </w:r>
      <w:r w:rsidR="008E6879">
        <w:t xml:space="preserve">recently reviewed Code of Practice for Diagnostic and </w:t>
      </w:r>
      <w:r w:rsidR="008E6879" w:rsidRPr="00623236">
        <w:rPr>
          <w:bCs/>
        </w:rPr>
        <w:t xml:space="preserve">Interventional </w:t>
      </w:r>
      <w:r w:rsidR="008E6879">
        <w:t>Radiology</w:t>
      </w:r>
      <w:r w:rsidR="00975831">
        <w:t>: ORS C1</w:t>
      </w:r>
      <w:r w:rsidR="008E6879">
        <w:t xml:space="preserve">. </w:t>
      </w:r>
      <w:r w:rsidR="005B4572">
        <w:t>This includes the term ‘the holder of a source licence’</w:t>
      </w:r>
      <w:r w:rsidR="00F41D89">
        <w:t>,</w:t>
      </w:r>
      <w:r w:rsidR="005B4572">
        <w:t xml:space="preserve"> replacing the term ‘managing entity’</w:t>
      </w:r>
      <w:r w:rsidR="00C62009">
        <w:t>.</w:t>
      </w:r>
    </w:p>
    <w:p w14:paraId="756B0FF1" w14:textId="69023D6D" w:rsidR="005B4576" w:rsidRDefault="005B4576" w:rsidP="00F1760B">
      <w:pPr>
        <w:pStyle w:val="Bullet"/>
      </w:pPr>
      <w:r>
        <w:t xml:space="preserve">The scope </w:t>
      </w:r>
      <w:r w:rsidR="00C66AE3">
        <w:t xml:space="preserve">is </w:t>
      </w:r>
      <w:r w:rsidR="006B0540">
        <w:t xml:space="preserve">narrowed </w:t>
      </w:r>
      <w:r w:rsidR="007D600D">
        <w:t xml:space="preserve">by removing </w:t>
      </w:r>
      <w:r w:rsidR="004F694B">
        <w:t xml:space="preserve">references to sealed radioactive material. </w:t>
      </w:r>
      <w:r w:rsidR="00DE1C54">
        <w:t>The</w:t>
      </w:r>
      <w:r w:rsidR="007D600D">
        <w:t xml:space="preserve"> revised C2 </w:t>
      </w:r>
      <w:r>
        <w:t>applies only to unsealed radioactive material in nuclear medicine. Irradiating ap</w:t>
      </w:r>
      <w:r w:rsidR="00397A25">
        <w:t>paratus and sealed radioactive material are subject to other code</w:t>
      </w:r>
      <w:r w:rsidR="000E4A1E">
        <w:t>s</w:t>
      </w:r>
      <w:r w:rsidR="00397A25">
        <w:t xml:space="preserve"> of practice.</w:t>
      </w:r>
    </w:p>
    <w:p w14:paraId="22F33084" w14:textId="325D0B1A" w:rsidR="00F1760B" w:rsidRPr="0020690B" w:rsidRDefault="00DE1C54" w:rsidP="00F1760B">
      <w:pPr>
        <w:pStyle w:val="Bullet"/>
      </w:pPr>
      <w:r>
        <w:t xml:space="preserve">Clause </w:t>
      </w:r>
      <w:r w:rsidR="002C463E">
        <w:t xml:space="preserve">5(j) of </w:t>
      </w:r>
      <w:r w:rsidR="00E5417B">
        <w:t xml:space="preserve">the current </w:t>
      </w:r>
      <w:r w:rsidR="002C463E">
        <w:t>C2</w:t>
      </w:r>
      <w:r w:rsidR="00E5417B">
        <w:t>, which</w:t>
      </w:r>
      <w:r w:rsidR="00E2616A">
        <w:t xml:space="preserve"> applies to the disposal of radioactive material</w:t>
      </w:r>
      <w:r w:rsidR="00E5417B">
        <w:t>,</w:t>
      </w:r>
      <w:r w:rsidR="00E2616A">
        <w:t xml:space="preserve"> </w:t>
      </w:r>
      <w:r w:rsidR="002C463E">
        <w:t xml:space="preserve">has been </w:t>
      </w:r>
      <w:r w:rsidR="00077E59">
        <w:t>rewritten</w:t>
      </w:r>
      <w:r w:rsidR="00E5417B">
        <w:t xml:space="preserve"> </w:t>
      </w:r>
      <w:r w:rsidR="00836E30">
        <w:t xml:space="preserve">as clause 6(j) </w:t>
      </w:r>
      <w:r w:rsidR="00417CD5">
        <w:t xml:space="preserve">and (k) </w:t>
      </w:r>
      <w:r w:rsidR="00245C00">
        <w:t xml:space="preserve">in </w:t>
      </w:r>
      <w:r w:rsidR="00E5417B">
        <w:t>the revised C2</w:t>
      </w:r>
      <w:r w:rsidR="00077E59">
        <w:t>.</w:t>
      </w:r>
      <w:r w:rsidR="00F1760B">
        <w:t xml:space="preserve"> The reasons for this are </w:t>
      </w:r>
      <w:r w:rsidR="00836E30">
        <w:t xml:space="preserve">discussed </w:t>
      </w:r>
      <w:r w:rsidR="00F1760B">
        <w:t xml:space="preserve">in </w:t>
      </w:r>
      <w:r w:rsidR="00975831">
        <w:rPr>
          <w:b/>
          <w:bCs/>
        </w:rPr>
        <w:t>n</w:t>
      </w:r>
      <w:r w:rsidR="00077E59" w:rsidRPr="00077E59">
        <w:rPr>
          <w:b/>
          <w:bCs/>
        </w:rPr>
        <w:t>ote 1</w:t>
      </w:r>
      <w:r w:rsidR="00153072">
        <w:rPr>
          <w:b/>
          <w:bCs/>
        </w:rPr>
        <w:t xml:space="preserve"> </w:t>
      </w:r>
      <w:r w:rsidR="00D53FFC">
        <w:t>following</w:t>
      </w:r>
      <w:r w:rsidR="00153072" w:rsidRPr="005F5AB1">
        <w:t xml:space="preserve"> </w:t>
      </w:r>
      <w:r w:rsidR="00124D51">
        <w:t>T</w:t>
      </w:r>
      <w:r w:rsidR="00153072" w:rsidRPr="005F5AB1">
        <w:t>able 1</w:t>
      </w:r>
      <w:r w:rsidR="00D53FFC">
        <w:t xml:space="preserve"> below</w:t>
      </w:r>
      <w:r w:rsidR="00077E59">
        <w:t>.</w:t>
      </w:r>
    </w:p>
    <w:p w14:paraId="66990FB1" w14:textId="5E69C99B" w:rsidR="00EF0A39" w:rsidRPr="0020690B" w:rsidRDefault="00BC5FE8" w:rsidP="00EF0A39">
      <w:pPr>
        <w:pStyle w:val="Bullet"/>
      </w:pPr>
      <w:r>
        <w:t xml:space="preserve">Clause 23 </w:t>
      </w:r>
      <w:r w:rsidR="008338F5">
        <w:t xml:space="preserve">of the current </w:t>
      </w:r>
      <w:r w:rsidR="00413F53">
        <w:t>C2</w:t>
      </w:r>
      <w:r w:rsidR="008338F5">
        <w:t>, which</w:t>
      </w:r>
      <w:r w:rsidR="00E2616A">
        <w:t xml:space="preserve"> applies to the release of patients </w:t>
      </w:r>
      <w:bookmarkEnd w:id="16"/>
      <w:r w:rsidR="00077E59">
        <w:t>following a therapeutic procedure</w:t>
      </w:r>
      <w:r w:rsidR="008338F5">
        <w:t>,</w:t>
      </w:r>
      <w:r w:rsidR="00077E59">
        <w:t xml:space="preserve"> has </w:t>
      </w:r>
      <w:r w:rsidR="00245C00">
        <w:t>been replaced by clause 21 ‘</w:t>
      </w:r>
      <w:r w:rsidR="00245C00" w:rsidRPr="00245C00">
        <w:t>Discharge of a patient who has undergone therapy</w:t>
      </w:r>
      <w:r w:rsidR="00245C00">
        <w:t xml:space="preserve">’. </w:t>
      </w:r>
      <w:r w:rsidR="00077E59">
        <w:t xml:space="preserve"> 'Appendix 3: Release of patients'</w:t>
      </w:r>
      <w:r w:rsidR="00245C00">
        <w:t xml:space="preserve"> has been deleted</w:t>
      </w:r>
      <w:r w:rsidR="00077E59">
        <w:t xml:space="preserve">. The reasons for this are given in </w:t>
      </w:r>
      <w:r w:rsidR="00975831" w:rsidRPr="00975831">
        <w:rPr>
          <w:b/>
          <w:bCs/>
        </w:rPr>
        <w:t>n</w:t>
      </w:r>
      <w:r w:rsidR="00077E59" w:rsidRPr="00975831">
        <w:rPr>
          <w:b/>
          <w:bCs/>
        </w:rPr>
        <w:t>ote 2</w:t>
      </w:r>
      <w:r w:rsidR="00D53FFC">
        <w:rPr>
          <w:b/>
          <w:bCs/>
        </w:rPr>
        <w:t xml:space="preserve"> </w:t>
      </w:r>
      <w:r w:rsidR="00D53FFC">
        <w:t>following</w:t>
      </w:r>
      <w:r w:rsidR="00D53FFC" w:rsidRPr="0094718C">
        <w:t xml:space="preserve"> </w:t>
      </w:r>
      <w:r w:rsidR="00124D51">
        <w:t>T</w:t>
      </w:r>
      <w:r w:rsidR="00D53FFC" w:rsidRPr="0094718C">
        <w:t>able 1</w:t>
      </w:r>
      <w:r w:rsidR="00D53FFC">
        <w:t xml:space="preserve"> below</w:t>
      </w:r>
      <w:r w:rsidR="00077E59">
        <w:t>.</w:t>
      </w:r>
      <w:r w:rsidR="00EF0A39">
        <w:t xml:space="preserve"> </w:t>
      </w:r>
    </w:p>
    <w:p w14:paraId="35BEFAA0" w14:textId="052EE63F" w:rsidR="00077E59" w:rsidRDefault="00077E59" w:rsidP="00077E59">
      <w:pPr>
        <w:pStyle w:val="Bullet"/>
      </w:pPr>
      <w:r>
        <w:t xml:space="preserve">Clause 24 'Referring practitioner' of </w:t>
      </w:r>
      <w:r w:rsidR="00D63ABE">
        <w:t xml:space="preserve">current </w:t>
      </w:r>
      <w:r>
        <w:t>C2 has been deleted. The reasons for</w:t>
      </w:r>
      <w:r w:rsidR="0051699E">
        <w:t xml:space="preserve"> this</w:t>
      </w:r>
      <w:r>
        <w:t xml:space="preserve"> are given in </w:t>
      </w:r>
      <w:r w:rsidR="00975831" w:rsidRPr="00975831">
        <w:rPr>
          <w:b/>
          <w:bCs/>
        </w:rPr>
        <w:t>n</w:t>
      </w:r>
      <w:r w:rsidRPr="00975831">
        <w:rPr>
          <w:b/>
          <w:bCs/>
        </w:rPr>
        <w:t>ote 3</w:t>
      </w:r>
      <w:r w:rsidR="0051699E">
        <w:rPr>
          <w:b/>
          <w:bCs/>
        </w:rPr>
        <w:t xml:space="preserve"> </w:t>
      </w:r>
      <w:r w:rsidR="0051699E">
        <w:t xml:space="preserve">following </w:t>
      </w:r>
      <w:r w:rsidR="00124D51">
        <w:t>T</w:t>
      </w:r>
      <w:r w:rsidR="0051699E">
        <w:t>able 1 below</w:t>
      </w:r>
      <w:r>
        <w:t xml:space="preserve">. </w:t>
      </w:r>
    </w:p>
    <w:bookmarkEnd w:id="15"/>
    <w:p w14:paraId="2BE1BF98" w14:textId="246D0E67" w:rsidR="00EF0A39" w:rsidRPr="00475EAB" w:rsidRDefault="00077E59" w:rsidP="00EF0A39">
      <w:pPr>
        <w:rPr>
          <w:rStyle w:val="Hyperlink"/>
        </w:rPr>
      </w:pPr>
      <w:r>
        <w:rPr>
          <w:rStyle w:val="Hyperlink"/>
        </w:rPr>
        <w:br w:type="page"/>
      </w:r>
    </w:p>
    <w:p w14:paraId="365D8F72" w14:textId="0588FC41" w:rsidR="00353229" w:rsidRPr="00475EAB" w:rsidRDefault="00353229" w:rsidP="00353229">
      <w:pPr>
        <w:pStyle w:val="Table"/>
      </w:pPr>
      <w:bookmarkStart w:id="17" w:name="_Ref144198409"/>
      <w:bookmarkStart w:id="18" w:name="Table_1"/>
      <w:bookmarkStart w:id="19" w:name="_Hlk160616647"/>
      <w:bookmarkEnd w:id="13"/>
      <w:r w:rsidRPr="00475EAB">
        <w:lastRenderedPageBreak/>
        <w:t xml:space="preserve">Table </w:t>
      </w:r>
      <w:r>
        <w:fldChar w:fldCharType="begin"/>
      </w:r>
      <w:r>
        <w:instrText>SEQ Table \* ARABIC</w:instrText>
      </w:r>
      <w:r>
        <w:fldChar w:fldCharType="separate"/>
      </w:r>
      <w:r w:rsidR="001F2BD7">
        <w:rPr>
          <w:noProof/>
        </w:rPr>
        <w:t>1</w:t>
      </w:r>
      <w:r>
        <w:fldChar w:fldCharType="end"/>
      </w:r>
      <w:bookmarkEnd w:id="17"/>
      <w:bookmarkEnd w:id="18"/>
      <w:r w:rsidRPr="00475EAB">
        <w:t xml:space="preserve">. </w:t>
      </w:r>
      <w:bookmarkStart w:id="20" w:name="_Hlk161044656"/>
      <w:r w:rsidR="00911C60">
        <w:t>Prop</w:t>
      </w:r>
      <w:r w:rsidRPr="00475EAB">
        <w:t xml:space="preserve">osed amendments and </w:t>
      </w:r>
      <w:r w:rsidR="00911C60">
        <w:t>d</w:t>
      </w:r>
      <w:r w:rsidRPr="00475EAB">
        <w:t xml:space="preserve">eletions in </w:t>
      </w:r>
      <w:r>
        <w:t xml:space="preserve">the </w:t>
      </w:r>
      <w:r w:rsidRPr="00475EAB">
        <w:t xml:space="preserve">revised </w:t>
      </w:r>
      <w:r>
        <w:t>C2</w:t>
      </w:r>
      <w:r w:rsidRPr="00475EAB">
        <w:t xml:space="preserve"> and the main </w:t>
      </w:r>
      <w:r w:rsidR="00911C60">
        <w:t xml:space="preserve">reasons </w:t>
      </w:r>
      <w:r w:rsidRPr="00475EAB">
        <w:t>for the change</w:t>
      </w:r>
      <w:r>
        <w:t>s</w:t>
      </w:r>
      <w:r w:rsidRPr="00475EAB">
        <w:t xml:space="preserve"> </w:t>
      </w:r>
      <w:bookmarkStart w:id="21" w:name="_Hlk161045005"/>
      <w:bookmarkEnd w:id="20"/>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140"/>
        <w:gridCol w:w="3576"/>
        <w:gridCol w:w="2364"/>
      </w:tblGrid>
      <w:tr w:rsidR="00353229" w:rsidRPr="00475EAB" w14:paraId="1D9C8A69" w14:textId="77777777" w:rsidTr="00A25781">
        <w:trPr>
          <w:tblHeader/>
        </w:trPr>
        <w:tc>
          <w:tcPr>
            <w:tcW w:w="1324" w:type="pct"/>
            <w:tcBorders>
              <w:top w:val="nil"/>
              <w:bottom w:val="nil"/>
            </w:tcBorders>
            <w:shd w:val="clear" w:color="auto" w:fill="D9D9D9" w:themeFill="background1" w:themeFillShade="D9"/>
          </w:tcPr>
          <w:p w14:paraId="3E54E09B" w14:textId="77777777" w:rsidR="00353229" w:rsidRPr="00475EAB" w:rsidRDefault="00353229">
            <w:pPr>
              <w:pStyle w:val="TableText"/>
              <w:rPr>
                <w:b/>
                <w:bCs/>
              </w:rPr>
            </w:pPr>
            <w:bookmarkStart w:id="22" w:name="_Hlk161045554"/>
            <w:r w:rsidRPr="00475EAB">
              <w:rPr>
                <w:b/>
                <w:bCs/>
              </w:rPr>
              <w:t xml:space="preserve">Section </w:t>
            </w:r>
            <w:r>
              <w:rPr>
                <w:b/>
                <w:bCs/>
              </w:rPr>
              <w:t>or</w:t>
            </w:r>
            <w:r w:rsidRPr="00475EAB">
              <w:rPr>
                <w:b/>
                <w:bCs/>
              </w:rPr>
              <w:t xml:space="preserve"> clause</w:t>
            </w:r>
          </w:p>
        </w:tc>
        <w:tc>
          <w:tcPr>
            <w:tcW w:w="2213" w:type="pct"/>
            <w:tcBorders>
              <w:top w:val="nil"/>
              <w:bottom w:val="nil"/>
            </w:tcBorders>
            <w:shd w:val="clear" w:color="auto" w:fill="D9D9D9" w:themeFill="background1" w:themeFillShade="D9"/>
          </w:tcPr>
          <w:p w14:paraId="59396C21" w14:textId="77777777" w:rsidR="00353229" w:rsidRPr="00475EAB" w:rsidRDefault="00353229">
            <w:pPr>
              <w:pStyle w:val="TableText"/>
              <w:rPr>
                <w:b/>
                <w:bCs/>
              </w:rPr>
            </w:pPr>
            <w:r>
              <w:rPr>
                <w:b/>
                <w:bCs/>
              </w:rPr>
              <w:t>P</w:t>
            </w:r>
            <w:r w:rsidRPr="00475EAB">
              <w:rPr>
                <w:b/>
                <w:bCs/>
              </w:rPr>
              <w:t xml:space="preserve">rincipal amendments </w:t>
            </w:r>
            <w:r>
              <w:rPr>
                <w:b/>
                <w:bCs/>
              </w:rPr>
              <w:t>and deletions</w:t>
            </w:r>
          </w:p>
        </w:tc>
        <w:tc>
          <w:tcPr>
            <w:tcW w:w="1463" w:type="pct"/>
            <w:tcBorders>
              <w:top w:val="nil"/>
              <w:bottom w:val="nil"/>
            </w:tcBorders>
            <w:shd w:val="clear" w:color="auto" w:fill="D9D9D9" w:themeFill="background1" w:themeFillShade="D9"/>
          </w:tcPr>
          <w:p w14:paraId="0AF61551" w14:textId="32F7F1C6" w:rsidR="00353229" w:rsidRPr="00475EAB" w:rsidRDefault="00353229">
            <w:pPr>
              <w:pStyle w:val="TableText"/>
              <w:rPr>
                <w:b/>
                <w:bCs/>
              </w:rPr>
            </w:pPr>
            <w:r w:rsidRPr="00475EAB">
              <w:rPr>
                <w:b/>
                <w:bCs/>
              </w:rPr>
              <w:t xml:space="preserve">Main </w:t>
            </w:r>
            <w:r w:rsidR="00911C60">
              <w:rPr>
                <w:b/>
                <w:bCs/>
              </w:rPr>
              <w:t>reasons</w:t>
            </w:r>
          </w:p>
        </w:tc>
      </w:tr>
      <w:tr w:rsidR="00353229" w:rsidRPr="00475EAB" w14:paraId="3EDFEF81" w14:textId="77777777" w:rsidTr="00A25781">
        <w:tc>
          <w:tcPr>
            <w:tcW w:w="1324" w:type="pct"/>
            <w:tcBorders>
              <w:top w:val="nil"/>
            </w:tcBorders>
            <w:vAlign w:val="center"/>
          </w:tcPr>
          <w:p w14:paraId="1976AAA6" w14:textId="44B71E5F" w:rsidR="00353229" w:rsidRPr="00D8673C" w:rsidRDefault="00353229" w:rsidP="006D5045">
            <w:pPr>
              <w:pStyle w:val="TableText"/>
              <w:rPr>
                <w:b/>
                <w:bCs/>
              </w:rPr>
            </w:pPr>
            <w:r w:rsidRPr="00D8673C">
              <w:rPr>
                <w:b/>
                <w:bCs/>
              </w:rPr>
              <w:t xml:space="preserve">Replacement of term ‘delegate’ </w:t>
            </w:r>
            <w:r w:rsidR="003B2229">
              <w:rPr>
                <w:b/>
                <w:bCs/>
              </w:rPr>
              <w:t xml:space="preserve">used </w:t>
            </w:r>
            <w:r w:rsidRPr="00D8673C">
              <w:rPr>
                <w:b/>
                <w:bCs/>
              </w:rPr>
              <w:t xml:space="preserve">in </w:t>
            </w:r>
            <w:r w:rsidR="003B2229">
              <w:rPr>
                <w:b/>
                <w:bCs/>
              </w:rPr>
              <w:t xml:space="preserve">current </w:t>
            </w:r>
            <w:r w:rsidRPr="00D8673C">
              <w:rPr>
                <w:b/>
                <w:bCs/>
              </w:rPr>
              <w:t>C2</w:t>
            </w:r>
          </w:p>
        </w:tc>
        <w:tc>
          <w:tcPr>
            <w:tcW w:w="2213" w:type="pct"/>
            <w:tcBorders>
              <w:top w:val="nil"/>
            </w:tcBorders>
          </w:tcPr>
          <w:p w14:paraId="787D673C" w14:textId="173BD61F" w:rsidR="00353229" w:rsidRPr="00475EAB" w:rsidRDefault="000C7705">
            <w:pPr>
              <w:pStyle w:val="TableText"/>
            </w:pPr>
            <w:bookmarkStart w:id="23" w:name="_Hlk144210501"/>
            <w:r w:rsidRPr="000C7705">
              <w:t>The term ‘delegate’ used in the current C2 has been replaced in the revised C2 by the terms: ‘duty’ (clause 1(a)(v)), ‘roles’ (clauses 1(b) and 1(b)(i)), ‘people’ (clause 1(b)(ii)), ‘roles and appointments’ (clause 17(a)) and ‘cooperate with and direct’ (clause 22(b)).</w:t>
            </w:r>
            <w:bookmarkEnd w:id="23"/>
          </w:p>
        </w:tc>
        <w:tc>
          <w:tcPr>
            <w:tcW w:w="1463" w:type="pct"/>
            <w:tcBorders>
              <w:top w:val="nil"/>
            </w:tcBorders>
          </w:tcPr>
          <w:p w14:paraId="7DEE6D31" w14:textId="77777777" w:rsidR="00353229" w:rsidRPr="00475EAB" w:rsidRDefault="00353229">
            <w:pPr>
              <w:pStyle w:val="TableText"/>
            </w:pPr>
            <w:r w:rsidRPr="00475EAB">
              <w:t xml:space="preserve">Improved alignment with </w:t>
            </w:r>
            <w:r>
              <w:t xml:space="preserve">the </w:t>
            </w:r>
            <w:r w:rsidRPr="00475EAB">
              <w:t>Act.</w:t>
            </w:r>
          </w:p>
        </w:tc>
      </w:tr>
      <w:tr w:rsidR="00353229" w:rsidRPr="00475EAB" w14:paraId="467AF456" w14:textId="77777777" w:rsidTr="00A25781">
        <w:tc>
          <w:tcPr>
            <w:tcW w:w="1324" w:type="pct"/>
            <w:vAlign w:val="center"/>
          </w:tcPr>
          <w:p w14:paraId="2FF407B3" w14:textId="77777777" w:rsidR="00353229" w:rsidRPr="00D8673C" w:rsidRDefault="00353229" w:rsidP="006D5045">
            <w:pPr>
              <w:pStyle w:val="TableText"/>
              <w:rPr>
                <w:b/>
                <w:bCs/>
              </w:rPr>
            </w:pPr>
            <w:r w:rsidRPr="00D8673C">
              <w:rPr>
                <w:b/>
                <w:bCs/>
              </w:rPr>
              <w:t>Purpose and commencement</w:t>
            </w:r>
          </w:p>
        </w:tc>
        <w:tc>
          <w:tcPr>
            <w:tcW w:w="2213" w:type="pct"/>
          </w:tcPr>
          <w:p w14:paraId="3FD81DB7" w14:textId="4CB420DB" w:rsidR="00353229" w:rsidRPr="00E41DD5" w:rsidRDefault="000C7705">
            <w:pPr>
              <w:pStyle w:val="TableText"/>
            </w:pPr>
            <w:r w:rsidRPr="000C7705">
              <w:t>The phrase ‘technical requirements necessary for a person who deals with’ has replaced ‘the operational information necessary’.</w:t>
            </w:r>
          </w:p>
        </w:tc>
        <w:tc>
          <w:tcPr>
            <w:tcW w:w="1463" w:type="pct"/>
          </w:tcPr>
          <w:p w14:paraId="60F8DE74" w14:textId="77777777" w:rsidR="00353229" w:rsidRPr="00475EAB" w:rsidRDefault="00353229">
            <w:pPr>
              <w:pStyle w:val="TableText"/>
            </w:pPr>
            <w:r w:rsidRPr="00475EAB">
              <w:t xml:space="preserve">Improved alignment with </w:t>
            </w:r>
            <w:r>
              <w:t xml:space="preserve">the </w:t>
            </w:r>
            <w:r w:rsidRPr="00475EAB">
              <w:t>Act.</w:t>
            </w:r>
          </w:p>
        </w:tc>
      </w:tr>
      <w:tr w:rsidR="00353229" w:rsidRPr="00475EAB" w14:paraId="3866A6D6" w14:textId="77777777" w:rsidTr="00A25781">
        <w:tc>
          <w:tcPr>
            <w:tcW w:w="1324" w:type="pct"/>
            <w:vMerge w:val="restart"/>
            <w:vAlign w:val="center"/>
          </w:tcPr>
          <w:p w14:paraId="75FC6C2B" w14:textId="77777777" w:rsidR="00353229" w:rsidRPr="00D8673C" w:rsidRDefault="00353229" w:rsidP="006D5045">
            <w:pPr>
              <w:pStyle w:val="TableText"/>
              <w:rPr>
                <w:b/>
                <w:bCs/>
                <w:highlight w:val="yellow"/>
              </w:rPr>
            </w:pPr>
            <w:r w:rsidRPr="00D8673C">
              <w:rPr>
                <w:b/>
                <w:bCs/>
              </w:rPr>
              <w:t>Scope</w:t>
            </w:r>
          </w:p>
        </w:tc>
        <w:tc>
          <w:tcPr>
            <w:tcW w:w="2213" w:type="pct"/>
          </w:tcPr>
          <w:p w14:paraId="6FCEA128" w14:textId="432033E7" w:rsidR="00353229" w:rsidRPr="008D2112" w:rsidRDefault="004E1579">
            <w:pPr>
              <w:pStyle w:val="TableText"/>
            </w:pPr>
            <w:r>
              <w:t xml:space="preserve">The phrase </w:t>
            </w:r>
            <w:r w:rsidR="00353229" w:rsidRPr="008D2112">
              <w:t>‘activities and practices’ has replaced ‘activities’.</w:t>
            </w:r>
          </w:p>
        </w:tc>
        <w:tc>
          <w:tcPr>
            <w:tcW w:w="1463" w:type="pct"/>
          </w:tcPr>
          <w:p w14:paraId="65097F54" w14:textId="77777777" w:rsidR="00353229" w:rsidRPr="00475EAB" w:rsidRDefault="00353229">
            <w:pPr>
              <w:pStyle w:val="TableText"/>
            </w:pPr>
            <w:r w:rsidRPr="00475EAB">
              <w:t xml:space="preserve">Improved alignment with </w:t>
            </w:r>
            <w:r>
              <w:t xml:space="preserve">the </w:t>
            </w:r>
            <w:r w:rsidRPr="00475EAB">
              <w:t>Act.</w:t>
            </w:r>
          </w:p>
        </w:tc>
      </w:tr>
      <w:tr w:rsidR="00353229" w:rsidRPr="00475EAB" w14:paraId="18EB844B" w14:textId="77777777" w:rsidTr="00A25781">
        <w:tc>
          <w:tcPr>
            <w:tcW w:w="1324" w:type="pct"/>
            <w:vMerge/>
            <w:vAlign w:val="center"/>
          </w:tcPr>
          <w:p w14:paraId="551B3A1B" w14:textId="77777777" w:rsidR="00353229" w:rsidRPr="00475EAB" w:rsidRDefault="00353229">
            <w:pPr>
              <w:pStyle w:val="TableText"/>
              <w:rPr>
                <w:b/>
                <w:bCs/>
                <w:sz w:val="20"/>
              </w:rPr>
            </w:pPr>
          </w:p>
        </w:tc>
        <w:tc>
          <w:tcPr>
            <w:tcW w:w="2213" w:type="pct"/>
          </w:tcPr>
          <w:p w14:paraId="1090F9E6" w14:textId="24082086" w:rsidR="00353229" w:rsidRPr="008D2112" w:rsidRDefault="00353229">
            <w:pPr>
              <w:pStyle w:val="TableText"/>
            </w:pPr>
            <w:r w:rsidRPr="008D2112">
              <w:t xml:space="preserve">The revised C2 applies to activities and practices associated with the use of unsealed radioactive material in nuclear medicine. </w:t>
            </w:r>
          </w:p>
          <w:p w14:paraId="4D96F4EE" w14:textId="3AB68E53" w:rsidR="00353229" w:rsidRPr="008D2112" w:rsidRDefault="00353229">
            <w:pPr>
              <w:pStyle w:val="TableText"/>
            </w:pPr>
            <w:r w:rsidRPr="008D2112">
              <w:t>Activities and practices in nuclear medicine associated with irradiating apparatus</w:t>
            </w:r>
            <w:r w:rsidR="002A1BFD">
              <w:t>es</w:t>
            </w:r>
            <w:r w:rsidRPr="008D2112">
              <w:t xml:space="preserve"> and sealed radioactive material</w:t>
            </w:r>
            <w:r w:rsidR="002A1BFD">
              <w:t>s</w:t>
            </w:r>
            <w:r w:rsidRPr="008D2112">
              <w:t xml:space="preserve"> are subject to associated codes of practice. Consequently, clause</w:t>
            </w:r>
            <w:r>
              <w:t>s</w:t>
            </w:r>
            <w:r w:rsidRPr="008D2112">
              <w:t xml:space="preserve"> 5(c) and </w:t>
            </w:r>
            <w:r w:rsidR="00911C60">
              <w:t>5(</w:t>
            </w:r>
            <w:r w:rsidRPr="008D2112">
              <w:t>d</w:t>
            </w:r>
            <w:r w:rsidR="00911C60">
              <w:t>)</w:t>
            </w:r>
            <w:r w:rsidRPr="008D2112">
              <w:t>(iv) have been deleted.</w:t>
            </w:r>
          </w:p>
        </w:tc>
        <w:tc>
          <w:tcPr>
            <w:tcW w:w="1463" w:type="pct"/>
          </w:tcPr>
          <w:p w14:paraId="333F27ED" w14:textId="77777777" w:rsidR="00353229" w:rsidRPr="00475EAB" w:rsidRDefault="00353229">
            <w:pPr>
              <w:pStyle w:val="TableText"/>
            </w:pPr>
            <w:r w:rsidRPr="00475EAB">
              <w:t>Clearer statement of requirements.</w:t>
            </w:r>
          </w:p>
        </w:tc>
      </w:tr>
      <w:tr w:rsidR="00353229" w:rsidRPr="00475EAB" w14:paraId="37C381E9" w14:textId="77777777" w:rsidTr="00A25781">
        <w:tc>
          <w:tcPr>
            <w:tcW w:w="1324" w:type="pct"/>
            <w:vMerge/>
            <w:vAlign w:val="center"/>
          </w:tcPr>
          <w:p w14:paraId="1E3EF8E1" w14:textId="77777777" w:rsidR="00353229" w:rsidRPr="00475EAB" w:rsidRDefault="00353229">
            <w:pPr>
              <w:pStyle w:val="TableText"/>
              <w:rPr>
                <w:b/>
                <w:bCs/>
                <w:sz w:val="20"/>
              </w:rPr>
            </w:pPr>
          </w:p>
        </w:tc>
        <w:tc>
          <w:tcPr>
            <w:tcW w:w="2213" w:type="pct"/>
          </w:tcPr>
          <w:p w14:paraId="70DE9C16" w14:textId="454C6E7F" w:rsidR="00353229" w:rsidRPr="008D2112" w:rsidRDefault="000C7705">
            <w:pPr>
              <w:pStyle w:val="TableText"/>
            </w:pPr>
            <w:r w:rsidRPr="000C7705">
              <w:t>The reference to ‘deal with’ has been expanded to fully include to all aspects given in the Act.</w:t>
            </w:r>
            <w:r>
              <w:t xml:space="preserve"> </w:t>
            </w:r>
          </w:p>
        </w:tc>
        <w:tc>
          <w:tcPr>
            <w:tcW w:w="1463" w:type="pct"/>
          </w:tcPr>
          <w:p w14:paraId="2716FBB8" w14:textId="77777777" w:rsidR="00353229" w:rsidRPr="00475EAB" w:rsidRDefault="00353229">
            <w:pPr>
              <w:pStyle w:val="TableText"/>
            </w:pPr>
            <w:r w:rsidRPr="00475EAB">
              <w:t xml:space="preserve">Improved alignment with </w:t>
            </w:r>
            <w:r>
              <w:t xml:space="preserve">the </w:t>
            </w:r>
            <w:r w:rsidRPr="00475EAB">
              <w:t>Act.</w:t>
            </w:r>
          </w:p>
        </w:tc>
      </w:tr>
      <w:tr w:rsidR="00353229" w:rsidRPr="00475EAB" w14:paraId="27E86AA3" w14:textId="77777777" w:rsidTr="00A25781">
        <w:tc>
          <w:tcPr>
            <w:tcW w:w="1324" w:type="pct"/>
            <w:vMerge/>
            <w:vAlign w:val="center"/>
          </w:tcPr>
          <w:p w14:paraId="625B86BB" w14:textId="77777777" w:rsidR="00353229" w:rsidRPr="00475EAB" w:rsidRDefault="00353229">
            <w:pPr>
              <w:pStyle w:val="TableText"/>
              <w:rPr>
                <w:b/>
                <w:bCs/>
                <w:sz w:val="20"/>
              </w:rPr>
            </w:pPr>
          </w:p>
        </w:tc>
        <w:tc>
          <w:tcPr>
            <w:tcW w:w="2213" w:type="pct"/>
          </w:tcPr>
          <w:p w14:paraId="6C4CB1E3" w14:textId="77777777" w:rsidR="00353229" w:rsidRPr="008D2112" w:rsidRDefault="00353229">
            <w:pPr>
              <w:pStyle w:val="TableText"/>
            </w:pPr>
            <w:r>
              <w:t>A p</w:t>
            </w:r>
            <w:r w:rsidRPr="008D2112">
              <w:t>aragraph has been added stating that the fundamental requirements listed in the Act apply to e</w:t>
            </w:r>
            <w:r w:rsidRPr="008D2112">
              <w:rPr>
                <w:shd w:val="clear" w:color="auto" w:fill="FFFFFF"/>
              </w:rPr>
              <w:t>very person who deals with a radiation source</w:t>
            </w:r>
            <w:r w:rsidRPr="008D2112">
              <w:t xml:space="preserve">. </w:t>
            </w:r>
          </w:p>
        </w:tc>
        <w:tc>
          <w:tcPr>
            <w:tcW w:w="1463" w:type="pct"/>
          </w:tcPr>
          <w:p w14:paraId="55513844" w14:textId="6BD3DF9E" w:rsidR="00353229" w:rsidRPr="00475EAB" w:rsidRDefault="00D76F8D">
            <w:pPr>
              <w:pStyle w:val="TableText"/>
            </w:pPr>
            <w:r>
              <w:t>To avoid</w:t>
            </w:r>
            <w:r w:rsidR="00353229" w:rsidRPr="00475EAB">
              <w:t xml:space="preserve"> doubt.</w:t>
            </w:r>
          </w:p>
        </w:tc>
      </w:tr>
      <w:tr w:rsidR="00353229" w:rsidRPr="00475EAB" w14:paraId="09861B82" w14:textId="77777777" w:rsidTr="00A25781">
        <w:tc>
          <w:tcPr>
            <w:tcW w:w="1324" w:type="pct"/>
            <w:vMerge/>
            <w:vAlign w:val="center"/>
          </w:tcPr>
          <w:p w14:paraId="1A4FB234" w14:textId="77777777" w:rsidR="00353229" w:rsidRPr="00475EAB" w:rsidRDefault="00353229">
            <w:pPr>
              <w:pStyle w:val="TableText"/>
              <w:rPr>
                <w:b/>
                <w:bCs/>
                <w:sz w:val="20"/>
              </w:rPr>
            </w:pPr>
          </w:p>
        </w:tc>
        <w:tc>
          <w:tcPr>
            <w:tcW w:w="2213" w:type="pct"/>
          </w:tcPr>
          <w:p w14:paraId="7E743733" w14:textId="2AA2B818" w:rsidR="00353229" w:rsidRDefault="00353229">
            <w:pPr>
              <w:pStyle w:val="TableText"/>
            </w:pPr>
            <w:r w:rsidRPr="008D2112">
              <w:t>The</w:t>
            </w:r>
            <w:r w:rsidR="00A26493">
              <w:t xml:space="preserve"> term</w:t>
            </w:r>
            <w:r w:rsidRPr="008D2112">
              <w:t xml:space="preserve"> ‘holder of a source licence’ (HSL) has replaced </w:t>
            </w:r>
            <w:r w:rsidR="00025256">
              <w:t xml:space="preserve">the term </w:t>
            </w:r>
            <w:r w:rsidRPr="008D2112">
              <w:t>‘managing entity’.</w:t>
            </w:r>
          </w:p>
          <w:p w14:paraId="1F6D8B08" w14:textId="6FBCA463" w:rsidR="00353229" w:rsidRPr="008D2112" w:rsidRDefault="00353229">
            <w:pPr>
              <w:pStyle w:val="TableText"/>
            </w:pPr>
            <w:r w:rsidRPr="008D2112">
              <w:t xml:space="preserve">The HSL is </w:t>
            </w:r>
            <w:r w:rsidRPr="008D2112">
              <w:rPr>
                <w:shd w:val="clear" w:color="auto" w:fill="FFFFFF"/>
              </w:rPr>
              <w:t>responsible at all times for manag</w:t>
            </w:r>
            <w:r w:rsidR="00A26493">
              <w:rPr>
                <w:shd w:val="clear" w:color="auto" w:fill="FFFFFF"/>
              </w:rPr>
              <w:t>ing</w:t>
            </w:r>
            <w:r w:rsidRPr="008D2112">
              <w:rPr>
                <w:shd w:val="clear" w:color="auto" w:fill="FFFFFF"/>
              </w:rPr>
              <w:t xml:space="preserve"> and control</w:t>
            </w:r>
            <w:r w:rsidR="00A26493">
              <w:rPr>
                <w:shd w:val="clear" w:color="auto" w:fill="FFFFFF"/>
              </w:rPr>
              <w:t>ling</w:t>
            </w:r>
            <w:r w:rsidRPr="008D2112">
              <w:rPr>
                <w:shd w:val="clear" w:color="auto" w:fill="FFFFFF"/>
              </w:rPr>
              <w:t xml:space="preserve"> each radiation source to which the licence applies</w:t>
            </w:r>
            <w:r w:rsidRPr="008D2112">
              <w:t>.</w:t>
            </w:r>
          </w:p>
        </w:tc>
        <w:tc>
          <w:tcPr>
            <w:tcW w:w="1463" w:type="pct"/>
          </w:tcPr>
          <w:p w14:paraId="487B7D95" w14:textId="32FB51BE" w:rsidR="00353229" w:rsidRPr="00475EAB" w:rsidRDefault="00353229">
            <w:pPr>
              <w:pStyle w:val="TableText"/>
            </w:pPr>
            <w:r w:rsidRPr="00475EAB">
              <w:t xml:space="preserve">Improved alignment with </w:t>
            </w:r>
            <w:r>
              <w:t xml:space="preserve">the </w:t>
            </w:r>
            <w:r w:rsidRPr="00475EAB">
              <w:t>Act.</w:t>
            </w:r>
            <w:r w:rsidR="00025256" w:rsidRPr="008D2112">
              <w:t xml:space="preserve"> The HSL is a term used in </w:t>
            </w:r>
            <w:hyperlink r:id="rId27" w:history="1">
              <w:r w:rsidR="00025256" w:rsidRPr="008D2112">
                <w:rPr>
                  <w:rStyle w:val="Hyperlink"/>
                  <w:rFonts w:cs="Segoe UI"/>
                  <w:szCs w:val="18"/>
                </w:rPr>
                <w:t>section 20</w:t>
              </w:r>
            </w:hyperlink>
            <w:r w:rsidR="00025256" w:rsidRPr="008D2112">
              <w:t xml:space="preserve"> of the Act. </w:t>
            </w:r>
          </w:p>
          <w:p w14:paraId="448DA880" w14:textId="1ADE3513" w:rsidR="00353229" w:rsidRPr="00475EAB" w:rsidRDefault="000C7705">
            <w:pPr>
              <w:pStyle w:val="TableText"/>
            </w:pPr>
            <w:r w:rsidRPr="000C7705">
              <w:t>This amendment has no effect on how the Director has identified responsibilities in the revised C2 compared with current C2.</w:t>
            </w:r>
          </w:p>
        </w:tc>
      </w:tr>
      <w:tr w:rsidR="00353229" w:rsidRPr="00475EAB" w14:paraId="115DC073" w14:textId="77777777" w:rsidTr="00A25781">
        <w:tc>
          <w:tcPr>
            <w:tcW w:w="1324" w:type="pct"/>
            <w:vAlign w:val="center"/>
          </w:tcPr>
          <w:p w14:paraId="78D9F801" w14:textId="77777777" w:rsidR="00353229" w:rsidRPr="00D8673C" w:rsidRDefault="00353229" w:rsidP="006D5045">
            <w:pPr>
              <w:pStyle w:val="TableText"/>
              <w:rPr>
                <w:b/>
                <w:bCs/>
              </w:rPr>
            </w:pPr>
            <w:r w:rsidRPr="00D8673C">
              <w:rPr>
                <w:b/>
                <w:bCs/>
              </w:rPr>
              <w:t>Contact</w:t>
            </w:r>
          </w:p>
        </w:tc>
        <w:tc>
          <w:tcPr>
            <w:tcW w:w="2213" w:type="pct"/>
          </w:tcPr>
          <w:p w14:paraId="5D0C3DE4" w14:textId="77777777" w:rsidR="00353229" w:rsidRPr="008D2112" w:rsidRDefault="00353229">
            <w:pPr>
              <w:pStyle w:val="TableText"/>
            </w:pPr>
            <w:r w:rsidRPr="008D2112">
              <w:t>This section has been deleted.</w:t>
            </w:r>
          </w:p>
        </w:tc>
        <w:tc>
          <w:tcPr>
            <w:tcW w:w="1463" w:type="pct"/>
          </w:tcPr>
          <w:p w14:paraId="39AF33AA" w14:textId="77777777" w:rsidR="00353229" w:rsidRPr="00475EAB" w:rsidRDefault="00353229">
            <w:pPr>
              <w:pStyle w:val="TableText"/>
            </w:pPr>
            <w:r>
              <w:t>This information is most reliably accessed through the Ministry’s web site.</w:t>
            </w:r>
          </w:p>
        </w:tc>
      </w:tr>
      <w:tr w:rsidR="00353229" w:rsidRPr="00475EAB" w14:paraId="7F41B8D4" w14:textId="77777777" w:rsidTr="00A25781">
        <w:tc>
          <w:tcPr>
            <w:tcW w:w="1324" w:type="pct"/>
            <w:vMerge w:val="restart"/>
            <w:vAlign w:val="center"/>
          </w:tcPr>
          <w:p w14:paraId="54ACBE63" w14:textId="77777777" w:rsidR="00353229" w:rsidRPr="005F5AB1" w:rsidRDefault="00353229" w:rsidP="006D5045">
            <w:pPr>
              <w:pStyle w:val="TableText"/>
              <w:rPr>
                <w:b/>
                <w:bCs/>
              </w:rPr>
            </w:pPr>
            <w:r w:rsidRPr="005F5AB1">
              <w:rPr>
                <w:b/>
                <w:bCs/>
              </w:rPr>
              <w:t>Roles and responsibilities</w:t>
            </w:r>
          </w:p>
        </w:tc>
        <w:tc>
          <w:tcPr>
            <w:tcW w:w="2213" w:type="pct"/>
          </w:tcPr>
          <w:p w14:paraId="0210C82A" w14:textId="501505C2" w:rsidR="00353229" w:rsidRPr="008D2112" w:rsidRDefault="00B33685">
            <w:pPr>
              <w:pStyle w:val="TableText"/>
            </w:pPr>
            <w:r>
              <w:t xml:space="preserve">The term </w:t>
            </w:r>
            <w:r w:rsidR="00353229" w:rsidRPr="008D2112">
              <w:t>‘Director for Radiation Safety’ has been amended</w:t>
            </w:r>
          </w:p>
        </w:tc>
        <w:tc>
          <w:tcPr>
            <w:tcW w:w="1463" w:type="pct"/>
          </w:tcPr>
          <w:p w14:paraId="58DBB1D2" w14:textId="77777777" w:rsidR="00353229" w:rsidRDefault="00353229">
            <w:pPr>
              <w:pStyle w:val="TableText"/>
            </w:pPr>
            <w:r w:rsidRPr="00475EAB">
              <w:t xml:space="preserve">Improved alignment with </w:t>
            </w:r>
            <w:r>
              <w:t xml:space="preserve">the </w:t>
            </w:r>
            <w:r w:rsidRPr="00475EAB">
              <w:t>Act.</w:t>
            </w:r>
          </w:p>
        </w:tc>
      </w:tr>
      <w:tr w:rsidR="00353229" w:rsidRPr="00475EAB" w14:paraId="5B4C6DD2" w14:textId="77777777" w:rsidTr="00A25781">
        <w:tc>
          <w:tcPr>
            <w:tcW w:w="1324" w:type="pct"/>
            <w:vMerge/>
            <w:vAlign w:val="center"/>
          </w:tcPr>
          <w:p w14:paraId="175C914F" w14:textId="77777777" w:rsidR="00353229" w:rsidRDefault="00353229">
            <w:pPr>
              <w:pStyle w:val="TableText"/>
              <w:rPr>
                <w:rFonts w:cs="Segoe UI"/>
                <w:b/>
                <w:bCs/>
                <w:sz w:val="20"/>
              </w:rPr>
            </w:pPr>
          </w:p>
        </w:tc>
        <w:tc>
          <w:tcPr>
            <w:tcW w:w="2213" w:type="pct"/>
          </w:tcPr>
          <w:p w14:paraId="553F3394" w14:textId="453EDEA1" w:rsidR="00353229" w:rsidRPr="008D2112" w:rsidRDefault="00B33685">
            <w:pPr>
              <w:pStyle w:val="TableText"/>
            </w:pPr>
            <w:r>
              <w:t xml:space="preserve">The term </w:t>
            </w:r>
            <w:r w:rsidR="00353229" w:rsidRPr="008D2112">
              <w:t>‘</w:t>
            </w:r>
            <w:r>
              <w:t>h</w:t>
            </w:r>
            <w:r w:rsidR="00353229" w:rsidRPr="008D2112">
              <w:t>ealth practitioner’ has been added.</w:t>
            </w:r>
          </w:p>
        </w:tc>
        <w:tc>
          <w:tcPr>
            <w:tcW w:w="1463" w:type="pct"/>
          </w:tcPr>
          <w:p w14:paraId="74AA9139" w14:textId="77777777" w:rsidR="00353229" w:rsidRPr="00475EAB" w:rsidRDefault="00353229">
            <w:pPr>
              <w:pStyle w:val="TableText"/>
            </w:pPr>
            <w:r w:rsidRPr="00475EAB">
              <w:t xml:space="preserve">Improved alignment with </w:t>
            </w:r>
            <w:r>
              <w:t xml:space="preserve">the </w:t>
            </w:r>
            <w:r w:rsidRPr="00475EAB">
              <w:t>Act.</w:t>
            </w:r>
          </w:p>
          <w:p w14:paraId="4E923D74" w14:textId="77777777" w:rsidR="00353229" w:rsidRDefault="00353229">
            <w:pPr>
              <w:pStyle w:val="TableText"/>
            </w:pPr>
            <w:r w:rsidRPr="00475EAB">
              <w:t>Clearer statement of requirements.</w:t>
            </w:r>
          </w:p>
        </w:tc>
      </w:tr>
      <w:tr w:rsidR="00353229" w:rsidRPr="00475EAB" w14:paraId="1957024F" w14:textId="77777777" w:rsidTr="00A25781">
        <w:tc>
          <w:tcPr>
            <w:tcW w:w="1324" w:type="pct"/>
            <w:vMerge/>
            <w:vAlign w:val="center"/>
          </w:tcPr>
          <w:p w14:paraId="1E1DF399" w14:textId="77777777" w:rsidR="00353229" w:rsidRDefault="00353229">
            <w:pPr>
              <w:pStyle w:val="TableText"/>
              <w:rPr>
                <w:rFonts w:cs="Segoe UI"/>
                <w:b/>
                <w:bCs/>
                <w:sz w:val="20"/>
              </w:rPr>
            </w:pPr>
          </w:p>
        </w:tc>
        <w:tc>
          <w:tcPr>
            <w:tcW w:w="2213" w:type="pct"/>
          </w:tcPr>
          <w:p w14:paraId="7E16F40B" w14:textId="17EF9B76" w:rsidR="00353229" w:rsidRPr="008D2112" w:rsidRDefault="00B33685">
            <w:pPr>
              <w:pStyle w:val="TableText"/>
            </w:pPr>
            <w:r>
              <w:t xml:space="preserve">The term </w:t>
            </w:r>
            <w:r w:rsidR="00353229" w:rsidRPr="008D2112">
              <w:t>‘</w:t>
            </w:r>
            <w:r>
              <w:t>h</w:t>
            </w:r>
            <w:r w:rsidR="00353229" w:rsidRPr="008D2112">
              <w:t>ealth professional’ has been added.</w:t>
            </w:r>
          </w:p>
        </w:tc>
        <w:tc>
          <w:tcPr>
            <w:tcW w:w="1463" w:type="pct"/>
          </w:tcPr>
          <w:p w14:paraId="519D446E" w14:textId="77777777" w:rsidR="00353229" w:rsidRDefault="00353229">
            <w:pPr>
              <w:pStyle w:val="TableText"/>
            </w:pPr>
            <w:r w:rsidRPr="00475EAB">
              <w:t>Clearer statement of requirements.</w:t>
            </w:r>
          </w:p>
        </w:tc>
      </w:tr>
      <w:tr w:rsidR="00353229" w:rsidRPr="00475EAB" w14:paraId="3CAF7DD2" w14:textId="77777777" w:rsidTr="00A25781">
        <w:tc>
          <w:tcPr>
            <w:tcW w:w="1324" w:type="pct"/>
            <w:vMerge/>
            <w:vAlign w:val="center"/>
          </w:tcPr>
          <w:p w14:paraId="3A005C14" w14:textId="77777777" w:rsidR="00353229" w:rsidRDefault="00353229">
            <w:pPr>
              <w:pStyle w:val="TableText"/>
              <w:rPr>
                <w:rFonts w:cs="Segoe UI"/>
                <w:b/>
                <w:bCs/>
                <w:sz w:val="20"/>
              </w:rPr>
            </w:pPr>
          </w:p>
        </w:tc>
        <w:tc>
          <w:tcPr>
            <w:tcW w:w="2213" w:type="pct"/>
          </w:tcPr>
          <w:p w14:paraId="3AD93AC4" w14:textId="5E2BB098" w:rsidR="00353229" w:rsidRPr="008D2112" w:rsidRDefault="00B33685">
            <w:pPr>
              <w:pStyle w:val="TableText"/>
              <w:rPr>
                <w:bCs/>
              </w:rPr>
            </w:pPr>
            <w:r>
              <w:t xml:space="preserve">The term </w:t>
            </w:r>
            <w:r w:rsidR="00353229" w:rsidRPr="008D2112">
              <w:rPr>
                <w:bCs/>
              </w:rPr>
              <w:t>‘</w:t>
            </w:r>
            <w:r>
              <w:rPr>
                <w:bCs/>
              </w:rPr>
              <w:t>h</w:t>
            </w:r>
            <w:r w:rsidR="00353229" w:rsidRPr="008D2112">
              <w:rPr>
                <w:bCs/>
              </w:rPr>
              <w:t>older of a source licence’ has been added.</w:t>
            </w:r>
          </w:p>
          <w:p w14:paraId="3AB04054" w14:textId="41F8A010" w:rsidR="00353229" w:rsidRPr="008D2112" w:rsidRDefault="00B33685">
            <w:pPr>
              <w:pStyle w:val="TableText"/>
            </w:pPr>
            <w:r>
              <w:rPr>
                <w:bCs/>
              </w:rPr>
              <w:t>The i</w:t>
            </w:r>
            <w:r w:rsidR="00353229" w:rsidRPr="008D2112">
              <w:rPr>
                <w:bCs/>
              </w:rPr>
              <w:t xml:space="preserve">nterpretation of </w:t>
            </w:r>
            <w:r w:rsidR="00353229" w:rsidRPr="008D2112">
              <w:t>‘managing entity’ has been deleted.</w:t>
            </w:r>
          </w:p>
        </w:tc>
        <w:tc>
          <w:tcPr>
            <w:tcW w:w="1463" w:type="pct"/>
          </w:tcPr>
          <w:p w14:paraId="16A0A92A" w14:textId="77777777" w:rsidR="00353229" w:rsidRPr="00475EAB" w:rsidRDefault="00353229">
            <w:pPr>
              <w:pStyle w:val="TableText"/>
            </w:pPr>
            <w:r w:rsidRPr="00475EAB">
              <w:t xml:space="preserve">Improved alignment with </w:t>
            </w:r>
            <w:r>
              <w:t xml:space="preserve">the </w:t>
            </w:r>
            <w:r w:rsidRPr="00475EAB">
              <w:t>Act.</w:t>
            </w:r>
          </w:p>
          <w:p w14:paraId="2C867126" w14:textId="77777777" w:rsidR="00353229" w:rsidRDefault="00353229">
            <w:pPr>
              <w:pStyle w:val="TableText"/>
            </w:pPr>
            <w:r w:rsidRPr="00475EAB">
              <w:t>Clearer statement of requirements.</w:t>
            </w:r>
          </w:p>
        </w:tc>
      </w:tr>
      <w:tr w:rsidR="00353229" w:rsidRPr="00475EAB" w14:paraId="6FB34910" w14:textId="77777777" w:rsidTr="00A25781">
        <w:tc>
          <w:tcPr>
            <w:tcW w:w="1324" w:type="pct"/>
            <w:vMerge/>
            <w:vAlign w:val="center"/>
          </w:tcPr>
          <w:p w14:paraId="337AB1EA" w14:textId="77777777" w:rsidR="00353229" w:rsidRDefault="00353229">
            <w:pPr>
              <w:pStyle w:val="TableText"/>
              <w:rPr>
                <w:rFonts w:cs="Segoe UI"/>
                <w:b/>
                <w:bCs/>
                <w:sz w:val="20"/>
              </w:rPr>
            </w:pPr>
          </w:p>
        </w:tc>
        <w:tc>
          <w:tcPr>
            <w:tcW w:w="2213" w:type="pct"/>
          </w:tcPr>
          <w:p w14:paraId="05082292" w14:textId="6B1215D9" w:rsidR="00353229" w:rsidRPr="008D2112" w:rsidRDefault="008857E7">
            <w:pPr>
              <w:pStyle w:val="TableText"/>
            </w:pPr>
            <w:r>
              <w:t xml:space="preserve">The term </w:t>
            </w:r>
            <w:r w:rsidR="00353229" w:rsidRPr="008D2112">
              <w:t>‘</w:t>
            </w:r>
            <w:r>
              <w:t>m</w:t>
            </w:r>
            <w:r w:rsidR="00353229" w:rsidRPr="008D2112">
              <w:t>edical physics expert’ (MPE) has replaced ‘</w:t>
            </w:r>
            <w:r>
              <w:t>m</w:t>
            </w:r>
            <w:r w:rsidR="00353229" w:rsidRPr="008D2112">
              <w:t>edical physicist’.</w:t>
            </w:r>
          </w:p>
          <w:p w14:paraId="2422F63C" w14:textId="2FDD267C" w:rsidR="00353229" w:rsidRPr="008D2112" w:rsidRDefault="00353229">
            <w:pPr>
              <w:pStyle w:val="TableText"/>
            </w:pPr>
            <w:r w:rsidRPr="008D2112">
              <w:t xml:space="preserve">The interpretation of an MPE includes an example of one mechanism </w:t>
            </w:r>
            <w:r w:rsidR="00DF38FB">
              <w:t>for</w:t>
            </w:r>
            <w:r w:rsidR="00DF38FB" w:rsidRPr="008D2112">
              <w:t xml:space="preserve"> </w:t>
            </w:r>
            <w:r w:rsidRPr="008D2112">
              <w:t>establishing the competence of an MPE.</w:t>
            </w:r>
          </w:p>
        </w:tc>
        <w:tc>
          <w:tcPr>
            <w:tcW w:w="1463" w:type="pct"/>
          </w:tcPr>
          <w:p w14:paraId="6C4D224D" w14:textId="76DF5776" w:rsidR="00353229" w:rsidRPr="00475EAB" w:rsidRDefault="00D7667F">
            <w:pPr>
              <w:pStyle w:val="TableText"/>
            </w:pPr>
            <w:r>
              <w:t>Improved</w:t>
            </w:r>
            <w:r w:rsidR="00353229" w:rsidRPr="00475EAB">
              <w:t xml:space="preserve"> align</w:t>
            </w:r>
            <w:r>
              <w:t>ment</w:t>
            </w:r>
            <w:r w:rsidR="00353229" w:rsidRPr="00475EAB">
              <w:t xml:space="preserve"> with the term ‘Qualified expert’ used in </w:t>
            </w:r>
            <w:r w:rsidR="00353229">
              <w:t xml:space="preserve">the </w:t>
            </w:r>
            <w:r w:rsidR="00353229" w:rsidRPr="00475EAB">
              <w:t xml:space="preserve">revised </w:t>
            </w:r>
            <w:r w:rsidR="00353229">
              <w:t>C2</w:t>
            </w:r>
            <w:r w:rsidR="00353229" w:rsidRPr="00475EAB">
              <w:t>.</w:t>
            </w:r>
          </w:p>
          <w:p w14:paraId="6629E140" w14:textId="77777777" w:rsidR="00353229" w:rsidRDefault="00353229">
            <w:pPr>
              <w:pStyle w:val="TableText"/>
            </w:pPr>
            <w:r w:rsidRPr="00475EAB">
              <w:t xml:space="preserve">Further recognises the role of </w:t>
            </w:r>
            <w:r>
              <w:t xml:space="preserve">an </w:t>
            </w:r>
            <w:r w:rsidRPr="00475EAB">
              <w:t>MPE in radiation protection of the patient.</w:t>
            </w:r>
          </w:p>
        </w:tc>
      </w:tr>
      <w:tr w:rsidR="00353229" w:rsidRPr="00475EAB" w14:paraId="0E43E119" w14:textId="77777777" w:rsidTr="00A25781">
        <w:tc>
          <w:tcPr>
            <w:tcW w:w="1324" w:type="pct"/>
            <w:vMerge/>
            <w:vAlign w:val="center"/>
          </w:tcPr>
          <w:p w14:paraId="4C06CB78" w14:textId="77777777" w:rsidR="00353229" w:rsidRDefault="00353229">
            <w:pPr>
              <w:pStyle w:val="TableText"/>
              <w:rPr>
                <w:rFonts w:cs="Segoe UI"/>
                <w:b/>
                <w:bCs/>
                <w:sz w:val="20"/>
              </w:rPr>
            </w:pPr>
          </w:p>
        </w:tc>
        <w:tc>
          <w:tcPr>
            <w:tcW w:w="2213" w:type="pct"/>
          </w:tcPr>
          <w:p w14:paraId="3BB8A0B9" w14:textId="3CB724C6" w:rsidR="00353229" w:rsidRPr="008D2112" w:rsidRDefault="008857E7">
            <w:pPr>
              <w:pStyle w:val="TableText"/>
            </w:pPr>
            <w:r>
              <w:t xml:space="preserve">The term </w:t>
            </w:r>
            <w:r w:rsidR="00353229" w:rsidRPr="008D2112">
              <w:t>‘</w:t>
            </w:r>
            <w:r>
              <w:t>n</w:t>
            </w:r>
            <w:r w:rsidR="00353229" w:rsidRPr="008D2112">
              <w:t>uclear medicine technologist’ has been deleted.</w:t>
            </w:r>
          </w:p>
        </w:tc>
        <w:tc>
          <w:tcPr>
            <w:tcW w:w="1463" w:type="pct"/>
          </w:tcPr>
          <w:p w14:paraId="34FAA2CA" w14:textId="77777777" w:rsidR="00353229" w:rsidRDefault="00353229">
            <w:pPr>
              <w:pStyle w:val="TableText"/>
            </w:pPr>
            <w:r w:rsidRPr="00475EAB">
              <w:t>Clearer statement of requirements.</w:t>
            </w:r>
          </w:p>
        </w:tc>
      </w:tr>
      <w:tr w:rsidR="00353229" w:rsidRPr="00475EAB" w14:paraId="4A6D62E6" w14:textId="77777777" w:rsidTr="00A25781">
        <w:tc>
          <w:tcPr>
            <w:tcW w:w="1324" w:type="pct"/>
            <w:vMerge/>
            <w:vAlign w:val="center"/>
          </w:tcPr>
          <w:p w14:paraId="5D1F3B05" w14:textId="77777777" w:rsidR="00353229" w:rsidRDefault="00353229">
            <w:pPr>
              <w:pStyle w:val="TableText"/>
              <w:rPr>
                <w:rFonts w:cs="Segoe UI"/>
                <w:b/>
                <w:bCs/>
                <w:sz w:val="20"/>
              </w:rPr>
            </w:pPr>
          </w:p>
        </w:tc>
        <w:tc>
          <w:tcPr>
            <w:tcW w:w="2213" w:type="pct"/>
          </w:tcPr>
          <w:p w14:paraId="12281ED6" w14:textId="794A0879" w:rsidR="00353229" w:rsidRPr="008D2112" w:rsidRDefault="00353229">
            <w:pPr>
              <w:pStyle w:val="TableText"/>
            </w:pPr>
            <w:r w:rsidRPr="008D2112">
              <w:t xml:space="preserve">The term </w:t>
            </w:r>
            <w:r w:rsidR="00F3545C" w:rsidRPr="008D2112">
              <w:t>‘</w:t>
            </w:r>
            <w:r w:rsidR="00E15FF7">
              <w:t>u</w:t>
            </w:r>
            <w:r w:rsidR="00F3545C" w:rsidRPr="008D2112">
              <w:t>ser of unsealed radioactive material’</w:t>
            </w:r>
            <w:r w:rsidR="00E15FF7">
              <w:t xml:space="preserve"> has </w:t>
            </w:r>
            <w:r w:rsidRPr="008D2112">
              <w:t xml:space="preserve">replaced </w:t>
            </w:r>
            <w:r w:rsidR="00F3545C">
              <w:t>‘</w:t>
            </w:r>
            <w:r w:rsidR="00E15FF7">
              <w:t>o</w:t>
            </w:r>
            <w:r w:rsidR="00F3545C" w:rsidRPr="008D2112">
              <w:t>perator</w:t>
            </w:r>
            <w:r w:rsidR="00F3545C">
              <w:t>’</w:t>
            </w:r>
            <w:r w:rsidRPr="008D2112">
              <w:t xml:space="preserve">. </w:t>
            </w:r>
            <w:hyperlink r:id="rId28" w:history="1">
              <w:r w:rsidR="0056240A" w:rsidRPr="0056240A">
                <w:rPr>
                  <w:rStyle w:val="Hyperlink"/>
                </w:rPr>
                <w:t>S</w:t>
              </w:r>
              <w:r w:rsidR="0056240A" w:rsidRPr="005F5AB1">
                <w:rPr>
                  <w:rStyle w:val="Hyperlink"/>
                </w:rPr>
                <w:t>ection 21(3)</w:t>
              </w:r>
            </w:hyperlink>
            <w:r w:rsidRPr="008D2112">
              <w:t xml:space="preserve"> of the Act</w:t>
            </w:r>
            <w:r w:rsidR="0056240A">
              <w:t xml:space="preserve"> defines the meaning of ‘use’</w:t>
            </w:r>
            <w:r w:rsidRPr="008D2112">
              <w:t>.</w:t>
            </w:r>
          </w:p>
        </w:tc>
        <w:tc>
          <w:tcPr>
            <w:tcW w:w="1463" w:type="pct"/>
          </w:tcPr>
          <w:p w14:paraId="2833C06D" w14:textId="77777777" w:rsidR="00353229" w:rsidRPr="00475EAB" w:rsidRDefault="00353229">
            <w:pPr>
              <w:pStyle w:val="TableText"/>
            </w:pPr>
            <w:r w:rsidRPr="00475EAB">
              <w:t xml:space="preserve">Improved alignment with </w:t>
            </w:r>
            <w:r>
              <w:t xml:space="preserve">the </w:t>
            </w:r>
            <w:r w:rsidRPr="00475EAB">
              <w:t>Act.</w:t>
            </w:r>
          </w:p>
          <w:p w14:paraId="6469D06A" w14:textId="77777777" w:rsidR="00353229" w:rsidRDefault="00353229">
            <w:pPr>
              <w:pStyle w:val="TableText"/>
            </w:pPr>
            <w:r w:rsidRPr="00475EAB">
              <w:t>Clearer statement of requirements.</w:t>
            </w:r>
          </w:p>
        </w:tc>
      </w:tr>
      <w:tr w:rsidR="00353229" w:rsidRPr="00475EAB" w14:paraId="3804AC6D" w14:textId="77777777" w:rsidTr="00A25781">
        <w:tc>
          <w:tcPr>
            <w:tcW w:w="1324" w:type="pct"/>
            <w:vMerge/>
            <w:vAlign w:val="center"/>
          </w:tcPr>
          <w:p w14:paraId="6177FD13" w14:textId="77777777" w:rsidR="00353229" w:rsidRDefault="00353229">
            <w:pPr>
              <w:pStyle w:val="TableText"/>
              <w:rPr>
                <w:rFonts w:cs="Segoe UI"/>
                <w:b/>
                <w:bCs/>
                <w:sz w:val="20"/>
              </w:rPr>
            </w:pPr>
          </w:p>
        </w:tc>
        <w:tc>
          <w:tcPr>
            <w:tcW w:w="2213" w:type="pct"/>
          </w:tcPr>
          <w:p w14:paraId="5334B4D7" w14:textId="03EB017C" w:rsidR="00353229" w:rsidRPr="008D2112" w:rsidRDefault="00EE753C">
            <w:pPr>
              <w:pStyle w:val="TableText"/>
            </w:pPr>
            <w:r>
              <w:t xml:space="preserve">An </w:t>
            </w:r>
            <w:r w:rsidR="000C7705" w:rsidRPr="000C7705">
              <w:t xml:space="preserve">interpretation of the term ‘person’ has </w:t>
            </w:r>
            <w:r>
              <w:t>been added.</w:t>
            </w:r>
          </w:p>
        </w:tc>
        <w:tc>
          <w:tcPr>
            <w:tcW w:w="1463" w:type="pct"/>
          </w:tcPr>
          <w:p w14:paraId="280A8E5F" w14:textId="77777777" w:rsidR="00353229" w:rsidRDefault="00353229">
            <w:pPr>
              <w:pStyle w:val="TableText"/>
            </w:pPr>
            <w:r w:rsidRPr="00475EAB">
              <w:t>Clearer statement of requirements.</w:t>
            </w:r>
          </w:p>
        </w:tc>
      </w:tr>
      <w:tr w:rsidR="00353229" w:rsidRPr="00475EAB" w14:paraId="6C5E118A" w14:textId="77777777" w:rsidTr="00A25781">
        <w:tc>
          <w:tcPr>
            <w:tcW w:w="1324" w:type="pct"/>
            <w:vMerge/>
            <w:vAlign w:val="center"/>
          </w:tcPr>
          <w:p w14:paraId="2657AA3D" w14:textId="77777777" w:rsidR="00353229" w:rsidRDefault="00353229">
            <w:pPr>
              <w:pStyle w:val="TableText"/>
              <w:rPr>
                <w:rFonts w:cs="Segoe UI"/>
                <w:b/>
                <w:bCs/>
                <w:sz w:val="20"/>
              </w:rPr>
            </w:pPr>
          </w:p>
        </w:tc>
        <w:tc>
          <w:tcPr>
            <w:tcW w:w="2213" w:type="pct"/>
          </w:tcPr>
          <w:p w14:paraId="0C2ABB6F" w14:textId="166869FD" w:rsidR="00353229" w:rsidRPr="008D2112" w:rsidRDefault="008857E7">
            <w:pPr>
              <w:pStyle w:val="TableText"/>
            </w:pPr>
            <w:r>
              <w:t xml:space="preserve">The term </w:t>
            </w:r>
            <w:r w:rsidR="00353229" w:rsidRPr="008D2112">
              <w:t>‘</w:t>
            </w:r>
            <w:r>
              <w:t>r</w:t>
            </w:r>
            <w:r w:rsidR="00353229" w:rsidRPr="008D2112">
              <w:t>adiation therapist’ has been deleted.</w:t>
            </w:r>
          </w:p>
        </w:tc>
        <w:tc>
          <w:tcPr>
            <w:tcW w:w="1463" w:type="pct"/>
          </w:tcPr>
          <w:p w14:paraId="5E65398F" w14:textId="3EB6DEC9" w:rsidR="00353229" w:rsidRDefault="00D7667F">
            <w:pPr>
              <w:pStyle w:val="TableText"/>
            </w:pPr>
            <w:r>
              <w:t>N</w:t>
            </w:r>
            <w:r w:rsidR="00353229">
              <w:t>ot used in the revised C2.</w:t>
            </w:r>
          </w:p>
        </w:tc>
      </w:tr>
      <w:tr w:rsidR="00353229" w:rsidRPr="00475EAB" w14:paraId="72574895" w14:textId="77777777" w:rsidTr="00A25781">
        <w:tc>
          <w:tcPr>
            <w:tcW w:w="1324" w:type="pct"/>
            <w:vMerge/>
            <w:vAlign w:val="center"/>
          </w:tcPr>
          <w:p w14:paraId="6FD3DF3B" w14:textId="77777777" w:rsidR="00353229" w:rsidRDefault="00353229">
            <w:pPr>
              <w:pStyle w:val="TableText"/>
              <w:rPr>
                <w:rFonts w:cs="Segoe UI"/>
                <w:b/>
                <w:bCs/>
                <w:sz w:val="20"/>
              </w:rPr>
            </w:pPr>
          </w:p>
        </w:tc>
        <w:tc>
          <w:tcPr>
            <w:tcW w:w="2213" w:type="pct"/>
          </w:tcPr>
          <w:p w14:paraId="2E27BD44" w14:textId="088D90A0" w:rsidR="00353229" w:rsidRPr="008D2112" w:rsidRDefault="008857E7">
            <w:pPr>
              <w:pStyle w:val="TableText"/>
            </w:pPr>
            <w:r>
              <w:t xml:space="preserve">The term </w:t>
            </w:r>
            <w:r w:rsidR="00353229" w:rsidRPr="008D2112">
              <w:t>‘</w:t>
            </w:r>
            <w:r>
              <w:t>r</w:t>
            </w:r>
            <w:r w:rsidR="00353229" w:rsidRPr="008D2112">
              <w:t>adiopharmaceutical scientist’ has been deleted.</w:t>
            </w:r>
          </w:p>
        </w:tc>
        <w:tc>
          <w:tcPr>
            <w:tcW w:w="1463" w:type="pct"/>
          </w:tcPr>
          <w:p w14:paraId="4594A3A8" w14:textId="15301C63" w:rsidR="00353229" w:rsidRDefault="00D7667F">
            <w:pPr>
              <w:pStyle w:val="TableText"/>
            </w:pPr>
            <w:r>
              <w:t>N</w:t>
            </w:r>
            <w:r w:rsidR="00353229">
              <w:t>ot used</w:t>
            </w:r>
            <w:r>
              <w:t xml:space="preserve"> in the revised C2</w:t>
            </w:r>
            <w:r w:rsidR="00911A2F">
              <w:t>.</w:t>
            </w:r>
          </w:p>
        </w:tc>
      </w:tr>
      <w:tr w:rsidR="00353229" w:rsidRPr="00475EAB" w14:paraId="48F1426A" w14:textId="77777777" w:rsidTr="00A25781">
        <w:tc>
          <w:tcPr>
            <w:tcW w:w="1324" w:type="pct"/>
            <w:vMerge/>
            <w:vAlign w:val="center"/>
          </w:tcPr>
          <w:p w14:paraId="19887331" w14:textId="77777777" w:rsidR="00353229" w:rsidRDefault="00353229">
            <w:pPr>
              <w:pStyle w:val="TableText"/>
              <w:rPr>
                <w:rFonts w:cs="Segoe UI"/>
                <w:b/>
                <w:bCs/>
                <w:sz w:val="20"/>
              </w:rPr>
            </w:pPr>
          </w:p>
        </w:tc>
        <w:tc>
          <w:tcPr>
            <w:tcW w:w="2213" w:type="pct"/>
          </w:tcPr>
          <w:p w14:paraId="22B7EA68" w14:textId="14FDAC33" w:rsidR="00353229" w:rsidRPr="008D2112" w:rsidRDefault="008857E7">
            <w:pPr>
              <w:pStyle w:val="TableText"/>
            </w:pPr>
            <w:r>
              <w:t xml:space="preserve">The term </w:t>
            </w:r>
            <w:r w:rsidR="00353229" w:rsidRPr="008D2112">
              <w:t>‘</w:t>
            </w:r>
            <w:r>
              <w:t>h</w:t>
            </w:r>
            <w:r w:rsidR="00353229" w:rsidRPr="008D2112">
              <w:t>ealth professional’ has replaced ‘health practitioner’</w:t>
            </w:r>
            <w:r w:rsidR="00353229" w:rsidRPr="008D2112">
              <w:rPr>
                <w:bCs/>
              </w:rPr>
              <w:t xml:space="preserve"> in the interpretation of ‘</w:t>
            </w:r>
            <w:r w:rsidR="006370A3">
              <w:rPr>
                <w:bCs/>
              </w:rPr>
              <w:t>r</w:t>
            </w:r>
            <w:r w:rsidR="00353229" w:rsidRPr="008D2112">
              <w:rPr>
                <w:bCs/>
              </w:rPr>
              <w:t>eferring practitioner’</w:t>
            </w:r>
            <w:r w:rsidR="00353229" w:rsidRPr="008D2112">
              <w:t>.</w:t>
            </w:r>
          </w:p>
        </w:tc>
        <w:tc>
          <w:tcPr>
            <w:tcW w:w="1463" w:type="pct"/>
          </w:tcPr>
          <w:p w14:paraId="04A855D3" w14:textId="77777777" w:rsidR="00353229" w:rsidRDefault="00353229">
            <w:pPr>
              <w:pStyle w:val="TableText"/>
            </w:pPr>
            <w:r w:rsidRPr="00475EAB">
              <w:t>A person other than a ‘health practitioner’ could legitimately request a radiological procedure.</w:t>
            </w:r>
          </w:p>
        </w:tc>
      </w:tr>
      <w:tr w:rsidR="00353229" w:rsidRPr="00475EAB" w14:paraId="591FD778" w14:textId="77777777" w:rsidTr="00A25781">
        <w:tc>
          <w:tcPr>
            <w:tcW w:w="1324" w:type="pct"/>
            <w:vMerge/>
            <w:vAlign w:val="center"/>
          </w:tcPr>
          <w:p w14:paraId="6A8DB046" w14:textId="77777777" w:rsidR="00353229" w:rsidRDefault="00353229">
            <w:pPr>
              <w:pStyle w:val="TableText"/>
              <w:rPr>
                <w:rFonts w:cs="Segoe UI"/>
                <w:b/>
                <w:bCs/>
                <w:sz w:val="20"/>
              </w:rPr>
            </w:pPr>
          </w:p>
        </w:tc>
        <w:tc>
          <w:tcPr>
            <w:tcW w:w="2213" w:type="pct"/>
          </w:tcPr>
          <w:p w14:paraId="58B0707A" w14:textId="62C3EE87" w:rsidR="00353229" w:rsidRPr="008D2112" w:rsidRDefault="008857E7">
            <w:pPr>
              <w:pStyle w:val="TableText"/>
            </w:pPr>
            <w:r>
              <w:t xml:space="preserve">The term </w:t>
            </w:r>
            <w:r w:rsidR="00353229" w:rsidRPr="008D2112">
              <w:t>‘</w:t>
            </w:r>
            <w:r>
              <w:t>u</w:t>
            </w:r>
            <w:r w:rsidR="00353229" w:rsidRPr="008D2112">
              <w:t>ser of unsealed radioactive material’ has been added.</w:t>
            </w:r>
          </w:p>
        </w:tc>
        <w:tc>
          <w:tcPr>
            <w:tcW w:w="1463" w:type="pct"/>
          </w:tcPr>
          <w:p w14:paraId="03D7EC9D" w14:textId="77777777" w:rsidR="00353229" w:rsidRPr="00475EAB" w:rsidRDefault="00353229">
            <w:pPr>
              <w:pStyle w:val="TableText"/>
            </w:pPr>
            <w:r w:rsidRPr="00475EAB">
              <w:t xml:space="preserve">Improved alignment with </w:t>
            </w:r>
            <w:r>
              <w:t xml:space="preserve">the </w:t>
            </w:r>
            <w:r w:rsidRPr="00475EAB">
              <w:t>Act.</w:t>
            </w:r>
          </w:p>
          <w:p w14:paraId="0D9CF2EB" w14:textId="77777777" w:rsidR="00353229" w:rsidRDefault="00353229">
            <w:pPr>
              <w:pStyle w:val="TableText"/>
            </w:pPr>
            <w:r w:rsidRPr="00475EAB">
              <w:t>Clearer statement of requirements.</w:t>
            </w:r>
          </w:p>
        </w:tc>
      </w:tr>
      <w:tr w:rsidR="00353229" w:rsidRPr="00475EAB" w14:paraId="7991D4D8" w14:textId="77777777" w:rsidTr="00A25781">
        <w:tc>
          <w:tcPr>
            <w:tcW w:w="1324" w:type="pct"/>
            <w:vMerge w:val="restart"/>
            <w:shd w:val="clear" w:color="auto" w:fill="auto"/>
            <w:vAlign w:val="center"/>
          </w:tcPr>
          <w:p w14:paraId="3599F5FA" w14:textId="26DA2227" w:rsidR="00353229" w:rsidRPr="00475EAB" w:rsidRDefault="00353229" w:rsidP="006D5045">
            <w:pPr>
              <w:pStyle w:val="TableText"/>
              <w:rPr>
                <w:b/>
                <w:bCs/>
              </w:rPr>
            </w:pPr>
            <w:r w:rsidRPr="00475EAB">
              <w:rPr>
                <w:b/>
                <w:bCs/>
              </w:rPr>
              <w:t xml:space="preserve">Interpretation </w:t>
            </w:r>
            <w:r w:rsidRPr="00475EAB">
              <w:t>Replaces ‘definitions’</w:t>
            </w:r>
            <w:r w:rsidR="006D5045">
              <w:t xml:space="preserve"> (in the current C2)</w:t>
            </w:r>
          </w:p>
        </w:tc>
        <w:tc>
          <w:tcPr>
            <w:tcW w:w="2213" w:type="pct"/>
            <w:shd w:val="clear" w:color="auto" w:fill="auto"/>
          </w:tcPr>
          <w:p w14:paraId="6E7E5A6C" w14:textId="71B6EF44" w:rsidR="00353229" w:rsidRPr="008D2112" w:rsidRDefault="008857E7">
            <w:pPr>
              <w:pStyle w:val="TableText"/>
            </w:pPr>
            <w:r>
              <w:t xml:space="preserve">The term </w:t>
            </w:r>
            <w:r w:rsidR="00353229" w:rsidRPr="008D2112">
              <w:t>‘</w:t>
            </w:r>
            <w:r>
              <w:t>i</w:t>
            </w:r>
            <w:r w:rsidR="00353229" w:rsidRPr="008D2112">
              <w:t>nterpretation’ has replaced ‘definitions’ as the title of the section.</w:t>
            </w:r>
          </w:p>
        </w:tc>
        <w:tc>
          <w:tcPr>
            <w:tcW w:w="1463" w:type="pct"/>
          </w:tcPr>
          <w:p w14:paraId="005FE2F1" w14:textId="77777777" w:rsidR="00353229" w:rsidRPr="00475EAB" w:rsidRDefault="00353229">
            <w:pPr>
              <w:pStyle w:val="TableText"/>
            </w:pPr>
            <w:r w:rsidRPr="00475EAB">
              <w:t>Improved alignment with the Act.</w:t>
            </w:r>
          </w:p>
        </w:tc>
      </w:tr>
      <w:tr w:rsidR="00353229" w:rsidRPr="00475EAB" w14:paraId="2D3B6633" w14:textId="77777777" w:rsidTr="00A25781">
        <w:tc>
          <w:tcPr>
            <w:tcW w:w="1324" w:type="pct"/>
            <w:vMerge/>
            <w:shd w:val="clear" w:color="auto" w:fill="auto"/>
            <w:vAlign w:val="center"/>
          </w:tcPr>
          <w:p w14:paraId="6A9F637F" w14:textId="77777777" w:rsidR="00353229" w:rsidRPr="00475EAB" w:rsidRDefault="00353229">
            <w:pPr>
              <w:pStyle w:val="TableText"/>
              <w:rPr>
                <w:rFonts w:cs="Segoe UI"/>
                <w:b/>
                <w:bCs/>
                <w:sz w:val="20"/>
              </w:rPr>
            </w:pPr>
          </w:p>
        </w:tc>
        <w:tc>
          <w:tcPr>
            <w:tcW w:w="2213" w:type="pct"/>
            <w:shd w:val="clear" w:color="auto" w:fill="auto"/>
          </w:tcPr>
          <w:p w14:paraId="7FB8DF1E" w14:textId="288ACCD3" w:rsidR="00353229" w:rsidRPr="008D2112" w:rsidRDefault="00527941">
            <w:pPr>
              <w:pStyle w:val="TableText"/>
            </w:pPr>
            <w:r>
              <w:t xml:space="preserve">The term </w:t>
            </w:r>
            <w:r w:rsidR="00353229" w:rsidRPr="008D2112">
              <w:t>‘</w:t>
            </w:r>
            <w:r>
              <w:t>a</w:t>
            </w:r>
            <w:r w:rsidR="00353229" w:rsidRPr="008D2112">
              <w:t>bsorbed dose’ has been added.</w:t>
            </w:r>
          </w:p>
        </w:tc>
        <w:tc>
          <w:tcPr>
            <w:tcW w:w="1463" w:type="pct"/>
          </w:tcPr>
          <w:p w14:paraId="725475E2" w14:textId="77777777" w:rsidR="00353229" w:rsidRPr="00475EAB" w:rsidRDefault="00353229">
            <w:pPr>
              <w:pStyle w:val="TableText"/>
            </w:pPr>
            <w:r w:rsidRPr="00475EAB">
              <w:t>Clearer statement of requirements.</w:t>
            </w:r>
          </w:p>
        </w:tc>
      </w:tr>
      <w:tr w:rsidR="00353229" w:rsidRPr="00475EAB" w14:paraId="36FF359B" w14:textId="77777777" w:rsidTr="00A25781">
        <w:tc>
          <w:tcPr>
            <w:tcW w:w="1324" w:type="pct"/>
            <w:vMerge/>
            <w:shd w:val="clear" w:color="auto" w:fill="auto"/>
            <w:vAlign w:val="center"/>
          </w:tcPr>
          <w:p w14:paraId="5ACC792F" w14:textId="77777777" w:rsidR="00353229" w:rsidRPr="00475EAB" w:rsidRDefault="00353229">
            <w:pPr>
              <w:pStyle w:val="TableText"/>
              <w:rPr>
                <w:rFonts w:cs="Segoe UI"/>
                <w:b/>
                <w:bCs/>
                <w:sz w:val="20"/>
              </w:rPr>
            </w:pPr>
          </w:p>
        </w:tc>
        <w:tc>
          <w:tcPr>
            <w:tcW w:w="2213" w:type="pct"/>
            <w:shd w:val="clear" w:color="auto" w:fill="auto"/>
          </w:tcPr>
          <w:p w14:paraId="7151E4ED" w14:textId="6FE092D7" w:rsidR="00353229" w:rsidRPr="008D2112" w:rsidRDefault="00527941">
            <w:pPr>
              <w:pStyle w:val="TableText"/>
            </w:pPr>
            <w:r>
              <w:t xml:space="preserve">The term </w:t>
            </w:r>
            <w:r w:rsidR="00353229" w:rsidRPr="008D2112">
              <w:t>‘</w:t>
            </w:r>
            <w:r>
              <w:t>a</w:t>
            </w:r>
            <w:r w:rsidR="00353229" w:rsidRPr="008D2112">
              <w:t>mbient dose equivalent’ has been deleted.</w:t>
            </w:r>
          </w:p>
        </w:tc>
        <w:tc>
          <w:tcPr>
            <w:tcW w:w="1463" w:type="pct"/>
          </w:tcPr>
          <w:p w14:paraId="6DC844AB" w14:textId="156E3A4B" w:rsidR="00353229" w:rsidRPr="00475EAB" w:rsidRDefault="005C4B5A">
            <w:pPr>
              <w:pStyle w:val="TableText"/>
            </w:pPr>
            <w:r>
              <w:t>N</w:t>
            </w:r>
            <w:r w:rsidR="00353229">
              <w:t>ot</w:t>
            </w:r>
            <w:r w:rsidR="00714021">
              <w:t xml:space="preserve"> used in the </w:t>
            </w:r>
            <w:r w:rsidR="00196E4D">
              <w:t>revised C2</w:t>
            </w:r>
            <w:r w:rsidR="00353229">
              <w:t>.</w:t>
            </w:r>
          </w:p>
        </w:tc>
      </w:tr>
      <w:tr w:rsidR="00353229" w:rsidRPr="00475EAB" w14:paraId="2348EE73" w14:textId="77777777" w:rsidTr="00A25781">
        <w:tc>
          <w:tcPr>
            <w:tcW w:w="1324" w:type="pct"/>
            <w:vMerge/>
            <w:shd w:val="clear" w:color="auto" w:fill="auto"/>
            <w:vAlign w:val="center"/>
          </w:tcPr>
          <w:p w14:paraId="77B83AEB" w14:textId="77777777" w:rsidR="00353229" w:rsidRPr="00475EAB" w:rsidRDefault="00353229">
            <w:pPr>
              <w:pStyle w:val="TableText"/>
              <w:rPr>
                <w:rFonts w:cs="Segoe UI"/>
                <w:b/>
                <w:bCs/>
                <w:sz w:val="20"/>
              </w:rPr>
            </w:pPr>
          </w:p>
        </w:tc>
        <w:tc>
          <w:tcPr>
            <w:tcW w:w="2213" w:type="pct"/>
            <w:shd w:val="clear" w:color="auto" w:fill="auto"/>
          </w:tcPr>
          <w:p w14:paraId="71B951BD" w14:textId="40BF1036" w:rsidR="00353229" w:rsidRPr="008D2112" w:rsidRDefault="00527941">
            <w:pPr>
              <w:pStyle w:val="TableText"/>
            </w:pPr>
            <w:r>
              <w:t xml:space="preserve">The term </w:t>
            </w:r>
            <w:r w:rsidR="00353229" w:rsidRPr="008D2112">
              <w:t>‘</w:t>
            </w:r>
            <w:r>
              <w:t>a</w:t>
            </w:r>
            <w:r w:rsidR="00353229" w:rsidRPr="008D2112">
              <w:t>rea monitoring’ has been added.</w:t>
            </w:r>
          </w:p>
        </w:tc>
        <w:tc>
          <w:tcPr>
            <w:tcW w:w="1463" w:type="pct"/>
          </w:tcPr>
          <w:p w14:paraId="6D81AFFA" w14:textId="77777777" w:rsidR="00353229" w:rsidRPr="00475EAB" w:rsidRDefault="00353229">
            <w:pPr>
              <w:pStyle w:val="TableText"/>
            </w:pPr>
            <w:r w:rsidRPr="00475EAB">
              <w:t>Clearer statement of requirements.</w:t>
            </w:r>
          </w:p>
        </w:tc>
      </w:tr>
      <w:tr w:rsidR="00353229" w:rsidRPr="00475EAB" w14:paraId="21D4A003" w14:textId="77777777" w:rsidTr="00A25781">
        <w:tc>
          <w:tcPr>
            <w:tcW w:w="1324" w:type="pct"/>
            <w:vMerge/>
            <w:shd w:val="clear" w:color="auto" w:fill="auto"/>
            <w:vAlign w:val="center"/>
          </w:tcPr>
          <w:p w14:paraId="3FF08985" w14:textId="77777777" w:rsidR="00353229" w:rsidRPr="00475EAB" w:rsidRDefault="00353229">
            <w:pPr>
              <w:pStyle w:val="TableText"/>
              <w:rPr>
                <w:rFonts w:cs="Segoe UI"/>
                <w:b/>
                <w:bCs/>
                <w:sz w:val="20"/>
              </w:rPr>
            </w:pPr>
          </w:p>
        </w:tc>
        <w:tc>
          <w:tcPr>
            <w:tcW w:w="2213" w:type="pct"/>
            <w:shd w:val="clear" w:color="auto" w:fill="auto"/>
          </w:tcPr>
          <w:p w14:paraId="09D881B2" w14:textId="195CE798" w:rsidR="00353229" w:rsidRPr="008D2112" w:rsidRDefault="003C2210">
            <w:pPr>
              <w:pStyle w:val="TableText"/>
            </w:pPr>
            <w:r>
              <w:t xml:space="preserve">The terms </w:t>
            </w:r>
            <w:r w:rsidR="00353229" w:rsidRPr="008D2112">
              <w:t>‘</w:t>
            </w:r>
            <w:r>
              <w:t>b</w:t>
            </w:r>
            <w:r w:rsidR="00353229" w:rsidRPr="008D2112">
              <w:t>aselines’, ‘</w:t>
            </w:r>
            <w:r>
              <w:t>r</w:t>
            </w:r>
            <w:r w:rsidR="00353229" w:rsidRPr="008D2112">
              <w:t>emedial level’ and ‘</w:t>
            </w:r>
            <w:r>
              <w:t>s</w:t>
            </w:r>
            <w:r w:rsidR="00353229" w:rsidRPr="008D2112">
              <w:t xml:space="preserve">uspension level’ have been added. These additions support new clauses </w:t>
            </w:r>
            <w:r w:rsidR="002048B6">
              <w:t>18</w:t>
            </w:r>
            <w:r w:rsidR="00353229" w:rsidRPr="008D2112">
              <w:t>(</w:t>
            </w:r>
            <w:r w:rsidR="00353229">
              <w:t>d</w:t>
            </w:r>
            <w:r w:rsidR="00353229" w:rsidRPr="008D2112">
              <w:t>)</w:t>
            </w:r>
            <w:r w:rsidR="00353229">
              <w:t xml:space="preserve"> and</w:t>
            </w:r>
            <w:r w:rsidR="00353229" w:rsidRPr="008D2112">
              <w:t xml:space="preserve"> (e).</w:t>
            </w:r>
          </w:p>
        </w:tc>
        <w:tc>
          <w:tcPr>
            <w:tcW w:w="1463" w:type="pct"/>
          </w:tcPr>
          <w:p w14:paraId="51F43CFD" w14:textId="48A5CC19" w:rsidR="00353229" w:rsidRPr="00475EAB" w:rsidRDefault="00E61DC3">
            <w:pPr>
              <w:pStyle w:val="TableText"/>
            </w:pPr>
            <w:r w:rsidRPr="00475EAB">
              <w:t>Clearer statement of requirements</w:t>
            </w:r>
            <w:r w:rsidR="00353229">
              <w:t>.</w:t>
            </w:r>
          </w:p>
        </w:tc>
      </w:tr>
      <w:tr w:rsidR="00353229" w:rsidRPr="00475EAB" w14:paraId="3B103943" w14:textId="77777777" w:rsidTr="00A25781">
        <w:tc>
          <w:tcPr>
            <w:tcW w:w="1324" w:type="pct"/>
            <w:vMerge/>
            <w:shd w:val="clear" w:color="auto" w:fill="auto"/>
            <w:vAlign w:val="center"/>
          </w:tcPr>
          <w:p w14:paraId="750B4E5B" w14:textId="77777777" w:rsidR="00353229" w:rsidRPr="00475EAB" w:rsidRDefault="00353229">
            <w:pPr>
              <w:pStyle w:val="TableText"/>
              <w:rPr>
                <w:rFonts w:cs="Segoe UI"/>
                <w:b/>
                <w:bCs/>
                <w:sz w:val="20"/>
              </w:rPr>
            </w:pPr>
          </w:p>
        </w:tc>
        <w:tc>
          <w:tcPr>
            <w:tcW w:w="2213" w:type="pct"/>
            <w:shd w:val="clear" w:color="auto" w:fill="auto"/>
          </w:tcPr>
          <w:p w14:paraId="4DC9ECE6" w14:textId="6E972B12" w:rsidR="00353229" w:rsidRPr="008D2112" w:rsidRDefault="00905F5C">
            <w:pPr>
              <w:pStyle w:val="TableText"/>
            </w:pPr>
            <w:r>
              <w:t xml:space="preserve">The interpretation of </w:t>
            </w:r>
            <w:r w:rsidRPr="008D2112">
              <w:t>‘committed equivalent dose’</w:t>
            </w:r>
            <w:r>
              <w:t xml:space="preserve"> has been amended</w:t>
            </w:r>
            <w:r w:rsidRPr="008D2112">
              <w:t>.</w:t>
            </w:r>
            <w:r w:rsidR="00DF46EA">
              <w:t xml:space="preserve"> </w:t>
            </w:r>
            <w:r w:rsidR="009225ED">
              <w:t xml:space="preserve">   </w:t>
            </w:r>
          </w:p>
        </w:tc>
        <w:tc>
          <w:tcPr>
            <w:tcW w:w="1463" w:type="pct"/>
          </w:tcPr>
          <w:p w14:paraId="56920680" w14:textId="77777777" w:rsidR="00353229" w:rsidRDefault="00353229">
            <w:pPr>
              <w:pStyle w:val="TableText"/>
            </w:pPr>
            <w:r w:rsidRPr="00475EAB">
              <w:t>Clearer statement of requirements.</w:t>
            </w:r>
          </w:p>
        </w:tc>
      </w:tr>
      <w:tr w:rsidR="00353229" w:rsidRPr="00475EAB" w14:paraId="7F4E7C1D" w14:textId="77777777" w:rsidTr="00A25781">
        <w:tc>
          <w:tcPr>
            <w:tcW w:w="1324" w:type="pct"/>
            <w:vMerge/>
            <w:shd w:val="clear" w:color="auto" w:fill="auto"/>
            <w:vAlign w:val="center"/>
          </w:tcPr>
          <w:p w14:paraId="7871943B" w14:textId="77777777" w:rsidR="00353229" w:rsidRPr="00475EAB" w:rsidRDefault="00353229">
            <w:pPr>
              <w:pStyle w:val="TableText"/>
              <w:rPr>
                <w:rFonts w:cs="Segoe UI"/>
                <w:b/>
                <w:bCs/>
                <w:sz w:val="20"/>
              </w:rPr>
            </w:pPr>
          </w:p>
        </w:tc>
        <w:tc>
          <w:tcPr>
            <w:tcW w:w="2213" w:type="pct"/>
            <w:shd w:val="clear" w:color="auto" w:fill="auto"/>
          </w:tcPr>
          <w:p w14:paraId="385093EB" w14:textId="6698EB1B" w:rsidR="00353229" w:rsidRPr="008D2112" w:rsidRDefault="00DF46EA">
            <w:pPr>
              <w:pStyle w:val="TableText"/>
            </w:pPr>
            <w:r>
              <w:t xml:space="preserve">The term </w:t>
            </w:r>
            <w:r w:rsidR="00353229" w:rsidRPr="008D2112">
              <w:t>‘</w:t>
            </w:r>
            <w:r>
              <w:t>c</w:t>
            </w:r>
            <w:r w:rsidR="00353229" w:rsidRPr="008D2112">
              <w:t xml:space="preserve">onstraint’ has been amended. </w:t>
            </w:r>
            <w:r>
              <w:t>It</w:t>
            </w:r>
            <w:r w:rsidRPr="008D2112">
              <w:t xml:space="preserve"> </w:t>
            </w:r>
            <w:r w:rsidR="00353229" w:rsidRPr="008D2112">
              <w:t>no longer includes that the Director will establish or approve constraints.</w:t>
            </w:r>
          </w:p>
        </w:tc>
        <w:tc>
          <w:tcPr>
            <w:tcW w:w="1463" w:type="pct"/>
          </w:tcPr>
          <w:p w14:paraId="06477B36" w14:textId="5C21EED8" w:rsidR="00353229" w:rsidRPr="00475EAB" w:rsidRDefault="00353229">
            <w:pPr>
              <w:pStyle w:val="TableText"/>
            </w:pPr>
            <w:r>
              <w:t>The Director</w:t>
            </w:r>
            <w:r w:rsidRPr="00475EAB">
              <w:t xml:space="preserve"> may establish a constraint for public exposure from sources in multiple places</w:t>
            </w:r>
            <w:r>
              <w:t>. If established</w:t>
            </w:r>
            <w:r w:rsidR="005C4B5A">
              <w:t>,</w:t>
            </w:r>
            <w:r>
              <w:t xml:space="preserve"> a constraint </w:t>
            </w:r>
            <w:r w:rsidR="002048B6">
              <w:t xml:space="preserve">will </w:t>
            </w:r>
            <w:r>
              <w:t xml:space="preserve">be given </w:t>
            </w:r>
            <w:r w:rsidRPr="00475EAB">
              <w:t>in a</w:t>
            </w:r>
            <w:r w:rsidR="00556BE4">
              <w:t>n</w:t>
            </w:r>
            <w:r w:rsidRPr="00475EAB">
              <w:t xml:space="preserve"> </w:t>
            </w:r>
            <w:r>
              <w:t xml:space="preserve">associated </w:t>
            </w:r>
            <w:r w:rsidRPr="00475EAB">
              <w:t>compliance guide.</w:t>
            </w:r>
          </w:p>
        </w:tc>
      </w:tr>
      <w:tr w:rsidR="00353229" w:rsidRPr="00475EAB" w14:paraId="4455434A" w14:textId="77777777" w:rsidTr="00A25781">
        <w:tc>
          <w:tcPr>
            <w:tcW w:w="1324" w:type="pct"/>
            <w:vMerge/>
            <w:shd w:val="clear" w:color="auto" w:fill="auto"/>
            <w:vAlign w:val="center"/>
          </w:tcPr>
          <w:p w14:paraId="00FC58E7" w14:textId="77777777" w:rsidR="00353229" w:rsidRPr="00475EAB" w:rsidRDefault="00353229">
            <w:pPr>
              <w:pStyle w:val="TableText"/>
              <w:rPr>
                <w:rFonts w:cs="Segoe UI"/>
                <w:b/>
                <w:bCs/>
                <w:sz w:val="20"/>
              </w:rPr>
            </w:pPr>
          </w:p>
        </w:tc>
        <w:tc>
          <w:tcPr>
            <w:tcW w:w="2213" w:type="pct"/>
            <w:shd w:val="clear" w:color="auto" w:fill="auto"/>
          </w:tcPr>
          <w:p w14:paraId="6BEB4CD7" w14:textId="5132D625" w:rsidR="00353229" w:rsidRPr="008D2112" w:rsidRDefault="008962EE">
            <w:pPr>
              <w:pStyle w:val="TableText"/>
            </w:pPr>
            <w:r>
              <w:t xml:space="preserve">The phrase </w:t>
            </w:r>
            <w:r w:rsidR="00353229" w:rsidRPr="008D2112">
              <w:t>‘</w:t>
            </w:r>
            <w:r>
              <w:t>d</w:t>
            </w:r>
            <w:r w:rsidR="00353229" w:rsidRPr="008D2112">
              <w:t xml:space="preserve">iagnostic reference level’ has been amended. </w:t>
            </w:r>
            <w:r>
              <w:t>It</w:t>
            </w:r>
            <w:r w:rsidRPr="008D2112">
              <w:t xml:space="preserve"> </w:t>
            </w:r>
            <w:r w:rsidR="00353229" w:rsidRPr="008D2112">
              <w:t xml:space="preserve">now includes the Director </w:t>
            </w:r>
            <w:r w:rsidR="002048B6">
              <w:t xml:space="preserve">may </w:t>
            </w:r>
            <w:r w:rsidR="00353229" w:rsidRPr="008D2112">
              <w:t xml:space="preserve">establish national diagnostic reference levels. A new clause </w:t>
            </w:r>
            <w:r w:rsidR="00353229">
              <w:t>10</w:t>
            </w:r>
            <w:r w:rsidR="00353229" w:rsidRPr="008D2112">
              <w:t>(</w:t>
            </w:r>
            <w:r w:rsidR="00353229">
              <w:t>d</w:t>
            </w:r>
            <w:r w:rsidR="00353229" w:rsidRPr="008D2112">
              <w:t xml:space="preserve">) requires the HSL </w:t>
            </w:r>
            <w:r>
              <w:t xml:space="preserve">to </w:t>
            </w:r>
            <w:r w:rsidR="00353229" w:rsidRPr="008D2112">
              <w:t>establish local diagnostic reference levels.</w:t>
            </w:r>
          </w:p>
          <w:p w14:paraId="52C2D0AF" w14:textId="360A56A1" w:rsidR="00353229" w:rsidRPr="008D2112" w:rsidRDefault="008962EE">
            <w:pPr>
              <w:pStyle w:val="TableText"/>
            </w:pPr>
            <w:r>
              <w:t xml:space="preserve">The terms </w:t>
            </w:r>
            <w:r w:rsidR="00353229" w:rsidRPr="008D2112">
              <w:t>‘</w:t>
            </w:r>
            <w:r w:rsidR="008F5334">
              <w:t>n</w:t>
            </w:r>
            <w:r w:rsidR="00353229" w:rsidRPr="008D2112">
              <w:t>ational diagnostic reference levels’ and ‘</w:t>
            </w:r>
            <w:r>
              <w:t>l</w:t>
            </w:r>
            <w:r w:rsidR="00353229" w:rsidRPr="008D2112">
              <w:t>ocal diagnostic reference level</w:t>
            </w:r>
            <w:r>
              <w:t>s</w:t>
            </w:r>
            <w:r w:rsidR="00353229" w:rsidRPr="008D2112">
              <w:t xml:space="preserve">’ have been added. </w:t>
            </w:r>
            <w:r w:rsidR="00353229" w:rsidRPr="008D2112">
              <w:rPr>
                <w:rFonts w:cs="Segoe UI"/>
              </w:rPr>
              <w:t>Local diagnostic levels must be compared with national diagnostic levels where national diagnostic levels are available.</w:t>
            </w:r>
          </w:p>
        </w:tc>
        <w:tc>
          <w:tcPr>
            <w:tcW w:w="1463" w:type="pct"/>
          </w:tcPr>
          <w:p w14:paraId="16CCA7FD" w14:textId="77777777" w:rsidR="00353229" w:rsidRPr="00475EAB" w:rsidRDefault="00353229">
            <w:pPr>
              <w:pStyle w:val="TableText"/>
            </w:pPr>
            <w:r w:rsidRPr="00475EAB">
              <w:t>Clearer statement of requirements.</w:t>
            </w:r>
          </w:p>
        </w:tc>
      </w:tr>
      <w:tr w:rsidR="00353229" w:rsidRPr="00475EAB" w14:paraId="7D3B076D" w14:textId="77777777" w:rsidTr="00A25781">
        <w:tc>
          <w:tcPr>
            <w:tcW w:w="1324" w:type="pct"/>
            <w:vMerge/>
            <w:shd w:val="clear" w:color="auto" w:fill="auto"/>
            <w:vAlign w:val="center"/>
          </w:tcPr>
          <w:p w14:paraId="1603586F" w14:textId="77777777" w:rsidR="00353229" w:rsidRPr="00475EAB" w:rsidRDefault="00353229">
            <w:pPr>
              <w:pStyle w:val="TableText"/>
              <w:rPr>
                <w:rFonts w:cs="Segoe UI"/>
                <w:b/>
                <w:bCs/>
                <w:sz w:val="20"/>
              </w:rPr>
            </w:pPr>
          </w:p>
        </w:tc>
        <w:tc>
          <w:tcPr>
            <w:tcW w:w="2213" w:type="pct"/>
            <w:shd w:val="clear" w:color="auto" w:fill="auto"/>
          </w:tcPr>
          <w:p w14:paraId="1964590B" w14:textId="2F2B7596" w:rsidR="00353229" w:rsidRPr="008D2112" w:rsidRDefault="008962EE">
            <w:pPr>
              <w:pStyle w:val="TableText"/>
            </w:pPr>
            <w:r>
              <w:t xml:space="preserve">The term </w:t>
            </w:r>
            <w:r w:rsidR="00353229" w:rsidRPr="008D2112">
              <w:t>‘</w:t>
            </w:r>
            <w:r w:rsidR="008F5334">
              <w:t>p</w:t>
            </w:r>
            <w:r w:rsidR="00353229" w:rsidRPr="008D2112">
              <w:t>lace’ has replaced ‘</w:t>
            </w:r>
            <w:r w:rsidR="008F5334">
              <w:t>f</w:t>
            </w:r>
            <w:r w:rsidR="00353229" w:rsidRPr="008D2112">
              <w:t>acility’.</w:t>
            </w:r>
          </w:p>
        </w:tc>
        <w:tc>
          <w:tcPr>
            <w:tcW w:w="1463" w:type="pct"/>
          </w:tcPr>
          <w:p w14:paraId="39B8AFBF" w14:textId="77777777" w:rsidR="00353229" w:rsidRPr="00475EAB" w:rsidRDefault="00353229">
            <w:pPr>
              <w:pStyle w:val="TableText"/>
            </w:pPr>
            <w:r w:rsidRPr="00475EAB">
              <w:t>Improved alignment with the Act.</w:t>
            </w:r>
          </w:p>
        </w:tc>
      </w:tr>
      <w:tr w:rsidR="00353229" w:rsidRPr="00475EAB" w14:paraId="680B9C5D" w14:textId="77777777" w:rsidTr="00A25781">
        <w:tc>
          <w:tcPr>
            <w:tcW w:w="1324" w:type="pct"/>
            <w:vMerge/>
            <w:shd w:val="clear" w:color="auto" w:fill="auto"/>
            <w:vAlign w:val="center"/>
          </w:tcPr>
          <w:p w14:paraId="5C98E705" w14:textId="77777777" w:rsidR="00353229" w:rsidRPr="00475EAB" w:rsidRDefault="00353229">
            <w:pPr>
              <w:pStyle w:val="TableText"/>
              <w:rPr>
                <w:rFonts w:cs="Segoe UI"/>
                <w:b/>
                <w:bCs/>
                <w:sz w:val="20"/>
              </w:rPr>
            </w:pPr>
          </w:p>
        </w:tc>
        <w:tc>
          <w:tcPr>
            <w:tcW w:w="2213" w:type="pct"/>
            <w:shd w:val="clear" w:color="auto" w:fill="auto"/>
          </w:tcPr>
          <w:p w14:paraId="70E37F8F" w14:textId="1A2FA5DF" w:rsidR="00353229" w:rsidRPr="008D2112" w:rsidRDefault="0082692C">
            <w:pPr>
              <w:pStyle w:val="TableText"/>
              <w:rPr>
                <w:bCs/>
              </w:rPr>
            </w:pPr>
            <w:r>
              <w:rPr>
                <w:bCs/>
              </w:rPr>
              <w:t xml:space="preserve">The term </w:t>
            </w:r>
            <w:r w:rsidR="00353229" w:rsidRPr="008D2112">
              <w:rPr>
                <w:bCs/>
              </w:rPr>
              <w:t>‘</w:t>
            </w:r>
            <w:r>
              <w:rPr>
                <w:bCs/>
              </w:rPr>
              <w:t>h</w:t>
            </w:r>
            <w:r w:rsidR="00353229" w:rsidRPr="008D2112">
              <w:rPr>
                <w:bCs/>
              </w:rPr>
              <w:t>ealth practitioner’ is in the Roles and Responsibilities section</w:t>
            </w:r>
            <w:r w:rsidR="00353229">
              <w:rPr>
                <w:bCs/>
              </w:rPr>
              <w:t xml:space="preserve"> of </w:t>
            </w:r>
            <w:r w:rsidR="008F5334">
              <w:rPr>
                <w:bCs/>
              </w:rPr>
              <w:t xml:space="preserve">the </w:t>
            </w:r>
            <w:r w:rsidR="00353229">
              <w:rPr>
                <w:bCs/>
              </w:rPr>
              <w:t>revised C2.</w:t>
            </w:r>
          </w:p>
        </w:tc>
        <w:tc>
          <w:tcPr>
            <w:tcW w:w="1463" w:type="pct"/>
          </w:tcPr>
          <w:p w14:paraId="62A17B7F" w14:textId="77777777" w:rsidR="00353229" w:rsidRPr="00475EAB" w:rsidRDefault="00353229">
            <w:pPr>
              <w:pStyle w:val="TableText"/>
            </w:pPr>
            <w:r w:rsidRPr="00475EAB">
              <w:t>Clearer statement of requirements.</w:t>
            </w:r>
          </w:p>
        </w:tc>
      </w:tr>
      <w:tr w:rsidR="00353229" w:rsidRPr="00475EAB" w14:paraId="34DA20E3" w14:textId="77777777" w:rsidTr="00A25781">
        <w:tc>
          <w:tcPr>
            <w:tcW w:w="1324" w:type="pct"/>
            <w:vMerge/>
            <w:shd w:val="clear" w:color="auto" w:fill="auto"/>
            <w:vAlign w:val="center"/>
          </w:tcPr>
          <w:p w14:paraId="207A84D6" w14:textId="77777777" w:rsidR="00353229" w:rsidRPr="00475EAB" w:rsidRDefault="00353229">
            <w:pPr>
              <w:pStyle w:val="TableText"/>
              <w:rPr>
                <w:rFonts w:cs="Segoe UI"/>
                <w:b/>
                <w:bCs/>
                <w:sz w:val="20"/>
              </w:rPr>
            </w:pPr>
          </w:p>
        </w:tc>
        <w:tc>
          <w:tcPr>
            <w:tcW w:w="2213" w:type="pct"/>
            <w:shd w:val="clear" w:color="auto" w:fill="auto"/>
          </w:tcPr>
          <w:p w14:paraId="1746D28C" w14:textId="30FB1389" w:rsidR="00353229" w:rsidRPr="008D2112" w:rsidRDefault="008F5334">
            <w:pPr>
              <w:pStyle w:val="TableText"/>
            </w:pPr>
            <w:r>
              <w:rPr>
                <w:bCs/>
              </w:rPr>
              <w:t xml:space="preserve">The term </w:t>
            </w:r>
            <w:r w:rsidR="00353229" w:rsidRPr="008D2112">
              <w:rPr>
                <w:bCs/>
              </w:rPr>
              <w:t>‘</w:t>
            </w:r>
            <w:r>
              <w:rPr>
                <w:bCs/>
              </w:rPr>
              <w:t>o</w:t>
            </w:r>
            <w:r w:rsidR="00353229" w:rsidRPr="008D2112">
              <w:rPr>
                <w:bCs/>
              </w:rPr>
              <w:t>ccupationally exposed person’ has been deleted.</w:t>
            </w:r>
          </w:p>
        </w:tc>
        <w:tc>
          <w:tcPr>
            <w:tcW w:w="1463" w:type="pct"/>
          </w:tcPr>
          <w:p w14:paraId="1307FF4E" w14:textId="2B29391A" w:rsidR="00353229" w:rsidRPr="00475EAB" w:rsidRDefault="00353229">
            <w:pPr>
              <w:pStyle w:val="TableText"/>
            </w:pPr>
            <w:r w:rsidRPr="00475EAB">
              <w:t>Term not used</w:t>
            </w:r>
            <w:r w:rsidR="005C4B5A">
              <w:t xml:space="preserve"> in the revised C2</w:t>
            </w:r>
            <w:r>
              <w:t xml:space="preserve">. </w:t>
            </w:r>
          </w:p>
        </w:tc>
      </w:tr>
      <w:tr w:rsidR="00353229" w:rsidRPr="00475EAB" w14:paraId="4497F702" w14:textId="77777777" w:rsidTr="00A25781">
        <w:tc>
          <w:tcPr>
            <w:tcW w:w="1324" w:type="pct"/>
            <w:vMerge/>
            <w:shd w:val="clear" w:color="auto" w:fill="auto"/>
            <w:vAlign w:val="center"/>
          </w:tcPr>
          <w:p w14:paraId="2F2C7E3B" w14:textId="77777777" w:rsidR="00353229" w:rsidRPr="00475EAB" w:rsidRDefault="00353229">
            <w:pPr>
              <w:pStyle w:val="TableText"/>
              <w:rPr>
                <w:rFonts w:cs="Segoe UI"/>
                <w:b/>
                <w:bCs/>
                <w:sz w:val="20"/>
              </w:rPr>
            </w:pPr>
          </w:p>
        </w:tc>
        <w:tc>
          <w:tcPr>
            <w:tcW w:w="2213" w:type="pct"/>
            <w:shd w:val="clear" w:color="auto" w:fill="auto"/>
          </w:tcPr>
          <w:p w14:paraId="58F36823" w14:textId="6C94ACAC" w:rsidR="00353229" w:rsidRPr="008D2112" w:rsidRDefault="008F5334">
            <w:pPr>
              <w:pStyle w:val="TableText"/>
            </w:pPr>
            <w:r>
              <w:rPr>
                <w:bCs/>
              </w:rPr>
              <w:t xml:space="preserve">The term </w:t>
            </w:r>
            <w:r w:rsidR="00353229" w:rsidRPr="008D2112">
              <w:t>‘</w:t>
            </w:r>
            <w:r>
              <w:t>o</w:t>
            </w:r>
            <w:r w:rsidR="00353229" w:rsidRPr="008D2112">
              <w:t xml:space="preserve">verexposure of a person’ has been added. </w:t>
            </w:r>
            <w:r>
              <w:t>This r</w:t>
            </w:r>
            <w:r w:rsidR="00353229" w:rsidRPr="008D2112">
              <w:t xml:space="preserve">elates to </w:t>
            </w:r>
            <w:r w:rsidR="00C83A08">
              <w:t xml:space="preserve">the requirements for </w:t>
            </w:r>
            <w:r w:rsidR="00353229">
              <w:t>‘</w:t>
            </w:r>
            <w:r w:rsidR="00353229" w:rsidRPr="008D2112">
              <w:t>overexposure of a person</w:t>
            </w:r>
            <w:r w:rsidR="00353229">
              <w:t>’</w:t>
            </w:r>
            <w:r w:rsidR="00353229" w:rsidRPr="008D2112">
              <w:t xml:space="preserve"> in </w:t>
            </w:r>
            <w:hyperlink r:id="rId29" w:history="1">
              <w:r w:rsidR="00353229" w:rsidRPr="00CB5ABE">
                <w:rPr>
                  <w:rStyle w:val="Hyperlink"/>
                  <w:bCs/>
                </w:rPr>
                <w:t>section 20(3)</w:t>
              </w:r>
            </w:hyperlink>
            <w:r w:rsidR="00353229" w:rsidRPr="008D2112">
              <w:t xml:space="preserve"> of the Act.</w:t>
            </w:r>
          </w:p>
        </w:tc>
        <w:tc>
          <w:tcPr>
            <w:tcW w:w="1463" w:type="pct"/>
          </w:tcPr>
          <w:p w14:paraId="0CEEE43B" w14:textId="77777777" w:rsidR="00353229" w:rsidRPr="00475EAB" w:rsidRDefault="00353229">
            <w:pPr>
              <w:pStyle w:val="TableText"/>
            </w:pPr>
            <w:r w:rsidRPr="00475EAB">
              <w:t>Improved alignment with the Act.</w:t>
            </w:r>
          </w:p>
          <w:p w14:paraId="43B652EC" w14:textId="77777777" w:rsidR="00353229" w:rsidRPr="00475EAB" w:rsidRDefault="00353229">
            <w:pPr>
              <w:pStyle w:val="TableText"/>
            </w:pPr>
            <w:r w:rsidRPr="00475EAB">
              <w:t>Clearer statement of requirements.</w:t>
            </w:r>
          </w:p>
        </w:tc>
      </w:tr>
      <w:tr w:rsidR="00353229" w:rsidRPr="00475EAB" w14:paraId="03D4844A" w14:textId="77777777" w:rsidTr="00A25781">
        <w:tc>
          <w:tcPr>
            <w:tcW w:w="1324" w:type="pct"/>
            <w:vMerge/>
            <w:shd w:val="clear" w:color="auto" w:fill="auto"/>
            <w:vAlign w:val="center"/>
          </w:tcPr>
          <w:p w14:paraId="14EBE850" w14:textId="77777777" w:rsidR="00353229" w:rsidRPr="00475EAB" w:rsidRDefault="00353229">
            <w:pPr>
              <w:pStyle w:val="TableText"/>
              <w:rPr>
                <w:rFonts w:cs="Segoe UI"/>
                <w:b/>
                <w:bCs/>
                <w:sz w:val="20"/>
              </w:rPr>
            </w:pPr>
          </w:p>
        </w:tc>
        <w:tc>
          <w:tcPr>
            <w:tcW w:w="2213" w:type="pct"/>
            <w:shd w:val="clear" w:color="auto" w:fill="auto"/>
          </w:tcPr>
          <w:p w14:paraId="393BFDB6" w14:textId="402FBDC2" w:rsidR="00353229" w:rsidRPr="008D2112" w:rsidRDefault="009E01D9">
            <w:pPr>
              <w:pStyle w:val="TableText"/>
            </w:pPr>
            <w:r>
              <w:t xml:space="preserve">The term ‘planned exposure situation’ has been amended. </w:t>
            </w:r>
          </w:p>
        </w:tc>
        <w:tc>
          <w:tcPr>
            <w:tcW w:w="1463" w:type="pct"/>
          </w:tcPr>
          <w:p w14:paraId="66591DAE" w14:textId="125594C0" w:rsidR="00353229" w:rsidRPr="00475EAB" w:rsidRDefault="00353229">
            <w:pPr>
              <w:pStyle w:val="TableText"/>
            </w:pPr>
            <w:r w:rsidRPr="00475EAB">
              <w:t>Clearer statement of requirements.</w:t>
            </w:r>
          </w:p>
        </w:tc>
      </w:tr>
      <w:tr w:rsidR="009E01D9" w:rsidRPr="00475EAB" w14:paraId="41EA351F" w14:textId="77777777" w:rsidTr="00A25781">
        <w:tc>
          <w:tcPr>
            <w:tcW w:w="1324" w:type="pct"/>
            <w:vMerge/>
            <w:shd w:val="clear" w:color="auto" w:fill="auto"/>
            <w:vAlign w:val="center"/>
          </w:tcPr>
          <w:p w14:paraId="323F2770" w14:textId="77777777" w:rsidR="009E01D9" w:rsidRPr="00475EAB" w:rsidRDefault="009E01D9" w:rsidP="009E01D9">
            <w:pPr>
              <w:pStyle w:val="TableText"/>
              <w:rPr>
                <w:rFonts w:cs="Segoe UI"/>
                <w:b/>
                <w:bCs/>
                <w:sz w:val="20"/>
              </w:rPr>
            </w:pPr>
          </w:p>
        </w:tc>
        <w:tc>
          <w:tcPr>
            <w:tcW w:w="2213" w:type="pct"/>
            <w:shd w:val="clear" w:color="auto" w:fill="auto"/>
          </w:tcPr>
          <w:p w14:paraId="3BD8CEBA" w14:textId="31083FF9" w:rsidR="009E01D9" w:rsidRDefault="009E01D9" w:rsidP="009E01D9">
            <w:pPr>
              <w:pStyle w:val="TableText"/>
              <w:rPr>
                <w:bCs/>
              </w:rPr>
            </w:pPr>
            <w:r>
              <w:rPr>
                <w:bCs/>
              </w:rPr>
              <w:t xml:space="preserve">The term </w:t>
            </w:r>
            <w:r w:rsidRPr="008D2112">
              <w:t>‘</w:t>
            </w:r>
            <w:r>
              <w:t>r</w:t>
            </w:r>
            <w:r w:rsidRPr="008D2112">
              <w:t>adioactive waste’ has been added.</w:t>
            </w:r>
          </w:p>
        </w:tc>
        <w:tc>
          <w:tcPr>
            <w:tcW w:w="1463" w:type="pct"/>
          </w:tcPr>
          <w:p w14:paraId="248AF10D" w14:textId="77777777" w:rsidR="009E01D9" w:rsidRPr="00475EAB" w:rsidRDefault="009E01D9" w:rsidP="009E01D9">
            <w:pPr>
              <w:pStyle w:val="TableText"/>
            </w:pPr>
            <w:r w:rsidRPr="00475EAB">
              <w:t>Improved alignment with the Act.</w:t>
            </w:r>
          </w:p>
          <w:p w14:paraId="077F83A6" w14:textId="014E3F0B" w:rsidR="009E01D9" w:rsidRPr="00475EAB" w:rsidRDefault="009E01D9" w:rsidP="009E01D9">
            <w:pPr>
              <w:pStyle w:val="TableText"/>
            </w:pPr>
            <w:r w:rsidRPr="00475EAB">
              <w:t>Clearer statement of requirements.</w:t>
            </w:r>
          </w:p>
        </w:tc>
      </w:tr>
      <w:tr w:rsidR="009E01D9" w:rsidRPr="00475EAB" w14:paraId="500A5296" w14:textId="77777777" w:rsidTr="00A25781">
        <w:tc>
          <w:tcPr>
            <w:tcW w:w="1324" w:type="pct"/>
            <w:vMerge/>
            <w:shd w:val="clear" w:color="auto" w:fill="auto"/>
            <w:vAlign w:val="center"/>
          </w:tcPr>
          <w:p w14:paraId="63F2EC03" w14:textId="77777777" w:rsidR="009E01D9" w:rsidRPr="00475EAB" w:rsidRDefault="009E01D9" w:rsidP="009E01D9">
            <w:pPr>
              <w:pStyle w:val="TableText"/>
              <w:rPr>
                <w:rFonts w:cs="Segoe UI"/>
                <w:b/>
                <w:bCs/>
                <w:sz w:val="20"/>
              </w:rPr>
            </w:pPr>
          </w:p>
        </w:tc>
        <w:tc>
          <w:tcPr>
            <w:tcW w:w="2213" w:type="pct"/>
            <w:shd w:val="clear" w:color="auto" w:fill="auto"/>
          </w:tcPr>
          <w:p w14:paraId="795511FE" w14:textId="7B016624" w:rsidR="009E01D9" w:rsidRDefault="009E01D9" w:rsidP="009E01D9">
            <w:pPr>
              <w:pStyle w:val="TableText"/>
              <w:rPr>
                <w:bCs/>
              </w:rPr>
            </w:pPr>
            <w:r>
              <w:rPr>
                <w:bCs/>
              </w:rPr>
              <w:t>The term ‘r</w:t>
            </w:r>
            <w:r w:rsidRPr="00F64594">
              <w:rPr>
                <w:bCs/>
              </w:rPr>
              <w:t>adiological equipment</w:t>
            </w:r>
            <w:r>
              <w:rPr>
                <w:bCs/>
              </w:rPr>
              <w:t xml:space="preserve">’ has been added. </w:t>
            </w:r>
          </w:p>
        </w:tc>
        <w:tc>
          <w:tcPr>
            <w:tcW w:w="1463" w:type="pct"/>
          </w:tcPr>
          <w:p w14:paraId="4FA0347C" w14:textId="4C145246" w:rsidR="009E01D9" w:rsidRPr="008D2112" w:rsidRDefault="009E01D9" w:rsidP="009E01D9">
            <w:pPr>
              <w:pStyle w:val="TableText"/>
            </w:pPr>
            <w:r w:rsidRPr="00475EAB">
              <w:t>Clearer statement of requirements.</w:t>
            </w:r>
          </w:p>
        </w:tc>
      </w:tr>
      <w:tr w:rsidR="009E01D9" w:rsidRPr="00475EAB" w14:paraId="27C7C26C" w14:textId="77777777" w:rsidTr="00A25781">
        <w:tc>
          <w:tcPr>
            <w:tcW w:w="1324" w:type="pct"/>
            <w:vMerge/>
            <w:shd w:val="clear" w:color="auto" w:fill="auto"/>
            <w:vAlign w:val="center"/>
          </w:tcPr>
          <w:p w14:paraId="0AE3C9D3" w14:textId="77777777" w:rsidR="009E01D9" w:rsidRPr="00475EAB" w:rsidRDefault="009E01D9" w:rsidP="009E01D9">
            <w:pPr>
              <w:pStyle w:val="TableText"/>
              <w:rPr>
                <w:rFonts w:cs="Segoe UI"/>
                <w:b/>
                <w:bCs/>
                <w:sz w:val="20"/>
              </w:rPr>
            </w:pPr>
          </w:p>
        </w:tc>
        <w:tc>
          <w:tcPr>
            <w:tcW w:w="2213" w:type="pct"/>
            <w:shd w:val="clear" w:color="auto" w:fill="auto"/>
          </w:tcPr>
          <w:p w14:paraId="5FC26D4E" w14:textId="3BC2104A" w:rsidR="009E01D9" w:rsidRPr="008D2112" w:rsidRDefault="009E01D9" w:rsidP="009E01D9">
            <w:pPr>
              <w:pStyle w:val="TableText"/>
            </w:pPr>
            <w:r>
              <w:rPr>
                <w:bCs/>
              </w:rPr>
              <w:t xml:space="preserve">The term </w:t>
            </w:r>
            <w:r w:rsidRPr="008D2112">
              <w:t>‘</w:t>
            </w:r>
            <w:r>
              <w:t>r</w:t>
            </w:r>
            <w:r w:rsidRPr="008D2112">
              <w:t>isk assessment’ has replaced ‘</w:t>
            </w:r>
            <w:r>
              <w:t>s</w:t>
            </w:r>
            <w:r w:rsidRPr="008D2112">
              <w:t>afety assessment’.</w:t>
            </w:r>
          </w:p>
        </w:tc>
        <w:tc>
          <w:tcPr>
            <w:tcW w:w="1463" w:type="pct"/>
          </w:tcPr>
          <w:p w14:paraId="40E83861" w14:textId="77777777" w:rsidR="009E01D9" w:rsidRPr="008D2112" w:rsidRDefault="009E01D9" w:rsidP="009E01D9">
            <w:pPr>
              <w:pStyle w:val="TableText"/>
            </w:pPr>
            <w:r w:rsidRPr="008D2112">
              <w:t>Clearer statement of requirements.</w:t>
            </w:r>
          </w:p>
        </w:tc>
      </w:tr>
      <w:tr w:rsidR="009E01D9" w:rsidRPr="00475EAB" w14:paraId="5164735A" w14:textId="77777777" w:rsidTr="00A25781">
        <w:tc>
          <w:tcPr>
            <w:tcW w:w="1324" w:type="pct"/>
            <w:vMerge/>
            <w:shd w:val="clear" w:color="auto" w:fill="auto"/>
            <w:vAlign w:val="center"/>
          </w:tcPr>
          <w:p w14:paraId="357A7344" w14:textId="77777777" w:rsidR="009E01D9" w:rsidRPr="00475EAB" w:rsidRDefault="009E01D9" w:rsidP="009E01D9">
            <w:pPr>
              <w:pStyle w:val="TableText"/>
              <w:rPr>
                <w:rFonts w:cs="Segoe UI"/>
                <w:b/>
                <w:bCs/>
                <w:sz w:val="20"/>
              </w:rPr>
            </w:pPr>
          </w:p>
        </w:tc>
        <w:tc>
          <w:tcPr>
            <w:tcW w:w="2213" w:type="pct"/>
            <w:shd w:val="clear" w:color="auto" w:fill="auto"/>
          </w:tcPr>
          <w:p w14:paraId="35A4BCDD" w14:textId="1EF7B722" w:rsidR="009E01D9" w:rsidRPr="008D2112" w:rsidRDefault="009E01D9" w:rsidP="009E01D9">
            <w:pPr>
              <w:pStyle w:val="TableText"/>
            </w:pPr>
            <w:r>
              <w:rPr>
                <w:bCs/>
              </w:rPr>
              <w:t xml:space="preserve">The term </w:t>
            </w:r>
            <w:r w:rsidRPr="008D2112">
              <w:t>‘</w:t>
            </w:r>
            <w:r>
              <w:t>u</w:t>
            </w:r>
            <w:r w:rsidRPr="008D2112">
              <w:t>nderexposure of a patient’ has been added.</w:t>
            </w:r>
          </w:p>
        </w:tc>
        <w:tc>
          <w:tcPr>
            <w:tcW w:w="1463" w:type="pct"/>
          </w:tcPr>
          <w:p w14:paraId="4CBB8830" w14:textId="77777777" w:rsidR="009E01D9" w:rsidRPr="00475EAB" w:rsidRDefault="009E01D9" w:rsidP="009E01D9">
            <w:pPr>
              <w:pStyle w:val="TableText"/>
            </w:pPr>
            <w:r w:rsidRPr="00475EAB">
              <w:t>Clearer statement of requirements.</w:t>
            </w:r>
          </w:p>
        </w:tc>
      </w:tr>
      <w:tr w:rsidR="009E01D9" w:rsidRPr="00475EAB" w14:paraId="38B8D408" w14:textId="77777777" w:rsidTr="00A25781">
        <w:tc>
          <w:tcPr>
            <w:tcW w:w="1324" w:type="pct"/>
            <w:vMerge/>
            <w:shd w:val="clear" w:color="auto" w:fill="auto"/>
            <w:vAlign w:val="center"/>
          </w:tcPr>
          <w:p w14:paraId="15AA1C57" w14:textId="77777777" w:rsidR="009E01D9" w:rsidRPr="00475EAB" w:rsidRDefault="009E01D9" w:rsidP="009E01D9">
            <w:pPr>
              <w:pStyle w:val="TableText"/>
              <w:rPr>
                <w:rFonts w:cs="Segoe UI"/>
                <w:b/>
                <w:bCs/>
                <w:sz w:val="20"/>
              </w:rPr>
            </w:pPr>
          </w:p>
        </w:tc>
        <w:tc>
          <w:tcPr>
            <w:tcW w:w="2213" w:type="pct"/>
            <w:shd w:val="clear" w:color="auto" w:fill="auto"/>
          </w:tcPr>
          <w:p w14:paraId="3A0DE483" w14:textId="20395B6F" w:rsidR="009E01D9" w:rsidRPr="008D2112" w:rsidRDefault="009E01D9" w:rsidP="009E01D9">
            <w:pPr>
              <w:pStyle w:val="TableText"/>
            </w:pPr>
            <w:r>
              <w:rPr>
                <w:bCs/>
              </w:rPr>
              <w:t xml:space="preserve">The term </w:t>
            </w:r>
            <w:r w:rsidRPr="008D2112">
              <w:t>‘or volunteer’ has been added to the interpretation of ‘</w:t>
            </w:r>
            <w:r>
              <w:t>u</w:t>
            </w:r>
            <w:r w:rsidRPr="008D2112">
              <w:t>nintended medical exposure’.</w:t>
            </w:r>
          </w:p>
        </w:tc>
        <w:tc>
          <w:tcPr>
            <w:tcW w:w="1463" w:type="pct"/>
          </w:tcPr>
          <w:p w14:paraId="42044431" w14:textId="77777777" w:rsidR="009E01D9" w:rsidRPr="00475EAB" w:rsidRDefault="009E01D9" w:rsidP="009E01D9">
            <w:pPr>
              <w:pStyle w:val="TableText"/>
            </w:pPr>
            <w:r w:rsidRPr="00475EAB">
              <w:t>Clearer statement of requirements.</w:t>
            </w:r>
          </w:p>
        </w:tc>
      </w:tr>
      <w:tr w:rsidR="009E01D9" w:rsidRPr="00475EAB" w14:paraId="729E50F6" w14:textId="77777777" w:rsidTr="00A25781">
        <w:tc>
          <w:tcPr>
            <w:tcW w:w="1324" w:type="pct"/>
            <w:vMerge w:val="restart"/>
            <w:shd w:val="clear" w:color="auto" w:fill="auto"/>
            <w:vAlign w:val="center"/>
          </w:tcPr>
          <w:p w14:paraId="25AB14A5" w14:textId="77777777" w:rsidR="009E01D9" w:rsidRDefault="009E01D9" w:rsidP="009E01D9">
            <w:pPr>
              <w:pStyle w:val="TableText"/>
              <w:keepNext/>
              <w:rPr>
                <w:b/>
                <w:bCs/>
              </w:rPr>
            </w:pPr>
            <w:r>
              <w:rPr>
                <w:b/>
                <w:bCs/>
              </w:rPr>
              <w:t>General</w:t>
            </w:r>
          </w:p>
          <w:p w14:paraId="2F43BA56" w14:textId="77777777" w:rsidR="009E01D9" w:rsidRPr="00CC1D42" w:rsidRDefault="009E01D9" w:rsidP="009E01D9">
            <w:pPr>
              <w:pStyle w:val="TableText"/>
              <w:keepNext/>
              <w:rPr>
                <w:b/>
                <w:bCs/>
              </w:rPr>
            </w:pPr>
            <w:r w:rsidRPr="00CC1D42">
              <w:rPr>
                <w:b/>
                <w:bCs/>
              </w:rPr>
              <w:t xml:space="preserve">Clause 1 </w:t>
            </w:r>
          </w:p>
          <w:p w14:paraId="54503827" w14:textId="1594B470" w:rsidR="009E01D9" w:rsidRPr="00475EAB" w:rsidRDefault="009E01D9" w:rsidP="009E01D9">
            <w:pPr>
              <w:pStyle w:val="TableText"/>
              <w:keepNext/>
            </w:pPr>
            <w:r w:rsidRPr="00475EAB">
              <w:t xml:space="preserve">(Clause 1 of </w:t>
            </w:r>
            <w:r>
              <w:t>the current C2</w:t>
            </w:r>
            <w:r w:rsidRPr="00475EAB">
              <w:t>)</w:t>
            </w:r>
          </w:p>
        </w:tc>
        <w:tc>
          <w:tcPr>
            <w:tcW w:w="2213" w:type="pct"/>
            <w:shd w:val="clear" w:color="auto" w:fill="auto"/>
          </w:tcPr>
          <w:p w14:paraId="248711E0" w14:textId="0DB7E1EE" w:rsidR="009E01D9" w:rsidRPr="00475EAB" w:rsidRDefault="009E01D9" w:rsidP="009E01D9">
            <w:pPr>
              <w:pStyle w:val="TableText"/>
              <w:keepNext/>
            </w:pPr>
            <w:r>
              <w:t>A p</w:t>
            </w:r>
            <w:r w:rsidRPr="008D2112">
              <w:t>aragraph</w:t>
            </w:r>
            <w:r>
              <w:t xml:space="preserve"> has been</w:t>
            </w:r>
            <w:r w:rsidRPr="008D2112">
              <w:t xml:space="preserve"> added associating clause 1 with the Act.</w:t>
            </w:r>
          </w:p>
        </w:tc>
        <w:tc>
          <w:tcPr>
            <w:tcW w:w="1463" w:type="pct"/>
          </w:tcPr>
          <w:p w14:paraId="6CC592D1" w14:textId="77777777" w:rsidR="009E01D9" w:rsidRPr="00475EAB" w:rsidRDefault="009E01D9" w:rsidP="009E01D9">
            <w:pPr>
              <w:pStyle w:val="TableText"/>
              <w:keepNext/>
            </w:pPr>
            <w:r w:rsidRPr="00475EAB">
              <w:t>Improved alignment with the Act.</w:t>
            </w:r>
          </w:p>
        </w:tc>
      </w:tr>
      <w:tr w:rsidR="009E01D9" w:rsidRPr="00475EAB" w14:paraId="30907D1B" w14:textId="77777777" w:rsidTr="00A25781">
        <w:tc>
          <w:tcPr>
            <w:tcW w:w="1324" w:type="pct"/>
            <w:vMerge/>
            <w:shd w:val="clear" w:color="auto" w:fill="auto"/>
            <w:vAlign w:val="center"/>
          </w:tcPr>
          <w:p w14:paraId="3E94E314" w14:textId="77777777" w:rsidR="009E01D9" w:rsidRPr="00475EAB" w:rsidRDefault="009E01D9" w:rsidP="009E01D9">
            <w:pPr>
              <w:pStyle w:val="TableText"/>
              <w:keepNext/>
            </w:pPr>
          </w:p>
        </w:tc>
        <w:tc>
          <w:tcPr>
            <w:tcW w:w="2213" w:type="pct"/>
            <w:shd w:val="clear" w:color="auto" w:fill="auto"/>
          </w:tcPr>
          <w:p w14:paraId="70D85DE4" w14:textId="03436FAA" w:rsidR="009E01D9" w:rsidRPr="008D2112" w:rsidRDefault="009E01D9" w:rsidP="009E01D9">
            <w:pPr>
              <w:pStyle w:val="TableText"/>
              <w:keepNext/>
            </w:pPr>
            <w:r w:rsidRPr="008D2112">
              <w:t>Clause 1(a) has been deleted.</w:t>
            </w:r>
          </w:p>
        </w:tc>
        <w:tc>
          <w:tcPr>
            <w:tcW w:w="1463" w:type="pct"/>
          </w:tcPr>
          <w:p w14:paraId="3796D5AF" w14:textId="77777777" w:rsidR="009E01D9" w:rsidRPr="00475EAB" w:rsidRDefault="009E01D9" w:rsidP="009E01D9">
            <w:pPr>
              <w:pStyle w:val="TableText"/>
              <w:keepNext/>
            </w:pPr>
            <w:r w:rsidRPr="00475EAB">
              <w:t>Improved alignment with the Act.</w:t>
            </w:r>
          </w:p>
        </w:tc>
      </w:tr>
      <w:tr w:rsidR="009E01D9" w:rsidRPr="00475EAB" w14:paraId="183B960C" w14:textId="77777777" w:rsidTr="00A25781">
        <w:tc>
          <w:tcPr>
            <w:tcW w:w="1324" w:type="pct"/>
            <w:vMerge/>
            <w:shd w:val="clear" w:color="auto" w:fill="auto"/>
            <w:vAlign w:val="center"/>
          </w:tcPr>
          <w:p w14:paraId="321C492E" w14:textId="77777777" w:rsidR="009E01D9" w:rsidRPr="00475EAB" w:rsidRDefault="009E01D9" w:rsidP="009E01D9">
            <w:pPr>
              <w:pStyle w:val="TableText"/>
              <w:keepNext/>
            </w:pPr>
          </w:p>
        </w:tc>
        <w:tc>
          <w:tcPr>
            <w:tcW w:w="2213" w:type="pct"/>
            <w:shd w:val="clear" w:color="auto" w:fill="auto"/>
          </w:tcPr>
          <w:p w14:paraId="0230316C" w14:textId="0EFEDB82" w:rsidR="009E01D9" w:rsidRPr="00475EAB" w:rsidRDefault="009E01D9" w:rsidP="009E01D9">
            <w:pPr>
              <w:pStyle w:val="TableText"/>
              <w:keepNext/>
            </w:pPr>
            <w:r>
              <w:rPr>
                <w:bCs/>
              </w:rPr>
              <w:t xml:space="preserve">The term </w:t>
            </w:r>
            <w:r w:rsidRPr="008D2112">
              <w:t>‘procedures’ has been included in clause 1(a)(iii)</w:t>
            </w:r>
            <w:r>
              <w:t>.</w:t>
            </w:r>
          </w:p>
        </w:tc>
        <w:tc>
          <w:tcPr>
            <w:tcW w:w="1463" w:type="pct"/>
          </w:tcPr>
          <w:p w14:paraId="0DE4A932" w14:textId="77777777" w:rsidR="009E01D9" w:rsidRPr="00475EAB" w:rsidRDefault="009E01D9" w:rsidP="009E01D9">
            <w:pPr>
              <w:pStyle w:val="TableText"/>
              <w:keepNext/>
            </w:pPr>
            <w:r w:rsidRPr="00475EAB">
              <w:t>Clearer statement of requirements.</w:t>
            </w:r>
          </w:p>
        </w:tc>
      </w:tr>
      <w:tr w:rsidR="009E01D9" w:rsidRPr="00475EAB" w14:paraId="2893B9E3" w14:textId="77777777" w:rsidTr="00A25781">
        <w:tc>
          <w:tcPr>
            <w:tcW w:w="1324" w:type="pct"/>
            <w:vMerge/>
            <w:shd w:val="clear" w:color="auto" w:fill="auto"/>
            <w:vAlign w:val="center"/>
          </w:tcPr>
          <w:p w14:paraId="40F7FB4A" w14:textId="77777777" w:rsidR="009E01D9" w:rsidRPr="00475EAB" w:rsidRDefault="009E01D9" w:rsidP="009E01D9">
            <w:pPr>
              <w:pStyle w:val="TableText"/>
              <w:keepNext/>
            </w:pPr>
          </w:p>
        </w:tc>
        <w:tc>
          <w:tcPr>
            <w:tcW w:w="2213" w:type="pct"/>
            <w:shd w:val="clear" w:color="auto" w:fill="auto"/>
          </w:tcPr>
          <w:p w14:paraId="047010D1" w14:textId="239A6E64" w:rsidR="009E01D9" w:rsidRDefault="009E01D9" w:rsidP="009E01D9">
            <w:pPr>
              <w:pStyle w:val="TableText"/>
              <w:keepNext/>
            </w:pPr>
            <w:r>
              <w:rPr>
                <w:bCs/>
              </w:rPr>
              <w:t xml:space="preserve">The term </w:t>
            </w:r>
            <w:r w:rsidRPr="008D2112">
              <w:t>‘documenting the appointment’ has been added to clause 1</w:t>
            </w:r>
            <w:r>
              <w:t>(a)</w:t>
            </w:r>
            <w:r w:rsidRPr="008D2112">
              <w:t>(iv).</w:t>
            </w:r>
          </w:p>
        </w:tc>
        <w:tc>
          <w:tcPr>
            <w:tcW w:w="1463" w:type="pct"/>
          </w:tcPr>
          <w:p w14:paraId="5A41C79D" w14:textId="77777777" w:rsidR="009E01D9" w:rsidRPr="00475EAB" w:rsidRDefault="009E01D9" w:rsidP="009E01D9">
            <w:pPr>
              <w:pStyle w:val="TableText"/>
              <w:keepNext/>
            </w:pPr>
            <w:r w:rsidRPr="00475EAB">
              <w:t>Clearer statement of requirements.</w:t>
            </w:r>
          </w:p>
        </w:tc>
      </w:tr>
      <w:tr w:rsidR="009E01D9" w:rsidRPr="00475EAB" w14:paraId="753D72E2" w14:textId="77777777" w:rsidTr="00A25781">
        <w:tc>
          <w:tcPr>
            <w:tcW w:w="1324" w:type="pct"/>
            <w:vMerge/>
            <w:shd w:val="clear" w:color="auto" w:fill="auto"/>
            <w:vAlign w:val="center"/>
          </w:tcPr>
          <w:p w14:paraId="464F09DD" w14:textId="77777777" w:rsidR="009E01D9" w:rsidRPr="00475EAB" w:rsidRDefault="009E01D9" w:rsidP="009E01D9">
            <w:pPr>
              <w:pStyle w:val="TableText"/>
              <w:keepNext/>
            </w:pPr>
          </w:p>
        </w:tc>
        <w:tc>
          <w:tcPr>
            <w:tcW w:w="2213" w:type="pct"/>
            <w:shd w:val="clear" w:color="auto" w:fill="auto"/>
          </w:tcPr>
          <w:p w14:paraId="613A394D" w14:textId="6237D1DB" w:rsidR="009E01D9" w:rsidRPr="008D2112" w:rsidRDefault="009E01D9" w:rsidP="009E01D9">
            <w:pPr>
              <w:pStyle w:val="TableText"/>
              <w:keepNext/>
            </w:pPr>
            <w:r>
              <w:t>Clause 1(a)(v) has replaced clause 1(b)(v).</w:t>
            </w:r>
          </w:p>
        </w:tc>
        <w:tc>
          <w:tcPr>
            <w:tcW w:w="1463" w:type="pct"/>
          </w:tcPr>
          <w:p w14:paraId="11B52CE5" w14:textId="77777777" w:rsidR="009E01D9" w:rsidRPr="00475EAB" w:rsidRDefault="009E01D9" w:rsidP="009E01D9">
            <w:pPr>
              <w:pStyle w:val="TableText"/>
              <w:keepNext/>
            </w:pPr>
            <w:r w:rsidRPr="00475EAB">
              <w:t>Improved alignment with the Act.</w:t>
            </w:r>
          </w:p>
          <w:p w14:paraId="6E881293" w14:textId="77777777" w:rsidR="009E01D9" w:rsidRPr="00475EAB" w:rsidRDefault="009E01D9" w:rsidP="009E01D9">
            <w:pPr>
              <w:pStyle w:val="TableText"/>
              <w:keepNext/>
            </w:pPr>
            <w:r w:rsidRPr="00475EAB">
              <w:t>Clearer statement of requirements.</w:t>
            </w:r>
          </w:p>
        </w:tc>
      </w:tr>
      <w:tr w:rsidR="009E01D9" w:rsidRPr="00475EAB" w14:paraId="06C99570" w14:textId="77777777" w:rsidTr="00A25781">
        <w:tc>
          <w:tcPr>
            <w:tcW w:w="1324" w:type="pct"/>
            <w:vMerge/>
            <w:shd w:val="clear" w:color="auto" w:fill="auto"/>
            <w:vAlign w:val="center"/>
          </w:tcPr>
          <w:p w14:paraId="516D2E14" w14:textId="77777777" w:rsidR="009E01D9" w:rsidRPr="00475EAB" w:rsidRDefault="009E01D9" w:rsidP="009E01D9">
            <w:pPr>
              <w:pStyle w:val="TableText"/>
              <w:keepNext/>
            </w:pPr>
          </w:p>
        </w:tc>
        <w:tc>
          <w:tcPr>
            <w:tcW w:w="2213" w:type="pct"/>
            <w:shd w:val="clear" w:color="auto" w:fill="auto"/>
          </w:tcPr>
          <w:p w14:paraId="648D9758" w14:textId="127AB147" w:rsidR="009E01D9" w:rsidRPr="008D2112" w:rsidRDefault="009E01D9" w:rsidP="009E01D9">
            <w:pPr>
              <w:pStyle w:val="TableText"/>
              <w:keepNext/>
            </w:pPr>
            <w:r w:rsidRPr="008D2112">
              <w:t>Clause 1(b) has replaced clause 1(c).</w:t>
            </w:r>
          </w:p>
        </w:tc>
        <w:tc>
          <w:tcPr>
            <w:tcW w:w="1463" w:type="pct"/>
          </w:tcPr>
          <w:p w14:paraId="26F40242" w14:textId="77777777" w:rsidR="009E01D9" w:rsidRPr="00475EAB" w:rsidRDefault="009E01D9" w:rsidP="009E01D9">
            <w:pPr>
              <w:pStyle w:val="TableText"/>
              <w:keepNext/>
            </w:pPr>
            <w:r w:rsidRPr="00475EAB">
              <w:t>Improved alignment with the Act.</w:t>
            </w:r>
          </w:p>
          <w:p w14:paraId="7A07580B" w14:textId="77777777" w:rsidR="009E01D9" w:rsidRPr="00475EAB" w:rsidRDefault="009E01D9" w:rsidP="009E01D9">
            <w:pPr>
              <w:pStyle w:val="TableText"/>
              <w:keepNext/>
            </w:pPr>
            <w:r w:rsidRPr="00475EAB">
              <w:t>Clearer statement of requirements.</w:t>
            </w:r>
          </w:p>
        </w:tc>
      </w:tr>
      <w:tr w:rsidR="009E01D9" w:rsidRPr="00475EAB" w14:paraId="51753F72" w14:textId="77777777" w:rsidTr="00A25781">
        <w:tc>
          <w:tcPr>
            <w:tcW w:w="1324" w:type="pct"/>
            <w:vMerge/>
            <w:shd w:val="clear" w:color="auto" w:fill="auto"/>
            <w:vAlign w:val="center"/>
          </w:tcPr>
          <w:p w14:paraId="7E768B7A" w14:textId="77777777" w:rsidR="009E01D9" w:rsidRPr="00475EAB" w:rsidRDefault="009E01D9" w:rsidP="009E01D9">
            <w:pPr>
              <w:pStyle w:val="TableText"/>
              <w:keepNext/>
            </w:pPr>
          </w:p>
        </w:tc>
        <w:tc>
          <w:tcPr>
            <w:tcW w:w="2213" w:type="pct"/>
            <w:shd w:val="clear" w:color="auto" w:fill="auto"/>
          </w:tcPr>
          <w:p w14:paraId="24D1C474" w14:textId="07EFA7CB" w:rsidR="009E01D9" w:rsidRPr="008D2112" w:rsidRDefault="009E01D9" w:rsidP="009E01D9">
            <w:pPr>
              <w:pStyle w:val="TableText"/>
              <w:keepNext/>
            </w:pPr>
            <w:r w:rsidRPr="008D2112">
              <w:t>Clauses 1(c) and (d) have replaced clause 1(d).</w:t>
            </w:r>
          </w:p>
          <w:p w14:paraId="1E6A56CE" w14:textId="1004D6AA" w:rsidR="009E01D9" w:rsidRPr="00C55A30" w:rsidRDefault="009E01D9" w:rsidP="009E01D9">
            <w:pPr>
              <w:pStyle w:val="TableText"/>
              <w:keepNext/>
              <w:rPr>
                <w:highlight w:val="yellow"/>
              </w:rPr>
            </w:pPr>
            <w:r>
              <w:t>A p</w:t>
            </w:r>
            <w:r w:rsidRPr="008D2112">
              <w:t>aragraph added in clause 1(d) associates the clause with the Act.</w:t>
            </w:r>
          </w:p>
        </w:tc>
        <w:tc>
          <w:tcPr>
            <w:tcW w:w="1463" w:type="pct"/>
          </w:tcPr>
          <w:p w14:paraId="7090ED4E" w14:textId="77777777" w:rsidR="009E01D9" w:rsidRPr="00475EAB" w:rsidRDefault="009E01D9" w:rsidP="009E01D9">
            <w:pPr>
              <w:pStyle w:val="TableText"/>
              <w:keepNext/>
            </w:pPr>
            <w:r w:rsidRPr="00475EAB">
              <w:t>Improved alignment with the Act.</w:t>
            </w:r>
          </w:p>
          <w:p w14:paraId="02ECCCB0" w14:textId="77777777" w:rsidR="009E01D9" w:rsidRPr="00475EAB" w:rsidRDefault="009E01D9" w:rsidP="009E01D9">
            <w:pPr>
              <w:pStyle w:val="TableText"/>
              <w:keepNext/>
            </w:pPr>
            <w:r w:rsidRPr="00475EAB">
              <w:t>Clearer statement of requirements.</w:t>
            </w:r>
          </w:p>
        </w:tc>
      </w:tr>
      <w:tr w:rsidR="009E01D9" w:rsidRPr="00475EAB" w14:paraId="73B9AE3C" w14:textId="77777777" w:rsidTr="00A25781">
        <w:tc>
          <w:tcPr>
            <w:tcW w:w="1324" w:type="pct"/>
            <w:vMerge/>
            <w:shd w:val="clear" w:color="auto" w:fill="auto"/>
            <w:vAlign w:val="center"/>
          </w:tcPr>
          <w:p w14:paraId="1A0FEB82" w14:textId="77777777" w:rsidR="009E01D9" w:rsidRPr="00475EAB" w:rsidRDefault="009E01D9" w:rsidP="009E01D9">
            <w:pPr>
              <w:pStyle w:val="TableText"/>
            </w:pPr>
          </w:p>
        </w:tc>
        <w:tc>
          <w:tcPr>
            <w:tcW w:w="2213" w:type="pct"/>
            <w:shd w:val="clear" w:color="auto" w:fill="auto"/>
          </w:tcPr>
          <w:p w14:paraId="6FCAA4B4" w14:textId="24B2571F" w:rsidR="009E01D9" w:rsidRPr="00C55A30" w:rsidRDefault="009E01D9" w:rsidP="009E01D9">
            <w:pPr>
              <w:pStyle w:val="TableText"/>
              <w:rPr>
                <w:highlight w:val="yellow"/>
              </w:rPr>
            </w:pPr>
            <w:r w:rsidRPr="002048B6">
              <w:t>A new clause 1(e) requires the HSL to ensures that the referring practitioner provides necessary and sufficient information</w:t>
            </w:r>
            <w:r w:rsidR="002048B6" w:rsidRPr="002048B6">
              <w:t xml:space="preserve"> </w:t>
            </w:r>
            <w:r w:rsidR="002048B6" w:rsidRPr="00025B6D">
              <w:t>(also refer to clause 22(b)).</w:t>
            </w:r>
          </w:p>
        </w:tc>
        <w:tc>
          <w:tcPr>
            <w:tcW w:w="1463" w:type="pct"/>
          </w:tcPr>
          <w:p w14:paraId="4C1D7C5C" w14:textId="77777777" w:rsidR="009E01D9" w:rsidRPr="00475EAB" w:rsidRDefault="009E01D9" w:rsidP="009E01D9">
            <w:pPr>
              <w:pStyle w:val="TableText"/>
            </w:pPr>
            <w:r w:rsidRPr="00475EAB">
              <w:t>Clearer statement of requirements.</w:t>
            </w:r>
          </w:p>
          <w:p w14:paraId="2238AFB6" w14:textId="0D24C15A" w:rsidR="009E01D9" w:rsidRPr="00475EAB" w:rsidRDefault="009E01D9" w:rsidP="009E01D9">
            <w:pPr>
              <w:pStyle w:val="TableText"/>
            </w:pPr>
            <w:r w:rsidRPr="00475EAB">
              <w:t>Supports deletion of clause 2</w:t>
            </w:r>
            <w:r>
              <w:t>4</w:t>
            </w:r>
            <w:r w:rsidRPr="00475EAB">
              <w:t xml:space="preserve"> ‘Referring practitioner’ of </w:t>
            </w:r>
            <w:r w:rsidR="00282B6E">
              <w:t xml:space="preserve">current </w:t>
            </w:r>
            <w:r>
              <w:t>C2</w:t>
            </w:r>
            <w:r w:rsidRPr="00475EAB">
              <w:t>.</w:t>
            </w:r>
          </w:p>
        </w:tc>
      </w:tr>
      <w:tr w:rsidR="009E01D9" w:rsidRPr="00475EAB" w14:paraId="6FC16582" w14:textId="77777777" w:rsidTr="00A25781">
        <w:tc>
          <w:tcPr>
            <w:tcW w:w="1324" w:type="pct"/>
            <w:shd w:val="clear" w:color="auto" w:fill="auto"/>
            <w:vAlign w:val="center"/>
          </w:tcPr>
          <w:p w14:paraId="355E1AD3" w14:textId="77777777" w:rsidR="009E01D9" w:rsidRPr="00475EAB" w:rsidRDefault="009E01D9" w:rsidP="009E01D9">
            <w:pPr>
              <w:pStyle w:val="TableText"/>
              <w:rPr>
                <w:b/>
                <w:bCs/>
              </w:rPr>
            </w:pPr>
            <w:r w:rsidRPr="00475EAB">
              <w:rPr>
                <w:b/>
                <w:bCs/>
              </w:rPr>
              <w:t xml:space="preserve">New clause 3 </w:t>
            </w:r>
          </w:p>
        </w:tc>
        <w:tc>
          <w:tcPr>
            <w:tcW w:w="2213" w:type="pct"/>
            <w:shd w:val="clear" w:color="auto" w:fill="auto"/>
          </w:tcPr>
          <w:p w14:paraId="7637E133" w14:textId="0284E84E" w:rsidR="009E01D9" w:rsidRPr="00475EAB" w:rsidRDefault="009E01D9" w:rsidP="009E01D9">
            <w:pPr>
              <w:pStyle w:val="TableText"/>
            </w:pPr>
            <w:r>
              <w:t>This new clause p</w:t>
            </w:r>
            <w:r w:rsidRPr="008D2112">
              <w:t>rovides a requirement related to justification of occupational and public exposures.</w:t>
            </w:r>
          </w:p>
        </w:tc>
        <w:tc>
          <w:tcPr>
            <w:tcW w:w="1463" w:type="pct"/>
          </w:tcPr>
          <w:p w14:paraId="58C7457B" w14:textId="41BA1B5C" w:rsidR="009E01D9" w:rsidRPr="00475EAB" w:rsidRDefault="009E01D9" w:rsidP="009E01D9">
            <w:pPr>
              <w:pStyle w:val="TableText"/>
            </w:pPr>
            <w:r w:rsidRPr="00475EAB">
              <w:t xml:space="preserve">Generally, occupational and public radiation exposure considerations in justification are not as prominent as the justification of a patient’s radiological procedure. However, </w:t>
            </w:r>
            <w:r>
              <w:t xml:space="preserve">the HSL must still take </w:t>
            </w:r>
            <w:r w:rsidRPr="00475EAB">
              <w:t>account of the risk involved with occupational and public exposures.</w:t>
            </w:r>
          </w:p>
        </w:tc>
      </w:tr>
      <w:tr w:rsidR="009E01D9" w:rsidRPr="00475EAB" w14:paraId="630578FB" w14:textId="77777777" w:rsidTr="00A25781">
        <w:tc>
          <w:tcPr>
            <w:tcW w:w="1324" w:type="pct"/>
            <w:shd w:val="clear" w:color="auto" w:fill="auto"/>
            <w:vAlign w:val="center"/>
          </w:tcPr>
          <w:p w14:paraId="696026A8" w14:textId="77777777" w:rsidR="009E01D9" w:rsidRDefault="009E01D9" w:rsidP="009E01D9">
            <w:pPr>
              <w:pStyle w:val="TableText"/>
              <w:rPr>
                <w:b/>
                <w:bCs/>
              </w:rPr>
            </w:pPr>
            <w:r>
              <w:rPr>
                <w:b/>
                <w:bCs/>
              </w:rPr>
              <w:lastRenderedPageBreak/>
              <w:t>Risk assessment</w:t>
            </w:r>
          </w:p>
          <w:p w14:paraId="28B7F3BE" w14:textId="77777777" w:rsidR="009E01D9" w:rsidRDefault="009E01D9" w:rsidP="009E01D9">
            <w:pPr>
              <w:pStyle w:val="TableText"/>
              <w:rPr>
                <w:b/>
                <w:bCs/>
              </w:rPr>
            </w:pPr>
            <w:r>
              <w:rPr>
                <w:b/>
                <w:bCs/>
              </w:rPr>
              <w:t>Clause 4</w:t>
            </w:r>
          </w:p>
          <w:p w14:paraId="340E8B67" w14:textId="0F09DA3F" w:rsidR="009E01D9" w:rsidRPr="00BE17B3" w:rsidRDefault="009E01D9" w:rsidP="009E01D9">
            <w:pPr>
              <w:pStyle w:val="TableText"/>
            </w:pPr>
            <w:r w:rsidRPr="00BE17B3">
              <w:t>Replaces ‘</w:t>
            </w:r>
            <w:r>
              <w:t>r</w:t>
            </w:r>
            <w:r w:rsidRPr="00BE17B3">
              <w:t xml:space="preserve">isk assessment’ </w:t>
            </w:r>
          </w:p>
          <w:p w14:paraId="2D06BDEB" w14:textId="2E899B01" w:rsidR="009E01D9" w:rsidRPr="00475EAB" w:rsidRDefault="009E01D9" w:rsidP="009E01D9">
            <w:pPr>
              <w:pStyle w:val="TableText"/>
              <w:rPr>
                <w:b/>
                <w:bCs/>
              </w:rPr>
            </w:pPr>
            <w:r w:rsidRPr="00BE17B3">
              <w:t xml:space="preserve">(Clause 3 of </w:t>
            </w:r>
            <w:r>
              <w:t xml:space="preserve">the current </w:t>
            </w:r>
            <w:r w:rsidRPr="00BE17B3">
              <w:t>C2)</w:t>
            </w:r>
          </w:p>
        </w:tc>
        <w:tc>
          <w:tcPr>
            <w:tcW w:w="2213" w:type="pct"/>
            <w:shd w:val="clear" w:color="auto" w:fill="auto"/>
          </w:tcPr>
          <w:p w14:paraId="76B0AF7E" w14:textId="04EF1AFB" w:rsidR="009E01D9" w:rsidRPr="008D2112" w:rsidRDefault="009E01D9" w:rsidP="009E01D9">
            <w:pPr>
              <w:pStyle w:val="TableText"/>
            </w:pPr>
            <w:r>
              <w:rPr>
                <w:bCs/>
              </w:rPr>
              <w:t xml:space="preserve">The term </w:t>
            </w:r>
            <w:r w:rsidRPr="008D2112">
              <w:t>‘</w:t>
            </w:r>
            <w:r>
              <w:t>r</w:t>
            </w:r>
            <w:r w:rsidRPr="008D2112">
              <w:t>isk’ has replaced ‘</w:t>
            </w:r>
            <w:r>
              <w:t>s</w:t>
            </w:r>
            <w:r w:rsidRPr="008D2112">
              <w:t xml:space="preserve">afety’ in </w:t>
            </w:r>
            <w:r>
              <w:t>clause 3</w:t>
            </w:r>
            <w:r w:rsidRPr="008D2112">
              <w:t>.</w:t>
            </w:r>
          </w:p>
        </w:tc>
        <w:tc>
          <w:tcPr>
            <w:tcW w:w="1463" w:type="pct"/>
          </w:tcPr>
          <w:p w14:paraId="73496DC8" w14:textId="77777777" w:rsidR="009E01D9" w:rsidRPr="00475EAB" w:rsidRDefault="009E01D9" w:rsidP="009E01D9">
            <w:pPr>
              <w:pStyle w:val="TableText"/>
            </w:pPr>
            <w:r w:rsidRPr="00475EAB">
              <w:t>Clearer statement of requirements.</w:t>
            </w:r>
          </w:p>
        </w:tc>
      </w:tr>
      <w:tr w:rsidR="009E01D9" w:rsidRPr="00475EAB" w14:paraId="7E288622" w14:textId="77777777" w:rsidTr="00A25781">
        <w:tc>
          <w:tcPr>
            <w:tcW w:w="1324" w:type="pct"/>
            <w:vMerge w:val="restart"/>
            <w:shd w:val="clear" w:color="auto" w:fill="auto"/>
            <w:vAlign w:val="center"/>
          </w:tcPr>
          <w:p w14:paraId="63FF219A" w14:textId="77777777" w:rsidR="009E01D9" w:rsidRPr="00475EAB" w:rsidRDefault="009E01D9" w:rsidP="009E01D9">
            <w:pPr>
              <w:pStyle w:val="TableText"/>
              <w:rPr>
                <w:b/>
                <w:bCs/>
              </w:rPr>
            </w:pPr>
            <w:r w:rsidRPr="00475EAB">
              <w:rPr>
                <w:b/>
                <w:bCs/>
              </w:rPr>
              <w:t>Places</w:t>
            </w:r>
          </w:p>
          <w:p w14:paraId="4DB90AC7" w14:textId="77777777" w:rsidR="009E01D9" w:rsidRPr="00475EAB" w:rsidRDefault="009E01D9" w:rsidP="009E01D9">
            <w:pPr>
              <w:pStyle w:val="TableText"/>
              <w:rPr>
                <w:b/>
                <w:bCs/>
              </w:rPr>
            </w:pPr>
            <w:r w:rsidRPr="00475EAB">
              <w:rPr>
                <w:b/>
                <w:bCs/>
              </w:rPr>
              <w:t>Clause 5</w:t>
            </w:r>
          </w:p>
          <w:p w14:paraId="4EDF5B78" w14:textId="793575F3" w:rsidR="009E01D9" w:rsidRPr="00475EAB" w:rsidRDefault="009E01D9" w:rsidP="009E01D9">
            <w:pPr>
              <w:pStyle w:val="TableText"/>
            </w:pPr>
            <w:r w:rsidRPr="00475EAB">
              <w:t>Replaces ‘</w:t>
            </w:r>
            <w:r>
              <w:t>f</w:t>
            </w:r>
            <w:r w:rsidRPr="00475EAB">
              <w:t xml:space="preserve">acilities’ </w:t>
            </w:r>
          </w:p>
          <w:p w14:paraId="69C4E900" w14:textId="2A0A65F5" w:rsidR="009E01D9" w:rsidRPr="00475EAB" w:rsidRDefault="009E01D9" w:rsidP="009E01D9">
            <w:pPr>
              <w:pStyle w:val="TableText"/>
            </w:pPr>
            <w:r w:rsidRPr="00475EAB">
              <w:t xml:space="preserve">(Clause 4 of </w:t>
            </w:r>
            <w:r>
              <w:t>the current C2</w:t>
            </w:r>
            <w:r w:rsidRPr="00475EAB">
              <w:t>)</w:t>
            </w:r>
          </w:p>
        </w:tc>
        <w:tc>
          <w:tcPr>
            <w:tcW w:w="2213" w:type="pct"/>
            <w:shd w:val="clear" w:color="auto" w:fill="auto"/>
          </w:tcPr>
          <w:p w14:paraId="422BA01B" w14:textId="4050B22F" w:rsidR="009E01D9" w:rsidRPr="00173804" w:rsidRDefault="009E01D9" w:rsidP="009E01D9">
            <w:pPr>
              <w:pStyle w:val="TableText"/>
              <w:rPr>
                <w:highlight w:val="yellow"/>
              </w:rPr>
            </w:pPr>
            <w:r>
              <w:rPr>
                <w:bCs/>
              </w:rPr>
              <w:t xml:space="preserve">The term </w:t>
            </w:r>
            <w:r w:rsidRPr="0068479E">
              <w:t>‘</w:t>
            </w:r>
            <w:r>
              <w:t>p</w:t>
            </w:r>
            <w:r w:rsidRPr="0068479E">
              <w:t>laces’ has replaced ‘</w:t>
            </w:r>
            <w:r>
              <w:t>f</w:t>
            </w:r>
            <w:r w:rsidRPr="0068479E">
              <w:t>acilities’</w:t>
            </w:r>
            <w:r>
              <w:t xml:space="preserve"> in clause 4</w:t>
            </w:r>
            <w:r w:rsidRPr="0068479E">
              <w:t>.</w:t>
            </w:r>
          </w:p>
        </w:tc>
        <w:tc>
          <w:tcPr>
            <w:tcW w:w="1463" w:type="pct"/>
          </w:tcPr>
          <w:p w14:paraId="1EAA165C" w14:textId="77777777" w:rsidR="009E01D9" w:rsidRPr="00475EAB" w:rsidRDefault="009E01D9" w:rsidP="009E01D9">
            <w:pPr>
              <w:pStyle w:val="TableText"/>
            </w:pPr>
            <w:r w:rsidRPr="00475EAB">
              <w:t>Improved alignment with the Act.</w:t>
            </w:r>
          </w:p>
        </w:tc>
      </w:tr>
      <w:tr w:rsidR="009E01D9" w:rsidRPr="00475EAB" w14:paraId="2AD43FB1" w14:textId="77777777" w:rsidTr="00A25781">
        <w:tc>
          <w:tcPr>
            <w:tcW w:w="1324" w:type="pct"/>
            <w:vMerge/>
            <w:shd w:val="clear" w:color="auto" w:fill="auto"/>
            <w:vAlign w:val="center"/>
          </w:tcPr>
          <w:p w14:paraId="73AEC7D3" w14:textId="77777777" w:rsidR="009E01D9" w:rsidRPr="00475EAB" w:rsidRDefault="009E01D9" w:rsidP="009E01D9">
            <w:pPr>
              <w:pStyle w:val="TableText"/>
              <w:rPr>
                <w:rFonts w:cs="Segoe UI"/>
                <w:b/>
                <w:bCs/>
                <w:sz w:val="20"/>
              </w:rPr>
            </w:pPr>
          </w:p>
        </w:tc>
        <w:tc>
          <w:tcPr>
            <w:tcW w:w="2213" w:type="pct"/>
            <w:shd w:val="clear" w:color="auto" w:fill="auto"/>
          </w:tcPr>
          <w:p w14:paraId="1334E510" w14:textId="4618F4C3" w:rsidR="009E01D9" w:rsidRPr="00173804" w:rsidRDefault="009E01D9" w:rsidP="009E01D9">
            <w:pPr>
              <w:pStyle w:val="TableText"/>
              <w:rPr>
                <w:highlight w:val="yellow"/>
              </w:rPr>
            </w:pPr>
            <w:r>
              <w:rPr>
                <w:bCs/>
              </w:rPr>
              <w:t xml:space="preserve">The term </w:t>
            </w:r>
            <w:r w:rsidRPr="0068479E">
              <w:t>‘background radiation interference with equipment’ has been added to clause 5(a)</w:t>
            </w:r>
            <w:r>
              <w:t>.</w:t>
            </w:r>
          </w:p>
        </w:tc>
        <w:tc>
          <w:tcPr>
            <w:tcW w:w="1463" w:type="pct"/>
          </w:tcPr>
          <w:p w14:paraId="6F445094" w14:textId="77777777" w:rsidR="009E01D9" w:rsidRPr="00475EAB" w:rsidRDefault="009E01D9" w:rsidP="009E01D9">
            <w:pPr>
              <w:pStyle w:val="TableText"/>
            </w:pPr>
            <w:r w:rsidRPr="00475EAB">
              <w:t>Clearer statement of requirements.</w:t>
            </w:r>
          </w:p>
        </w:tc>
      </w:tr>
      <w:tr w:rsidR="009E01D9" w:rsidRPr="00025B6D" w14:paraId="3E685ED5" w14:textId="77777777" w:rsidTr="00A25781">
        <w:tc>
          <w:tcPr>
            <w:tcW w:w="1324" w:type="pct"/>
            <w:vMerge/>
            <w:shd w:val="clear" w:color="auto" w:fill="auto"/>
            <w:vAlign w:val="center"/>
          </w:tcPr>
          <w:p w14:paraId="2B9C41F1" w14:textId="77777777" w:rsidR="009E01D9" w:rsidRPr="00025B6D" w:rsidRDefault="009E01D9" w:rsidP="009E01D9">
            <w:pPr>
              <w:pStyle w:val="TableText"/>
              <w:rPr>
                <w:rFonts w:cs="Segoe UI"/>
                <w:b/>
                <w:bCs/>
                <w:sz w:val="20"/>
              </w:rPr>
            </w:pPr>
          </w:p>
        </w:tc>
        <w:tc>
          <w:tcPr>
            <w:tcW w:w="2213" w:type="pct"/>
            <w:shd w:val="clear" w:color="auto" w:fill="auto"/>
          </w:tcPr>
          <w:p w14:paraId="249A8FD2" w14:textId="520133BE" w:rsidR="009E01D9" w:rsidRPr="00025B6D" w:rsidRDefault="009E01D9" w:rsidP="009E01D9">
            <w:pPr>
              <w:pStyle w:val="TableText"/>
            </w:pPr>
            <w:r w:rsidRPr="00025B6D">
              <w:t>Clauses 5(a), (c), (d) and (e) have replaced clauses 4(c) and (d).</w:t>
            </w:r>
          </w:p>
          <w:p w14:paraId="0923AD13" w14:textId="77777777" w:rsidR="00025B6D" w:rsidRPr="00025B6D" w:rsidRDefault="00025B6D" w:rsidP="009E01D9">
            <w:pPr>
              <w:pStyle w:val="TableText"/>
            </w:pPr>
            <w:r w:rsidRPr="00633999">
              <w:t xml:space="preserve"> In clause 5(c)(ii) the requirement for an ‘emergency shower’ has been replaced by a requirement for ‘where appropriate,</w:t>
            </w:r>
            <w:r w:rsidRPr="00025B6D">
              <w:t xml:space="preserve"> a shower for the decontamination of a person contaminated with radioactive material’.</w:t>
            </w:r>
          </w:p>
          <w:p w14:paraId="1695A810" w14:textId="7B370765" w:rsidR="009E01D9" w:rsidRPr="00025B6D" w:rsidRDefault="009E01D9" w:rsidP="009E01D9">
            <w:pPr>
              <w:pStyle w:val="TableText"/>
            </w:pPr>
            <w:r w:rsidRPr="00025B6D">
              <w:t>Clause 5(e) has a requirement for radiation shielding to be approved by a MPE or another qualified expert.</w:t>
            </w:r>
          </w:p>
        </w:tc>
        <w:tc>
          <w:tcPr>
            <w:tcW w:w="1463" w:type="pct"/>
          </w:tcPr>
          <w:p w14:paraId="065D2530" w14:textId="77777777" w:rsidR="009E01D9" w:rsidRPr="00025B6D" w:rsidRDefault="009E01D9" w:rsidP="009E01D9">
            <w:pPr>
              <w:pStyle w:val="TableText"/>
            </w:pPr>
            <w:r w:rsidRPr="00025B6D">
              <w:t>Clearer statement of requirements.</w:t>
            </w:r>
          </w:p>
        </w:tc>
      </w:tr>
      <w:tr w:rsidR="009E01D9" w:rsidRPr="00475EAB" w14:paraId="39A07081" w14:textId="77777777" w:rsidTr="00A25781">
        <w:tc>
          <w:tcPr>
            <w:tcW w:w="1324" w:type="pct"/>
            <w:vMerge/>
            <w:shd w:val="clear" w:color="auto" w:fill="auto"/>
            <w:vAlign w:val="center"/>
          </w:tcPr>
          <w:p w14:paraId="450AD44A" w14:textId="77777777" w:rsidR="009E01D9" w:rsidRPr="00475EAB" w:rsidRDefault="009E01D9" w:rsidP="009E01D9">
            <w:pPr>
              <w:pStyle w:val="TableText"/>
              <w:rPr>
                <w:rFonts w:cs="Segoe UI"/>
                <w:b/>
                <w:bCs/>
                <w:sz w:val="20"/>
              </w:rPr>
            </w:pPr>
          </w:p>
        </w:tc>
        <w:tc>
          <w:tcPr>
            <w:tcW w:w="2213" w:type="pct"/>
            <w:shd w:val="clear" w:color="auto" w:fill="auto"/>
          </w:tcPr>
          <w:p w14:paraId="4B7EFC97" w14:textId="3DE318CA" w:rsidR="009E01D9" w:rsidRPr="0068479E" w:rsidRDefault="009E01D9" w:rsidP="009E01D9">
            <w:pPr>
              <w:pStyle w:val="TableText"/>
            </w:pPr>
            <w:r w:rsidRPr="0068479E">
              <w:t xml:space="preserve">Clause </w:t>
            </w:r>
            <w:r w:rsidR="00D65DE5">
              <w:t>4</w:t>
            </w:r>
            <w:r w:rsidRPr="0068479E">
              <w:t xml:space="preserve">(g) has been deleted. </w:t>
            </w:r>
            <w:r>
              <w:t>This r</w:t>
            </w:r>
            <w:r w:rsidRPr="0068479E">
              <w:t>equirement is in the interpretation of a ‘controlled’ and ‘supervised area’.</w:t>
            </w:r>
          </w:p>
        </w:tc>
        <w:tc>
          <w:tcPr>
            <w:tcW w:w="1463" w:type="pct"/>
          </w:tcPr>
          <w:p w14:paraId="61AD014C" w14:textId="77777777" w:rsidR="009E01D9" w:rsidRPr="00475EAB" w:rsidRDefault="009E01D9" w:rsidP="009E01D9">
            <w:pPr>
              <w:pStyle w:val="TableText"/>
              <w:keepNext/>
              <w:rPr>
                <w:b/>
                <w:bCs/>
              </w:rPr>
            </w:pPr>
            <w:r w:rsidRPr="00475EAB">
              <w:t>Clearer statement of requirements.</w:t>
            </w:r>
          </w:p>
          <w:p w14:paraId="4517B5A6" w14:textId="77777777" w:rsidR="009E01D9" w:rsidRPr="00475EAB" w:rsidRDefault="009E01D9" w:rsidP="009E01D9">
            <w:pPr>
              <w:pStyle w:val="TableText"/>
            </w:pPr>
          </w:p>
        </w:tc>
      </w:tr>
      <w:tr w:rsidR="009E01D9" w:rsidRPr="00475EAB" w14:paraId="7FCD44A7" w14:textId="77777777" w:rsidTr="00A25781">
        <w:tc>
          <w:tcPr>
            <w:tcW w:w="1324" w:type="pct"/>
            <w:vMerge/>
            <w:shd w:val="clear" w:color="auto" w:fill="auto"/>
            <w:vAlign w:val="center"/>
          </w:tcPr>
          <w:p w14:paraId="5B08DE7A" w14:textId="77777777" w:rsidR="009E01D9" w:rsidRPr="00475EAB" w:rsidRDefault="009E01D9" w:rsidP="009E01D9">
            <w:pPr>
              <w:pStyle w:val="TableText"/>
              <w:rPr>
                <w:rFonts w:cs="Segoe UI"/>
                <w:b/>
                <w:bCs/>
                <w:sz w:val="20"/>
              </w:rPr>
            </w:pPr>
          </w:p>
        </w:tc>
        <w:tc>
          <w:tcPr>
            <w:tcW w:w="2213" w:type="pct"/>
            <w:shd w:val="clear" w:color="auto" w:fill="auto"/>
          </w:tcPr>
          <w:p w14:paraId="7E4BD172" w14:textId="2B2A53A4" w:rsidR="009E01D9" w:rsidRPr="00173804" w:rsidRDefault="009E01D9" w:rsidP="009E01D9">
            <w:pPr>
              <w:pStyle w:val="TableText"/>
              <w:keepNext/>
              <w:rPr>
                <w:highlight w:val="yellow"/>
              </w:rPr>
            </w:pPr>
            <w:r>
              <w:rPr>
                <w:bCs/>
              </w:rPr>
              <w:t xml:space="preserve">The term </w:t>
            </w:r>
            <w:r w:rsidRPr="008D2112">
              <w:t>‘and others’ has been added to clause 5(h)(ii)</w:t>
            </w:r>
            <w:r>
              <w:t>.</w:t>
            </w:r>
          </w:p>
        </w:tc>
        <w:tc>
          <w:tcPr>
            <w:tcW w:w="1463" w:type="pct"/>
          </w:tcPr>
          <w:p w14:paraId="3DAF0E88" w14:textId="77777777" w:rsidR="009E01D9" w:rsidRPr="00475EAB" w:rsidRDefault="009E01D9" w:rsidP="009E01D9">
            <w:pPr>
              <w:pStyle w:val="TableText"/>
              <w:keepNext/>
            </w:pPr>
            <w:r w:rsidRPr="00475EAB">
              <w:t>Clearer statement of requirements.</w:t>
            </w:r>
          </w:p>
        </w:tc>
      </w:tr>
      <w:tr w:rsidR="009E01D9" w:rsidRPr="00475EAB" w14:paraId="3320F4D1" w14:textId="77777777" w:rsidTr="00A25781">
        <w:tc>
          <w:tcPr>
            <w:tcW w:w="1324" w:type="pct"/>
            <w:vMerge/>
            <w:tcBorders>
              <w:bottom w:val="single" w:sz="4" w:space="0" w:color="A6A6A6" w:themeColor="background1" w:themeShade="A6"/>
            </w:tcBorders>
            <w:shd w:val="clear" w:color="auto" w:fill="auto"/>
            <w:vAlign w:val="center"/>
          </w:tcPr>
          <w:p w14:paraId="00CFC54A" w14:textId="77777777" w:rsidR="009E01D9" w:rsidRPr="00475EAB" w:rsidRDefault="009E01D9" w:rsidP="009E01D9">
            <w:pPr>
              <w:pStyle w:val="TableText"/>
              <w:rPr>
                <w:rFonts w:cs="Segoe UI"/>
                <w:b/>
                <w:bCs/>
                <w:sz w:val="20"/>
              </w:rPr>
            </w:pPr>
          </w:p>
        </w:tc>
        <w:tc>
          <w:tcPr>
            <w:tcW w:w="2213" w:type="pct"/>
            <w:shd w:val="clear" w:color="auto" w:fill="auto"/>
          </w:tcPr>
          <w:p w14:paraId="3DD05CDC" w14:textId="17CE9744" w:rsidR="009E01D9" w:rsidRPr="00173804" w:rsidRDefault="009E01D9" w:rsidP="009E01D9">
            <w:pPr>
              <w:pStyle w:val="TableText"/>
              <w:keepNext/>
              <w:rPr>
                <w:highlight w:val="yellow"/>
              </w:rPr>
            </w:pPr>
            <w:r>
              <w:rPr>
                <w:bCs/>
              </w:rPr>
              <w:t xml:space="preserve">The term </w:t>
            </w:r>
            <w:r w:rsidRPr="008D2112">
              <w:t xml:space="preserve">‘where needed’ has replaced ‘if long flush toilets are not used’ </w:t>
            </w:r>
            <w:r>
              <w:t xml:space="preserve">in </w:t>
            </w:r>
            <w:r w:rsidRPr="008D2112">
              <w:t>clause 5(h)(iv).</w:t>
            </w:r>
          </w:p>
        </w:tc>
        <w:tc>
          <w:tcPr>
            <w:tcW w:w="1463" w:type="pct"/>
          </w:tcPr>
          <w:p w14:paraId="7D872781" w14:textId="77777777" w:rsidR="009E01D9" w:rsidRPr="00475EAB" w:rsidRDefault="009E01D9" w:rsidP="009E01D9">
            <w:pPr>
              <w:pStyle w:val="TableText"/>
              <w:keepNext/>
              <w:rPr>
                <w:b/>
                <w:bCs/>
              </w:rPr>
            </w:pPr>
            <w:r w:rsidRPr="00475EAB">
              <w:t>Clearer statement of requirements.</w:t>
            </w:r>
          </w:p>
          <w:p w14:paraId="45038563" w14:textId="77777777" w:rsidR="009E01D9" w:rsidRPr="00475EAB" w:rsidRDefault="009E01D9" w:rsidP="009E01D9">
            <w:pPr>
              <w:pStyle w:val="TableText"/>
              <w:keepNext/>
            </w:pPr>
          </w:p>
        </w:tc>
      </w:tr>
      <w:tr w:rsidR="009E01D9" w:rsidRPr="00475EAB" w14:paraId="51D23DD6" w14:textId="77777777" w:rsidTr="00A25781">
        <w:tc>
          <w:tcPr>
            <w:tcW w:w="1324" w:type="pct"/>
            <w:vMerge w:val="restart"/>
            <w:shd w:val="clear" w:color="auto" w:fill="auto"/>
            <w:vAlign w:val="center"/>
          </w:tcPr>
          <w:p w14:paraId="4DC349BC" w14:textId="77777777" w:rsidR="009E01D9" w:rsidRDefault="009E01D9" w:rsidP="009E01D9">
            <w:pPr>
              <w:pStyle w:val="TableText"/>
              <w:rPr>
                <w:b/>
                <w:bCs/>
              </w:rPr>
            </w:pPr>
            <w:r>
              <w:rPr>
                <w:b/>
                <w:bCs/>
              </w:rPr>
              <w:t xml:space="preserve">Unsealed radioactive material </w:t>
            </w:r>
            <w:r w:rsidRPr="00840DBE">
              <w:rPr>
                <w:b/>
                <w:bCs/>
              </w:rPr>
              <w:t>and equipment</w:t>
            </w:r>
          </w:p>
          <w:p w14:paraId="57F07DCC" w14:textId="77777777" w:rsidR="009E01D9" w:rsidRDefault="009E01D9" w:rsidP="009E01D9">
            <w:pPr>
              <w:pStyle w:val="TableText"/>
              <w:rPr>
                <w:b/>
                <w:bCs/>
              </w:rPr>
            </w:pPr>
            <w:r>
              <w:rPr>
                <w:b/>
                <w:bCs/>
              </w:rPr>
              <w:t>Clause 6</w:t>
            </w:r>
          </w:p>
          <w:p w14:paraId="125CC534" w14:textId="0FCE9A74" w:rsidR="009E01D9" w:rsidRDefault="009E01D9" w:rsidP="009E01D9">
            <w:pPr>
              <w:pStyle w:val="TableText"/>
              <w:rPr>
                <w:b/>
                <w:bCs/>
              </w:rPr>
            </w:pPr>
            <w:r w:rsidRPr="005E1E4B">
              <w:t>(</w:t>
            </w:r>
            <w:r>
              <w:t>C</w:t>
            </w:r>
            <w:r w:rsidRPr="005E1E4B">
              <w:t xml:space="preserve">lause 5 of </w:t>
            </w:r>
            <w:r>
              <w:t xml:space="preserve">the current </w:t>
            </w:r>
            <w:r w:rsidRPr="005E1E4B">
              <w:t>C2)</w:t>
            </w:r>
          </w:p>
        </w:tc>
        <w:tc>
          <w:tcPr>
            <w:tcW w:w="2213" w:type="pct"/>
            <w:shd w:val="clear" w:color="auto" w:fill="auto"/>
          </w:tcPr>
          <w:p w14:paraId="0C06161D" w14:textId="42D9CCEA" w:rsidR="009E01D9" w:rsidRPr="0068479E" w:rsidRDefault="009E01D9" w:rsidP="009E01D9">
            <w:pPr>
              <w:pStyle w:val="TableText"/>
              <w:keepNext/>
            </w:pPr>
            <w:r>
              <w:t>The term ‘unsealed radioactive material and equipment’ has replaced ‘radioactive sources and equipment ‘as the title of the section’.</w:t>
            </w:r>
          </w:p>
        </w:tc>
        <w:tc>
          <w:tcPr>
            <w:tcW w:w="1463" w:type="pct"/>
          </w:tcPr>
          <w:p w14:paraId="608B0F2E" w14:textId="77777777" w:rsidR="009E01D9" w:rsidRPr="00475EAB" w:rsidRDefault="009E01D9" w:rsidP="009E01D9">
            <w:pPr>
              <w:pStyle w:val="TableText"/>
              <w:keepNext/>
            </w:pPr>
            <w:r w:rsidRPr="00475EAB">
              <w:t>Clearer statement of requirements.</w:t>
            </w:r>
          </w:p>
        </w:tc>
      </w:tr>
      <w:tr w:rsidR="009E01D9" w:rsidRPr="00475EAB" w14:paraId="5F09481A" w14:textId="77777777" w:rsidTr="00A25781">
        <w:tc>
          <w:tcPr>
            <w:tcW w:w="1324" w:type="pct"/>
            <w:vMerge/>
            <w:shd w:val="clear" w:color="auto" w:fill="auto"/>
            <w:vAlign w:val="center"/>
          </w:tcPr>
          <w:p w14:paraId="3618BC9C" w14:textId="5FEAA211" w:rsidR="009E01D9" w:rsidRPr="005E1E4B" w:rsidRDefault="009E01D9" w:rsidP="009E01D9">
            <w:pPr>
              <w:pStyle w:val="TableText"/>
            </w:pPr>
          </w:p>
        </w:tc>
        <w:tc>
          <w:tcPr>
            <w:tcW w:w="2213" w:type="pct"/>
            <w:shd w:val="clear" w:color="auto" w:fill="auto"/>
          </w:tcPr>
          <w:p w14:paraId="6E087653" w14:textId="3F21D8BF" w:rsidR="009E01D9" w:rsidRPr="0068479E" w:rsidRDefault="009E01D9" w:rsidP="009E01D9">
            <w:pPr>
              <w:pStyle w:val="TableText"/>
              <w:keepNext/>
            </w:pPr>
            <w:r w:rsidRPr="0068479E">
              <w:t>Clause 5(c) has been deleted. Requirements applying to irradiating apparatus</w:t>
            </w:r>
            <w:r>
              <w:t>es</w:t>
            </w:r>
            <w:r w:rsidRPr="0068479E">
              <w:t xml:space="preserve"> are </w:t>
            </w:r>
            <w:r w:rsidR="005F1B21">
              <w:t xml:space="preserve">given </w:t>
            </w:r>
            <w:r w:rsidRPr="0068479E">
              <w:t>in Code of Practice for Diagnostic and Interventional Radiology</w:t>
            </w:r>
            <w:r w:rsidR="00975831">
              <w:t>: ORS C1</w:t>
            </w:r>
            <w:r w:rsidRPr="0068479E">
              <w:t>.</w:t>
            </w:r>
          </w:p>
        </w:tc>
        <w:tc>
          <w:tcPr>
            <w:tcW w:w="1463" w:type="pct"/>
          </w:tcPr>
          <w:p w14:paraId="55B03D32" w14:textId="77777777" w:rsidR="009E01D9" w:rsidRPr="00475EAB" w:rsidRDefault="009E01D9" w:rsidP="009E01D9">
            <w:pPr>
              <w:pStyle w:val="TableText"/>
              <w:keepNext/>
              <w:rPr>
                <w:b/>
                <w:bCs/>
              </w:rPr>
            </w:pPr>
            <w:r w:rsidRPr="00475EAB">
              <w:t>Clearer statement of requirements.</w:t>
            </w:r>
          </w:p>
          <w:p w14:paraId="6528887E" w14:textId="77777777" w:rsidR="009E01D9" w:rsidRPr="00475EAB" w:rsidRDefault="009E01D9" w:rsidP="009E01D9">
            <w:pPr>
              <w:pStyle w:val="TableText"/>
            </w:pPr>
          </w:p>
        </w:tc>
      </w:tr>
      <w:tr w:rsidR="009E01D9" w:rsidRPr="00475EAB" w14:paraId="5EAAF916" w14:textId="77777777" w:rsidTr="00A25781">
        <w:tc>
          <w:tcPr>
            <w:tcW w:w="1324" w:type="pct"/>
            <w:vMerge/>
            <w:shd w:val="clear" w:color="auto" w:fill="auto"/>
            <w:vAlign w:val="center"/>
          </w:tcPr>
          <w:p w14:paraId="021FF0BB" w14:textId="77777777" w:rsidR="009E01D9" w:rsidRPr="00475EAB" w:rsidRDefault="009E01D9" w:rsidP="009E01D9">
            <w:pPr>
              <w:pStyle w:val="TableText"/>
              <w:rPr>
                <w:b/>
                <w:bCs/>
              </w:rPr>
            </w:pPr>
          </w:p>
        </w:tc>
        <w:tc>
          <w:tcPr>
            <w:tcW w:w="2213" w:type="pct"/>
            <w:shd w:val="clear" w:color="auto" w:fill="auto"/>
          </w:tcPr>
          <w:p w14:paraId="1E62DCE6" w14:textId="7749C24B" w:rsidR="009E01D9" w:rsidRPr="0068479E" w:rsidRDefault="009E01D9" w:rsidP="009E01D9">
            <w:pPr>
              <w:pStyle w:val="TableText"/>
            </w:pPr>
            <w:r w:rsidRPr="0068479E">
              <w:t>Clause 5(d)(iv) has been deleted. Requirements applying to sealed radioactive sources are</w:t>
            </w:r>
            <w:r w:rsidR="005F1B21">
              <w:t xml:space="preserve"> given</w:t>
            </w:r>
            <w:r w:rsidRPr="0068479E">
              <w:t xml:space="preserve"> in Code of Practice for Sealed Radioactive Material</w:t>
            </w:r>
            <w:r w:rsidR="00975831">
              <w:t>: ORS C12</w:t>
            </w:r>
            <w:r w:rsidRPr="0068479E">
              <w:t>.</w:t>
            </w:r>
          </w:p>
        </w:tc>
        <w:tc>
          <w:tcPr>
            <w:tcW w:w="1463" w:type="pct"/>
          </w:tcPr>
          <w:p w14:paraId="51C1286A" w14:textId="77777777" w:rsidR="009E01D9" w:rsidRPr="00475EAB" w:rsidRDefault="009E01D9" w:rsidP="009E01D9">
            <w:pPr>
              <w:pStyle w:val="TableText"/>
              <w:keepNext/>
              <w:rPr>
                <w:b/>
                <w:bCs/>
              </w:rPr>
            </w:pPr>
            <w:r w:rsidRPr="00475EAB">
              <w:t>Clearer statement of requirements.</w:t>
            </w:r>
          </w:p>
          <w:p w14:paraId="7A385893" w14:textId="77777777" w:rsidR="009E01D9" w:rsidRPr="00475EAB" w:rsidRDefault="009E01D9" w:rsidP="009E01D9">
            <w:pPr>
              <w:pStyle w:val="TableText"/>
            </w:pPr>
          </w:p>
        </w:tc>
      </w:tr>
      <w:tr w:rsidR="009E01D9" w:rsidRPr="00475EAB" w14:paraId="3EFD2823" w14:textId="77777777" w:rsidTr="00A25781">
        <w:tc>
          <w:tcPr>
            <w:tcW w:w="1324" w:type="pct"/>
            <w:vMerge/>
            <w:shd w:val="clear" w:color="auto" w:fill="auto"/>
            <w:vAlign w:val="center"/>
          </w:tcPr>
          <w:p w14:paraId="60229A3B" w14:textId="77777777" w:rsidR="009E01D9" w:rsidRPr="00475EAB" w:rsidRDefault="009E01D9" w:rsidP="009E01D9">
            <w:pPr>
              <w:pStyle w:val="TableText"/>
              <w:rPr>
                <w:b/>
                <w:bCs/>
              </w:rPr>
            </w:pPr>
          </w:p>
        </w:tc>
        <w:tc>
          <w:tcPr>
            <w:tcW w:w="2213" w:type="pct"/>
            <w:shd w:val="clear" w:color="auto" w:fill="auto"/>
          </w:tcPr>
          <w:p w14:paraId="2A83B016" w14:textId="10FD4A57" w:rsidR="009E01D9" w:rsidRPr="0068479E" w:rsidRDefault="009E01D9" w:rsidP="009E01D9">
            <w:pPr>
              <w:pStyle w:val="TableText"/>
            </w:pPr>
            <w:r w:rsidRPr="0068479E">
              <w:t xml:space="preserve">A new clause 6(e) has been added that requires the HSL </w:t>
            </w:r>
            <w:r>
              <w:t>to</w:t>
            </w:r>
            <w:r w:rsidRPr="0068479E">
              <w:t xml:space="preserve"> take corrective and preventive actions if a ‘remedial level’ or a ‘suspension level’ is exceeded.</w:t>
            </w:r>
          </w:p>
        </w:tc>
        <w:tc>
          <w:tcPr>
            <w:tcW w:w="1463" w:type="pct"/>
          </w:tcPr>
          <w:p w14:paraId="19070FFD" w14:textId="1C894E7F" w:rsidR="009E01D9" w:rsidRPr="00475EAB" w:rsidRDefault="009E01D9" w:rsidP="009E01D9">
            <w:pPr>
              <w:pStyle w:val="TableText"/>
            </w:pPr>
            <w:r w:rsidRPr="00475EAB">
              <w:t xml:space="preserve">Supports new </w:t>
            </w:r>
            <w:r>
              <w:t xml:space="preserve">18(e) </w:t>
            </w:r>
            <w:r w:rsidRPr="00475EAB">
              <w:t xml:space="preserve">clause </w:t>
            </w:r>
            <w:r>
              <w:t>that</w:t>
            </w:r>
            <w:r w:rsidRPr="00475EAB">
              <w:t xml:space="preserve"> require </w:t>
            </w:r>
            <w:r>
              <w:t xml:space="preserve">the </w:t>
            </w:r>
            <w:r w:rsidRPr="00475EAB">
              <w:t>HSL to identify and establish such values</w:t>
            </w:r>
            <w:r>
              <w:t>.</w:t>
            </w:r>
          </w:p>
        </w:tc>
      </w:tr>
      <w:tr w:rsidR="009E01D9" w:rsidRPr="00475EAB" w14:paraId="1991347F" w14:textId="77777777" w:rsidTr="00A25781">
        <w:tc>
          <w:tcPr>
            <w:tcW w:w="1324" w:type="pct"/>
            <w:vMerge/>
            <w:shd w:val="clear" w:color="auto" w:fill="auto"/>
            <w:vAlign w:val="center"/>
          </w:tcPr>
          <w:p w14:paraId="10F9AEA5" w14:textId="77777777" w:rsidR="009E01D9" w:rsidRPr="00475EAB" w:rsidRDefault="009E01D9" w:rsidP="009E01D9">
            <w:pPr>
              <w:pStyle w:val="TableText"/>
              <w:rPr>
                <w:b/>
                <w:bCs/>
              </w:rPr>
            </w:pPr>
          </w:p>
        </w:tc>
        <w:tc>
          <w:tcPr>
            <w:tcW w:w="2213" w:type="pct"/>
            <w:shd w:val="clear" w:color="auto" w:fill="auto"/>
          </w:tcPr>
          <w:p w14:paraId="55ADA0F2" w14:textId="196FEE46" w:rsidR="009E01D9" w:rsidRPr="0068479E" w:rsidRDefault="009E01D9" w:rsidP="009E01D9">
            <w:pPr>
              <w:pStyle w:val="TableText"/>
            </w:pPr>
            <w:r>
              <w:t>Clauses 6(j) and 6(k) have replaced c</w:t>
            </w:r>
            <w:r w:rsidRPr="0068479E">
              <w:t xml:space="preserve">lause </w:t>
            </w:r>
            <w:r>
              <w:t>5</w:t>
            </w:r>
            <w:r w:rsidRPr="0068479E">
              <w:t>(j)</w:t>
            </w:r>
            <w:r w:rsidR="00537B6D">
              <w:t>.</w:t>
            </w:r>
            <w:r w:rsidRPr="0068479E">
              <w:t xml:space="preserve"> </w:t>
            </w:r>
          </w:p>
        </w:tc>
        <w:tc>
          <w:tcPr>
            <w:tcW w:w="1463" w:type="pct"/>
          </w:tcPr>
          <w:p w14:paraId="010435D1" w14:textId="79ECBA80" w:rsidR="009E01D9" w:rsidRPr="00475EAB" w:rsidRDefault="009E01D9" w:rsidP="009E01D9">
            <w:pPr>
              <w:pStyle w:val="TableText"/>
            </w:pPr>
            <w:r w:rsidRPr="00475EAB">
              <w:t>Refer to</w:t>
            </w:r>
            <w:r w:rsidR="009225ED">
              <w:t xml:space="preserve"> </w:t>
            </w:r>
            <w:r w:rsidR="00975831">
              <w:rPr>
                <w:b/>
                <w:bCs/>
              </w:rPr>
              <w:t>n</w:t>
            </w:r>
            <w:r w:rsidRPr="00475EAB">
              <w:rPr>
                <w:b/>
                <w:bCs/>
              </w:rPr>
              <w:t xml:space="preserve">ote </w:t>
            </w:r>
            <w:r>
              <w:rPr>
                <w:b/>
                <w:bCs/>
              </w:rPr>
              <w:t>1</w:t>
            </w:r>
            <w:r w:rsidRPr="00475EAB">
              <w:t>.</w:t>
            </w:r>
          </w:p>
        </w:tc>
      </w:tr>
      <w:tr w:rsidR="009E01D9" w:rsidRPr="00475EAB" w14:paraId="1580780C" w14:textId="77777777" w:rsidTr="00A25781">
        <w:tc>
          <w:tcPr>
            <w:tcW w:w="1324" w:type="pct"/>
            <w:shd w:val="clear" w:color="auto" w:fill="auto"/>
            <w:vAlign w:val="center"/>
          </w:tcPr>
          <w:p w14:paraId="7297ADFF" w14:textId="77777777" w:rsidR="009E01D9" w:rsidRPr="00475EAB" w:rsidRDefault="009E01D9" w:rsidP="009E01D9">
            <w:pPr>
              <w:pStyle w:val="TableText"/>
              <w:rPr>
                <w:b/>
                <w:bCs/>
              </w:rPr>
            </w:pPr>
            <w:r w:rsidRPr="00475EAB">
              <w:rPr>
                <w:b/>
                <w:bCs/>
              </w:rPr>
              <w:t xml:space="preserve">Training and authorisation </w:t>
            </w:r>
          </w:p>
          <w:p w14:paraId="3FFB0E61" w14:textId="77777777" w:rsidR="009E01D9" w:rsidRPr="00475EAB" w:rsidRDefault="009E01D9" w:rsidP="009E01D9">
            <w:pPr>
              <w:pStyle w:val="TableText"/>
              <w:rPr>
                <w:b/>
                <w:bCs/>
              </w:rPr>
            </w:pPr>
            <w:r w:rsidRPr="00475EAB">
              <w:rPr>
                <w:b/>
                <w:bCs/>
              </w:rPr>
              <w:t xml:space="preserve">Clause </w:t>
            </w:r>
            <w:r>
              <w:rPr>
                <w:b/>
                <w:bCs/>
              </w:rPr>
              <w:t>7</w:t>
            </w:r>
          </w:p>
          <w:p w14:paraId="1D636F57" w14:textId="356EAFC0" w:rsidR="009E01D9" w:rsidRPr="00475EAB" w:rsidRDefault="009E01D9" w:rsidP="009E01D9">
            <w:pPr>
              <w:pStyle w:val="TableText"/>
            </w:pPr>
            <w:r w:rsidRPr="00475EAB">
              <w:t xml:space="preserve">(Clause </w:t>
            </w:r>
            <w:r>
              <w:t>6</w:t>
            </w:r>
            <w:r w:rsidRPr="00475EAB">
              <w:t xml:space="preserve"> of </w:t>
            </w:r>
            <w:r>
              <w:t>the current C2</w:t>
            </w:r>
            <w:r w:rsidRPr="00475EAB">
              <w:t>)</w:t>
            </w:r>
          </w:p>
        </w:tc>
        <w:tc>
          <w:tcPr>
            <w:tcW w:w="2213" w:type="pct"/>
            <w:shd w:val="clear" w:color="auto" w:fill="auto"/>
          </w:tcPr>
          <w:p w14:paraId="0AB316C1" w14:textId="42AC8CE2" w:rsidR="009E01D9" w:rsidRPr="008C6388" w:rsidRDefault="009E01D9" w:rsidP="009E01D9">
            <w:pPr>
              <w:pStyle w:val="TableText"/>
            </w:pPr>
            <w:r w:rsidRPr="008C6388">
              <w:t>A new clause 7(b) has replaced clause 6(b). Appendix 2 provides training requirements for a radiation safety officer. It also provides a syllabus to be used as the basis for other training.</w:t>
            </w:r>
          </w:p>
          <w:p w14:paraId="5313D60E" w14:textId="6427815E" w:rsidR="009E01D9" w:rsidRPr="00475EAB" w:rsidRDefault="009E01D9" w:rsidP="009E01D9">
            <w:pPr>
              <w:pStyle w:val="TableText"/>
            </w:pPr>
            <w:r>
              <w:t>The</w:t>
            </w:r>
            <w:r w:rsidRPr="008C6388">
              <w:t xml:space="preserve"> HSL must establish training in consultation with a qualified expert.</w:t>
            </w:r>
          </w:p>
        </w:tc>
        <w:tc>
          <w:tcPr>
            <w:tcW w:w="1463" w:type="pct"/>
          </w:tcPr>
          <w:p w14:paraId="3B07C2AF" w14:textId="77777777" w:rsidR="009E01D9" w:rsidRPr="00475EAB" w:rsidRDefault="009E01D9" w:rsidP="009E01D9">
            <w:pPr>
              <w:pStyle w:val="TableText"/>
            </w:pPr>
            <w:r w:rsidRPr="00475EAB">
              <w:t>Clearer statement of requirements.</w:t>
            </w:r>
          </w:p>
          <w:p w14:paraId="33C4871F" w14:textId="77777777" w:rsidR="009E01D9" w:rsidRPr="00475EAB" w:rsidRDefault="009E01D9" w:rsidP="009E01D9">
            <w:pPr>
              <w:pStyle w:val="TableText"/>
            </w:pPr>
            <w:r w:rsidRPr="00475EAB">
              <w:t xml:space="preserve">Training requirements for an authorisation under the Act are specified by </w:t>
            </w:r>
            <w:r>
              <w:t>the Director</w:t>
            </w:r>
            <w:r w:rsidRPr="00475EAB">
              <w:t xml:space="preserve">. These requirements can be obtained </w:t>
            </w:r>
            <w:r>
              <w:t xml:space="preserve">by </w:t>
            </w:r>
            <w:r w:rsidRPr="00475EAB">
              <w:t xml:space="preserve">application to </w:t>
            </w:r>
            <w:r>
              <w:t>the Director</w:t>
            </w:r>
            <w:r w:rsidRPr="00475EAB">
              <w:t>.</w:t>
            </w:r>
          </w:p>
        </w:tc>
      </w:tr>
      <w:tr w:rsidR="009E01D9" w:rsidRPr="00475EAB" w14:paraId="4E8EBF8F" w14:textId="77777777" w:rsidTr="00A25781">
        <w:tc>
          <w:tcPr>
            <w:tcW w:w="1324" w:type="pct"/>
            <w:vMerge w:val="restart"/>
            <w:shd w:val="clear" w:color="auto" w:fill="auto"/>
            <w:vAlign w:val="center"/>
          </w:tcPr>
          <w:p w14:paraId="7C8A1848" w14:textId="77777777" w:rsidR="009E01D9" w:rsidRPr="00475EAB" w:rsidRDefault="009E01D9" w:rsidP="009E01D9">
            <w:pPr>
              <w:pStyle w:val="TableText"/>
              <w:rPr>
                <w:b/>
                <w:bCs/>
              </w:rPr>
            </w:pPr>
            <w:r w:rsidRPr="00475EAB">
              <w:rPr>
                <w:b/>
                <w:bCs/>
              </w:rPr>
              <w:t>Policies, procedures and local rules</w:t>
            </w:r>
          </w:p>
          <w:p w14:paraId="58D27DA3" w14:textId="77777777" w:rsidR="009E01D9" w:rsidRPr="00475EAB" w:rsidRDefault="009E01D9" w:rsidP="009E01D9">
            <w:pPr>
              <w:pStyle w:val="TableText"/>
              <w:rPr>
                <w:b/>
                <w:bCs/>
              </w:rPr>
            </w:pPr>
            <w:r w:rsidRPr="00475EAB">
              <w:rPr>
                <w:b/>
                <w:bCs/>
              </w:rPr>
              <w:t xml:space="preserve">Clause </w:t>
            </w:r>
            <w:r>
              <w:rPr>
                <w:b/>
                <w:bCs/>
              </w:rPr>
              <w:t>8</w:t>
            </w:r>
          </w:p>
          <w:p w14:paraId="1E2ABD3E" w14:textId="230A8C04" w:rsidR="009E01D9" w:rsidRPr="00475EAB" w:rsidRDefault="009E01D9" w:rsidP="009E01D9">
            <w:pPr>
              <w:pStyle w:val="TableText"/>
              <w:rPr>
                <w:b/>
                <w:bCs/>
              </w:rPr>
            </w:pPr>
            <w:r w:rsidRPr="00475EAB">
              <w:t xml:space="preserve">(Clause </w:t>
            </w:r>
            <w:r>
              <w:t>7</w:t>
            </w:r>
            <w:r w:rsidRPr="00475EAB">
              <w:t xml:space="preserve"> of </w:t>
            </w:r>
            <w:r>
              <w:t>the current C2</w:t>
            </w:r>
            <w:r w:rsidRPr="00475EAB">
              <w:t>)</w:t>
            </w:r>
          </w:p>
        </w:tc>
        <w:tc>
          <w:tcPr>
            <w:tcW w:w="2213" w:type="pct"/>
            <w:shd w:val="clear" w:color="auto" w:fill="auto"/>
          </w:tcPr>
          <w:p w14:paraId="68AAC3FF" w14:textId="247CA6E4" w:rsidR="009E01D9" w:rsidRPr="00E7091E" w:rsidRDefault="009E01D9" w:rsidP="009E01D9">
            <w:pPr>
              <w:pStyle w:val="TableText"/>
              <w:rPr>
                <w:highlight w:val="yellow"/>
              </w:rPr>
            </w:pPr>
            <w:r>
              <w:rPr>
                <w:bCs/>
              </w:rPr>
              <w:t xml:space="preserve">The term </w:t>
            </w:r>
            <w:r w:rsidRPr="008C6388">
              <w:t>‘radioactive waste’ has replace</w:t>
            </w:r>
            <w:r>
              <w:t>d</w:t>
            </w:r>
            <w:r w:rsidRPr="008C6388">
              <w:t xml:space="preserve"> ‘discharge of waste material’ in clause </w:t>
            </w:r>
            <w:r w:rsidR="00D65DE5">
              <w:t>8</w:t>
            </w:r>
            <w:r w:rsidRPr="008C6388">
              <w:t xml:space="preserve">(c). </w:t>
            </w:r>
          </w:p>
        </w:tc>
        <w:tc>
          <w:tcPr>
            <w:tcW w:w="1463" w:type="pct"/>
          </w:tcPr>
          <w:p w14:paraId="7A2DEA9F" w14:textId="77777777" w:rsidR="009E01D9" w:rsidRPr="00475EAB" w:rsidRDefault="009E01D9" w:rsidP="009E01D9">
            <w:pPr>
              <w:pStyle w:val="TableText"/>
            </w:pPr>
            <w:r w:rsidRPr="00475EAB">
              <w:t>Clearer statement of requirements.</w:t>
            </w:r>
          </w:p>
        </w:tc>
      </w:tr>
      <w:tr w:rsidR="009E01D9" w:rsidRPr="00475EAB" w14:paraId="5F8BD305" w14:textId="77777777" w:rsidTr="00A25781">
        <w:tc>
          <w:tcPr>
            <w:tcW w:w="1324" w:type="pct"/>
            <w:vMerge/>
            <w:shd w:val="clear" w:color="auto" w:fill="auto"/>
            <w:vAlign w:val="center"/>
          </w:tcPr>
          <w:p w14:paraId="5557BD12" w14:textId="77777777" w:rsidR="009E01D9" w:rsidRPr="00475EAB" w:rsidRDefault="009E01D9" w:rsidP="009E01D9">
            <w:pPr>
              <w:pStyle w:val="TableText"/>
              <w:rPr>
                <w:b/>
                <w:bCs/>
              </w:rPr>
            </w:pPr>
          </w:p>
        </w:tc>
        <w:tc>
          <w:tcPr>
            <w:tcW w:w="2213" w:type="pct"/>
            <w:shd w:val="clear" w:color="auto" w:fill="auto"/>
          </w:tcPr>
          <w:p w14:paraId="21FD3980" w14:textId="1078EE62" w:rsidR="009E01D9" w:rsidRPr="00E7091E" w:rsidRDefault="009E01D9" w:rsidP="009E01D9">
            <w:pPr>
              <w:pStyle w:val="TableText"/>
              <w:rPr>
                <w:highlight w:val="yellow"/>
              </w:rPr>
            </w:pPr>
            <w:r w:rsidRPr="008C6388">
              <w:t>Clause 7(l)(iii) and ‘Appendix 3: Release of patients’ have been deleted.</w:t>
            </w:r>
          </w:p>
        </w:tc>
        <w:tc>
          <w:tcPr>
            <w:tcW w:w="1463" w:type="pct"/>
          </w:tcPr>
          <w:p w14:paraId="0A93B4CD" w14:textId="725AE372" w:rsidR="009E01D9" w:rsidRPr="00475EAB" w:rsidRDefault="009E01D9" w:rsidP="009E01D9">
            <w:pPr>
              <w:pStyle w:val="TableText"/>
            </w:pPr>
            <w:r>
              <w:t xml:space="preserve">Refer to </w:t>
            </w:r>
            <w:r w:rsidR="00975831">
              <w:rPr>
                <w:b/>
                <w:bCs/>
              </w:rPr>
              <w:t>note</w:t>
            </w:r>
            <w:r w:rsidRPr="00AA6975">
              <w:rPr>
                <w:b/>
                <w:bCs/>
              </w:rPr>
              <w:t xml:space="preserve"> </w:t>
            </w:r>
            <w:r w:rsidR="009225ED">
              <w:rPr>
                <w:b/>
                <w:bCs/>
              </w:rPr>
              <w:t>2</w:t>
            </w:r>
            <w:r>
              <w:t>.</w:t>
            </w:r>
          </w:p>
        </w:tc>
      </w:tr>
      <w:tr w:rsidR="009E01D9" w:rsidRPr="00475EAB" w14:paraId="7D018D4E" w14:textId="77777777" w:rsidTr="00A25781">
        <w:tc>
          <w:tcPr>
            <w:tcW w:w="1324" w:type="pct"/>
            <w:vMerge w:val="restart"/>
            <w:shd w:val="clear" w:color="auto" w:fill="auto"/>
            <w:vAlign w:val="center"/>
          </w:tcPr>
          <w:p w14:paraId="122B49A6" w14:textId="77777777" w:rsidR="009E01D9" w:rsidRPr="00475EAB" w:rsidRDefault="009E01D9" w:rsidP="009E01D9">
            <w:pPr>
              <w:pStyle w:val="TableText"/>
              <w:rPr>
                <w:b/>
                <w:bCs/>
              </w:rPr>
            </w:pPr>
            <w:r w:rsidRPr="00475EAB">
              <w:rPr>
                <w:b/>
                <w:bCs/>
              </w:rPr>
              <w:t>Patient dosimetry</w:t>
            </w:r>
          </w:p>
          <w:p w14:paraId="21B52F30" w14:textId="77777777" w:rsidR="009E01D9" w:rsidRPr="00475EAB" w:rsidRDefault="009E01D9" w:rsidP="009E01D9">
            <w:pPr>
              <w:pStyle w:val="TableText"/>
              <w:rPr>
                <w:b/>
                <w:bCs/>
              </w:rPr>
            </w:pPr>
            <w:r w:rsidRPr="00475EAB">
              <w:rPr>
                <w:b/>
                <w:bCs/>
              </w:rPr>
              <w:t>Clause 1</w:t>
            </w:r>
            <w:r>
              <w:rPr>
                <w:b/>
                <w:bCs/>
              </w:rPr>
              <w:t>0</w:t>
            </w:r>
          </w:p>
          <w:p w14:paraId="3EDFFBA9" w14:textId="051CA261" w:rsidR="009E01D9" w:rsidRPr="00475EAB" w:rsidRDefault="009E01D9" w:rsidP="009E01D9">
            <w:pPr>
              <w:pStyle w:val="TableText"/>
            </w:pPr>
            <w:r w:rsidRPr="00475EAB">
              <w:t xml:space="preserve">(Clause </w:t>
            </w:r>
            <w:r>
              <w:t>9</w:t>
            </w:r>
            <w:r w:rsidRPr="00475EAB">
              <w:t xml:space="preserve"> of </w:t>
            </w:r>
            <w:r>
              <w:t>the current C2</w:t>
            </w:r>
            <w:r w:rsidRPr="00475EAB">
              <w:t>)</w:t>
            </w:r>
          </w:p>
        </w:tc>
        <w:tc>
          <w:tcPr>
            <w:tcW w:w="2213" w:type="pct"/>
            <w:shd w:val="clear" w:color="auto" w:fill="auto"/>
          </w:tcPr>
          <w:p w14:paraId="31C65737" w14:textId="362C7FC0" w:rsidR="009E01D9" w:rsidRPr="009A74A5" w:rsidRDefault="009E01D9" w:rsidP="009E01D9">
            <w:pPr>
              <w:pStyle w:val="TableText"/>
              <w:rPr>
                <w:highlight w:val="yellow"/>
              </w:rPr>
            </w:pPr>
            <w:r w:rsidRPr="00E15E15">
              <w:t>A requirement for the HSL to consult with a MPE has been added.</w:t>
            </w:r>
          </w:p>
        </w:tc>
        <w:tc>
          <w:tcPr>
            <w:tcW w:w="1463" w:type="pct"/>
          </w:tcPr>
          <w:p w14:paraId="210CA423" w14:textId="77777777" w:rsidR="009E01D9" w:rsidRPr="00475EAB" w:rsidRDefault="009E01D9" w:rsidP="009E01D9">
            <w:pPr>
              <w:pStyle w:val="TableText"/>
            </w:pPr>
            <w:r w:rsidRPr="00475EAB">
              <w:t>Clearer statement of requirements.</w:t>
            </w:r>
          </w:p>
        </w:tc>
      </w:tr>
      <w:tr w:rsidR="009E01D9" w:rsidRPr="00475EAB" w14:paraId="2626E9A6" w14:textId="77777777" w:rsidTr="00A25781">
        <w:tc>
          <w:tcPr>
            <w:tcW w:w="1324" w:type="pct"/>
            <w:vMerge/>
            <w:shd w:val="clear" w:color="auto" w:fill="auto"/>
            <w:vAlign w:val="center"/>
          </w:tcPr>
          <w:p w14:paraId="3F96EB30" w14:textId="77777777" w:rsidR="009E01D9" w:rsidRPr="00475EAB" w:rsidRDefault="009E01D9" w:rsidP="009E01D9">
            <w:pPr>
              <w:pStyle w:val="TableText"/>
              <w:rPr>
                <w:rFonts w:cs="Segoe UI"/>
                <w:b/>
                <w:bCs/>
                <w:sz w:val="20"/>
              </w:rPr>
            </w:pPr>
          </w:p>
        </w:tc>
        <w:tc>
          <w:tcPr>
            <w:tcW w:w="2213" w:type="pct"/>
            <w:shd w:val="clear" w:color="auto" w:fill="auto"/>
          </w:tcPr>
          <w:p w14:paraId="1BC96209" w14:textId="4A6F4DF3" w:rsidR="009E01D9" w:rsidRPr="008C6388" w:rsidRDefault="009E01D9" w:rsidP="009E01D9">
            <w:pPr>
              <w:pStyle w:val="TableText"/>
            </w:pPr>
            <w:r w:rsidRPr="008C6388">
              <w:t xml:space="preserve">The </w:t>
            </w:r>
            <w:r>
              <w:t>term</w:t>
            </w:r>
            <w:r w:rsidRPr="008C6388">
              <w:t xml:space="preserve"> ‘common’ has been deleted from clause 10(a)</w:t>
            </w:r>
            <w:r>
              <w:t>.</w:t>
            </w:r>
          </w:p>
        </w:tc>
        <w:tc>
          <w:tcPr>
            <w:tcW w:w="1463" w:type="pct"/>
          </w:tcPr>
          <w:p w14:paraId="17C2C5B2" w14:textId="77777777" w:rsidR="009E01D9" w:rsidRPr="00475EAB" w:rsidRDefault="009E01D9" w:rsidP="009E01D9">
            <w:pPr>
              <w:pStyle w:val="TableText"/>
            </w:pPr>
            <w:r w:rsidRPr="00475EAB">
              <w:t>Clearer statement of requirements.</w:t>
            </w:r>
          </w:p>
        </w:tc>
      </w:tr>
      <w:tr w:rsidR="009E01D9" w:rsidRPr="00475EAB" w14:paraId="70D08830" w14:textId="77777777" w:rsidTr="00A25781">
        <w:tc>
          <w:tcPr>
            <w:tcW w:w="1324" w:type="pct"/>
            <w:vMerge/>
            <w:shd w:val="clear" w:color="auto" w:fill="auto"/>
            <w:vAlign w:val="center"/>
          </w:tcPr>
          <w:p w14:paraId="3DDE50AF" w14:textId="77777777" w:rsidR="009E01D9" w:rsidRPr="00475EAB" w:rsidRDefault="009E01D9" w:rsidP="009E01D9">
            <w:pPr>
              <w:pStyle w:val="TableText"/>
              <w:rPr>
                <w:rFonts w:cs="Segoe UI"/>
                <w:b/>
                <w:bCs/>
                <w:sz w:val="20"/>
              </w:rPr>
            </w:pPr>
          </w:p>
        </w:tc>
        <w:tc>
          <w:tcPr>
            <w:tcW w:w="2213" w:type="pct"/>
            <w:shd w:val="clear" w:color="auto" w:fill="auto"/>
          </w:tcPr>
          <w:p w14:paraId="14CA1913" w14:textId="2CA14ABE" w:rsidR="009E01D9" w:rsidRPr="008C6388" w:rsidRDefault="009E01D9" w:rsidP="009E01D9">
            <w:pPr>
              <w:pStyle w:val="TableText"/>
            </w:pPr>
            <w:r w:rsidRPr="008C6388">
              <w:t>Clause 10(c) has replaced clause 9(b).</w:t>
            </w:r>
          </w:p>
        </w:tc>
        <w:tc>
          <w:tcPr>
            <w:tcW w:w="1463" w:type="pct"/>
          </w:tcPr>
          <w:p w14:paraId="2830BD07" w14:textId="77777777" w:rsidR="009E01D9" w:rsidRPr="00475EAB" w:rsidRDefault="009E01D9" w:rsidP="009E01D9">
            <w:pPr>
              <w:pStyle w:val="TableText"/>
            </w:pPr>
            <w:r w:rsidRPr="00475EAB">
              <w:t>Clearer statement of requirements.</w:t>
            </w:r>
          </w:p>
        </w:tc>
      </w:tr>
      <w:tr w:rsidR="009E01D9" w:rsidRPr="00475EAB" w14:paraId="51C5DC36" w14:textId="77777777" w:rsidTr="00A25781">
        <w:tc>
          <w:tcPr>
            <w:tcW w:w="1324" w:type="pct"/>
            <w:vMerge/>
            <w:shd w:val="clear" w:color="auto" w:fill="auto"/>
            <w:vAlign w:val="center"/>
          </w:tcPr>
          <w:p w14:paraId="0B0580B1" w14:textId="77777777" w:rsidR="009E01D9" w:rsidRPr="00475EAB" w:rsidRDefault="009E01D9" w:rsidP="009E01D9">
            <w:pPr>
              <w:pStyle w:val="TableText"/>
              <w:rPr>
                <w:rFonts w:cs="Segoe UI"/>
                <w:b/>
                <w:bCs/>
                <w:sz w:val="20"/>
              </w:rPr>
            </w:pPr>
          </w:p>
        </w:tc>
        <w:tc>
          <w:tcPr>
            <w:tcW w:w="2213" w:type="pct"/>
            <w:shd w:val="clear" w:color="auto" w:fill="auto"/>
          </w:tcPr>
          <w:p w14:paraId="6D26C577" w14:textId="4B63B9D9" w:rsidR="009E01D9" w:rsidRPr="008C6388" w:rsidRDefault="009E01D9" w:rsidP="009E01D9">
            <w:pPr>
              <w:pStyle w:val="TableText"/>
            </w:pPr>
            <w:r w:rsidRPr="008C6388">
              <w:t>A new clause 10(d) has a requirement for the HSL to establish</w:t>
            </w:r>
            <w:r>
              <w:t>,</w:t>
            </w:r>
            <w:r w:rsidRPr="008C6388">
              <w:t xml:space="preserve"> in consultation with an MPE</w:t>
            </w:r>
            <w:r>
              <w:t>,</w:t>
            </w:r>
            <w:r w:rsidRPr="008C6388">
              <w:t xml:space="preserve"> local diagnostic reference levels.</w:t>
            </w:r>
          </w:p>
        </w:tc>
        <w:tc>
          <w:tcPr>
            <w:tcW w:w="1463" w:type="pct"/>
          </w:tcPr>
          <w:p w14:paraId="037244CB" w14:textId="77777777" w:rsidR="009E01D9" w:rsidRPr="00475EAB" w:rsidRDefault="009E01D9" w:rsidP="009E01D9">
            <w:pPr>
              <w:pStyle w:val="TableText"/>
            </w:pPr>
            <w:r w:rsidRPr="00475EAB">
              <w:t>Clearer statement of requirements.</w:t>
            </w:r>
          </w:p>
        </w:tc>
      </w:tr>
      <w:tr w:rsidR="009E01D9" w:rsidRPr="00475EAB" w14:paraId="3E1A0B7F" w14:textId="77777777" w:rsidTr="00A25781">
        <w:tc>
          <w:tcPr>
            <w:tcW w:w="1324" w:type="pct"/>
            <w:vMerge w:val="restart"/>
            <w:shd w:val="clear" w:color="auto" w:fill="auto"/>
            <w:vAlign w:val="center"/>
          </w:tcPr>
          <w:p w14:paraId="2E9DF3DC" w14:textId="77777777" w:rsidR="009E01D9" w:rsidRPr="00475EAB" w:rsidRDefault="009E01D9" w:rsidP="009E01D9">
            <w:pPr>
              <w:pStyle w:val="TableText"/>
              <w:rPr>
                <w:b/>
                <w:bCs/>
              </w:rPr>
            </w:pPr>
            <w:r w:rsidRPr="00475EAB">
              <w:rPr>
                <w:b/>
                <w:bCs/>
              </w:rPr>
              <w:t xml:space="preserve">Monitoring and measurement </w:t>
            </w:r>
          </w:p>
          <w:p w14:paraId="7CA11C81" w14:textId="77777777" w:rsidR="009E01D9" w:rsidRPr="00475EAB" w:rsidRDefault="009E01D9" w:rsidP="009E01D9">
            <w:pPr>
              <w:pStyle w:val="TableText"/>
              <w:rPr>
                <w:b/>
                <w:bCs/>
              </w:rPr>
            </w:pPr>
            <w:r w:rsidRPr="00475EAB">
              <w:rPr>
                <w:b/>
                <w:bCs/>
              </w:rPr>
              <w:t>Clause 1</w:t>
            </w:r>
            <w:r>
              <w:rPr>
                <w:b/>
                <w:bCs/>
              </w:rPr>
              <w:t>1</w:t>
            </w:r>
          </w:p>
          <w:p w14:paraId="4BCF7C0C" w14:textId="5EEAF77C" w:rsidR="009E01D9" w:rsidRPr="00475EAB" w:rsidRDefault="009E01D9" w:rsidP="009E01D9">
            <w:pPr>
              <w:pStyle w:val="TableText"/>
            </w:pPr>
            <w:r w:rsidRPr="00475EAB">
              <w:t>(Clause 1</w:t>
            </w:r>
            <w:r>
              <w:t>0</w:t>
            </w:r>
            <w:r w:rsidRPr="00475EAB">
              <w:t xml:space="preserve"> of </w:t>
            </w:r>
            <w:r>
              <w:t>the current C2</w:t>
            </w:r>
            <w:r w:rsidRPr="00475EAB">
              <w:t>)</w:t>
            </w:r>
          </w:p>
        </w:tc>
        <w:tc>
          <w:tcPr>
            <w:tcW w:w="2213" w:type="pct"/>
            <w:shd w:val="clear" w:color="auto" w:fill="auto"/>
          </w:tcPr>
          <w:p w14:paraId="71D6A382" w14:textId="3019AE18" w:rsidR="009E01D9" w:rsidRPr="00475EAB" w:rsidRDefault="009E01D9" w:rsidP="009E01D9">
            <w:pPr>
              <w:pStyle w:val="TableText"/>
              <w:keepNext/>
            </w:pPr>
            <w:r w:rsidRPr="00475EAB">
              <w:t>Clause 1</w:t>
            </w:r>
            <w:r>
              <w:t>1</w:t>
            </w:r>
            <w:r w:rsidRPr="00475EAB">
              <w:t>(a) has requirements relating to a worker who occasionally works in a controlled area and may receive a significant dose.</w:t>
            </w:r>
            <w:r>
              <w:t xml:space="preserve"> Clause 11(a) </w:t>
            </w:r>
            <w:r w:rsidRPr="00475EAB">
              <w:t>has replaced clause 1</w:t>
            </w:r>
            <w:r>
              <w:t>0</w:t>
            </w:r>
            <w:r w:rsidRPr="00475EAB">
              <w:t xml:space="preserve">(a). </w:t>
            </w:r>
          </w:p>
        </w:tc>
        <w:tc>
          <w:tcPr>
            <w:tcW w:w="1463" w:type="pct"/>
          </w:tcPr>
          <w:p w14:paraId="524BB98C" w14:textId="77777777" w:rsidR="009E01D9" w:rsidRPr="00475EAB" w:rsidRDefault="009E01D9" w:rsidP="009E01D9">
            <w:pPr>
              <w:pStyle w:val="TableText"/>
              <w:keepNext/>
            </w:pPr>
            <w:r w:rsidRPr="00475EAB">
              <w:t>Clearer statement of requirements.</w:t>
            </w:r>
          </w:p>
        </w:tc>
      </w:tr>
      <w:tr w:rsidR="009E01D9" w:rsidRPr="00475EAB" w14:paraId="44716FB1" w14:textId="77777777" w:rsidTr="00A25781">
        <w:tc>
          <w:tcPr>
            <w:tcW w:w="1324" w:type="pct"/>
            <w:vMerge/>
            <w:shd w:val="clear" w:color="auto" w:fill="auto"/>
            <w:vAlign w:val="center"/>
          </w:tcPr>
          <w:p w14:paraId="0837E699" w14:textId="77777777" w:rsidR="009E01D9" w:rsidRPr="00475EAB" w:rsidRDefault="009E01D9" w:rsidP="009E01D9">
            <w:pPr>
              <w:pStyle w:val="TableText"/>
              <w:rPr>
                <w:b/>
                <w:bCs/>
              </w:rPr>
            </w:pPr>
          </w:p>
        </w:tc>
        <w:tc>
          <w:tcPr>
            <w:tcW w:w="2213" w:type="pct"/>
            <w:shd w:val="clear" w:color="auto" w:fill="auto"/>
          </w:tcPr>
          <w:p w14:paraId="63963ECA" w14:textId="37BE3207" w:rsidR="009E01D9" w:rsidRDefault="009E01D9" w:rsidP="009E01D9">
            <w:pPr>
              <w:pStyle w:val="TableText"/>
              <w:keepNext/>
            </w:pPr>
            <w:r>
              <w:rPr>
                <w:bCs/>
              </w:rPr>
              <w:t xml:space="preserve">The phrase </w:t>
            </w:r>
            <w:r>
              <w:t>‘and levels of radiation contamination’ has been added to clause 11(b)(i).</w:t>
            </w:r>
          </w:p>
        </w:tc>
        <w:tc>
          <w:tcPr>
            <w:tcW w:w="1463" w:type="pct"/>
          </w:tcPr>
          <w:p w14:paraId="15F3C8F7" w14:textId="77777777" w:rsidR="009E01D9" w:rsidRPr="00475EAB" w:rsidRDefault="009E01D9" w:rsidP="009E01D9">
            <w:pPr>
              <w:pStyle w:val="TableText"/>
              <w:keepNext/>
            </w:pPr>
            <w:r w:rsidRPr="00475EAB">
              <w:t>Clearer statement of requirements.</w:t>
            </w:r>
          </w:p>
        </w:tc>
      </w:tr>
      <w:tr w:rsidR="009E01D9" w:rsidRPr="00475EAB" w14:paraId="5F23847D" w14:textId="77777777" w:rsidTr="00A25781">
        <w:tc>
          <w:tcPr>
            <w:tcW w:w="1324" w:type="pct"/>
            <w:vMerge/>
            <w:shd w:val="clear" w:color="auto" w:fill="auto"/>
            <w:vAlign w:val="center"/>
          </w:tcPr>
          <w:p w14:paraId="4ED6A979" w14:textId="77777777" w:rsidR="009E01D9" w:rsidRPr="00475EAB" w:rsidRDefault="009E01D9" w:rsidP="009E01D9">
            <w:pPr>
              <w:pStyle w:val="TableText"/>
              <w:rPr>
                <w:b/>
                <w:bCs/>
              </w:rPr>
            </w:pPr>
          </w:p>
        </w:tc>
        <w:tc>
          <w:tcPr>
            <w:tcW w:w="2213" w:type="pct"/>
            <w:shd w:val="clear" w:color="auto" w:fill="auto"/>
          </w:tcPr>
          <w:p w14:paraId="1C306E6F" w14:textId="6438AB8E" w:rsidR="009E01D9" w:rsidRDefault="009E01D9" w:rsidP="009E01D9">
            <w:pPr>
              <w:pStyle w:val="TableText"/>
              <w:keepNext/>
            </w:pPr>
            <w:r>
              <w:t>Clause 11(b)(ii) has replaced clause 10(b)(ii).</w:t>
            </w:r>
          </w:p>
        </w:tc>
        <w:tc>
          <w:tcPr>
            <w:tcW w:w="1463" w:type="pct"/>
          </w:tcPr>
          <w:p w14:paraId="09096C3F" w14:textId="77777777" w:rsidR="009E01D9" w:rsidRDefault="009E01D9" w:rsidP="009E01D9">
            <w:pPr>
              <w:pStyle w:val="TableText"/>
              <w:keepNext/>
            </w:pPr>
            <w:r w:rsidRPr="00475EAB">
              <w:t>Clearer statement of requirements.</w:t>
            </w:r>
          </w:p>
          <w:p w14:paraId="498A7125" w14:textId="6290D436" w:rsidR="009E01D9" w:rsidRPr="00475EAB" w:rsidRDefault="009E01D9" w:rsidP="009E01D9">
            <w:pPr>
              <w:pStyle w:val="TableText"/>
              <w:keepNext/>
            </w:pPr>
            <w:r>
              <w:t>Align</w:t>
            </w:r>
            <w:r w:rsidR="005F1B21">
              <w:t>s</w:t>
            </w:r>
            <w:r>
              <w:t xml:space="preserve"> clause 11(b) with clause 11(a).</w:t>
            </w:r>
          </w:p>
        </w:tc>
      </w:tr>
      <w:tr w:rsidR="009E01D9" w:rsidRPr="00475EAB" w14:paraId="271B23EE" w14:textId="77777777" w:rsidTr="00A25781">
        <w:tc>
          <w:tcPr>
            <w:tcW w:w="1324" w:type="pct"/>
            <w:vMerge/>
            <w:shd w:val="clear" w:color="auto" w:fill="auto"/>
            <w:vAlign w:val="center"/>
          </w:tcPr>
          <w:p w14:paraId="709E8666" w14:textId="77777777" w:rsidR="009E01D9" w:rsidRPr="00475EAB" w:rsidRDefault="009E01D9" w:rsidP="009E01D9">
            <w:pPr>
              <w:pStyle w:val="TableText"/>
              <w:rPr>
                <w:b/>
                <w:bCs/>
              </w:rPr>
            </w:pPr>
          </w:p>
        </w:tc>
        <w:tc>
          <w:tcPr>
            <w:tcW w:w="2213" w:type="pct"/>
            <w:shd w:val="clear" w:color="auto" w:fill="auto"/>
          </w:tcPr>
          <w:p w14:paraId="5FFB6C5B" w14:textId="77777777" w:rsidR="009E01D9" w:rsidRDefault="009E01D9" w:rsidP="009E01D9">
            <w:pPr>
              <w:pStyle w:val="TableText"/>
              <w:keepNext/>
            </w:pPr>
            <w:r>
              <w:t>Clause 10(b)(iii) has been deleted.</w:t>
            </w:r>
          </w:p>
          <w:p w14:paraId="0C96F2D7" w14:textId="4FE6B004" w:rsidR="00537B6D" w:rsidRDefault="00537B6D" w:rsidP="009E01D9">
            <w:pPr>
              <w:pStyle w:val="TableText"/>
              <w:keepNext/>
            </w:pPr>
          </w:p>
        </w:tc>
        <w:tc>
          <w:tcPr>
            <w:tcW w:w="1463" w:type="pct"/>
          </w:tcPr>
          <w:p w14:paraId="15EED848" w14:textId="77777777" w:rsidR="009E01D9" w:rsidRDefault="009E01D9" w:rsidP="009E01D9">
            <w:pPr>
              <w:pStyle w:val="TableText"/>
              <w:keepNext/>
            </w:pPr>
            <w:r w:rsidRPr="006715A1">
              <w:t>Clearer statement of requirements.</w:t>
            </w:r>
          </w:p>
          <w:p w14:paraId="06EC0226" w14:textId="77777777" w:rsidR="009E01D9" w:rsidRPr="006715A1" w:rsidRDefault="009E01D9" w:rsidP="009E01D9">
            <w:pPr>
              <w:pStyle w:val="TableText"/>
              <w:keepNext/>
            </w:pPr>
            <w:r>
              <w:t>Clause 5(g) requires the periodic review of designated areas.</w:t>
            </w:r>
          </w:p>
        </w:tc>
      </w:tr>
      <w:tr w:rsidR="009E01D9" w:rsidRPr="00475EAB" w14:paraId="4ACB68A7" w14:textId="77777777" w:rsidTr="00A25781">
        <w:tc>
          <w:tcPr>
            <w:tcW w:w="1324" w:type="pct"/>
            <w:vMerge/>
            <w:shd w:val="clear" w:color="auto" w:fill="auto"/>
            <w:vAlign w:val="center"/>
          </w:tcPr>
          <w:p w14:paraId="5B5CE1F0" w14:textId="77777777" w:rsidR="009E01D9" w:rsidRPr="00475EAB" w:rsidRDefault="009E01D9" w:rsidP="009E01D9">
            <w:pPr>
              <w:pStyle w:val="TableText"/>
              <w:rPr>
                <w:b/>
                <w:bCs/>
              </w:rPr>
            </w:pPr>
          </w:p>
        </w:tc>
        <w:tc>
          <w:tcPr>
            <w:tcW w:w="2213" w:type="pct"/>
            <w:shd w:val="clear" w:color="auto" w:fill="auto"/>
          </w:tcPr>
          <w:p w14:paraId="1554ACAD" w14:textId="60822FD9" w:rsidR="009E01D9" w:rsidRDefault="009E01D9" w:rsidP="009E01D9">
            <w:pPr>
              <w:pStyle w:val="TableText"/>
              <w:keepNext/>
            </w:pPr>
            <w:r>
              <w:t>Clause 11(d) has replaced clause 10(d).</w:t>
            </w:r>
          </w:p>
        </w:tc>
        <w:tc>
          <w:tcPr>
            <w:tcW w:w="1463" w:type="pct"/>
          </w:tcPr>
          <w:p w14:paraId="6C711F51" w14:textId="34C32119" w:rsidR="009E01D9" w:rsidRPr="00475EAB" w:rsidRDefault="009E01D9" w:rsidP="009E01D9">
            <w:pPr>
              <w:pStyle w:val="TableText"/>
              <w:keepNext/>
            </w:pPr>
            <w:r w:rsidRPr="00475EAB">
              <w:t>Clearer statement of requirements.</w:t>
            </w:r>
          </w:p>
        </w:tc>
      </w:tr>
      <w:tr w:rsidR="009E01D9" w:rsidRPr="00475EAB" w14:paraId="5F02F95B" w14:textId="77777777" w:rsidTr="00A25781">
        <w:tc>
          <w:tcPr>
            <w:tcW w:w="1324" w:type="pct"/>
            <w:vMerge/>
            <w:shd w:val="clear" w:color="auto" w:fill="auto"/>
            <w:vAlign w:val="center"/>
          </w:tcPr>
          <w:p w14:paraId="573E16CF" w14:textId="77777777" w:rsidR="009E01D9" w:rsidRPr="00475EAB" w:rsidRDefault="009E01D9" w:rsidP="009E01D9">
            <w:pPr>
              <w:pStyle w:val="TableText"/>
              <w:rPr>
                <w:b/>
                <w:bCs/>
              </w:rPr>
            </w:pPr>
          </w:p>
        </w:tc>
        <w:tc>
          <w:tcPr>
            <w:tcW w:w="2213" w:type="pct"/>
            <w:shd w:val="clear" w:color="auto" w:fill="auto"/>
          </w:tcPr>
          <w:p w14:paraId="03FDE9A1" w14:textId="2292D1AA" w:rsidR="009E01D9" w:rsidRPr="00F63AE4" w:rsidRDefault="009E01D9" w:rsidP="009E01D9">
            <w:pPr>
              <w:pStyle w:val="TableText"/>
              <w:keepNext/>
              <w:rPr>
                <w:b/>
                <w:bCs/>
              </w:rPr>
            </w:pPr>
            <w:r>
              <w:t>Reference to ‘3 Bq/cm</w:t>
            </w:r>
            <w:r w:rsidRPr="00F63AE4">
              <w:rPr>
                <w:vertAlign w:val="superscript"/>
              </w:rPr>
              <w:t>2</w:t>
            </w:r>
            <w:r>
              <w:t>’ has been removed from clause 11(f).</w:t>
            </w:r>
          </w:p>
        </w:tc>
        <w:tc>
          <w:tcPr>
            <w:tcW w:w="1463" w:type="pct"/>
          </w:tcPr>
          <w:p w14:paraId="3EF88494" w14:textId="1BEA5953" w:rsidR="009E01D9" w:rsidRPr="00475EAB" w:rsidRDefault="009E01D9" w:rsidP="009E01D9">
            <w:pPr>
              <w:pStyle w:val="TableText"/>
              <w:keepNext/>
            </w:pPr>
            <w:r w:rsidRPr="00475EAB">
              <w:t>Clearer statement of requirements.</w:t>
            </w:r>
          </w:p>
        </w:tc>
      </w:tr>
      <w:tr w:rsidR="009E01D9" w:rsidRPr="00025B6D" w14:paraId="0B30D989" w14:textId="77777777" w:rsidTr="00A25781">
        <w:tc>
          <w:tcPr>
            <w:tcW w:w="1324" w:type="pct"/>
            <w:shd w:val="clear" w:color="auto" w:fill="auto"/>
            <w:vAlign w:val="center"/>
          </w:tcPr>
          <w:p w14:paraId="1024FEDD" w14:textId="77777777" w:rsidR="009E01D9" w:rsidRPr="00025B6D" w:rsidRDefault="009E01D9" w:rsidP="009E01D9">
            <w:pPr>
              <w:pStyle w:val="TableText"/>
              <w:rPr>
                <w:b/>
                <w:bCs/>
              </w:rPr>
            </w:pPr>
            <w:r w:rsidRPr="00025B6D">
              <w:rPr>
                <w:b/>
                <w:bCs/>
              </w:rPr>
              <w:t>Clause 12</w:t>
            </w:r>
          </w:p>
          <w:p w14:paraId="76521FDA" w14:textId="410C2E0C" w:rsidR="009E01D9" w:rsidRPr="00025B6D" w:rsidRDefault="009E01D9" w:rsidP="009E01D9">
            <w:pPr>
              <w:pStyle w:val="TableText"/>
            </w:pPr>
            <w:r w:rsidRPr="00025B6D">
              <w:t>(Clause 11 of the current C2)</w:t>
            </w:r>
          </w:p>
        </w:tc>
        <w:tc>
          <w:tcPr>
            <w:tcW w:w="2213" w:type="pct"/>
            <w:shd w:val="clear" w:color="auto" w:fill="auto"/>
          </w:tcPr>
          <w:p w14:paraId="07723AA5" w14:textId="2A59EAD4" w:rsidR="009E01D9" w:rsidRPr="00025B6D" w:rsidRDefault="009E01D9" w:rsidP="009E01D9">
            <w:pPr>
              <w:pStyle w:val="TableText"/>
            </w:pPr>
            <w:r w:rsidRPr="00025B6D">
              <w:t xml:space="preserve">Clause 12(b) has replaced clause 11(b). </w:t>
            </w:r>
          </w:p>
          <w:p w14:paraId="479CD78B" w14:textId="7E4D1707" w:rsidR="009E01D9" w:rsidRPr="00025B6D" w:rsidRDefault="00025B6D" w:rsidP="009E01D9">
            <w:pPr>
              <w:pStyle w:val="TableText"/>
            </w:pPr>
            <w:r w:rsidRPr="00025B6D">
              <w:t>Clause 12(b) has a new requirement that if an individual dose is likely to exceed three-tenths of a dose limit, the HSL must ensure that the provider of the dose monitor has a current accreditation to an appropriate standard.</w:t>
            </w:r>
          </w:p>
        </w:tc>
        <w:tc>
          <w:tcPr>
            <w:tcW w:w="1463" w:type="pct"/>
          </w:tcPr>
          <w:p w14:paraId="6705D852" w14:textId="77777777" w:rsidR="009E01D9" w:rsidRPr="00025B6D" w:rsidRDefault="009E01D9" w:rsidP="009E01D9">
            <w:pPr>
              <w:pStyle w:val="TableText"/>
            </w:pPr>
            <w:r w:rsidRPr="00025B6D">
              <w:t>Clearer statement of requirements.</w:t>
            </w:r>
          </w:p>
          <w:p w14:paraId="6648A00C" w14:textId="77777777" w:rsidR="009E01D9" w:rsidRPr="00025B6D" w:rsidRDefault="009E01D9" w:rsidP="009E01D9">
            <w:pPr>
              <w:pStyle w:val="TableText"/>
            </w:pPr>
            <w:r w:rsidRPr="00025B6D">
              <w:t xml:space="preserve">Application of a graded approach following </w:t>
            </w:r>
            <w:hyperlink r:id="rId30" w:history="1">
              <w:r w:rsidRPr="00025B6D">
                <w:rPr>
                  <w:rStyle w:val="Hyperlink"/>
                  <w:rFonts w:cs="Segoe UI"/>
                  <w:sz w:val="20"/>
                </w:rPr>
                <w:t>section 86(1)(b)</w:t>
              </w:r>
            </w:hyperlink>
            <w:r w:rsidRPr="00025B6D">
              <w:t xml:space="preserve"> of the Act.</w:t>
            </w:r>
          </w:p>
        </w:tc>
      </w:tr>
      <w:tr w:rsidR="009E01D9" w:rsidRPr="00475EAB" w14:paraId="1A10BDF9" w14:textId="77777777" w:rsidTr="00A25781">
        <w:tc>
          <w:tcPr>
            <w:tcW w:w="1324" w:type="pct"/>
            <w:vMerge w:val="restart"/>
            <w:shd w:val="clear" w:color="auto" w:fill="auto"/>
            <w:vAlign w:val="center"/>
          </w:tcPr>
          <w:p w14:paraId="6C1602D5" w14:textId="77777777" w:rsidR="009E01D9" w:rsidRPr="00475EAB" w:rsidRDefault="009E01D9" w:rsidP="009E01D9">
            <w:pPr>
              <w:pStyle w:val="TableText"/>
              <w:rPr>
                <w:b/>
                <w:bCs/>
              </w:rPr>
            </w:pPr>
            <w:r w:rsidRPr="00475EAB">
              <w:rPr>
                <w:b/>
                <w:bCs/>
              </w:rPr>
              <w:t>Clause 1</w:t>
            </w:r>
            <w:r>
              <w:rPr>
                <w:b/>
                <w:bCs/>
              </w:rPr>
              <w:t>3</w:t>
            </w:r>
          </w:p>
          <w:p w14:paraId="237789B6" w14:textId="668BAA93" w:rsidR="009E01D9" w:rsidRPr="00475EAB" w:rsidRDefault="009E01D9" w:rsidP="009E01D9">
            <w:pPr>
              <w:pStyle w:val="TableText"/>
            </w:pPr>
            <w:r w:rsidRPr="00475EAB">
              <w:t>(Clause 1</w:t>
            </w:r>
            <w:r>
              <w:t>2</w:t>
            </w:r>
            <w:r w:rsidRPr="00475EAB">
              <w:t xml:space="preserve"> of </w:t>
            </w:r>
            <w:r>
              <w:t>the current C2</w:t>
            </w:r>
            <w:r w:rsidRPr="00475EAB">
              <w:t>)</w:t>
            </w:r>
          </w:p>
        </w:tc>
        <w:tc>
          <w:tcPr>
            <w:tcW w:w="2213" w:type="pct"/>
            <w:shd w:val="clear" w:color="auto" w:fill="auto"/>
          </w:tcPr>
          <w:p w14:paraId="3BEAC6FC" w14:textId="77BA8049" w:rsidR="009E01D9" w:rsidRPr="00475EAB" w:rsidRDefault="009E01D9" w:rsidP="009E01D9">
            <w:pPr>
              <w:pStyle w:val="TableText"/>
            </w:pPr>
            <w:r w:rsidRPr="00475EAB">
              <w:t>Clause 1</w:t>
            </w:r>
            <w:r>
              <w:t>3</w:t>
            </w:r>
            <w:r w:rsidRPr="00475EAB">
              <w:t>(a) has replaced clause 1</w:t>
            </w:r>
            <w:r>
              <w:t>2</w:t>
            </w:r>
            <w:r w:rsidRPr="00475EAB">
              <w:t xml:space="preserve">(a). </w:t>
            </w:r>
            <w:r>
              <w:rPr>
                <w:bCs/>
              </w:rPr>
              <w:t xml:space="preserve">The term </w:t>
            </w:r>
            <w:r w:rsidRPr="00475EAB">
              <w:t>‘</w:t>
            </w:r>
            <w:r>
              <w:t>t</w:t>
            </w:r>
            <w:r w:rsidRPr="00475EAB">
              <w:t>o the extent practicable’ has been added.</w:t>
            </w:r>
          </w:p>
        </w:tc>
        <w:tc>
          <w:tcPr>
            <w:tcW w:w="1463" w:type="pct"/>
          </w:tcPr>
          <w:p w14:paraId="38E09068" w14:textId="77777777" w:rsidR="009E01D9" w:rsidRPr="00475EAB" w:rsidRDefault="009E01D9" w:rsidP="009E01D9">
            <w:pPr>
              <w:pStyle w:val="TableText"/>
            </w:pPr>
            <w:r w:rsidRPr="00475EAB">
              <w:t>Clearer statement of requirement.</w:t>
            </w:r>
          </w:p>
        </w:tc>
      </w:tr>
      <w:tr w:rsidR="009E01D9" w:rsidRPr="00475EAB" w14:paraId="7B991A23" w14:textId="77777777" w:rsidTr="00A25781">
        <w:tc>
          <w:tcPr>
            <w:tcW w:w="1324" w:type="pct"/>
            <w:vMerge/>
            <w:shd w:val="clear" w:color="auto" w:fill="auto"/>
            <w:vAlign w:val="center"/>
          </w:tcPr>
          <w:p w14:paraId="0F54CB48" w14:textId="77777777" w:rsidR="009E01D9" w:rsidRPr="00475EAB" w:rsidRDefault="009E01D9" w:rsidP="009E01D9">
            <w:pPr>
              <w:pStyle w:val="TableText"/>
            </w:pPr>
          </w:p>
        </w:tc>
        <w:tc>
          <w:tcPr>
            <w:tcW w:w="2213" w:type="pct"/>
            <w:shd w:val="clear" w:color="auto" w:fill="auto"/>
          </w:tcPr>
          <w:p w14:paraId="43074A1F" w14:textId="48D871C5" w:rsidR="009E01D9" w:rsidRDefault="009E01D9" w:rsidP="009E01D9">
            <w:pPr>
              <w:pStyle w:val="TableText"/>
            </w:pPr>
            <w:r>
              <w:t>Claus</w:t>
            </w:r>
            <w:r w:rsidRPr="00475EAB">
              <w:t>e 1</w:t>
            </w:r>
            <w:r>
              <w:t>3</w:t>
            </w:r>
            <w:r w:rsidRPr="00475EAB">
              <w:t>(</w:t>
            </w:r>
            <w:r>
              <w:t>c</w:t>
            </w:r>
            <w:r w:rsidRPr="00475EAB">
              <w:t>)</w:t>
            </w:r>
            <w:r>
              <w:t xml:space="preserve"> has replaced clause 12(c)</w:t>
            </w:r>
            <w:r w:rsidRPr="00475EAB">
              <w:t>.</w:t>
            </w:r>
          </w:p>
          <w:p w14:paraId="09B34D40" w14:textId="403C466A" w:rsidR="009E01D9" w:rsidRPr="00475EAB" w:rsidRDefault="009E01D9" w:rsidP="009E01D9">
            <w:pPr>
              <w:pStyle w:val="TableText"/>
            </w:pPr>
            <w:r>
              <w:t>Clause 1</w:t>
            </w:r>
            <w:r w:rsidR="00E43E18">
              <w:t>2</w:t>
            </w:r>
            <w:r>
              <w:t>(d) has been deleted.</w:t>
            </w:r>
          </w:p>
        </w:tc>
        <w:tc>
          <w:tcPr>
            <w:tcW w:w="1463" w:type="pct"/>
          </w:tcPr>
          <w:p w14:paraId="3EA73664" w14:textId="0B65C3F2" w:rsidR="009E01D9" w:rsidRPr="00475EAB" w:rsidRDefault="009E01D9" w:rsidP="009E01D9">
            <w:pPr>
              <w:pStyle w:val="TableText"/>
            </w:pPr>
            <w:r w:rsidRPr="00475EAB">
              <w:t xml:space="preserve">Improved alignment with the Act. </w:t>
            </w:r>
            <w:r>
              <w:t>The Act includes p</w:t>
            </w:r>
            <w:r w:rsidRPr="00475EAB">
              <w:t xml:space="preserve">owers for </w:t>
            </w:r>
            <w:r>
              <w:t>the Director</w:t>
            </w:r>
            <w:r w:rsidRPr="00475EAB">
              <w:t xml:space="preserve"> to request information. </w:t>
            </w:r>
          </w:p>
          <w:p w14:paraId="2FDE5F43" w14:textId="77777777" w:rsidR="009E01D9" w:rsidRPr="00475EAB" w:rsidRDefault="009E01D9" w:rsidP="009E01D9">
            <w:pPr>
              <w:pStyle w:val="TableText"/>
            </w:pPr>
            <w:r w:rsidRPr="00475EAB">
              <w:t>In the case of an overexposure of a person</w:t>
            </w:r>
            <w:r>
              <w:t>,</w:t>
            </w:r>
            <w:r w:rsidRPr="00475EAB">
              <w:t xml:space="preserve"> notification of </w:t>
            </w:r>
            <w:r>
              <w:t>the Director</w:t>
            </w:r>
            <w:r w:rsidRPr="00475EAB">
              <w:t xml:space="preserve"> is referenced in clause 1</w:t>
            </w:r>
            <w:r>
              <w:t>4 and 14(a)</w:t>
            </w:r>
            <w:r w:rsidRPr="00475EAB">
              <w:t>.</w:t>
            </w:r>
          </w:p>
          <w:p w14:paraId="00F96B61" w14:textId="77777777" w:rsidR="009E01D9" w:rsidRPr="00475EAB" w:rsidRDefault="009E01D9" w:rsidP="009E01D9">
            <w:pPr>
              <w:pStyle w:val="TableText"/>
            </w:pPr>
            <w:r w:rsidRPr="00475EAB">
              <w:t>Other legislation requires information to be released on request from a member of the public.</w:t>
            </w:r>
          </w:p>
        </w:tc>
      </w:tr>
      <w:tr w:rsidR="009E01D9" w:rsidRPr="00EF075E" w14:paraId="152E3F89" w14:textId="77777777" w:rsidTr="00A25781">
        <w:tc>
          <w:tcPr>
            <w:tcW w:w="1324" w:type="pct"/>
            <w:vMerge w:val="restart"/>
            <w:shd w:val="clear" w:color="auto" w:fill="auto"/>
            <w:vAlign w:val="center"/>
          </w:tcPr>
          <w:p w14:paraId="3B8CAFDF" w14:textId="77777777" w:rsidR="009E01D9" w:rsidRPr="00EF075E" w:rsidRDefault="009E01D9" w:rsidP="009E01D9">
            <w:pPr>
              <w:pStyle w:val="TableText"/>
              <w:rPr>
                <w:b/>
                <w:bCs/>
              </w:rPr>
            </w:pPr>
            <w:r w:rsidRPr="00EF075E">
              <w:rPr>
                <w:b/>
                <w:bCs/>
              </w:rPr>
              <w:t>Incidents, accidents and emergencies</w:t>
            </w:r>
          </w:p>
          <w:p w14:paraId="1F43C678" w14:textId="77777777" w:rsidR="009E01D9" w:rsidRPr="00EF075E" w:rsidRDefault="009E01D9" w:rsidP="009E01D9">
            <w:pPr>
              <w:pStyle w:val="TableText"/>
              <w:rPr>
                <w:b/>
                <w:bCs/>
              </w:rPr>
            </w:pPr>
            <w:r w:rsidRPr="00EF075E">
              <w:rPr>
                <w:b/>
                <w:bCs/>
              </w:rPr>
              <w:t>Clause 14</w:t>
            </w:r>
          </w:p>
          <w:p w14:paraId="0621B5E0" w14:textId="417589D4" w:rsidR="009E01D9" w:rsidRPr="00EF075E" w:rsidRDefault="009E01D9" w:rsidP="009E01D9">
            <w:pPr>
              <w:pStyle w:val="TableText"/>
            </w:pPr>
            <w:r w:rsidRPr="00EF075E">
              <w:t>(Clause 13 of the current C2)</w:t>
            </w:r>
          </w:p>
        </w:tc>
        <w:tc>
          <w:tcPr>
            <w:tcW w:w="2213" w:type="pct"/>
            <w:shd w:val="clear" w:color="auto" w:fill="auto"/>
          </w:tcPr>
          <w:p w14:paraId="564B0267" w14:textId="1533634F" w:rsidR="009E01D9" w:rsidRPr="00EF075E" w:rsidRDefault="009E01D9" w:rsidP="009E01D9">
            <w:pPr>
              <w:pStyle w:val="TableText"/>
            </w:pPr>
            <w:r w:rsidRPr="00EF075E">
              <w:t xml:space="preserve">Text has been added associating clause 14 to </w:t>
            </w:r>
            <w:hyperlink r:id="rId31" w:history="1">
              <w:r w:rsidRPr="00EF075E">
                <w:rPr>
                  <w:rStyle w:val="Hyperlink"/>
                </w:rPr>
                <w:t>section 20(3)</w:t>
              </w:r>
            </w:hyperlink>
            <w:r w:rsidRPr="00EF075E">
              <w:t xml:space="preserve"> of the Act. This includes reference to ‘overexposure of a person’ as the term is applied in the Act.</w:t>
            </w:r>
          </w:p>
        </w:tc>
        <w:tc>
          <w:tcPr>
            <w:tcW w:w="1463" w:type="pct"/>
          </w:tcPr>
          <w:p w14:paraId="16A813D2" w14:textId="77777777" w:rsidR="009E01D9" w:rsidRPr="00EF075E" w:rsidRDefault="009E01D9" w:rsidP="009E01D9">
            <w:pPr>
              <w:pStyle w:val="TableText"/>
            </w:pPr>
            <w:r w:rsidRPr="00EF075E">
              <w:t>Improved alignment with the Act.</w:t>
            </w:r>
          </w:p>
          <w:p w14:paraId="490D1011" w14:textId="77777777" w:rsidR="009E01D9" w:rsidRPr="00EF075E" w:rsidRDefault="009E01D9" w:rsidP="009E01D9">
            <w:pPr>
              <w:pStyle w:val="TableText"/>
            </w:pPr>
            <w:r w:rsidRPr="00EF075E">
              <w:t>Clearer statement of requirement.</w:t>
            </w:r>
          </w:p>
        </w:tc>
      </w:tr>
      <w:tr w:rsidR="009E01D9" w:rsidRPr="00EF075E" w14:paraId="0E4217D4" w14:textId="77777777" w:rsidTr="00A25781">
        <w:tc>
          <w:tcPr>
            <w:tcW w:w="1324" w:type="pct"/>
            <w:vMerge/>
            <w:shd w:val="clear" w:color="auto" w:fill="auto"/>
            <w:vAlign w:val="center"/>
          </w:tcPr>
          <w:p w14:paraId="2A4818B4" w14:textId="77777777" w:rsidR="009E01D9" w:rsidRPr="00EF075E" w:rsidRDefault="009E01D9" w:rsidP="009E01D9">
            <w:pPr>
              <w:pStyle w:val="TableText"/>
              <w:rPr>
                <w:rFonts w:cs="Segoe UI"/>
                <w:b/>
                <w:bCs/>
                <w:sz w:val="20"/>
              </w:rPr>
            </w:pPr>
          </w:p>
        </w:tc>
        <w:tc>
          <w:tcPr>
            <w:tcW w:w="2213" w:type="pct"/>
            <w:shd w:val="clear" w:color="auto" w:fill="auto"/>
          </w:tcPr>
          <w:p w14:paraId="2AE87221" w14:textId="32E9A96F" w:rsidR="009E01D9" w:rsidRPr="00EF075E" w:rsidRDefault="00EF075E" w:rsidP="009E01D9">
            <w:pPr>
              <w:pStyle w:val="TableText"/>
            </w:pPr>
            <w:r w:rsidRPr="00EF075E">
              <w:t xml:space="preserve">A new clause 14(a) has been added. This requires the HSL to notify the Director as soon as practicable if an underexposure has occurred. </w:t>
            </w:r>
          </w:p>
        </w:tc>
        <w:tc>
          <w:tcPr>
            <w:tcW w:w="1463" w:type="pct"/>
          </w:tcPr>
          <w:p w14:paraId="73806203" w14:textId="77777777" w:rsidR="00EF075E" w:rsidRPr="00EF075E" w:rsidRDefault="009E01D9" w:rsidP="00EF075E">
            <w:pPr>
              <w:pStyle w:val="TableText"/>
            </w:pPr>
            <w:r w:rsidRPr="00EF075E">
              <w:t>Clearer statement of requirement.</w:t>
            </w:r>
            <w:r w:rsidR="00EF075E" w:rsidRPr="00EF075E">
              <w:t xml:space="preserve"> This requirement relates to </w:t>
            </w:r>
            <w:hyperlink r:id="rId32" w:history="1">
              <w:r w:rsidR="00EF075E" w:rsidRPr="00EF075E">
                <w:rPr>
                  <w:rStyle w:val="Hyperlink"/>
                  <w:rFonts w:eastAsia="MS Gothic"/>
                </w:rPr>
                <w:t>section 9(1)</w:t>
              </w:r>
            </w:hyperlink>
            <w:r w:rsidR="00EF075E" w:rsidRPr="00EF075E">
              <w:t xml:space="preserve"> of the Act.</w:t>
            </w:r>
          </w:p>
          <w:p w14:paraId="326F336E" w14:textId="1F3CFD8F" w:rsidR="009E01D9" w:rsidRPr="00EF075E" w:rsidRDefault="009E01D9" w:rsidP="009E01D9">
            <w:pPr>
              <w:pStyle w:val="TableText"/>
            </w:pPr>
          </w:p>
          <w:p w14:paraId="6F14DBD3" w14:textId="49084A44" w:rsidR="009E01D9" w:rsidRPr="00EF075E" w:rsidRDefault="009E01D9" w:rsidP="009E01D9">
            <w:pPr>
              <w:pStyle w:val="TableText"/>
            </w:pPr>
          </w:p>
        </w:tc>
      </w:tr>
      <w:tr w:rsidR="009E01D9" w:rsidRPr="00EF075E" w14:paraId="51573DA0" w14:textId="77777777" w:rsidTr="00A25781">
        <w:tc>
          <w:tcPr>
            <w:tcW w:w="1324" w:type="pct"/>
            <w:vMerge/>
            <w:shd w:val="clear" w:color="auto" w:fill="auto"/>
            <w:vAlign w:val="center"/>
          </w:tcPr>
          <w:p w14:paraId="1898E254" w14:textId="77777777" w:rsidR="009E01D9" w:rsidRPr="00EF075E" w:rsidRDefault="009E01D9" w:rsidP="009E01D9">
            <w:pPr>
              <w:pStyle w:val="TableText"/>
              <w:rPr>
                <w:rFonts w:cs="Segoe UI"/>
                <w:b/>
                <w:bCs/>
                <w:sz w:val="20"/>
              </w:rPr>
            </w:pPr>
          </w:p>
        </w:tc>
        <w:tc>
          <w:tcPr>
            <w:tcW w:w="2213" w:type="pct"/>
            <w:shd w:val="clear" w:color="auto" w:fill="auto"/>
          </w:tcPr>
          <w:p w14:paraId="3C2F80D7" w14:textId="1867E8C8" w:rsidR="009E01D9" w:rsidRPr="00EF075E" w:rsidRDefault="009E01D9" w:rsidP="009E01D9">
            <w:pPr>
              <w:pStyle w:val="TableText"/>
            </w:pPr>
            <w:r w:rsidRPr="00EF075E">
              <w:t>Clause 13(g) has been deleted.</w:t>
            </w:r>
          </w:p>
        </w:tc>
        <w:tc>
          <w:tcPr>
            <w:tcW w:w="1463" w:type="pct"/>
          </w:tcPr>
          <w:p w14:paraId="056E8729" w14:textId="77777777" w:rsidR="009E01D9" w:rsidRPr="00EF075E" w:rsidRDefault="009E01D9" w:rsidP="009E01D9">
            <w:pPr>
              <w:pStyle w:val="TableText"/>
            </w:pPr>
            <w:r w:rsidRPr="00EF075E">
              <w:t>Improved alignment with the Act.</w:t>
            </w:r>
          </w:p>
          <w:p w14:paraId="7C43D535" w14:textId="04AD7ACF" w:rsidR="009E01D9" w:rsidRPr="00EF075E" w:rsidRDefault="001F2BD7" w:rsidP="009E01D9">
            <w:pPr>
              <w:pStyle w:val="TableText"/>
            </w:pPr>
            <w:hyperlink r:id="rId33" w:history="1">
              <w:r w:rsidR="009E01D9" w:rsidRPr="00EF075E">
                <w:rPr>
                  <w:rStyle w:val="Hyperlink"/>
                </w:rPr>
                <w:t>Section 20(3)(a)</w:t>
              </w:r>
            </w:hyperlink>
            <w:r w:rsidR="009E01D9" w:rsidRPr="00EF075E">
              <w:t xml:space="preserve"> of the Act provides a </w:t>
            </w:r>
            <w:r w:rsidR="009E01D9" w:rsidRPr="00EF075E">
              <w:lastRenderedPageBreak/>
              <w:t>requirement to notify the Director.</w:t>
            </w:r>
          </w:p>
        </w:tc>
      </w:tr>
      <w:tr w:rsidR="009E01D9" w:rsidRPr="00475EAB" w14:paraId="44AAB743" w14:textId="77777777" w:rsidTr="00A25781">
        <w:tc>
          <w:tcPr>
            <w:tcW w:w="1324" w:type="pct"/>
            <w:tcBorders>
              <w:bottom w:val="single" w:sz="4" w:space="0" w:color="A6A6A6" w:themeColor="background1" w:themeShade="A6"/>
            </w:tcBorders>
            <w:shd w:val="clear" w:color="auto" w:fill="auto"/>
            <w:vAlign w:val="center"/>
          </w:tcPr>
          <w:p w14:paraId="1AE40835" w14:textId="77777777" w:rsidR="009E01D9" w:rsidRDefault="009E01D9" w:rsidP="009E01D9">
            <w:pPr>
              <w:pStyle w:val="TableText"/>
              <w:rPr>
                <w:b/>
                <w:bCs/>
              </w:rPr>
            </w:pPr>
            <w:r w:rsidRPr="00475EAB">
              <w:rPr>
                <w:b/>
                <w:bCs/>
              </w:rPr>
              <w:lastRenderedPageBreak/>
              <w:t xml:space="preserve">Records </w:t>
            </w:r>
          </w:p>
          <w:p w14:paraId="391B8E01" w14:textId="77777777" w:rsidR="009E01D9" w:rsidRPr="00475EAB" w:rsidRDefault="009E01D9" w:rsidP="009E01D9">
            <w:pPr>
              <w:pStyle w:val="TableText"/>
              <w:rPr>
                <w:b/>
                <w:bCs/>
              </w:rPr>
            </w:pPr>
            <w:r>
              <w:rPr>
                <w:b/>
                <w:bCs/>
              </w:rPr>
              <w:t>New clause 16</w:t>
            </w:r>
          </w:p>
          <w:p w14:paraId="71239167" w14:textId="77777777" w:rsidR="009E01D9" w:rsidRPr="00475EAB" w:rsidRDefault="009E01D9" w:rsidP="009E01D9">
            <w:pPr>
              <w:pStyle w:val="TableText"/>
              <w:rPr>
                <w:b/>
                <w:bCs/>
              </w:rPr>
            </w:pPr>
          </w:p>
        </w:tc>
        <w:tc>
          <w:tcPr>
            <w:tcW w:w="2213" w:type="pct"/>
            <w:shd w:val="clear" w:color="auto" w:fill="auto"/>
          </w:tcPr>
          <w:p w14:paraId="7C8E22D6" w14:textId="486E0B27" w:rsidR="009E01D9" w:rsidRPr="00475EAB" w:rsidRDefault="009E01D9" w:rsidP="009E01D9">
            <w:pPr>
              <w:pStyle w:val="TableText"/>
            </w:pPr>
            <w:r>
              <w:t>This new clause p</w:t>
            </w:r>
            <w:r w:rsidRPr="00475EAB">
              <w:t xml:space="preserve">rovides a requirement that relates to </w:t>
            </w:r>
            <w:hyperlink r:id="rId34" w:history="1">
              <w:r w:rsidRPr="0082133F">
                <w:rPr>
                  <w:rStyle w:val="Hyperlink"/>
                  <w:rFonts w:cs="Segoe UI"/>
                  <w:szCs w:val="18"/>
                </w:rPr>
                <w:t>section 35(1)(a)</w:t>
              </w:r>
            </w:hyperlink>
            <w:r w:rsidRPr="00475EAB">
              <w:t xml:space="preserve"> of the Act and states a time that specified records must be kept. </w:t>
            </w:r>
          </w:p>
        </w:tc>
        <w:tc>
          <w:tcPr>
            <w:tcW w:w="1463" w:type="pct"/>
          </w:tcPr>
          <w:p w14:paraId="73DB66D9" w14:textId="77777777" w:rsidR="009E01D9" w:rsidRPr="00475EAB" w:rsidRDefault="009E01D9" w:rsidP="009E01D9">
            <w:pPr>
              <w:pStyle w:val="TableText"/>
            </w:pPr>
            <w:r w:rsidRPr="00475EAB">
              <w:t>Improved alignment with the Act.</w:t>
            </w:r>
          </w:p>
          <w:p w14:paraId="43057D75" w14:textId="77777777" w:rsidR="009E01D9" w:rsidRPr="00475EAB" w:rsidRDefault="009E01D9" w:rsidP="009E01D9">
            <w:pPr>
              <w:pStyle w:val="TableText"/>
            </w:pPr>
            <w:r w:rsidRPr="00475EAB">
              <w:t>Clearer statement of requirement.</w:t>
            </w:r>
          </w:p>
        </w:tc>
      </w:tr>
      <w:tr w:rsidR="009E01D9" w:rsidRPr="00475EAB" w14:paraId="10B73A73" w14:textId="77777777" w:rsidTr="00A25781">
        <w:tc>
          <w:tcPr>
            <w:tcW w:w="1324" w:type="pct"/>
            <w:vMerge w:val="restart"/>
            <w:shd w:val="clear" w:color="auto" w:fill="auto"/>
            <w:vAlign w:val="center"/>
          </w:tcPr>
          <w:p w14:paraId="6445634C" w14:textId="77777777" w:rsidR="009E01D9" w:rsidRPr="00475EAB" w:rsidRDefault="009E01D9" w:rsidP="009E01D9">
            <w:pPr>
              <w:pStyle w:val="TableText"/>
              <w:rPr>
                <w:b/>
                <w:bCs/>
              </w:rPr>
            </w:pPr>
            <w:r w:rsidRPr="00475EAB">
              <w:rPr>
                <w:b/>
                <w:bCs/>
              </w:rPr>
              <w:t>Clause 1</w:t>
            </w:r>
            <w:r>
              <w:rPr>
                <w:b/>
                <w:bCs/>
              </w:rPr>
              <w:t>7</w:t>
            </w:r>
            <w:r w:rsidRPr="00475EAB">
              <w:rPr>
                <w:b/>
                <w:bCs/>
              </w:rPr>
              <w:t xml:space="preserve"> </w:t>
            </w:r>
          </w:p>
          <w:p w14:paraId="54FF5245" w14:textId="65BF033F" w:rsidR="009E01D9" w:rsidRPr="00475EAB" w:rsidRDefault="009E01D9" w:rsidP="009E01D9">
            <w:pPr>
              <w:pStyle w:val="TableText"/>
              <w:rPr>
                <w:b/>
                <w:bCs/>
              </w:rPr>
            </w:pPr>
            <w:r w:rsidRPr="00475EAB">
              <w:t>(Clause 1</w:t>
            </w:r>
            <w:r>
              <w:t>5</w:t>
            </w:r>
            <w:r w:rsidRPr="00475EAB">
              <w:t xml:space="preserve"> of </w:t>
            </w:r>
            <w:r>
              <w:t>the current C2</w:t>
            </w:r>
            <w:r w:rsidRPr="00475EAB">
              <w:t>)</w:t>
            </w:r>
          </w:p>
        </w:tc>
        <w:tc>
          <w:tcPr>
            <w:tcW w:w="2213" w:type="pct"/>
            <w:shd w:val="clear" w:color="auto" w:fill="auto"/>
          </w:tcPr>
          <w:p w14:paraId="6203FDFA" w14:textId="40AEBAF9" w:rsidR="009E01D9" w:rsidRPr="00475EAB" w:rsidRDefault="009E01D9" w:rsidP="009E01D9">
            <w:pPr>
              <w:pStyle w:val="TableText"/>
            </w:pPr>
            <w:r>
              <w:t xml:space="preserve">The term ‘and make them available as necessary’ has been deleted. </w:t>
            </w:r>
          </w:p>
        </w:tc>
        <w:tc>
          <w:tcPr>
            <w:tcW w:w="1463" w:type="pct"/>
          </w:tcPr>
          <w:p w14:paraId="4E3342A6" w14:textId="77777777" w:rsidR="009E01D9" w:rsidRDefault="009E01D9" w:rsidP="009E01D9">
            <w:pPr>
              <w:pStyle w:val="TableText"/>
            </w:pPr>
            <w:r w:rsidRPr="00475EAB">
              <w:t>Improved alignment with the Act.</w:t>
            </w:r>
            <w:r>
              <w:t xml:space="preserve"> </w:t>
            </w:r>
          </w:p>
          <w:p w14:paraId="1F90CA8D" w14:textId="7CBF04E6" w:rsidR="009E01D9" w:rsidRPr="00475EAB" w:rsidRDefault="001F2BD7" w:rsidP="009E01D9">
            <w:pPr>
              <w:pStyle w:val="TableText"/>
            </w:pPr>
            <w:hyperlink r:id="rId35" w:history="1">
              <w:r w:rsidR="009E01D9">
                <w:rPr>
                  <w:rStyle w:val="Hyperlink"/>
                </w:rPr>
                <w:t>S</w:t>
              </w:r>
              <w:r w:rsidR="009E01D9" w:rsidRPr="00497A7B">
                <w:rPr>
                  <w:rStyle w:val="Hyperlink"/>
                </w:rPr>
                <w:t>ection 35(1)(b)</w:t>
              </w:r>
            </w:hyperlink>
            <w:r w:rsidR="009E01D9">
              <w:t xml:space="preserve"> of the Act includes a requirement to make records available.</w:t>
            </w:r>
          </w:p>
        </w:tc>
      </w:tr>
      <w:tr w:rsidR="009E01D9" w:rsidRPr="00475EAB" w14:paraId="40340C49" w14:textId="77777777" w:rsidTr="00A25781">
        <w:tc>
          <w:tcPr>
            <w:tcW w:w="1324" w:type="pct"/>
            <w:vMerge/>
            <w:shd w:val="clear" w:color="auto" w:fill="auto"/>
            <w:vAlign w:val="center"/>
          </w:tcPr>
          <w:p w14:paraId="6049FC3B" w14:textId="77777777" w:rsidR="009E01D9" w:rsidRPr="00475EAB" w:rsidRDefault="009E01D9" w:rsidP="009E01D9">
            <w:pPr>
              <w:pStyle w:val="TableText"/>
              <w:rPr>
                <w:b/>
                <w:bCs/>
              </w:rPr>
            </w:pPr>
          </w:p>
        </w:tc>
        <w:tc>
          <w:tcPr>
            <w:tcW w:w="2213" w:type="pct"/>
            <w:shd w:val="clear" w:color="auto" w:fill="auto"/>
          </w:tcPr>
          <w:p w14:paraId="115E54F4" w14:textId="15A85261" w:rsidR="009E01D9" w:rsidRPr="00475EAB" w:rsidRDefault="009E01D9" w:rsidP="009E01D9">
            <w:pPr>
              <w:pStyle w:val="TableText"/>
            </w:pPr>
            <w:r w:rsidRPr="00475EAB">
              <w:t>Clause 1</w:t>
            </w:r>
            <w:r>
              <w:t>7</w:t>
            </w:r>
            <w:r w:rsidRPr="00475EAB">
              <w:t xml:space="preserve">(a) has replaced clause </w:t>
            </w:r>
            <w:r>
              <w:t>15</w:t>
            </w:r>
            <w:r w:rsidRPr="00475EAB">
              <w:t>(a).</w:t>
            </w:r>
          </w:p>
        </w:tc>
        <w:tc>
          <w:tcPr>
            <w:tcW w:w="1463" w:type="pct"/>
          </w:tcPr>
          <w:p w14:paraId="6AEDCF3B" w14:textId="77777777" w:rsidR="009E01D9" w:rsidRPr="00475EAB" w:rsidRDefault="009E01D9" w:rsidP="009E01D9">
            <w:pPr>
              <w:pStyle w:val="TableText"/>
            </w:pPr>
            <w:r w:rsidRPr="00475EAB">
              <w:t>Clearer statement of requirement.</w:t>
            </w:r>
          </w:p>
        </w:tc>
      </w:tr>
      <w:tr w:rsidR="009E01D9" w:rsidRPr="00475EAB" w14:paraId="006A488C" w14:textId="77777777" w:rsidTr="00A25781">
        <w:tc>
          <w:tcPr>
            <w:tcW w:w="1324" w:type="pct"/>
            <w:vMerge w:val="restart"/>
            <w:shd w:val="clear" w:color="auto" w:fill="auto"/>
            <w:vAlign w:val="center"/>
          </w:tcPr>
          <w:p w14:paraId="27C81E1E" w14:textId="77777777" w:rsidR="009E01D9" w:rsidRPr="00475EAB" w:rsidRDefault="009E01D9" w:rsidP="009E01D9">
            <w:pPr>
              <w:pStyle w:val="TableText"/>
              <w:keepNext/>
              <w:rPr>
                <w:b/>
                <w:bCs/>
              </w:rPr>
            </w:pPr>
            <w:r w:rsidRPr="00475EAB">
              <w:rPr>
                <w:b/>
                <w:bCs/>
              </w:rPr>
              <w:t>Quality assurance</w:t>
            </w:r>
          </w:p>
          <w:p w14:paraId="43383752" w14:textId="77777777" w:rsidR="009E01D9" w:rsidRPr="00475EAB" w:rsidRDefault="009E01D9" w:rsidP="009E01D9">
            <w:pPr>
              <w:pStyle w:val="TableText"/>
              <w:keepNext/>
              <w:rPr>
                <w:b/>
                <w:bCs/>
              </w:rPr>
            </w:pPr>
            <w:r w:rsidRPr="00475EAB">
              <w:rPr>
                <w:b/>
                <w:bCs/>
              </w:rPr>
              <w:t xml:space="preserve">Clause </w:t>
            </w:r>
            <w:r>
              <w:rPr>
                <w:b/>
                <w:bCs/>
              </w:rPr>
              <w:t>18</w:t>
            </w:r>
          </w:p>
          <w:p w14:paraId="5EAF1722" w14:textId="4FFF240B" w:rsidR="009E01D9" w:rsidRPr="00475EAB" w:rsidRDefault="009E01D9" w:rsidP="009E01D9">
            <w:pPr>
              <w:pStyle w:val="TableText"/>
            </w:pPr>
            <w:r w:rsidRPr="00475EAB">
              <w:t>(Clause 1</w:t>
            </w:r>
            <w:r>
              <w:t>6</w:t>
            </w:r>
            <w:r w:rsidRPr="00475EAB">
              <w:t xml:space="preserve"> of </w:t>
            </w:r>
            <w:r>
              <w:t>the current C2</w:t>
            </w:r>
            <w:r w:rsidRPr="00475EAB">
              <w:t>)</w:t>
            </w:r>
          </w:p>
        </w:tc>
        <w:tc>
          <w:tcPr>
            <w:tcW w:w="2213" w:type="pct"/>
            <w:shd w:val="clear" w:color="auto" w:fill="auto"/>
          </w:tcPr>
          <w:p w14:paraId="7E176517" w14:textId="756D0A88" w:rsidR="009E01D9" w:rsidRPr="00475EAB" w:rsidRDefault="009E01D9" w:rsidP="009E01D9">
            <w:pPr>
              <w:pStyle w:val="TableText"/>
            </w:pPr>
            <w:r>
              <w:t>Clause 18(a) has replaced clause 16(a). A requirement for approval by a qualified expert has been added.</w:t>
            </w:r>
          </w:p>
        </w:tc>
        <w:tc>
          <w:tcPr>
            <w:tcW w:w="1463" w:type="pct"/>
          </w:tcPr>
          <w:p w14:paraId="628E1937" w14:textId="0AF1F102" w:rsidR="009E01D9" w:rsidRPr="00475EAB" w:rsidRDefault="009E01D9" w:rsidP="009E01D9">
            <w:pPr>
              <w:pStyle w:val="TableText"/>
            </w:pPr>
            <w:r w:rsidRPr="00475EAB">
              <w:t>Clearer statement of requirement</w:t>
            </w:r>
            <w:r>
              <w:t>.</w:t>
            </w:r>
          </w:p>
        </w:tc>
      </w:tr>
      <w:tr w:rsidR="009E01D9" w:rsidRPr="00475EAB" w14:paraId="787BE6DB" w14:textId="77777777" w:rsidTr="00A25781">
        <w:tc>
          <w:tcPr>
            <w:tcW w:w="1324" w:type="pct"/>
            <w:vMerge/>
            <w:shd w:val="clear" w:color="auto" w:fill="auto"/>
            <w:vAlign w:val="center"/>
          </w:tcPr>
          <w:p w14:paraId="086DD61D" w14:textId="77777777" w:rsidR="009E01D9" w:rsidRPr="00475EAB" w:rsidRDefault="009E01D9" w:rsidP="009E01D9">
            <w:pPr>
              <w:pStyle w:val="TableText"/>
            </w:pPr>
          </w:p>
        </w:tc>
        <w:tc>
          <w:tcPr>
            <w:tcW w:w="2213" w:type="pct"/>
            <w:shd w:val="clear" w:color="auto" w:fill="auto"/>
          </w:tcPr>
          <w:p w14:paraId="78BBD34D" w14:textId="733A058E" w:rsidR="009E01D9" w:rsidRDefault="009E01D9" w:rsidP="009E01D9">
            <w:pPr>
              <w:pStyle w:val="TableText"/>
            </w:pPr>
            <w:r>
              <w:t>Clauses 18(d) and (e) have replaced c</w:t>
            </w:r>
            <w:r w:rsidRPr="00475EAB">
              <w:t>lause 1</w:t>
            </w:r>
            <w:r>
              <w:t>6(c).</w:t>
            </w:r>
          </w:p>
        </w:tc>
        <w:tc>
          <w:tcPr>
            <w:tcW w:w="1463" w:type="pct"/>
          </w:tcPr>
          <w:p w14:paraId="58A6223A" w14:textId="77777777" w:rsidR="009E01D9" w:rsidRPr="00475EAB" w:rsidRDefault="009E01D9" w:rsidP="009E01D9">
            <w:pPr>
              <w:pStyle w:val="TableText"/>
            </w:pPr>
            <w:r w:rsidRPr="00475EAB">
              <w:t>Clearer statement of requirement.</w:t>
            </w:r>
          </w:p>
        </w:tc>
      </w:tr>
      <w:tr w:rsidR="009E01D9" w:rsidRPr="00475EAB" w14:paraId="6C89CFA9" w14:textId="77777777" w:rsidTr="00A25781">
        <w:tc>
          <w:tcPr>
            <w:tcW w:w="1324" w:type="pct"/>
            <w:vMerge/>
            <w:shd w:val="clear" w:color="auto" w:fill="auto"/>
            <w:vAlign w:val="center"/>
          </w:tcPr>
          <w:p w14:paraId="44544CF4" w14:textId="77777777" w:rsidR="009E01D9" w:rsidRPr="00475EAB" w:rsidRDefault="009E01D9" w:rsidP="009E01D9">
            <w:pPr>
              <w:pStyle w:val="TableText"/>
            </w:pPr>
          </w:p>
        </w:tc>
        <w:tc>
          <w:tcPr>
            <w:tcW w:w="2213" w:type="pct"/>
            <w:shd w:val="clear" w:color="auto" w:fill="auto"/>
          </w:tcPr>
          <w:p w14:paraId="71190DF8" w14:textId="13F4060F" w:rsidR="009E01D9" w:rsidRPr="00475EAB" w:rsidRDefault="009E01D9" w:rsidP="009E01D9">
            <w:pPr>
              <w:pStyle w:val="TableText"/>
            </w:pPr>
            <w:r w:rsidRPr="00475EAB">
              <w:t xml:space="preserve">A new clause </w:t>
            </w:r>
            <w:r>
              <w:t>18</w:t>
            </w:r>
            <w:r w:rsidRPr="00475EAB">
              <w:t>(</w:t>
            </w:r>
            <w:r>
              <w:t>f</w:t>
            </w:r>
            <w:r w:rsidRPr="00475EAB">
              <w:t xml:space="preserve">) requires values established in </w:t>
            </w:r>
            <w:r>
              <w:t>clauses 18</w:t>
            </w:r>
            <w:r w:rsidRPr="00475EAB">
              <w:t>(</w:t>
            </w:r>
            <w:r>
              <w:t>d</w:t>
            </w:r>
            <w:r w:rsidRPr="00475EAB">
              <w:t>)</w:t>
            </w:r>
            <w:r>
              <w:t xml:space="preserve"> and (e) to have</w:t>
            </w:r>
            <w:r w:rsidRPr="00475EAB">
              <w:t xml:space="preserve"> been reviewed and approved by </w:t>
            </w:r>
            <w:r>
              <w:t xml:space="preserve">an </w:t>
            </w:r>
            <w:r w:rsidRPr="00475EAB">
              <w:t>MPE.</w:t>
            </w:r>
          </w:p>
        </w:tc>
        <w:tc>
          <w:tcPr>
            <w:tcW w:w="1463" w:type="pct"/>
          </w:tcPr>
          <w:p w14:paraId="6939E16C" w14:textId="77777777" w:rsidR="009E01D9" w:rsidRPr="00475EAB" w:rsidRDefault="009E01D9" w:rsidP="009E01D9">
            <w:pPr>
              <w:pStyle w:val="TableText"/>
            </w:pPr>
            <w:r w:rsidRPr="00475EAB">
              <w:t>Clearer statement of requirements.</w:t>
            </w:r>
          </w:p>
        </w:tc>
      </w:tr>
      <w:tr w:rsidR="009E01D9" w:rsidRPr="00475EAB" w14:paraId="6C5C0C17" w14:textId="77777777" w:rsidTr="00A25781">
        <w:tc>
          <w:tcPr>
            <w:tcW w:w="1324" w:type="pct"/>
            <w:vMerge/>
            <w:shd w:val="clear" w:color="auto" w:fill="auto"/>
            <w:vAlign w:val="center"/>
          </w:tcPr>
          <w:p w14:paraId="7DF08804" w14:textId="77777777" w:rsidR="009E01D9" w:rsidRPr="00475EAB" w:rsidRDefault="009E01D9" w:rsidP="009E01D9">
            <w:pPr>
              <w:pStyle w:val="TableText"/>
            </w:pPr>
          </w:p>
        </w:tc>
        <w:tc>
          <w:tcPr>
            <w:tcW w:w="2213" w:type="pct"/>
            <w:shd w:val="clear" w:color="auto" w:fill="auto"/>
          </w:tcPr>
          <w:p w14:paraId="0F9F0AF3" w14:textId="2220D0D2" w:rsidR="009E01D9" w:rsidRPr="00475EAB" w:rsidRDefault="00EF075E" w:rsidP="009E01D9">
            <w:pPr>
              <w:pStyle w:val="TableText"/>
            </w:pPr>
            <w:r w:rsidRPr="00EF075E">
              <w:t>Clause 16(e) has been deleted. Clause 17(g) requires the HSL to maintain records of a quality assurance programme.</w:t>
            </w:r>
          </w:p>
        </w:tc>
        <w:tc>
          <w:tcPr>
            <w:tcW w:w="1463" w:type="pct"/>
          </w:tcPr>
          <w:p w14:paraId="6373CBBD" w14:textId="77777777" w:rsidR="009E01D9" w:rsidRPr="00475EAB" w:rsidRDefault="009E01D9" w:rsidP="009E01D9">
            <w:pPr>
              <w:pStyle w:val="TableText"/>
            </w:pPr>
            <w:r w:rsidRPr="00475EAB">
              <w:t>Clearer statement of requirement.</w:t>
            </w:r>
          </w:p>
        </w:tc>
      </w:tr>
      <w:tr w:rsidR="009E01D9" w:rsidRPr="00475EAB" w14:paraId="4976FB15" w14:textId="77777777" w:rsidTr="00A25781">
        <w:tc>
          <w:tcPr>
            <w:tcW w:w="1324" w:type="pct"/>
            <w:shd w:val="clear" w:color="auto" w:fill="auto"/>
            <w:vAlign w:val="center"/>
          </w:tcPr>
          <w:p w14:paraId="2248C6EB" w14:textId="77777777" w:rsidR="009E01D9" w:rsidRDefault="009E01D9" w:rsidP="009E01D9">
            <w:pPr>
              <w:pStyle w:val="TableText"/>
              <w:keepNext/>
              <w:rPr>
                <w:b/>
                <w:bCs/>
              </w:rPr>
            </w:pPr>
            <w:r w:rsidRPr="00F07C1B">
              <w:rPr>
                <w:b/>
                <w:bCs/>
              </w:rPr>
              <w:t>Clause 20</w:t>
            </w:r>
          </w:p>
          <w:p w14:paraId="5D03E2E3" w14:textId="37637CA0" w:rsidR="009E01D9" w:rsidRPr="00F07C1B" w:rsidRDefault="009E01D9" w:rsidP="009E01D9">
            <w:pPr>
              <w:pStyle w:val="TableText"/>
              <w:keepNext/>
            </w:pPr>
            <w:r>
              <w:t>(</w:t>
            </w:r>
            <w:r w:rsidRPr="00F07C1B">
              <w:t xml:space="preserve">Clause 18 of </w:t>
            </w:r>
            <w:r>
              <w:t xml:space="preserve">the current </w:t>
            </w:r>
            <w:r w:rsidRPr="00F07C1B">
              <w:t>C2</w:t>
            </w:r>
            <w:r>
              <w:t>)</w:t>
            </w:r>
          </w:p>
        </w:tc>
        <w:tc>
          <w:tcPr>
            <w:tcW w:w="2213" w:type="pct"/>
            <w:shd w:val="clear" w:color="auto" w:fill="auto"/>
          </w:tcPr>
          <w:p w14:paraId="7923FD2C" w14:textId="77777777" w:rsidR="009E01D9" w:rsidRPr="00475EAB" w:rsidRDefault="009E01D9" w:rsidP="009E01D9">
            <w:pPr>
              <w:pStyle w:val="TableText"/>
              <w:keepNext/>
            </w:pPr>
            <w:r>
              <w:t>Clause 20(c)(iii) has been added.</w:t>
            </w:r>
          </w:p>
        </w:tc>
        <w:tc>
          <w:tcPr>
            <w:tcW w:w="1463" w:type="pct"/>
          </w:tcPr>
          <w:p w14:paraId="74B47199" w14:textId="77777777" w:rsidR="009E01D9" w:rsidRPr="00475EAB" w:rsidRDefault="009E01D9" w:rsidP="009E01D9">
            <w:pPr>
              <w:pStyle w:val="TableText"/>
              <w:keepNext/>
            </w:pPr>
            <w:r w:rsidRPr="00475EAB">
              <w:t>Clearer statement of requirement.</w:t>
            </w:r>
          </w:p>
        </w:tc>
      </w:tr>
      <w:tr w:rsidR="009E01D9" w:rsidRPr="00475EAB" w14:paraId="35F3B9CE" w14:textId="77777777" w:rsidTr="00A25781">
        <w:tc>
          <w:tcPr>
            <w:tcW w:w="1324" w:type="pct"/>
            <w:vMerge w:val="restart"/>
            <w:shd w:val="clear" w:color="auto" w:fill="auto"/>
            <w:vAlign w:val="center"/>
          </w:tcPr>
          <w:p w14:paraId="748B423F" w14:textId="77777777" w:rsidR="009E01D9" w:rsidRDefault="009E01D9" w:rsidP="009E01D9">
            <w:pPr>
              <w:pStyle w:val="TableText"/>
              <w:rPr>
                <w:b/>
                <w:bCs/>
              </w:rPr>
            </w:pPr>
            <w:r>
              <w:rPr>
                <w:b/>
                <w:bCs/>
              </w:rPr>
              <w:t>Discharge of a patient who has undergone therapy</w:t>
            </w:r>
          </w:p>
          <w:p w14:paraId="1D796120" w14:textId="77777777" w:rsidR="009E01D9" w:rsidRDefault="009E01D9" w:rsidP="009E01D9">
            <w:pPr>
              <w:pStyle w:val="TableText"/>
              <w:rPr>
                <w:b/>
                <w:bCs/>
              </w:rPr>
            </w:pPr>
            <w:r>
              <w:rPr>
                <w:b/>
                <w:bCs/>
              </w:rPr>
              <w:t xml:space="preserve">Clause 21 </w:t>
            </w:r>
          </w:p>
          <w:p w14:paraId="548FD460" w14:textId="26B09A20" w:rsidR="009E01D9" w:rsidRPr="009E0AA5" w:rsidRDefault="009E01D9" w:rsidP="009E01D9">
            <w:pPr>
              <w:pStyle w:val="TableText"/>
            </w:pPr>
            <w:r w:rsidRPr="009E0AA5">
              <w:t xml:space="preserve">(Clause 23 of </w:t>
            </w:r>
            <w:r>
              <w:t xml:space="preserve">the current </w:t>
            </w:r>
            <w:r w:rsidRPr="009E0AA5">
              <w:t>C2)</w:t>
            </w:r>
          </w:p>
        </w:tc>
        <w:tc>
          <w:tcPr>
            <w:tcW w:w="2213" w:type="pct"/>
            <w:shd w:val="clear" w:color="auto" w:fill="auto"/>
          </w:tcPr>
          <w:p w14:paraId="2CD35938" w14:textId="7543CF14" w:rsidR="009E01D9" w:rsidRPr="00475EAB" w:rsidRDefault="009E01D9" w:rsidP="009E01D9">
            <w:pPr>
              <w:pStyle w:val="TableText"/>
            </w:pPr>
            <w:r>
              <w:t>Clause 21 replaces clause 23 ‘release of patients’.</w:t>
            </w:r>
          </w:p>
        </w:tc>
        <w:tc>
          <w:tcPr>
            <w:tcW w:w="1463" w:type="pct"/>
          </w:tcPr>
          <w:p w14:paraId="431273DD" w14:textId="28C7E1BE" w:rsidR="009E01D9" w:rsidRPr="005410D8" w:rsidRDefault="009E01D9" w:rsidP="009E01D9">
            <w:pPr>
              <w:pStyle w:val="TableText"/>
            </w:pPr>
            <w:r w:rsidRPr="005410D8">
              <w:t xml:space="preserve">Clearer statement of requirement. Refer to </w:t>
            </w:r>
            <w:r w:rsidR="00975831">
              <w:rPr>
                <w:b/>
                <w:bCs/>
              </w:rPr>
              <w:t>note</w:t>
            </w:r>
            <w:r w:rsidRPr="005410D8">
              <w:rPr>
                <w:b/>
                <w:bCs/>
              </w:rPr>
              <w:t xml:space="preserve"> 2</w:t>
            </w:r>
            <w:r w:rsidRPr="005410D8">
              <w:rPr>
                <w:i/>
                <w:iCs/>
              </w:rPr>
              <w:t>.</w:t>
            </w:r>
          </w:p>
        </w:tc>
      </w:tr>
      <w:tr w:rsidR="009E01D9" w:rsidRPr="00EF075E" w14:paraId="43C2D746" w14:textId="77777777" w:rsidTr="00A25781">
        <w:tc>
          <w:tcPr>
            <w:tcW w:w="1324" w:type="pct"/>
            <w:vMerge/>
            <w:shd w:val="clear" w:color="auto" w:fill="auto"/>
            <w:vAlign w:val="center"/>
          </w:tcPr>
          <w:p w14:paraId="622BE97A" w14:textId="77777777" w:rsidR="009E01D9" w:rsidRPr="00EF075E" w:rsidRDefault="009E01D9" w:rsidP="009E01D9">
            <w:pPr>
              <w:pStyle w:val="TableText"/>
              <w:rPr>
                <w:b/>
                <w:bCs/>
              </w:rPr>
            </w:pPr>
          </w:p>
        </w:tc>
        <w:tc>
          <w:tcPr>
            <w:tcW w:w="2213" w:type="pct"/>
            <w:shd w:val="clear" w:color="auto" w:fill="auto"/>
          </w:tcPr>
          <w:p w14:paraId="49A8DEC3" w14:textId="561AE31E" w:rsidR="009E01D9" w:rsidRPr="00EF075E" w:rsidRDefault="00EF075E" w:rsidP="009E01D9">
            <w:pPr>
              <w:pStyle w:val="TableText"/>
            </w:pPr>
            <w:r w:rsidRPr="00EF075E">
              <w:t>The HSL is now responsible for ensuring the proper discharge of a patient who has undergone therapy. Clause 21(a) requires that a patient is not discharged without the approval of the radiation practitioner and clause 21(b) requires that advice from a medical physics expert be obtained where needed.</w:t>
            </w:r>
          </w:p>
        </w:tc>
        <w:tc>
          <w:tcPr>
            <w:tcW w:w="1463" w:type="pct"/>
          </w:tcPr>
          <w:p w14:paraId="6E76B8D4" w14:textId="77777777" w:rsidR="009E01D9" w:rsidRPr="00EF075E" w:rsidRDefault="009E01D9" w:rsidP="009E01D9">
            <w:pPr>
              <w:pStyle w:val="TableText"/>
            </w:pPr>
            <w:r w:rsidRPr="00EF075E">
              <w:t>Improved alignment with the Act.</w:t>
            </w:r>
          </w:p>
          <w:p w14:paraId="5B9D7C9F" w14:textId="0B47BE10" w:rsidR="009E01D9" w:rsidRPr="00EF075E" w:rsidRDefault="009E01D9" w:rsidP="009E01D9">
            <w:pPr>
              <w:pStyle w:val="TableText"/>
            </w:pPr>
            <w:r w:rsidRPr="00EF075E">
              <w:t xml:space="preserve">Refer to </w:t>
            </w:r>
            <w:r w:rsidR="00975831">
              <w:rPr>
                <w:b/>
                <w:bCs/>
              </w:rPr>
              <w:t>note</w:t>
            </w:r>
            <w:r w:rsidRPr="00EF075E">
              <w:rPr>
                <w:b/>
                <w:bCs/>
              </w:rPr>
              <w:t xml:space="preserve"> 2</w:t>
            </w:r>
            <w:r w:rsidRPr="00EF075E">
              <w:t>.</w:t>
            </w:r>
          </w:p>
        </w:tc>
      </w:tr>
      <w:tr w:rsidR="009E01D9" w:rsidRPr="00475EAB" w14:paraId="7C07F18B" w14:textId="77777777" w:rsidTr="00A25781">
        <w:tc>
          <w:tcPr>
            <w:tcW w:w="1324" w:type="pct"/>
            <w:vMerge/>
            <w:shd w:val="clear" w:color="auto" w:fill="auto"/>
            <w:vAlign w:val="center"/>
          </w:tcPr>
          <w:p w14:paraId="24C96768" w14:textId="77777777" w:rsidR="009E01D9" w:rsidRDefault="009E01D9" w:rsidP="009E01D9">
            <w:pPr>
              <w:pStyle w:val="TableText"/>
              <w:rPr>
                <w:b/>
                <w:bCs/>
              </w:rPr>
            </w:pPr>
          </w:p>
        </w:tc>
        <w:tc>
          <w:tcPr>
            <w:tcW w:w="2213" w:type="pct"/>
            <w:shd w:val="clear" w:color="auto" w:fill="auto"/>
          </w:tcPr>
          <w:p w14:paraId="48ECF42D" w14:textId="4DC58FB6" w:rsidR="009E01D9" w:rsidRDefault="009E01D9" w:rsidP="009E01D9">
            <w:pPr>
              <w:pStyle w:val="TableText"/>
            </w:pPr>
            <w:r>
              <w:t>The term ‘carer and comforter’ has been added.</w:t>
            </w:r>
          </w:p>
          <w:p w14:paraId="5D90C57D" w14:textId="79024B4B" w:rsidR="009E01D9" w:rsidRDefault="009E01D9" w:rsidP="009E01D9">
            <w:pPr>
              <w:pStyle w:val="TableText"/>
            </w:pPr>
            <w:r>
              <w:t>Clause 21(d) requires that a person acting as a ‘carer and comforter’ understand the radiation risks involved and agree to act as ‘carer and comforter’.</w:t>
            </w:r>
          </w:p>
        </w:tc>
        <w:tc>
          <w:tcPr>
            <w:tcW w:w="1463" w:type="pct"/>
          </w:tcPr>
          <w:p w14:paraId="15F53BE8" w14:textId="425A0641" w:rsidR="009E01D9" w:rsidRDefault="009E01D9" w:rsidP="009E01D9">
            <w:pPr>
              <w:pStyle w:val="TableText"/>
            </w:pPr>
            <w:r>
              <w:t xml:space="preserve">Refer to </w:t>
            </w:r>
            <w:r w:rsidR="00975831">
              <w:rPr>
                <w:b/>
                <w:bCs/>
              </w:rPr>
              <w:t>note</w:t>
            </w:r>
            <w:r w:rsidRPr="0003310A">
              <w:rPr>
                <w:b/>
                <w:bCs/>
              </w:rPr>
              <w:t xml:space="preserve"> 2</w:t>
            </w:r>
            <w:r>
              <w:t>.</w:t>
            </w:r>
          </w:p>
        </w:tc>
      </w:tr>
      <w:tr w:rsidR="009E01D9" w:rsidRPr="00475EAB" w14:paraId="10E5BA00" w14:textId="77777777" w:rsidTr="00A25781">
        <w:tc>
          <w:tcPr>
            <w:tcW w:w="1324" w:type="pct"/>
            <w:vMerge/>
            <w:shd w:val="clear" w:color="auto" w:fill="auto"/>
            <w:vAlign w:val="center"/>
          </w:tcPr>
          <w:p w14:paraId="57CA5F86" w14:textId="77777777" w:rsidR="009E01D9" w:rsidRDefault="009E01D9" w:rsidP="009E01D9">
            <w:pPr>
              <w:pStyle w:val="TableText"/>
              <w:rPr>
                <w:b/>
                <w:bCs/>
              </w:rPr>
            </w:pPr>
          </w:p>
        </w:tc>
        <w:tc>
          <w:tcPr>
            <w:tcW w:w="2213" w:type="pct"/>
            <w:shd w:val="clear" w:color="auto" w:fill="auto"/>
          </w:tcPr>
          <w:p w14:paraId="09BF859A" w14:textId="2913CC28" w:rsidR="009E01D9" w:rsidRDefault="009E01D9" w:rsidP="009E01D9">
            <w:pPr>
              <w:pStyle w:val="TableText"/>
            </w:pPr>
            <w:r>
              <w:t>Clause 21(e) requires that, as far as practicable, a dose constraint of 5 mSv as a maximum be applied to an adult acting as a carer and comforter and the dose constraint be less than the public dose limit for children and ca</w:t>
            </w:r>
            <w:r w:rsidR="00A3138D">
              <w:t>s</w:t>
            </w:r>
            <w:r>
              <w:t>ual visitors.</w:t>
            </w:r>
          </w:p>
        </w:tc>
        <w:tc>
          <w:tcPr>
            <w:tcW w:w="1463" w:type="pct"/>
          </w:tcPr>
          <w:p w14:paraId="13752A55" w14:textId="5375805C" w:rsidR="009E01D9" w:rsidRDefault="009E01D9" w:rsidP="009E01D9">
            <w:pPr>
              <w:pStyle w:val="TableText"/>
            </w:pPr>
            <w:r>
              <w:t xml:space="preserve">Refer to </w:t>
            </w:r>
            <w:r w:rsidR="00975831">
              <w:rPr>
                <w:b/>
                <w:bCs/>
              </w:rPr>
              <w:t>note</w:t>
            </w:r>
            <w:r w:rsidRPr="0003310A">
              <w:rPr>
                <w:b/>
                <w:bCs/>
              </w:rPr>
              <w:t xml:space="preserve"> 2</w:t>
            </w:r>
            <w:r>
              <w:t>.</w:t>
            </w:r>
          </w:p>
        </w:tc>
      </w:tr>
      <w:tr w:rsidR="009E01D9" w:rsidRPr="00475EAB" w14:paraId="7B9357C6" w14:textId="77777777" w:rsidTr="00A25781">
        <w:tc>
          <w:tcPr>
            <w:tcW w:w="1324" w:type="pct"/>
            <w:vMerge/>
            <w:shd w:val="clear" w:color="auto" w:fill="auto"/>
            <w:vAlign w:val="center"/>
          </w:tcPr>
          <w:p w14:paraId="581D518A" w14:textId="77777777" w:rsidR="009E01D9" w:rsidRDefault="009E01D9" w:rsidP="009E01D9">
            <w:pPr>
              <w:pStyle w:val="TableText"/>
              <w:rPr>
                <w:b/>
                <w:bCs/>
              </w:rPr>
            </w:pPr>
          </w:p>
        </w:tc>
        <w:tc>
          <w:tcPr>
            <w:tcW w:w="2213" w:type="pct"/>
            <w:shd w:val="clear" w:color="auto" w:fill="auto"/>
          </w:tcPr>
          <w:p w14:paraId="77CDF62B" w14:textId="5D458E51" w:rsidR="009E01D9" w:rsidRDefault="009E01D9" w:rsidP="009E01D9">
            <w:pPr>
              <w:pStyle w:val="TableText"/>
            </w:pPr>
            <w:r>
              <w:t xml:space="preserve">‘Appendix 3: Release of Patients’ has been deleted. Clause 21(f) requires that, as far as practicable, the patient </w:t>
            </w:r>
            <w:r w:rsidR="00FD0865">
              <w:t xml:space="preserve">is </w:t>
            </w:r>
            <w:r>
              <w:t>not discharged unless the activity of iodine-131 retained by that patient at the time of discharge is below 1.2 GBq.</w:t>
            </w:r>
          </w:p>
        </w:tc>
        <w:tc>
          <w:tcPr>
            <w:tcW w:w="1463" w:type="pct"/>
          </w:tcPr>
          <w:p w14:paraId="3369C410" w14:textId="2DF6FBAE" w:rsidR="009E01D9" w:rsidRPr="00475EAB" w:rsidRDefault="009E01D9" w:rsidP="009E01D9">
            <w:pPr>
              <w:pStyle w:val="TableText"/>
            </w:pPr>
            <w:r>
              <w:t xml:space="preserve">Refer to </w:t>
            </w:r>
            <w:r w:rsidR="00975831">
              <w:rPr>
                <w:b/>
                <w:bCs/>
              </w:rPr>
              <w:t>note</w:t>
            </w:r>
            <w:r w:rsidRPr="0003310A">
              <w:rPr>
                <w:b/>
                <w:bCs/>
              </w:rPr>
              <w:t xml:space="preserve"> 2</w:t>
            </w:r>
            <w:r>
              <w:t>.</w:t>
            </w:r>
          </w:p>
        </w:tc>
      </w:tr>
      <w:tr w:rsidR="009E01D9" w:rsidRPr="00475EAB" w14:paraId="0E3E8888" w14:textId="77777777" w:rsidTr="00A25781">
        <w:tc>
          <w:tcPr>
            <w:tcW w:w="1324" w:type="pct"/>
            <w:vMerge w:val="restart"/>
            <w:shd w:val="clear" w:color="auto" w:fill="auto"/>
            <w:vAlign w:val="center"/>
          </w:tcPr>
          <w:p w14:paraId="5E9B4F73" w14:textId="77777777" w:rsidR="009E01D9" w:rsidRPr="00475EAB" w:rsidRDefault="009E01D9" w:rsidP="009E01D9">
            <w:pPr>
              <w:pStyle w:val="TableText"/>
              <w:rPr>
                <w:b/>
                <w:bCs/>
              </w:rPr>
            </w:pPr>
            <w:r>
              <w:rPr>
                <w:b/>
                <w:bCs/>
              </w:rPr>
              <w:t xml:space="preserve">Radiation practitioner </w:t>
            </w:r>
          </w:p>
          <w:p w14:paraId="0743C6D2" w14:textId="77777777" w:rsidR="009E01D9" w:rsidRPr="00475EAB" w:rsidRDefault="009E01D9" w:rsidP="009E01D9">
            <w:pPr>
              <w:pStyle w:val="TableText"/>
              <w:rPr>
                <w:b/>
                <w:bCs/>
              </w:rPr>
            </w:pPr>
            <w:r w:rsidRPr="00475EAB">
              <w:rPr>
                <w:b/>
                <w:bCs/>
              </w:rPr>
              <w:t>Clause 2</w:t>
            </w:r>
            <w:r>
              <w:rPr>
                <w:b/>
                <w:bCs/>
              </w:rPr>
              <w:t>2</w:t>
            </w:r>
            <w:r w:rsidRPr="00475EAB">
              <w:rPr>
                <w:b/>
                <w:bCs/>
              </w:rPr>
              <w:t xml:space="preserve"> </w:t>
            </w:r>
          </w:p>
          <w:p w14:paraId="4E2F2A2C" w14:textId="1C0A4CBC" w:rsidR="009E01D9" w:rsidRPr="00475EAB" w:rsidRDefault="009E01D9" w:rsidP="009E01D9">
            <w:pPr>
              <w:pStyle w:val="TableText"/>
            </w:pPr>
            <w:r w:rsidRPr="00475EAB">
              <w:t xml:space="preserve">(Clause </w:t>
            </w:r>
            <w:r>
              <w:t>19</w:t>
            </w:r>
            <w:r w:rsidRPr="00475EAB">
              <w:t xml:space="preserve"> of </w:t>
            </w:r>
            <w:r>
              <w:t>the current C2</w:t>
            </w:r>
            <w:r w:rsidRPr="00475EAB">
              <w:t>)</w:t>
            </w:r>
          </w:p>
        </w:tc>
        <w:tc>
          <w:tcPr>
            <w:tcW w:w="2213" w:type="pct"/>
            <w:shd w:val="clear" w:color="auto" w:fill="auto"/>
          </w:tcPr>
          <w:p w14:paraId="0271C98F" w14:textId="6CBFD791" w:rsidR="009E01D9" w:rsidRPr="00475EAB" w:rsidRDefault="009E01D9" w:rsidP="009E01D9">
            <w:pPr>
              <w:pStyle w:val="TableText"/>
            </w:pPr>
            <w:r w:rsidRPr="00475EAB">
              <w:t>Clause 2</w:t>
            </w:r>
            <w:r>
              <w:t>2</w:t>
            </w:r>
            <w:r w:rsidRPr="00475EAB">
              <w:t xml:space="preserve">(a) </w:t>
            </w:r>
            <w:r w:rsidRPr="003A6BD1">
              <w:t xml:space="preserve">has replaced </w:t>
            </w:r>
            <w:r w:rsidRPr="00475EAB">
              <w:t xml:space="preserve">clause </w:t>
            </w:r>
            <w:r>
              <w:t>19</w:t>
            </w:r>
            <w:r w:rsidRPr="00475EAB">
              <w:t>(a).</w:t>
            </w:r>
          </w:p>
        </w:tc>
        <w:tc>
          <w:tcPr>
            <w:tcW w:w="1463" w:type="pct"/>
          </w:tcPr>
          <w:p w14:paraId="624E11D1" w14:textId="77777777" w:rsidR="009E01D9" w:rsidRPr="00475EAB" w:rsidRDefault="009E01D9" w:rsidP="009E01D9">
            <w:pPr>
              <w:pStyle w:val="TableText"/>
            </w:pPr>
            <w:r w:rsidRPr="00475EAB">
              <w:t xml:space="preserve">Improved alignment with </w:t>
            </w:r>
            <w:r>
              <w:t xml:space="preserve">the </w:t>
            </w:r>
            <w:r w:rsidRPr="00475EAB">
              <w:t>Act.</w:t>
            </w:r>
          </w:p>
          <w:p w14:paraId="680E78D6" w14:textId="77777777" w:rsidR="009E01D9" w:rsidRPr="00475EAB" w:rsidRDefault="009E01D9" w:rsidP="009E01D9">
            <w:pPr>
              <w:pStyle w:val="TableText"/>
            </w:pPr>
            <w:r w:rsidRPr="00475EAB">
              <w:t>Clearer statement of requirement.</w:t>
            </w:r>
          </w:p>
        </w:tc>
      </w:tr>
      <w:tr w:rsidR="009E01D9" w:rsidRPr="00475EAB" w14:paraId="648071C5" w14:textId="77777777" w:rsidTr="00A25781">
        <w:tc>
          <w:tcPr>
            <w:tcW w:w="1324" w:type="pct"/>
            <w:vMerge/>
            <w:shd w:val="clear" w:color="auto" w:fill="auto"/>
            <w:vAlign w:val="center"/>
          </w:tcPr>
          <w:p w14:paraId="10087445" w14:textId="77777777" w:rsidR="009E01D9" w:rsidRPr="00475EAB" w:rsidRDefault="009E01D9" w:rsidP="009E01D9">
            <w:pPr>
              <w:pStyle w:val="TableText"/>
            </w:pPr>
          </w:p>
        </w:tc>
        <w:tc>
          <w:tcPr>
            <w:tcW w:w="2213" w:type="pct"/>
            <w:shd w:val="clear" w:color="auto" w:fill="auto"/>
          </w:tcPr>
          <w:p w14:paraId="2F612AA6" w14:textId="0C1646AA" w:rsidR="009E01D9" w:rsidRPr="00475EAB" w:rsidRDefault="009E01D9" w:rsidP="009E01D9">
            <w:pPr>
              <w:pStyle w:val="TableText"/>
            </w:pPr>
            <w:r w:rsidRPr="00475EAB">
              <w:t>Clause 2</w:t>
            </w:r>
            <w:r>
              <w:t>2</w:t>
            </w:r>
            <w:r w:rsidRPr="00475EAB">
              <w:t xml:space="preserve">(b) </w:t>
            </w:r>
            <w:r w:rsidRPr="003A6BD1">
              <w:t xml:space="preserve">has replaced </w:t>
            </w:r>
            <w:r w:rsidRPr="00475EAB">
              <w:t xml:space="preserve">clause </w:t>
            </w:r>
            <w:r>
              <w:t>19</w:t>
            </w:r>
            <w:r w:rsidRPr="00475EAB">
              <w:t>(b).</w:t>
            </w:r>
          </w:p>
        </w:tc>
        <w:tc>
          <w:tcPr>
            <w:tcW w:w="1463" w:type="pct"/>
          </w:tcPr>
          <w:p w14:paraId="3DADE2E5" w14:textId="77777777" w:rsidR="009E01D9" w:rsidRPr="00475EAB" w:rsidRDefault="009E01D9" w:rsidP="009E01D9">
            <w:pPr>
              <w:pStyle w:val="TableText"/>
            </w:pPr>
            <w:r w:rsidRPr="00475EAB">
              <w:t xml:space="preserve">Improved alignment with </w:t>
            </w:r>
            <w:r>
              <w:t xml:space="preserve">the </w:t>
            </w:r>
            <w:r w:rsidRPr="00475EAB">
              <w:t>Act.</w:t>
            </w:r>
          </w:p>
          <w:p w14:paraId="52E634B2" w14:textId="77777777" w:rsidR="009E01D9" w:rsidRPr="00475EAB" w:rsidRDefault="009E01D9" w:rsidP="009E01D9">
            <w:pPr>
              <w:pStyle w:val="TableText"/>
            </w:pPr>
            <w:bookmarkStart w:id="24" w:name="_Hlk155952078"/>
            <w:r w:rsidRPr="00475EAB">
              <w:t>Clearer statement of requirement.</w:t>
            </w:r>
            <w:bookmarkEnd w:id="24"/>
          </w:p>
        </w:tc>
      </w:tr>
      <w:tr w:rsidR="009E01D9" w:rsidRPr="00475EAB" w14:paraId="0396C3D0" w14:textId="77777777" w:rsidTr="00A25781">
        <w:tc>
          <w:tcPr>
            <w:tcW w:w="1324" w:type="pct"/>
            <w:shd w:val="clear" w:color="auto" w:fill="auto"/>
            <w:vAlign w:val="center"/>
          </w:tcPr>
          <w:p w14:paraId="2E997BFE" w14:textId="29960BB9" w:rsidR="009E01D9" w:rsidRDefault="009E01D9" w:rsidP="009E01D9">
            <w:pPr>
              <w:pStyle w:val="TableText"/>
            </w:pPr>
            <w:r>
              <w:t>(Clause 23 of the current C2)</w:t>
            </w:r>
          </w:p>
        </w:tc>
        <w:tc>
          <w:tcPr>
            <w:tcW w:w="2213" w:type="pct"/>
            <w:shd w:val="clear" w:color="auto" w:fill="auto"/>
          </w:tcPr>
          <w:p w14:paraId="5136888D" w14:textId="77777777" w:rsidR="009E01D9" w:rsidRPr="00475EAB" w:rsidRDefault="009E01D9" w:rsidP="009E01D9">
            <w:pPr>
              <w:pStyle w:val="TableText"/>
            </w:pPr>
            <w:r>
              <w:t>This is now clause 21.</w:t>
            </w:r>
          </w:p>
        </w:tc>
        <w:tc>
          <w:tcPr>
            <w:tcW w:w="1463" w:type="pct"/>
          </w:tcPr>
          <w:p w14:paraId="34217BCA" w14:textId="77777777" w:rsidR="009E01D9" w:rsidRPr="00475EAB" w:rsidRDefault="009E01D9" w:rsidP="009E01D9">
            <w:pPr>
              <w:pStyle w:val="TableText"/>
            </w:pPr>
            <w:r w:rsidRPr="00475EAB">
              <w:t>Clearer statement of requirement.</w:t>
            </w:r>
          </w:p>
        </w:tc>
      </w:tr>
      <w:tr w:rsidR="009E01D9" w:rsidRPr="00475EAB" w14:paraId="5DB6A9F1" w14:textId="77777777" w:rsidTr="00A25781">
        <w:tc>
          <w:tcPr>
            <w:tcW w:w="1324" w:type="pct"/>
            <w:shd w:val="clear" w:color="auto" w:fill="auto"/>
            <w:vAlign w:val="center"/>
          </w:tcPr>
          <w:p w14:paraId="49E2A45B" w14:textId="308077FA" w:rsidR="009E01D9" w:rsidRPr="00B61B2E" w:rsidRDefault="009E01D9" w:rsidP="009E01D9">
            <w:pPr>
              <w:pStyle w:val="TableText"/>
            </w:pPr>
            <w:r>
              <w:t>(</w:t>
            </w:r>
            <w:r w:rsidRPr="00B61B2E">
              <w:t>Clause 2</w:t>
            </w:r>
            <w:r>
              <w:t>4</w:t>
            </w:r>
            <w:r w:rsidRPr="00B61B2E">
              <w:t xml:space="preserve"> of </w:t>
            </w:r>
            <w:r>
              <w:t xml:space="preserve">the current </w:t>
            </w:r>
            <w:r w:rsidRPr="00B61B2E">
              <w:t>C2</w:t>
            </w:r>
            <w:r>
              <w:t>)</w:t>
            </w:r>
          </w:p>
        </w:tc>
        <w:tc>
          <w:tcPr>
            <w:tcW w:w="2213" w:type="pct"/>
            <w:shd w:val="clear" w:color="auto" w:fill="auto"/>
          </w:tcPr>
          <w:p w14:paraId="16C80DD4" w14:textId="49E99DE6" w:rsidR="009E01D9" w:rsidRPr="00475EAB" w:rsidRDefault="009E01D9" w:rsidP="009E01D9">
            <w:pPr>
              <w:pStyle w:val="TableText"/>
            </w:pPr>
            <w:r w:rsidRPr="00475EAB">
              <w:t>Clause 2</w:t>
            </w:r>
            <w:r>
              <w:t>4</w:t>
            </w:r>
            <w:r w:rsidRPr="00475EAB">
              <w:t xml:space="preserve"> ‘Referring practitioner’ has been deleted.</w:t>
            </w:r>
          </w:p>
        </w:tc>
        <w:tc>
          <w:tcPr>
            <w:tcW w:w="1463" w:type="pct"/>
          </w:tcPr>
          <w:p w14:paraId="13C73E88" w14:textId="6DEC4652" w:rsidR="009E01D9" w:rsidRPr="00475EAB" w:rsidRDefault="009E01D9" w:rsidP="009E01D9">
            <w:pPr>
              <w:pStyle w:val="TableText"/>
            </w:pPr>
            <w:r w:rsidRPr="00475EAB">
              <w:t xml:space="preserve">Refer to </w:t>
            </w:r>
            <w:r w:rsidR="00975831">
              <w:rPr>
                <w:b/>
                <w:bCs/>
              </w:rPr>
              <w:t>note</w:t>
            </w:r>
            <w:r w:rsidRPr="00475EAB">
              <w:rPr>
                <w:b/>
                <w:bCs/>
              </w:rPr>
              <w:t xml:space="preserve"> </w:t>
            </w:r>
            <w:r>
              <w:rPr>
                <w:b/>
                <w:bCs/>
              </w:rPr>
              <w:t>3</w:t>
            </w:r>
            <w:r w:rsidRPr="00475EAB">
              <w:t>.</w:t>
            </w:r>
          </w:p>
        </w:tc>
      </w:tr>
      <w:tr w:rsidR="009E01D9" w:rsidRPr="00475EAB" w14:paraId="6334A75C" w14:textId="77777777" w:rsidTr="00A25781">
        <w:tc>
          <w:tcPr>
            <w:tcW w:w="1324" w:type="pct"/>
            <w:shd w:val="clear" w:color="auto" w:fill="auto"/>
            <w:vAlign w:val="center"/>
          </w:tcPr>
          <w:p w14:paraId="43A267C7" w14:textId="77777777" w:rsidR="009E01D9" w:rsidRPr="00A641DF" w:rsidRDefault="009E01D9" w:rsidP="009E01D9">
            <w:pPr>
              <w:pStyle w:val="TableText"/>
              <w:spacing w:after="0"/>
              <w:rPr>
                <w:b/>
                <w:bCs/>
              </w:rPr>
            </w:pPr>
            <w:r w:rsidRPr="00A641DF">
              <w:rPr>
                <w:b/>
                <w:bCs/>
              </w:rPr>
              <w:t>Manufacturer/supplier</w:t>
            </w:r>
          </w:p>
          <w:p w14:paraId="48742658" w14:textId="77777777" w:rsidR="009E01D9" w:rsidRDefault="009E01D9" w:rsidP="009E01D9">
            <w:pPr>
              <w:pStyle w:val="TableText"/>
              <w:spacing w:before="0" w:after="0"/>
              <w:rPr>
                <w:b/>
                <w:bCs/>
              </w:rPr>
            </w:pPr>
            <w:r w:rsidRPr="00A641DF">
              <w:rPr>
                <w:b/>
                <w:bCs/>
              </w:rPr>
              <w:t>Clause 2</w:t>
            </w:r>
            <w:r>
              <w:rPr>
                <w:b/>
                <w:bCs/>
              </w:rPr>
              <w:t>6</w:t>
            </w:r>
          </w:p>
          <w:p w14:paraId="2AEFCAC6" w14:textId="1545ECCA" w:rsidR="009E01D9" w:rsidRPr="00CE05F5" w:rsidRDefault="009E01D9" w:rsidP="009E01D9">
            <w:pPr>
              <w:pStyle w:val="TableText"/>
              <w:spacing w:before="0"/>
            </w:pPr>
            <w:r w:rsidRPr="00CE05F5">
              <w:t xml:space="preserve">(Clause 25 of </w:t>
            </w:r>
            <w:r>
              <w:t xml:space="preserve">the current </w:t>
            </w:r>
            <w:r w:rsidRPr="00CE05F5">
              <w:t>C2)</w:t>
            </w:r>
          </w:p>
        </w:tc>
        <w:tc>
          <w:tcPr>
            <w:tcW w:w="2213" w:type="pct"/>
            <w:shd w:val="clear" w:color="auto" w:fill="auto"/>
          </w:tcPr>
          <w:p w14:paraId="4C42C860" w14:textId="65DAA436" w:rsidR="009E01D9" w:rsidRPr="00475EAB" w:rsidRDefault="009E01D9" w:rsidP="009E01D9">
            <w:pPr>
              <w:pStyle w:val="TableText"/>
            </w:pPr>
            <w:r>
              <w:t>Clause 26 has replaced clause 25.</w:t>
            </w:r>
          </w:p>
        </w:tc>
        <w:tc>
          <w:tcPr>
            <w:tcW w:w="1463" w:type="pct"/>
          </w:tcPr>
          <w:p w14:paraId="390DD86D" w14:textId="77777777" w:rsidR="009E01D9" w:rsidRPr="00475EAB" w:rsidRDefault="009E01D9" w:rsidP="009E01D9">
            <w:pPr>
              <w:pStyle w:val="TableText"/>
            </w:pPr>
            <w:r w:rsidRPr="00475EAB">
              <w:t>Clearer statement of requirement.</w:t>
            </w:r>
          </w:p>
        </w:tc>
      </w:tr>
      <w:tr w:rsidR="00041540" w:rsidRPr="00475EAB" w14:paraId="715BE1ED" w14:textId="77777777" w:rsidTr="00A25781">
        <w:tc>
          <w:tcPr>
            <w:tcW w:w="1324" w:type="pct"/>
            <w:shd w:val="clear" w:color="auto" w:fill="auto"/>
            <w:vAlign w:val="center"/>
          </w:tcPr>
          <w:p w14:paraId="784A4C97" w14:textId="502FE154" w:rsidR="00041540" w:rsidRDefault="00041540" w:rsidP="00041540">
            <w:pPr>
              <w:pStyle w:val="TableText"/>
              <w:rPr>
                <w:b/>
                <w:bCs/>
              </w:rPr>
            </w:pPr>
            <w:r>
              <w:rPr>
                <w:b/>
                <w:bCs/>
              </w:rPr>
              <w:t xml:space="preserve">Appendix 1: </w:t>
            </w:r>
            <w:r w:rsidR="009225ED" w:rsidRPr="009225ED">
              <w:rPr>
                <w:b/>
                <w:bCs/>
              </w:rPr>
              <w:t>Cross-reference to Radiation Safety Act 2016</w:t>
            </w:r>
          </w:p>
        </w:tc>
        <w:tc>
          <w:tcPr>
            <w:tcW w:w="2213" w:type="pct"/>
            <w:shd w:val="clear" w:color="auto" w:fill="auto"/>
          </w:tcPr>
          <w:p w14:paraId="556924B5" w14:textId="3444B2DE" w:rsidR="00041540" w:rsidRDefault="00041540" w:rsidP="00041540">
            <w:pPr>
              <w:pStyle w:val="TableText"/>
            </w:pPr>
            <w:r>
              <w:t>Left blank.</w:t>
            </w:r>
          </w:p>
        </w:tc>
        <w:tc>
          <w:tcPr>
            <w:tcW w:w="1463" w:type="pct"/>
          </w:tcPr>
          <w:p w14:paraId="3DB2044D" w14:textId="689550AC" w:rsidR="00041540" w:rsidRPr="00475EAB" w:rsidRDefault="00041540" w:rsidP="00041540">
            <w:pPr>
              <w:pStyle w:val="TableText"/>
            </w:pPr>
            <w:r>
              <w:t xml:space="preserve">Feedback </w:t>
            </w:r>
            <w:r w:rsidR="009225ED">
              <w:t xml:space="preserve">is </w:t>
            </w:r>
            <w:r>
              <w:t xml:space="preserve">requested on the usefulness of Appendix 1. Refer to question number </w:t>
            </w:r>
            <w:r w:rsidR="009225ED">
              <w:t>17 in the Submission form for revised C2 2024.</w:t>
            </w:r>
          </w:p>
        </w:tc>
      </w:tr>
      <w:tr w:rsidR="00041540" w:rsidRPr="00475EAB" w14:paraId="55CAF4C9" w14:textId="77777777" w:rsidTr="00A25781">
        <w:tc>
          <w:tcPr>
            <w:tcW w:w="1324" w:type="pct"/>
            <w:shd w:val="clear" w:color="auto" w:fill="auto"/>
            <w:vAlign w:val="center"/>
          </w:tcPr>
          <w:p w14:paraId="7605657C" w14:textId="77777777" w:rsidR="00041540" w:rsidRDefault="00041540" w:rsidP="00041540">
            <w:pPr>
              <w:pStyle w:val="TableText"/>
              <w:rPr>
                <w:b/>
                <w:bCs/>
              </w:rPr>
            </w:pPr>
            <w:r>
              <w:rPr>
                <w:b/>
                <w:bCs/>
              </w:rPr>
              <w:t xml:space="preserve">Appendix 2: Training requirements for radiation safety officers </w:t>
            </w:r>
          </w:p>
          <w:p w14:paraId="481349EC" w14:textId="0FCD450D" w:rsidR="00041540" w:rsidRPr="00A641DF" w:rsidRDefault="00041540" w:rsidP="00041540">
            <w:pPr>
              <w:pStyle w:val="TableText"/>
              <w:rPr>
                <w:b/>
                <w:bCs/>
              </w:rPr>
            </w:pPr>
          </w:p>
        </w:tc>
        <w:tc>
          <w:tcPr>
            <w:tcW w:w="2213" w:type="pct"/>
            <w:shd w:val="clear" w:color="auto" w:fill="auto"/>
          </w:tcPr>
          <w:p w14:paraId="2707B096" w14:textId="0FDA9F89" w:rsidR="00041540" w:rsidRDefault="00041540" w:rsidP="00041540">
            <w:pPr>
              <w:pStyle w:val="TableText"/>
            </w:pPr>
            <w:r>
              <w:t>‘Appendix 2: Training requirements for radiation safety officers’ has replaced ‘Appendix 2: Training requirements’.</w:t>
            </w:r>
          </w:p>
        </w:tc>
        <w:tc>
          <w:tcPr>
            <w:tcW w:w="1463" w:type="pct"/>
          </w:tcPr>
          <w:p w14:paraId="6D0E39C4" w14:textId="77777777" w:rsidR="00041540" w:rsidRPr="00475EAB" w:rsidRDefault="00041540" w:rsidP="00041540">
            <w:pPr>
              <w:pStyle w:val="TableText"/>
            </w:pPr>
            <w:r w:rsidRPr="00475EAB">
              <w:t>Clearer statement of requirement.</w:t>
            </w:r>
          </w:p>
        </w:tc>
      </w:tr>
      <w:tr w:rsidR="00E43E18" w:rsidRPr="00475EAB" w14:paraId="58412303" w14:textId="77777777" w:rsidTr="00A25781">
        <w:tc>
          <w:tcPr>
            <w:tcW w:w="1324" w:type="pct"/>
            <w:shd w:val="clear" w:color="auto" w:fill="auto"/>
            <w:vAlign w:val="center"/>
          </w:tcPr>
          <w:p w14:paraId="7F50DC38" w14:textId="51903676" w:rsidR="00E43E18" w:rsidRPr="00E43E18" w:rsidRDefault="00E43E18" w:rsidP="00041540">
            <w:pPr>
              <w:pStyle w:val="TableText"/>
            </w:pPr>
            <w:r w:rsidRPr="00E43E18">
              <w:t>(Appendix 3 of the current C2)</w:t>
            </w:r>
          </w:p>
        </w:tc>
        <w:tc>
          <w:tcPr>
            <w:tcW w:w="2213" w:type="pct"/>
            <w:shd w:val="clear" w:color="auto" w:fill="auto"/>
          </w:tcPr>
          <w:p w14:paraId="5C1D575E" w14:textId="1B7B7F0A" w:rsidR="00E43E18" w:rsidRDefault="00E43E18" w:rsidP="00041540">
            <w:pPr>
              <w:pStyle w:val="TableText"/>
            </w:pPr>
            <w:r>
              <w:t>Appendix 3 ‘release of patients’ has been deleted.</w:t>
            </w:r>
          </w:p>
        </w:tc>
        <w:tc>
          <w:tcPr>
            <w:tcW w:w="1463" w:type="pct"/>
          </w:tcPr>
          <w:p w14:paraId="6CAD87D7" w14:textId="2B2D2B3F" w:rsidR="00E43E18" w:rsidRPr="00475EAB" w:rsidRDefault="00E43E18" w:rsidP="00041540">
            <w:pPr>
              <w:pStyle w:val="TableText"/>
            </w:pPr>
            <w:r>
              <w:t xml:space="preserve">Refer to </w:t>
            </w:r>
            <w:r w:rsidR="00975831">
              <w:rPr>
                <w:b/>
                <w:bCs/>
              </w:rPr>
              <w:t>note</w:t>
            </w:r>
            <w:r w:rsidRPr="0003310A">
              <w:rPr>
                <w:b/>
                <w:bCs/>
              </w:rPr>
              <w:t xml:space="preserve"> 2</w:t>
            </w:r>
            <w:r>
              <w:t>.</w:t>
            </w:r>
          </w:p>
        </w:tc>
      </w:tr>
      <w:bookmarkEnd w:id="19"/>
      <w:bookmarkEnd w:id="22"/>
    </w:tbl>
    <w:p w14:paraId="661DA21A" w14:textId="77777777" w:rsidR="00353229" w:rsidRPr="00475EAB" w:rsidRDefault="00353229" w:rsidP="00353229">
      <w:pPr>
        <w:rPr>
          <w:rStyle w:val="Hyperlink"/>
        </w:rPr>
      </w:pPr>
    </w:p>
    <w:p w14:paraId="2C94D868" w14:textId="1844EBC6" w:rsidR="00FD0865" w:rsidRDefault="00975831" w:rsidP="00353229">
      <w:pPr>
        <w:rPr>
          <w:b/>
          <w:bCs/>
          <w:szCs w:val="21"/>
        </w:rPr>
      </w:pPr>
      <w:bookmarkStart w:id="25" w:name="Note_1"/>
      <w:bookmarkStart w:id="26" w:name="_Hlk160614458"/>
      <w:bookmarkEnd w:id="25"/>
      <w:r>
        <w:rPr>
          <w:b/>
          <w:bCs/>
          <w:szCs w:val="21"/>
        </w:rPr>
        <w:t>Note</w:t>
      </w:r>
      <w:r w:rsidR="00353229" w:rsidRPr="00245C00">
        <w:rPr>
          <w:b/>
          <w:bCs/>
          <w:szCs w:val="21"/>
        </w:rPr>
        <w:t xml:space="preserve"> 1 </w:t>
      </w:r>
    </w:p>
    <w:p w14:paraId="5B4815F4" w14:textId="07C8742A" w:rsidR="00353229" w:rsidRPr="00245C00" w:rsidRDefault="00353229" w:rsidP="00353229">
      <w:pPr>
        <w:rPr>
          <w:szCs w:val="21"/>
        </w:rPr>
      </w:pPr>
      <w:r w:rsidRPr="00245C00">
        <w:rPr>
          <w:szCs w:val="21"/>
        </w:rPr>
        <w:t>Clause</w:t>
      </w:r>
      <w:r w:rsidR="009B3056" w:rsidRPr="00245C00">
        <w:rPr>
          <w:szCs w:val="21"/>
        </w:rPr>
        <w:t>s</w:t>
      </w:r>
      <w:r w:rsidRPr="00245C00">
        <w:rPr>
          <w:szCs w:val="21"/>
        </w:rPr>
        <w:t xml:space="preserve"> 6(j) </w:t>
      </w:r>
      <w:r w:rsidR="009B3056" w:rsidRPr="00245C00">
        <w:rPr>
          <w:szCs w:val="21"/>
        </w:rPr>
        <w:t xml:space="preserve">and 6(k) </w:t>
      </w:r>
      <w:r w:rsidR="00FD0865">
        <w:rPr>
          <w:szCs w:val="21"/>
        </w:rPr>
        <w:t xml:space="preserve">are </w:t>
      </w:r>
      <w:r w:rsidRPr="00245C00">
        <w:rPr>
          <w:szCs w:val="21"/>
        </w:rPr>
        <w:t>on the disposal of radioactive waste</w:t>
      </w:r>
      <w:r w:rsidR="00FD0865">
        <w:rPr>
          <w:szCs w:val="21"/>
        </w:rPr>
        <w:t xml:space="preserve">. </w:t>
      </w:r>
      <w:r w:rsidR="009B3056" w:rsidRPr="00245C00">
        <w:rPr>
          <w:szCs w:val="21"/>
        </w:rPr>
        <w:t>C</w:t>
      </w:r>
      <w:r w:rsidRPr="00245C00">
        <w:rPr>
          <w:szCs w:val="21"/>
        </w:rPr>
        <w:t xml:space="preserve">lause </w:t>
      </w:r>
      <w:r w:rsidR="009B3056" w:rsidRPr="00245C00">
        <w:rPr>
          <w:szCs w:val="21"/>
        </w:rPr>
        <w:t>6(j)</w:t>
      </w:r>
      <w:r w:rsidR="00465117" w:rsidRPr="00245C00">
        <w:rPr>
          <w:szCs w:val="21"/>
        </w:rPr>
        <w:t>(i)</w:t>
      </w:r>
      <w:r w:rsidR="009B3056" w:rsidRPr="00245C00">
        <w:rPr>
          <w:szCs w:val="21"/>
        </w:rPr>
        <w:t xml:space="preserve"> </w:t>
      </w:r>
      <w:r w:rsidRPr="00245C00">
        <w:rPr>
          <w:szCs w:val="21"/>
        </w:rPr>
        <w:t xml:space="preserve">has a new requirement for the HSL to dispose of radioactive waste following a waste management plan that ensures radiation protection and safety. This requirement aligns </w:t>
      </w:r>
      <w:r w:rsidRPr="00245C00">
        <w:rPr>
          <w:szCs w:val="21"/>
        </w:rPr>
        <w:lastRenderedPageBreak/>
        <w:t xml:space="preserve">with clause 8(c) of the revised C2 and </w:t>
      </w:r>
      <w:r w:rsidR="008D756C">
        <w:rPr>
          <w:szCs w:val="21"/>
        </w:rPr>
        <w:t>A</w:t>
      </w:r>
      <w:r w:rsidRPr="00245C00">
        <w:rPr>
          <w:szCs w:val="21"/>
        </w:rPr>
        <w:t>ppendix 3 of Code of Practice for Unsealed Radioactive Material</w:t>
      </w:r>
      <w:r w:rsidR="00975831">
        <w:rPr>
          <w:szCs w:val="21"/>
        </w:rPr>
        <w:t>: ORS C11</w:t>
      </w:r>
      <w:r w:rsidRPr="00245C00">
        <w:rPr>
          <w:szCs w:val="21"/>
        </w:rPr>
        <w:t>. Records of disposals are required by clause 17(k) of the revised C2.</w:t>
      </w:r>
    </w:p>
    <w:p w14:paraId="777F1A16" w14:textId="77777777" w:rsidR="00353229" w:rsidRPr="00245C00" w:rsidRDefault="00353229" w:rsidP="00353229">
      <w:pPr>
        <w:rPr>
          <w:szCs w:val="21"/>
        </w:rPr>
      </w:pPr>
    </w:p>
    <w:p w14:paraId="555A0409" w14:textId="4D590FBD" w:rsidR="00465117" w:rsidRPr="00245C00" w:rsidRDefault="00465117" w:rsidP="00465117">
      <w:pPr>
        <w:rPr>
          <w:szCs w:val="21"/>
        </w:rPr>
      </w:pPr>
      <w:r w:rsidRPr="00245C00">
        <w:rPr>
          <w:szCs w:val="21"/>
        </w:rPr>
        <w:t>Clause 6(j)(ii) has a new requirement that disposal limits must be within any limits</w:t>
      </w:r>
      <w:r w:rsidR="008D756C">
        <w:rPr>
          <w:szCs w:val="21"/>
        </w:rPr>
        <w:t xml:space="preserve"> </w:t>
      </w:r>
      <w:r w:rsidRPr="00245C00">
        <w:rPr>
          <w:szCs w:val="21"/>
        </w:rPr>
        <w:t xml:space="preserve">given on a source licence. The Director may apply such limits as a condition on a source licence </w:t>
      </w:r>
      <w:r w:rsidR="00FD0865">
        <w:rPr>
          <w:szCs w:val="21"/>
        </w:rPr>
        <w:t xml:space="preserve">under </w:t>
      </w:r>
      <w:hyperlink r:id="rId36" w:history="1">
        <w:r w:rsidRPr="00245C00">
          <w:rPr>
            <w:rStyle w:val="Hyperlink"/>
            <w:szCs w:val="21"/>
          </w:rPr>
          <w:t>section 19(2)</w:t>
        </w:r>
      </w:hyperlink>
      <w:r w:rsidRPr="00245C00">
        <w:rPr>
          <w:szCs w:val="21"/>
        </w:rPr>
        <w:t xml:space="preserve"> of the Act.</w:t>
      </w:r>
    </w:p>
    <w:p w14:paraId="7FA34C62" w14:textId="77777777" w:rsidR="00465117" w:rsidRPr="00245C00" w:rsidRDefault="00465117" w:rsidP="00465117">
      <w:pPr>
        <w:rPr>
          <w:szCs w:val="21"/>
        </w:rPr>
      </w:pPr>
    </w:p>
    <w:p w14:paraId="59424558" w14:textId="5E58A8E4" w:rsidR="0068063C" w:rsidRPr="00245C00" w:rsidRDefault="009B3056" w:rsidP="0068063C">
      <w:pPr>
        <w:rPr>
          <w:rFonts w:cs="Segoe UI"/>
          <w:szCs w:val="21"/>
        </w:rPr>
      </w:pPr>
      <w:r w:rsidRPr="00245C00">
        <w:rPr>
          <w:szCs w:val="21"/>
        </w:rPr>
        <w:t>Clause 6(k) has o</w:t>
      </w:r>
      <w:r w:rsidR="00353229" w:rsidRPr="00245C00">
        <w:rPr>
          <w:szCs w:val="21"/>
        </w:rPr>
        <w:t>ptions for disposal of radioactive waste</w:t>
      </w:r>
      <w:r w:rsidR="00465117" w:rsidRPr="00245C00">
        <w:rPr>
          <w:szCs w:val="21"/>
        </w:rPr>
        <w:t xml:space="preserve"> that is not a sealed radioactive source</w:t>
      </w:r>
      <w:r w:rsidR="00353229" w:rsidRPr="00245C00">
        <w:rPr>
          <w:szCs w:val="21"/>
        </w:rPr>
        <w:t xml:space="preserve">. </w:t>
      </w:r>
      <w:r w:rsidR="00465117" w:rsidRPr="00245C00">
        <w:rPr>
          <w:szCs w:val="21"/>
        </w:rPr>
        <w:t xml:space="preserve">A radionuclide generator is not considered to be a sealed radioactive source. </w:t>
      </w:r>
      <w:r w:rsidR="007D5DBF" w:rsidRPr="00245C00">
        <w:rPr>
          <w:szCs w:val="21"/>
        </w:rPr>
        <w:t>S</w:t>
      </w:r>
      <w:r w:rsidR="0068063C" w:rsidRPr="00245C00">
        <w:rPr>
          <w:rFonts w:cs="Segoe UI"/>
          <w:szCs w:val="21"/>
        </w:rPr>
        <w:t xml:space="preserve">torage for decay should </w:t>
      </w:r>
      <w:r w:rsidR="00A25781" w:rsidRPr="00245C00">
        <w:rPr>
          <w:rFonts w:cs="Segoe UI"/>
          <w:szCs w:val="21"/>
        </w:rPr>
        <w:t xml:space="preserve">continue until radiation levels </w:t>
      </w:r>
      <w:r w:rsidR="0068063C" w:rsidRPr="00245C00">
        <w:rPr>
          <w:rFonts w:cs="Segoe UI"/>
          <w:szCs w:val="21"/>
        </w:rPr>
        <w:t>measured are at or near to background levels</w:t>
      </w:r>
      <w:r w:rsidR="007D5DBF" w:rsidRPr="00245C00">
        <w:rPr>
          <w:rFonts w:cs="Segoe UI"/>
          <w:szCs w:val="21"/>
        </w:rPr>
        <w:t xml:space="preserve"> given the short half-lives of the radionuclides </w:t>
      </w:r>
      <w:r w:rsidR="008D756C">
        <w:rPr>
          <w:rFonts w:cs="Segoe UI"/>
          <w:szCs w:val="21"/>
        </w:rPr>
        <w:t>involved</w:t>
      </w:r>
      <w:r w:rsidR="0068063C" w:rsidRPr="00245C00">
        <w:rPr>
          <w:rFonts w:cs="Segoe UI"/>
          <w:szCs w:val="21"/>
        </w:rPr>
        <w:t>.</w:t>
      </w:r>
    </w:p>
    <w:p w14:paraId="7C3330D5" w14:textId="77777777" w:rsidR="00353229" w:rsidRPr="00245C00" w:rsidRDefault="00353229" w:rsidP="00353229">
      <w:pPr>
        <w:rPr>
          <w:szCs w:val="21"/>
        </w:rPr>
      </w:pPr>
    </w:p>
    <w:p w14:paraId="02F302D4" w14:textId="0C04E19D" w:rsidR="00FD0865" w:rsidRDefault="00975831" w:rsidP="00353229">
      <w:pPr>
        <w:rPr>
          <w:b/>
          <w:bCs/>
          <w:szCs w:val="21"/>
        </w:rPr>
      </w:pPr>
      <w:bookmarkStart w:id="27" w:name="Note_2"/>
      <w:bookmarkEnd w:id="27"/>
      <w:r>
        <w:rPr>
          <w:b/>
          <w:bCs/>
          <w:szCs w:val="21"/>
        </w:rPr>
        <w:t>Note</w:t>
      </w:r>
      <w:r w:rsidR="00353229" w:rsidRPr="00245C00">
        <w:rPr>
          <w:b/>
          <w:bCs/>
          <w:szCs w:val="21"/>
        </w:rPr>
        <w:t xml:space="preserve"> 2</w:t>
      </w:r>
    </w:p>
    <w:p w14:paraId="41C3CE39" w14:textId="285919F1" w:rsidR="00353229" w:rsidRPr="00245C00" w:rsidRDefault="00353229" w:rsidP="00353229">
      <w:pPr>
        <w:rPr>
          <w:szCs w:val="21"/>
        </w:rPr>
      </w:pPr>
      <w:r w:rsidRPr="00245C00">
        <w:rPr>
          <w:szCs w:val="21"/>
        </w:rPr>
        <w:t>Clause 21</w:t>
      </w:r>
      <w:r w:rsidR="00FD0865">
        <w:rPr>
          <w:szCs w:val="21"/>
        </w:rPr>
        <w:t xml:space="preserve"> is for the </w:t>
      </w:r>
      <w:r w:rsidRPr="00245C00">
        <w:rPr>
          <w:szCs w:val="21"/>
        </w:rPr>
        <w:t>‘Discharge of a patient who has undergone therapy’</w:t>
      </w:r>
      <w:r w:rsidR="00FD0865">
        <w:rPr>
          <w:szCs w:val="21"/>
        </w:rPr>
        <w:t>.</w:t>
      </w:r>
      <w:r w:rsidR="00A3138D">
        <w:rPr>
          <w:szCs w:val="21"/>
        </w:rPr>
        <w:t xml:space="preserve"> </w:t>
      </w:r>
      <w:r w:rsidRPr="00245C00">
        <w:rPr>
          <w:szCs w:val="21"/>
        </w:rPr>
        <w:t xml:space="preserve">Assigning the responsibility for the discharge of a patient to the HSL </w:t>
      </w:r>
      <w:r w:rsidR="00454CB0">
        <w:rPr>
          <w:szCs w:val="21"/>
        </w:rPr>
        <w:t xml:space="preserve">better </w:t>
      </w:r>
      <w:r w:rsidRPr="00245C00">
        <w:rPr>
          <w:szCs w:val="21"/>
        </w:rPr>
        <w:t xml:space="preserve">aligns </w:t>
      </w:r>
      <w:r w:rsidR="00E2102F" w:rsidRPr="00245C00">
        <w:rPr>
          <w:szCs w:val="21"/>
        </w:rPr>
        <w:t xml:space="preserve">the </w:t>
      </w:r>
      <w:r w:rsidRPr="00245C00">
        <w:rPr>
          <w:szCs w:val="21"/>
        </w:rPr>
        <w:t xml:space="preserve">revised C2 with </w:t>
      </w:r>
      <w:hyperlink r:id="rId37" w:history="1">
        <w:r w:rsidRPr="00245C00">
          <w:rPr>
            <w:rStyle w:val="Hyperlink"/>
            <w:szCs w:val="21"/>
          </w:rPr>
          <w:t>section 2</w:t>
        </w:r>
        <w:r w:rsidR="00025256" w:rsidRPr="00245C00">
          <w:rPr>
            <w:rStyle w:val="Hyperlink"/>
            <w:szCs w:val="21"/>
          </w:rPr>
          <w:t>0</w:t>
        </w:r>
        <w:r w:rsidRPr="00245C00">
          <w:rPr>
            <w:rStyle w:val="Hyperlink"/>
            <w:szCs w:val="21"/>
          </w:rPr>
          <w:t>(1)</w:t>
        </w:r>
      </w:hyperlink>
      <w:r w:rsidRPr="00245C00">
        <w:rPr>
          <w:szCs w:val="21"/>
        </w:rPr>
        <w:t xml:space="preserve"> of </w:t>
      </w:r>
      <w:r w:rsidR="00825834" w:rsidRPr="00245C00">
        <w:rPr>
          <w:szCs w:val="21"/>
        </w:rPr>
        <w:t xml:space="preserve">the </w:t>
      </w:r>
      <w:r w:rsidRPr="00245C00">
        <w:rPr>
          <w:szCs w:val="21"/>
        </w:rPr>
        <w:t>Act. This states that ‘The holder of a source licence is responsible at all times for the management and control of each radiation source to which the licence applies.’</w:t>
      </w:r>
    </w:p>
    <w:p w14:paraId="0FCB432B" w14:textId="77777777" w:rsidR="00353229" w:rsidRPr="00245C00" w:rsidRDefault="00353229" w:rsidP="00353229">
      <w:pPr>
        <w:rPr>
          <w:szCs w:val="21"/>
        </w:rPr>
      </w:pPr>
    </w:p>
    <w:p w14:paraId="03DC6FAA" w14:textId="5A5E4801" w:rsidR="00353229" w:rsidRPr="00245C00" w:rsidRDefault="00353229" w:rsidP="00353229">
      <w:pPr>
        <w:rPr>
          <w:szCs w:val="21"/>
        </w:rPr>
      </w:pPr>
      <w:r w:rsidRPr="00245C00">
        <w:rPr>
          <w:szCs w:val="21"/>
        </w:rPr>
        <w:t>The dose constraint of an effective dose of 5 mSv for an adult carer and comforter who is not a casual visitor is based on guidance from the International Atomic Energy Agency</w:t>
      </w:r>
      <w:r w:rsidR="00E70603" w:rsidRPr="00245C00">
        <w:rPr>
          <w:szCs w:val="21"/>
        </w:rPr>
        <w:t xml:space="preserve"> (IAEA)</w:t>
      </w:r>
      <w:r w:rsidRPr="00245C00">
        <w:rPr>
          <w:szCs w:val="21"/>
        </w:rPr>
        <w:t>.</w:t>
      </w:r>
      <w:r w:rsidR="00FE51AB" w:rsidRPr="00245C00">
        <w:rPr>
          <w:rStyle w:val="FootnoteReference"/>
          <w:szCs w:val="21"/>
        </w:rPr>
        <w:footnoteReference w:id="2"/>
      </w:r>
      <w:r w:rsidRPr="00245C00">
        <w:rPr>
          <w:szCs w:val="21"/>
        </w:rPr>
        <w:t xml:space="preserve"> The activity values in </w:t>
      </w:r>
      <w:r w:rsidR="00454CB0">
        <w:rPr>
          <w:szCs w:val="21"/>
        </w:rPr>
        <w:t>A</w:t>
      </w:r>
      <w:r w:rsidRPr="00245C00">
        <w:rPr>
          <w:szCs w:val="21"/>
        </w:rPr>
        <w:t xml:space="preserve">ppendix 2 of </w:t>
      </w:r>
      <w:r w:rsidR="00454CB0">
        <w:rPr>
          <w:szCs w:val="21"/>
        </w:rPr>
        <w:t xml:space="preserve">current </w:t>
      </w:r>
      <w:r w:rsidRPr="00245C00">
        <w:rPr>
          <w:szCs w:val="21"/>
        </w:rPr>
        <w:t xml:space="preserve">C2 are based on the maximally exposed individual not being likely to exceed an effective dose of 5 mSv. Appendix </w:t>
      </w:r>
      <w:r w:rsidR="00E61DC3" w:rsidRPr="00245C00">
        <w:rPr>
          <w:szCs w:val="21"/>
        </w:rPr>
        <w:t>3</w:t>
      </w:r>
      <w:r w:rsidRPr="00245C00">
        <w:rPr>
          <w:szCs w:val="21"/>
        </w:rPr>
        <w:t xml:space="preserve"> of </w:t>
      </w:r>
      <w:r w:rsidR="00454CB0">
        <w:rPr>
          <w:szCs w:val="21"/>
        </w:rPr>
        <w:t xml:space="preserve">current </w:t>
      </w:r>
      <w:r w:rsidRPr="00245C00">
        <w:rPr>
          <w:szCs w:val="21"/>
        </w:rPr>
        <w:t>C2 has been deleted in the revised C2. This allows individual circumstances to be fully considered</w:t>
      </w:r>
      <w:r w:rsidR="0068063C" w:rsidRPr="00245C00">
        <w:rPr>
          <w:szCs w:val="21"/>
        </w:rPr>
        <w:t xml:space="preserve">. For </w:t>
      </w:r>
      <w:r w:rsidRPr="00245C00">
        <w:rPr>
          <w:szCs w:val="21"/>
        </w:rPr>
        <w:t>instance</w:t>
      </w:r>
      <w:r w:rsidR="00A25781" w:rsidRPr="00245C00">
        <w:rPr>
          <w:szCs w:val="21"/>
        </w:rPr>
        <w:t>,</w:t>
      </w:r>
      <w:r w:rsidRPr="00245C00">
        <w:rPr>
          <w:szCs w:val="21"/>
        </w:rPr>
        <w:t xml:space="preserve"> in the case of </w:t>
      </w:r>
      <w:r w:rsidR="0068063C" w:rsidRPr="00245C00">
        <w:rPr>
          <w:szCs w:val="21"/>
        </w:rPr>
        <w:t>a parent</w:t>
      </w:r>
      <w:r w:rsidRPr="00245C00">
        <w:rPr>
          <w:szCs w:val="21"/>
        </w:rPr>
        <w:t xml:space="preserve"> attending </w:t>
      </w:r>
      <w:r w:rsidR="0068063C" w:rsidRPr="00245C00">
        <w:rPr>
          <w:szCs w:val="21"/>
        </w:rPr>
        <w:t xml:space="preserve">a </w:t>
      </w:r>
      <w:r w:rsidRPr="00245C00">
        <w:rPr>
          <w:szCs w:val="21"/>
        </w:rPr>
        <w:t xml:space="preserve">sick </w:t>
      </w:r>
      <w:r w:rsidR="0068063C" w:rsidRPr="00245C00">
        <w:rPr>
          <w:szCs w:val="21"/>
        </w:rPr>
        <w:t>child</w:t>
      </w:r>
      <w:r w:rsidRPr="00245C00">
        <w:rPr>
          <w:szCs w:val="21"/>
        </w:rPr>
        <w:t xml:space="preserve"> or </w:t>
      </w:r>
      <w:r w:rsidR="0068063C" w:rsidRPr="00245C00">
        <w:rPr>
          <w:szCs w:val="21"/>
        </w:rPr>
        <w:t>an adult</w:t>
      </w:r>
      <w:r w:rsidRPr="00245C00">
        <w:rPr>
          <w:szCs w:val="21"/>
        </w:rPr>
        <w:t xml:space="preserve"> over 60 years </w:t>
      </w:r>
      <w:r w:rsidR="00936D6C" w:rsidRPr="00245C00">
        <w:rPr>
          <w:szCs w:val="21"/>
        </w:rPr>
        <w:t>old</w:t>
      </w:r>
      <w:r w:rsidR="0068063C" w:rsidRPr="00245C00">
        <w:rPr>
          <w:szCs w:val="21"/>
        </w:rPr>
        <w:t xml:space="preserve"> who has agreed to act as a </w:t>
      </w:r>
      <w:r w:rsidR="00CB477A">
        <w:rPr>
          <w:szCs w:val="21"/>
        </w:rPr>
        <w:t xml:space="preserve">carer or </w:t>
      </w:r>
      <w:r w:rsidR="0068063C" w:rsidRPr="00245C00">
        <w:rPr>
          <w:szCs w:val="21"/>
        </w:rPr>
        <w:t>comforter</w:t>
      </w:r>
      <w:r w:rsidRPr="00245C00">
        <w:rPr>
          <w:szCs w:val="21"/>
        </w:rPr>
        <w:t>.</w:t>
      </w:r>
    </w:p>
    <w:p w14:paraId="3AB47239" w14:textId="77777777" w:rsidR="00353229" w:rsidRPr="00245C00" w:rsidRDefault="00353229" w:rsidP="00353229">
      <w:pPr>
        <w:rPr>
          <w:szCs w:val="21"/>
        </w:rPr>
      </w:pPr>
    </w:p>
    <w:p w14:paraId="2E7DBF43" w14:textId="0BE6EE72" w:rsidR="0068063C" w:rsidRPr="00245C00" w:rsidRDefault="0068063C" w:rsidP="0068063C">
      <w:pPr>
        <w:rPr>
          <w:rFonts w:cs="Segoe UI"/>
          <w:szCs w:val="21"/>
        </w:rPr>
      </w:pPr>
      <w:r w:rsidRPr="00245C00">
        <w:rPr>
          <w:rFonts w:cs="Segoe UI"/>
          <w:szCs w:val="21"/>
        </w:rPr>
        <w:t xml:space="preserve">In addition to the </w:t>
      </w:r>
      <w:r w:rsidR="00613ED7">
        <w:rPr>
          <w:rFonts w:cs="Segoe UI"/>
          <w:szCs w:val="21"/>
        </w:rPr>
        <w:t xml:space="preserve">effective </w:t>
      </w:r>
      <w:r w:rsidRPr="00245C00">
        <w:rPr>
          <w:rFonts w:cs="Segoe UI"/>
          <w:szCs w:val="21"/>
        </w:rPr>
        <w:t>dose constraint requirement of 5 mSv</w:t>
      </w:r>
      <w:r w:rsidR="00454CB0">
        <w:rPr>
          <w:rFonts w:cs="Segoe UI"/>
          <w:szCs w:val="21"/>
        </w:rPr>
        <w:t>,</w:t>
      </w:r>
      <w:r w:rsidRPr="00245C00">
        <w:rPr>
          <w:rFonts w:cs="Segoe UI"/>
          <w:szCs w:val="21"/>
        </w:rPr>
        <w:t xml:space="preserve"> </w:t>
      </w:r>
      <w:r w:rsidR="00454CB0">
        <w:rPr>
          <w:rFonts w:cs="Segoe UI"/>
          <w:szCs w:val="21"/>
        </w:rPr>
        <w:t xml:space="preserve">the HSL must </w:t>
      </w:r>
      <w:r w:rsidR="00454CB0" w:rsidRPr="00454CB0">
        <w:rPr>
          <w:rFonts w:cs="Segoe UI"/>
          <w:szCs w:val="21"/>
        </w:rPr>
        <w:t>ensur</w:t>
      </w:r>
      <w:r w:rsidR="00454CB0">
        <w:rPr>
          <w:rFonts w:cs="Segoe UI"/>
          <w:szCs w:val="21"/>
        </w:rPr>
        <w:t xml:space="preserve">e that </w:t>
      </w:r>
      <w:r w:rsidR="00454CB0" w:rsidRPr="00454CB0">
        <w:rPr>
          <w:rFonts w:cs="Segoe UI"/>
          <w:szCs w:val="21"/>
        </w:rPr>
        <w:t xml:space="preserve">the activity of iodine-131 retained by </w:t>
      </w:r>
      <w:r w:rsidR="00454CB0">
        <w:rPr>
          <w:rFonts w:cs="Segoe UI"/>
          <w:szCs w:val="21"/>
        </w:rPr>
        <w:t xml:space="preserve">the </w:t>
      </w:r>
      <w:r w:rsidR="00454CB0" w:rsidRPr="00454CB0">
        <w:rPr>
          <w:rFonts w:cs="Segoe UI"/>
          <w:szCs w:val="21"/>
        </w:rPr>
        <w:t>patient when the patient is discharged is below 1.2 giga-becquerel (GBq).</w:t>
      </w:r>
      <w:r w:rsidRPr="00245C00">
        <w:rPr>
          <w:rFonts w:cs="Segoe UI"/>
          <w:szCs w:val="21"/>
        </w:rPr>
        <w:t xml:space="preserve"> This recognises that the use of iodine-131 </w:t>
      </w:r>
      <w:r w:rsidR="00A25781" w:rsidRPr="00245C00">
        <w:rPr>
          <w:rFonts w:cs="Segoe UI"/>
          <w:szCs w:val="21"/>
        </w:rPr>
        <w:t xml:space="preserve">is </w:t>
      </w:r>
      <w:r w:rsidRPr="00245C00">
        <w:rPr>
          <w:rFonts w:cs="Segoe UI"/>
          <w:szCs w:val="21"/>
        </w:rPr>
        <w:t xml:space="preserve">likely to result in the highest exposures to carers and comforters and to the public. </w:t>
      </w:r>
    </w:p>
    <w:p w14:paraId="7B8E2E6D" w14:textId="77777777" w:rsidR="00353229" w:rsidRPr="00245C00" w:rsidRDefault="00353229" w:rsidP="00353229">
      <w:pPr>
        <w:rPr>
          <w:szCs w:val="21"/>
        </w:rPr>
      </w:pPr>
    </w:p>
    <w:p w14:paraId="2A3F42F4" w14:textId="4421685F" w:rsidR="00A3138D" w:rsidRDefault="00975831" w:rsidP="00353229">
      <w:pPr>
        <w:rPr>
          <w:b/>
          <w:bCs/>
          <w:szCs w:val="21"/>
        </w:rPr>
      </w:pPr>
      <w:bookmarkStart w:id="28" w:name="Note_3"/>
      <w:bookmarkEnd w:id="28"/>
      <w:r>
        <w:rPr>
          <w:b/>
          <w:bCs/>
          <w:szCs w:val="21"/>
        </w:rPr>
        <w:t>Note</w:t>
      </w:r>
      <w:r w:rsidR="00353229" w:rsidRPr="00245C00">
        <w:rPr>
          <w:b/>
          <w:bCs/>
          <w:szCs w:val="21"/>
        </w:rPr>
        <w:t xml:space="preserve"> 3</w:t>
      </w:r>
    </w:p>
    <w:p w14:paraId="3FD52CD3" w14:textId="3F24DF47" w:rsidR="0068063C" w:rsidRPr="00245C00" w:rsidRDefault="00A3138D" w:rsidP="0068063C">
      <w:pPr>
        <w:rPr>
          <w:rFonts w:cs="Segoe UI"/>
          <w:szCs w:val="21"/>
        </w:rPr>
      </w:pPr>
      <w:r>
        <w:rPr>
          <w:szCs w:val="21"/>
        </w:rPr>
        <w:t>C</w:t>
      </w:r>
      <w:r w:rsidR="00353229" w:rsidRPr="00245C00">
        <w:rPr>
          <w:szCs w:val="21"/>
        </w:rPr>
        <w:t>lause 2</w:t>
      </w:r>
      <w:r w:rsidR="00245C00">
        <w:rPr>
          <w:szCs w:val="21"/>
        </w:rPr>
        <w:t>4</w:t>
      </w:r>
      <w:r w:rsidR="00353229" w:rsidRPr="00245C00">
        <w:rPr>
          <w:szCs w:val="21"/>
        </w:rPr>
        <w:t xml:space="preserve"> ‘Referring practitioner’ of </w:t>
      </w:r>
      <w:r w:rsidR="00245C00">
        <w:rPr>
          <w:szCs w:val="21"/>
        </w:rPr>
        <w:t xml:space="preserve">current </w:t>
      </w:r>
      <w:r w:rsidR="00353229" w:rsidRPr="00245C00">
        <w:rPr>
          <w:szCs w:val="21"/>
        </w:rPr>
        <w:t>C2</w:t>
      </w:r>
      <w:r>
        <w:rPr>
          <w:szCs w:val="21"/>
        </w:rPr>
        <w:t xml:space="preserve"> has been deleted. </w:t>
      </w:r>
      <w:r w:rsidR="0068063C" w:rsidRPr="00245C00">
        <w:rPr>
          <w:rFonts w:cs="Segoe UI"/>
          <w:szCs w:val="21"/>
        </w:rPr>
        <w:t>Following section 5 of the Act, the Director has determined that making a request to the holder of a source licence for a radiological procedure does not constitute ‘dealing with’ a radiation source. This is because requesting a radiological examination does not constitute an activity or practice involving a radiation source such as management, control or use.</w:t>
      </w:r>
    </w:p>
    <w:bookmarkEnd w:id="26"/>
    <w:p w14:paraId="519EFE32" w14:textId="77777777" w:rsidR="00353229" w:rsidRPr="00245C00" w:rsidRDefault="00353229" w:rsidP="00353229">
      <w:pPr>
        <w:rPr>
          <w:szCs w:val="21"/>
        </w:rPr>
      </w:pPr>
    </w:p>
    <w:p w14:paraId="5B8A92FD" w14:textId="6D492F35" w:rsidR="00353229" w:rsidRPr="00245C00" w:rsidRDefault="00353229" w:rsidP="00353229">
      <w:pPr>
        <w:rPr>
          <w:szCs w:val="21"/>
        </w:rPr>
      </w:pPr>
      <w:bookmarkStart w:id="29" w:name="_Hlk160616546"/>
      <w:r w:rsidRPr="00245C00">
        <w:rPr>
          <w:szCs w:val="21"/>
        </w:rPr>
        <w:t>The requirements in clause 2</w:t>
      </w:r>
      <w:r w:rsidR="00245C00">
        <w:rPr>
          <w:szCs w:val="21"/>
        </w:rPr>
        <w:t>4</w:t>
      </w:r>
      <w:r w:rsidRPr="00245C00">
        <w:rPr>
          <w:szCs w:val="21"/>
        </w:rPr>
        <w:t xml:space="preserve"> of </w:t>
      </w:r>
      <w:r w:rsidR="00245C00">
        <w:rPr>
          <w:szCs w:val="21"/>
        </w:rPr>
        <w:t xml:space="preserve">current </w:t>
      </w:r>
      <w:r w:rsidRPr="00245C00">
        <w:rPr>
          <w:szCs w:val="21"/>
        </w:rPr>
        <w:t xml:space="preserve">C2 have been translated </w:t>
      </w:r>
      <w:r w:rsidR="002B7261" w:rsidRPr="00245C00">
        <w:rPr>
          <w:szCs w:val="21"/>
        </w:rPr>
        <w:t>as follows.</w:t>
      </w:r>
    </w:p>
    <w:p w14:paraId="6E35D10B" w14:textId="7558152C" w:rsidR="00353229" w:rsidRPr="00245C00" w:rsidRDefault="00353229" w:rsidP="00353229">
      <w:pPr>
        <w:pStyle w:val="Bullet"/>
        <w:rPr>
          <w:szCs w:val="21"/>
        </w:rPr>
      </w:pPr>
      <w:r w:rsidRPr="00245C00">
        <w:rPr>
          <w:szCs w:val="21"/>
        </w:rPr>
        <w:t>Clause 1(e) requires the HSL to ensure that necessary and sufficient clinical information is provided to the radiation practitioner. This information is supplied by the referring practitioner.</w:t>
      </w:r>
    </w:p>
    <w:p w14:paraId="21A18ABC" w14:textId="2B0A7F30" w:rsidR="00353229" w:rsidRPr="00245C00" w:rsidRDefault="00353229" w:rsidP="00353229">
      <w:pPr>
        <w:pStyle w:val="Bullet"/>
        <w:rPr>
          <w:szCs w:val="21"/>
        </w:rPr>
      </w:pPr>
      <w:r w:rsidRPr="00245C00">
        <w:rPr>
          <w:szCs w:val="21"/>
        </w:rPr>
        <w:t>Clause 22(b) requires that the radiation practitioner cooperate with a referring practitioner.</w:t>
      </w:r>
    </w:p>
    <w:p w14:paraId="4D540BF6" w14:textId="77777777" w:rsidR="00353229" w:rsidRPr="00245C00" w:rsidRDefault="00353229" w:rsidP="00353229">
      <w:pPr>
        <w:rPr>
          <w:szCs w:val="21"/>
        </w:rPr>
      </w:pPr>
    </w:p>
    <w:p w14:paraId="59A940E4" w14:textId="5EBA789C" w:rsidR="00906FB1" w:rsidRPr="00475EAB" w:rsidRDefault="00906FB1" w:rsidP="00906FB1">
      <w:pPr>
        <w:pStyle w:val="Heading2"/>
        <w:pageBreakBefore/>
        <w:spacing w:before="0"/>
      </w:pPr>
      <w:bookmarkStart w:id="30" w:name="_Toc161051004"/>
      <w:bookmarkEnd w:id="29"/>
      <w:r w:rsidRPr="00475EAB">
        <w:lastRenderedPageBreak/>
        <w:t>How to provide feedback</w:t>
      </w:r>
      <w:bookmarkEnd w:id="14"/>
      <w:bookmarkEnd w:id="30"/>
    </w:p>
    <w:p w14:paraId="4D2B5EE4" w14:textId="0879A997" w:rsidR="00906FB1" w:rsidRPr="00475EAB" w:rsidRDefault="00906FB1" w:rsidP="00906FB1">
      <w:r w:rsidRPr="00475EAB">
        <w:t xml:space="preserve">All written submissions that fall within the scope of this consultation and are received before the closing date </w:t>
      </w:r>
      <w:r w:rsidR="007D26F0">
        <w:t xml:space="preserve">for the consultation </w:t>
      </w:r>
      <w:r w:rsidRPr="00475EAB">
        <w:t xml:space="preserve">will be considered. The closing </w:t>
      </w:r>
      <w:r w:rsidR="00A3138D">
        <w:t>time</w:t>
      </w:r>
      <w:r w:rsidR="00A3138D" w:rsidRPr="00475EAB">
        <w:t xml:space="preserve"> </w:t>
      </w:r>
      <w:r w:rsidR="00A3138D">
        <w:t xml:space="preserve">and </w:t>
      </w:r>
      <w:r w:rsidRPr="00475EAB">
        <w:t>date for submissions is</w:t>
      </w:r>
      <w:r w:rsidR="003D587B">
        <w:t xml:space="preserve"> </w:t>
      </w:r>
      <w:r w:rsidR="00A3138D">
        <w:t>11</w:t>
      </w:r>
      <w:r w:rsidR="00A15BEA">
        <w:t>.</w:t>
      </w:r>
      <w:r w:rsidR="00A3138D">
        <w:t xml:space="preserve">00pm </w:t>
      </w:r>
      <w:r w:rsidR="003D587B" w:rsidRPr="003D587B">
        <w:t>on Monday 15 April 2024.</w:t>
      </w:r>
    </w:p>
    <w:p w14:paraId="13E43888" w14:textId="77777777" w:rsidR="00906FB1" w:rsidRPr="00475EAB" w:rsidRDefault="00906FB1" w:rsidP="00906FB1"/>
    <w:p w14:paraId="35597BDE" w14:textId="6673C2D5" w:rsidR="00906FB1" w:rsidRPr="00475EAB" w:rsidRDefault="00906FB1" w:rsidP="00906FB1">
      <w:r w:rsidRPr="00475EAB">
        <w:t xml:space="preserve">The preferred and most convenient method of </w:t>
      </w:r>
      <w:r>
        <w:t xml:space="preserve">providing </w:t>
      </w:r>
      <w:r w:rsidRPr="00475EAB">
        <w:t xml:space="preserve">submissions is by using the </w:t>
      </w:r>
      <w:hyperlink r:id="rId38" w:history="1">
        <w:r w:rsidR="00A3138D" w:rsidRPr="00E95725">
          <w:rPr>
            <w:rStyle w:val="Hyperlink"/>
          </w:rPr>
          <w:t>Ministry’s online consultation tool, Citizen Space</w:t>
        </w:r>
        <w:r w:rsidR="003D587B" w:rsidRPr="00E95725">
          <w:rPr>
            <w:rStyle w:val="Hyperlink"/>
          </w:rPr>
          <w:t>.</w:t>
        </w:r>
      </w:hyperlink>
      <w:r w:rsidRPr="00475EAB">
        <w:t xml:space="preserve"> </w:t>
      </w:r>
    </w:p>
    <w:p w14:paraId="44F1D1E9" w14:textId="77777777" w:rsidR="00906FB1" w:rsidRPr="00475EAB" w:rsidRDefault="00906FB1" w:rsidP="00906FB1"/>
    <w:p w14:paraId="0C0E9E75" w14:textId="6F29EA40" w:rsidR="00906FB1" w:rsidRPr="00475EAB" w:rsidRDefault="00906FB1" w:rsidP="00906FB1">
      <w:r w:rsidRPr="00475EAB">
        <w:t xml:space="preserve">The </w:t>
      </w:r>
      <w:r w:rsidR="004D36EE">
        <w:t>Director</w:t>
      </w:r>
      <w:r w:rsidRPr="00475EAB">
        <w:t xml:space="preserve"> can also receive submissions by email, to:</w:t>
      </w:r>
    </w:p>
    <w:p w14:paraId="140D6302" w14:textId="77777777" w:rsidR="00906FB1" w:rsidRPr="00475EAB" w:rsidRDefault="001F2BD7" w:rsidP="00906FB1">
      <w:hyperlink r:id="rId39" w:history="1">
        <w:r w:rsidR="00906FB1" w:rsidRPr="003B10BA">
          <w:rPr>
            <w:rStyle w:val="Hyperlink"/>
          </w:rPr>
          <w:t>ors.codes@health.govt.nz</w:t>
        </w:r>
      </w:hyperlink>
      <w:r w:rsidR="00906FB1">
        <w:t xml:space="preserve"> </w:t>
      </w:r>
    </w:p>
    <w:p w14:paraId="609BFF85" w14:textId="77777777" w:rsidR="00906FB1" w:rsidRPr="00475EAB" w:rsidRDefault="00906FB1" w:rsidP="00906FB1"/>
    <w:p w14:paraId="5BA66935" w14:textId="77777777" w:rsidR="00906FB1" w:rsidRPr="00475EAB" w:rsidRDefault="00906FB1" w:rsidP="00906FB1">
      <w:r w:rsidRPr="00475EAB">
        <w:t>Alternatively, submissions can be mailed to:</w:t>
      </w:r>
    </w:p>
    <w:p w14:paraId="1A1EF291" w14:textId="27F72875" w:rsidR="00906FB1" w:rsidRPr="00475EAB" w:rsidRDefault="00906FB1" w:rsidP="00906FB1">
      <w:r w:rsidRPr="00475EAB">
        <w:t xml:space="preserve">Office of Radiation Safety </w:t>
      </w:r>
      <w:r w:rsidR="000C35BC">
        <w:t>C2</w:t>
      </w:r>
    </w:p>
    <w:p w14:paraId="304C7620" w14:textId="77777777" w:rsidR="00906FB1" w:rsidRPr="00475EAB" w:rsidRDefault="00906FB1" w:rsidP="00906FB1">
      <w:r w:rsidRPr="00475EAB">
        <w:t>Ministry of Health</w:t>
      </w:r>
    </w:p>
    <w:p w14:paraId="005C6E1D" w14:textId="77777777" w:rsidR="00906FB1" w:rsidRPr="00475EAB" w:rsidRDefault="00906FB1" w:rsidP="00906FB1">
      <w:r w:rsidRPr="00475EAB">
        <w:t>PO Box 5013</w:t>
      </w:r>
    </w:p>
    <w:p w14:paraId="74F902C2" w14:textId="77777777" w:rsidR="00906FB1" w:rsidRPr="00475EAB" w:rsidRDefault="00906FB1" w:rsidP="00906FB1">
      <w:r w:rsidRPr="00475EAB">
        <w:t>Wellington 6140.</w:t>
      </w:r>
    </w:p>
    <w:p w14:paraId="0FEBBD79" w14:textId="77777777" w:rsidR="00906FB1" w:rsidRPr="00475EAB" w:rsidRDefault="00906FB1" w:rsidP="00906FB1">
      <w:pPr>
        <w:pStyle w:val="Heading2"/>
      </w:pPr>
      <w:bookmarkStart w:id="31" w:name="_Toc144957755"/>
      <w:bookmarkStart w:id="32" w:name="_Toc161051005"/>
      <w:r w:rsidRPr="00475EAB">
        <w:t>What happens after the consultation?</w:t>
      </w:r>
      <w:bookmarkEnd w:id="31"/>
      <w:bookmarkEnd w:id="32"/>
    </w:p>
    <w:p w14:paraId="61D08985" w14:textId="26074905" w:rsidR="00906FB1" w:rsidRPr="00475EAB" w:rsidRDefault="00906FB1" w:rsidP="00906FB1">
      <w:r w:rsidRPr="00475EAB">
        <w:t xml:space="preserve">The Ministry will analyse and respond to feedback. After analysing in-scope submissions, the Ministry will consider further drafting improvements of </w:t>
      </w:r>
      <w:r>
        <w:t xml:space="preserve">the </w:t>
      </w:r>
      <w:r w:rsidRPr="00475EAB">
        <w:t xml:space="preserve">revised </w:t>
      </w:r>
      <w:r w:rsidR="000C35BC">
        <w:t>C2</w:t>
      </w:r>
      <w:r w:rsidRPr="00475EAB">
        <w:t>.</w:t>
      </w:r>
    </w:p>
    <w:p w14:paraId="1838A6DC" w14:textId="77777777" w:rsidR="00906FB1" w:rsidRPr="00475EAB" w:rsidRDefault="00906FB1" w:rsidP="00906FB1"/>
    <w:p w14:paraId="73A1C9C6" w14:textId="77777777" w:rsidR="00906FB1" w:rsidRPr="000B297E" w:rsidRDefault="00906FB1" w:rsidP="00906FB1"/>
    <w:p w14:paraId="20C6B2EF" w14:textId="4AE3301D" w:rsidR="00906FB1" w:rsidRPr="00475EAB" w:rsidRDefault="00906FB1" w:rsidP="00906FB1">
      <w:pPr>
        <w:pStyle w:val="Heading3"/>
        <w:ind w:firstLine="1277"/>
      </w:pPr>
      <w:r w:rsidRPr="00475EAB">
        <w:t>Start of revised C</w:t>
      </w:r>
      <w:r>
        <w:t>2</w:t>
      </w:r>
    </w:p>
    <w:p w14:paraId="47FDB93F" w14:textId="77777777" w:rsidR="001D3E4E" w:rsidRDefault="001D3E4E" w:rsidP="003A5FEA">
      <w:pPr>
        <w:sectPr w:rsidR="001D3E4E" w:rsidSect="00A03E47">
          <w:headerReference w:type="even" r:id="rId40"/>
          <w:headerReference w:type="default" r:id="rId41"/>
          <w:footerReference w:type="even" r:id="rId42"/>
          <w:footerReference w:type="default" r:id="rId43"/>
          <w:pgSz w:w="11907" w:h="16840" w:code="9"/>
          <w:pgMar w:top="1418" w:right="1700" w:bottom="1134" w:left="1843" w:header="284" w:footer="425" w:gutter="284"/>
          <w:pgNumType w:fmt="lowerRoman"/>
          <w:cols w:space="720"/>
        </w:sectPr>
      </w:pPr>
    </w:p>
    <w:bookmarkEnd w:id="21"/>
    <w:p w14:paraId="6BB8783B" w14:textId="77777777" w:rsidR="00A073CF" w:rsidRDefault="00A073CF" w:rsidP="00A073CF"/>
    <w:p w14:paraId="1EE9612D" w14:textId="77777777" w:rsidR="00A073CF" w:rsidRPr="00A073CF" w:rsidRDefault="00A073CF" w:rsidP="00A073CF">
      <w:pPr>
        <w:sectPr w:rsidR="00A073CF" w:rsidRPr="00A073CF" w:rsidSect="00A03E47">
          <w:footerReference w:type="even" r:id="rId44"/>
          <w:footerReference w:type="default" r:id="rId45"/>
          <w:pgSz w:w="11907" w:h="16840" w:code="9"/>
          <w:pgMar w:top="1418" w:right="1701" w:bottom="1134" w:left="1843" w:header="284" w:footer="425" w:gutter="284"/>
          <w:pgNumType w:fmt="lowerRoman"/>
          <w:cols w:space="720"/>
        </w:sectPr>
      </w:pPr>
    </w:p>
    <w:p w14:paraId="7A41CAFE" w14:textId="77777777" w:rsidR="008C2973" w:rsidRDefault="002B7BEC" w:rsidP="002575E8">
      <w:pPr>
        <w:pStyle w:val="Heading1"/>
      </w:pPr>
      <w:bookmarkStart w:id="33" w:name="_Toc161051006"/>
      <w:r>
        <w:lastRenderedPageBreak/>
        <w:t>Introduction</w:t>
      </w:r>
      <w:bookmarkEnd w:id="33"/>
    </w:p>
    <w:p w14:paraId="491575B3" w14:textId="77777777" w:rsidR="007A0047" w:rsidRPr="00F706F0" w:rsidRDefault="007A0047" w:rsidP="008746C1">
      <w:pPr>
        <w:pStyle w:val="Heading2"/>
      </w:pPr>
      <w:bookmarkStart w:id="34" w:name="_Toc3279681"/>
      <w:bookmarkStart w:id="35" w:name="_Toc161051007"/>
      <w:r w:rsidRPr="00F706F0">
        <w:t>Purpose</w:t>
      </w:r>
      <w:r>
        <w:t xml:space="preserve"> and commencement</w:t>
      </w:r>
      <w:bookmarkEnd w:id="34"/>
      <w:bookmarkEnd w:id="35"/>
    </w:p>
    <w:p w14:paraId="57511E94" w14:textId="67153943" w:rsidR="007A0047" w:rsidRDefault="007A0047" w:rsidP="008746C1">
      <w:r w:rsidRPr="00F706F0">
        <w:t>This Code of Practice for Nuclear Medicine</w:t>
      </w:r>
      <w:r w:rsidR="00975831">
        <w:t>: ORS C2</w:t>
      </w:r>
      <w:r w:rsidR="00613ED7">
        <w:t xml:space="preserve"> </w:t>
      </w:r>
      <w:r w:rsidRPr="00F706F0">
        <w:t>(</w:t>
      </w:r>
      <w:r w:rsidR="003D1A0E">
        <w:t xml:space="preserve">this </w:t>
      </w:r>
      <w:r w:rsidRPr="00F706F0">
        <w:t xml:space="preserve">code) is issued by the Director for Radiation Safety (the Director) under </w:t>
      </w:r>
      <w:hyperlink r:id="rId46" w:history="1">
        <w:r w:rsidRPr="006E2A65">
          <w:rPr>
            <w:rStyle w:val="Hyperlink"/>
          </w:rPr>
          <w:t>section 86</w:t>
        </w:r>
      </w:hyperlink>
      <w:r w:rsidRPr="00F706F0">
        <w:t xml:space="preserve"> of the Radiation Safety Act 2016 (the Act).</w:t>
      </w:r>
      <w:r w:rsidR="009700F5" w:rsidRPr="009700F5">
        <w:t xml:space="preserve"> </w:t>
      </w:r>
      <w:r w:rsidR="009700F5">
        <w:t xml:space="preserve">This code provides </w:t>
      </w:r>
      <w:r w:rsidR="009700F5" w:rsidRPr="00B31918">
        <w:t>technical requirements</w:t>
      </w:r>
      <w:r w:rsidR="009700F5">
        <w:t xml:space="preserve"> necessary </w:t>
      </w:r>
      <w:r w:rsidR="009700F5" w:rsidRPr="00B31918">
        <w:t>for a person who deals with a radiation source</w:t>
      </w:r>
      <w:r w:rsidR="009700F5">
        <w:t xml:space="preserve"> to comply with the fundamental requirements in</w:t>
      </w:r>
      <w:r w:rsidR="00BB6936">
        <w:t xml:space="preserve"> section</w:t>
      </w:r>
      <w:r w:rsidR="006C61E3">
        <w:t>s</w:t>
      </w:r>
      <w:r w:rsidR="00BB6936">
        <w:t xml:space="preserve"> 9 to 12</w:t>
      </w:r>
      <w:r w:rsidR="009700F5">
        <w:t xml:space="preserve"> </w:t>
      </w:r>
      <w:r w:rsidR="00BB6936">
        <w:t>o</w:t>
      </w:r>
      <w:r w:rsidR="009700F5">
        <w:t>f the Act.</w:t>
      </w:r>
      <w:r w:rsidRPr="00F706F0">
        <w:t xml:space="preserve"> Appendix </w:t>
      </w:r>
      <w:r>
        <w:t>1</w:t>
      </w:r>
      <w:r w:rsidRPr="00F706F0">
        <w:t xml:space="preserve"> sets out cross</w:t>
      </w:r>
      <w:r w:rsidR="009115E7">
        <w:t xml:space="preserve"> </w:t>
      </w:r>
      <w:r w:rsidRPr="00F706F0">
        <w:t>references between clauses in this code and the fundamental requirements. The requirements in this code do not limit the general nature of the fundamental requirements.</w:t>
      </w:r>
    </w:p>
    <w:p w14:paraId="5E0F09B4" w14:textId="77777777" w:rsidR="007A0047" w:rsidRDefault="007A0047" w:rsidP="008746C1"/>
    <w:p w14:paraId="0BC2A793" w14:textId="184F5A4A" w:rsidR="007A0047" w:rsidRPr="00F706F0" w:rsidRDefault="007A0047" w:rsidP="008746C1">
      <w:r w:rsidRPr="00E95725">
        <w:t>This code comes into force on</w:t>
      </w:r>
      <w:r w:rsidR="003D1A0E" w:rsidRPr="00E95725">
        <w:t xml:space="preserve"> &lt;date</w:t>
      </w:r>
      <w:r w:rsidR="005F4428" w:rsidRPr="00E95725">
        <w:t xml:space="preserve"> to added</w:t>
      </w:r>
      <w:r w:rsidR="00E95725" w:rsidRPr="00E95725">
        <w:t xml:space="preserve"> when code is issued</w:t>
      </w:r>
      <w:r w:rsidR="003D1A0E" w:rsidRPr="00E95725">
        <w:t>&gt;</w:t>
      </w:r>
      <w:r w:rsidRPr="00E95725">
        <w:t>.</w:t>
      </w:r>
      <w:r w:rsidR="00E95725">
        <w:t xml:space="preserve"> </w:t>
      </w:r>
    </w:p>
    <w:p w14:paraId="45A373AB" w14:textId="77777777" w:rsidR="007A0047" w:rsidRPr="00F706F0" w:rsidRDefault="007A0047" w:rsidP="008746C1">
      <w:pPr>
        <w:pStyle w:val="Heading2"/>
      </w:pPr>
      <w:bookmarkStart w:id="36" w:name="_Toc459381923"/>
      <w:bookmarkStart w:id="37" w:name="_Toc460302887"/>
      <w:bookmarkStart w:id="38" w:name="_Toc467054229"/>
      <w:bookmarkStart w:id="39" w:name="_Toc3279682"/>
      <w:bookmarkStart w:id="40" w:name="_Toc161051008"/>
      <w:r w:rsidRPr="00397A25">
        <w:t>Scope</w:t>
      </w:r>
      <w:bookmarkEnd w:id="36"/>
      <w:bookmarkEnd w:id="37"/>
      <w:bookmarkEnd w:id="38"/>
      <w:bookmarkEnd w:id="39"/>
      <w:bookmarkEnd w:id="40"/>
    </w:p>
    <w:p w14:paraId="1B55EF25" w14:textId="7EE290BB" w:rsidR="004E792E" w:rsidRDefault="005F5FDC" w:rsidP="00931AAB">
      <w:r>
        <w:t>This code applies to activities and practices associated with:</w:t>
      </w:r>
    </w:p>
    <w:p w14:paraId="247D370A" w14:textId="54A2FB44" w:rsidR="00A50B14" w:rsidRDefault="009F05D0" w:rsidP="00E40AAF">
      <w:pPr>
        <w:pStyle w:val="Bullet"/>
        <w:rPr>
          <w:lang w:eastAsia="en-US"/>
        </w:rPr>
      </w:pPr>
      <w:r>
        <w:rPr>
          <w:lang w:eastAsia="en-US"/>
        </w:rPr>
        <w:t>unse</w:t>
      </w:r>
      <w:r w:rsidR="00AD4225">
        <w:rPr>
          <w:lang w:eastAsia="en-US"/>
        </w:rPr>
        <w:t>a</w:t>
      </w:r>
      <w:r>
        <w:rPr>
          <w:lang w:eastAsia="en-US"/>
        </w:rPr>
        <w:t xml:space="preserve">led </w:t>
      </w:r>
      <w:r w:rsidR="00A50B14">
        <w:rPr>
          <w:lang w:eastAsia="en-US"/>
        </w:rPr>
        <w:t>radioactive material</w:t>
      </w:r>
    </w:p>
    <w:p w14:paraId="7EC39470" w14:textId="76856808" w:rsidR="00282CCD" w:rsidRDefault="008179E7" w:rsidP="00E40AAF">
      <w:pPr>
        <w:pStyle w:val="Bullet"/>
      </w:pPr>
      <w:r>
        <w:t>nuclear medicine</w:t>
      </w:r>
      <w:r w:rsidR="009115E7">
        <w:t>, that</w:t>
      </w:r>
      <w:r>
        <w:t xml:space="preserve"> </w:t>
      </w:r>
      <w:r w:rsidR="005133BA">
        <w:t>is</w:t>
      </w:r>
      <w:r w:rsidR="009115E7">
        <w:t>,</w:t>
      </w:r>
      <w:r w:rsidR="005133BA">
        <w:t xml:space="preserve"> </w:t>
      </w:r>
      <w:r w:rsidR="001012CE">
        <w:t xml:space="preserve">the use of </w:t>
      </w:r>
      <w:r w:rsidR="00584C0A">
        <w:t>unse</w:t>
      </w:r>
      <w:r w:rsidR="009B42F4">
        <w:t>a</w:t>
      </w:r>
      <w:r w:rsidR="00584C0A">
        <w:t xml:space="preserve">led </w:t>
      </w:r>
      <w:r w:rsidR="001012CE">
        <w:t>radionuclides in medicine for diagnosis, staging of disease, therapy and monitoring the response of a disease process.</w:t>
      </w:r>
      <w:r w:rsidR="0056456B">
        <w:t xml:space="preserve"> </w:t>
      </w:r>
      <w:r w:rsidR="007A0047">
        <w:t>This includes but is not limited to</w:t>
      </w:r>
      <w:r w:rsidR="003D1A0E">
        <w:t xml:space="preserve"> the use of unsealed radioactive material in</w:t>
      </w:r>
      <w:r w:rsidR="007A0047">
        <w:t xml:space="preserve"> </w:t>
      </w:r>
      <w:r w:rsidR="007E70D8">
        <w:t>imaging</w:t>
      </w:r>
      <w:r w:rsidR="006A130F">
        <w:t xml:space="preserve">, </w:t>
      </w:r>
      <w:r w:rsidR="007A0047">
        <w:t>in vivo diagnostics</w:t>
      </w:r>
      <w:r w:rsidR="007E70D8">
        <w:t xml:space="preserve"> </w:t>
      </w:r>
      <w:r w:rsidR="007A0047">
        <w:t xml:space="preserve">and </w:t>
      </w:r>
      <w:r w:rsidR="008F3BE2">
        <w:t xml:space="preserve">as </w:t>
      </w:r>
      <w:r w:rsidR="006A130F">
        <w:t>tracers</w:t>
      </w:r>
      <w:r w:rsidR="00AB39CD">
        <w:t>.</w:t>
      </w:r>
    </w:p>
    <w:p w14:paraId="5DD9435F" w14:textId="77777777" w:rsidR="008F3BE2" w:rsidRDefault="008F3BE2" w:rsidP="00513876">
      <w:pPr>
        <w:ind w:left="426" w:hanging="426"/>
      </w:pPr>
    </w:p>
    <w:p w14:paraId="3A902191" w14:textId="32EA2919" w:rsidR="008F3BE2" w:rsidRDefault="00FA2C97" w:rsidP="00414A3E">
      <w:r>
        <w:t>Activities and practices in nuclear medicine associated</w:t>
      </w:r>
      <w:r w:rsidR="000F49C2">
        <w:t xml:space="preserve"> with </w:t>
      </w:r>
      <w:r>
        <w:t xml:space="preserve">irradiating apparatus are subject to </w:t>
      </w:r>
      <w:r w:rsidR="0032532D">
        <w:t>Code of Practice for Interventional and Diagnostic Radiology</w:t>
      </w:r>
      <w:r w:rsidR="00975831">
        <w:t>: ORS C1</w:t>
      </w:r>
      <w:r>
        <w:t>.</w:t>
      </w:r>
    </w:p>
    <w:p w14:paraId="42B3CEAF" w14:textId="77777777" w:rsidR="00D71765" w:rsidRDefault="00D71765" w:rsidP="00324B1B"/>
    <w:p w14:paraId="3C9ABE8A" w14:textId="66AAA36B" w:rsidR="00282CCD" w:rsidRDefault="000F49C2" w:rsidP="00414A3E">
      <w:r>
        <w:t xml:space="preserve">Activities and practices in nuclear medicine associated with sealed radioactive material are subject to </w:t>
      </w:r>
      <w:r w:rsidR="00376B2D">
        <w:t xml:space="preserve">Code of Practice </w:t>
      </w:r>
      <w:r w:rsidR="00B57767">
        <w:t xml:space="preserve">for Sealed </w:t>
      </w:r>
      <w:r w:rsidR="00B87B2F">
        <w:t>Radioactive</w:t>
      </w:r>
      <w:r w:rsidR="00E67501">
        <w:t xml:space="preserve"> Material</w:t>
      </w:r>
      <w:r w:rsidR="00975831">
        <w:t>: ORS C12</w:t>
      </w:r>
      <w:r w:rsidR="0032532D">
        <w:t>.</w:t>
      </w:r>
    </w:p>
    <w:p w14:paraId="5343DFB3" w14:textId="77777777" w:rsidR="007A0047" w:rsidRDefault="007A0047" w:rsidP="008746C1"/>
    <w:p w14:paraId="54CEA168" w14:textId="2D959718" w:rsidR="0064644B" w:rsidRPr="00475EAB" w:rsidRDefault="004806FE" w:rsidP="00414A3E">
      <w:r>
        <w:t xml:space="preserve">The phrase </w:t>
      </w:r>
      <w:r w:rsidR="0064644B">
        <w:t>‘</w:t>
      </w:r>
      <w:r>
        <w:t>d</w:t>
      </w:r>
      <w:r w:rsidR="0064644B" w:rsidRPr="00475EAB">
        <w:t>eal with</w:t>
      </w:r>
      <w:r w:rsidR="0064644B">
        <w:t>’</w:t>
      </w:r>
      <w:r w:rsidR="0064644B" w:rsidRPr="00475EAB">
        <w:t xml:space="preserve"> includes to manufacture, possess, control, manage, use, transport, store, export, import, sell, supply or dispose of a radiation source.</w:t>
      </w:r>
    </w:p>
    <w:p w14:paraId="2ADF8ECC" w14:textId="77777777" w:rsidR="0064644B" w:rsidRDefault="0064644B" w:rsidP="00414A3E"/>
    <w:p w14:paraId="53004A1B" w14:textId="77777777" w:rsidR="007D1BB6" w:rsidRPr="00475EAB" w:rsidRDefault="007D1BB6" w:rsidP="00414A3E">
      <w:r w:rsidRPr="00475EAB">
        <w:t>This code does not absolve the holder of a source licence from having to comply with the fundamental requirements in sections 9 to 12 of the Act</w:t>
      </w:r>
      <w:r>
        <w:t>,</w:t>
      </w:r>
      <w:r w:rsidRPr="00475EAB">
        <w:t xml:space="preserve"> which apply to every person who deals with a radiation source.</w:t>
      </w:r>
    </w:p>
    <w:p w14:paraId="0238486D" w14:textId="77777777" w:rsidR="007D1BB6" w:rsidRDefault="007D1BB6" w:rsidP="00414A3E"/>
    <w:p w14:paraId="3BB30ACD" w14:textId="58A665B7" w:rsidR="007A0047" w:rsidRPr="00F706F0" w:rsidRDefault="007A0047" w:rsidP="00414A3E">
      <w:r w:rsidRPr="00F706F0">
        <w:t>Compliance with th</w:t>
      </w:r>
      <w:r w:rsidR="003009F3">
        <w:t>is</w:t>
      </w:r>
      <w:r w:rsidRPr="00F706F0">
        <w:t xml:space="preserve"> code does not imply compliance in related areas</w:t>
      </w:r>
      <w:r w:rsidR="000A0BDA">
        <w:t>,</w:t>
      </w:r>
      <w:r w:rsidRPr="00F706F0">
        <w:t xml:space="preserve"> such as health practitioner clinical competence, occupational safety, hazards in the workplace, resource management and transport of hazardous substances.</w:t>
      </w:r>
    </w:p>
    <w:p w14:paraId="29E7762D" w14:textId="77777777" w:rsidR="007A0047" w:rsidRPr="00F706F0" w:rsidRDefault="007A0047" w:rsidP="008746C1"/>
    <w:p w14:paraId="2FAD57D8" w14:textId="77777777" w:rsidR="007A0047" w:rsidRPr="00F706F0" w:rsidRDefault="007A0047" w:rsidP="008746C1">
      <w:pPr>
        <w:pStyle w:val="Heading1"/>
      </w:pPr>
      <w:bookmarkStart w:id="41" w:name="_Toc459381927"/>
      <w:bookmarkStart w:id="42" w:name="_Toc460302891"/>
      <w:bookmarkStart w:id="43" w:name="_Toc467054233"/>
      <w:bookmarkStart w:id="44" w:name="_Toc3279684"/>
      <w:bookmarkStart w:id="45" w:name="_Toc161051009"/>
      <w:r w:rsidRPr="00F706F0">
        <w:lastRenderedPageBreak/>
        <w:t>Roles and responsibilities</w:t>
      </w:r>
      <w:bookmarkEnd w:id="41"/>
      <w:bookmarkEnd w:id="42"/>
      <w:bookmarkEnd w:id="43"/>
      <w:bookmarkEnd w:id="44"/>
      <w:bookmarkEnd w:id="45"/>
    </w:p>
    <w:p w14:paraId="18550D79" w14:textId="1600AAA9" w:rsidR="00510E37" w:rsidRDefault="007A0047" w:rsidP="00E40AAF">
      <w:r w:rsidRPr="00F706F0">
        <w:t>The following individuals and bodies have roles and responsibilities in relation to this code.</w:t>
      </w:r>
    </w:p>
    <w:p w14:paraId="1CF65E4D" w14:textId="77777777" w:rsidR="00510E37" w:rsidRDefault="00510E37" w:rsidP="00E40AAF"/>
    <w:p w14:paraId="3961582F" w14:textId="0E577535" w:rsidR="00C1179B" w:rsidRDefault="00C1179B" w:rsidP="00E40AAF">
      <w:r w:rsidRPr="00475EAB">
        <w:rPr>
          <w:b/>
        </w:rPr>
        <w:t>Director for Radiation Safety</w:t>
      </w:r>
      <w:r w:rsidR="00285C97">
        <w:t>:</w:t>
      </w:r>
      <w:r w:rsidR="004270AC">
        <w:t xml:space="preserve"> </w:t>
      </w:r>
      <w:r w:rsidRPr="00475EAB">
        <w:t xml:space="preserve">a person appointed under </w:t>
      </w:r>
      <w:hyperlink r:id="rId47" w:history="1">
        <w:r w:rsidRPr="00607B5F">
          <w:rPr>
            <w:rStyle w:val="Hyperlink"/>
          </w:rPr>
          <w:t>section 76</w:t>
        </w:r>
      </w:hyperlink>
      <w:r w:rsidRPr="00475EAB">
        <w:t xml:space="preserve"> of the Act</w:t>
      </w:r>
      <w:r w:rsidR="00025256">
        <w:t xml:space="preserve"> to carry out the functions</w:t>
      </w:r>
      <w:r w:rsidR="00607B5F">
        <w:t xml:space="preserve"> and</w:t>
      </w:r>
      <w:r w:rsidR="00025256">
        <w:t xml:space="preserve"> duties and exercise the powers conferred or imposed by the Act, including the power </w:t>
      </w:r>
      <w:r w:rsidRPr="00475EAB">
        <w:t>to issue this code.</w:t>
      </w:r>
    </w:p>
    <w:p w14:paraId="4C38201C" w14:textId="77777777" w:rsidR="00E40AAF" w:rsidRPr="00475EAB" w:rsidRDefault="00E40AAF" w:rsidP="00E40AAF"/>
    <w:p w14:paraId="3ABB286B" w14:textId="1471196F" w:rsidR="007A0047" w:rsidRPr="00F706F0" w:rsidRDefault="007A0047" w:rsidP="00E40AAF">
      <w:r w:rsidRPr="00F706F0">
        <w:rPr>
          <w:b/>
        </w:rPr>
        <w:t>Ethics Committee</w:t>
      </w:r>
      <w:r w:rsidR="00285C97">
        <w:t>:</w:t>
      </w:r>
      <w:r w:rsidRPr="00F706F0">
        <w:t xml:space="preserve"> the committee that approves programmes of biomedical research, including</w:t>
      </w:r>
      <w:r>
        <w:t xml:space="preserve"> </w:t>
      </w:r>
      <w:r w:rsidRPr="00F706F0">
        <w:t xml:space="preserve">the justification </w:t>
      </w:r>
      <w:r w:rsidR="004270AC">
        <w:t>for</w:t>
      </w:r>
      <w:r w:rsidR="004270AC" w:rsidRPr="00F706F0">
        <w:t xml:space="preserve"> </w:t>
      </w:r>
      <w:r w:rsidRPr="00F706F0">
        <w:t xml:space="preserve">medical exposure of </w:t>
      </w:r>
      <w:r w:rsidRPr="0017274B">
        <w:rPr>
          <w:b/>
          <w:bCs/>
        </w:rPr>
        <w:t>volunteers</w:t>
      </w:r>
      <w:r w:rsidRPr="00F706F0">
        <w:t>.</w:t>
      </w:r>
    </w:p>
    <w:p w14:paraId="47F8298C" w14:textId="77777777" w:rsidR="00C951A1" w:rsidRDefault="00C951A1" w:rsidP="00E40AAF">
      <w:pPr>
        <w:rPr>
          <w:b/>
        </w:rPr>
      </w:pPr>
    </w:p>
    <w:p w14:paraId="40D9AD30" w14:textId="5A9E0644" w:rsidR="00A00BE3" w:rsidRPr="00475EAB" w:rsidRDefault="00A00BE3" w:rsidP="00E40AAF">
      <w:r w:rsidRPr="00475EAB">
        <w:rPr>
          <w:b/>
        </w:rPr>
        <w:t>Health practitioner</w:t>
      </w:r>
      <w:r w:rsidR="00285C97">
        <w:t>:</w:t>
      </w:r>
      <w:r w:rsidR="004270AC">
        <w:t xml:space="preserve"> </w:t>
      </w:r>
      <w:r w:rsidRPr="00475EAB">
        <w:t xml:space="preserve">defined in </w:t>
      </w:r>
      <w:r w:rsidR="00BB6936">
        <w:t xml:space="preserve">section 3 </w:t>
      </w:r>
      <w:r w:rsidR="00285C97">
        <w:t xml:space="preserve">of </w:t>
      </w:r>
      <w:r w:rsidRPr="00475EAB">
        <w:t xml:space="preserve">the </w:t>
      </w:r>
      <w:r w:rsidR="00285C97" w:rsidRPr="00285C97">
        <w:rPr>
          <w:bCs/>
        </w:rPr>
        <w:t>Radiation Safety Regulations 2016</w:t>
      </w:r>
      <w:r w:rsidRPr="00475EAB">
        <w:t xml:space="preserve"> as having ‘the same meaning as in section 5(1) of the Health Practitioners Competence Assurance Act 2003’. Hence</w:t>
      </w:r>
      <w:r>
        <w:t>,</w:t>
      </w:r>
      <w:r w:rsidRPr="00475EAB">
        <w:t xml:space="preserve"> health practitioner means a person who is, or is deemed to be, registered with an authority as a practitioner of a particular health profession.</w:t>
      </w:r>
    </w:p>
    <w:p w14:paraId="79D5EE77" w14:textId="77777777" w:rsidR="00A00BE3" w:rsidRPr="00475EAB" w:rsidRDefault="00A00BE3" w:rsidP="00E40AAF"/>
    <w:p w14:paraId="1F2A37E1" w14:textId="65D82A4D" w:rsidR="00A00BE3" w:rsidRPr="00475EAB" w:rsidRDefault="00A00BE3" w:rsidP="00E40AAF">
      <w:pPr>
        <w:rPr>
          <w:bCs/>
        </w:rPr>
      </w:pPr>
      <w:r w:rsidRPr="00475EAB">
        <w:rPr>
          <w:b/>
        </w:rPr>
        <w:t>Health professional</w:t>
      </w:r>
      <w:r w:rsidR="00285C97">
        <w:t>:</w:t>
      </w:r>
      <w:r>
        <w:t xml:space="preserve"> </w:t>
      </w:r>
      <w:r w:rsidRPr="00475EAB">
        <w:rPr>
          <w:bCs/>
        </w:rPr>
        <w:t>a person who is, or is deemed to be, registered with an authority as a practitioner to perform services that fall within the description of a health profession.</w:t>
      </w:r>
      <w:r w:rsidR="00EA2DD6">
        <w:rPr>
          <w:bCs/>
        </w:rPr>
        <w:t xml:space="preserve"> </w:t>
      </w:r>
    </w:p>
    <w:p w14:paraId="31AE74E7" w14:textId="77777777" w:rsidR="00A00BE3" w:rsidRPr="00475EAB" w:rsidRDefault="00A00BE3" w:rsidP="00E40AAF">
      <w:pPr>
        <w:rPr>
          <w:bCs/>
        </w:rPr>
      </w:pPr>
    </w:p>
    <w:p w14:paraId="0CC7844F" w14:textId="2034B24F" w:rsidR="00A00BE3" w:rsidRDefault="00A00BE3" w:rsidP="00E40AAF">
      <w:pPr>
        <w:rPr>
          <w:shd w:val="clear" w:color="auto" w:fill="FFFFFF"/>
        </w:rPr>
      </w:pPr>
      <w:r w:rsidRPr="00475EAB">
        <w:rPr>
          <w:b/>
        </w:rPr>
        <w:t>Holder of a source</w:t>
      </w:r>
      <w:r w:rsidRPr="00D529A3">
        <w:rPr>
          <w:b/>
        </w:rPr>
        <w:t xml:space="preserve"> licence</w:t>
      </w:r>
      <w:r w:rsidR="00285C97">
        <w:rPr>
          <w:bCs/>
        </w:rPr>
        <w:t>:</w:t>
      </w:r>
      <w:r w:rsidR="00285C97">
        <w:t xml:space="preserve"> </w:t>
      </w:r>
      <w:r w:rsidRPr="00475EAB">
        <w:t xml:space="preserve">used in </w:t>
      </w:r>
      <w:hyperlink r:id="rId48" w:history="1">
        <w:r w:rsidRPr="008F4259">
          <w:rPr>
            <w:rStyle w:val="Hyperlink"/>
          </w:rPr>
          <w:t>section 20</w:t>
        </w:r>
      </w:hyperlink>
      <w:r w:rsidRPr="00475EAB">
        <w:t xml:space="preserve"> of the Act </w:t>
      </w:r>
      <w:r w:rsidR="000D6B93">
        <w:t>to describe</w:t>
      </w:r>
      <w:r w:rsidR="000D6B93" w:rsidRPr="00475EAB">
        <w:t xml:space="preserve"> </w:t>
      </w:r>
      <w:r w:rsidRPr="00475EAB">
        <w:t xml:space="preserve">the person </w:t>
      </w:r>
      <w:r w:rsidR="00E80FC5">
        <w:t xml:space="preserve">who is </w:t>
      </w:r>
      <w:r w:rsidRPr="00475EAB">
        <w:rPr>
          <w:shd w:val="clear" w:color="auto" w:fill="FFFFFF"/>
        </w:rPr>
        <w:t>responsible at all times for the management and control of each radiation source to which the licence applies.</w:t>
      </w:r>
    </w:p>
    <w:p w14:paraId="20A935E7" w14:textId="77777777" w:rsidR="00E40AAF" w:rsidRPr="00475EAB" w:rsidRDefault="00E40AAF" w:rsidP="00E40AAF"/>
    <w:p w14:paraId="5E98A634" w14:textId="6EB62446" w:rsidR="007A0047" w:rsidRPr="00F706F0" w:rsidRDefault="007A0047" w:rsidP="00E40AAF">
      <w:r w:rsidRPr="00F706F0">
        <w:rPr>
          <w:b/>
        </w:rPr>
        <w:t>Manufacturer/supplier</w:t>
      </w:r>
      <w:r w:rsidR="000D6B93">
        <w:t>:</w:t>
      </w:r>
      <w:r w:rsidRPr="00F706F0">
        <w:t xml:space="preserve"> the person </w:t>
      </w:r>
      <w:r>
        <w:t xml:space="preserve">or organisation </w:t>
      </w:r>
      <w:r w:rsidRPr="00F706F0">
        <w:t xml:space="preserve">who designs, manufactures, produces, constructs, assembles, installs, distributes, sells, exports or imports </w:t>
      </w:r>
      <w:r>
        <w:t>radiopharmaceuticals</w:t>
      </w:r>
      <w:r w:rsidR="0032532D">
        <w:t xml:space="preserve"> that this code applies to. </w:t>
      </w:r>
      <w:r w:rsidRPr="00F706F0">
        <w:t xml:space="preserve"> </w:t>
      </w:r>
    </w:p>
    <w:p w14:paraId="2F32D5B6" w14:textId="77777777" w:rsidR="003E4AC6" w:rsidRDefault="003E4AC6" w:rsidP="00E40AAF">
      <w:pPr>
        <w:rPr>
          <w:b/>
          <w:bCs/>
        </w:rPr>
      </w:pPr>
    </w:p>
    <w:p w14:paraId="49D75ADB" w14:textId="6DD5B9D5" w:rsidR="00192E97" w:rsidRPr="00475EAB" w:rsidRDefault="00192E97" w:rsidP="00E40AAF">
      <w:r w:rsidRPr="00475EAB">
        <w:rPr>
          <w:b/>
          <w:bCs/>
        </w:rPr>
        <w:t>Medical physics</w:t>
      </w:r>
      <w:r w:rsidRPr="00475EAB">
        <w:t xml:space="preserve"> </w:t>
      </w:r>
      <w:r w:rsidRPr="00475EAB">
        <w:rPr>
          <w:b/>
          <w:bCs/>
        </w:rPr>
        <w:t>expert</w:t>
      </w:r>
      <w:r w:rsidR="000D6B93">
        <w:t>:</w:t>
      </w:r>
      <w:r>
        <w:t xml:space="preserve"> </w:t>
      </w:r>
      <w:r w:rsidRPr="00475EAB">
        <w:t xml:space="preserve">an individual with specialist education and training in the concepts and techniques of applying physics in medicine and competent to practise independently in one or more of the subfields (specialties) of medical physics. </w:t>
      </w:r>
      <w:r w:rsidR="00B85781">
        <w:t>S</w:t>
      </w:r>
      <w:r w:rsidR="00B85781" w:rsidRPr="00475EAB">
        <w:t>pecialt</w:t>
      </w:r>
      <w:r w:rsidR="00B85781">
        <w:t>ies</w:t>
      </w:r>
      <w:r w:rsidRPr="00475EAB">
        <w:t xml:space="preserve"> must be </w:t>
      </w:r>
      <w:r>
        <w:t xml:space="preserve">nuclear medicine </w:t>
      </w:r>
      <w:r w:rsidR="00833FB2">
        <w:t xml:space="preserve">or </w:t>
      </w:r>
      <w:r w:rsidR="00B9121F">
        <w:t xml:space="preserve">radiation </w:t>
      </w:r>
      <w:r w:rsidR="00D56921">
        <w:t xml:space="preserve">therapy </w:t>
      </w:r>
      <w:r w:rsidRPr="00475EAB">
        <w:t>for this code. A medical physics expert is a</w:t>
      </w:r>
      <w:r w:rsidRPr="00475EAB">
        <w:rPr>
          <w:b/>
          <w:bCs/>
        </w:rPr>
        <w:t xml:space="preserve"> </w:t>
      </w:r>
      <w:r w:rsidRPr="00C951A1">
        <w:rPr>
          <w:b/>
          <w:bCs/>
        </w:rPr>
        <w:t>qualified expert</w:t>
      </w:r>
      <w:r w:rsidRPr="00475EAB">
        <w:t xml:space="preserve"> and provides specialist expertise with respect to radiation protection of the patient. The competence of a medical physics expert is generally established through a recognised formal mechanism of </w:t>
      </w:r>
      <w:r>
        <w:t>registration</w:t>
      </w:r>
      <w:r w:rsidRPr="00475EAB">
        <w:t xml:space="preserve">. An example </w:t>
      </w:r>
      <w:r>
        <w:t>i</w:t>
      </w:r>
      <w:r w:rsidRPr="00475EAB">
        <w:t>s the mechanism provided by the Australasian College of Physical Scientists and Engineers in Medicine</w:t>
      </w:r>
      <w:r w:rsidR="00760506">
        <w:t xml:space="preserve"> (ACPSEM)</w:t>
      </w:r>
      <w:r w:rsidRPr="00475EAB">
        <w:t>.</w:t>
      </w:r>
    </w:p>
    <w:p w14:paraId="7F1B0186" w14:textId="77777777" w:rsidR="007A2783" w:rsidRDefault="007A2783" w:rsidP="00E40AAF">
      <w:pPr>
        <w:rPr>
          <w:b/>
          <w:bCs/>
        </w:rPr>
      </w:pPr>
    </w:p>
    <w:p w14:paraId="5A92822F" w14:textId="1685910C" w:rsidR="007A2783" w:rsidRDefault="007A2783" w:rsidP="00E40AAF">
      <w:r w:rsidRPr="00475EAB">
        <w:rPr>
          <w:b/>
          <w:bCs/>
        </w:rPr>
        <w:t>Person</w:t>
      </w:r>
      <w:r w:rsidR="00760506">
        <w:t>:</w:t>
      </w:r>
      <w:r>
        <w:rPr>
          <w:b/>
          <w:bCs/>
        </w:rPr>
        <w:t xml:space="preserve"> </w:t>
      </w:r>
      <w:r w:rsidRPr="00475EAB">
        <w:t xml:space="preserve">includes a corporation sole, a body corporate and an unincorporated body (as defined in </w:t>
      </w:r>
      <w:hyperlink r:id="rId49" w:history="1">
        <w:r w:rsidRPr="00B8074B">
          <w:rPr>
            <w:rStyle w:val="Hyperlink"/>
          </w:rPr>
          <w:t>section 13</w:t>
        </w:r>
      </w:hyperlink>
      <w:r w:rsidRPr="00475EAB">
        <w:t xml:space="preserve"> of the Legislation Act 2019), unless the context otherwise requires.</w:t>
      </w:r>
    </w:p>
    <w:p w14:paraId="1D1A40B2" w14:textId="77777777" w:rsidR="00E40AAF" w:rsidRPr="00475EAB" w:rsidRDefault="00E40AAF" w:rsidP="00E40AAF"/>
    <w:p w14:paraId="69B9507A" w14:textId="13309D25" w:rsidR="007A0047" w:rsidRDefault="007A0047" w:rsidP="00E40AAF">
      <w:r>
        <w:rPr>
          <w:b/>
        </w:rPr>
        <w:lastRenderedPageBreak/>
        <w:t>Qualified expert</w:t>
      </w:r>
      <w:r w:rsidR="00B8074B">
        <w:t>:</w:t>
      </w:r>
      <w:r>
        <w:t xml:space="preserve"> an individual who is recognised as having expertise in a relevant field of specialisation</w:t>
      </w:r>
      <w:r w:rsidR="00B8074B">
        <w:t>,</w:t>
      </w:r>
      <w:r>
        <w:t xml:space="preserve"> such as medical physics or radiation safety.</w:t>
      </w:r>
    </w:p>
    <w:p w14:paraId="4B095BEC" w14:textId="77777777" w:rsidR="00E40AAF" w:rsidRPr="00F706F0" w:rsidRDefault="00E40AAF" w:rsidP="00E40AAF"/>
    <w:p w14:paraId="05514532" w14:textId="7E59F532" w:rsidR="007A0047" w:rsidRDefault="007A0047" w:rsidP="00E40AAF">
      <w:r>
        <w:rPr>
          <w:b/>
        </w:rPr>
        <w:t>Radiation practitioner</w:t>
      </w:r>
      <w:r w:rsidR="00B8074B">
        <w:t>:</w:t>
      </w:r>
      <w:r w:rsidRPr="00F706F0">
        <w:t xml:space="preserve"> a </w:t>
      </w:r>
      <w:r w:rsidRPr="0017274B">
        <w:rPr>
          <w:b/>
          <w:bCs/>
        </w:rPr>
        <w:t>health practitioner</w:t>
      </w:r>
      <w:r w:rsidRPr="00F706F0">
        <w:t xml:space="preserve"> with specialist education and training in the medical uses of radiation who is competent to perform independently and oversee </w:t>
      </w:r>
      <w:r>
        <w:t>radiation procedure</w:t>
      </w:r>
      <w:r w:rsidRPr="00F706F0">
        <w:t>s.</w:t>
      </w:r>
      <w:r>
        <w:t xml:space="preserve"> </w:t>
      </w:r>
      <w:r w:rsidRPr="00F706F0">
        <w:t xml:space="preserve">This could include, for example, a nuclear medicine </w:t>
      </w:r>
      <w:r>
        <w:t>specialist</w:t>
      </w:r>
      <w:r w:rsidRPr="00F706F0">
        <w:t xml:space="preserve">, radiologist, </w:t>
      </w:r>
      <w:r>
        <w:t xml:space="preserve">endocrinologist, </w:t>
      </w:r>
      <w:r w:rsidRPr="00F706F0">
        <w:t>cardiologist or radiation oncologist.</w:t>
      </w:r>
    </w:p>
    <w:p w14:paraId="5C208C41" w14:textId="77777777" w:rsidR="00E40AAF" w:rsidRDefault="00E40AAF" w:rsidP="00E40AAF"/>
    <w:p w14:paraId="19D83FB8" w14:textId="67B174A6" w:rsidR="007A0047" w:rsidRDefault="007A0047" w:rsidP="00E40AAF">
      <w:r w:rsidRPr="0078713C">
        <w:rPr>
          <w:b/>
        </w:rPr>
        <w:t>Radiation Safety Officer</w:t>
      </w:r>
      <w:r w:rsidR="00326AD9">
        <w:t>:</w:t>
      </w:r>
      <w:r>
        <w:t xml:space="preserve"> a person who is competent in radiation </w:t>
      </w:r>
      <w:r w:rsidRPr="00FC382A">
        <w:rPr>
          <w:b/>
          <w:bCs/>
        </w:rPr>
        <w:t>protection and safety</w:t>
      </w:r>
      <w:r>
        <w:t xml:space="preserve"> who is designated by the </w:t>
      </w:r>
      <w:r w:rsidR="00545275">
        <w:t>holder of a source licence</w:t>
      </w:r>
      <w:r>
        <w:t xml:space="preserve"> to oversee the application of regulatory requirements for occupational and public radiation </w:t>
      </w:r>
      <w:r w:rsidRPr="00FC382A">
        <w:rPr>
          <w:b/>
          <w:bCs/>
        </w:rPr>
        <w:t>protection and safety</w:t>
      </w:r>
      <w:r>
        <w:t>.</w:t>
      </w:r>
    </w:p>
    <w:p w14:paraId="1DD4F8BF" w14:textId="77777777" w:rsidR="00E40AAF" w:rsidRDefault="00E40AAF" w:rsidP="00E40AAF"/>
    <w:p w14:paraId="680270E5" w14:textId="3667C715" w:rsidR="007A0047" w:rsidRDefault="00A90946" w:rsidP="00E40AAF">
      <w:r w:rsidRPr="00A90946">
        <w:rPr>
          <w:b/>
          <w:bCs/>
        </w:rPr>
        <w:t>R</w:t>
      </w:r>
      <w:r w:rsidR="007A0047" w:rsidRPr="00A90946">
        <w:rPr>
          <w:b/>
          <w:bCs/>
        </w:rPr>
        <w:t>eferring practitioner</w:t>
      </w:r>
      <w:r w:rsidR="00326AD9">
        <w:t>:</w:t>
      </w:r>
      <w:r w:rsidR="007A0047" w:rsidRPr="00F706F0">
        <w:t xml:space="preserve"> a </w:t>
      </w:r>
      <w:r w:rsidR="007A0047" w:rsidRPr="0017274B">
        <w:rPr>
          <w:b/>
          <w:bCs/>
        </w:rPr>
        <w:t xml:space="preserve">health </w:t>
      </w:r>
      <w:r w:rsidR="001C379C" w:rsidRPr="0017274B">
        <w:rPr>
          <w:b/>
          <w:bCs/>
        </w:rPr>
        <w:t>professional</w:t>
      </w:r>
      <w:r w:rsidR="001C379C">
        <w:t xml:space="preserve"> </w:t>
      </w:r>
      <w:r w:rsidR="007A0047" w:rsidRPr="00F706F0">
        <w:t xml:space="preserve">who is approved by the </w:t>
      </w:r>
      <w:r w:rsidR="00545275">
        <w:t>holder of a source licence</w:t>
      </w:r>
      <w:r w:rsidR="007A0047" w:rsidRPr="00F706F0">
        <w:t xml:space="preserve"> to refer individuals to a </w:t>
      </w:r>
      <w:r w:rsidR="007A0047">
        <w:t>radiation practitioner</w:t>
      </w:r>
      <w:r w:rsidR="007A0047" w:rsidRPr="00F706F0">
        <w:t xml:space="preserve"> for medical exposure.</w:t>
      </w:r>
      <w:r w:rsidR="008D01F4">
        <w:t xml:space="preserve"> </w:t>
      </w:r>
      <w:r w:rsidR="008D01F4" w:rsidRPr="00475EAB">
        <w:t xml:space="preserve">Often </w:t>
      </w:r>
      <w:r w:rsidR="00E95725">
        <w:t xml:space="preserve">this will be </w:t>
      </w:r>
      <w:r w:rsidR="008D01F4" w:rsidRPr="00475EAB">
        <w:t>a general practitioner</w:t>
      </w:r>
      <w:r w:rsidR="00E95725">
        <w:t>.</w:t>
      </w:r>
      <w:r w:rsidR="008D01F4" w:rsidRPr="00475EAB">
        <w:t xml:space="preserve"> </w:t>
      </w:r>
    </w:p>
    <w:p w14:paraId="7F699C06" w14:textId="77777777" w:rsidR="002062FB" w:rsidRDefault="002062FB" w:rsidP="00E40AAF">
      <w:pPr>
        <w:rPr>
          <w:b/>
          <w:bCs/>
        </w:rPr>
      </w:pPr>
    </w:p>
    <w:p w14:paraId="163C54BD" w14:textId="341B93D0" w:rsidR="000F7109" w:rsidRDefault="00AE1013" w:rsidP="00E40AAF">
      <w:r w:rsidRPr="004A2B01">
        <w:rPr>
          <w:b/>
          <w:bCs/>
        </w:rPr>
        <w:t>User of</w:t>
      </w:r>
      <w:r w:rsidR="00F46C89">
        <w:rPr>
          <w:b/>
          <w:bCs/>
        </w:rPr>
        <w:t xml:space="preserve"> </w:t>
      </w:r>
      <w:r w:rsidR="00662533">
        <w:rPr>
          <w:b/>
          <w:bCs/>
        </w:rPr>
        <w:t xml:space="preserve">unsealed </w:t>
      </w:r>
      <w:r w:rsidR="00F46C89">
        <w:rPr>
          <w:b/>
          <w:bCs/>
        </w:rPr>
        <w:t>radioactive material</w:t>
      </w:r>
      <w:r w:rsidR="00326AD9">
        <w:t>:</w:t>
      </w:r>
      <w:r>
        <w:t xml:space="preserve"> a natural person authorised through the Act for </w:t>
      </w:r>
      <w:r w:rsidRPr="00AE1447">
        <w:t>the</w:t>
      </w:r>
      <w:r w:rsidRPr="00AE1447">
        <w:rPr>
          <w:b/>
          <w:bCs/>
        </w:rPr>
        <w:t xml:space="preserve"> use of </w:t>
      </w:r>
      <w:r w:rsidR="00703EFA" w:rsidRPr="00AE1447">
        <w:rPr>
          <w:b/>
          <w:bCs/>
        </w:rPr>
        <w:t xml:space="preserve">unsealed </w:t>
      </w:r>
      <w:r w:rsidR="00093C69" w:rsidRPr="00AE1447">
        <w:rPr>
          <w:b/>
          <w:bCs/>
        </w:rPr>
        <w:t>radioactive material</w:t>
      </w:r>
      <w:r>
        <w:t>. Authorisations through the Act include through the granting of a use licence to a person. Also, the Act provides specified situations where a use licence is not required</w:t>
      </w:r>
      <w:r w:rsidR="00620928">
        <w:t>, f</w:t>
      </w:r>
      <w:r>
        <w:t xml:space="preserve">or instance, </w:t>
      </w:r>
      <w:r w:rsidR="00620928">
        <w:t>under</w:t>
      </w:r>
      <w:r>
        <w:t xml:space="preserve"> </w:t>
      </w:r>
      <w:hyperlink r:id="rId50" w:history="1">
        <w:r w:rsidRPr="00620928">
          <w:rPr>
            <w:rStyle w:val="Hyperlink"/>
          </w:rPr>
          <w:t>Schedule 3</w:t>
        </w:r>
      </w:hyperlink>
      <w:r>
        <w:t xml:space="preserve"> of the Radiation Safety Regulations 2016. Schedule 3 includes that a use licence under the Act is no</w:t>
      </w:r>
      <w:r w:rsidR="00620928">
        <w:t>t</w:t>
      </w:r>
      <w:r>
        <w:t xml:space="preserve"> required for a certain person to use </w:t>
      </w:r>
      <w:r w:rsidR="00495035">
        <w:t>unsealed</w:t>
      </w:r>
      <w:r w:rsidR="00EA2655">
        <w:t xml:space="preserve"> radioactive material </w:t>
      </w:r>
      <w:r>
        <w:t>for medical diagnostic purposes</w:t>
      </w:r>
      <w:r w:rsidR="00620928">
        <w:t>,</w:t>
      </w:r>
      <w:r>
        <w:t xml:space="preserve"> such as a health practitioner who is, or is deemed to be, registered with the</w:t>
      </w:r>
      <w:r w:rsidR="000F7109">
        <w:t xml:space="preserve"> </w:t>
      </w:r>
      <w:r w:rsidR="00EA7033">
        <w:t xml:space="preserve">New Zealand </w:t>
      </w:r>
      <w:r w:rsidR="000F7109">
        <w:t xml:space="preserve">Medical Radiation Technologists Board in the scope of practice of nuclear medicine technologist and </w:t>
      </w:r>
      <w:r w:rsidR="00620928">
        <w:t xml:space="preserve">who </w:t>
      </w:r>
      <w:r w:rsidR="000F7109">
        <w:t>holds a current practicing certificate.</w:t>
      </w:r>
    </w:p>
    <w:p w14:paraId="0365E57C" w14:textId="77777777" w:rsidR="007A0047" w:rsidRPr="00F706F0" w:rsidRDefault="007A0047" w:rsidP="007A0047"/>
    <w:p w14:paraId="7721843C" w14:textId="057D1E73" w:rsidR="007A0047" w:rsidRPr="00F706F0" w:rsidRDefault="00512B04" w:rsidP="008746C1">
      <w:pPr>
        <w:pStyle w:val="Heading1"/>
      </w:pPr>
      <w:bookmarkStart w:id="46" w:name="_Toc161051010"/>
      <w:r>
        <w:lastRenderedPageBreak/>
        <w:t>Interpretation</w:t>
      </w:r>
      <w:bookmarkEnd w:id="46"/>
    </w:p>
    <w:p w14:paraId="5BDAE8DB" w14:textId="6E1EF2DF" w:rsidR="007A0047" w:rsidRDefault="00B33306" w:rsidP="007A0047">
      <w:r>
        <w:t xml:space="preserve">Interpreted </w:t>
      </w:r>
      <w:r w:rsidR="007A0047" w:rsidRPr="00F706F0">
        <w:t xml:space="preserve">terms are identified in </w:t>
      </w:r>
      <w:r w:rsidR="007A0047" w:rsidRPr="00F706F0">
        <w:rPr>
          <w:b/>
        </w:rPr>
        <w:t>bold</w:t>
      </w:r>
      <w:r w:rsidR="007A0047" w:rsidRPr="00F706F0">
        <w:t>.</w:t>
      </w:r>
    </w:p>
    <w:p w14:paraId="654BB2DE" w14:textId="77777777" w:rsidR="00451FBC" w:rsidRPr="00F706F0" w:rsidRDefault="00451FBC" w:rsidP="007A0047"/>
    <w:p w14:paraId="75D79D20" w14:textId="41C65CAF" w:rsidR="005E59BA" w:rsidRPr="00475EAB" w:rsidRDefault="005E59BA" w:rsidP="005E59BA">
      <w:r w:rsidRPr="00475EAB">
        <w:rPr>
          <w:b/>
        </w:rPr>
        <w:t>Absorbed dose</w:t>
      </w:r>
      <w:r w:rsidR="00A50535">
        <w:t>:</w:t>
      </w:r>
      <w:r>
        <w:t xml:space="preserve"> </w:t>
      </w:r>
      <w:r w:rsidRPr="00475EAB">
        <w:t xml:space="preserve">the fundamental dosimetric quantity </w:t>
      </w:r>
      <m:oMath>
        <m:r>
          <w:rPr>
            <w:rFonts w:ascii="Cambria Math" w:hAnsi="Cambria Math"/>
          </w:rPr>
          <m:t>D</m:t>
        </m:r>
      </m:oMath>
      <w:r w:rsidRPr="00475EAB">
        <w:t xml:space="preserve">, defined as: </w:t>
      </w:r>
    </w:p>
    <w:p w14:paraId="6BB3BBE0" w14:textId="77777777" w:rsidR="005E59BA" w:rsidRPr="00475EAB" w:rsidRDefault="005E59BA" w:rsidP="005E59BA"/>
    <w:p w14:paraId="693B65E7" w14:textId="77777777" w:rsidR="005E59BA" w:rsidRPr="00475EAB" w:rsidRDefault="005E59BA" w:rsidP="005E59BA">
      <m:oMathPara>
        <m:oMath>
          <m:r>
            <w:rPr>
              <w:rFonts w:ascii="Cambria Math" w:hAnsi="Cambria Math"/>
            </w:rPr>
            <m:t>D=</m:t>
          </m:r>
          <m:f>
            <m:fPr>
              <m:ctrlPr>
                <w:rPr>
                  <w:rFonts w:ascii="Cambria Math" w:hAnsi="Cambria Math"/>
                  <w:i/>
                </w:rPr>
              </m:ctrlPr>
            </m:fPr>
            <m:num>
              <m:r>
                <w:rPr>
                  <w:rFonts w:ascii="Cambria Math" w:hAnsi="Cambria Math"/>
                </w:rPr>
                <m:t>d</m:t>
              </m:r>
              <m:acc>
                <m:accPr>
                  <m:chr m:val="̅"/>
                  <m:ctrlPr>
                    <w:rPr>
                      <w:rFonts w:ascii="Cambria Math" w:hAnsi="Cambria Math"/>
                      <w:i/>
                    </w:rPr>
                  </m:ctrlPr>
                </m:accPr>
                <m:e>
                  <m:r>
                    <w:rPr>
                      <w:rFonts w:ascii="Cambria Math" w:hAnsi="Cambria Math"/>
                    </w:rPr>
                    <m:t>ε</m:t>
                  </m:r>
                </m:e>
              </m:acc>
            </m:num>
            <m:den>
              <m:r>
                <w:rPr>
                  <w:rFonts w:ascii="Cambria Math" w:hAnsi="Cambria Math"/>
                </w:rPr>
                <m:t>dm</m:t>
              </m:r>
            </m:den>
          </m:f>
        </m:oMath>
      </m:oMathPara>
    </w:p>
    <w:p w14:paraId="26C12D8E" w14:textId="77777777" w:rsidR="005E59BA" w:rsidRPr="00475EAB" w:rsidRDefault="005E59BA" w:rsidP="005E59BA"/>
    <w:p w14:paraId="5BFD63DF" w14:textId="0207E342" w:rsidR="005E59BA" w:rsidRDefault="005E59BA" w:rsidP="005E59BA">
      <w:r w:rsidRPr="00475EAB">
        <w:t xml:space="preserve">where </w:t>
      </w:r>
      <m:oMath>
        <m:r>
          <w:rPr>
            <w:rFonts w:ascii="Cambria Math" w:hAnsi="Cambria Math"/>
          </w:rPr>
          <m:t>d</m:t>
        </m:r>
        <m:acc>
          <m:accPr>
            <m:chr m:val="̅"/>
            <m:ctrlPr>
              <w:rPr>
                <w:rFonts w:ascii="Cambria Math" w:hAnsi="Cambria Math"/>
                <w:i/>
              </w:rPr>
            </m:ctrlPr>
          </m:accPr>
          <m:e>
            <m:r>
              <w:rPr>
                <w:rFonts w:ascii="Cambria Math" w:hAnsi="Cambria Math"/>
              </w:rPr>
              <m:t>ε</m:t>
            </m:r>
          </m:e>
        </m:acc>
      </m:oMath>
      <w:r w:rsidRPr="00475EAB">
        <w:t xml:space="preserve"> is the mean energy imparted by ionising radiation to matter in a volume element and </w:t>
      </w:r>
      <m:oMath>
        <m:r>
          <w:rPr>
            <w:rFonts w:ascii="Cambria Math" w:hAnsi="Cambria Math"/>
          </w:rPr>
          <m:t>dm</m:t>
        </m:r>
      </m:oMath>
      <w:r w:rsidRPr="00475EAB">
        <w:t xml:space="preserve"> is the mass of matter in the volume element.</w:t>
      </w:r>
    </w:p>
    <w:p w14:paraId="03A60E02" w14:textId="77777777" w:rsidR="00550FD4" w:rsidRPr="00475EAB" w:rsidRDefault="00550FD4" w:rsidP="005E59BA">
      <w:pPr>
        <w:rPr>
          <w:b/>
        </w:rPr>
      </w:pPr>
    </w:p>
    <w:p w14:paraId="78240B85" w14:textId="41185183" w:rsidR="007A0047" w:rsidRDefault="007A0047" w:rsidP="00E40AAF">
      <w:r w:rsidRPr="00F706F0">
        <w:rPr>
          <w:b/>
        </w:rPr>
        <w:t>Accident</w:t>
      </w:r>
      <w:r w:rsidR="00A50535">
        <w:t>:</w:t>
      </w:r>
      <w:r w:rsidR="008A27E5">
        <w:t xml:space="preserve"> </w:t>
      </w:r>
      <w:r w:rsidRPr="00F706F0">
        <w:t xml:space="preserve">any </w:t>
      </w:r>
      <w:r>
        <w:rPr>
          <w:b/>
        </w:rPr>
        <w:t xml:space="preserve">unintended </w:t>
      </w:r>
      <w:r w:rsidRPr="003C6C58">
        <w:rPr>
          <w:b/>
        </w:rPr>
        <w:t xml:space="preserve">medical </w:t>
      </w:r>
      <w:r w:rsidRPr="00AB3277">
        <w:rPr>
          <w:b/>
        </w:rPr>
        <w:t>exposure</w:t>
      </w:r>
      <w:r>
        <w:t xml:space="preserve"> or other </w:t>
      </w:r>
      <w:r w:rsidRPr="003C6C58">
        <w:t>unintended</w:t>
      </w:r>
      <w:r w:rsidRPr="00F706F0">
        <w:t xml:space="preserve"> event, including operating errors, equipment failures and other mishaps, the consequences or potential consequences of which are not negligible from the point of view of </w:t>
      </w:r>
      <w:r w:rsidRPr="00FC382A">
        <w:rPr>
          <w:b/>
          <w:bCs/>
        </w:rPr>
        <w:t>protection and safety</w:t>
      </w:r>
      <w:r>
        <w:t>.</w:t>
      </w:r>
    </w:p>
    <w:p w14:paraId="5CFBF431" w14:textId="77777777" w:rsidR="00E40AAF" w:rsidRDefault="00E40AAF" w:rsidP="00E40AAF"/>
    <w:p w14:paraId="006C26C2" w14:textId="4E11BAD7" w:rsidR="007A0047" w:rsidRPr="00F706F0" w:rsidRDefault="007A0047" w:rsidP="00E40AAF">
      <w:r w:rsidRPr="00F706F0">
        <w:rPr>
          <w:b/>
        </w:rPr>
        <w:t>Ancillary equipment</w:t>
      </w:r>
      <w:r w:rsidR="00A50535">
        <w:t>:</w:t>
      </w:r>
      <w:r w:rsidRPr="00F706F0">
        <w:t xml:space="preserve"> equipment other than </w:t>
      </w:r>
      <w:r w:rsidRPr="00F706F0">
        <w:rPr>
          <w:b/>
        </w:rPr>
        <w:t>protective equipment</w:t>
      </w:r>
      <w:r w:rsidRPr="00F706F0">
        <w:rPr>
          <w:i/>
        </w:rPr>
        <w:t xml:space="preserve"> </w:t>
      </w:r>
      <w:r w:rsidRPr="00F706F0">
        <w:t xml:space="preserve">that has an impact on the successful outcome of a </w:t>
      </w:r>
      <w:r>
        <w:rPr>
          <w:b/>
        </w:rPr>
        <w:t>radiation procedure</w:t>
      </w:r>
      <w:r w:rsidR="00A50535" w:rsidRPr="000671E5">
        <w:rPr>
          <w:bCs/>
        </w:rPr>
        <w:t>,</w:t>
      </w:r>
      <w:r w:rsidRPr="00F706F0">
        <w:t xml:space="preserve"> such as </w:t>
      </w:r>
      <w:r>
        <w:t xml:space="preserve">SPECT-CT scanners, PET-CT scanners, </w:t>
      </w:r>
      <w:r w:rsidRPr="00F706F0">
        <w:t>digital image display</w:t>
      </w:r>
      <w:r>
        <w:t>s</w:t>
      </w:r>
      <w:r w:rsidRPr="00F706F0">
        <w:t xml:space="preserve">, test objects, liquid scintillation counters, well counters, </w:t>
      </w:r>
      <w:r>
        <w:t xml:space="preserve">dose calibrators, </w:t>
      </w:r>
      <w:r w:rsidRPr="00F706F0">
        <w:t>activity meters</w:t>
      </w:r>
      <w:r w:rsidR="00A50535">
        <w:t xml:space="preserve"> and</w:t>
      </w:r>
      <w:r w:rsidRPr="00F706F0">
        <w:t xml:space="preserve"> </w:t>
      </w:r>
      <w:r>
        <w:t xml:space="preserve">radiation measurement equipment </w:t>
      </w:r>
      <w:r w:rsidR="0032532D">
        <w:t>that this code applies to</w:t>
      </w:r>
      <w:r w:rsidRPr="00F706F0">
        <w:t>.</w:t>
      </w:r>
    </w:p>
    <w:p w14:paraId="6DD68642" w14:textId="65A0B0FF" w:rsidR="006A7A9B" w:rsidRDefault="006A7A9B" w:rsidP="00E40AAF">
      <w:pPr>
        <w:rPr>
          <w:b/>
        </w:rPr>
      </w:pPr>
    </w:p>
    <w:p w14:paraId="3BD7ABDE" w14:textId="4994BBD4" w:rsidR="00D46B1A" w:rsidRPr="00475EAB" w:rsidRDefault="00D46B1A" w:rsidP="00E40AAF">
      <w:r w:rsidRPr="00475EAB">
        <w:rPr>
          <w:b/>
          <w:bCs/>
        </w:rPr>
        <w:t>Area monitoring</w:t>
      </w:r>
      <w:r w:rsidR="000A4E9D">
        <w:t>:</w:t>
      </w:r>
      <w:r>
        <w:t xml:space="preserve"> </w:t>
      </w:r>
      <w:r w:rsidRPr="00475EAB">
        <w:t xml:space="preserve">a form of </w:t>
      </w:r>
      <w:r w:rsidRPr="00475EAB">
        <w:rPr>
          <w:b/>
          <w:bCs/>
        </w:rPr>
        <w:t>workplace monitoring</w:t>
      </w:r>
      <w:r w:rsidRPr="00475EAB">
        <w:t xml:space="preserve"> in which an area is monitored by taking measurements at one or more different points in that area.</w:t>
      </w:r>
    </w:p>
    <w:p w14:paraId="116702E3" w14:textId="77777777" w:rsidR="00D46B1A" w:rsidRDefault="00D46B1A" w:rsidP="00E40AAF">
      <w:pPr>
        <w:rPr>
          <w:b/>
        </w:rPr>
      </w:pPr>
    </w:p>
    <w:p w14:paraId="671CA0CD" w14:textId="3305F839" w:rsidR="006A7A9B" w:rsidRPr="00475EAB" w:rsidRDefault="006A7A9B" w:rsidP="00E40AAF">
      <w:pPr>
        <w:rPr>
          <w:b/>
        </w:rPr>
      </w:pPr>
      <w:r w:rsidRPr="00475EAB">
        <w:rPr>
          <w:b/>
        </w:rPr>
        <w:t>Baselines</w:t>
      </w:r>
      <w:r w:rsidR="000A4E9D">
        <w:t>:</w:t>
      </w:r>
      <w:r w:rsidRPr="00F1138D">
        <w:rPr>
          <w:bCs/>
        </w:rPr>
        <w:t xml:space="preserve"> </w:t>
      </w:r>
      <w:r w:rsidRPr="00475EAB">
        <w:rPr>
          <w:bCs/>
        </w:rPr>
        <w:t xml:space="preserve">levels related to safety and performance that represent </w:t>
      </w:r>
      <w:r w:rsidRPr="00475EAB">
        <w:t>expected</w:t>
      </w:r>
      <w:r w:rsidRPr="00475EAB">
        <w:rPr>
          <w:bCs/>
        </w:rPr>
        <w:t xml:space="preserve"> performance and </w:t>
      </w:r>
      <w:r>
        <w:rPr>
          <w:bCs/>
        </w:rPr>
        <w:t xml:space="preserve">provide </w:t>
      </w:r>
      <w:r w:rsidRPr="00475EAB">
        <w:rPr>
          <w:bCs/>
        </w:rPr>
        <w:t>references for quality control. The levels are established at commissioning and during routine testing based on standards and guidance.</w:t>
      </w:r>
    </w:p>
    <w:p w14:paraId="3722EE48" w14:textId="77777777" w:rsidR="00C61E3A" w:rsidRDefault="00C61E3A" w:rsidP="00E40AAF">
      <w:pPr>
        <w:rPr>
          <w:b/>
        </w:rPr>
      </w:pPr>
    </w:p>
    <w:p w14:paraId="1A65976F" w14:textId="48D3E154" w:rsidR="00C61E3A" w:rsidRDefault="00C61E3A" w:rsidP="00E40AAF">
      <w:r w:rsidRPr="00475EAB">
        <w:rPr>
          <w:b/>
        </w:rPr>
        <w:t>Carer and comforter</w:t>
      </w:r>
      <w:r w:rsidR="000A4E9D">
        <w:t>:</w:t>
      </w:r>
      <w:r w:rsidRPr="00F1138D">
        <w:rPr>
          <w:bCs/>
        </w:rPr>
        <w:t xml:space="preserve"> </w:t>
      </w:r>
      <w:r w:rsidRPr="00475EAB">
        <w:t xml:space="preserve">a person who voluntarily </w:t>
      </w:r>
      <w:r>
        <w:t xml:space="preserve">(rather than occupationally) </w:t>
      </w:r>
      <w:r w:rsidRPr="00475EAB">
        <w:t>helps</w:t>
      </w:r>
      <w:r>
        <w:t xml:space="preserve"> </w:t>
      </w:r>
      <w:r w:rsidRPr="00475EAB">
        <w:t xml:space="preserve">in caring for, supporting and comforting a </w:t>
      </w:r>
      <w:r w:rsidRPr="00475EAB">
        <w:rPr>
          <w:b/>
        </w:rPr>
        <w:t>patient</w:t>
      </w:r>
      <w:r w:rsidRPr="00475EAB">
        <w:t xml:space="preserve"> undergoing </w:t>
      </w:r>
      <w:r w:rsidRPr="000A4E9D">
        <w:t>a</w:t>
      </w:r>
      <w:r w:rsidRPr="000671E5">
        <w:t xml:space="preserve"> radiological procedure</w:t>
      </w:r>
      <w:r w:rsidRPr="00475EAB">
        <w:t>.</w:t>
      </w:r>
    </w:p>
    <w:p w14:paraId="03783214" w14:textId="77777777" w:rsidR="00E40AAF" w:rsidRPr="00475EAB" w:rsidRDefault="00E40AAF" w:rsidP="00E40AAF"/>
    <w:p w14:paraId="32AAF3CA" w14:textId="3525E595" w:rsidR="008746C1" w:rsidRDefault="007A0047" w:rsidP="00E40AAF">
      <w:r w:rsidRPr="0078713C">
        <w:rPr>
          <w:b/>
        </w:rPr>
        <w:t>Committed effective dose</w:t>
      </w:r>
      <w:r w:rsidR="000A4E9D">
        <w:t>:</w:t>
      </w:r>
      <w:r>
        <w:t xml:space="preserve"> the sum of the products of the weighting factors applicable to each of the body organs or tissues that are irradiated and the </w:t>
      </w:r>
      <w:r w:rsidRPr="002D6244">
        <w:rPr>
          <w:b/>
        </w:rPr>
        <w:t>committed equivalent doses</w:t>
      </w:r>
      <w:r w:rsidRPr="00296864">
        <w:rPr>
          <w:bCs/>
        </w:rPr>
        <w:t xml:space="preserve"> </w:t>
      </w:r>
      <w:r>
        <w:t>to those organs or tissues.</w:t>
      </w:r>
    </w:p>
    <w:p w14:paraId="09E56770" w14:textId="77777777" w:rsidR="00E40AAF" w:rsidRDefault="00E40AAF" w:rsidP="00E40AAF"/>
    <w:p w14:paraId="635765C5" w14:textId="7DF8FC42" w:rsidR="007A0047" w:rsidRDefault="007A0047" w:rsidP="00E40AAF">
      <w:r w:rsidRPr="0078713C">
        <w:rPr>
          <w:b/>
        </w:rPr>
        <w:t>Committed equivalent dose</w:t>
      </w:r>
      <w:r w:rsidR="002D6244">
        <w:t>:</w:t>
      </w:r>
      <w:r>
        <w:t xml:space="preserve"> the </w:t>
      </w:r>
      <w:r w:rsidRPr="0078713C">
        <w:rPr>
          <w:b/>
        </w:rPr>
        <w:t>equivalent dose</w:t>
      </w:r>
      <w:r>
        <w:t xml:space="preserve"> to organs or tissues of reference that will be received </w:t>
      </w:r>
      <w:r w:rsidR="00905F5C">
        <w:t xml:space="preserve">from an intake of radioactive material by an individual over a specified time. Where the time is not specified, </w:t>
      </w:r>
      <w:r w:rsidR="00C43809">
        <w:t xml:space="preserve">for </w:t>
      </w:r>
      <w:r w:rsidR="00905F5C">
        <w:t xml:space="preserve">an adult this is </w:t>
      </w:r>
      <w:r>
        <w:t>the 50-year period following the intake</w:t>
      </w:r>
      <w:r w:rsidR="00905F5C">
        <w:t>. F</w:t>
      </w:r>
      <w:r w:rsidR="00C43809">
        <w:t xml:space="preserve">or </w:t>
      </w:r>
      <w:r w:rsidR="00905F5C">
        <w:t xml:space="preserve">a </w:t>
      </w:r>
      <w:r w:rsidR="00C43809">
        <w:t>child,</w:t>
      </w:r>
      <w:r w:rsidR="0085069F">
        <w:t xml:space="preserve"> </w:t>
      </w:r>
      <w:r w:rsidR="00905F5C">
        <w:t xml:space="preserve">this </w:t>
      </w:r>
      <w:r w:rsidR="00F83B22">
        <w:t xml:space="preserve">is </w:t>
      </w:r>
      <w:r w:rsidR="00A22FBC">
        <w:t xml:space="preserve">the time </w:t>
      </w:r>
      <w:r w:rsidR="00C43809">
        <w:t>it takes the</w:t>
      </w:r>
      <w:r w:rsidR="00905F5C">
        <w:t xml:space="preserve"> child </w:t>
      </w:r>
      <w:r w:rsidR="00C43809">
        <w:t xml:space="preserve">reach </w:t>
      </w:r>
      <w:r w:rsidR="00A22FBC">
        <w:t>the age of 70 years</w:t>
      </w:r>
      <w:r w:rsidR="00F65A1B">
        <w:t>, t</w:t>
      </w:r>
      <w:r w:rsidR="00986B3B">
        <w:t xml:space="preserve">hat is, 70 years minus the </w:t>
      </w:r>
      <w:r w:rsidR="00C43809">
        <w:t xml:space="preserve">child’s </w:t>
      </w:r>
      <w:r w:rsidR="00986B3B">
        <w:t>age in years</w:t>
      </w:r>
      <w:r w:rsidR="00F65A1B">
        <w:t xml:space="preserve"> (</w:t>
      </w:r>
      <w:r w:rsidR="00986B3B">
        <w:t>for example</w:t>
      </w:r>
      <w:r w:rsidR="004D28FA">
        <w:t>,</w:t>
      </w:r>
      <w:r w:rsidR="00986B3B">
        <w:t xml:space="preserve"> 60 years for a </w:t>
      </w:r>
      <w:r w:rsidR="004D28FA">
        <w:t>10-year-</w:t>
      </w:r>
      <w:r w:rsidR="00986B3B">
        <w:t>old</w:t>
      </w:r>
      <w:r w:rsidR="000671E5">
        <w:t xml:space="preserve"> child</w:t>
      </w:r>
      <w:r w:rsidR="00F65A1B">
        <w:t>)</w:t>
      </w:r>
      <w:r w:rsidR="00986B3B">
        <w:t>.</w:t>
      </w:r>
      <w:r w:rsidR="00802A57">
        <w:t xml:space="preserve"> </w:t>
      </w:r>
    </w:p>
    <w:p w14:paraId="5225F33D" w14:textId="77777777" w:rsidR="00E40AAF" w:rsidRDefault="00E40AAF" w:rsidP="00E40AAF"/>
    <w:p w14:paraId="01BBDA1A" w14:textId="14F13D5C" w:rsidR="00FB54C2" w:rsidRDefault="00FB54C2" w:rsidP="00E40AAF">
      <w:pPr>
        <w:rPr>
          <w:bCs/>
        </w:rPr>
      </w:pPr>
      <w:r w:rsidRPr="00FB54C2">
        <w:rPr>
          <w:b/>
        </w:rPr>
        <w:t>Constraint</w:t>
      </w:r>
      <w:r w:rsidR="00C43809" w:rsidRPr="000671E5">
        <w:rPr>
          <w:bCs/>
        </w:rPr>
        <w:t>:</w:t>
      </w:r>
      <w:r w:rsidRPr="000671E5">
        <w:rPr>
          <w:bCs/>
        </w:rPr>
        <w:t xml:space="preserve"> </w:t>
      </w:r>
      <w:r w:rsidRPr="00FB54C2">
        <w:rPr>
          <w:bCs/>
        </w:rPr>
        <w:t>a prospective and source</w:t>
      </w:r>
      <w:r w:rsidR="00C43809">
        <w:rPr>
          <w:bCs/>
        </w:rPr>
        <w:t>-</w:t>
      </w:r>
      <w:r w:rsidRPr="00FB54C2">
        <w:rPr>
          <w:bCs/>
        </w:rPr>
        <w:t xml:space="preserve">related value of individual dose (dose constraint) or of individual risk (risk constraint) that is used in </w:t>
      </w:r>
      <w:r w:rsidRPr="00FB54C2">
        <w:rPr>
          <w:b/>
        </w:rPr>
        <w:t>planned exposure situations</w:t>
      </w:r>
      <w:r w:rsidRPr="00FB54C2">
        <w:rPr>
          <w:bCs/>
        </w:rPr>
        <w:t xml:space="preserve"> as a parameter for </w:t>
      </w:r>
      <w:r w:rsidRPr="00FC382A">
        <w:rPr>
          <w:bCs/>
        </w:rPr>
        <w:t>optimis</w:t>
      </w:r>
      <w:r w:rsidR="00F65A1B" w:rsidRPr="00FC382A">
        <w:rPr>
          <w:bCs/>
        </w:rPr>
        <w:t>ing</w:t>
      </w:r>
      <w:r w:rsidRPr="00FB54C2">
        <w:rPr>
          <w:bCs/>
        </w:rPr>
        <w:t xml:space="preserve"> </w:t>
      </w:r>
      <w:r w:rsidRPr="00FB54C2">
        <w:rPr>
          <w:b/>
        </w:rPr>
        <w:t>protection and safety</w:t>
      </w:r>
      <w:r w:rsidRPr="00FB54C2">
        <w:rPr>
          <w:bCs/>
        </w:rPr>
        <w:t xml:space="preserve"> and that serves as a boundary in defining the range of options in </w:t>
      </w:r>
      <w:r w:rsidRPr="00D94BA0">
        <w:rPr>
          <w:b/>
        </w:rPr>
        <w:t>optimisation</w:t>
      </w:r>
      <w:r w:rsidRPr="00FB54C2">
        <w:rPr>
          <w:bCs/>
        </w:rPr>
        <w:t xml:space="preserve">. Constraints for </w:t>
      </w:r>
      <w:r w:rsidRPr="00D94BA0">
        <w:rPr>
          <w:b/>
        </w:rPr>
        <w:t>medical exposure</w:t>
      </w:r>
      <w:r w:rsidRPr="00FB54C2">
        <w:rPr>
          <w:bCs/>
        </w:rPr>
        <w:t xml:space="preserve"> of </w:t>
      </w:r>
      <w:r w:rsidRPr="00D94BA0">
        <w:rPr>
          <w:b/>
        </w:rPr>
        <w:lastRenderedPageBreak/>
        <w:t xml:space="preserve">volunteers </w:t>
      </w:r>
      <w:r w:rsidRPr="00FB54C2">
        <w:rPr>
          <w:bCs/>
        </w:rPr>
        <w:t>are established or approved by the ethics committee on a case-by-case basis as part of the proposal for medical research.</w:t>
      </w:r>
    </w:p>
    <w:p w14:paraId="05CBAFDE" w14:textId="77777777" w:rsidR="00E40AAF" w:rsidRPr="00FB54C2" w:rsidRDefault="00E40AAF" w:rsidP="00E40AAF">
      <w:pPr>
        <w:rPr>
          <w:bCs/>
        </w:rPr>
      </w:pPr>
    </w:p>
    <w:p w14:paraId="27CC6949" w14:textId="72268906" w:rsidR="007A0047" w:rsidRDefault="007A0047" w:rsidP="00E40AAF">
      <w:r w:rsidRPr="00F706F0">
        <w:rPr>
          <w:b/>
        </w:rPr>
        <w:t>Controlled area</w:t>
      </w:r>
      <w:r w:rsidR="004A06CB">
        <w:t>:</w:t>
      </w:r>
      <w:r w:rsidRPr="00F706F0">
        <w:t xml:space="preserve"> an area in which specific protection measures and safety provisions are or could be required for controlling exposures in normal working conditions and preventing or limiting the extent of </w:t>
      </w:r>
      <w:r w:rsidRPr="00F706F0">
        <w:rPr>
          <w:b/>
        </w:rPr>
        <w:t>potential exposures</w:t>
      </w:r>
      <w:r w:rsidRPr="00F706F0">
        <w:t>.</w:t>
      </w:r>
    </w:p>
    <w:p w14:paraId="4B639FEB" w14:textId="77777777" w:rsidR="00E40AAF" w:rsidRDefault="00E40AAF" w:rsidP="00E40AAF"/>
    <w:p w14:paraId="46AD8B9A" w14:textId="47FAD436" w:rsidR="00407480" w:rsidRDefault="007A0047" w:rsidP="00E40AAF">
      <w:pPr>
        <w:rPr>
          <w:bCs/>
        </w:rPr>
      </w:pPr>
      <w:r w:rsidRPr="00F706F0">
        <w:rPr>
          <w:b/>
        </w:rPr>
        <w:t>Diagnostic reference level</w:t>
      </w:r>
      <w:r w:rsidR="007F4403">
        <w:t>:</w:t>
      </w:r>
      <w:r w:rsidR="008A27E5">
        <w:t xml:space="preserve"> </w:t>
      </w:r>
      <w:r w:rsidRPr="00F706F0">
        <w:t xml:space="preserve">a level that is used to indicate whether, in routine conditions, the dose to the </w:t>
      </w:r>
      <w:r w:rsidRPr="000671E5">
        <w:rPr>
          <w:b/>
          <w:bCs/>
        </w:rPr>
        <w:t>patient</w:t>
      </w:r>
      <w:r w:rsidRPr="00F706F0">
        <w:t xml:space="preserve"> or the amount of radiopharmaceuticals administered in a specified </w:t>
      </w:r>
      <w:r>
        <w:rPr>
          <w:b/>
        </w:rPr>
        <w:t>radiation procedure</w:t>
      </w:r>
      <w:r w:rsidRPr="00F706F0">
        <w:t xml:space="preserve"> is unusually high or low for that procedure.</w:t>
      </w:r>
      <w:r>
        <w:t xml:space="preserve"> </w:t>
      </w:r>
      <w:r w:rsidR="00FE201F">
        <w:t>T</w:t>
      </w:r>
      <w:r w:rsidR="002335CD">
        <w:t xml:space="preserve">he Director </w:t>
      </w:r>
      <w:r w:rsidR="00FE201F">
        <w:t xml:space="preserve">may </w:t>
      </w:r>
      <w:r w:rsidR="002335CD">
        <w:t xml:space="preserve">publish </w:t>
      </w:r>
      <w:r w:rsidR="002335CD">
        <w:rPr>
          <w:b/>
        </w:rPr>
        <w:t>n</w:t>
      </w:r>
      <w:r w:rsidR="00BB3A20" w:rsidRPr="00D36AEE">
        <w:rPr>
          <w:b/>
        </w:rPr>
        <w:t>ational diagnostic reference levels</w:t>
      </w:r>
      <w:r w:rsidR="00AA0407">
        <w:rPr>
          <w:b/>
        </w:rPr>
        <w:t xml:space="preserve"> </w:t>
      </w:r>
      <w:r w:rsidR="00FE201F">
        <w:rPr>
          <w:bCs/>
        </w:rPr>
        <w:t xml:space="preserve">for comparison </w:t>
      </w:r>
      <w:r w:rsidR="003908C2">
        <w:rPr>
          <w:bCs/>
        </w:rPr>
        <w:t xml:space="preserve">with </w:t>
      </w:r>
      <w:r w:rsidR="003908C2" w:rsidRPr="00FE201F">
        <w:rPr>
          <w:b/>
        </w:rPr>
        <w:t xml:space="preserve">diagnostic </w:t>
      </w:r>
      <w:r w:rsidR="0033272A" w:rsidRPr="00FE201F">
        <w:rPr>
          <w:b/>
        </w:rPr>
        <w:t xml:space="preserve">reference </w:t>
      </w:r>
      <w:r w:rsidR="003908C2" w:rsidRPr="00FE201F">
        <w:rPr>
          <w:b/>
        </w:rPr>
        <w:t>levels</w:t>
      </w:r>
      <w:r w:rsidR="00BB3A20" w:rsidRPr="001B2140">
        <w:rPr>
          <w:bCs/>
        </w:rPr>
        <w:t>.</w:t>
      </w:r>
    </w:p>
    <w:p w14:paraId="7CABED49" w14:textId="77777777" w:rsidR="00E40AAF" w:rsidRPr="00475EAB" w:rsidRDefault="00E40AAF" w:rsidP="00E40AAF"/>
    <w:p w14:paraId="78AAA604" w14:textId="6ABB0945" w:rsidR="007A0047" w:rsidRDefault="007A0047" w:rsidP="00E40AAF">
      <w:r w:rsidRPr="00F706F0">
        <w:rPr>
          <w:b/>
        </w:rPr>
        <w:t>Dose limit</w:t>
      </w:r>
      <w:r w:rsidR="002335CD">
        <w:t>:</w:t>
      </w:r>
      <w:r w:rsidRPr="00F706F0">
        <w:t xml:space="preserve"> </w:t>
      </w:r>
      <w:r>
        <w:t>the value of</w:t>
      </w:r>
      <w:r w:rsidRPr="00F706F0">
        <w:rPr>
          <w:b/>
        </w:rPr>
        <w:t xml:space="preserve"> effective dose </w:t>
      </w:r>
      <w:r>
        <w:t>or</w:t>
      </w:r>
      <w:r w:rsidRPr="00F706F0">
        <w:rPr>
          <w:b/>
        </w:rPr>
        <w:t xml:space="preserve"> equivalent dose </w:t>
      </w:r>
      <w:r>
        <w:t>set out</w:t>
      </w:r>
      <w:r w:rsidRPr="00F706F0">
        <w:t xml:space="preserve"> in </w:t>
      </w:r>
      <w:hyperlink r:id="rId51" w:history="1">
        <w:r w:rsidR="001B713F" w:rsidRPr="001B713F">
          <w:rPr>
            <w:rStyle w:val="Hyperlink"/>
          </w:rPr>
          <w:t>Schedule 3</w:t>
        </w:r>
      </w:hyperlink>
      <w:r>
        <w:t xml:space="preserve"> of the Act</w:t>
      </w:r>
      <w:r w:rsidRPr="00F706F0">
        <w:t>.</w:t>
      </w:r>
    </w:p>
    <w:p w14:paraId="245F90BB" w14:textId="77777777" w:rsidR="00E40AAF" w:rsidRPr="00F706F0" w:rsidRDefault="00E40AAF" w:rsidP="00E40AAF"/>
    <w:p w14:paraId="4B17F1B9" w14:textId="70A122B4" w:rsidR="00E40AAF" w:rsidRDefault="007A0047" w:rsidP="00E40AAF">
      <w:r w:rsidRPr="00F706F0">
        <w:rPr>
          <w:b/>
        </w:rPr>
        <w:t xml:space="preserve">Effective </w:t>
      </w:r>
      <w:r w:rsidRPr="00F706F0">
        <w:rPr>
          <w:b/>
          <w:szCs w:val="22"/>
        </w:rPr>
        <w:t>dose</w:t>
      </w:r>
      <w:r w:rsidR="00616318">
        <w:t>:</w:t>
      </w:r>
      <w:r w:rsidRPr="00F706F0">
        <w:rPr>
          <w:szCs w:val="22"/>
        </w:rPr>
        <w:t xml:space="preserve"> </w:t>
      </w:r>
      <w:r w:rsidRPr="00F706F0">
        <w:t xml:space="preserve">the tissue-weighted sum of </w:t>
      </w:r>
      <w:r w:rsidRPr="00F706F0">
        <w:rPr>
          <w:b/>
        </w:rPr>
        <w:t>equivalent doses</w:t>
      </w:r>
      <w:r w:rsidRPr="00F706F0">
        <w:t xml:space="preserve"> in all specified tissues and organs of the body.</w:t>
      </w:r>
    </w:p>
    <w:p w14:paraId="70BD497A" w14:textId="77777777" w:rsidR="00E40AAF" w:rsidRDefault="00E40AAF" w:rsidP="00E40AAF"/>
    <w:p w14:paraId="078AD2E4" w14:textId="28B8B15A" w:rsidR="007A0047" w:rsidRDefault="007A0047" w:rsidP="00E40AAF">
      <w:r w:rsidRPr="00F706F0">
        <w:rPr>
          <w:b/>
        </w:rPr>
        <w:t>Emergency</w:t>
      </w:r>
      <w:r w:rsidR="00616318">
        <w:t>:</w:t>
      </w:r>
      <w:r w:rsidRPr="00F706F0">
        <w:t xml:space="preserve"> any non-routine situation that necessitates prompt action, primarily to mitigate actual or perceived hazards or adverse consequences for human health and safety, quality of life, property or the environment.</w:t>
      </w:r>
      <w:r>
        <w:t xml:space="preserve"> </w:t>
      </w:r>
      <w:r w:rsidRPr="00F706F0">
        <w:t>This includes</w:t>
      </w:r>
      <w:r>
        <w:t xml:space="preserve"> </w:t>
      </w:r>
      <w:r w:rsidRPr="0078713C">
        <w:rPr>
          <w:b/>
        </w:rPr>
        <w:t>radiation emergencies</w:t>
      </w:r>
      <w:r w:rsidRPr="00F706F0">
        <w:t xml:space="preserve"> </w:t>
      </w:r>
      <w:r>
        <w:t xml:space="preserve">and conventional </w:t>
      </w:r>
      <w:r w:rsidRPr="00F706F0">
        <w:t>emergencies</w:t>
      </w:r>
      <w:r w:rsidR="00616318">
        <w:t>,</w:t>
      </w:r>
      <w:r w:rsidRPr="00F706F0">
        <w:t xml:space="preserve"> such as fires, release of hazardous chemicals, storms or earthquakes.</w:t>
      </w:r>
    </w:p>
    <w:p w14:paraId="5078900D" w14:textId="77777777" w:rsidR="00E40AAF" w:rsidRDefault="00E40AAF" w:rsidP="00E40AAF"/>
    <w:p w14:paraId="73C9198A" w14:textId="3C3B3211" w:rsidR="007A0047" w:rsidRDefault="007A0047" w:rsidP="00E40AAF">
      <w:r>
        <w:rPr>
          <w:b/>
        </w:rPr>
        <w:t>Employer</w:t>
      </w:r>
      <w:r w:rsidR="00616318">
        <w:t>:</w:t>
      </w:r>
      <w:r>
        <w:t xml:space="preserve"> the legal entity that employs </w:t>
      </w:r>
      <w:r>
        <w:rPr>
          <w:b/>
        </w:rPr>
        <w:t>workers</w:t>
      </w:r>
      <w:r>
        <w:t>.</w:t>
      </w:r>
      <w:r w:rsidR="008746C1">
        <w:t xml:space="preserve"> </w:t>
      </w:r>
      <w:r>
        <w:t>A self-employed person is regarded as being both an employer and a worker.</w:t>
      </w:r>
    </w:p>
    <w:p w14:paraId="45FC8CDE" w14:textId="77777777" w:rsidR="00E40AAF" w:rsidRDefault="00E40AAF" w:rsidP="00E40AAF"/>
    <w:p w14:paraId="04E5C37D" w14:textId="04B50090" w:rsidR="007A0047" w:rsidRDefault="007A0047" w:rsidP="00E40AAF">
      <w:pPr>
        <w:rPr>
          <w:rFonts w:cs="Arial"/>
          <w:szCs w:val="22"/>
        </w:rPr>
      </w:pPr>
      <w:r w:rsidRPr="00F706F0">
        <w:rPr>
          <w:b/>
          <w:szCs w:val="22"/>
        </w:rPr>
        <w:t>Equivalent dose</w:t>
      </w:r>
      <w:r w:rsidR="008659BF">
        <w:t>:</w:t>
      </w:r>
      <w:r w:rsidRPr="00F706F0">
        <w:rPr>
          <w:szCs w:val="22"/>
        </w:rPr>
        <w:t xml:space="preserve"> </w:t>
      </w:r>
      <w:r w:rsidRPr="00F706F0">
        <w:rPr>
          <w:rFonts w:cs="Arial"/>
          <w:szCs w:val="22"/>
        </w:rPr>
        <w:t>the radiation-weighted dose in a tissue or organ of the body.</w:t>
      </w:r>
    </w:p>
    <w:p w14:paraId="2EE3349C" w14:textId="77777777" w:rsidR="00E40AAF" w:rsidRPr="00F706F0" w:rsidRDefault="00E40AAF" w:rsidP="00E40AAF">
      <w:pPr>
        <w:rPr>
          <w:szCs w:val="22"/>
        </w:rPr>
      </w:pPr>
    </w:p>
    <w:p w14:paraId="6C064693" w14:textId="5D660329" w:rsidR="007A0047" w:rsidRDefault="007A0047" w:rsidP="00E40AAF">
      <w:r>
        <w:rPr>
          <w:b/>
        </w:rPr>
        <w:t>Health screening programme</w:t>
      </w:r>
      <w:r w:rsidR="008659BF">
        <w:t>:</w:t>
      </w:r>
      <w:r w:rsidR="00D5642D">
        <w:t xml:space="preserve"> </w:t>
      </w:r>
      <w:r>
        <w:t>a programme for asymptomatic populations that is approved and justified by a health authority in conjunction with appropriate professional bodies.</w:t>
      </w:r>
    </w:p>
    <w:p w14:paraId="2D942878" w14:textId="77777777" w:rsidR="00E40AAF" w:rsidRDefault="00E40AAF" w:rsidP="00E40AAF"/>
    <w:p w14:paraId="47CE60D9" w14:textId="27E13EA4" w:rsidR="007A0047" w:rsidRDefault="007A0047" w:rsidP="00E40AAF">
      <w:pPr>
        <w:rPr>
          <w:bCs/>
        </w:rPr>
      </w:pPr>
      <w:r>
        <w:rPr>
          <w:b/>
        </w:rPr>
        <w:t>Incident</w:t>
      </w:r>
      <w:r w:rsidR="008659BF">
        <w:t>:</w:t>
      </w:r>
      <w:r>
        <w:t xml:space="preserve"> any </w:t>
      </w:r>
      <w:r>
        <w:rPr>
          <w:b/>
        </w:rPr>
        <w:t>accident</w:t>
      </w:r>
      <w:r>
        <w:t xml:space="preserve"> or other unintended event, including initiating events, accident precursors, near misses or other mishaps</w:t>
      </w:r>
      <w:r w:rsidR="004376FB">
        <w:t xml:space="preserve">, </w:t>
      </w:r>
      <w:r>
        <w:t xml:space="preserve">or unauthorised acts, malicious or non-malicious, the consequences or potential consequences of which are not negligible from the point of view of </w:t>
      </w:r>
      <w:r>
        <w:rPr>
          <w:b/>
        </w:rPr>
        <w:t>protection and safety</w:t>
      </w:r>
      <w:r w:rsidRPr="000671E5">
        <w:rPr>
          <w:bCs/>
        </w:rPr>
        <w:t>.</w:t>
      </w:r>
    </w:p>
    <w:p w14:paraId="072CD227" w14:textId="77777777" w:rsidR="00E40AAF" w:rsidRDefault="00E40AAF" w:rsidP="00E40AAF"/>
    <w:p w14:paraId="536650F4" w14:textId="5D86DAF6" w:rsidR="007A0047" w:rsidRDefault="007A0047" w:rsidP="00E40AAF">
      <w:r>
        <w:rPr>
          <w:b/>
        </w:rPr>
        <w:t>Individual monitoring</w:t>
      </w:r>
      <w:r w:rsidR="004376FB">
        <w:t>:</w:t>
      </w:r>
      <w:r>
        <w:t xml:space="preserve"> </w:t>
      </w:r>
      <w:r>
        <w:rPr>
          <w:b/>
        </w:rPr>
        <w:t>monitoring</w:t>
      </w:r>
      <w:r>
        <w:t xml:space="preserve"> using equipment worn by individuals.</w:t>
      </w:r>
    </w:p>
    <w:p w14:paraId="198B036F" w14:textId="77777777" w:rsidR="00E40AAF" w:rsidRPr="0078713C" w:rsidRDefault="00E40AAF" w:rsidP="00E40AAF">
      <w:pPr>
        <w:rPr>
          <w:b/>
          <w:color w:val="FF0000"/>
        </w:rPr>
      </w:pPr>
    </w:p>
    <w:p w14:paraId="173C7E9B" w14:textId="050F7AAA" w:rsidR="007A0047" w:rsidRDefault="007A0047" w:rsidP="00E40AAF">
      <w:r w:rsidRPr="00F706F0">
        <w:rPr>
          <w:b/>
        </w:rPr>
        <w:t xml:space="preserve">In-room protective </w:t>
      </w:r>
      <w:r>
        <w:rPr>
          <w:b/>
        </w:rPr>
        <w:t>equipment</w:t>
      </w:r>
      <w:r w:rsidR="004376FB">
        <w:t>:</w:t>
      </w:r>
      <w:r>
        <w:t xml:space="preserve"> </w:t>
      </w:r>
      <w:r w:rsidRPr="00F706F0">
        <w:t xml:space="preserve">equipment </w:t>
      </w:r>
      <w:r>
        <w:t xml:space="preserve">used </w:t>
      </w:r>
      <w:r w:rsidRPr="00F706F0">
        <w:t>to reduce exposure to radiation but not worn on the person</w:t>
      </w:r>
      <w:r w:rsidR="00B979AA">
        <w:t xml:space="preserve"> (</w:t>
      </w:r>
      <w:r w:rsidR="004376FB">
        <w:t>for example,</w:t>
      </w:r>
      <w:r w:rsidRPr="00F706F0">
        <w:t xml:space="preserve"> shields</w:t>
      </w:r>
      <w:r>
        <w:t xml:space="preserve"> </w:t>
      </w:r>
      <w:r w:rsidRPr="000C47AC">
        <w:t>for bench tops, vials, syringes, activity meters</w:t>
      </w:r>
      <w:r w:rsidR="00B979AA">
        <w:t>)</w:t>
      </w:r>
      <w:r w:rsidR="00B979AA" w:rsidRPr="000C47AC">
        <w:t xml:space="preserve"> </w:t>
      </w:r>
      <w:r w:rsidRPr="000C47AC">
        <w:t>and for the preparation of radiopharmaceuticals</w:t>
      </w:r>
      <w:r>
        <w:t xml:space="preserve">; </w:t>
      </w:r>
      <w:r w:rsidRPr="000C47AC">
        <w:t>tools for the remote handling of radioactiv</w:t>
      </w:r>
      <w:r>
        <w:t>e material, including tongues and forceps;</w:t>
      </w:r>
      <w:r>
        <w:rPr>
          <w:b/>
        </w:rPr>
        <w:t xml:space="preserve"> </w:t>
      </w:r>
      <w:r>
        <w:t>containers for transport</w:t>
      </w:r>
      <w:r w:rsidR="00B979AA">
        <w:t>ing</w:t>
      </w:r>
      <w:r>
        <w:t xml:space="preserve"> radioactive waste and sources; </w:t>
      </w:r>
      <w:r w:rsidRPr="0057240D">
        <w:t xml:space="preserve">and </w:t>
      </w:r>
      <w:r>
        <w:t>fume hoods</w:t>
      </w:r>
      <w:r w:rsidR="009937E6">
        <w:t>.</w:t>
      </w:r>
    </w:p>
    <w:p w14:paraId="3DE18E38" w14:textId="77777777" w:rsidR="00E40AAF" w:rsidRDefault="00E40AAF" w:rsidP="00E40AAF"/>
    <w:p w14:paraId="06D1AB3F" w14:textId="14740A98" w:rsidR="007A0047" w:rsidRDefault="007A0047" w:rsidP="00E40AAF">
      <w:r>
        <w:rPr>
          <w:b/>
        </w:rPr>
        <w:t>Investigation level</w:t>
      </w:r>
      <w:r w:rsidR="00B979AA">
        <w:t>:</w:t>
      </w:r>
      <w:r>
        <w:t xml:space="preserve"> value of a quantity</w:t>
      </w:r>
      <w:r w:rsidR="00B979AA">
        <w:t>,</w:t>
      </w:r>
      <w:r>
        <w:t xml:space="preserve"> such as effective dose, intake or contamination per unit area or volume at or above which an investigation would be conducted.</w:t>
      </w:r>
    </w:p>
    <w:p w14:paraId="42C7259A" w14:textId="77777777" w:rsidR="00550FD4" w:rsidRPr="00F706F0" w:rsidRDefault="00550FD4" w:rsidP="00E40AAF"/>
    <w:p w14:paraId="34A3466F" w14:textId="486651F0" w:rsidR="007A0047" w:rsidRPr="00F706F0" w:rsidRDefault="007A0047" w:rsidP="00E40AAF">
      <w:r w:rsidRPr="00F706F0">
        <w:rPr>
          <w:b/>
        </w:rPr>
        <w:lastRenderedPageBreak/>
        <w:t>Justify</w:t>
      </w:r>
      <w:r w:rsidR="00B979AA">
        <w:t>:</w:t>
      </w:r>
      <w:r w:rsidRPr="00F706F0">
        <w:t xml:space="preserve"> </w:t>
      </w:r>
      <w:r w:rsidR="00B979AA">
        <w:t xml:space="preserve">to </w:t>
      </w:r>
      <w:r>
        <w:t xml:space="preserve">determine that the expected benefits to individuals and society from introducing or continuing a practice outweigh the harm, including the radiation detriment, resulting from the practice. In respect of individual </w:t>
      </w:r>
      <w:r>
        <w:rPr>
          <w:b/>
        </w:rPr>
        <w:t>radiation procedures</w:t>
      </w:r>
      <w:r>
        <w:t>,</w:t>
      </w:r>
      <w:r>
        <w:rPr>
          <w:b/>
        </w:rPr>
        <w:t xml:space="preserve"> </w:t>
      </w:r>
      <w:r>
        <w:t>this involves weighing expected benefits against the radiation detriment that might be caused</w:t>
      </w:r>
      <w:r w:rsidR="00B979AA">
        <w:t>, taking</w:t>
      </w:r>
      <w:r>
        <w:t xml:space="preserve"> account of the benefits and risks of available alternate techniques that do not involve </w:t>
      </w:r>
      <w:r>
        <w:rPr>
          <w:b/>
        </w:rPr>
        <w:t>medical exposure</w:t>
      </w:r>
      <w:r>
        <w:t xml:space="preserve">. </w:t>
      </w:r>
      <w:r w:rsidR="008746C1">
        <w:t>‘</w:t>
      </w:r>
      <w:r w:rsidRPr="00F706F0">
        <w:t>Justifies</w:t>
      </w:r>
      <w:r w:rsidR="008746C1">
        <w:t>’</w:t>
      </w:r>
      <w:r w:rsidRPr="00F706F0">
        <w:t xml:space="preserve">, </w:t>
      </w:r>
      <w:r w:rsidR="008746C1">
        <w:t>‘</w:t>
      </w:r>
      <w:r w:rsidRPr="00F706F0">
        <w:t>justified</w:t>
      </w:r>
      <w:r w:rsidR="008746C1">
        <w:t>’</w:t>
      </w:r>
      <w:r w:rsidRPr="00F706F0">
        <w:t xml:space="preserve"> and </w:t>
      </w:r>
      <w:r w:rsidR="008746C1">
        <w:t>‘</w:t>
      </w:r>
      <w:r w:rsidRPr="00F706F0">
        <w:t>justification</w:t>
      </w:r>
      <w:r w:rsidR="008746C1">
        <w:t>’</w:t>
      </w:r>
      <w:r w:rsidRPr="00F706F0">
        <w:t xml:space="preserve"> have corresponding meanings.</w:t>
      </w:r>
    </w:p>
    <w:p w14:paraId="69E50ABD" w14:textId="77777777" w:rsidR="00EC62AA" w:rsidRDefault="00EC62AA" w:rsidP="00E40AAF">
      <w:pPr>
        <w:rPr>
          <w:rFonts w:ascii="Arial" w:hAnsi="Arial" w:cs="Arial"/>
          <w:b/>
          <w:bCs/>
        </w:rPr>
      </w:pPr>
    </w:p>
    <w:p w14:paraId="2FEFEB25" w14:textId="1119D89B" w:rsidR="00EC62AA" w:rsidRDefault="00EC62AA" w:rsidP="00E40AAF">
      <w:pPr>
        <w:rPr>
          <w:rFonts w:cs="Segoe UI"/>
        </w:rPr>
      </w:pPr>
      <w:r w:rsidRPr="0017274B">
        <w:rPr>
          <w:rFonts w:cs="Segoe UI"/>
          <w:b/>
          <w:bCs/>
        </w:rPr>
        <w:t>Local diagnostic reference level</w:t>
      </w:r>
      <w:r w:rsidR="00356B1F">
        <w:rPr>
          <w:rFonts w:cs="Segoe UI"/>
        </w:rPr>
        <w:t>:</w:t>
      </w:r>
      <w:r w:rsidRPr="0017274B">
        <w:rPr>
          <w:rFonts w:cs="Segoe UI"/>
        </w:rPr>
        <w:t xml:space="preserve"> a </w:t>
      </w:r>
      <w:r w:rsidRPr="0017274B">
        <w:rPr>
          <w:rFonts w:cs="Segoe UI"/>
          <w:b/>
          <w:bCs/>
        </w:rPr>
        <w:t>diagnostic reference level</w:t>
      </w:r>
      <w:r w:rsidRPr="0017274B">
        <w:rPr>
          <w:rFonts w:cs="Segoe UI"/>
        </w:rPr>
        <w:t xml:space="preserve"> for a health</w:t>
      </w:r>
      <w:r w:rsidR="0001011E">
        <w:rPr>
          <w:rFonts w:cs="Segoe UI"/>
        </w:rPr>
        <w:t xml:space="preserve"> </w:t>
      </w:r>
      <w:r w:rsidRPr="0017274B">
        <w:rPr>
          <w:rFonts w:cs="Segoe UI"/>
        </w:rPr>
        <w:t xml:space="preserve">care </w:t>
      </w:r>
      <w:r w:rsidRPr="0027320A">
        <w:rPr>
          <w:rFonts w:cs="Segoe UI"/>
        </w:rPr>
        <w:t>facility that is based on a representative distribution of the appropriate diagnostic reference level quantit</w:t>
      </w:r>
      <w:r w:rsidR="00356B1F">
        <w:rPr>
          <w:rFonts w:cs="Segoe UI"/>
        </w:rPr>
        <w:t>ies</w:t>
      </w:r>
      <w:r w:rsidRPr="0027320A">
        <w:rPr>
          <w:rFonts w:cs="Segoe UI"/>
        </w:rPr>
        <w:t xml:space="preserve"> and is related to the use of specified </w:t>
      </w:r>
      <w:r w:rsidR="00CB768E" w:rsidRPr="0027320A">
        <w:rPr>
          <w:rFonts w:cs="Segoe UI"/>
        </w:rPr>
        <w:t xml:space="preserve">activities of radionuclides </w:t>
      </w:r>
      <w:r w:rsidRPr="0027320A">
        <w:rPr>
          <w:rFonts w:cs="Segoe UI"/>
        </w:rPr>
        <w:t>in that facility</w:t>
      </w:r>
      <w:r w:rsidR="00EA3DA5" w:rsidRPr="00476218">
        <w:rPr>
          <w:rFonts w:cs="Segoe UI"/>
        </w:rPr>
        <w:t>.</w:t>
      </w:r>
      <w:r w:rsidR="00176D18" w:rsidRPr="00476218">
        <w:rPr>
          <w:rFonts w:cs="Segoe UI"/>
        </w:rPr>
        <w:t xml:space="preserve"> </w:t>
      </w:r>
      <w:r w:rsidR="00373625" w:rsidRPr="00476218">
        <w:rPr>
          <w:rFonts w:cs="Segoe UI"/>
        </w:rPr>
        <w:t xml:space="preserve">Local diagnostic levels </w:t>
      </w:r>
      <w:r w:rsidR="00523057" w:rsidRPr="00476218">
        <w:rPr>
          <w:rFonts w:cs="Segoe UI"/>
        </w:rPr>
        <w:t xml:space="preserve">must be compared with national diagnostic levels </w:t>
      </w:r>
      <w:r w:rsidR="00351AEA" w:rsidRPr="00476218">
        <w:rPr>
          <w:rFonts w:cs="Segoe UI"/>
        </w:rPr>
        <w:t>where national diagnostic levels are available.</w:t>
      </w:r>
    </w:p>
    <w:p w14:paraId="2797791E" w14:textId="77777777" w:rsidR="00E40AAF" w:rsidRPr="0017274B" w:rsidRDefault="00E40AAF" w:rsidP="00E40AAF">
      <w:pPr>
        <w:rPr>
          <w:rFonts w:cs="Segoe UI"/>
        </w:rPr>
      </w:pPr>
    </w:p>
    <w:p w14:paraId="76D1F327" w14:textId="790E4052" w:rsidR="007A0047" w:rsidRDefault="007A0047" w:rsidP="00E40AAF">
      <w:r w:rsidRPr="00F706F0">
        <w:rPr>
          <w:b/>
        </w:rPr>
        <w:t>Medical exposure</w:t>
      </w:r>
      <w:r w:rsidR="00356B1F">
        <w:t>:</w:t>
      </w:r>
      <w:r w:rsidRPr="00F706F0">
        <w:t xml:space="preserve"> </w:t>
      </w:r>
      <w:r w:rsidR="00EB0891" w:rsidRPr="00F706F0">
        <w:t>patients</w:t>
      </w:r>
      <w:r w:rsidR="00EB0891">
        <w:t>’</w:t>
      </w:r>
      <w:r w:rsidR="00EB0891" w:rsidRPr="00F706F0">
        <w:t xml:space="preserve"> </w:t>
      </w:r>
      <w:r w:rsidRPr="00F706F0">
        <w:t>exposure to ionising radiation for the purposes of medical diagnosis</w:t>
      </w:r>
      <w:r>
        <w:t xml:space="preserve"> or medical treatment</w:t>
      </w:r>
      <w:r w:rsidRPr="00F706F0">
        <w:t xml:space="preserve">, </w:t>
      </w:r>
      <w:r w:rsidR="00CB477A" w:rsidRPr="00CB477A">
        <w:rPr>
          <w:b/>
          <w:bCs/>
        </w:rPr>
        <w:t xml:space="preserve">carers and </w:t>
      </w:r>
      <w:r w:rsidRPr="00CB477A">
        <w:rPr>
          <w:b/>
          <w:bCs/>
        </w:rPr>
        <w:t>comforters</w:t>
      </w:r>
      <w:r w:rsidR="00C543C0" w:rsidRPr="00CB477A">
        <w:rPr>
          <w:b/>
          <w:bCs/>
        </w:rPr>
        <w:t>’</w:t>
      </w:r>
      <w:r w:rsidR="00C543C0" w:rsidRPr="000671E5">
        <w:rPr>
          <w:bCs/>
        </w:rPr>
        <w:t xml:space="preserve"> exposure</w:t>
      </w:r>
      <w:r w:rsidRPr="00F706F0">
        <w:t xml:space="preserve"> while providing care, support or comfort to patients undergoing </w:t>
      </w:r>
      <w:r>
        <w:rPr>
          <w:b/>
        </w:rPr>
        <w:t>radiation procedure</w:t>
      </w:r>
      <w:r w:rsidRPr="00F706F0">
        <w:rPr>
          <w:b/>
        </w:rPr>
        <w:t>s</w:t>
      </w:r>
      <w:r w:rsidRPr="00F706F0">
        <w:t xml:space="preserve">, and </w:t>
      </w:r>
      <w:r w:rsidRPr="0078713C">
        <w:rPr>
          <w:b/>
        </w:rPr>
        <w:t>volunteers</w:t>
      </w:r>
      <w:r w:rsidR="00C543C0">
        <w:rPr>
          <w:b/>
        </w:rPr>
        <w:t xml:space="preserve">’ </w:t>
      </w:r>
      <w:r w:rsidR="00C543C0" w:rsidRPr="000873EB">
        <w:rPr>
          <w:bCs/>
        </w:rPr>
        <w:t>exposure</w:t>
      </w:r>
      <w:r w:rsidRPr="00F706F0">
        <w:t xml:space="preserve"> in a programme of biomedical research.</w:t>
      </w:r>
    </w:p>
    <w:p w14:paraId="32C6947C" w14:textId="77777777" w:rsidR="00E40AAF" w:rsidRPr="00F706F0" w:rsidRDefault="00E40AAF" w:rsidP="00E40AAF"/>
    <w:p w14:paraId="6F6A0F68" w14:textId="073B14EB" w:rsidR="007A0047" w:rsidRDefault="007A0047" w:rsidP="00E40AAF">
      <w:r w:rsidRPr="00F706F0">
        <w:rPr>
          <w:b/>
        </w:rPr>
        <w:t>Member of the public</w:t>
      </w:r>
      <w:r w:rsidR="003C51BD">
        <w:t>:</w:t>
      </w:r>
      <w:r w:rsidRPr="00F706F0">
        <w:t xml:space="preserve"> for </w:t>
      </w:r>
      <w:r w:rsidR="003C51BD">
        <w:t xml:space="preserve">the </w:t>
      </w:r>
      <w:r w:rsidRPr="00F706F0">
        <w:t xml:space="preserve">purposes of </w:t>
      </w:r>
      <w:r w:rsidRPr="0078713C">
        <w:rPr>
          <w:b/>
        </w:rPr>
        <w:t>protection and safety</w:t>
      </w:r>
      <w:r w:rsidRPr="00F706F0">
        <w:t xml:space="preserve">, any individual in the population except when subject to </w:t>
      </w:r>
      <w:r w:rsidRPr="00F706F0">
        <w:rPr>
          <w:b/>
        </w:rPr>
        <w:t>occupational exposure</w:t>
      </w:r>
      <w:r w:rsidRPr="00F706F0">
        <w:t xml:space="preserve"> or </w:t>
      </w:r>
      <w:r w:rsidRPr="00F706F0">
        <w:rPr>
          <w:b/>
        </w:rPr>
        <w:t>medical exposure</w:t>
      </w:r>
      <w:r w:rsidRPr="00F706F0">
        <w:t>.</w:t>
      </w:r>
    </w:p>
    <w:p w14:paraId="009E33DF" w14:textId="77777777" w:rsidR="00E40AAF" w:rsidRDefault="00E40AAF" w:rsidP="00E40AAF"/>
    <w:p w14:paraId="52DE0CE1" w14:textId="5038A3D7" w:rsidR="007A0047" w:rsidRDefault="007A0047" w:rsidP="00E40AAF">
      <w:r>
        <w:rPr>
          <w:b/>
        </w:rPr>
        <w:t>Monitoring</w:t>
      </w:r>
      <w:r w:rsidR="004376FB">
        <w:t>:</w:t>
      </w:r>
      <w:r>
        <w:t xml:space="preserve"> the measurement of dose or dose rate to enable the assessment or control of exposure due to radiation and the interpretation of the results</w:t>
      </w:r>
      <w:r w:rsidR="00203D80">
        <w:t>.</w:t>
      </w:r>
    </w:p>
    <w:p w14:paraId="27F240EE" w14:textId="77777777" w:rsidR="00E40AAF" w:rsidRPr="00F706F0" w:rsidRDefault="00E40AAF" w:rsidP="00E40AAF"/>
    <w:p w14:paraId="70C52F2A" w14:textId="513DDFB6" w:rsidR="00DC5170" w:rsidRDefault="00DC5170" w:rsidP="00E40AAF">
      <w:r w:rsidRPr="00097C54">
        <w:rPr>
          <w:b/>
          <w:bCs/>
        </w:rPr>
        <w:t>National diagnostic reference level</w:t>
      </w:r>
      <w:r>
        <w:rPr>
          <w:b/>
          <w:bCs/>
        </w:rPr>
        <w:t>s</w:t>
      </w:r>
      <w:r w:rsidR="006911AD">
        <w:t xml:space="preserve">: </w:t>
      </w:r>
      <w:r>
        <w:t xml:space="preserve">values of </w:t>
      </w:r>
      <w:r w:rsidRPr="00CA4A06">
        <w:rPr>
          <w:b/>
          <w:bCs/>
        </w:rPr>
        <w:t>diagnostic reference levels</w:t>
      </w:r>
      <w:r>
        <w:t xml:space="preserve"> based on data from a representative sample of health</w:t>
      </w:r>
      <w:r w:rsidR="0001011E">
        <w:t xml:space="preserve"> </w:t>
      </w:r>
      <w:r>
        <w:t xml:space="preserve">care facilities. </w:t>
      </w:r>
      <w:r w:rsidR="0001011E">
        <w:t>The Director</w:t>
      </w:r>
      <w:r w:rsidR="0001011E" w:rsidRPr="00475EAB">
        <w:t xml:space="preserve"> </w:t>
      </w:r>
      <w:r w:rsidR="0001011E">
        <w:t>will publish n</w:t>
      </w:r>
      <w:r w:rsidRPr="00475EAB">
        <w:t>ational diagnostic reference levels.</w:t>
      </w:r>
    </w:p>
    <w:p w14:paraId="23C206CC" w14:textId="77777777" w:rsidR="00E40AAF" w:rsidRPr="00475EAB" w:rsidRDefault="00E40AAF" w:rsidP="00E40AAF"/>
    <w:p w14:paraId="2BA0F692" w14:textId="6162F2CE" w:rsidR="007A0047" w:rsidRDefault="007A0047" w:rsidP="00E40AAF">
      <w:r w:rsidRPr="00F706F0">
        <w:rPr>
          <w:b/>
        </w:rPr>
        <w:t>Occupational exposure</w:t>
      </w:r>
      <w:r w:rsidR="00444E1A">
        <w:t>:</w:t>
      </w:r>
      <w:r w:rsidRPr="00F706F0">
        <w:t xml:space="preserve"> exposure of </w:t>
      </w:r>
      <w:r w:rsidRPr="00F706F0">
        <w:rPr>
          <w:b/>
        </w:rPr>
        <w:t>workers</w:t>
      </w:r>
      <w:r w:rsidRPr="00F706F0">
        <w:t xml:space="preserve"> incurred in the course of their work.</w:t>
      </w:r>
    </w:p>
    <w:p w14:paraId="2C09C0A6" w14:textId="77777777" w:rsidR="00F83B22" w:rsidRPr="00F706F0" w:rsidRDefault="00F83B22" w:rsidP="00E40AAF"/>
    <w:p w14:paraId="3D02FCF5" w14:textId="6E167E12" w:rsidR="007A0047" w:rsidRDefault="007A0047" w:rsidP="00E40AAF">
      <w:pPr>
        <w:rPr>
          <w:szCs w:val="22"/>
        </w:rPr>
      </w:pPr>
      <w:r w:rsidRPr="00F706F0">
        <w:rPr>
          <w:b/>
        </w:rPr>
        <w:t>Optimise</w:t>
      </w:r>
      <w:r w:rsidR="00444E1A">
        <w:t>:</w:t>
      </w:r>
      <w:r>
        <w:rPr>
          <w:szCs w:val="22"/>
        </w:rPr>
        <w:t xml:space="preserve"> implement</w:t>
      </w:r>
      <w:r w:rsidR="00444E1A">
        <w:rPr>
          <w:szCs w:val="22"/>
        </w:rPr>
        <w:t>ing</w:t>
      </w:r>
      <w:r>
        <w:rPr>
          <w:szCs w:val="22"/>
        </w:rPr>
        <w:t xml:space="preserve"> a level of </w:t>
      </w:r>
      <w:r>
        <w:rPr>
          <w:b/>
          <w:szCs w:val="22"/>
        </w:rPr>
        <w:t>protection and safety</w:t>
      </w:r>
      <w:r>
        <w:rPr>
          <w:szCs w:val="22"/>
        </w:rPr>
        <w:t xml:space="preserve"> that results in the magnitude of individual doses, the number of individuals (</w:t>
      </w:r>
      <w:r>
        <w:rPr>
          <w:b/>
          <w:szCs w:val="22"/>
        </w:rPr>
        <w:t>workers</w:t>
      </w:r>
      <w:r>
        <w:rPr>
          <w:szCs w:val="22"/>
        </w:rPr>
        <w:t xml:space="preserve"> and </w:t>
      </w:r>
      <w:r>
        <w:rPr>
          <w:b/>
          <w:szCs w:val="22"/>
        </w:rPr>
        <w:t>members of the public</w:t>
      </w:r>
      <w:r>
        <w:rPr>
          <w:szCs w:val="22"/>
        </w:rPr>
        <w:t xml:space="preserve">) subject to exposure and the likelihood of </w:t>
      </w:r>
      <w:r w:rsidR="00763B35">
        <w:rPr>
          <w:szCs w:val="22"/>
        </w:rPr>
        <w:t xml:space="preserve">the </w:t>
      </w:r>
      <w:r>
        <w:rPr>
          <w:szCs w:val="22"/>
        </w:rPr>
        <w:t>exposure being as low as reasonably achievable, economic and social factors being taken into account.</w:t>
      </w:r>
      <w:r w:rsidR="008746C1">
        <w:rPr>
          <w:szCs w:val="22"/>
        </w:rPr>
        <w:t xml:space="preserve"> </w:t>
      </w:r>
      <w:r>
        <w:rPr>
          <w:szCs w:val="22"/>
        </w:rPr>
        <w:t xml:space="preserve">For </w:t>
      </w:r>
      <w:r>
        <w:rPr>
          <w:b/>
          <w:szCs w:val="22"/>
        </w:rPr>
        <w:t>medical exposures</w:t>
      </w:r>
      <w:r>
        <w:rPr>
          <w:szCs w:val="22"/>
        </w:rPr>
        <w:t xml:space="preserve"> of </w:t>
      </w:r>
      <w:r>
        <w:rPr>
          <w:b/>
          <w:szCs w:val="22"/>
        </w:rPr>
        <w:t>patients</w:t>
      </w:r>
      <w:r w:rsidR="00763B35" w:rsidRPr="000671E5">
        <w:rPr>
          <w:bCs/>
          <w:szCs w:val="22"/>
        </w:rPr>
        <w:t>,</w:t>
      </w:r>
      <w:r>
        <w:rPr>
          <w:szCs w:val="22"/>
        </w:rPr>
        <w:t xml:space="preserve"> this requires the management of the </w:t>
      </w:r>
      <w:r w:rsidR="00686C8D">
        <w:rPr>
          <w:szCs w:val="22"/>
        </w:rPr>
        <w:t xml:space="preserve">patient’s </w:t>
      </w:r>
      <w:r>
        <w:rPr>
          <w:szCs w:val="22"/>
        </w:rPr>
        <w:t xml:space="preserve">radiation dose to </w:t>
      </w:r>
      <w:r w:rsidR="00686C8D">
        <w:rPr>
          <w:szCs w:val="22"/>
        </w:rPr>
        <w:t>be</w:t>
      </w:r>
      <w:r>
        <w:rPr>
          <w:szCs w:val="22"/>
        </w:rPr>
        <w:t xml:space="preserve"> commensurate with the medical purpose. </w:t>
      </w:r>
      <w:r w:rsidR="008746C1">
        <w:rPr>
          <w:szCs w:val="22"/>
        </w:rPr>
        <w:t>‘</w:t>
      </w:r>
      <w:r w:rsidRPr="00F706F0">
        <w:rPr>
          <w:szCs w:val="22"/>
        </w:rPr>
        <w:t>Optimises</w:t>
      </w:r>
      <w:r w:rsidR="008746C1">
        <w:rPr>
          <w:szCs w:val="22"/>
        </w:rPr>
        <w:t>’</w:t>
      </w:r>
      <w:r w:rsidRPr="00F706F0">
        <w:rPr>
          <w:szCs w:val="22"/>
        </w:rPr>
        <w:t xml:space="preserve">, </w:t>
      </w:r>
      <w:r w:rsidR="008746C1">
        <w:rPr>
          <w:szCs w:val="22"/>
        </w:rPr>
        <w:t>‘</w:t>
      </w:r>
      <w:r w:rsidRPr="00F706F0">
        <w:rPr>
          <w:szCs w:val="22"/>
        </w:rPr>
        <w:t>optimised</w:t>
      </w:r>
      <w:r w:rsidR="008746C1">
        <w:rPr>
          <w:szCs w:val="22"/>
        </w:rPr>
        <w:t>’</w:t>
      </w:r>
      <w:r w:rsidRPr="00F706F0">
        <w:rPr>
          <w:szCs w:val="22"/>
        </w:rPr>
        <w:t xml:space="preserve"> and </w:t>
      </w:r>
      <w:r w:rsidR="008746C1">
        <w:rPr>
          <w:szCs w:val="22"/>
        </w:rPr>
        <w:t>‘</w:t>
      </w:r>
      <w:r w:rsidRPr="00F706F0">
        <w:rPr>
          <w:szCs w:val="22"/>
        </w:rPr>
        <w:t>optimisation</w:t>
      </w:r>
      <w:r w:rsidR="008746C1">
        <w:rPr>
          <w:szCs w:val="22"/>
        </w:rPr>
        <w:t>’</w:t>
      </w:r>
      <w:r w:rsidRPr="00F706F0">
        <w:rPr>
          <w:szCs w:val="22"/>
        </w:rPr>
        <w:t xml:space="preserve"> have corresponding meanings.</w:t>
      </w:r>
    </w:p>
    <w:p w14:paraId="1F3691BC" w14:textId="77777777" w:rsidR="00203D80" w:rsidRDefault="00203D80" w:rsidP="00BE1302">
      <w:pPr>
        <w:rPr>
          <w:b/>
          <w:szCs w:val="22"/>
        </w:rPr>
      </w:pPr>
    </w:p>
    <w:p w14:paraId="6C2D7DF9" w14:textId="066A66CB" w:rsidR="00BE1302" w:rsidRPr="0027320A" w:rsidRDefault="00FF0E7C" w:rsidP="00BE1302">
      <w:r w:rsidRPr="0027320A">
        <w:rPr>
          <w:b/>
          <w:szCs w:val="22"/>
        </w:rPr>
        <w:t>Overexposure of a person</w:t>
      </w:r>
      <w:r w:rsidR="00356836">
        <w:t xml:space="preserve">: </w:t>
      </w:r>
    </w:p>
    <w:p w14:paraId="2846A2E2" w14:textId="608D0BE9" w:rsidR="00BE1302" w:rsidRPr="00E40AAF" w:rsidRDefault="00356836" w:rsidP="00E40AAF">
      <w:pPr>
        <w:pStyle w:val="Letter"/>
        <w:ind w:left="426" w:hanging="426"/>
      </w:pPr>
      <w:r w:rsidRPr="00E40AAF">
        <w:t xml:space="preserve">when </w:t>
      </w:r>
      <w:r w:rsidR="00BE1302" w:rsidRPr="00E40AAF">
        <w:t xml:space="preserve">a </w:t>
      </w:r>
      <w:r w:rsidR="00BE1302" w:rsidRPr="00550FD4">
        <w:rPr>
          <w:b/>
          <w:bCs/>
        </w:rPr>
        <w:t>dose limit</w:t>
      </w:r>
      <w:r w:rsidR="00BE1302" w:rsidRPr="00E40AAF">
        <w:t xml:space="preserve"> has been exceeded</w:t>
      </w:r>
    </w:p>
    <w:p w14:paraId="6DE347A2" w14:textId="194491D3" w:rsidR="009E6881" w:rsidRPr="00E40AAF" w:rsidRDefault="008B018C" w:rsidP="00E40AAF">
      <w:pPr>
        <w:pStyle w:val="Letter"/>
        <w:ind w:left="426" w:hanging="426"/>
      </w:pPr>
      <w:r w:rsidRPr="00E40AAF">
        <w:t xml:space="preserve">where a </w:t>
      </w:r>
      <w:r w:rsidRPr="00550FD4">
        <w:rPr>
          <w:b/>
          <w:bCs/>
        </w:rPr>
        <w:t>patient</w:t>
      </w:r>
      <w:r w:rsidRPr="00E40AAF">
        <w:t xml:space="preserve"> had been </w:t>
      </w:r>
      <w:r w:rsidR="00F6416E" w:rsidRPr="00E40AAF">
        <w:t>administ</w:t>
      </w:r>
      <w:r w:rsidRPr="00E40AAF">
        <w:t>ered</w:t>
      </w:r>
      <w:r w:rsidR="00F6416E" w:rsidRPr="00E40AAF">
        <w:t xml:space="preserve"> the incorrect radiophar</w:t>
      </w:r>
      <w:r w:rsidR="007E11DB" w:rsidRPr="00E40AAF">
        <w:t>maceutical, regardless of dose</w:t>
      </w:r>
    </w:p>
    <w:p w14:paraId="4D65CEE7" w14:textId="57D62959" w:rsidR="00475334" w:rsidRPr="00E40AAF" w:rsidRDefault="00BE1302" w:rsidP="00E40AAF">
      <w:pPr>
        <w:pStyle w:val="Letter"/>
        <w:ind w:left="426" w:hanging="426"/>
      </w:pPr>
      <w:r w:rsidRPr="00E40AAF">
        <w:t>where a person has received a dose and no dose was intended</w:t>
      </w:r>
      <w:r w:rsidR="00D46B1A" w:rsidRPr="00E40AAF">
        <w:t xml:space="preserve"> </w:t>
      </w:r>
    </w:p>
    <w:p w14:paraId="568D1026" w14:textId="0C4AFC3C" w:rsidR="00BE1302" w:rsidRPr="00E40AAF" w:rsidRDefault="00FC3208" w:rsidP="00E40AAF">
      <w:pPr>
        <w:pStyle w:val="Letter"/>
        <w:ind w:left="426" w:hanging="426"/>
      </w:pPr>
      <w:r w:rsidRPr="00E40AAF">
        <w:t>for nuclear medicine imaging</w:t>
      </w:r>
      <w:r w:rsidR="00764DFE" w:rsidRPr="00E40AAF">
        <w:t xml:space="preserve">: </w:t>
      </w:r>
      <w:r w:rsidR="00BE1302" w:rsidRPr="00E40AAF">
        <w:t xml:space="preserve">when the total </w:t>
      </w:r>
      <w:r w:rsidR="00BE1302" w:rsidRPr="00550FD4">
        <w:rPr>
          <w:b/>
          <w:bCs/>
        </w:rPr>
        <w:t>effective dose</w:t>
      </w:r>
      <w:r w:rsidR="00BE1302" w:rsidRPr="00E40AAF">
        <w:t xml:space="preserve"> to a </w:t>
      </w:r>
      <w:r w:rsidR="00BE1302" w:rsidRPr="00550FD4">
        <w:rPr>
          <w:b/>
          <w:bCs/>
        </w:rPr>
        <w:t xml:space="preserve">patient </w:t>
      </w:r>
      <w:r w:rsidR="00BE1302" w:rsidRPr="00E40AAF">
        <w:t>(includ</w:t>
      </w:r>
      <w:r w:rsidR="006638C9" w:rsidRPr="00E40AAF">
        <w:t>ing</w:t>
      </w:r>
      <w:r w:rsidR="00BE1302" w:rsidRPr="00E40AAF">
        <w:t xml:space="preserve"> any intended and necessary repeat components) is: </w:t>
      </w:r>
    </w:p>
    <w:p w14:paraId="7CB170B2" w14:textId="7030F7F6" w:rsidR="00BE1302" w:rsidRPr="00E40AAF" w:rsidRDefault="00BE1302" w:rsidP="00550FD4">
      <w:pPr>
        <w:pStyle w:val="Roman"/>
        <w:ind w:left="851" w:hanging="425"/>
      </w:pPr>
      <w:r w:rsidRPr="00E40AAF">
        <w:t xml:space="preserve">10 </w:t>
      </w:r>
      <w:r w:rsidR="006638C9" w:rsidRPr="00E40AAF">
        <w:t xml:space="preserve">or more </w:t>
      </w:r>
      <w:r w:rsidRPr="00E40AAF">
        <w:t xml:space="preserve">times greater than the intended dose if the intended dose was below 2.5 mSv </w:t>
      </w:r>
    </w:p>
    <w:p w14:paraId="3E3D5646" w14:textId="21A58DB5" w:rsidR="00BE1302" w:rsidRPr="00E40AAF" w:rsidRDefault="00BE1302" w:rsidP="00550FD4">
      <w:pPr>
        <w:pStyle w:val="Roman"/>
        <w:ind w:left="851" w:hanging="425"/>
      </w:pPr>
      <w:r w:rsidRPr="00E40AAF">
        <w:lastRenderedPageBreak/>
        <w:t xml:space="preserve">25 mSv or above if the intended dose was between 2.5 mSv and 10 mSv </w:t>
      </w:r>
    </w:p>
    <w:p w14:paraId="52238DC6" w14:textId="3B8EE71A" w:rsidR="00BE1302" w:rsidRPr="00E40AAF" w:rsidRDefault="00BE1302" w:rsidP="00550FD4">
      <w:pPr>
        <w:pStyle w:val="Roman"/>
        <w:ind w:left="851" w:hanging="425"/>
      </w:pPr>
      <w:r w:rsidRPr="00E40AAF">
        <w:t xml:space="preserve">2.5 </w:t>
      </w:r>
      <w:r w:rsidR="006638C9" w:rsidRPr="00E40AAF">
        <w:t xml:space="preserve">or more </w:t>
      </w:r>
      <w:r w:rsidRPr="00E40AAF">
        <w:t>times greater than the intended dose if the intended dose was more than 10 mSv</w:t>
      </w:r>
    </w:p>
    <w:p w14:paraId="04467801" w14:textId="3B1007F5" w:rsidR="00764DFE" w:rsidRPr="0027320A" w:rsidRDefault="0083728F" w:rsidP="00C07D41">
      <w:pPr>
        <w:pStyle w:val="Letter"/>
        <w:ind w:left="426" w:hanging="426"/>
      </w:pPr>
      <w:r w:rsidRPr="0027320A">
        <w:t xml:space="preserve">for nuclear medicine therapy: </w:t>
      </w:r>
    </w:p>
    <w:p w14:paraId="298C413F" w14:textId="6202058F" w:rsidR="00F71E8B" w:rsidRPr="00C07D41" w:rsidRDefault="00460011" w:rsidP="00C07D41">
      <w:pPr>
        <w:pStyle w:val="Roman"/>
        <w:ind w:left="851" w:hanging="425"/>
      </w:pPr>
      <w:r w:rsidRPr="00C07D41">
        <w:t xml:space="preserve">if the delivered </w:t>
      </w:r>
      <w:r w:rsidR="00EE6731" w:rsidRPr="00C07D41">
        <w:t xml:space="preserve">activity </w:t>
      </w:r>
      <w:r w:rsidRPr="00C07D41">
        <w:t xml:space="preserve">is </w:t>
      </w:r>
      <w:r w:rsidR="00581B0C" w:rsidRPr="00C07D41">
        <w:t xml:space="preserve">more than </w:t>
      </w:r>
      <w:r w:rsidR="003040BD" w:rsidRPr="00C07D41">
        <w:t xml:space="preserve">20% of the prescribed activity </w:t>
      </w:r>
      <w:r w:rsidR="004B17D2" w:rsidRPr="00C07D41">
        <w:t xml:space="preserve">for selective internal </w:t>
      </w:r>
      <w:r w:rsidR="00EE6731" w:rsidRPr="00C07D41">
        <w:t>r</w:t>
      </w:r>
      <w:r w:rsidR="004B17D2" w:rsidRPr="00C07D41">
        <w:t>adiation therapy</w:t>
      </w:r>
      <w:r w:rsidRPr="00C07D41">
        <w:t xml:space="preserve"> </w:t>
      </w:r>
    </w:p>
    <w:p w14:paraId="76EB70A8" w14:textId="44983D71" w:rsidR="0046772A" w:rsidRPr="00C07D41" w:rsidRDefault="007148EA" w:rsidP="00C07D41">
      <w:pPr>
        <w:pStyle w:val="Roman"/>
        <w:ind w:left="851" w:hanging="425"/>
      </w:pPr>
      <w:r w:rsidRPr="00C07D41">
        <w:t>i</w:t>
      </w:r>
      <w:r w:rsidR="00460011" w:rsidRPr="00C07D41">
        <w:t>f</w:t>
      </w:r>
      <w:r w:rsidRPr="00C07D41">
        <w:t xml:space="preserve"> the delivered</w:t>
      </w:r>
      <w:r w:rsidR="00E2566A" w:rsidRPr="00C07D41">
        <w:t xml:space="preserve"> </w:t>
      </w:r>
      <w:r w:rsidRPr="00C07D41">
        <w:t xml:space="preserve">activity is </w:t>
      </w:r>
      <w:r w:rsidR="00581B0C" w:rsidRPr="00C07D41">
        <w:t xml:space="preserve">more than </w:t>
      </w:r>
      <w:r w:rsidRPr="00C07D41">
        <w:t xml:space="preserve">10% of the </w:t>
      </w:r>
      <w:r w:rsidR="00B67F64" w:rsidRPr="00C07D41">
        <w:t xml:space="preserve">prescribed activity for all other therapies not </w:t>
      </w:r>
      <w:r w:rsidR="00CF548D" w:rsidRPr="00C07D41">
        <w:t>in</w:t>
      </w:r>
      <w:r w:rsidR="008E0A63" w:rsidRPr="00C07D41">
        <w:t>cluded under</w:t>
      </w:r>
      <w:r w:rsidR="00CF548D" w:rsidRPr="00C07D41">
        <w:t xml:space="preserve"> e(i).</w:t>
      </w:r>
      <w:r w:rsidR="00460011" w:rsidRPr="00C07D41">
        <w:t xml:space="preserve"> </w:t>
      </w:r>
    </w:p>
    <w:p w14:paraId="452A8C37" w14:textId="77777777" w:rsidR="00C07D41" w:rsidRDefault="00C07D41" w:rsidP="00C07D41">
      <w:pPr>
        <w:rPr>
          <w:b/>
          <w:szCs w:val="22"/>
        </w:rPr>
      </w:pPr>
    </w:p>
    <w:p w14:paraId="36AF17D3" w14:textId="45576781" w:rsidR="007A0047" w:rsidRPr="00F706F0" w:rsidRDefault="007A0047" w:rsidP="00C07D41">
      <w:r w:rsidRPr="00F706F0">
        <w:rPr>
          <w:b/>
          <w:szCs w:val="22"/>
        </w:rPr>
        <w:t>Patient</w:t>
      </w:r>
      <w:r w:rsidR="008E0A63">
        <w:t>:</w:t>
      </w:r>
      <w:r w:rsidR="009F4FD7">
        <w:t xml:space="preserve"> </w:t>
      </w:r>
      <w:r w:rsidR="00EE6731">
        <w:t xml:space="preserve">a person </w:t>
      </w:r>
      <w:r w:rsidRPr="00F706F0">
        <w:t xml:space="preserve">who is subject to </w:t>
      </w:r>
      <w:r w:rsidRPr="0078713C">
        <w:rPr>
          <w:b/>
        </w:rPr>
        <w:t>medical exposure</w:t>
      </w:r>
      <w:r w:rsidRPr="00F706F0">
        <w:t xml:space="preserve"> </w:t>
      </w:r>
      <w:r>
        <w:t xml:space="preserve">for </w:t>
      </w:r>
      <w:r w:rsidR="008E0A63">
        <w:t>their</w:t>
      </w:r>
      <w:r>
        <w:t xml:space="preserve"> own medical benefit</w:t>
      </w:r>
      <w:r w:rsidRPr="00F706F0">
        <w:t>.</w:t>
      </w:r>
      <w:r>
        <w:t xml:space="preserve"> A patient may also be a </w:t>
      </w:r>
      <w:r w:rsidRPr="0078713C">
        <w:rPr>
          <w:b/>
        </w:rPr>
        <w:t>volunteer</w:t>
      </w:r>
      <w:r>
        <w:t xml:space="preserve"> for the purpose of this code.</w:t>
      </w:r>
    </w:p>
    <w:p w14:paraId="3F8AAAE2" w14:textId="77777777" w:rsidR="00C07D41" w:rsidRDefault="00C07D41" w:rsidP="00C07D41">
      <w:pPr>
        <w:rPr>
          <w:b/>
          <w:szCs w:val="22"/>
        </w:rPr>
      </w:pPr>
    </w:p>
    <w:p w14:paraId="7631C4CD" w14:textId="0C51F758" w:rsidR="007A0047" w:rsidRDefault="007A0047" w:rsidP="00C07D41">
      <w:pPr>
        <w:rPr>
          <w:szCs w:val="22"/>
        </w:rPr>
      </w:pPr>
      <w:r w:rsidRPr="00F706F0">
        <w:rPr>
          <w:b/>
          <w:szCs w:val="22"/>
        </w:rPr>
        <w:t>Personal protective equipment</w:t>
      </w:r>
      <w:r w:rsidR="008E0A63">
        <w:t>:</w:t>
      </w:r>
      <w:r w:rsidR="009F4FD7">
        <w:t xml:space="preserve"> </w:t>
      </w:r>
      <w:r>
        <w:rPr>
          <w:szCs w:val="22"/>
        </w:rPr>
        <w:t>equipment worn on the person to reduce their exposure to radiation</w:t>
      </w:r>
      <w:r w:rsidR="008E0A63">
        <w:rPr>
          <w:szCs w:val="22"/>
        </w:rPr>
        <w:t>,</w:t>
      </w:r>
      <w:r>
        <w:rPr>
          <w:szCs w:val="22"/>
        </w:rPr>
        <w:t xml:space="preserve"> such as protective aprons, </w:t>
      </w:r>
      <w:r w:rsidRPr="00F706F0">
        <w:rPr>
          <w:szCs w:val="22"/>
        </w:rPr>
        <w:t>or to prevent the transfer of contamination</w:t>
      </w:r>
      <w:r w:rsidR="007354FD">
        <w:rPr>
          <w:szCs w:val="22"/>
        </w:rPr>
        <w:t>,</w:t>
      </w:r>
      <w:r w:rsidRPr="00F706F0">
        <w:rPr>
          <w:szCs w:val="22"/>
        </w:rPr>
        <w:t xml:space="preserve"> such as </w:t>
      </w:r>
      <w:r>
        <w:rPr>
          <w:szCs w:val="22"/>
        </w:rPr>
        <w:t>laboratory gowns, waterproof gloves and overshoes.</w:t>
      </w:r>
    </w:p>
    <w:p w14:paraId="035BC83C" w14:textId="77777777" w:rsidR="00C07D41" w:rsidRDefault="00C07D41" w:rsidP="00C07D41">
      <w:pPr>
        <w:rPr>
          <w:b/>
          <w:bCs/>
        </w:rPr>
      </w:pPr>
    </w:p>
    <w:p w14:paraId="65BF4075" w14:textId="45CA779E" w:rsidR="00735E1F" w:rsidRPr="00475EAB" w:rsidRDefault="00735E1F" w:rsidP="00C07D41">
      <w:pPr>
        <w:rPr>
          <w:color w:val="000000"/>
        </w:rPr>
      </w:pPr>
      <w:r w:rsidRPr="00475EAB">
        <w:rPr>
          <w:b/>
          <w:bCs/>
        </w:rPr>
        <w:t>Place</w:t>
      </w:r>
      <w:r w:rsidR="00E94596">
        <w:t xml:space="preserve">: as defined </w:t>
      </w:r>
      <w:r w:rsidRPr="00475EAB">
        <w:t xml:space="preserve">in </w:t>
      </w:r>
      <w:hyperlink r:id="rId52" w:history="1">
        <w:r w:rsidRPr="00321C85">
          <w:rPr>
            <w:rStyle w:val="Hyperlink"/>
          </w:rPr>
          <w:t>section 5</w:t>
        </w:r>
      </w:hyperlink>
      <w:r w:rsidRPr="00475EAB">
        <w:t xml:space="preserve"> of the Act</w:t>
      </w:r>
      <w:r w:rsidR="00321C85">
        <w:t>:</w:t>
      </w:r>
      <w:r w:rsidRPr="00475EAB">
        <w:t xml:space="preserve"> </w:t>
      </w:r>
      <w:r w:rsidR="00321C85">
        <w:t>‘</w:t>
      </w:r>
      <w:r w:rsidRPr="00475EAB">
        <w:rPr>
          <w:color w:val="000000"/>
        </w:rPr>
        <w:t xml:space="preserve">includes any dwelling, premises, vehicle, ship, craft, or aircraft; </w:t>
      </w:r>
      <w:r w:rsidR="00321C85">
        <w:rPr>
          <w:color w:val="000000"/>
        </w:rPr>
        <w:t xml:space="preserve">and </w:t>
      </w:r>
      <w:r w:rsidRPr="00475EAB">
        <w:rPr>
          <w:color w:val="000000"/>
        </w:rPr>
        <w:t xml:space="preserve">a building or a structure; </w:t>
      </w:r>
      <w:r w:rsidR="00321C85">
        <w:rPr>
          <w:color w:val="000000"/>
        </w:rPr>
        <w:t xml:space="preserve">and </w:t>
      </w:r>
      <w:r w:rsidRPr="00475EAB">
        <w:rPr>
          <w:color w:val="000000"/>
        </w:rPr>
        <w:t>part of a place</w:t>
      </w:r>
      <w:r w:rsidR="00321C85">
        <w:rPr>
          <w:color w:val="000000"/>
        </w:rPr>
        <w:t>’</w:t>
      </w:r>
      <w:r w:rsidRPr="00475EAB">
        <w:rPr>
          <w:color w:val="000000"/>
        </w:rPr>
        <w:t>.</w:t>
      </w:r>
    </w:p>
    <w:p w14:paraId="49CB2F05" w14:textId="77777777" w:rsidR="00C07D41" w:rsidRDefault="00C07D41" w:rsidP="00C07D41">
      <w:pPr>
        <w:rPr>
          <w:b/>
          <w:szCs w:val="22"/>
        </w:rPr>
      </w:pPr>
    </w:p>
    <w:p w14:paraId="6E57F3CA" w14:textId="731D657C" w:rsidR="008746C1" w:rsidRDefault="007A0047" w:rsidP="00C07D41">
      <w:pPr>
        <w:rPr>
          <w:bCs/>
        </w:rPr>
      </w:pPr>
      <w:r>
        <w:rPr>
          <w:b/>
          <w:szCs w:val="22"/>
        </w:rPr>
        <w:t>Planned exposure situation</w:t>
      </w:r>
      <w:r w:rsidR="009E01D9">
        <w:rPr>
          <w:b/>
          <w:szCs w:val="22"/>
        </w:rPr>
        <w:t xml:space="preserve">: </w:t>
      </w:r>
      <w:r w:rsidR="009E01D9">
        <w:t>a situation of exposure that arises from the planned operation of a radiation source or from a planned activity that results in an exposure due to a radiation source.</w:t>
      </w:r>
    </w:p>
    <w:p w14:paraId="79CA9AE3" w14:textId="77777777" w:rsidR="00C07D41" w:rsidRDefault="00C07D41" w:rsidP="00C07D41">
      <w:pPr>
        <w:rPr>
          <w:b/>
          <w:szCs w:val="22"/>
        </w:rPr>
      </w:pPr>
    </w:p>
    <w:p w14:paraId="3F308E62" w14:textId="12D7BF17" w:rsidR="007A0047" w:rsidRPr="00F706F0" w:rsidRDefault="007A0047" w:rsidP="00C07D41">
      <w:pPr>
        <w:rPr>
          <w:szCs w:val="22"/>
        </w:rPr>
      </w:pPr>
      <w:r w:rsidRPr="00F706F0">
        <w:rPr>
          <w:b/>
          <w:szCs w:val="22"/>
        </w:rPr>
        <w:t>Potential exposure</w:t>
      </w:r>
      <w:r w:rsidR="00F90E11">
        <w:t>:</w:t>
      </w:r>
      <w:r w:rsidRPr="00F37FF9">
        <w:rPr>
          <w:szCs w:val="22"/>
        </w:rPr>
        <w:t xml:space="preserve"> </w:t>
      </w:r>
      <w:r>
        <w:rPr>
          <w:szCs w:val="22"/>
        </w:rPr>
        <w:t>possible future</w:t>
      </w:r>
      <w:r w:rsidRPr="00F706F0">
        <w:rPr>
          <w:szCs w:val="22"/>
        </w:rPr>
        <w:t xml:space="preserve"> exposure that may result from </w:t>
      </w:r>
      <w:r>
        <w:rPr>
          <w:szCs w:val="22"/>
        </w:rPr>
        <w:t xml:space="preserve">an </w:t>
      </w:r>
      <w:r w:rsidRPr="00F706F0">
        <w:rPr>
          <w:szCs w:val="22"/>
        </w:rPr>
        <w:t xml:space="preserve">anticipated operational occurrence or </w:t>
      </w:r>
      <w:r w:rsidRPr="0078713C">
        <w:rPr>
          <w:b/>
          <w:szCs w:val="22"/>
        </w:rPr>
        <w:t>accident</w:t>
      </w:r>
      <w:r w:rsidRPr="00F706F0">
        <w:rPr>
          <w:szCs w:val="22"/>
        </w:rPr>
        <w:t xml:space="preserve"> at a source or due to an event or sequence of events </w:t>
      </w:r>
      <w:r w:rsidR="00362A6A">
        <w:rPr>
          <w:szCs w:val="22"/>
        </w:rPr>
        <w:t>that could be expected to occur</w:t>
      </w:r>
      <w:r w:rsidRPr="00F706F0">
        <w:rPr>
          <w:szCs w:val="22"/>
        </w:rPr>
        <w:t>, including equipment faults and operating errors.</w:t>
      </w:r>
    </w:p>
    <w:p w14:paraId="0D13ECD7" w14:textId="77777777" w:rsidR="00C07D41" w:rsidRDefault="00C07D41" w:rsidP="00C07D41">
      <w:pPr>
        <w:rPr>
          <w:b/>
        </w:rPr>
      </w:pPr>
    </w:p>
    <w:p w14:paraId="44D32523" w14:textId="6CA4E5E1" w:rsidR="007A0047" w:rsidRPr="00F706F0" w:rsidRDefault="007A0047" w:rsidP="00C07D41">
      <w:r w:rsidRPr="00F706F0">
        <w:rPr>
          <w:b/>
        </w:rPr>
        <w:t>Protection and safety</w:t>
      </w:r>
      <w:r w:rsidR="001B713F" w:rsidRPr="00FC382A">
        <w:rPr>
          <w:bCs/>
        </w:rPr>
        <w:t>:</w:t>
      </w:r>
      <w:r w:rsidRPr="00F706F0">
        <w:t xml:space="preserve"> the protection of people against exposure to ionising radiation, the safety of </w:t>
      </w:r>
      <w:r w:rsidRPr="0078713C">
        <w:rPr>
          <w:b/>
        </w:rPr>
        <w:t>radioactive sources</w:t>
      </w:r>
      <w:r w:rsidRPr="00F706F0">
        <w:t xml:space="preserve">, </w:t>
      </w:r>
      <w:r>
        <w:t>including the means for achieving this, and the means for p</w:t>
      </w:r>
      <w:r w:rsidRPr="00F706F0">
        <w:t>reventi</w:t>
      </w:r>
      <w:r>
        <w:t>ng</w:t>
      </w:r>
      <w:r w:rsidRPr="00F706F0">
        <w:t xml:space="preserve"> </w:t>
      </w:r>
      <w:r w:rsidRPr="0078713C">
        <w:rPr>
          <w:b/>
        </w:rPr>
        <w:t>accidents</w:t>
      </w:r>
      <w:r w:rsidRPr="00F706F0">
        <w:t xml:space="preserve"> and the mitigation of consequences of </w:t>
      </w:r>
      <w:r w:rsidRPr="00F64594">
        <w:rPr>
          <w:b/>
        </w:rPr>
        <w:t>accidents</w:t>
      </w:r>
      <w:r w:rsidRPr="00F706F0">
        <w:t xml:space="preserve"> if they do occur.</w:t>
      </w:r>
    </w:p>
    <w:p w14:paraId="348FC148" w14:textId="77777777" w:rsidR="00C07D41" w:rsidRDefault="00C07D41" w:rsidP="00C07D41">
      <w:pPr>
        <w:rPr>
          <w:b/>
        </w:rPr>
      </w:pPr>
    </w:p>
    <w:p w14:paraId="734479E4" w14:textId="5071B092" w:rsidR="007A0047" w:rsidRPr="00F706F0" w:rsidRDefault="007A0047" w:rsidP="00C07D41">
      <w:r w:rsidRPr="00F706F0">
        <w:rPr>
          <w:b/>
        </w:rPr>
        <w:t xml:space="preserve">Protective </w:t>
      </w:r>
      <w:r>
        <w:rPr>
          <w:b/>
        </w:rPr>
        <w:t>equipment</w:t>
      </w:r>
      <w:r w:rsidR="00FD5022">
        <w:t>:</w:t>
      </w:r>
      <w:r w:rsidRPr="00F37FF9">
        <w:rPr>
          <w:bCs/>
        </w:rPr>
        <w:t xml:space="preserve"> </w:t>
      </w:r>
      <w:r w:rsidRPr="0057240D">
        <w:rPr>
          <w:b/>
        </w:rPr>
        <w:t>personal protective equipment</w:t>
      </w:r>
      <w:r w:rsidRPr="00592A03">
        <w:rPr>
          <w:b/>
        </w:rPr>
        <w:t xml:space="preserve"> </w:t>
      </w:r>
      <w:r w:rsidRPr="0057240D">
        <w:t xml:space="preserve">and </w:t>
      </w:r>
      <w:r w:rsidRPr="00592A03">
        <w:rPr>
          <w:b/>
        </w:rPr>
        <w:t xml:space="preserve">in-room protective </w:t>
      </w:r>
      <w:r w:rsidR="00FD5022">
        <w:rPr>
          <w:b/>
        </w:rPr>
        <w:t>equipment</w:t>
      </w:r>
      <w:r w:rsidRPr="0057240D">
        <w:t>.</w:t>
      </w:r>
    </w:p>
    <w:p w14:paraId="5AE681D7" w14:textId="77777777" w:rsidR="00C07D41" w:rsidRDefault="00C07D41" w:rsidP="00C07D41">
      <w:pPr>
        <w:rPr>
          <w:b/>
        </w:rPr>
      </w:pPr>
    </w:p>
    <w:p w14:paraId="2505194A" w14:textId="09F6C4BF" w:rsidR="007A0047" w:rsidRDefault="007A0047" w:rsidP="00C07D41">
      <w:r w:rsidRPr="00F706F0">
        <w:rPr>
          <w:b/>
        </w:rPr>
        <w:t>Public exposure</w:t>
      </w:r>
      <w:r w:rsidR="00674BEA">
        <w:t>:</w:t>
      </w:r>
      <w:r w:rsidRPr="00F706F0">
        <w:t xml:space="preserve"> exposure to ionising radiation experienced by a </w:t>
      </w:r>
      <w:r w:rsidRPr="00F706F0">
        <w:rPr>
          <w:b/>
        </w:rPr>
        <w:t>member of the public</w:t>
      </w:r>
      <w:r w:rsidRPr="00F706F0">
        <w:t xml:space="preserve"> but excluding any</w:t>
      </w:r>
      <w:r w:rsidRPr="00F706F0">
        <w:rPr>
          <w:b/>
        </w:rPr>
        <w:t xml:space="preserve"> occupational exposure</w:t>
      </w:r>
      <w:r w:rsidRPr="00F706F0">
        <w:t xml:space="preserve"> or </w:t>
      </w:r>
      <w:r w:rsidRPr="00F706F0">
        <w:rPr>
          <w:b/>
        </w:rPr>
        <w:t>medical exposure</w:t>
      </w:r>
      <w:r w:rsidRPr="00F706F0">
        <w:t>.</w:t>
      </w:r>
    </w:p>
    <w:p w14:paraId="79DAE2B7" w14:textId="77777777" w:rsidR="00C07D41" w:rsidRDefault="00C07D41" w:rsidP="00C07D41">
      <w:pPr>
        <w:rPr>
          <w:b/>
        </w:rPr>
      </w:pPr>
    </w:p>
    <w:p w14:paraId="4FA7F04B" w14:textId="5810069F" w:rsidR="007A0047" w:rsidRPr="00F706F0" w:rsidRDefault="007A0047" w:rsidP="00C07D41">
      <w:r w:rsidRPr="00F706F0">
        <w:rPr>
          <w:b/>
        </w:rPr>
        <w:t>Radi</w:t>
      </w:r>
      <w:r>
        <w:rPr>
          <w:b/>
        </w:rPr>
        <w:t>ation</w:t>
      </w:r>
      <w:r w:rsidRPr="00F706F0">
        <w:rPr>
          <w:b/>
        </w:rPr>
        <w:t xml:space="preserve"> emergency</w:t>
      </w:r>
      <w:r w:rsidR="00674BEA">
        <w:t>:</w:t>
      </w:r>
      <w:r w:rsidRPr="00F706F0">
        <w:t xml:space="preserve"> an emergency in which there is, or is perceived to be, a hazard due to radiation exposure.</w:t>
      </w:r>
    </w:p>
    <w:p w14:paraId="4B8BF4A6" w14:textId="77777777" w:rsidR="00F55FED" w:rsidRDefault="00F55FED" w:rsidP="00C07D41">
      <w:pPr>
        <w:rPr>
          <w:b/>
        </w:rPr>
      </w:pPr>
    </w:p>
    <w:p w14:paraId="7A1F511A" w14:textId="25648E63" w:rsidR="00F55FED" w:rsidRPr="00475EAB" w:rsidRDefault="00F55FED" w:rsidP="00C07D41">
      <w:r w:rsidRPr="0027320A">
        <w:rPr>
          <w:b/>
        </w:rPr>
        <w:t>Radi</w:t>
      </w:r>
      <w:r w:rsidR="00EA4F1E" w:rsidRPr="0027320A">
        <w:rPr>
          <w:b/>
        </w:rPr>
        <w:t xml:space="preserve">ation </w:t>
      </w:r>
      <w:r w:rsidRPr="0027320A">
        <w:rPr>
          <w:b/>
        </w:rPr>
        <w:t>equipment</w:t>
      </w:r>
      <w:r w:rsidR="00E13342">
        <w:t>:</w:t>
      </w:r>
      <w:r w:rsidRPr="0027320A">
        <w:t xml:space="preserve"> </w:t>
      </w:r>
      <w:r w:rsidR="008F233B">
        <w:t xml:space="preserve">equipment </w:t>
      </w:r>
      <w:r w:rsidRPr="0027320A">
        <w:t xml:space="preserve">and </w:t>
      </w:r>
      <w:r w:rsidR="00E13342">
        <w:t>the</w:t>
      </w:r>
      <w:r w:rsidR="00E13342" w:rsidRPr="0027320A">
        <w:t xml:space="preserve"> </w:t>
      </w:r>
      <w:r w:rsidRPr="0027320A">
        <w:t xml:space="preserve">associated software used to </w:t>
      </w:r>
      <w:r w:rsidR="00E477AC" w:rsidRPr="0027320A">
        <w:t>allow</w:t>
      </w:r>
      <w:r w:rsidR="005D0D90" w:rsidRPr="0027320A">
        <w:t xml:space="preserve">, </w:t>
      </w:r>
      <w:r w:rsidRPr="0027320A">
        <w:t xml:space="preserve">perform </w:t>
      </w:r>
      <w:r w:rsidR="005D0D90" w:rsidRPr="0027320A">
        <w:t>or control</w:t>
      </w:r>
      <w:r w:rsidR="00B746E1" w:rsidRPr="0027320A">
        <w:t xml:space="preserve"> a </w:t>
      </w:r>
      <w:r w:rsidR="00B746E1" w:rsidRPr="0027320A">
        <w:rPr>
          <w:b/>
          <w:bCs/>
        </w:rPr>
        <w:t>radiation procedure</w:t>
      </w:r>
      <w:r w:rsidRPr="0027320A">
        <w:t>.</w:t>
      </w:r>
      <w:r w:rsidR="00825D64">
        <w:t xml:space="preserve"> </w:t>
      </w:r>
    </w:p>
    <w:p w14:paraId="5CD2F679" w14:textId="77777777" w:rsidR="00C07D41" w:rsidRDefault="00C07D41" w:rsidP="00C07D41">
      <w:pPr>
        <w:rPr>
          <w:b/>
        </w:rPr>
      </w:pPr>
    </w:p>
    <w:p w14:paraId="78BA40DD" w14:textId="5D388854" w:rsidR="007A0047" w:rsidRPr="00F706F0" w:rsidRDefault="007A0047" w:rsidP="00C07D41">
      <w:r>
        <w:rPr>
          <w:b/>
        </w:rPr>
        <w:t>Radiation procedure</w:t>
      </w:r>
      <w:r w:rsidR="008F233B">
        <w:rPr>
          <w:b/>
        </w:rPr>
        <w:t>:</w:t>
      </w:r>
      <w:r w:rsidRPr="00D5642D">
        <w:t xml:space="preserve"> </w:t>
      </w:r>
      <w:r w:rsidRPr="00F706F0">
        <w:t xml:space="preserve">a procedure involving the administration of </w:t>
      </w:r>
      <w:r w:rsidRPr="00F706F0">
        <w:rPr>
          <w:b/>
        </w:rPr>
        <w:t>radiopharmaceuticals</w:t>
      </w:r>
      <w:r w:rsidRPr="00F706F0">
        <w:t xml:space="preserve"> for medical diagnosis, therapy or research.</w:t>
      </w:r>
    </w:p>
    <w:p w14:paraId="3E92E35F" w14:textId="77777777" w:rsidR="00C07D41" w:rsidRDefault="00C07D41" w:rsidP="00C07D41">
      <w:pPr>
        <w:rPr>
          <w:b/>
        </w:rPr>
      </w:pPr>
    </w:p>
    <w:p w14:paraId="1C575367" w14:textId="244678BE" w:rsidR="007A0047" w:rsidRPr="00397A25" w:rsidRDefault="007A0047" w:rsidP="00C07D41">
      <w:r w:rsidRPr="00EE3252">
        <w:rPr>
          <w:b/>
        </w:rPr>
        <w:lastRenderedPageBreak/>
        <w:t>Radioactive source</w:t>
      </w:r>
      <w:r w:rsidR="008F233B" w:rsidRPr="003E31D2">
        <w:rPr>
          <w:bCs/>
        </w:rPr>
        <w:t>:</w:t>
      </w:r>
      <w:r w:rsidRPr="00EE3252">
        <w:t xml:space="preserve"> source that spontaneously emits ionising radiation including a </w:t>
      </w:r>
      <w:r w:rsidRPr="00397A25">
        <w:rPr>
          <w:bCs/>
        </w:rPr>
        <w:t>radiopharmaceutical</w:t>
      </w:r>
      <w:r w:rsidRPr="00397A25">
        <w:t xml:space="preserve"> </w:t>
      </w:r>
      <w:r w:rsidR="0032532D" w:rsidRPr="00397A25">
        <w:t>that this code applies</w:t>
      </w:r>
      <w:r w:rsidR="0027320A" w:rsidRPr="00397A25">
        <w:t>.</w:t>
      </w:r>
    </w:p>
    <w:p w14:paraId="66F5C053" w14:textId="77777777" w:rsidR="00C07D41" w:rsidRDefault="00C07D41" w:rsidP="00C07D41">
      <w:pPr>
        <w:rPr>
          <w:b/>
          <w:bCs/>
        </w:rPr>
      </w:pPr>
    </w:p>
    <w:p w14:paraId="1448CCA7" w14:textId="24297EE4" w:rsidR="00096001" w:rsidRPr="0027320A" w:rsidRDefault="00096001" w:rsidP="00C07D41">
      <w:pPr>
        <w:rPr>
          <w:b/>
          <w:bCs/>
        </w:rPr>
      </w:pPr>
      <w:r w:rsidRPr="00397A25">
        <w:rPr>
          <w:b/>
          <w:bCs/>
        </w:rPr>
        <w:t>Radioactive waste</w:t>
      </w:r>
      <w:r w:rsidR="00792A9B">
        <w:t>:</w:t>
      </w:r>
      <w:r w:rsidR="004D65BC" w:rsidRPr="00397A25">
        <w:t xml:space="preserve"> </w:t>
      </w:r>
      <w:r w:rsidR="00424052" w:rsidRPr="00397A25">
        <w:t xml:space="preserve">radioactive material for which no further use is foreseen that contains, or is contaminated with, radionuclides at activity levels greater than </w:t>
      </w:r>
      <w:r w:rsidR="00792A9B">
        <w:t xml:space="preserve">the </w:t>
      </w:r>
      <w:r w:rsidR="00424052" w:rsidRPr="00397A25">
        <w:t xml:space="preserve">acceptable activity levels </w:t>
      </w:r>
      <w:r w:rsidR="00792A9B">
        <w:t>listed</w:t>
      </w:r>
      <w:r w:rsidR="00792A9B" w:rsidRPr="00397A25">
        <w:t xml:space="preserve"> </w:t>
      </w:r>
      <w:r w:rsidR="00424052" w:rsidRPr="00397A25">
        <w:t xml:space="preserve">in </w:t>
      </w:r>
      <w:hyperlink r:id="rId53" w:history="1">
        <w:r w:rsidR="000037BA" w:rsidRPr="000037BA">
          <w:rPr>
            <w:rStyle w:val="Hyperlink"/>
          </w:rPr>
          <w:t>Schedule 2</w:t>
        </w:r>
      </w:hyperlink>
      <w:r w:rsidR="00424052" w:rsidRPr="00397A25">
        <w:t xml:space="preserve"> of the Act.</w:t>
      </w:r>
    </w:p>
    <w:p w14:paraId="3E10D739" w14:textId="77777777" w:rsidR="00C07D41" w:rsidRDefault="00C07D41" w:rsidP="00C07D41">
      <w:pPr>
        <w:rPr>
          <w:b/>
        </w:rPr>
      </w:pPr>
    </w:p>
    <w:p w14:paraId="605C643A" w14:textId="7CE025A3" w:rsidR="00F64594" w:rsidRPr="00F64594" w:rsidRDefault="00F64594" w:rsidP="00C07D41">
      <w:r w:rsidRPr="00F64594">
        <w:rPr>
          <w:b/>
        </w:rPr>
        <w:t>Radiological equipment</w:t>
      </w:r>
      <w:r>
        <w:rPr>
          <w:b/>
        </w:rPr>
        <w:t xml:space="preserve">: </w:t>
      </w:r>
      <w:r w:rsidRPr="00F64594">
        <w:t>equipment and its associated software used to perform radiological procedures that either delivers an exposure of an individual or directly controls or influences the extent of such exposure.</w:t>
      </w:r>
    </w:p>
    <w:p w14:paraId="33B85841" w14:textId="77777777" w:rsidR="00C07D41" w:rsidRDefault="00C07D41" w:rsidP="00C07D41">
      <w:pPr>
        <w:rPr>
          <w:b/>
        </w:rPr>
      </w:pPr>
    </w:p>
    <w:p w14:paraId="5D27464C" w14:textId="271D8D09" w:rsidR="007A0047" w:rsidRDefault="007A0047" w:rsidP="00C07D41">
      <w:r w:rsidRPr="00F706F0">
        <w:rPr>
          <w:b/>
        </w:rPr>
        <w:t>Radiopharmaceutical</w:t>
      </w:r>
      <w:r w:rsidR="00D2675B">
        <w:t>:</w:t>
      </w:r>
      <w:r w:rsidRPr="00F706F0">
        <w:t xml:space="preserve"> compound labelled with </w:t>
      </w:r>
      <w:r>
        <w:t xml:space="preserve">a </w:t>
      </w:r>
      <w:r w:rsidRPr="0078713C">
        <w:rPr>
          <w:b/>
        </w:rPr>
        <w:t>radioactive source</w:t>
      </w:r>
      <w:r>
        <w:t xml:space="preserve"> </w:t>
      </w:r>
      <w:r w:rsidRPr="00F706F0">
        <w:t>for administration to patients.</w:t>
      </w:r>
    </w:p>
    <w:p w14:paraId="27727DD6" w14:textId="77777777" w:rsidR="00C07D41" w:rsidRDefault="00C07D41" w:rsidP="00C07D41">
      <w:pPr>
        <w:rPr>
          <w:b/>
        </w:rPr>
      </w:pPr>
    </w:p>
    <w:p w14:paraId="76777267" w14:textId="421E821E" w:rsidR="00472B04" w:rsidRDefault="00472B04" w:rsidP="00C07D41">
      <w:pPr>
        <w:rPr>
          <w:b/>
        </w:rPr>
      </w:pPr>
      <w:r>
        <w:rPr>
          <w:b/>
        </w:rPr>
        <w:t>Remedial level</w:t>
      </w:r>
      <w:r w:rsidR="003E31D2" w:rsidRPr="003E31D2">
        <w:t>:</w:t>
      </w:r>
      <w:r w:rsidRPr="00472B04">
        <w:t xml:space="preserve"> </w:t>
      </w:r>
      <w:r w:rsidR="00BC6163">
        <w:t xml:space="preserve">a reference value that if exceeded indicates that the performance of </w:t>
      </w:r>
      <w:r w:rsidR="00BC6163" w:rsidRPr="00237B9F">
        <w:rPr>
          <w:b/>
        </w:rPr>
        <w:t>radiological</w:t>
      </w:r>
      <w:r w:rsidR="00BC6163" w:rsidRPr="00397A25">
        <w:t xml:space="preserve">, </w:t>
      </w:r>
      <w:r w:rsidR="00BC6163" w:rsidRPr="00237B9F">
        <w:rPr>
          <w:b/>
        </w:rPr>
        <w:t>protective</w:t>
      </w:r>
      <w:r w:rsidR="00BC6163" w:rsidRPr="00397A25">
        <w:t xml:space="preserve">, or </w:t>
      </w:r>
      <w:r w:rsidR="00BC6163" w:rsidRPr="00237B9F">
        <w:rPr>
          <w:b/>
        </w:rPr>
        <w:t>ancillary</w:t>
      </w:r>
      <w:r w:rsidR="00BC6163" w:rsidRPr="00397A25">
        <w:t xml:space="preserve"> </w:t>
      </w:r>
      <w:r w:rsidR="00BC6163" w:rsidRPr="00237B9F">
        <w:rPr>
          <w:b/>
        </w:rPr>
        <w:t xml:space="preserve">equipment </w:t>
      </w:r>
      <w:r w:rsidR="00BC6163" w:rsidRPr="00397A25">
        <w:t>is</w:t>
      </w:r>
      <w:r w:rsidR="00BC6163">
        <w:t xml:space="preserve"> sufficiently close to satisfactory performance that it will not reduce clinical effectiveness, or </w:t>
      </w:r>
      <w:r w:rsidR="00BC6163" w:rsidRPr="00237B9F">
        <w:rPr>
          <w:b/>
        </w:rPr>
        <w:t>protection and safety</w:t>
      </w:r>
      <w:r w:rsidR="00BC6163">
        <w:t>, but action taken as soon as practicable is required to restore the equipment to satisfactory performance. Where needed, a level is established relative to a baseline.</w:t>
      </w:r>
    </w:p>
    <w:p w14:paraId="6264E4C6" w14:textId="77777777" w:rsidR="00C07D41" w:rsidRDefault="00C07D41" w:rsidP="00C07D41">
      <w:pPr>
        <w:rPr>
          <w:b/>
        </w:rPr>
      </w:pPr>
    </w:p>
    <w:p w14:paraId="3CB069C7" w14:textId="6E523269" w:rsidR="00E90268" w:rsidRPr="00475EAB" w:rsidRDefault="00E90268" w:rsidP="00C07D41">
      <w:r w:rsidRPr="00475EAB">
        <w:rPr>
          <w:b/>
        </w:rPr>
        <w:t>Risk assessment</w:t>
      </w:r>
      <w:r w:rsidR="00092D9D">
        <w:t>:</w:t>
      </w:r>
      <w:r w:rsidRPr="003A2788">
        <w:t xml:space="preserve"> </w:t>
      </w:r>
      <w:r w:rsidRPr="00475EAB">
        <w:t>the overall process of systematically identifying, estimating, analysing and evaluating risk for the purpose of informing priorities, developing or comparing courses of action and informing decision-making.</w:t>
      </w:r>
    </w:p>
    <w:p w14:paraId="22C32DCB" w14:textId="77777777" w:rsidR="00C07D41" w:rsidRDefault="00C07D41" w:rsidP="00C07D41">
      <w:pPr>
        <w:rPr>
          <w:b/>
        </w:rPr>
      </w:pPr>
    </w:p>
    <w:p w14:paraId="5F1C8B57" w14:textId="53A958DE" w:rsidR="007A0047" w:rsidRPr="00F706F0" w:rsidRDefault="007A0047" w:rsidP="00C07D41">
      <w:r w:rsidRPr="00F706F0">
        <w:rPr>
          <w:b/>
        </w:rPr>
        <w:t>Supervised area</w:t>
      </w:r>
      <w:r w:rsidR="00B50BBD">
        <w:t>:</w:t>
      </w:r>
      <w:r w:rsidR="003A2788" w:rsidRPr="003A2788">
        <w:t xml:space="preserve"> </w:t>
      </w:r>
      <w:r w:rsidRPr="00F706F0">
        <w:t xml:space="preserve">an area other than a </w:t>
      </w:r>
      <w:r w:rsidRPr="00F706F0">
        <w:rPr>
          <w:b/>
        </w:rPr>
        <w:t>controlled area</w:t>
      </w:r>
      <w:r w:rsidRPr="00F706F0">
        <w:t xml:space="preserve"> in which occupational exposure conditions need to be kept under review, even though specific protection measures or safety provisions are not normally needed.</w:t>
      </w:r>
    </w:p>
    <w:p w14:paraId="58692203" w14:textId="77777777" w:rsidR="00C07D41" w:rsidRDefault="00C07D41" w:rsidP="00C07D41">
      <w:pPr>
        <w:rPr>
          <w:b/>
        </w:rPr>
      </w:pPr>
    </w:p>
    <w:p w14:paraId="42257951" w14:textId="34C082DD" w:rsidR="007035AA" w:rsidRPr="00475EAB" w:rsidRDefault="007035AA" w:rsidP="00C07D41">
      <w:r w:rsidRPr="00475EAB">
        <w:rPr>
          <w:b/>
        </w:rPr>
        <w:t>Suspension level</w:t>
      </w:r>
      <w:r w:rsidR="00207B6E">
        <w:t>:</w:t>
      </w:r>
      <w:r>
        <w:t xml:space="preserve"> </w:t>
      </w:r>
      <w:r w:rsidRPr="00475EAB">
        <w:t>a reference value that</w:t>
      </w:r>
      <w:r w:rsidR="004822FE">
        <w:t>,</w:t>
      </w:r>
      <w:r w:rsidRPr="00475EAB">
        <w:t xml:space="preserve"> if exceeded</w:t>
      </w:r>
      <w:r w:rsidR="004822FE">
        <w:t>,</w:t>
      </w:r>
      <w:r w:rsidRPr="00475EAB">
        <w:t xml:space="preserve"> indicates that the performance of </w:t>
      </w:r>
      <w:r w:rsidRPr="00AE1447">
        <w:rPr>
          <w:b/>
        </w:rPr>
        <w:t>radiological</w:t>
      </w:r>
      <w:r w:rsidRPr="00475EAB">
        <w:t xml:space="preserve">, </w:t>
      </w:r>
      <w:r w:rsidRPr="00475EAB">
        <w:rPr>
          <w:b/>
        </w:rPr>
        <w:t>protective</w:t>
      </w:r>
      <w:r w:rsidRPr="00475EAB">
        <w:t xml:space="preserve"> or </w:t>
      </w:r>
      <w:r w:rsidRPr="00475EAB">
        <w:rPr>
          <w:b/>
        </w:rPr>
        <w:t>ancillary equipment</w:t>
      </w:r>
      <w:r w:rsidRPr="00475EAB">
        <w:t xml:space="preserve"> requires that the equipment be taken out of service until it is restored to satisfactory performance or until it is reviewed in a risk assessment. Following a risk assessment, the suspended equipment could be used in defined and limited circumstances. Where needed</w:t>
      </w:r>
      <w:r w:rsidR="00141760">
        <w:t>,</w:t>
      </w:r>
      <w:r w:rsidRPr="00475EAB">
        <w:t xml:space="preserve"> a level is established relative to a </w:t>
      </w:r>
      <w:r w:rsidRPr="00475EAB">
        <w:rPr>
          <w:b/>
        </w:rPr>
        <w:t>baseline</w:t>
      </w:r>
      <w:r w:rsidRPr="008F233B">
        <w:t xml:space="preserve">. </w:t>
      </w:r>
      <w:r w:rsidRPr="004A2B01">
        <w:t>Value</w:t>
      </w:r>
      <w:r>
        <w:t>s</w:t>
      </w:r>
      <w:r w:rsidRPr="004A2B01">
        <w:t xml:space="preserve"> are</w:t>
      </w:r>
      <w:r>
        <w:t xml:space="preserve"> generally</w:t>
      </w:r>
      <w:r w:rsidRPr="004A2B01">
        <w:t xml:space="preserve"> </w:t>
      </w:r>
      <w:r w:rsidRPr="00732826">
        <w:t>based on standards and guidance.</w:t>
      </w:r>
    </w:p>
    <w:p w14:paraId="532B9981" w14:textId="77777777" w:rsidR="00C07D41" w:rsidRDefault="00C07D41" w:rsidP="00C07D41">
      <w:pPr>
        <w:rPr>
          <w:b/>
        </w:rPr>
      </w:pPr>
    </w:p>
    <w:p w14:paraId="4111C268" w14:textId="544AC31A" w:rsidR="00F00EFB" w:rsidRDefault="007A0047" w:rsidP="00C07D41">
      <w:r w:rsidRPr="00397A25">
        <w:rPr>
          <w:b/>
        </w:rPr>
        <w:t>Typical dose</w:t>
      </w:r>
      <w:r w:rsidR="00141760">
        <w:t>:</w:t>
      </w:r>
      <w:r w:rsidRPr="00397A25">
        <w:t xml:space="preserve"> the median or average of the dose or activity for a representative sample of relatively standard-sized patients at clinically acceptable</w:t>
      </w:r>
      <w:r w:rsidR="00F17EC2" w:rsidRPr="00397A25">
        <w:t xml:space="preserve"> outcomes or</w:t>
      </w:r>
      <w:r w:rsidR="00D106C5">
        <w:t xml:space="preserve"> meeting the required imaging standard</w:t>
      </w:r>
      <w:r w:rsidRPr="00397A25">
        <w:t>.</w:t>
      </w:r>
      <w:r w:rsidR="00E21B1F">
        <w:t xml:space="preserve"> </w:t>
      </w:r>
    </w:p>
    <w:p w14:paraId="644C3A7D" w14:textId="77777777" w:rsidR="00C07D41" w:rsidRDefault="00C07D41" w:rsidP="00C07D41">
      <w:pPr>
        <w:rPr>
          <w:b/>
        </w:rPr>
      </w:pPr>
    </w:p>
    <w:p w14:paraId="1A94F48F" w14:textId="4AACDAA1" w:rsidR="008E7F3C" w:rsidRPr="0027320A" w:rsidRDefault="008E7F3C" w:rsidP="00C07D41">
      <w:r w:rsidRPr="0027320A">
        <w:rPr>
          <w:b/>
        </w:rPr>
        <w:t>Underexposure of a patient</w:t>
      </w:r>
      <w:r w:rsidR="0079071A">
        <w:t>:</w:t>
      </w:r>
      <w:r w:rsidRPr="0027320A">
        <w:t xml:space="preserve"> when</w:t>
      </w:r>
      <w:r w:rsidR="0079071A">
        <w:t>,</w:t>
      </w:r>
      <w:r w:rsidRPr="0027320A">
        <w:t xml:space="preserve"> for nuclear medicine therapy:</w:t>
      </w:r>
    </w:p>
    <w:p w14:paraId="5F76E318" w14:textId="58253ABE" w:rsidR="008E7F3C" w:rsidRPr="0027320A" w:rsidRDefault="008E7F3C" w:rsidP="00DF4D1D">
      <w:pPr>
        <w:pStyle w:val="Letter"/>
        <w:numPr>
          <w:ilvl w:val="4"/>
          <w:numId w:val="7"/>
        </w:numPr>
        <w:ind w:left="426" w:hanging="426"/>
      </w:pPr>
      <w:r w:rsidRPr="0027320A">
        <w:t xml:space="preserve">the delivered activity is less than 20% of the prescribed activity for selective internal radiation therapy </w:t>
      </w:r>
    </w:p>
    <w:p w14:paraId="6EF3050E" w14:textId="63871CEC" w:rsidR="008E7F3C" w:rsidRDefault="008E7F3C" w:rsidP="00DF4D1D">
      <w:pPr>
        <w:pStyle w:val="Letter"/>
        <w:numPr>
          <w:ilvl w:val="4"/>
          <w:numId w:val="7"/>
        </w:numPr>
        <w:ind w:left="426" w:hanging="426"/>
      </w:pPr>
      <w:r w:rsidRPr="0027320A">
        <w:t xml:space="preserve">the delivered activity is less than 10% of the prescribed activity for all other therapies not </w:t>
      </w:r>
      <w:r w:rsidR="0079071A">
        <w:t xml:space="preserve">covered </w:t>
      </w:r>
      <w:r w:rsidRPr="0027320A">
        <w:t>in (</w:t>
      </w:r>
      <w:r w:rsidR="003511C1">
        <w:t>a</w:t>
      </w:r>
      <w:r w:rsidRPr="0027320A">
        <w:t>).</w:t>
      </w:r>
    </w:p>
    <w:p w14:paraId="6FCACAF4" w14:textId="77777777" w:rsidR="00C07D41" w:rsidRDefault="00C07D41" w:rsidP="00C07D41">
      <w:pPr>
        <w:rPr>
          <w:b/>
          <w:bCs/>
        </w:rPr>
      </w:pPr>
    </w:p>
    <w:p w14:paraId="4F0EDC99" w14:textId="516D7914" w:rsidR="00832DA0" w:rsidRDefault="003D38A1" w:rsidP="00C07D41">
      <w:r w:rsidRPr="003D38A1">
        <w:rPr>
          <w:b/>
          <w:bCs/>
        </w:rPr>
        <w:t>Unintended medical exposure</w:t>
      </w:r>
      <w:r w:rsidR="0079071A">
        <w:t>:</w:t>
      </w:r>
      <w:r w:rsidRPr="00B97AD3">
        <w:t xml:space="preserve"> </w:t>
      </w:r>
      <w:r>
        <w:t xml:space="preserve">exposure of the wrong individual, tissue or organ </w:t>
      </w:r>
      <w:r w:rsidR="00E4506B">
        <w:t>during a</w:t>
      </w:r>
      <w:r>
        <w:t xml:space="preserve"> diagnostic </w:t>
      </w:r>
      <w:r w:rsidR="00D106C5">
        <w:t xml:space="preserve">or a therapeutic </w:t>
      </w:r>
      <w:r w:rsidRPr="003D38A1">
        <w:rPr>
          <w:b/>
          <w:bCs/>
        </w:rPr>
        <w:t>radiation procedure</w:t>
      </w:r>
      <w:r w:rsidR="005753D7">
        <w:t>;</w:t>
      </w:r>
      <w:r>
        <w:t xml:space="preserve"> </w:t>
      </w:r>
      <w:r w:rsidR="00D106C5">
        <w:t xml:space="preserve">for a therapeutic radiation procedure </w:t>
      </w:r>
      <w:r w:rsidR="00CF4513">
        <w:t xml:space="preserve">use of </w:t>
      </w:r>
      <w:r>
        <w:t xml:space="preserve">the wrong </w:t>
      </w:r>
      <w:r w:rsidRPr="00FE2B3D">
        <w:rPr>
          <w:b/>
          <w:bCs/>
        </w:rPr>
        <w:t>radiopharmaceutical</w:t>
      </w:r>
      <w:r w:rsidR="005753D7">
        <w:t xml:space="preserve"> </w:t>
      </w:r>
      <w:r>
        <w:t xml:space="preserve">or an activity or a dose differing substantially from (over or under) the values prescribed by the </w:t>
      </w:r>
      <w:r w:rsidRPr="00FE2B3D">
        <w:rPr>
          <w:b/>
          <w:bCs/>
        </w:rPr>
        <w:t>radiation practitioner</w:t>
      </w:r>
      <w:r>
        <w:t xml:space="preserve"> or that could lead to unduly severe secondary effects</w:t>
      </w:r>
      <w:r w:rsidR="004E0867">
        <w:t xml:space="preserve">. Also, </w:t>
      </w:r>
      <w:r w:rsidR="00D106C5">
        <w:t xml:space="preserve">inadvertent exposure of an </w:t>
      </w:r>
      <w:r w:rsidR="00D106C5">
        <w:lastRenderedPageBreak/>
        <w:t xml:space="preserve">embryo or fetus, and </w:t>
      </w:r>
      <w:r>
        <w:t>any diagnostic exposure substantially greater than was intended</w:t>
      </w:r>
      <w:r w:rsidR="00C22704">
        <w:t>. A</w:t>
      </w:r>
      <w:r>
        <w:t xml:space="preserve">nd </w:t>
      </w:r>
      <w:r w:rsidR="00C22704">
        <w:t xml:space="preserve">finally, </w:t>
      </w:r>
      <w:r w:rsidR="003D6A7E">
        <w:t xml:space="preserve">any </w:t>
      </w:r>
      <w:r w:rsidR="002673A2" w:rsidRPr="00FE2B3D">
        <w:rPr>
          <w:b/>
          <w:bCs/>
        </w:rPr>
        <w:t>radi</w:t>
      </w:r>
      <w:r w:rsidR="002673A2">
        <w:rPr>
          <w:b/>
          <w:bCs/>
        </w:rPr>
        <w:t>oactive</w:t>
      </w:r>
      <w:r w:rsidR="002673A2" w:rsidRPr="00FE2B3D">
        <w:rPr>
          <w:b/>
          <w:bCs/>
        </w:rPr>
        <w:t xml:space="preserve"> </w:t>
      </w:r>
      <w:r w:rsidRPr="00FE2B3D">
        <w:rPr>
          <w:b/>
          <w:bCs/>
        </w:rPr>
        <w:t>sources</w:t>
      </w:r>
      <w:r>
        <w:t xml:space="preserve"> or </w:t>
      </w:r>
      <w:r w:rsidRPr="00FE2B3D">
        <w:rPr>
          <w:b/>
          <w:bCs/>
        </w:rPr>
        <w:t>ancillary equipment</w:t>
      </w:r>
      <w:r w:rsidR="003D6A7E" w:rsidRPr="003D6A7E">
        <w:t xml:space="preserve"> </w:t>
      </w:r>
      <w:r w:rsidR="003D6A7E">
        <w:t>fault</w:t>
      </w:r>
      <w:r>
        <w:t xml:space="preserve">, system </w:t>
      </w:r>
      <w:r w:rsidR="002673A2">
        <w:t xml:space="preserve">or software </w:t>
      </w:r>
      <w:r>
        <w:t xml:space="preserve">failure or error, mishap or other unusual occurrence with the potential </w:t>
      </w:r>
      <w:r w:rsidR="008158E9">
        <w:t xml:space="preserve">to </w:t>
      </w:r>
      <w:r>
        <w:t xml:space="preserve">subject the </w:t>
      </w:r>
      <w:r w:rsidRPr="00397A25">
        <w:rPr>
          <w:b/>
          <w:bCs/>
        </w:rPr>
        <w:t>patient</w:t>
      </w:r>
      <w:r w:rsidRPr="00397A25">
        <w:t xml:space="preserve"> </w:t>
      </w:r>
      <w:r w:rsidR="0092448A" w:rsidRPr="00397A25">
        <w:t>or</w:t>
      </w:r>
      <w:r w:rsidR="00073433" w:rsidRPr="00397A25">
        <w:t xml:space="preserve"> </w:t>
      </w:r>
      <w:r w:rsidR="0092448A" w:rsidRPr="00397A25">
        <w:rPr>
          <w:b/>
          <w:bCs/>
        </w:rPr>
        <w:t>volunteer</w:t>
      </w:r>
      <w:r w:rsidR="0092448A" w:rsidRPr="0092448A">
        <w:rPr>
          <w:b/>
          <w:bCs/>
        </w:rPr>
        <w:t xml:space="preserve"> </w:t>
      </w:r>
      <w:r>
        <w:t xml:space="preserve">to a </w:t>
      </w:r>
      <w:r w:rsidRPr="00832DA0">
        <w:rPr>
          <w:b/>
          <w:bCs/>
        </w:rPr>
        <w:t>medical exposure</w:t>
      </w:r>
      <w:r>
        <w:t xml:space="preserve"> that is substantially different from what was intended.</w:t>
      </w:r>
    </w:p>
    <w:p w14:paraId="0BD1EFAB" w14:textId="77777777" w:rsidR="00C07D41" w:rsidRDefault="00C07D41" w:rsidP="00C07D41">
      <w:pPr>
        <w:rPr>
          <w:b/>
          <w:bCs/>
        </w:rPr>
      </w:pPr>
    </w:p>
    <w:p w14:paraId="24F00481" w14:textId="51D8F8E9" w:rsidR="0041161D" w:rsidRDefault="0041161D" w:rsidP="00C07D41">
      <w:r w:rsidRPr="007759D7">
        <w:rPr>
          <w:b/>
          <w:bCs/>
        </w:rPr>
        <w:t>Use of unsealed radioactive material</w:t>
      </w:r>
      <w:r w:rsidR="00C22704">
        <w:t>:</w:t>
      </w:r>
      <w:r w:rsidR="007759D7">
        <w:t xml:space="preserve"> </w:t>
      </w:r>
      <w:r w:rsidR="00A54E77">
        <w:t xml:space="preserve">as </w:t>
      </w:r>
      <w:r w:rsidR="00BB0594">
        <w:t>specified</w:t>
      </w:r>
      <w:r w:rsidR="00CA311D" w:rsidRPr="00F16D54">
        <w:t xml:space="preserve"> in</w:t>
      </w:r>
      <w:hyperlink r:id="rId54" w:history="1">
        <w:r w:rsidR="00CA311D" w:rsidRPr="00237B9F">
          <w:rPr>
            <w:rStyle w:val="Hyperlink"/>
          </w:rPr>
          <w:t xml:space="preserve"> section 21(3)</w:t>
        </w:r>
      </w:hyperlink>
      <w:r w:rsidR="00CA311D" w:rsidRPr="00F16D54">
        <w:t xml:space="preserve"> of the Act.</w:t>
      </w:r>
    </w:p>
    <w:p w14:paraId="40501A3E" w14:textId="77777777" w:rsidR="00C07D41" w:rsidRDefault="00C07D41" w:rsidP="00C07D41">
      <w:pPr>
        <w:rPr>
          <w:b/>
        </w:rPr>
      </w:pPr>
    </w:p>
    <w:p w14:paraId="6961F721" w14:textId="0FE4319D" w:rsidR="007A1184" w:rsidRPr="00475EAB" w:rsidRDefault="007A1184" w:rsidP="00C07D41">
      <w:r w:rsidRPr="00475EAB">
        <w:rPr>
          <w:b/>
        </w:rPr>
        <w:t>Volunteer</w:t>
      </w:r>
      <w:r w:rsidR="00F11399">
        <w:t>:</w:t>
      </w:r>
      <w:r>
        <w:t xml:space="preserve"> </w:t>
      </w:r>
      <w:r w:rsidRPr="00475EAB">
        <w:t>an individual</w:t>
      </w:r>
      <w:r w:rsidR="00F11399">
        <w:t>,</w:t>
      </w:r>
      <w:r w:rsidRPr="00475EAB">
        <w:t xml:space="preserve"> other than a </w:t>
      </w:r>
      <w:r w:rsidRPr="00475EAB">
        <w:rPr>
          <w:b/>
        </w:rPr>
        <w:t>carer and comforter</w:t>
      </w:r>
      <w:r w:rsidR="00F11399">
        <w:rPr>
          <w:b/>
        </w:rPr>
        <w:t>,</w:t>
      </w:r>
      <w:r w:rsidRPr="00475EAB">
        <w:t xml:space="preserve"> who may be subjected to </w:t>
      </w:r>
      <w:r w:rsidRPr="00475EAB">
        <w:rPr>
          <w:b/>
        </w:rPr>
        <w:t xml:space="preserve">medical exposure </w:t>
      </w:r>
      <w:r w:rsidRPr="00475EAB">
        <w:t>as part of a programme of medical research.</w:t>
      </w:r>
    </w:p>
    <w:p w14:paraId="44B69265" w14:textId="77777777" w:rsidR="00C07D41" w:rsidRDefault="00C07D41" w:rsidP="00C07D41">
      <w:pPr>
        <w:rPr>
          <w:b/>
        </w:rPr>
      </w:pPr>
    </w:p>
    <w:p w14:paraId="2A867BE2" w14:textId="5C0B9DEE" w:rsidR="007A0047" w:rsidRDefault="007A0047" w:rsidP="00C07D41">
      <w:r w:rsidRPr="00F706F0">
        <w:rPr>
          <w:b/>
        </w:rPr>
        <w:t>Worker</w:t>
      </w:r>
      <w:r w:rsidR="00616318">
        <w:t>:</w:t>
      </w:r>
      <w:r w:rsidRPr="00F706F0">
        <w:t xml:space="preserve"> an individual who works, whether full time, part time or temporarily</w:t>
      </w:r>
      <w:r w:rsidR="00616318">
        <w:t>,</w:t>
      </w:r>
      <w:r w:rsidRPr="00F706F0">
        <w:t xml:space="preserve"> for the </w:t>
      </w:r>
      <w:r w:rsidR="00545275">
        <w:t>holder of a source licence</w:t>
      </w:r>
      <w:r w:rsidRPr="00F706F0">
        <w:t xml:space="preserve"> and who has recognised rights and duties in relation to occupational radiation protection.</w:t>
      </w:r>
    </w:p>
    <w:p w14:paraId="47A277E5" w14:textId="77777777" w:rsidR="00C07D41" w:rsidRDefault="00C07D41" w:rsidP="00C07D41">
      <w:pPr>
        <w:rPr>
          <w:b/>
        </w:rPr>
      </w:pPr>
    </w:p>
    <w:p w14:paraId="5A8E0AAC" w14:textId="2B1B0BDA" w:rsidR="007A0047" w:rsidRPr="00F706F0" w:rsidRDefault="007A0047" w:rsidP="00C07D41">
      <w:r>
        <w:rPr>
          <w:b/>
        </w:rPr>
        <w:t>Workplace monitoring</w:t>
      </w:r>
      <w:r w:rsidR="000A4E9D">
        <w:t>:</w:t>
      </w:r>
      <w:r>
        <w:t xml:space="preserve"> </w:t>
      </w:r>
      <w:r>
        <w:rPr>
          <w:b/>
        </w:rPr>
        <w:t>monitoring</w:t>
      </w:r>
      <w:r>
        <w:t xml:space="preserve"> carried out in the working environment.</w:t>
      </w:r>
    </w:p>
    <w:p w14:paraId="163C4878" w14:textId="3E34363C" w:rsidR="007A0047" w:rsidRPr="00A02AF9" w:rsidRDefault="006467D0" w:rsidP="00A02AF9">
      <w:pPr>
        <w:pStyle w:val="Heading1"/>
      </w:pPr>
      <w:bookmarkStart w:id="47" w:name="_Toc161051011"/>
      <w:r w:rsidRPr="00A02AF9">
        <w:lastRenderedPageBreak/>
        <w:t xml:space="preserve">The </w:t>
      </w:r>
      <w:r w:rsidR="009A1001" w:rsidRPr="00A02AF9">
        <w:t>h</w:t>
      </w:r>
      <w:r w:rsidR="00545275" w:rsidRPr="00A02AF9">
        <w:t>older of a source licence</w:t>
      </w:r>
      <w:bookmarkEnd w:id="47"/>
    </w:p>
    <w:p w14:paraId="21B4F139" w14:textId="77777777" w:rsidR="007A0047" w:rsidRPr="00A02AF9" w:rsidRDefault="007A0047" w:rsidP="00A02AF9">
      <w:pPr>
        <w:pStyle w:val="Heading2"/>
      </w:pPr>
      <w:bookmarkStart w:id="48" w:name="_Toc528588008"/>
      <w:bookmarkStart w:id="49" w:name="_Toc3279687"/>
      <w:bookmarkStart w:id="50" w:name="_Toc161051012"/>
      <w:bookmarkStart w:id="51" w:name="_Toc460302894"/>
      <w:bookmarkStart w:id="52" w:name="_Toc467054236"/>
      <w:r w:rsidRPr="00A02AF9">
        <w:t>General</w:t>
      </w:r>
      <w:bookmarkEnd w:id="48"/>
      <w:bookmarkEnd w:id="49"/>
      <w:bookmarkEnd w:id="50"/>
    </w:p>
    <w:p w14:paraId="39316E7B" w14:textId="1929155C" w:rsidR="006E5817" w:rsidRPr="00A02AF9" w:rsidRDefault="001F2BD7" w:rsidP="00DF4D1D">
      <w:pPr>
        <w:pStyle w:val="Number"/>
        <w:numPr>
          <w:ilvl w:val="3"/>
          <w:numId w:val="8"/>
        </w:numPr>
        <w:ind w:left="426" w:hanging="426"/>
      </w:pPr>
      <w:hyperlink r:id="rId55" w:history="1">
        <w:r w:rsidR="008F0616" w:rsidRPr="00DA21A0">
          <w:rPr>
            <w:rStyle w:val="Hyperlink"/>
          </w:rPr>
          <w:t>Section 20(1)</w:t>
        </w:r>
      </w:hyperlink>
      <w:r w:rsidR="006E5817" w:rsidRPr="00A02AF9">
        <w:t xml:space="preserve"> of the Act </w:t>
      </w:r>
      <w:r w:rsidR="001C1897" w:rsidRPr="00A02AF9">
        <w:t xml:space="preserve">states </w:t>
      </w:r>
      <w:r w:rsidR="006E5817" w:rsidRPr="00A02AF9">
        <w:t xml:space="preserve">that ‘The holder of a source licence is responsible at all times for the management and control of each radiation source to which the licence applies.’ The holder of a source licence must therefore take responsibility for </w:t>
      </w:r>
      <w:r w:rsidR="00F7609A" w:rsidRPr="00A02AF9">
        <w:t xml:space="preserve">the </w:t>
      </w:r>
      <w:r w:rsidR="006E5817" w:rsidRPr="00A02AF9">
        <w:t>protection and safety of each radiation source. The holder of a source licence must:</w:t>
      </w:r>
    </w:p>
    <w:p w14:paraId="619AD5B7" w14:textId="77777777" w:rsidR="007A0047" w:rsidRPr="00A02AF9" w:rsidRDefault="007A0047" w:rsidP="00853449">
      <w:pPr>
        <w:pStyle w:val="Letter"/>
        <w:ind w:left="851" w:hanging="425"/>
      </w:pPr>
      <w:r w:rsidRPr="00A02AF9">
        <w:t>establish a management system to enhance protection and safety that includes:</w:t>
      </w:r>
    </w:p>
    <w:p w14:paraId="0C05BE40" w14:textId="0D26D8E3" w:rsidR="007A0047" w:rsidRPr="00A02AF9" w:rsidRDefault="007A0047" w:rsidP="00853449">
      <w:pPr>
        <w:pStyle w:val="Roman"/>
        <w:tabs>
          <w:tab w:val="left" w:pos="1701"/>
        </w:tabs>
        <w:ind w:left="1276" w:hanging="425"/>
      </w:pPr>
      <w:r w:rsidRPr="00A02AF9">
        <w:t xml:space="preserve">effectively integrating protection and safety into </w:t>
      </w:r>
      <w:r w:rsidR="00635AEB" w:rsidRPr="00A02AF9">
        <w:t xml:space="preserve">an </w:t>
      </w:r>
      <w:r w:rsidR="00AE5C0A" w:rsidRPr="00A02AF9">
        <w:t xml:space="preserve">organisation’s </w:t>
      </w:r>
      <w:r w:rsidRPr="00A02AF9">
        <w:t xml:space="preserve">overall management system </w:t>
      </w:r>
    </w:p>
    <w:p w14:paraId="53605EE3" w14:textId="07267DC2" w:rsidR="007A0047" w:rsidRPr="00A02AF9" w:rsidRDefault="007A0047" w:rsidP="00853449">
      <w:pPr>
        <w:pStyle w:val="Roman"/>
        <w:tabs>
          <w:tab w:val="left" w:pos="1701"/>
        </w:tabs>
        <w:ind w:left="1276" w:hanging="425"/>
      </w:pPr>
      <w:r w:rsidRPr="00A02AF9">
        <w:t>making a commitment to protection and safety from the highest level of management and by providing all required resources</w:t>
      </w:r>
    </w:p>
    <w:p w14:paraId="0D4C83ED" w14:textId="77777777" w:rsidR="00787A2E" w:rsidRPr="00A02AF9" w:rsidRDefault="00787A2E" w:rsidP="00853449">
      <w:pPr>
        <w:pStyle w:val="Roman"/>
        <w:tabs>
          <w:tab w:val="left" w:pos="1701"/>
        </w:tabs>
        <w:ind w:left="1276" w:hanging="425"/>
      </w:pPr>
      <w:r w:rsidRPr="00A02AF9">
        <w:t>procedures to promote continuous improvement and a safety culture</w:t>
      </w:r>
    </w:p>
    <w:p w14:paraId="0FC6A0DB" w14:textId="77777777" w:rsidR="000E6CDE" w:rsidRPr="00A02AF9" w:rsidRDefault="000E6CDE" w:rsidP="00853449">
      <w:pPr>
        <w:pStyle w:val="Roman"/>
        <w:tabs>
          <w:tab w:val="left" w:pos="1701"/>
        </w:tabs>
        <w:ind w:left="1276" w:hanging="425"/>
      </w:pPr>
      <w:r w:rsidRPr="00A02AF9">
        <w:t>documenting the appointment of a radiation safety officer to oversee the application of regulatory requirements for occupational and public radiation protection and safety</w:t>
      </w:r>
    </w:p>
    <w:p w14:paraId="1BF62ADC" w14:textId="77777777" w:rsidR="004559B7" w:rsidRPr="00A02AF9" w:rsidRDefault="004559B7" w:rsidP="00853449">
      <w:pPr>
        <w:pStyle w:val="Roman"/>
        <w:tabs>
          <w:tab w:val="left" w:pos="1701"/>
        </w:tabs>
        <w:ind w:left="1276" w:hanging="425"/>
      </w:pPr>
      <w:r w:rsidRPr="00A02AF9">
        <w:t>ensuring that a radiation practitioner has the duty to plan and justify medical exposures</w:t>
      </w:r>
    </w:p>
    <w:p w14:paraId="3B700D4A" w14:textId="3A32385B" w:rsidR="007A0047" w:rsidRPr="00A02AF9" w:rsidRDefault="6DB7F877" w:rsidP="00853449">
      <w:pPr>
        <w:pStyle w:val="Roman"/>
        <w:tabs>
          <w:tab w:val="left" w:pos="1701"/>
        </w:tabs>
        <w:ind w:left="1276" w:hanging="425"/>
      </w:pPr>
      <w:r w:rsidRPr="00A02AF9">
        <w:t xml:space="preserve">ensuring that requirements for medical imaging, calibration, dosimetry of patients, quality assurance and the commissioning and acceptance of radiation equipment are fulfilled under the oversight of or with the documented advice of a </w:t>
      </w:r>
      <w:r w:rsidR="5EA59B90" w:rsidRPr="00A02AF9">
        <w:t xml:space="preserve">medical physics expert </w:t>
      </w:r>
      <w:r w:rsidRPr="00A02AF9">
        <w:t>whose degree of involvement is determined by the complexity of the radiation procedures and the associated radiation risks</w:t>
      </w:r>
    </w:p>
    <w:p w14:paraId="54BAAE84" w14:textId="315AC7D0" w:rsidR="007A0047" w:rsidRPr="00A02AF9" w:rsidRDefault="6DB7F877" w:rsidP="00853449">
      <w:pPr>
        <w:pStyle w:val="Roman"/>
        <w:tabs>
          <w:tab w:val="left" w:pos="1701"/>
        </w:tabs>
        <w:ind w:left="1276" w:hanging="425"/>
      </w:pPr>
      <w:r w:rsidRPr="00A02AF9">
        <w:t>consulting with and engaging the services of experts and interested parties as necessary</w:t>
      </w:r>
    </w:p>
    <w:p w14:paraId="151C4230" w14:textId="77777777" w:rsidR="00DA6C40" w:rsidRPr="00811B4A" w:rsidRDefault="00DA6C40" w:rsidP="00853449">
      <w:pPr>
        <w:pStyle w:val="Letter"/>
        <w:ind w:left="851" w:hanging="425"/>
      </w:pPr>
      <w:r w:rsidRPr="00811B4A">
        <w:t>for all roles with duties in relation to protection and safety:</w:t>
      </w:r>
    </w:p>
    <w:p w14:paraId="1237ABA4" w14:textId="5CEA5ACA" w:rsidR="00EC562F" w:rsidRPr="00811B4A" w:rsidRDefault="00DA6C40" w:rsidP="00853449">
      <w:pPr>
        <w:pStyle w:val="Roman"/>
        <w:ind w:left="1276" w:hanging="425"/>
      </w:pPr>
      <w:r w:rsidRPr="00811B4A">
        <w:t>fully document the roles</w:t>
      </w:r>
    </w:p>
    <w:p w14:paraId="37A8A728" w14:textId="3F4E3F9A" w:rsidR="00EC562F" w:rsidRDefault="00DA6C40" w:rsidP="00853449">
      <w:pPr>
        <w:pStyle w:val="Roman"/>
        <w:ind w:left="1276" w:hanging="425"/>
      </w:pPr>
      <w:r w:rsidRPr="00811B4A">
        <w:t xml:space="preserve">ensure people are notified of their duties and assume responsibility for performing </w:t>
      </w:r>
      <w:r w:rsidR="00AE5C0A">
        <w:t>those duties</w:t>
      </w:r>
    </w:p>
    <w:p w14:paraId="71CC1021" w14:textId="3620BEF2" w:rsidR="00127C6C" w:rsidRPr="00127C6C" w:rsidRDefault="00127C6C" w:rsidP="00853449">
      <w:pPr>
        <w:pStyle w:val="Letter"/>
        <w:ind w:left="851" w:hanging="425"/>
      </w:pPr>
      <w:r w:rsidRPr="00127C6C">
        <w:t>ensure that all activities associated wit</w:t>
      </w:r>
      <w:r w:rsidRPr="00E32045">
        <w:t xml:space="preserve">h </w:t>
      </w:r>
      <w:r w:rsidR="007F3877" w:rsidRPr="00E32045">
        <w:t>radiation sources</w:t>
      </w:r>
      <w:r w:rsidRPr="00127C6C">
        <w:t xml:space="preserve"> are justified and optimised for protection and safety</w:t>
      </w:r>
    </w:p>
    <w:p w14:paraId="313D9339" w14:textId="4D97CE71" w:rsidR="00A20639" w:rsidRPr="00475EAB" w:rsidRDefault="00A20639" w:rsidP="00853449">
      <w:pPr>
        <w:pStyle w:val="Letter"/>
        <w:ind w:left="851" w:hanging="425"/>
      </w:pPr>
      <w:r w:rsidRPr="00811B4A">
        <w:t xml:space="preserve">in line with </w:t>
      </w:r>
      <w:hyperlink r:id="rId56" w:history="1">
        <w:r w:rsidR="00B97F1F" w:rsidRPr="00B97F1F">
          <w:rPr>
            <w:rStyle w:val="Hyperlink"/>
          </w:rPr>
          <w:t>section 9(3)</w:t>
        </w:r>
      </w:hyperlink>
      <w:r w:rsidRPr="00811B4A">
        <w:t xml:space="preserve"> of the Act, which </w:t>
      </w:r>
      <w:r w:rsidR="006E2388">
        <w:t>states</w:t>
      </w:r>
      <w:r w:rsidR="006E2388" w:rsidRPr="00811B4A">
        <w:t xml:space="preserve"> </w:t>
      </w:r>
      <w:r w:rsidRPr="00811B4A">
        <w:t xml:space="preserve">that ‘a person who deals with a radiation source must ensure that any ionising radiation exposure that results from a planned operation or activity does not exceed the applicable </w:t>
      </w:r>
      <w:r w:rsidRPr="00811B4A">
        <w:lastRenderedPageBreak/>
        <w:t xml:space="preserve">dose limits set out in Schedule 3’, be conversant with the requirements set out in </w:t>
      </w:r>
      <w:hyperlink r:id="rId57" w:anchor="DLM6339781" w:history="1">
        <w:r w:rsidRPr="00550FD4">
          <w:rPr>
            <w:rStyle w:val="Hyperlink"/>
          </w:rPr>
          <w:t>Schedule 3</w:t>
        </w:r>
      </w:hyperlink>
      <w:r w:rsidRPr="00811B4A">
        <w:t xml:space="preserve"> of the Act and ensure that any radiation exposure that results from planned operations or activities does not exceed applicable dose limits</w:t>
      </w:r>
    </w:p>
    <w:p w14:paraId="3D1DDDCB" w14:textId="7D9393F8" w:rsidR="00D93163" w:rsidRPr="00D93163" w:rsidRDefault="00D93163" w:rsidP="00853449">
      <w:pPr>
        <w:pStyle w:val="Letter"/>
        <w:ind w:left="851" w:hanging="425"/>
      </w:pPr>
      <w:r w:rsidRPr="00811B4A">
        <w:t xml:space="preserve">ensure that </w:t>
      </w:r>
      <w:r w:rsidR="00A70532">
        <w:t xml:space="preserve">necessary and </w:t>
      </w:r>
      <w:r w:rsidRPr="00811B4A">
        <w:t>sufficient information on the clinical context of a procedure is provided by the referring practitioner to the radiation practitioner.</w:t>
      </w:r>
    </w:p>
    <w:p w14:paraId="29112B67" w14:textId="28CADFFA" w:rsidR="007A0047" w:rsidRPr="00A02AF9" w:rsidRDefault="007A0047" w:rsidP="00DF4D1D">
      <w:pPr>
        <w:pStyle w:val="Number"/>
        <w:numPr>
          <w:ilvl w:val="3"/>
          <w:numId w:val="8"/>
        </w:numPr>
        <w:ind w:left="426" w:hanging="426"/>
        <w:rPr>
          <w:rStyle w:val="Hyperlink"/>
          <w:b w:val="0"/>
          <w:bCs/>
          <w:color w:val="auto"/>
        </w:rPr>
      </w:pPr>
      <w:r w:rsidRPr="00A02AF9">
        <w:rPr>
          <w:rStyle w:val="Hyperlink"/>
          <w:b w:val="0"/>
          <w:bCs/>
          <w:color w:val="auto"/>
        </w:rPr>
        <w:t xml:space="preserve">The </w:t>
      </w:r>
      <w:r w:rsidR="00545275" w:rsidRPr="00A02AF9">
        <w:rPr>
          <w:rStyle w:val="Hyperlink"/>
          <w:b w:val="0"/>
          <w:bCs/>
          <w:color w:val="auto"/>
        </w:rPr>
        <w:t>holder of a source licence</w:t>
      </w:r>
      <w:r w:rsidRPr="00A02AF9">
        <w:rPr>
          <w:rStyle w:val="Hyperlink"/>
          <w:b w:val="0"/>
          <w:bCs/>
          <w:color w:val="auto"/>
        </w:rPr>
        <w:t xml:space="preserve"> must ensure that no practice or procedure is undertaken unless:</w:t>
      </w:r>
    </w:p>
    <w:p w14:paraId="12BAE0C4" w14:textId="6637A922" w:rsidR="007A0047" w:rsidRDefault="007A0047" w:rsidP="00DF4D1D">
      <w:pPr>
        <w:pStyle w:val="Letter"/>
        <w:numPr>
          <w:ilvl w:val="4"/>
          <w:numId w:val="9"/>
        </w:numPr>
        <w:ind w:left="851" w:hanging="425"/>
      </w:pPr>
      <w:r>
        <w:t>it has been justified generically by a health authority</w:t>
      </w:r>
    </w:p>
    <w:p w14:paraId="264D8A95" w14:textId="78D94308" w:rsidR="007A0047" w:rsidRDefault="6DB7F877" w:rsidP="00DF4D1D">
      <w:pPr>
        <w:pStyle w:val="Letter"/>
        <w:numPr>
          <w:ilvl w:val="4"/>
          <w:numId w:val="9"/>
        </w:numPr>
        <w:ind w:left="851" w:hanging="425"/>
      </w:pPr>
      <w:r>
        <w:t>it has been:</w:t>
      </w:r>
    </w:p>
    <w:p w14:paraId="07CA45A2" w14:textId="77777777" w:rsidR="008746C1" w:rsidRPr="008746C1" w:rsidRDefault="007A0047" w:rsidP="00853449">
      <w:pPr>
        <w:pStyle w:val="Roman"/>
        <w:ind w:left="1276" w:hanging="425"/>
      </w:pPr>
      <w:r w:rsidRPr="008746C1">
        <w:t>justified specifically by a health authority in conjunction with appropriate professional bodies for procedures that are part of a health screening programme</w:t>
      </w:r>
    </w:p>
    <w:p w14:paraId="75DE009C" w14:textId="77777777" w:rsidR="007A0047" w:rsidRPr="008746C1" w:rsidRDefault="007A0047" w:rsidP="00853449">
      <w:pPr>
        <w:pStyle w:val="Roman"/>
        <w:ind w:left="1276" w:hanging="425"/>
      </w:pPr>
      <w:r w:rsidRPr="008746C1">
        <w:t>approved by an ethics committee for medical exposures incurred as part of a programme of medical research</w:t>
      </w:r>
    </w:p>
    <w:p w14:paraId="1CFA87E5" w14:textId="4164AE41" w:rsidR="003A18EF" w:rsidRDefault="007A0047" w:rsidP="00853449">
      <w:pPr>
        <w:pStyle w:val="Roman"/>
        <w:ind w:left="1276" w:hanging="425"/>
      </w:pPr>
      <w:r w:rsidRPr="008746C1">
        <w:t>justified</w:t>
      </w:r>
      <w:r>
        <w:t xml:space="preserve"> individually for the patient by a radiation practitioner in any other case.</w:t>
      </w:r>
    </w:p>
    <w:p w14:paraId="051EC463" w14:textId="4C78B84B" w:rsidR="009347C0" w:rsidRPr="00A02AF9" w:rsidRDefault="009347C0" w:rsidP="00DF4D1D">
      <w:pPr>
        <w:pStyle w:val="Number"/>
        <w:numPr>
          <w:ilvl w:val="3"/>
          <w:numId w:val="8"/>
        </w:numPr>
        <w:ind w:left="426" w:hanging="426"/>
        <w:rPr>
          <w:rStyle w:val="Hyperlink"/>
          <w:b w:val="0"/>
          <w:color w:val="auto"/>
        </w:rPr>
      </w:pPr>
      <w:r w:rsidRPr="00A02AF9">
        <w:rPr>
          <w:rStyle w:val="Hyperlink"/>
          <w:b w:val="0"/>
          <w:color w:val="auto"/>
        </w:rPr>
        <w:t>The holder of a source licence must ensure that</w:t>
      </w:r>
      <w:r w:rsidR="00BF35E9" w:rsidRPr="00A02AF9">
        <w:rPr>
          <w:rStyle w:val="Hyperlink"/>
          <w:b w:val="0"/>
          <w:color w:val="auto"/>
        </w:rPr>
        <w:t>,</w:t>
      </w:r>
      <w:r w:rsidRPr="00A02AF9">
        <w:rPr>
          <w:rStyle w:val="Hyperlink"/>
          <w:b w:val="0"/>
          <w:color w:val="auto"/>
        </w:rPr>
        <w:t xml:space="preserve"> for occupational and public exposures, the radiological procedure is expected to give benefits to the individuals who undergo the procedure and to society that outweigh the harm resulting from the procedure. This must be done in consultation with the radiation practitioner.</w:t>
      </w:r>
    </w:p>
    <w:p w14:paraId="7E45C120" w14:textId="67D6F937" w:rsidR="001828C6" w:rsidRPr="00A02AF9" w:rsidRDefault="001828C6" w:rsidP="00A02AF9">
      <w:pPr>
        <w:pStyle w:val="Heading2"/>
      </w:pPr>
      <w:bookmarkStart w:id="53" w:name="_Toc142646959"/>
      <w:bookmarkStart w:id="54" w:name="_Toc144957763"/>
      <w:bookmarkStart w:id="55" w:name="_Toc161051013"/>
      <w:r w:rsidRPr="00A02AF9">
        <w:t>Risk assessment</w:t>
      </w:r>
      <w:bookmarkEnd w:id="53"/>
      <w:bookmarkEnd w:id="54"/>
      <w:bookmarkEnd w:id="55"/>
    </w:p>
    <w:p w14:paraId="60187666" w14:textId="61E4D667" w:rsidR="007A0047" w:rsidRPr="00A02AF9" w:rsidRDefault="005A1CFD" w:rsidP="00DF4D1D">
      <w:pPr>
        <w:pStyle w:val="Number"/>
        <w:numPr>
          <w:ilvl w:val="3"/>
          <w:numId w:val="8"/>
        </w:numPr>
        <w:ind w:left="426" w:hanging="426"/>
        <w:rPr>
          <w:rStyle w:val="Hyperlink"/>
          <w:b w:val="0"/>
          <w:bCs/>
          <w:color w:val="auto"/>
        </w:rPr>
      </w:pPr>
      <w:r w:rsidRPr="00A02AF9">
        <w:rPr>
          <w:rStyle w:val="Hyperlink"/>
          <w:b w:val="0"/>
          <w:bCs/>
          <w:color w:val="auto"/>
        </w:rPr>
        <w:t xml:space="preserve">The </w:t>
      </w:r>
      <w:r w:rsidR="00545275" w:rsidRPr="00A02AF9">
        <w:rPr>
          <w:rStyle w:val="Hyperlink"/>
          <w:b w:val="0"/>
          <w:bCs/>
          <w:color w:val="auto"/>
        </w:rPr>
        <w:t>holder of a source licence</w:t>
      </w:r>
      <w:r w:rsidR="007A0047" w:rsidRPr="00A02AF9">
        <w:rPr>
          <w:rStyle w:val="Hyperlink"/>
          <w:b w:val="0"/>
          <w:bCs/>
          <w:color w:val="auto"/>
        </w:rPr>
        <w:t xml:space="preserve"> must conduct, document and keep up to date a </w:t>
      </w:r>
      <w:r w:rsidR="00B64950" w:rsidRPr="00A02AF9">
        <w:rPr>
          <w:rStyle w:val="Hyperlink"/>
          <w:b w:val="0"/>
          <w:bCs/>
          <w:color w:val="auto"/>
        </w:rPr>
        <w:t>risk assessment</w:t>
      </w:r>
      <w:r w:rsidR="000119B1" w:rsidRPr="00A02AF9">
        <w:rPr>
          <w:rStyle w:val="Hyperlink"/>
          <w:b w:val="0"/>
          <w:bCs/>
          <w:color w:val="auto"/>
        </w:rPr>
        <w:t xml:space="preserve"> </w:t>
      </w:r>
      <w:r w:rsidR="007A0047" w:rsidRPr="00A02AF9">
        <w:rPr>
          <w:rStyle w:val="Hyperlink"/>
          <w:b w:val="0"/>
          <w:bCs/>
          <w:color w:val="auto"/>
        </w:rPr>
        <w:t>to:</w:t>
      </w:r>
    </w:p>
    <w:p w14:paraId="2583125B" w14:textId="401A94FA" w:rsidR="007A0047" w:rsidRDefault="6DB7F877" w:rsidP="00DF4D1D">
      <w:pPr>
        <w:pStyle w:val="Letter"/>
        <w:numPr>
          <w:ilvl w:val="4"/>
          <w:numId w:val="9"/>
        </w:numPr>
        <w:ind w:left="851" w:hanging="425"/>
      </w:pPr>
      <w:r>
        <w:t>identify the ways in which occupational, public and medical exposures could be incurred</w:t>
      </w:r>
    </w:p>
    <w:p w14:paraId="3063E4BB" w14:textId="167B5643" w:rsidR="007A0047" w:rsidRDefault="6DB7F877" w:rsidP="00DF4D1D">
      <w:pPr>
        <w:pStyle w:val="Letter"/>
        <w:numPr>
          <w:ilvl w:val="4"/>
          <w:numId w:val="9"/>
        </w:numPr>
        <w:ind w:left="851" w:hanging="425"/>
      </w:pPr>
      <w:r>
        <w:t>determine the expected likelihood and magnitudes of exposures in normal operation and, to the extent reasonable and practicable, assess potential exposures</w:t>
      </w:r>
      <w:r w:rsidR="00DF646A">
        <w:t>,</w:t>
      </w:r>
      <w:r>
        <w:t xml:space="preserve"> including the possibility of unintended or accidental medical exposures</w:t>
      </w:r>
    </w:p>
    <w:p w14:paraId="034AB234" w14:textId="0303C674" w:rsidR="007A0047" w:rsidRDefault="6DB7F877" w:rsidP="00DF4D1D">
      <w:pPr>
        <w:pStyle w:val="Letter"/>
        <w:numPr>
          <w:ilvl w:val="4"/>
          <w:numId w:val="9"/>
        </w:numPr>
        <w:ind w:left="851" w:hanging="425"/>
      </w:pPr>
      <w:r>
        <w:t>assess the adequacy of provisions for protection and safety in respect of siting, design and</w:t>
      </w:r>
      <w:r w:rsidR="001828C6">
        <w:t xml:space="preserve"> </w:t>
      </w:r>
      <w:r w:rsidR="71FAB0A9">
        <w:t>use of radioactive material</w:t>
      </w:r>
      <w:r>
        <w:t>.</w:t>
      </w:r>
    </w:p>
    <w:p w14:paraId="74344EA3" w14:textId="77777777" w:rsidR="001828C6" w:rsidRPr="00A02AF9" w:rsidRDefault="001828C6" w:rsidP="00A02AF9">
      <w:pPr>
        <w:pStyle w:val="Heading2"/>
      </w:pPr>
      <w:bookmarkStart w:id="56" w:name="_Toc142646960"/>
      <w:bookmarkStart w:id="57" w:name="_Toc144957764"/>
      <w:bookmarkStart w:id="58" w:name="_Toc161051014"/>
      <w:bookmarkEnd w:id="51"/>
      <w:bookmarkEnd w:id="52"/>
      <w:r w:rsidRPr="00A02AF9">
        <w:t>Places</w:t>
      </w:r>
      <w:bookmarkEnd w:id="56"/>
      <w:bookmarkEnd w:id="57"/>
      <w:bookmarkEnd w:id="58"/>
    </w:p>
    <w:p w14:paraId="7204F136" w14:textId="472BE653" w:rsidR="007A0047" w:rsidRPr="00A02AF9" w:rsidRDefault="6DB7F877" w:rsidP="00DF4D1D">
      <w:pPr>
        <w:pStyle w:val="Number"/>
        <w:numPr>
          <w:ilvl w:val="3"/>
          <w:numId w:val="8"/>
        </w:numPr>
        <w:ind w:left="426" w:hanging="426"/>
        <w:rPr>
          <w:rStyle w:val="Hyperlink"/>
          <w:b w:val="0"/>
          <w:color w:val="auto"/>
        </w:rPr>
      </w:pPr>
      <w:r w:rsidRPr="00A02AF9">
        <w:rPr>
          <w:rStyle w:val="Hyperlink"/>
          <w:b w:val="0"/>
          <w:color w:val="auto"/>
        </w:rPr>
        <w:t xml:space="preserve">The </w:t>
      </w:r>
      <w:r w:rsidR="79E3DCD4" w:rsidRPr="00A02AF9">
        <w:rPr>
          <w:rStyle w:val="Hyperlink"/>
          <w:b w:val="0"/>
          <w:color w:val="auto"/>
        </w:rPr>
        <w:t>holder of a source licence</w:t>
      </w:r>
      <w:r w:rsidRPr="00A02AF9">
        <w:rPr>
          <w:rStyle w:val="Hyperlink"/>
          <w:b w:val="0"/>
          <w:color w:val="auto"/>
        </w:rPr>
        <w:t xml:space="preserve"> must:</w:t>
      </w:r>
    </w:p>
    <w:p w14:paraId="42A68AE5" w14:textId="08F36384" w:rsidR="007A0047" w:rsidRPr="00F706F0" w:rsidRDefault="6DB7F877" w:rsidP="00DF4D1D">
      <w:pPr>
        <w:pStyle w:val="Letter"/>
        <w:numPr>
          <w:ilvl w:val="4"/>
          <w:numId w:val="9"/>
        </w:numPr>
        <w:ind w:left="851" w:hanging="425"/>
      </w:pPr>
      <w:r>
        <w:t xml:space="preserve">provide </w:t>
      </w:r>
      <w:r w:rsidR="7B22F9A5">
        <w:t xml:space="preserve">places </w:t>
      </w:r>
      <w:r>
        <w:t xml:space="preserve">that are located, designed, manufactured, constructed, assembled, commissioned, operated, maintained and decommissioned in </w:t>
      </w:r>
      <w:r>
        <w:lastRenderedPageBreak/>
        <w:t>accordance with good engineering practice</w:t>
      </w:r>
      <w:r w:rsidR="003F6854">
        <w:t>, using</w:t>
      </w:r>
      <w:r w:rsidR="003F5D7C">
        <w:t xml:space="preserve"> appropriate radiation shielding where needed</w:t>
      </w:r>
      <w:r w:rsidR="00BA68EE">
        <w:t>;</w:t>
      </w:r>
      <w:r>
        <w:t xml:space="preserve"> taking into account workload</w:t>
      </w:r>
      <w:r w:rsidR="007166CA">
        <w:t>,</w:t>
      </w:r>
      <w:r>
        <w:t xml:space="preserve"> patient flow</w:t>
      </w:r>
      <w:r w:rsidR="003F6854">
        <w:t xml:space="preserve"> and</w:t>
      </w:r>
      <w:r>
        <w:t xml:space="preserve"> </w:t>
      </w:r>
      <w:r w:rsidR="00D66142" w:rsidRPr="00027A45">
        <w:t xml:space="preserve">background radiation </w:t>
      </w:r>
      <w:r w:rsidR="00C96454" w:rsidRPr="00027A45">
        <w:t>interference with equipment,</w:t>
      </w:r>
      <w:r w:rsidR="00C96454">
        <w:t xml:space="preserve"> </w:t>
      </w:r>
      <w:r>
        <w:t>and minimising the need to rely on administrative controls and personal protective equipment for protection and safety</w:t>
      </w:r>
    </w:p>
    <w:p w14:paraId="0A2B4AC9" w14:textId="34C9D5C8" w:rsidR="007A0047" w:rsidRDefault="007A0047" w:rsidP="00DF4D1D">
      <w:pPr>
        <w:pStyle w:val="Letter"/>
        <w:numPr>
          <w:ilvl w:val="4"/>
          <w:numId w:val="9"/>
        </w:numPr>
        <w:ind w:left="851" w:hanging="425"/>
      </w:pPr>
      <w:r>
        <w:t xml:space="preserve">provide </w:t>
      </w:r>
      <w:r w:rsidRPr="00F706F0">
        <w:t xml:space="preserve">suitable areas for </w:t>
      </w:r>
      <w:r>
        <w:t>source</w:t>
      </w:r>
      <w:r w:rsidRPr="00F706F0">
        <w:t xml:space="preserve"> storage and </w:t>
      </w:r>
      <w:r>
        <w:t xml:space="preserve">radiopharmaceutical </w:t>
      </w:r>
      <w:r w:rsidRPr="00F706F0">
        <w:t>preparation, radiopharmaceutical administration to patients, uptake rooms, in vivo imaging, in vitro sample measurement, waiting areas, changing areas</w:t>
      </w:r>
      <w:r>
        <w:t>,</w:t>
      </w:r>
      <w:r w:rsidRPr="00F706F0">
        <w:t xml:space="preserve"> </w:t>
      </w:r>
      <w:r>
        <w:t xml:space="preserve">dedicated </w:t>
      </w:r>
      <w:r w:rsidRPr="00F706F0">
        <w:t>toilets</w:t>
      </w:r>
      <w:r>
        <w:t xml:space="preserve"> for patients</w:t>
      </w:r>
      <w:r w:rsidRPr="00F706F0">
        <w:t xml:space="preserve">, </w:t>
      </w:r>
      <w:r>
        <w:t xml:space="preserve">personal contamination monitoring, decontamination, </w:t>
      </w:r>
      <w:r w:rsidRPr="00F706F0">
        <w:t>radioactive waste storage and predisposal processing</w:t>
      </w:r>
    </w:p>
    <w:p w14:paraId="7C4ACA96" w14:textId="36564073" w:rsidR="00BC2984" w:rsidRPr="00820AAB" w:rsidRDefault="0039111C" w:rsidP="00DF4D1D">
      <w:pPr>
        <w:pStyle w:val="Letter"/>
        <w:numPr>
          <w:ilvl w:val="4"/>
          <w:numId w:val="9"/>
        </w:numPr>
        <w:ind w:left="851" w:hanging="425"/>
      </w:pPr>
      <w:r>
        <w:t xml:space="preserve">provide a </w:t>
      </w:r>
      <w:r w:rsidR="00EC1EA4" w:rsidRPr="00820AAB">
        <w:t>s</w:t>
      </w:r>
      <w:r w:rsidR="00BC2984" w:rsidRPr="00820AAB">
        <w:t>uitable</w:t>
      </w:r>
      <w:r w:rsidR="007B26C2" w:rsidRPr="007B26C2">
        <w:t xml:space="preserve"> </w:t>
      </w:r>
      <w:r w:rsidR="007B26C2" w:rsidRPr="00820AAB">
        <w:t>radiopharmacy</w:t>
      </w:r>
      <w:r>
        <w:t xml:space="preserve"> that has</w:t>
      </w:r>
      <w:r w:rsidR="00BC2984" w:rsidRPr="00820AAB">
        <w:t>:</w:t>
      </w:r>
    </w:p>
    <w:p w14:paraId="4344077E" w14:textId="55CB8B19" w:rsidR="003E5C2C" w:rsidRPr="00820AAB" w:rsidRDefault="00EC1EA4" w:rsidP="00853449">
      <w:pPr>
        <w:pStyle w:val="Roman"/>
        <w:ind w:left="1276" w:hanging="425"/>
      </w:pPr>
      <w:r w:rsidRPr="00820AAB">
        <w:t>hand washing facilities that can be operated without the operator</w:t>
      </w:r>
      <w:r w:rsidR="007B26C2">
        <w:t xml:space="preserve"> using their</w:t>
      </w:r>
      <w:r w:rsidRPr="00820AAB">
        <w:t xml:space="preserve"> hands</w:t>
      </w:r>
    </w:p>
    <w:p w14:paraId="2E148F62" w14:textId="54CB9CE7" w:rsidR="0052123A" w:rsidRPr="00820AAB" w:rsidRDefault="00E713BF" w:rsidP="00853449">
      <w:pPr>
        <w:pStyle w:val="Roman"/>
        <w:ind w:left="1276" w:hanging="425"/>
      </w:pPr>
      <w:r w:rsidRPr="00820AAB">
        <w:t>where appropriate</w:t>
      </w:r>
      <w:r w:rsidR="00797997" w:rsidRPr="00820AAB">
        <w:t>,</w:t>
      </w:r>
      <w:r w:rsidRPr="00820AAB">
        <w:t xml:space="preserve"> a shower for decontaminati</w:t>
      </w:r>
      <w:r w:rsidR="007B26C2">
        <w:t>ng</w:t>
      </w:r>
      <w:r w:rsidRPr="00820AAB">
        <w:t xml:space="preserve"> a person contaminated with radioactive material</w:t>
      </w:r>
    </w:p>
    <w:p w14:paraId="49B94845" w14:textId="3FCFE0D3" w:rsidR="005715C5" w:rsidRDefault="007A0047" w:rsidP="00853449">
      <w:pPr>
        <w:pStyle w:val="Roman"/>
        <w:ind w:left="1276" w:hanging="425"/>
      </w:pPr>
      <w:r w:rsidRPr="00820AAB">
        <w:t xml:space="preserve">eyewash </w:t>
      </w:r>
      <w:r w:rsidR="00213A51" w:rsidRPr="00820AAB">
        <w:t>facilities</w:t>
      </w:r>
    </w:p>
    <w:p w14:paraId="39E0C175" w14:textId="3F17BC41" w:rsidR="007A0047" w:rsidRPr="00F706F0" w:rsidRDefault="00534AF4" w:rsidP="00DF4D1D">
      <w:pPr>
        <w:pStyle w:val="Letter"/>
        <w:numPr>
          <w:ilvl w:val="4"/>
          <w:numId w:val="9"/>
        </w:numPr>
        <w:ind w:left="851" w:hanging="425"/>
      </w:pPr>
      <w:r>
        <w:t xml:space="preserve">ensure that an appropriate ventilation system is provided </w:t>
      </w:r>
      <w:r w:rsidR="00817187">
        <w:t>wh</w:t>
      </w:r>
      <w:r w:rsidR="00F45787">
        <w:t>ere</w:t>
      </w:r>
      <w:r w:rsidR="00480B73">
        <w:t>ver</w:t>
      </w:r>
      <w:r w:rsidR="00817187">
        <w:t xml:space="preserve"> unsealed</w:t>
      </w:r>
      <w:r w:rsidR="0077524C">
        <w:t xml:space="preserve"> radioactive material</w:t>
      </w:r>
      <w:r w:rsidR="00480B73">
        <w:t>s</w:t>
      </w:r>
      <w:r w:rsidR="0077524C">
        <w:t xml:space="preserve"> that </w:t>
      </w:r>
      <w:r w:rsidR="005E68E7">
        <w:t>includ</w:t>
      </w:r>
      <w:r w:rsidR="0077524C">
        <w:t>e</w:t>
      </w:r>
      <w:r w:rsidR="005E68E7">
        <w:t xml:space="preserve"> </w:t>
      </w:r>
      <w:r w:rsidR="00AB3966">
        <w:t>radioactive aerosols or gases</w:t>
      </w:r>
      <w:r w:rsidR="00817187">
        <w:t xml:space="preserve"> </w:t>
      </w:r>
      <w:r w:rsidR="00B15D70">
        <w:t xml:space="preserve">are </w:t>
      </w:r>
      <w:r w:rsidR="00817187">
        <w:t>handled</w:t>
      </w:r>
    </w:p>
    <w:p w14:paraId="39D39003" w14:textId="4B57A73B" w:rsidR="00B5472B" w:rsidRPr="00B5472B" w:rsidRDefault="00B5472B" w:rsidP="00DF4D1D">
      <w:pPr>
        <w:pStyle w:val="Letter"/>
        <w:numPr>
          <w:ilvl w:val="4"/>
          <w:numId w:val="9"/>
        </w:numPr>
        <w:ind w:left="851" w:hanging="425"/>
      </w:pPr>
      <w:r w:rsidRPr="00B5472B">
        <w:t xml:space="preserve">ensure that radiation shielding that forms part of the structure of places </w:t>
      </w:r>
      <w:r w:rsidR="00480B73">
        <w:t>where</w:t>
      </w:r>
      <w:r w:rsidRPr="00B5472B">
        <w:t xml:space="preserve"> </w:t>
      </w:r>
      <w:r w:rsidR="00EE186F">
        <w:t xml:space="preserve">nuclear medicine </w:t>
      </w:r>
      <w:r w:rsidRPr="00B5472B">
        <w:t xml:space="preserve">procedures are performed, such as walls, doors and windows, </w:t>
      </w:r>
      <w:r w:rsidR="00915D1B">
        <w:t xml:space="preserve">or </w:t>
      </w:r>
      <w:r w:rsidR="0004111B">
        <w:t xml:space="preserve">that </w:t>
      </w:r>
      <w:r w:rsidR="00915D1B">
        <w:t xml:space="preserve">is used </w:t>
      </w:r>
      <w:r w:rsidR="001755F6">
        <w:t xml:space="preserve">to provide shielding around </w:t>
      </w:r>
      <w:r w:rsidR="00915D1B">
        <w:t xml:space="preserve">radiation sources </w:t>
      </w:r>
      <w:r w:rsidRPr="00B5472B">
        <w:t>is approved to be adequate for protection</w:t>
      </w:r>
      <w:r w:rsidR="00EE186F">
        <w:t>,</w:t>
      </w:r>
      <w:r w:rsidRPr="00B5472B">
        <w:t xml:space="preserve"> safety </w:t>
      </w:r>
      <w:r w:rsidR="00EE186F">
        <w:t>and operational needs</w:t>
      </w:r>
      <w:r w:rsidR="0004111B">
        <w:t>,</w:t>
      </w:r>
      <w:r w:rsidR="00EE186F">
        <w:t xml:space="preserve"> </w:t>
      </w:r>
      <w:r w:rsidR="0035548C">
        <w:t xml:space="preserve">such as </w:t>
      </w:r>
      <w:r w:rsidR="006B38D8">
        <w:t>low background levels</w:t>
      </w:r>
      <w:r w:rsidR="0004111B">
        <w:t>,</w:t>
      </w:r>
      <w:r w:rsidR="006B38D8">
        <w:t xml:space="preserve"> </w:t>
      </w:r>
      <w:r w:rsidRPr="00B5472B">
        <w:t>by a medical physics expert or another qualified expert</w:t>
      </w:r>
    </w:p>
    <w:p w14:paraId="57DA96AC" w14:textId="3D0526A1" w:rsidR="007A0047" w:rsidRPr="00F706F0" w:rsidRDefault="6DB7F877" w:rsidP="00DF4D1D">
      <w:pPr>
        <w:pStyle w:val="Letter"/>
        <w:numPr>
          <w:ilvl w:val="4"/>
          <w:numId w:val="9"/>
        </w:numPr>
        <w:ind w:left="851" w:hanging="425"/>
      </w:pPr>
      <w:r>
        <w:t xml:space="preserve">in consultation with a </w:t>
      </w:r>
      <w:r w:rsidR="5EA59B90">
        <w:t>medical physics expert</w:t>
      </w:r>
      <w:r w:rsidR="4EC9C0F6">
        <w:t xml:space="preserve"> </w:t>
      </w:r>
      <w:r>
        <w:t xml:space="preserve">or other qualified expert, verify and document the adequacy of shielding required in clause </w:t>
      </w:r>
      <w:r w:rsidR="00AA71D4">
        <w:t>5</w:t>
      </w:r>
      <w:r>
        <w:t>(</w:t>
      </w:r>
      <w:r w:rsidR="00FD633B">
        <w:t>e</w:t>
      </w:r>
      <w:r>
        <w:t xml:space="preserve">) whenever circumstances change that could increase the </w:t>
      </w:r>
      <w:r w:rsidR="0039111C">
        <w:t>level</w:t>
      </w:r>
      <w:r w:rsidR="007B0C9E">
        <w:t>s</w:t>
      </w:r>
      <w:r w:rsidR="0039111C">
        <w:t xml:space="preserve"> of </w:t>
      </w:r>
      <w:r>
        <w:t>risks</w:t>
      </w:r>
    </w:p>
    <w:p w14:paraId="5FC4A3C4" w14:textId="77777777" w:rsidR="00F12B91" w:rsidRDefault="6DB7F877" w:rsidP="00DF4D1D">
      <w:pPr>
        <w:pStyle w:val="Letter"/>
        <w:numPr>
          <w:ilvl w:val="4"/>
          <w:numId w:val="9"/>
        </w:numPr>
        <w:ind w:left="851" w:hanging="425"/>
      </w:pPr>
      <w:r>
        <w:t>designate and delineate appropriate areas as controlled areas or supervised areas and periodically review those designations and delineations</w:t>
      </w:r>
      <w:r w:rsidR="001828C6">
        <w:t xml:space="preserve"> </w:t>
      </w:r>
    </w:p>
    <w:p w14:paraId="2DEA5D53" w14:textId="60F0FAF5" w:rsidR="007A0047" w:rsidRPr="00F706F0" w:rsidRDefault="6DB7F877" w:rsidP="00DF4D1D">
      <w:pPr>
        <w:pStyle w:val="Letter"/>
        <w:numPr>
          <w:ilvl w:val="4"/>
          <w:numId w:val="9"/>
        </w:numPr>
        <w:ind w:left="851" w:hanging="425"/>
      </w:pPr>
      <w:r>
        <w:t>prominently display signs:</w:t>
      </w:r>
    </w:p>
    <w:p w14:paraId="130B1398" w14:textId="7BA6AA19" w:rsidR="007A0047" w:rsidRPr="008746C1" w:rsidRDefault="007A0047" w:rsidP="00853449">
      <w:pPr>
        <w:pStyle w:val="Roman"/>
        <w:ind w:left="1276" w:hanging="425"/>
      </w:pPr>
      <w:r w:rsidRPr="008746C1">
        <w:t>specifying the actual or potential presence of ionising radiation</w:t>
      </w:r>
      <w:r w:rsidR="00CB7B36">
        <w:t>,</w:t>
      </w:r>
      <w:r w:rsidRPr="008746C1">
        <w:t xml:space="preserve"> using the symbol recommended by the International Organization for Standardization </w:t>
      </w:r>
      <w:r w:rsidR="00B006CA">
        <w:t xml:space="preserve">(ISO) </w:t>
      </w:r>
      <w:r w:rsidRPr="008746C1">
        <w:t>at access points to controlled areas and supervised areas and at appropriate locations within controlled areas</w:t>
      </w:r>
    </w:p>
    <w:p w14:paraId="2AFB6AEA" w14:textId="687C09AA" w:rsidR="007A0047" w:rsidRPr="008746C1" w:rsidRDefault="007A0047" w:rsidP="00853449">
      <w:pPr>
        <w:pStyle w:val="Roman"/>
        <w:ind w:left="1276" w:hanging="425"/>
      </w:pPr>
      <w:r w:rsidRPr="008746C1">
        <w:t xml:space="preserve">controlling access by members of the </w:t>
      </w:r>
      <w:r w:rsidRPr="00EF4380">
        <w:t xml:space="preserve">public </w:t>
      </w:r>
      <w:r w:rsidR="00AC73AA" w:rsidRPr="00EF4380">
        <w:t xml:space="preserve">and others </w:t>
      </w:r>
      <w:r w:rsidRPr="00EF4380">
        <w:t>to controlled</w:t>
      </w:r>
      <w:r w:rsidRPr="008746C1">
        <w:t xml:space="preserve"> areas and supervised areas</w:t>
      </w:r>
    </w:p>
    <w:p w14:paraId="0A414B6F" w14:textId="77777777" w:rsidR="007A0047" w:rsidRPr="008746C1" w:rsidRDefault="007A0047" w:rsidP="00853449">
      <w:pPr>
        <w:pStyle w:val="Roman"/>
        <w:ind w:left="1276" w:hanging="425"/>
      </w:pPr>
      <w:r w:rsidRPr="008746C1">
        <w:t>in areas that patients may be in (including waiting rooms and change cubicles), requiring patients who are to undergo a radiation procedure to notify staff if they are or may be pregnant or if they are breastfeeding</w:t>
      </w:r>
    </w:p>
    <w:p w14:paraId="05F78C30" w14:textId="2D6D7FC6" w:rsidR="007A0047" w:rsidRPr="00F706F0" w:rsidRDefault="007A0047" w:rsidP="00853449">
      <w:pPr>
        <w:pStyle w:val="Roman"/>
        <w:ind w:left="1276" w:hanging="425"/>
      </w:pPr>
      <w:r w:rsidRPr="008746C1">
        <w:t>in rooms designated for patients undergoing radiopharmaceutical therapy, requesting</w:t>
      </w:r>
      <w:r>
        <w:t xml:space="preserve"> patients wash their hands and</w:t>
      </w:r>
      <w:r w:rsidR="003A06A8">
        <w:t>,</w:t>
      </w:r>
      <w:r w:rsidR="00CA238D">
        <w:t xml:space="preserve"> where needed</w:t>
      </w:r>
      <w:r w:rsidR="003A06A8">
        <w:t>,</w:t>
      </w:r>
      <w:r w:rsidR="00CA238D">
        <w:t xml:space="preserve"> </w:t>
      </w:r>
      <w:r>
        <w:t>flush the toilet at least twice</w:t>
      </w:r>
    </w:p>
    <w:p w14:paraId="04C9BD05" w14:textId="08876814" w:rsidR="007A0047" w:rsidRPr="00F706F0" w:rsidRDefault="6DB7F877" w:rsidP="00DF4D1D">
      <w:pPr>
        <w:pStyle w:val="Letter"/>
        <w:numPr>
          <w:ilvl w:val="4"/>
          <w:numId w:val="9"/>
        </w:numPr>
        <w:ind w:left="851" w:hanging="425"/>
      </w:pPr>
      <w:r>
        <w:t xml:space="preserve">ensure that floors, walls and other surfaces are covered with smooth, continuous non-absorbent materials that can be easily cleaned and decontaminated in areas where radiopharmaceuticals are used or stored, </w:t>
      </w:r>
      <w:r>
        <w:lastRenderedPageBreak/>
        <w:t>rooms designated for patients undergoing radiopharmaceutical therapy, toilets used by patients following the administration of radiopharmaceuticals and transitional areas between the radiopharmacy and radiopharmaceutical administration area</w:t>
      </w:r>
    </w:p>
    <w:p w14:paraId="25F2444A" w14:textId="768BC91F" w:rsidR="007A0047" w:rsidRPr="00F706F0" w:rsidRDefault="6DB7F877" w:rsidP="00DF4D1D">
      <w:pPr>
        <w:pStyle w:val="Letter"/>
        <w:numPr>
          <w:ilvl w:val="4"/>
          <w:numId w:val="9"/>
        </w:numPr>
        <w:ind w:left="851" w:hanging="425"/>
      </w:pPr>
      <w:r>
        <w:t xml:space="preserve">provide for the proper display and interpretation of </w:t>
      </w:r>
      <w:r w:rsidR="3A3A720B">
        <w:t xml:space="preserve">patient </w:t>
      </w:r>
      <w:r>
        <w:t>images.</w:t>
      </w:r>
    </w:p>
    <w:p w14:paraId="5A3285A0" w14:textId="1A52BFB9" w:rsidR="007A0047" w:rsidRPr="00A02AF9" w:rsidRDefault="008C35BE" w:rsidP="00A02AF9">
      <w:pPr>
        <w:pStyle w:val="Heading2"/>
      </w:pPr>
      <w:bookmarkStart w:id="59" w:name="_Toc459381930"/>
      <w:bookmarkStart w:id="60" w:name="_Toc460302896"/>
      <w:bookmarkStart w:id="61" w:name="_Toc467054238"/>
      <w:bookmarkStart w:id="62" w:name="_Toc3279690"/>
      <w:bookmarkStart w:id="63" w:name="_Toc161051015"/>
      <w:r w:rsidRPr="00A02AF9">
        <w:t>Unse</w:t>
      </w:r>
      <w:r w:rsidR="00CA4488" w:rsidRPr="00A02AF9">
        <w:t xml:space="preserve">aled </w:t>
      </w:r>
      <w:r w:rsidR="00B63376" w:rsidRPr="00A02AF9">
        <w:t xml:space="preserve">radioactive material </w:t>
      </w:r>
      <w:r w:rsidR="007A0047" w:rsidRPr="00A02AF9">
        <w:t>and equipment</w:t>
      </w:r>
      <w:bookmarkEnd w:id="59"/>
      <w:bookmarkEnd w:id="60"/>
      <w:bookmarkEnd w:id="61"/>
      <w:bookmarkEnd w:id="62"/>
      <w:bookmarkEnd w:id="63"/>
    </w:p>
    <w:p w14:paraId="5F3D348C" w14:textId="5B18E87F" w:rsidR="007A0047" w:rsidRPr="003A5BE9" w:rsidRDefault="007A0047" w:rsidP="00DF4D1D">
      <w:pPr>
        <w:pStyle w:val="Number"/>
        <w:numPr>
          <w:ilvl w:val="3"/>
          <w:numId w:val="8"/>
        </w:numPr>
        <w:ind w:left="426" w:hanging="426"/>
        <w:rPr>
          <w:rStyle w:val="Hyperlink"/>
          <w:b w:val="0"/>
          <w:bCs/>
          <w:color w:val="auto"/>
        </w:rPr>
      </w:pPr>
      <w:r w:rsidRPr="003A5BE9">
        <w:rPr>
          <w:rStyle w:val="Hyperlink"/>
          <w:b w:val="0"/>
          <w:bCs/>
          <w:color w:val="auto"/>
        </w:rPr>
        <w:t xml:space="preserve">The </w:t>
      </w:r>
      <w:r w:rsidR="00545275" w:rsidRPr="003A5BE9">
        <w:rPr>
          <w:rStyle w:val="Hyperlink"/>
          <w:b w:val="0"/>
          <w:bCs/>
          <w:color w:val="auto"/>
        </w:rPr>
        <w:t>holder of a source licence</w:t>
      </w:r>
      <w:r w:rsidRPr="003A5BE9">
        <w:rPr>
          <w:rStyle w:val="Hyperlink"/>
          <w:b w:val="0"/>
          <w:bCs/>
          <w:color w:val="auto"/>
        </w:rPr>
        <w:t xml:space="preserve"> must:</w:t>
      </w:r>
    </w:p>
    <w:p w14:paraId="4A15CE81" w14:textId="64AC3AD4" w:rsidR="007A0047" w:rsidRPr="00440D45" w:rsidRDefault="6DB7F877" w:rsidP="00440D45">
      <w:pPr>
        <w:pStyle w:val="Letter"/>
        <w:ind w:left="851" w:hanging="425"/>
      </w:pPr>
      <w:r w:rsidRPr="00440D45">
        <w:t>ensure that radiopharmaceuticals</w:t>
      </w:r>
      <w:r w:rsidR="00AA71D4" w:rsidRPr="00440D45">
        <w:t xml:space="preserve"> are</w:t>
      </w:r>
      <w:r w:rsidRPr="00440D45">
        <w:t>:</w:t>
      </w:r>
    </w:p>
    <w:p w14:paraId="419FF711" w14:textId="1F276F2B" w:rsidR="007A0047" w:rsidRPr="008746C1" w:rsidRDefault="007A0047" w:rsidP="00853449">
      <w:pPr>
        <w:pStyle w:val="Roman"/>
        <w:ind w:left="1276" w:hanging="425"/>
      </w:pPr>
      <w:r w:rsidRPr="00F706F0">
        <w:t xml:space="preserve">fit for </w:t>
      </w:r>
      <w:r w:rsidRPr="008746C1">
        <w:t>their intended purpose</w:t>
      </w:r>
    </w:p>
    <w:p w14:paraId="30D6169A" w14:textId="7F23B33F" w:rsidR="007A0047" w:rsidRDefault="007A0047" w:rsidP="00853449">
      <w:pPr>
        <w:pStyle w:val="Roman"/>
        <w:ind w:left="1276" w:hanging="425"/>
      </w:pPr>
      <w:r w:rsidRPr="008746C1">
        <w:t>measured</w:t>
      </w:r>
      <w:r>
        <w:t xml:space="preserve"> </w:t>
      </w:r>
      <w:r w:rsidR="002B1E80">
        <w:t xml:space="preserve">to determine activity </w:t>
      </w:r>
      <w:r>
        <w:t>at the time of dispensing and, if appropriate, decay corrected to the time of administration</w:t>
      </w:r>
    </w:p>
    <w:p w14:paraId="202DDA1B" w14:textId="0B4AE9EF" w:rsidR="008746C1" w:rsidRPr="00853449" w:rsidRDefault="6DB7F877" w:rsidP="00853449">
      <w:pPr>
        <w:pStyle w:val="Letter"/>
        <w:ind w:left="851" w:hanging="426"/>
        <w:rPr>
          <w:spacing w:val="-2"/>
        </w:rPr>
      </w:pPr>
      <w:r w:rsidRPr="00853449">
        <w:rPr>
          <w:spacing w:val="-2"/>
        </w:rPr>
        <w:t xml:space="preserve">ensure that the measurement required in clause </w:t>
      </w:r>
      <w:r w:rsidR="007C75F6" w:rsidRPr="00853449">
        <w:rPr>
          <w:spacing w:val="-2"/>
        </w:rPr>
        <w:t>6</w:t>
      </w:r>
      <w:r w:rsidR="00E813CD" w:rsidRPr="00853449">
        <w:rPr>
          <w:spacing w:val="-2"/>
        </w:rPr>
        <w:t>(</w:t>
      </w:r>
      <w:r w:rsidRPr="00853449">
        <w:rPr>
          <w:spacing w:val="-2"/>
        </w:rPr>
        <w:t>a)(ii) is carried out using a calibrated dos</w:t>
      </w:r>
      <w:r w:rsidR="005E4CBF" w:rsidRPr="00853449">
        <w:rPr>
          <w:spacing w:val="-2"/>
        </w:rPr>
        <w:t>e</w:t>
      </w:r>
      <w:r w:rsidRPr="00853449">
        <w:rPr>
          <w:spacing w:val="-2"/>
        </w:rPr>
        <w:t>meter traceable to a standards dosimetry laboratory</w:t>
      </w:r>
    </w:p>
    <w:p w14:paraId="3003747F" w14:textId="5D4807B7" w:rsidR="007A0047" w:rsidRPr="00A73F72" w:rsidRDefault="6DB7F877" w:rsidP="00853449">
      <w:pPr>
        <w:pStyle w:val="Letter"/>
        <w:ind w:left="851" w:hanging="426"/>
        <w:rPr>
          <w:spacing w:val="-2"/>
        </w:rPr>
      </w:pPr>
      <w:r w:rsidRPr="00853449">
        <w:rPr>
          <w:spacing w:val="-2"/>
        </w:rPr>
        <w:t xml:space="preserve">provide, maintain, test and regularly service protective </w:t>
      </w:r>
      <w:r w:rsidRPr="00A73F72">
        <w:rPr>
          <w:spacing w:val="-2"/>
        </w:rPr>
        <w:t>equipment and ancillary equipment</w:t>
      </w:r>
      <w:r>
        <w:rPr>
          <w:spacing w:val="-2"/>
        </w:rPr>
        <w:t xml:space="preserve"> </w:t>
      </w:r>
      <w:r w:rsidRPr="00A73F72">
        <w:rPr>
          <w:spacing w:val="-2"/>
        </w:rPr>
        <w:t>so that:</w:t>
      </w:r>
    </w:p>
    <w:p w14:paraId="0F98EEAD" w14:textId="6D876DBB" w:rsidR="007A0047" w:rsidRPr="00F706F0" w:rsidRDefault="007A0047" w:rsidP="004821A3">
      <w:pPr>
        <w:pStyle w:val="Roman"/>
        <w:ind w:left="1276" w:hanging="425"/>
      </w:pPr>
      <w:r>
        <w:t xml:space="preserve">it </w:t>
      </w:r>
      <w:r w:rsidRPr="00F706F0">
        <w:t>is fit for its intended purpose</w:t>
      </w:r>
      <w:r w:rsidR="00215D3B">
        <w:t xml:space="preserve">, including that it </w:t>
      </w:r>
      <w:r w:rsidR="00215D3B" w:rsidRPr="00F706F0">
        <w:t>fulfils its design requirements for protection and safety</w:t>
      </w:r>
    </w:p>
    <w:p w14:paraId="6E5F2C2A" w14:textId="26230809" w:rsidR="007A0047" w:rsidRPr="00F706F0" w:rsidRDefault="007A0047" w:rsidP="004821A3">
      <w:pPr>
        <w:pStyle w:val="Roman"/>
        <w:ind w:left="1276" w:hanging="425"/>
      </w:pPr>
      <w:r>
        <w:t>t</w:t>
      </w:r>
      <w:r w:rsidRPr="00F706F0">
        <w:t>he protective value of</w:t>
      </w:r>
      <w:r w:rsidR="002B3D40">
        <w:t xml:space="preserve"> the</w:t>
      </w:r>
      <w:r w:rsidRPr="00F706F0">
        <w:t xml:space="preserve"> protective equipment is clearly displayed</w:t>
      </w:r>
      <w:r>
        <w:t xml:space="preserve"> on the equipment</w:t>
      </w:r>
    </w:p>
    <w:p w14:paraId="0C89E1DD" w14:textId="286DB828" w:rsidR="007A0047" w:rsidRPr="00853449" w:rsidRDefault="6DB7F877" w:rsidP="004821A3">
      <w:pPr>
        <w:pStyle w:val="Letter"/>
        <w:ind w:left="851" w:hanging="426"/>
        <w:rPr>
          <w:spacing w:val="-2"/>
        </w:rPr>
      </w:pPr>
      <w:r w:rsidRPr="00853449">
        <w:rPr>
          <w:spacing w:val="-2"/>
        </w:rPr>
        <w:t>ensure that dose calibrators used to measure the activity of gamma-emitting radionuclides administered to humans have:</w:t>
      </w:r>
    </w:p>
    <w:p w14:paraId="20AA8133" w14:textId="77777777" w:rsidR="007A0047" w:rsidRDefault="007A0047" w:rsidP="00853449">
      <w:pPr>
        <w:pStyle w:val="Roman"/>
        <w:ind w:left="1276" w:hanging="425"/>
      </w:pPr>
      <w:r>
        <w:t>an accuracy within 10% over the range of activities usually used</w:t>
      </w:r>
    </w:p>
    <w:p w14:paraId="482B57EB" w14:textId="77777777" w:rsidR="007A0047" w:rsidRDefault="007A0047" w:rsidP="00853449">
      <w:pPr>
        <w:pStyle w:val="Roman"/>
        <w:ind w:left="1276" w:hanging="425"/>
      </w:pPr>
      <w:r>
        <w:t>a repeatability and linearity within 5% over the range of activities usually used</w:t>
      </w:r>
    </w:p>
    <w:p w14:paraId="41D8BCC5" w14:textId="53A90ED6" w:rsidR="007A0047" w:rsidRPr="00F90BF5" w:rsidRDefault="007A0047" w:rsidP="00853449">
      <w:pPr>
        <w:pStyle w:val="Roman"/>
        <w:ind w:left="1276" w:hanging="425"/>
      </w:pPr>
      <w:r w:rsidRPr="00F90BF5">
        <w:t xml:space="preserve">a calibration traceable to a national standard of radioactivity at least every </w:t>
      </w:r>
      <w:r w:rsidR="00BE61DA" w:rsidRPr="00F90BF5">
        <w:t>two</w:t>
      </w:r>
      <w:r w:rsidR="00B34774">
        <w:t xml:space="preserve"> </w:t>
      </w:r>
      <w:r w:rsidRPr="00F90BF5">
        <w:t>years</w:t>
      </w:r>
    </w:p>
    <w:p w14:paraId="0A27EC59" w14:textId="4DCCBFF8" w:rsidR="00640CB6" w:rsidRPr="00853449" w:rsidRDefault="00294CE6" w:rsidP="00853449">
      <w:pPr>
        <w:pStyle w:val="Letter"/>
        <w:ind w:left="851" w:hanging="426"/>
        <w:rPr>
          <w:spacing w:val="-2"/>
        </w:rPr>
      </w:pPr>
      <w:r w:rsidRPr="00853449">
        <w:rPr>
          <w:spacing w:val="-2"/>
        </w:rPr>
        <w:t>ensure that</w:t>
      </w:r>
      <w:r w:rsidR="002B3D40" w:rsidRPr="00853449">
        <w:rPr>
          <w:spacing w:val="-2"/>
        </w:rPr>
        <w:t>,</w:t>
      </w:r>
      <w:r w:rsidRPr="00853449">
        <w:rPr>
          <w:spacing w:val="-2"/>
        </w:rPr>
        <w:t xml:space="preserve"> as soon as practicable</w:t>
      </w:r>
      <w:r w:rsidR="002B3D40" w:rsidRPr="00853449">
        <w:rPr>
          <w:spacing w:val="-2"/>
        </w:rPr>
        <w:t>,</w:t>
      </w:r>
      <w:r w:rsidRPr="00853449">
        <w:rPr>
          <w:spacing w:val="-2"/>
        </w:rPr>
        <w:t xml:space="preserve"> corrective and preventive actions are taken if the values in clause </w:t>
      </w:r>
      <w:r w:rsidR="007D7B3B" w:rsidRPr="00853449">
        <w:rPr>
          <w:spacing w:val="-2"/>
        </w:rPr>
        <w:t>18(</w:t>
      </w:r>
      <w:r w:rsidR="0009645F" w:rsidRPr="00853449">
        <w:rPr>
          <w:spacing w:val="-2"/>
        </w:rPr>
        <w:t>e</w:t>
      </w:r>
      <w:r w:rsidRPr="00853449">
        <w:rPr>
          <w:spacing w:val="-2"/>
        </w:rPr>
        <w:t>) are exceeded</w:t>
      </w:r>
    </w:p>
    <w:p w14:paraId="32CEA8B6" w14:textId="281FEB16" w:rsidR="007A0047" w:rsidRPr="00853449" w:rsidRDefault="6DB7F877" w:rsidP="00853449">
      <w:pPr>
        <w:pStyle w:val="Letter"/>
        <w:ind w:left="851" w:hanging="426"/>
        <w:rPr>
          <w:spacing w:val="-2"/>
        </w:rPr>
      </w:pPr>
      <w:r w:rsidRPr="00853449">
        <w:rPr>
          <w:spacing w:val="-2"/>
        </w:rPr>
        <w:t>provide, as appropriate, at entrances to controlled areas:</w:t>
      </w:r>
    </w:p>
    <w:p w14:paraId="3D2B0B1C" w14:textId="77777777" w:rsidR="007A0047" w:rsidRPr="00F706F0" w:rsidRDefault="007A0047" w:rsidP="004821A3">
      <w:pPr>
        <w:pStyle w:val="Roman"/>
        <w:ind w:left="1276" w:hanging="425"/>
      </w:pPr>
      <w:r w:rsidRPr="00F706F0">
        <w:t>personal protective equipment</w:t>
      </w:r>
    </w:p>
    <w:p w14:paraId="37560578" w14:textId="5A6788BB" w:rsidR="007A0047" w:rsidRPr="00F706F0" w:rsidRDefault="007A0047" w:rsidP="004821A3">
      <w:pPr>
        <w:pStyle w:val="Roman"/>
        <w:ind w:left="1276" w:hanging="425"/>
      </w:pPr>
      <w:r w:rsidRPr="00F706F0">
        <w:t>equipment for individual and workplace monitoring</w:t>
      </w:r>
    </w:p>
    <w:p w14:paraId="7A1C8D54" w14:textId="77777777" w:rsidR="007A0047" w:rsidRPr="00F706F0" w:rsidRDefault="007A0047" w:rsidP="004821A3">
      <w:pPr>
        <w:pStyle w:val="Roman"/>
        <w:ind w:left="1276" w:hanging="425"/>
      </w:pPr>
      <w:r w:rsidRPr="00F706F0">
        <w:t xml:space="preserve">equipment </w:t>
      </w:r>
      <w:r>
        <w:t xml:space="preserve">to </w:t>
      </w:r>
      <w:r w:rsidRPr="00F706F0">
        <w:t>monitor contamination of skin and clothing</w:t>
      </w:r>
    </w:p>
    <w:p w14:paraId="3466CD52" w14:textId="0631FD76" w:rsidR="007A0047" w:rsidRPr="00853449" w:rsidRDefault="6DB7F877" w:rsidP="004821A3">
      <w:pPr>
        <w:pStyle w:val="Letter"/>
        <w:ind w:left="851" w:hanging="426"/>
        <w:rPr>
          <w:spacing w:val="-2"/>
        </w:rPr>
      </w:pPr>
      <w:r w:rsidRPr="00853449">
        <w:rPr>
          <w:spacing w:val="-2"/>
        </w:rPr>
        <w:t>provide, as appropriate, kits for dealing with spills, including items such as:</w:t>
      </w:r>
    </w:p>
    <w:p w14:paraId="66DF9BBA" w14:textId="16FD6390" w:rsidR="007A0047" w:rsidRPr="008746C1" w:rsidRDefault="007A0047" w:rsidP="004821A3">
      <w:pPr>
        <w:pStyle w:val="Roman"/>
        <w:ind w:left="1276" w:hanging="425"/>
      </w:pPr>
      <w:r w:rsidRPr="008746C1">
        <w:t xml:space="preserve">protective clothing, </w:t>
      </w:r>
      <w:r w:rsidR="00961996">
        <w:t xml:space="preserve">such as </w:t>
      </w:r>
      <w:r w:rsidRPr="008746C1">
        <w:t>gowns, disposable overshoes and impermeable gloves</w:t>
      </w:r>
    </w:p>
    <w:p w14:paraId="2B661FB7" w14:textId="6357130A" w:rsidR="007A0047" w:rsidRPr="008746C1" w:rsidRDefault="007A0047" w:rsidP="004821A3">
      <w:pPr>
        <w:pStyle w:val="Roman"/>
        <w:ind w:left="1276" w:hanging="425"/>
      </w:pPr>
      <w:r w:rsidRPr="008746C1">
        <w:lastRenderedPageBreak/>
        <w:t>decontamination materials for the affected areas, including absorbent materials for wiping up spills, for example</w:t>
      </w:r>
      <w:r w:rsidR="0093723F">
        <w:t>,</w:t>
      </w:r>
      <w:r w:rsidRPr="008746C1">
        <w:t xml:space="preserve"> buckets, brushes, towels or absorbent pads, forceps or tongs, and decontaminating agents</w:t>
      </w:r>
    </w:p>
    <w:p w14:paraId="07DB6D9A" w14:textId="058BAE6B" w:rsidR="007A0047" w:rsidRPr="008746C1" w:rsidRDefault="007A0047" w:rsidP="004821A3">
      <w:pPr>
        <w:pStyle w:val="Roman"/>
        <w:ind w:left="1276" w:hanging="425"/>
      </w:pPr>
      <w:r w:rsidRPr="008746C1">
        <w:t>decontamination materials for people, for example</w:t>
      </w:r>
      <w:r w:rsidR="0093723F">
        <w:t>,</w:t>
      </w:r>
      <w:r w:rsidRPr="008746C1">
        <w:t xml:space="preserve"> mild soap or chelating detergent, sponge</w:t>
      </w:r>
      <w:r w:rsidR="00993CF7">
        <w:t>s</w:t>
      </w:r>
      <w:r w:rsidRPr="008746C1">
        <w:t xml:space="preserve"> and iodide or iodate tablets if appropriate</w:t>
      </w:r>
    </w:p>
    <w:p w14:paraId="08085051" w14:textId="77777777" w:rsidR="007A0047" w:rsidRPr="008746C1" w:rsidRDefault="007A0047" w:rsidP="004821A3">
      <w:pPr>
        <w:pStyle w:val="Roman"/>
        <w:ind w:left="1276" w:hanging="425"/>
      </w:pPr>
      <w:r w:rsidRPr="008746C1">
        <w:t>warning notices and barrier tape</w:t>
      </w:r>
    </w:p>
    <w:p w14:paraId="41FDDCB6" w14:textId="77777777" w:rsidR="007A0047" w:rsidRPr="008746C1" w:rsidRDefault="007A0047" w:rsidP="004821A3">
      <w:pPr>
        <w:pStyle w:val="Roman"/>
        <w:ind w:left="1276" w:hanging="426"/>
      </w:pPr>
      <w:r w:rsidRPr="008746C1">
        <w:t>portable monitoring equipment</w:t>
      </w:r>
    </w:p>
    <w:p w14:paraId="43090F2E" w14:textId="77777777" w:rsidR="007A0047" w:rsidRDefault="007A0047" w:rsidP="004821A3">
      <w:pPr>
        <w:pStyle w:val="Roman"/>
        <w:ind w:left="1276" w:hanging="426"/>
      </w:pPr>
      <w:r w:rsidRPr="008746C1">
        <w:t>bags for waste</w:t>
      </w:r>
      <w:r w:rsidRPr="00F706F0">
        <w:rPr>
          <w:lang w:eastAsia="en-NZ"/>
        </w:rPr>
        <w:t>, together with tape, labels and pencils</w:t>
      </w:r>
    </w:p>
    <w:p w14:paraId="4D98221D" w14:textId="20B133A6" w:rsidR="007A0047" w:rsidRPr="0078713C" w:rsidRDefault="6DB7F877" w:rsidP="00853449">
      <w:pPr>
        <w:pStyle w:val="Letter"/>
        <w:ind w:left="851" w:hanging="425"/>
      </w:pPr>
      <w:r>
        <w:t>maintain control of radioactive sources to prevent loss or damage and any person from carrying out unauthorised activities</w:t>
      </w:r>
      <w:r w:rsidR="003D4751">
        <w:t>,</w:t>
      </w:r>
      <w:r>
        <w:t xml:space="preserve"> including by:</w:t>
      </w:r>
    </w:p>
    <w:p w14:paraId="60619A89" w14:textId="77777777" w:rsidR="007A0047" w:rsidRDefault="007A0047" w:rsidP="004821A3">
      <w:pPr>
        <w:pStyle w:val="Roman"/>
        <w:ind w:left="1276" w:hanging="425"/>
      </w:pPr>
      <w:r>
        <w:t>maintaining an accurate inventory of all radioactive sources, including their location, description, activity and form</w:t>
      </w:r>
    </w:p>
    <w:p w14:paraId="1B72581B" w14:textId="0FEC9A93" w:rsidR="007A0047" w:rsidRPr="00A463E6" w:rsidRDefault="007A0047" w:rsidP="004821A3">
      <w:pPr>
        <w:pStyle w:val="Roman"/>
        <w:ind w:left="1276" w:hanging="425"/>
      </w:pPr>
      <w:r w:rsidRPr="00A463E6">
        <w:t xml:space="preserve">periodically checking that </w:t>
      </w:r>
      <w:r>
        <w:t>radioactive sources are</w:t>
      </w:r>
      <w:r w:rsidRPr="00A463E6">
        <w:t xml:space="preserve"> under control and in the locations recorded in the inventory maintained under clause </w:t>
      </w:r>
      <w:r w:rsidR="007D7B3B">
        <w:t>6</w:t>
      </w:r>
      <w:r w:rsidRPr="00A463E6">
        <w:t>(</w:t>
      </w:r>
      <w:r w:rsidR="00737DA7">
        <w:t>h</w:t>
      </w:r>
      <w:r>
        <w:t>)(i)</w:t>
      </w:r>
    </w:p>
    <w:p w14:paraId="0CAAD196" w14:textId="2110FE03" w:rsidR="007A0047" w:rsidRDefault="007A0047" w:rsidP="004821A3">
      <w:pPr>
        <w:pStyle w:val="Roman"/>
        <w:ind w:left="1276" w:hanging="425"/>
      </w:pPr>
      <w:r w:rsidRPr="00A463E6">
        <w:t>releasing</w:t>
      </w:r>
      <w:r>
        <w:t xml:space="preserve"> radioactive sources only to </w:t>
      </w:r>
      <w:r w:rsidR="00835851">
        <w:t>authorised persons</w:t>
      </w:r>
    </w:p>
    <w:p w14:paraId="10372FCD" w14:textId="63109CB4" w:rsidR="007A0047" w:rsidRDefault="007A0047" w:rsidP="00853449">
      <w:pPr>
        <w:pStyle w:val="Letter"/>
        <w:ind w:left="851" w:hanging="425"/>
      </w:pPr>
      <w:r>
        <w:t>take immediate steps to regain control of any radioactive sources that are abandoned, lost, misplaced, stolen or otherwise transferred without proper authorisation</w:t>
      </w:r>
    </w:p>
    <w:p w14:paraId="0A5BAA45" w14:textId="7BB9182B" w:rsidR="00275648" w:rsidRDefault="007C75F6" w:rsidP="00853449">
      <w:pPr>
        <w:pStyle w:val="Letter"/>
        <w:ind w:left="851" w:hanging="425"/>
      </w:pPr>
      <w:r w:rsidRPr="008F6959">
        <w:t>dispose of radioactive waste</w:t>
      </w:r>
      <w:r w:rsidR="002619C8">
        <w:t>:</w:t>
      </w:r>
      <w:r w:rsidR="00275648">
        <w:t xml:space="preserve"> </w:t>
      </w:r>
    </w:p>
    <w:p w14:paraId="6491E334" w14:textId="5CCC17C4" w:rsidR="007C75F6" w:rsidRDefault="008937B6" w:rsidP="002C73EE">
      <w:pPr>
        <w:pStyle w:val="Roman"/>
        <w:ind w:left="1276" w:hanging="425"/>
      </w:pPr>
      <w:r w:rsidRPr="008F6959">
        <w:t xml:space="preserve">following </w:t>
      </w:r>
      <w:r w:rsidR="00275648" w:rsidRPr="008F6959">
        <w:t>a waste management plan</w:t>
      </w:r>
      <w:r w:rsidR="00275648">
        <w:t xml:space="preserve"> to ensure radiation protection and safety</w:t>
      </w:r>
    </w:p>
    <w:p w14:paraId="39F7530F" w14:textId="093011F5" w:rsidR="00275648" w:rsidRDefault="00275648" w:rsidP="00440D45">
      <w:pPr>
        <w:pStyle w:val="Roman"/>
        <w:ind w:left="1276" w:hanging="425"/>
      </w:pPr>
      <w:r w:rsidRPr="008F6959">
        <w:t xml:space="preserve">within any limits imposed on the holder of a source licence as a condition on the </w:t>
      </w:r>
      <w:r>
        <w:t xml:space="preserve">source </w:t>
      </w:r>
      <w:r w:rsidRPr="008F6959">
        <w:t>licence</w:t>
      </w:r>
    </w:p>
    <w:p w14:paraId="5EC3D5FF" w14:textId="25270643" w:rsidR="00290EFC" w:rsidRPr="008F6959" w:rsidRDefault="00275648" w:rsidP="00853449">
      <w:pPr>
        <w:pStyle w:val="Letter"/>
        <w:ind w:left="851" w:hanging="425"/>
      </w:pPr>
      <w:r w:rsidRPr="008F6959">
        <w:t>subject to other regulatory requirements that apply</w:t>
      </w:r>
      <w:r w:rsidR="002619C8">
        <w:t>,</w:t>
      </w:r>
      <w:r w:rsidRPr="008F6959">
        <w:t xml:space="preserve"> dispose of radioactive waste</w:t>
      </w:r>
      <w:r w:rsidRPr="00275648">
        <w:t xml:space="preserve"> </w:t>
      </w:r>
      <w:r>
        <w:t>that is</w:t>
      </w:r>
      <w:r w:rsidR="002619C8">
        <w:t>:</w:t>
      </w:r>
    </w:p>
    <w:p w14:paraId="4483A552" w14:textId="1C2A7A2F" w:rsidR="00ED043F" w:rsidRDefault="004E673A" w:rsidP="003A5BE9">
      <w:pPr>
        <w:pStyle w:val="Roman"/>
        <w:ind w:left="1276" w:hanging="425"/>
      </w:pPr>
      <w:r>
        <w:t>a gas</w:t>
      </w:r>
      <w:r w:rsidRPr="008F6959">
        <w:t xml:space="preserve"> </w:t>
      </w:r>
      <w:r w:rsidR="0095574F">
        <w:t>in</w:t>
      </w:r>
      <w:r w:rsidR="00ED043F" w:rsidRPr="008F6959">
        <w:t>to the atmosphere</w:t>
      </w:r>
    </w:p>
    <w:p w14:paraId="786D6A2B" w14:textId="715AA4C2" w:rsidR="00275648" w:rsidRDefault="00275648" w:rsidP="003A5BE9">
      <w:pPr>
        <w:pStyle w:val="Roman"/>
        <w:ind w:left="1276" w:hanging="425"/>
      </w:pPr>
      <w:r>
        <w:t xml:space="preserve">from </w:t>
      </w:r>
      <w:r w:rsidR="002701DA" w:rsidRPr="008F6959">
        <w:t xml:space="preserve">patient excretions </w:t>
      </w:r>
      <w:r>
        <w:t xml:space="preserve">and is aqueous waste </w:t>
      </w:r>
      <w:r w:rsidR="000C145F" w:rsidRPr="008F6959">
        <w:t xml:space="preserve">to a sewage system </w:t>
      </w:r>
    </w:p>
    <w:p w14:paraId="37A938D6" w14:textId="264EB3D7" w:rsidR="000C145F" w:rsidRDefault="004E673A" w:rsidP="003A5BE9">
      <w:pPr>
        <w:pStyle w:val="Roman"/>
        <w:ind w:left="1276" w:hanging="425"/>
      </w:pPr>
      <w:r>
        <w:t>a liquid</w:t>
      </w:r>
      <w:r w:rsidRPr="008F6959">
        <w:t xml:space="preserve"> radioactive waste </w:t>
      </w:r>
      <w:r w:rsidR="0028097C">
        <w:t xml:space="preserve">that is </w:t>
      </w:r>
      <w:r w:rsidR="00275648">
        <w:t xml:space="preserve">not from patient excretions </w:t>
      </w:r>
      <w:r w:rsidR="000C145F" w:rsidRPr="008F6959">
        <w:t>into a sewage system</w:t>
      </w:r>
      <w:r w:rsidR="0095574F">
        <w:t>,</w:t>
      </w:r>
      <w:r w:rsidR="000C145F" w:rsidRPr="008F6959">
        <w:t xml:space="preserve"> following appropriate storage for decay</w:t>
      </w:r>
      <w:r w:rsidR="000C145F" w:rsidRPr="003A5BE9">
        <w:rPr>
          <w:vertAlign w:val="superscript"/>
        </w:rPr>
        <w:footnoteReference w:id="3"/>
      </w:r>
    </w:p>
    <w:p w14:paraId="6481063F" w14:textId="45989376" w:rsidR="007C75F6" w:rsidRPr="008F6959" w:rsidRDefault="0026038E" w:rsidP="003A5BE9">
      <w:pPr>
        <w:pStyle w:val="Roman"/>
        <w:ind w:left="1276" w:hanging="425"/>
      </w:pPr>
      <w:r>
        <w:t xml:space="preserve">an </w:t>
      </w:r>
      <w:r w:rsidR="007534FA" w:rsidRPr="008F6959">
        <w:t>item contaminated with radioactive material</w:t>
      </w:r>
      <w:r w:rsidR="005219C1" w:rsidRPr="008F6959">
        <w:t xml:space="preserve"> </w:t>
      </w:r>
      <w:r w:rsidR="00AF5053">
        <w:t>in</w:t>
      </w:r>
      <w:r w:rsidR="00F83D1C" w:rsidRPr="008F6959">
        <w:t xml:space="preserve">to </w:t>
      </w:r>
      <w:r w:rsidR="00A157DC" w:rsidRPr="008F6959">
        <w:t>landfill</w:t>
      </w:r>
      <w:r w:rsidR="00AF5053">
        <w:t>,</w:t>
      </w:r>
      <w:r w:rsidR="00F83D1C" w:rsidRPr="008F6959">
        <w:t xml:space="preserve"> </w:t>
      </w:r>
      <w:r w:rsidR="00C01EFC" w:rsidRPr="008F6959">
        <w:t>avoiding recycling</w:t>
      </w:r>
      <w:r w:rsidR="005D162F" w:rsidRPr="008F6959">
        <w:t xml:space="preserve"> stream</w:t>
      </w:r>
      <w:r w:rsidR="00046987">
        <w:t>s</w:t>
      </w:r>
      <w:r w:rsidR="000064DC" w:rsidRPr="008F6959">
        <w:t xml:space="preserve"> and following appropriate storage for decay</w:t>
      </w:r>
      <w:r w:rsidR="00417CD5" w:rsidRPr="003A5BE9">
        <w:rPr>
          <w:vertAlign w:val="superscript"/>
        </w:rPr>
        <w:t>2</w:t>
      </w:r>
      <w:r w:rsidR="009B12C4">
        <w:t xml:space="preserve"> </w:t>
      </w:r>
      <w:r w:rsidR="00FA5750">
        <w:t>or by transfer for disposal to an appropriate facility</w:t>
      </w:r>
      <w:r w:rsidR="00633AC0">
        <w:t>,</w:t>
      </w:r>
      <w:r w:rsidR="00FA5750" w:rsidRPr="008F6959">
        <w:t xml:space="preserve"> </w:t>
      </w:r>
      <w:r w:rsidR="00F12254">
        <w:t>such as organic solvents</w:t>
      </w:r>
      <w:r w:rsidR="00633AC0">
        <w:t>,</w:t>
      </w:r>
      <w:r w:rsidR="00F12254">
        <w:t xml:space="preserve"> </w:t>
      </w:r>
      <w:r w:rsidR="009B12C4" w:rsidRPr="008F6959">
        <w:t>following appropriate storage for decay</w:t>
      </w:r>
      <w:r w:rsidR="00417CD5" w:rsidRPr="003A5BE9">
        <w:rPr>
          <w:vertAlign w:val="superscript"/>
        </w:rPr>
        <w:t>2</w:t>
      </w:r>
      <w:r w:rsidR="00F12254">
        <w:t xml:space="preserve"> or by return</w:t>
      </w:r>
      <w:r w:rsidR="00B45F33">
        <w:t>ing it</w:t>
      </w:r>
      <w:r w:rsidR="00F12254">
        <w:t xml:space="preserve"> to the vendor</w:t>
      </w:r>
      <w:r w:rsidR="00B45F33">
        <w:t>,</w:t>
      </w:r>
      <w:r w:rsidR="00F12254">
        <w:t xml:space="preserve"> such as for a technetium generator.</w:t>
      </w:r>
    </w:p>
    <w:p w14:paraId="6D6654C7" w14:textId="2A56F46B" w:rsidR="007A0047" w:rsidRPr="003A5BE9" w:rsidRDefault="007A0047" w:rsidP="003A5BE9">
      <w:pPr>
        <w:pStyle w:val="Heading2"/>
      </w:pPr>
      <w:bookmarkStart w:id="64" w:name="_Toc467054240"/>
      <w:bookmarkStart w:id="65" w:name="_Toc3279691"/>
      <w:bookmarkStart w:id="66" w:name="_Toc161051016"/>
      <w:r w:rsidRPr="003A5BE9">
        <w:t>Training</w:t>
      </w:r>
      <w:bookmarkEnd w:id="64"/>
      <w:r w:rsidRPr="003A5BE9">
        <w:t xml:space="preserve"> and authorisation</w:t>
      </w:r>
      <w:bookmarkEnd w:id="65"/>
      <w:bookmarkEnd w:id="66"/>
    </w:p>
    <w:p w14:paraId="3649CB5B" w14:textId="223A1304" w:rsidR="007C75F6" w:rsidRPr="00440D45" w:rsidRDefault="007A0047" w:rsidP="00DF4D1D">
      <w:pPr>
        <w:pStyle w:val="Number"/>
        <w:numPr>
          <w:ilvl w:val="3"/>
          <w:numId w:val="8"/>
        </w:numPr>
        <w:ind w:left="426" w:hanging="426"/>
        <w:rPr>
          <w:rStyle w:val="Hyperlink"/>
          <w:b w:val="0"/>
          <w:bCs/>
          <w:color w:val="auto"/>
        </w:rPr>
      </w:pPr>
      <w:r w:rsidRPr="003A5BE9">
        <w:rPr>
          <w:rStyle w:val="Hyperlink"/>
          <w:b w:val="0"/>
          <w:bCs/>
          <w:color w:val="auto"/>
        </w:rPr>
        <w:t xml:space="preserve">The </w:t>
      </w:r>
      <w:r w:rsidR="00545275" w:rsidRPr="003A5BE9">
        <w:rPr>
          <w:rStyle w:val="Hyperlink"/>
          <w:b w:val="0"/>
          <w:bCs/>
          <w:color w:val="auto"/>
        </w:rPr>
        <w:t>holder of a source licence</w:t>
      </w:r>
      <w:r w:rsidRPr="003A5BE9">
        <w:rPr>
          <w:rStyle w:val="Hyperlink"/>
          <w:b w:val="0"/>
          <w:bCs/>
          <w:color w:val="auto"/>
        </w:rPr>
        <w:t xml:space="preserve"> must ensure that all </w:t>
      </w:r>
      <w:r w:rsidR="00626CEA" w:rsidRPr="003A5BE9">
        <w:rPr>
          <w:rStyle w:val="Hyperlink"/>
          <w:b w:val="0"/>
          <w:bCs/>
          <w:color w:val="auto"/>
        </w:rPr>
        <w:t xml:space="preserve">people </w:t>
      </w:r>
      <w:r w:rsidRPr="003A5BE9">
        <w:rPr>
          <w:rStyle w:val="Hyperlink"/>
          <w:b w:val="0"/>
          <w:bCs/>
          <w:color w:val="auto"/>
        </w:rPr>
        <w:t>with responsibilities for protection and safety:</w:t>
      </w:r>
    </w:p>
    <w:p w14:paraId="480B3D05" w14:textId="77777777" w:rsidR="007C75F6" w:rsidRPr="003A5BE9" w:rsidRDefault="007C75F6" w:rsidP="00440D45">
      <w:pPr>
        <w:pStyle w:val="Letter"/>
        <w:ind w:left="851" w:hanging="425"/>
      </w:pPr>
      <w:r w:rsidRPr="003A5BE9">
        <w:lastRenderedPageBreak/>
        <w:t>are specialised, qualified, educated and trained in protection and safety so that they understand their duties and can perform them competently</w:t>
      </w:r>
    </w:p>
    <w:p w14:paraId="397C1425" w14:textId="0D949074" w:rsidR="001B43E4" w:rsidRPr="003A5BE9" w:rsidRDefault="001B43E4" w:rsidP="00440D45">
      <w:pPr>
        <w:pStyle w:val="Letter"/>
        <w:ind w:left="851" w:hanging="425"/>
      </w:pPr>
      <w:r w:rsidRPr="003A5BE9">
        <w:t>have training</w:t>
      </w:r>
      <w:r w:rsidR="00626CEA" w:rsidRPr="003A5BE9">
        <w:t xml:space="preserve"> that</w:t>
      </w:r>
      <w:r w:rsidRPr="003A5BE9">
        <w:t>:</w:t>
      </w:r>
    </w:p>
    <w:p w14:paraId="681D98DE" w14:textId="5F3C5472" w:rsidR="001B43E4" w:rsidRPr="003A5BE9" w:rsidRDefault="001B43E4" w:rsidP="00440D45">
      <w:pPr>
        <w:pStyle w:val="Roman"/>
        <w:ind w:left="1276" w:hanging="425"/>
      </w:pPr>
      <w:r w:rsidRPr="003A5BE9">
        <w:t>is regularly updated</w:t>
      </w:r>
    </w:p>
    <w:p w14:paraId="527E7D26" w14:textId="3EC2519E" w:rsidR="001B43E4" w:rsidRPr="003A5BE9" w:rsidRDefault="001B43E4" w:rsidP="00440D45">
      <w:pPr>
        <w:pStyle w:val="Roman"/>
        <w:ind w:left="1276" w:hanging="425"/>
      </w:pPr>
      <w:r w:rsidRPr="003A5BE9">
        <w:t xml:space="preserve">satisfies the requirements in </w:t>
      </w:r>
      <w:r w:rsidR="0009645F" w:rsidRPr="003A5BE9">
        <w:t>A</w:t>
      </w:r>
      <w:r w:rsidRPr="003A5BE9">
        <w:t>ppendix 2 if a person is appointed as a radiation safety officer</w:t>
      </w:r>
    </w:p>
    <w:p w14:paraId="59940859" w14:textId="359035ED" w:rsidR="001B43E4" w:rsidRPr="003A5BE9" w:rsidRDefault="001B43E4" w:rsidP="00440D45">
      <w:pPr>
        <w:pStyle w:val="Roman"/>
        <w:ind w:left="1276" w:hanging="425"/>
      </w:pPr>
      <w:r w:rsidRPr="003A5BE9">
        <w:t>takes account of the training</w:t>
      </w:r>
      <w:r w:rsidR="00626CEA" w:rsidRPr="003A5BE9">
        <w:t xml:space="preserve"> specified</w:t>
      </w:r>
      <w:r w:rsidRPr="003A5BE9">
        <w:t xml:space="preserve"> in </w:t>
      </w:r>
      <w:r w:rsidR="0009645F" w:rsidRPr="003A5BE9">
        <w:t>A</w:t>
      </w:r>
      <w:r w:rsidRPr="003A5BE9">
        <w:t xml:space="preserve">ppendix 2 and </w:t>
      </w:r>
      <w:r w:rsidR="0009645F" w:rsidRPr="003A5BE9">
        <w:t xml:space="preserve">has been </w:t>
      </w:r>
      <w:r w:rsidRPr="003A5BE9">
        <w:t>established in consultation with a qualified expert</w:t>
      </w:r>
    </w:p>
    <w:p w14:paraId="6A343348" w14:textId="70E009A1" w:rsidR="007A0047" w:rsidRDefault="6DB7F877" w:rsidP="00440D45">
      <w:pPr>
        <w:pStyle w:val="Letter"/>
        <w:ind w:left="851" w:hanging="425"/>
      </w:pPr>
      <w:r>
        <w:t>are named in a current list with details of their specialisation, qualification, education and training</w:t>
      </w:r>
    </w:p>
    <w:p w14:paraId="6FA03003" w14:textId="73F12CD6" w:rsidR="007A0047" w:rsidRDefault="6DB7F877" w:rsidP="00440D45">
      <w:pPr>
        <w:pStyle w:val="Letter"/>
        <w:ind w:left="851" w:hanging="425"/>
      </w:pPr>
      <w:r>
        <w:t>are notified of their duties in relation to protection and safety</w:t>
      </w:r>
    </w:p>
    <w:p w14:paraId="6F5EE1A4" w14:textId="2D593445" w:rsidR="007A0047" w:rsidRDefault="6DB7F877" w:rsidP="00440D45">
      <w:pPr>
        <w:pStyle w:val="Letter"/>
        <w:ind w:left="851" w:hanging="425"/>
      </w:pPr>
      <w:r>
        <w:t>are authorised to assume their roles and responsibilities.</w:t>
      </w:r>
    </w:p>
    <w:p w14:paraId="670E281C" w14:textId="77777777" w:rsidR="007A0047" w:rsidRPr="003A5BE9" w:rsidRDefault="007A0047" w:rsidP="003A5BE9">
      <w:pPr>
        <w:pStyle w:val="Heading2"/>
      </w:pPr>
      <w:bookmarkStart w:id="67" w:name="_Toc3279692"/>
      <w:bookmarkStart w:id="68" w:name="_Toc161051017"/>
      <w:r w:rsidRPr="003A5BE9">
        <w:t>Policies, procedures and local rules</w:t>
      </w:r>
      <w:bookmarkEnd w:id="67"/>
      <w:bookmarkEnd w:id="68"/>
    </w:p>
    <w:p w14:paraId="2525A95E" w14:textId="4F7BDB1B" w:rsidR="007A0047" w:rsidRPr="00440D45" w:rsidRDefault="007A0047" w:rsidP="00DF4D1D">
      <w:pPr>
        <w:pStyle w:val="Number"/>
        <w:numPr>
          <w:ilvl w:val="3"/>
          <w:numId w:val="8"/>
        </w:numPr>
        <w:ind w:left="426" w:hanging="426"/>
        <w:rPr>
          <w:rStyle w:val="Hyperlink"/>
          <w:b w:val="0"/>
          <w:bCs/>
          <w:color w:val="auto"/>
        </w:rPr>
      </w:pPr>
      <w:r w:rsidRPr="003A5BE9">
        <w:rPr>
          <w:rStyle w:val="Hyperlink"/>
          <w:b w:val="0"/>
          <w:bCs/>
          <w:color w:val="auto"/>
        </w:rPr>
        <w:t xml:space="preserve">The </w:t>
      </w:r>
      <w:r w:rsidR="00545275" w:rsidRPr="003A5BE9">
        <w:rPr>
          <w:rStyle w:val="Hyperlink"/>
          <w:b w:val="0"/>
          <w:bCs/>
          <w:color w:val="auto"/>
        </w:rPr>
        <w:t>holder of a source licence</w:t>
      </w:r>
      <w:r w:rsidRPr="003A5BE9">
        <w:rPr>
          <w:rStyle w:val="Hyperlink"/>
          <w:b w:val="0"/>
          <w:bCs/>
          <w:color w:val="auto"/>
        </w:rPr>
        <w:t xml:space="preserve"> must establish, implement and maintain policies and procedures to meet the requirements of this code</w:t>
      </w:r>
      <w:r w:rsidR="00BF334F" w:rsidRPr="003A5BE9">
        <w:rPr>
          <w:rStyle w:val="Hyperlink"/>
          <w:b w:val="0"/>
          <w:bCs/>
          <w:color w:val="auto"/>
        </w:rPr>
        <w:t>,</w:t>
      </w:r>
      <w:r w:rsidRPr="003A5BE9">
        <w:rPr>
          <w:rStyle w:val="Hyperlink"/>
          <w:b w:val="0"/>
          <w:bCs/>
          <w:color w:val="auto"/>
        </w:rPr>
        <w:t xml:space="preserve"> including, without limitation, policies and procedures:</w:t>
      </w:r>
    </w:p>
    <w:p w14:paraId="30DF43E8" w14:textId="3500459D" w:rsidR="007A0047" w:rsidRPr="008746C1" w:rsidRDefault="6DB7F877" w:rsidP="00440D45">
      <w:pPr>
        <w:pStyle w:val="Letter"/>
        <w:ind w:left="851" w:hanging="425"/>
      </w:pPr>
      <w:r>
        <w:t>to control access to areas where people can be exposed to radiation</w:t>
      </w:r>
    </w:p>
    <w:p w14:paraId="003CDD13" w14:textId="776E0BA8" w:rsidR="007A0047" w:rsidRPr="008746C1" w:rsidRDefault="6DB7F877" w:rsidP="00440D45">
      <w:pPr>
        <w:pStyle w:val="Letter"/>
        <w:ind w:left="851" w:hanging="425"/>
      </w:pPr>
      <w:r>
        <w:t>to use constraints to optimise protection and safety</w:t>
      </w:r>
    </w:p>
    <w:p w14:paraId="39F9C173" w14:textId="7D070D6B" w:rsidR="007A0047" w:rsidRPr="008746C1" w:rsidRDefault="6DB7F877" w:rsidP="00440D45">
      <w:pPr>
        <w:pStyle w:val="Letter"/>
        <w:ind w:left="851" w:hanging="425"/>
      </w:pPr>
      <w:r w:rsidRPr="00E06C5B">
        <w:t xml:space="preserve">for the management </w:t>
      </w:r>
      <w:r w:rsidR="006D6961">
        <w:t xml:space="preserve">and disposal </w:t>
      </w:r>
      <w:r w:rsidRPr="00E06C5B">
        <w:t>of radioactive waste</w:t>
      </w:r>
    </w:p>
    <w:p w14:paraId="3D7F1E50" w14:textId="28C12F71" w:rsidR="007A0047" w:rsidRPr="008746C1" w:rsidRDefault="6DB7F877" w:rsidP="00440D45">
      <w:pPr>
        <w:pStyle w:val="Letter"/>
        <w:ind w:left="851" w:hanging="425"/>
      </w:pPr>
      <w:r>
        <w:t>for routine radiopharmaceutical preparations and dispensing procedures</w:t>
      </w:r>
    </w:p>
    <w:p w14:paraId="50BABA81" w14:textId="76EE37C3" w:rsidR="007A0047" w:rsidRPr="008746C1" w:rsidRDefault="6DB7F877" w:rsidP="00440D45">
      <w:pPr>
        <w:pStyle w:val="Letter"/>
        <w:ind w:left="851" w:hanging="425"/>
      </w:pPr>
      <w:r>
        <w:t xml:space="preserve">specifying what radiation procedures can involve a </w:t>
      </w:r>
      <w:r w:rsidR="1069C794">
        <w:t>carer and comforter</w:t>
      </w:r>
    </w:p>
    <w:p w14:paraId="2691BFBB" w14:textId="1CB8A3C8" w:rsidR="007A0047" w:rsidRPr="008746C1" w:rsidRDefault="6DB7F877" w:rsidP="00440D45">
      <w:pPr>
        <w:pStyle w:val="Letter"/>
        <w:ind w:left="851" w:hanging="425"/>
      </w:pPr>
      <w:r>
        <w:t xml:space="preserve">to prevent accidents and mitigate the consequences of any </w:t>
      </w:r>
      <w:r w:rsidR="00BF334F">
        <w:t xml:space="preserve">accidents </w:t>
      </w:r>
      <w:r>
        <w:t>that occur</w:t>
      </w:r>
    </w:p>
    <w:p w14:paraId="40752CBE" w14:textId="5A092BB9" w:rsidR="007A0047" w:rsidRPr="008746C1" w:rsidRDefault="6DB7F877" w:rsidP="00440D45">
      <w:pPr>
        <w:pStyle w:val="Letter"/>
        <w:ind w:left="851" w:hanging="425"/>
      </w:pPr>
      <w:r>
        <w:t>to report on and learn from accidents and other incidents</w:t>
      </w:r>
    </w:p>
    <w:p w14:paraId="6A425D9F" w14:textId="20C91F4E" w:rsidR="007A0047" w:rsidRPr="008746C1" w:rsidRDefault="6DB7F877" w:rsidP="00440D45">
      <w:pPr>
        <w:pStyle w:val="Letter"/>
        <w:ind w:left="851" w:hanging="425"/>
      </w:pPr>
      <w:r>
        <w:t>to comply with operational limits and conditions relating to public exposure</w:t>
      </w:r>
    </w:p>
    <w:p w14:paraId="0F0E8C7C" w14:textId="2D984827" w:rsidR="007A0047" w:rsidRPr="008746C1" w:rsidRDefault="6DB7F877" w:rsidP="00440D45">
      <w:pPr>
        <w:pStyle w:val="Letter"/>
        <w:ind w:left="851" w:hanging="425"/>
      </w:pPr>
      <w:r>
        <w:t xml:space="preserve">for staff who have indicated the possibility of </w:t>
      </w:r>
      <w:r w:rsidR="000E6B42">
        <w:t xml:space="preserve">being </w:t>
      </w:r>
      <w:r>
        <w:t>pregnan</w:t>
      </w:r>
      <w:r w:rsidR="000E6B42">
        <w:t>t</w:t>
      </w:r>
    </w:p>
    <w:p w14:paraId="3C301DDB" w14:textId="563AB62F" w:rsidR="007A0047" w:rsidRPr="008746C1" w:rsidRDefault="6DB7F877" w:rsidP="00440D45">
      <w:pPr>
        <w:pStyle w:val="Letter"/>
        <w:ind w:left="851" w:hanging="425"/>
      </w:pPr>
      <w:r>
        <w:t>to ascertain the pregnancy status of patients of reproductive capacity before performing any radiation procedure that could result in a significant dose to the embryo or fetus</w:t>
      </w:r>
    </w:p>
    <w:p w14:paraId="1CF625DD" w14:textId="256BFE1F" w:rsidR="008746C1" w:rsidRPr="008746C1" w:rsidRDefault="001F570E" w:rsidP="00440D45">
      <w:pPr>
        <w:pStyle w:val="Letter"/>
        <w:ind w:left="851" w:hanging="425"/>
      </w:pPr>
      <w:r>
        <w:t xml:space="preserve">to </w:t>
      </w:r>
      <w:r w:rsidR="6DB7F877">
        <w:t>ascertain the breastfeeding status of patients before performing any radiation procedure that could result in a significant dose to a breastfeeding infant</w:t>
      </w:r>
    </w:p>
    <w:p w14:paraId="2A1757D1" w14:textId="50827CF8" w:rsidR="007A0047" w:rsidRPr="005176C2" w:rsidRDefault="6DB7F877" w:rsidP="00440D45">
      <w:pPr>
        <w:pStyle w:val="Letter"/>
        <w:ind w:left="851" w:hanging="425"/>
      </w:pPr>
      <w:r>
        <w:t>to minimise unnecessary exposure to:</w:t>
      </w:r>
    </w:p>
    <w:p w14:paraId="5C90C02B" w14:textId="67A61CE6" w:rsidR="007A0047" w:rsidRPr="00C736D8" w:rsidRDefault="007A0047" w:rsidP="00440D45">
      <w:pPr>
        <w:pStyle w:val="Roman"/>
        <w:ind w:left="1276" w:hanging="425"/>
      </w:pPr>
      <w:r w:rsidRPr="005176C2">
        <w:t xml:space="preserve">the </w:t>
      </w:r>
      <w:r w:rsidRPr="00C736D8">
        <w:t>embryo or fetus</w:t>
      </w:r>
    </w:p>
    <w:p w14:paraId="38292A42" w14:textId="77777777" w:rsidR="007A0047" w:rsidRDefault="007A0047" w:rsidP="00440D45">
      <w:pPr>
        <w:pStyle w:val="Roman"/>
        <w:ind w:left="1276" w:hanging="425"/>
      </w:pPr>
      <w:r w:rsidRPr="00C736D8">
        <w:t>infants breastfeeding from a patient who has been administered a radiopharmaceutical</w:t>
      </w:r>
    </w:p>
    <w:p w14:paraId="219AAB96" w14:textId="0B3E49BB" w:rsidR="007A0047" w:rsidRPr="005176C2" w:rsidRDefault="007A0047" w:rsidP="00440D45">
      <w:pPr>
        <w:pStyle w:val="Roman"/>
        <w:ind w:left="1276" w:hanging="425"/>
      </w:pPr>
      <w:r w:rsidRPr="00C736D8">
        <w:t xml:space="preserve">any person who may need to handle the body of a patient </w:t>
      </w:r>
      <w:r w:rsidR="0076586C">
        <w:t xml:space="preserve">when the patient has </w:t>
      </w:r>
      <w:r w:rsidR="00C1321F" w:rsidRPr="00C736D8">
        <w:t>die</w:t>
      </w:r>
      <w:r w:rsidR="00C1321F">
        <w:t>d</w:t>
      </w:r>
      <w:r w:rsidR="00C1321F" w:rsidRPr="00C736D8">
        <w:t xml:space="preserve"> </w:t>
      </w:r>
      <w:r w:rsidRPr="00C736D8">
        <w:t xml:space="preserve">after </w:t>
      </w:r>
      <w:r w:rsidR="0076586C">
        <w:t xml:space="preserve">being </w:t>
      </w:r>
      <w:r w:rsidRPr="0078713C">
        <w:t>administered a radiopharmaceutical</w:t>
      </w:r>
    </w:p>
    <w:p w14:paraId="45B5683E" w14:textId="1DD1BC9C" w:rsidR="007A0047" w:rsidRDefault="00C53AEA" w:rsidP="00440D45">
      <w:pPr>
        <w:pStyle w:val="Letter"/>
        <w:ind w:left="851" w:hanging="425"/>
      </w:pPr>
      <w:r>
        <w:lastRenderedPageBreak/>
        <w:t xml:space="preserve">to </w:t>
      </w:r>
      <w:r w:rsidR="6DB7F877">
        <w:t>provide protection and safety by applying preventive measures in the hierarch</w:t>
      </w:r>
      <w:r>
        <w:t>ies of</w:t>
      </w:r>
      <w:r w:rsidR="6DB7F877">
        <w:t>:</w:t>
      </w:r>
    </w:p>
    <w:p w14:paraId="5B6CE8B1" w14:textId="53C06A2D" w:rsidR="007A0047" w:rsidRPr="003A5BE9" w:rsidRDefault="007A0047" w:rsidP="00440D45">
      <w:pPr>
        <w:pStyle w:val="Roman"/>
        <w:ind w:left="1276" w:hanging="425"/>
      </w:pPr>
      <w:r w:rsidRPr="003A5BE9">
        <w:t>engineered controls</w:t>
      </w:r>
    </w:p>
    <w:p w14:paraId="7C27A3CA" w14:textId="2C78D20B" w:rsidR="007A0047" w:rsidRPr="003A5BE9" w:rsidRDefault="007A0047" w:rsidP="00440D45">
      <w:pPr>
        <w:pStyle w:val="Roman"/>
        <w:ind w:left="1276" w:hanging="425"/>
      </w:pPr>
      <w:r w:rsidRPr="003A5BE9">
        <w:t>administrative controls</w:t>
      </w:r>
    </w:p>
    <w:p w14:paraId="17C38641" w14:textId="1485BD6A" w:rsidR="007A0047" w:rsidRPr="003A5BE9" w:rsidRDefault="007A0047" w:rsidP="00440D45">
      <w:pPr>
        <w:pStyle w:val="Roman"/>
        <w:ind w:left="1276" w:hanging="425"/>
      </w:pPr>
      <w:r w:rsidRPr="003A5BE9">
        <w:t>personal protective equipment</w:t>
      </w:r>
    </w:p>
    <w:p w14:paraId="4302277B" w14:textId="21722ED3" w:rsidR="007A0047" w:rsidRDefault="00C53AEA" w:rsidP="00440D45">
      <w:pPr>
        <w:pStyle w:val="Letter"/>
        <w:ind w:left="851" w:hanging="425"/>
      </w:pPr>
      <w:r>
        <w:t xml:space="preserve">to </w:t>
      </w:r>
      <w:r w:rsidR="6DB7F877">
        <w:t>set investigation levels and establish procedures to follow if such level</w:t>
      </w:r>
      <w:r>
        <w:t>s are</w:t>
      </w:r>
      <w:r w:rsidR="6DB7F877">
        <w:t xml:space="preserve"> exceeded</w:t>
      </w:r>
    </w:p>
    <w:p w14:paraId="44B1788B" w14:textId="6518C138" w:rsidR="007A0047" w:rsidRDefault="00C53AEA" w:rsidP="00440D45">
      <w:pPr>
        <w:pStyle w:val="Letter"/>
        <w:ind w:left="851" w:hanging="425"/>
      </w:pPr>
      <w:r>
        <w:t xml:space="preserve">to </w:t>
      </w:r>
      <w:r w:rsidR="6DB7F877">
        <w:t>implement procedures for verif</w:t>
      </w:r>
      <w:r>
        <w:t xml:space="preserve">ying </w:t>
      </w:r>
      <w:r w:rsidR="6DB7F877">
        <w:t>compliance with this code</w:t>
      </w:r>
    </w:p>
    <w:p w14:paraId="676A44AF" w14:textId="20DBADD9" w:rsidR="007A0047" w:rsidRPr="00CC1940" w:rsidRDefault="00C53AEA" w:rsidP="00440D45">
      <w:pPr>
        <w:pStyle w:val="Letter"/>
        <w:ind w:left="851" w:hanging="425"/>
      </w:pPr>
      <w:r>
        <w:t xml:space="preserve">to </w:t>
      </w:r>
      <w:r w:rsidR="6DB7F877">
        <w:t>periodically review the overall effectiveness of measures for protection and safety.</w:t>
      </w:r>
    </w:p>
    <w:p w14:paraId="2C502ACE" w14:textId="3B640296" w:rsidR="00C736D8" w:rsidRPr="00440D45" w:rsidRDefault="007A0047" w:rsidP="00DF4D1D">
      <w:pPr>
        <w:pStyle w:val="Number"/>
        <w:numPr>
          <w:ilvl w:val="3"/>
          <w:numId w:val="8"/>
        </w:numPr>
        <w:ind w:left="426" w:hanging="426"/>
        <w:rPr>
          <w:rStyle w:val="Hyperlink"/>
          <w:b w:val="0"/>
          <w:color w:val="auto"/>
        </w:rPr>
      </w:pPr>
      <w:r w:rsidRPr="00440D45">
        <w:rPr>
          <w:rStyle w:val="Hyperlink"/>
          <w:b w:val="0"/>
          <w:color w:val="auto"/>
        </w:rPr>
        <w:t xml:space="preserve">The </w:t>
      </w:r>
      <w:r w:rsidR="00545275" w:rsidRPr="00440D45">
        <w:rPr>
          <w:rStyle w:val="Hyperlink"/>
          <w:b w:val="0"/>
          <w:color w:val="auto"/>
        </w:rPr>
        <w:t>holder of a source licence</w:t>
      </w:r>
      <w:r w:rsidRPr="00440D45">
        <w:rPr>
          <w:rStyle w:val="Hyperlink"/>
          <w:b w:val="0"/>
          <w:color w:val="auto"/>
        </w:rPr>
        <w:t xml:space="preserve"> must maintain, publish and enforce any written local rules that are necessary for protection and safety.</w:t>
      </w:r>
    </w:p>
    <w:p w14:paraId="1A86E6E6" w14:textId="77777777" w:rsidR="007A0047" w:rsidRPr="003A5BE9" w:rsidRDefault="007A0047" w:rsidP="003A5BE9">
      <w:pPr>
        <w:pStyle w:val="Heading2"/>
      </w:pPr>
      <w:bookmarkStart w:id="69" w:name="_Toc528588014"/>
      <w:bookmarkStart w:id="70" w:name="_Toc529189921"/>
      <w:bookmarkStart w:id="71" w:name="_Toc3279693"/>
      <w:bookmarkStart w:id="72" w:name="_Toc161051018"/>
      <w:r w:rsidRPr="003A5BE9">
        <w:t>Patient dosimetry</w:t>
      </w:r>
      <w:bookmarkEnd w:id="69"/>
      <w:bookmarkEnd w:id="70"/>
      <w:bookmarkEnd w:id="71"/>
      <w:bookmarkEnd w:id="72"/>
    </w:p>
    <w:p w14:paraId="4454B2A9" w14:textId="3100BA66" w:rsidR="007A0047" w:rsidRPr="003A5BE9" w:rsidRDefault="007A0047" w:rsidP="00DF4D1D">
      <w:pPr>
        <w:pStyle w:val="Number"/>
        <w:numPr>
          <w:ilvl w:val="3"/>
          <w:numId w:val="8"/>
        </w:numPr>
        <w:ind w:left="426" w:hanging="426"/>
      </w:pPr>
      <w:r w:rsidRPr="003A5BE9">
        <w:t xml:space="preserve">The </w:t>
      </w:r>
      <w:r w:rsidR="00545275" w:rsidRPr="003A5BE9">
        <w:t>holder of a source licence</w:t>
      </w:r>
      <w:r w:rsidRPr="003A5BE9">
        <w:t xml:space="preserve"> </w:t>
      </w:r>
      <w:r w:rsidR="0073646D" w:rsidRPr="003A5BE9">
        <w:t xml:space="preserve">in </w:t>
      </w:r>
      <w:r w:rsidR="005F0914" w:rsidRPr="003A5BE9">
        <w:t xml:space="preserve">consultation with a medical physics expert </w:t>
      </w:r>
      <w:r w:rsidRPr="003A5BE9">
        <w:t>must:</w:t>
      </w:r>
    </w:p>
    <w:p w14:paraId="096D9BA2" w14:textId="5F322582" w:rsidR="005E4CBF" w:rsidRDefault="007A0047" w:rsidP="00440D45">
      <w:pPr>
        <w:pStyle w:val="Letter"/>
        <w:ind w:left="851" w:hanging="425"/>
      </w:pPr>
      <w:r w:rsidRPr="003D6613">
        <w:t xml:space="preserve">determine typical </w:t>
      </w:r>
      <w:r w:rsidR="00401DF4" w:rsidRPr="003D6613">
        <w:t xml:space="preserve">patient </w:t>
      </w:r>
      <w:r w:rsidRPr="003D6613">
        <w:t xml:space="preserve">doses for </w:t>
      </w:r>
      <w:r w:rsidR="003C563D" w:rsidRPr="003D6613">
        <w:t xml:space="preserve">diagnostic </w:t>
      </w:r>
      <w:r w:rsidR="00182655" w:rsidRPr="003D6613">
        <w:t xml:space="preserve">nuclear medicine </w:t>
      </w:r>
      <w:r w:rsidRPr="003D6613">
        <w:t>procedures</w:t>
      </w:r>
    </w:p>
    <w:p w14:paraId="0056E493" w14:textId="00671F7C" w:rsidR="007A0047" w:rsidRDefault="005E4CBF" w:rsidP="00440D45">
      <w:pPr>
        <w:pStyle w:val="Letter"/>
        <w:ind w:left="851" w:hanging="425"/>
      </w:pPr>
      <w:r>
        <w:t>determine</w:t>
      </w:r>
      <w:r w:rsidR="007A0047">
        <w:t xml:space="preserve"> typical </w:t>
      </w:r>
      <w:r w:rsidR="00401DF4">
        <w:t xml:space="preserve">patient </w:t>
      </w:r>
      <w:r w:rsidR="00E07827">
        <w:t xml:space="preserve">absorbed </w:t>
      </w:r>
      <w:r w:rsidR="007A0047">
        <w:t>doses for therapeutic radiation procedures</w:t>
      </w:r>
    </w:p>
    <w:p w14:paraId="494C47CB" w14:textId="10B6E58B" w:rsidR="00F8694D" w:rsidRPr="00D51C4B" w:rsidRDefault="007A0047" w:rsidP="00440D45">
      <w:pPr>
        <w:pStyle w:val="Letter"/>
        <w:ind w:left="851" w:hanging="425"/>
      </w:pPr>
      <w:r w:rsidRPr="00D51C4B">
        <w:t xml:space="preserve">satisfy the requirements in clause </w:t>
      </w:r>
      <w:r w:rsidR="00FF2DF7" w:rsidRPr="00D51C4B">
        <w:t>10</w:t>
      </w:r>
      <w:r w:rsidRPr="00D51C4B">
        <w:t>(a)</w:t>
      </w:r>
      <w:r w:rsidR="0063233B" w:rsidRPr="00D51C4B">
        <w:t xml:space="preserve"> </w:t>
      </w:r>
      <w:r w:rsidR="00B663B4">
        <w:t xml:space="preserve">and (b) </w:t>
      </w:r>
      <w:r w:rsidR="00C23A4D">
        <w:t xml:space="preserve">by </w:t>
      </w:r>
      <w:r w:rsidRPr="00D51C4B">
        <w:t>follow</w:t>
      </w:r>
      <w:r w:rsidR="00C23A4D">
        <w:t>ing</w:t>
      </w:r>
      <w:r w:rsidRPr="00D51C4B">
        <w:t xml:space="preserve"> internationally accepted protocols</w:t>
      </w:r>
      <w:r w:rsidR="00A31658" w:rsidRPr="00D51C4B">
        <w:t xml:space="preserve"> </w:t>
      </w:r>
      <w:r w:rsidR="00F8694D" w:rsidRPr="00D51C4B">
        <w:t>us</w:t>
      </w:r>
      <w:r w:rsidR="00A31658" w:rsidRPr="00D51C4B">
        <w:t>ing</w:t>
      </w:r>
      <w:r w:rsidR="00C23A4D">
        <w:t>,</w:t>
      </w:r>
      <w:r w:rsidR="00A31658" w:rsidRPr="00D51C4B">
        <w:t xml:space="preserve"> wher</w:t>
      </w:r>
      <w:r w:rsidR="00F8694D" w:rsidRPr="00D51C4B">
        <w:t xml:space="preserve">e </w:t>
      </w:r>
      <w:r w:rsidR="00D51C4B" w:rsidRPr="00D51C4B">
        <w:t>appropriate</w:t>
      </w:r>
      <w:r w:rsidR="00C23A4D">
        <w:t>,</w:t>
      </w:r>
      <w:r w:rsidR="00D51C4B" w:rsidRPr="00D51C4B">
        <w:t xml:space="preserve"> </w:t>
      </w:r>
      <w:r w:rsidR="00F8694D" w:rsidRPr="00D51C4B">
        <w:t>dos</w:t>
      </w:r>
      <w:r w:rsidR="005E4CBF" w:rsidRPr="00D51C4B">
        <w:t>e</w:t>
      </w:r>
      <w:r w:rsidR="00F8694D" w:rsidRPr="00D51C4B">
        <w:t>meters with current calibrations traceable to a standards dosimetry laboratory</w:t>
      </w:r>
    </w:p>
    <w:p w14:paraId="076962AE" w14:textId="5632837A" w:rsidR="008160AA" w:rsidRPr="008160AA" w:rsidRDefault="008160AA" w:rsidP="00440D45">
      <w:pPr>
        <w:pStyle w:val="Letter"/>
        <w:ind w:left="851" w:hanging="425"/>
      </w:pPr>
      <w:r w:rsidRPr="00217143">
        <w:t>establish</w:t>
      </w:r>
      <w:r w:rsidR="00C23A4D">
        <w:t>,</w:t>
      </w:r>
      <w:r w:rsidRPr="00217143">
        <w:t xml:space="preserve"> for </w:t>
      </w:r>
      <w:r w:rsidR="00C23A4D" w:rsidRPr="00217143">
        <w:t xml:space="preserve">optimisation </w:t>
      </w:r>
      <w:r w:rsidRPr="00217143">
        <w:t>purposes</w:t>
      </w:r>
      <w:r w:rsidR="00C23A4D">
        <w:t>,</w:t>
      </w:r>
      <w:r w:rsidRPr="00217143">
        <w:t xml:space="preserve"> local diagnostic reference levels</w:t>
      </w:r>
      <w:r w:rsidR="00D3675B" w:rsidRPr="00217143">
        <w:t>.</w:t>
      </w:r>
    </w:p>
    <w:p w14:paraId="068337E9" w14:textId="77777777" w:rsidR="007A0047" w:rsidRPr="003A5BE9" w:rsidRDefault="007A0047" w:rsidP="003A5BE9">
      <w:pPr>
        <w:pStyle w:val="Heading2"/>
      </w:pPr>
      <w:bookmarkStart w:id="73" w:name="_Toc528588015"/>
      <w:bookmarkStart w:id="74" w:name="_Toc529189922"/>
      <w:bookmarkStart w:id="75" w:name="_Toc3279694"/>
      <w:bookmarkStart w:id="76" w:name="_Toc161051019"/>
      <w:r w:rsidRPr="003A5BE9">
        <w:t>Monitoring and measurement</w:t>
      </w:r>
      <w:bookmarkEnd w:id="73"/>
      <w:bookmarkEnd w:id="74"/>
      <w:bookmarkEnd w:id="75"/>
      <w:bookmarkEnd w:id="76"/>
    </w:p>
    <w:p w14:paraId="29617E49" w14:textId="6639CC81" w:rsidR="00970511" w:rsidRDefault="00970511" w:rsidP="00DF4D1D">
      <w:pPr>
        <w:pStyle w:val="Number"/>
        <w:numPr>
          <w:ilvl w:val="3"/>
          <w:numId w:val="8"/>
        </w:numPr>
        <w:ind w:left="426" w:hanging="426"/>
      </w:pPr>
      <w:r>
        <w:t>The holder of a source licence must establish and maintain:</w:t>
      </w:r>
    </w:p>
    <w:p w14:paraId="1C367B88" w14:textId="119A652B" w:rsidR="00970511" w:rsidRDefault="002332B2" w:rsidP="00440D45">
      <w:pPr>
        <w:pStyle w:val="Letter"/>
        <w:ind w:left="851" w:hanging="425"/>
      </w:pPr>
      <w:r w:rsidRPr="0069021F">
        <w:t xml:space="preserve">individual monitoring where appropriate, adequate and feasible </w:t>
      </w:r>
      <w:r w:rsidR="00970511" w:rsidRPr="0069021F">
        <w:t>for any worker who usually</w:t>
      </w:r>
      <w:r w:rsidR="00DC4ECA">
        <w:t xml:space="preserve"> works,</w:t>
      </w:r>
      <w:r>
        <w:t xml:space="preserve"> or occasionally</w:t>
      </w:r>
      <w:r w:rsidR="00970511" w:rsidRPr="0069021F">
        <w:t xml:space="preserve"> works in a controlled area </w:t>
      </w:r>
      <w:r w:rsidR="00DC4ECA">
        <w:t xml:space="preserve">and </w:t>
      </w:r>
      <w:r w:rsidR="00970511" w:rsidRPr="0069021F">
        <w:t>may receive a significant dose</w:t>
      </w:r>
      <w:r w:rsidR="00167E36">
        <w:t xml:space="preserve"> from occupational exposure</w:t>
      </w:r>
      <w:r w:rsidR="00970511" w:rsidRPr="0069021F">
        <w:t>, such as exceeding an investigation level</w:t>
      </w:r>
    </w:p>
    <w:p w14:paraId="712DCF0B" w14:textId="6FA08296" w:rsidR="00970511" w:rsidRDefault="00970511" w:rsidP="00440D45">
      <w:pPr>
        <w:pStyle w:val="Letter"/>
        <w:ind w:left="851" w:hanging="425"/>
      </w:pPr>
      <w:r>
        <w:t>programmes of workplace monitoring that are sufficient to:</w:t>
      </w:r>
    </w:p>
    <w:p w14:paraId="056CD382" w14:textId="7FABDD41" w:rsidR="00970511" w:rsidRDefault="00970511" w:rsidP="00440D45">
      <w:pPr>
        <w:pStyle w:val="Roman"/>
        <w:ind w:left="1276" w:hanging="425"/>
      </w:pPr>
      <w:r w:rsidRPr="00DB1AF3">
        <w:t xml:space="preserve">evaluate radiation </w:t>
      </w:r>
      <w:r w:rsidR="00E05473">
        <w:t xml:space="preserve">dose </w:t>
      </w:r>
      <w:r w:rsidRPr="00DB1AF3">
        <w:t>conditions in all workplaces</w:t>
      </w:r>
      <w:r w:rsidR="00043159" w:rsidRPr="00DB1AF3">
        <w:t xml:space="preserve"> </w:t>
      </w:r>
      <w:r w:rsidR="00E05473">
        <w:t xml:space="preserve">and </w:t>
      </w:r>
      <w:r w:rsidR="00D45A20" w:rsidRPr="00DB1AF3">
        <w:t xml:space="preserve">levels of </w:t>
      </w:r>
      <w:r w:rsidR="00FA7175" w:rsidRPr="00DB1AF3">
        <w:t>radi</w:t>
      </w:r>
      <w:r w:rsidR="00561C12">
        <w:t xml:space="preserve">oactive </w:t>
      </w:r>
      <w:r w:rsidR="00043159" w:rsidRPr="00DB1AF3">
        <w:t>contamination</w:t>
      </w:r>
    </w:p>
    <w:p w14:paraId="3AFAD51A" w14:textId="54A1E246" w:rsidR="00970511" w:rsidRDefault="00970511" w:rsidP="00440D45">
      <w:pPr>
        <w:pStyle w:val="Roman"/>
        <w:ind w:left="1276" w:hanging="425"/>
      </w:pPr>
      <w:r>
        <w:t>assess the occupational exposure of a worker in cases where individual monitoring of the worker is inappropriate, inadequate or not feasible</w:t>
      </w:r>
    </w:p>
    <w:p w14:paraId="7D2805C7" w14:textId="7B776D7A" w:rsidR="00531D9B" w:rsidRDefault="00531D9B" w:rsidP="00440D45">
      <w:pPr>
        <w:pStyle w:val="Letter"/>
        <w:ind w:left="851" w:hanging="425"/>
      </w:pPr>
      <w:r>
        <w:t xml:space="preserve">a monitoring programme for all workers who could be subject to exposure due to contamination, which is sufficient to: </w:t>
      </w:r>
    </w:p>
    <w:p w14:paraId="03729018" w14:textId="40BDE3BD" w:rsidR="00531D9B" w:rsidRDefault="00531D9B" w:rsidP="00440D45">
      <w:pPr>
        <w:pStyle w:val="Roman"/>
        <w:ind w:left="1276" w:hanging="425"/>
      </w:pPr>
      <w:r>
        <w:t>demonstrate the effectiveness of the protection and safety</w:t>
      </w:r>
      <w:r w:rsidR="0029619B" w:rsidRPr="0029619B">
        <w:t xml:space="preserve"> </w:t>
      </w:r>
      <w:r w:rsidR="0029619B">
        <w:t>measures</w:t>
      </w:r>
    </w:p>
    <w:p w14:paraId="5D0EA0B0" w14:textId="40590305" w:rsidR="00531D9B" w:rsidRDefault="00531D9B" w:rsidP="00440D45">
      <w:pPr>
        <w:pStyle w:val="Roman"/>
        <w:ind w:left="1276" w:hanging="425"/>
      </w:pPr>
      <w:r>
        <w:lastRenderedPageBreak/>
        <w:t>assess intakes of radionuclides and</w:t>
      </w:r>
      <w:r w:rsidR="00855A15">
        <w:t>,</w:t>
      </w:r>
      <w:r>
        <w:t xml:space="preserve"> if significant</w:t>
      </w:r>
      <w:r w:rsidR="00855A15">
        <w:t>,</w:t>
      </w:r>
      <w:r>
        <w:t xml:space="preserve"> </w:t>
      </w:r>
      <w:r w:rsidR="00855A15">
        <w:t xml:space="preserve">calculate </w:t>
      </w:r>
      <w:r>
        <w:t>the committed effective doses</w:t>
      </w:r>
    </w:p>
    <w:p w14:paraId="43CE2D19" w14:textId="24F8E73E" w:rsidR="00970511" w:rsidRDefault="00970511" w:rsidP="00440D45">
      <w:pPr>
        <w:pStyle w:val="Letter"/>
        <w:ind w:left="851" w:hanging="425"/>
      </w:pPr>
      <w:r>
        <w:t xml:space="preserve">programmes of area monitoring that are sufficient to assess public exposure arising from </w:t>
      </w:r>
      <w:r w:rsidR="00F05AFC">
        <w:t>nuclear medicine procedur</w:t>
      </w:r>
      <w:r w:rsidR="00F961DF">
        <w:t>es</w:t>
      </w:r>
    </w:p>
    <w:p w14:paraId="0ED6546A" w14:textId="5064F8C6" w:rsidR="0091566E" w:rsidRDefault="000A3566" w:rsidP="00440D45">
      <w:pPr>
        <w:pStyle w:val="Letter"/>
        <w:ind w:left="851" w:hanging="425"/>
      </w:pPr>
      <w:r>
        <w:t xml:space="preserve">a capability that is sufficient to monitor unexpected increases in radiation levels due to an incident attributed to a source or </w:t>
      </w:r>
      <w:r w:rsidR="00045FCE">
        <w:t>place</w:t>
      </w:r>
      <w:r>
        <w:t xml:space="preserve"> for which the </w:t>
      </w:r>
      <w:r w:rsidR="00C46010">
        <w:t xml:space="preserve">holder of a source licence </w:t>
      </w:r>
      <w:r>
        <w:t xml:space="preserve">is responsible </w:t>
      </w:r>
    </w:p>
    <w:p w14:paraId="1FC046E8" w14:textId="5703F9DE" w:rsidR="0091566E" w:rsidRDefault="000A3566" w:rsidP="00440D45">
      <w:pPr>
        <w:pStyle w:val="Letter"/>
        <w:ind w:left="851" w:hanging="425"/>
      </w:pPr>
      <w:r>
        <w:t xml:space="preserve">a programme to monitor areas after radiopharmaceuticals have been used to ensure all contaminated articles have been appropriately disposed of and surface contamination levels are </w:t>
      </w:r>
      <w:r w:rsidR="00EC5D05">
        <w:t xml:space="preserve">assessed to be within safe levels </w:t>
      </w:r>
    </w:p>
    <w:p w14:paraId="052A0889" w14:textId="036A8A7E" w:rsidR="000A3566" w:rsidRDefault="000A3566" w:rsidP="00440D45">
      <w:pPr>
        <w:pStyle w:val="Letter"/>
        <w:ind w:left="851" w:hanging="425"/>
      </w:pPr>
      <w:r>
        <w:t>other monitoring or measurement programmes as necessary to verify compliance with the requirements in this code.</w:t>
      </w:r>
    </w:p>
    <w:p w14:paraId="6E9177B2" w14:textId="7C68B441" w:rsidR="00970511" w:rsidRPr="006260A6" w:rsidRDefault="00970511" w:rsidP="00DF4D1D">
      <w:pPr>
        <w:pStyle w:val="Number"/>
        <w:numPr>
          <w:ilvl w:val="3"/>
          <w:numId w:val="8"/>
        </w:numPr>
        <w:ind w:left="426" w:hanging="426"/>
      </w:pPr>
      <w:r w:rsidRPr="006260A6">
        <w:t>To satisfy the monitoring and measurement requirements in clause 1</w:t>
      </w:r>
      <w:r w:rsidR="001B0670" w:rsidRPr="006260A6">
        <w:t>1</w:t>
      </w:r>
      <w:r w:rsidRPr="006260A6">
        <w:t xml:space="preserve"> the holder of a source licence must:</w:t>
      </w:r>
    </w:p>
    <w:p w14:paraId="5DA9E578" w14:textId="125B81E1" w:rsidR="00970511" w:rsidRPr="006260A6" w:rsidRDefault="00970511" w:rsidP="00440D45">
      <w:pPr>
        <w:pStyle w:val="Letter"/>
        <w:ind w:left="851" w:hanging="425"/>
      </w:pPr>
      <w:r w:rsidRPr="006260A6">
        <w:t>use appropriate equipment</w:t>
      </w:r>
    </w:p>
    <w:p w14:paraId="7C673E14" w14:textId="095DD1CA" w:rsidR="00970511" w:rsidRDefault="006732CF" w:rsidP="00440D45">
      <w:pPr>
        <w:pStyle w:val="Letter"/>
        <w:ind w:left="851" w:hanging="425"/>
      </w:pPr>
      <w:r>
        <w:t>w</w:t>
      </w:r>
      <w:r w:rsidR="00970511" w:rsidRPr="006260A6">
        <w:t xml:space="preserve">here a worker may receive a radiation dose exceeding </w:t>
      </w:r>
      <w:r w:rsidR="003E28C3" w:rsidRPr="006260A6">
        <w:t>three</w:t>
      </w:r>
      <w:r w:rsidR="003E28C3">
        <w:t>-</w:t>
      </w:r>
      <w:r w:rsidR="00970511" w:rsidRPr="006260A6">
        <w:t>tenths of a dose limit, ensure that individual monitoring of the worker is continuous and</w:t>
      </w:r>
      <w:r w:rsidR="000D1946">
        <w:t>,</w:t>
      </w:r>
      <w:r w:rsidR="00970511" w:rsidRPr="006260A6">
        <w:t xml:space="preserve"> to the extent practicable</w:t>
      </w:r>
      <w:r w:rsidR="000D1946">
        <w:t>,</w:t>
      </w:r>
      <w:r w:rsidR="00970511" w:rsidRPr="006260A6">
        <w:t xml:space="preserve"> is carried out using an external provider or internal capability that has a current accreditation to an appropriate standard</w:t>
      </w:r>
      <w:r w:rsidR="000D1946">
        <w:t>,</w:t>
      </w:r>
      <w:r w:rsidR="00970511" w:rsidRPr="006260A6">
        <w:t xml:space="preserve"> such as General Requirements for the Competence of Testing and Calibration Laboratories (ISO/IEC 17025:2017).</w:t>
      </w:r>
    </w:p>
    <w:p w14:paraId="4B441761" w14:textId="64DE6274" w:rsidR="007A0047" w:rsidRPr="006732CF" w:rsidRDefault="007A0047" w:rsidP="00DF4D1D">
      <w:pPr>
        <w:pStyle w:val="Number"/>
        <w:numPr>
          <w:ilvl w:val="3"/>
          <w:numId w:val="8"/>
        </w:numPr>
        <w:ind w:left="426" w:hanging="426"/>
      </w:pPr>
      <w:r w:rsidRPr="006732CF">
        <w:t xml:space="preserve">The </w:t>
      </w:r>
      <w:r w:rsidR="00545275" w:rsidRPr="006732CF">
        <w:t>holder of a source licence</w:t>
      </w:r>
      <w:r w:rsidRPr="006732CF">
        <w:t xml:space="preserve"> must:</w:t>
      </w:r>
    </w:p>
    <w:p w14:paraId="45A94431" w14:textId="46F569A6" w:rsidR="00F8694D" w:rsidRPr="003A6E85" w:rsidRDefault="003A6E85" w:rsidP="00440D45">
      <w:pPr>
        <w:pStyle w:val="Letter"/>
        <w:tabs>
          <w:tab w:val="left" w:pos="851"/>
        </w:tabs>
        <w:ind w:left="851" w:hanging="425"/>
      </w:pPr>
      <w:r w:rsidRPr="00944D5B">
        <w:t>to the extent practicable, obtain previous dose records of individual monitoring</w:t>
      </w:r>
    </w:p>
    <w:p w14:paraId="0DE61742" w14:textId="68E75C6B" w:rsidR="007A0047" w:rsidRDefault="6DB7F877" w:rsidP="00440D45">
      <w:pPr>
        <w:pStyle w:val="Letter"/>
        <w:tabs>
          <w:tab w:val="left" w:pos="851"/>
        </w:tabs>
        <w:ind w:left="851" w:hanging="425"/>
      </w:pPr>
      <w:r>
        <w:t>maintain records of all monitoring and verification of compliance including:</w:t>
      </w:r>
    </w:p>
    <w:p w14:paraId="4F16E5CA" w14:textId="29B3F91F" w:rsidR="007A0047" w:rsidRPr="00C736D8" w:rsidRDefault="007A0047" w:rsidP="00440D45">
      <w:pPr>
        <w:pStyle w:val="Roman"/>
        <w:ind w:left="1276" w:hanging="425"/>
      </w:pPr>
      <w:r>
        <w:t xml:space="preserve">records </w:t>
      </w:r>
      <w:r w:rsidRPr="00C736D8">
        <w:t>of occupational exposure during and after the worker</w:t>
      </w:r>
      <w:r w:rsidR="008746C1" w:rsidRPr="00C736D8">
        <w:t>’</w:t>
      </w:r>
      <w:r w:rsidRPr="00C736D8">
        <w:t xml:space="preserve">s working life, at least until the worker </w:t>
      </w:r>
      <w:r w:rsidR="00AF4D06">
        <w:t>reaches,</w:t>
      </w:r>
      <w:r w:rsidRPr="00C736D8">
        <w:t xml:space="preserve"> or would have </w:t>
      </w:r>
      <w:r w:rsidR="00AF4D06">
        <w:t>reached,</w:t>
      </w:r>
      <w:r w:rsidR="00AF4D06" w:rsidRPr="00C736D8">
        <w:t xml:space="preserve"> </w:t>
      </w:r>
      <w:r w:rsidRPr="00C736D8">
        <w:t xml:space="preserve">the age of 75 years and for not less than 30 years after </w:t>
      </w:r>
      <w:r w:rsidR="00AF4D06">
        <w:t>the worker ceased</w:t>
      </w:r>
      <w:r w:rsidR="00AF4D06" w:rsidRPr="00C736D8">
        <w:t xml:space="preserve"> </w:t>
      </w:r>
      <w:r w:rsidRPr="00C736D8">
        <w:t>work</w:t>
      </w:r>
      <w:r w:rsidR="00AF4D06">
        <w:t>,</w:t>
      </w:r>
      <w:r w:rsidRPr="00C736D8">
        <w:t xml:space="preserve"> where the worker was subject to occupational exposure</w:t>
      </w:r>
    </w:p>
    <w:p w14:paraId="3C7A53AB" w14:textId="62F9F4E6" w:rsidR="007A0047" w:rsidRPr="00C736D8" w:rsidRDefault="007A0047" w:rsidP="00440D45">
      <w:pPr>
        <w:pStyle w:val="Roman"/>
        <w:ind w:left="1276" w:hanging="425"/>
      </w:pPr>
      <w:r w:rsidRPr="00C736D8">
        <w:t>records and estimated doses to members of the public</w:t>
      </w:r>
    </w:p>
    <w:p w14:paraId="3BE8A66E" w14:textId="4091DCF5" w:rsidR="007A0047" w:rsidRDefault="007A0047" w:rsidP="00440D45">
      <w:pPr>
        <w:pStyle w:val="Roman"/>
        <w:ind w:left="1276" w:hanging="425"/>
      </w:pPr>
      <w:r w:rsidRPr="00C736D8">
        <w:t>records of</w:t>
      </w:r>
      <w:r w:rsidRPr="000457F7">
        <w:t xml:space="preserve"> the</w:t>
      </w:r>
      <w:r>
        <w:t xml:space="preserve"> tests and calibrations carried out</w:t>
      </w:r>
      <w:r w:rsidR="00032233">
        <w:t>.</w:t>
      </w:r>
    </w:p>
    <w:p w14:paraId="312FD00C" w14:textId="74A187A5" w:rsidR="008E324F" w:rsidRPr="00E95C3A" w:rsidRDefault="008E324F" w:rsidP="00440D45">
      <w:pPr>
        <w:pStyle w:val="Letter"/>
        <w:tabs>
          <w:tab w:val="left" w:pos="851"/>
        </w:tabs>
        <w:ind w:left="851" w:hanging="425"/>
      </w:pPr>
      <w:r w:rsidRPr="00E95C3A">
        <w:t>to the extent practicable, provide records of occupational exposure to:</w:t>
      </w:r>
    </w:p>
    <w:p w14:paraId="124D2139" w14:textId="5BE355C3" w:rsidR="008E324F" w:rsidRPr="00E95C3A" w:rsidRDefault="008E324F" w:rsidP="00440D45">
      <w:pPr>
        <w:pStyle w:val="Roman"/>
        <w:ind w:left="1276" w:hanging="425"/>
      </w:pPr>
      <w:r w:rsidRPr="00E95C3A">
        <w:t>individual workers in respect of their own exposure</w:t>
      </w:r>
    </w:p>
    <w:p w14:paraId="06228A63" w14:textId="2F90E641" w:rsidR="005E163D" w:rsidRDefault="005E163D" w:rsidP="00440D45">
      <w:pPr>
        <w:pStyle w:val="Roman"/>
        <w:ind w:left="1276" w:hanging="425"/>
      </w:pPr>
      <w:r w:rsidRPr="00E95C3A">
        <w:t xml:space="preserve">current and subsequent employers of workers, subject to satisfying regulatory requirements </w:t>
      </w:r>
      <w:r w:rsidR="00D937E3">
        <w:t>about</w:t>
      </w:r>
      <w:r w:rsidR="00D82C6B" w:rsidRPr="00E95C3A">
        <w:t xml:space="preserve"> privacy,</w:t>
      </w:r>
      <w:r w:rsidRPr="00E95C3A">
        <w:t xml:space="preserve"> confidentiality and data security and protection.</w:t>
      </w:r>
    </w:p>
    <w:p w14:paraId="549FF356" w14:textId="77777777" w:rsidR="007A0047" w:rsidRPr="00440D45" w:rsidRDefault="007A0047" w:rsidP="00440D45">
      <w:pPr>
        <w:pStyle w:val="Heading2"/>
      </w:pPr>
      <w:bookmarkStart w:id="77" w:name="_Toc528588016"/>
      <w:bookmarkStart w:id="78" w:name="_Toc529189923"/>
      <w:bookmarkStart w:id="79" w:name="_Toc3279695"/>
      <w:bookmarkStart w:id="80" w:name="_Toc161051020"/>
      <w:r w:rsidRPr="00440D45">
        <w:lastRenderedPageBreak/>
        <w:t>Incidents, accidents and emergencies</w:t>
      </w:r>
      <w:bookmarkEnd w:id="77"/>
      <w:bookmarkEnd w:id="78"/>
      <w:bookmarkEnd w:id="79"/>
      <w:bookmarkEnd w:id="80"/>
    </w:p>
    <w:p w14:paraId="2AEE6C70" w14:textId="3BA0FB0A" w:rsidR="004E3D88" w:rsidRPr="002C73EE" w:rsidRDefault="001F2BD7" w:rsidP="002C73EE">
      <w:pPr>
        <w:pStyle w:val="Number"/>
        <w:ind w:left="426" w:hanging="426"/>
      </w:pPr>
      <w:hyperlink r:id="rId58" w:anchor="DLM6339637" w:history="1">
        <w:r w:rsidR="00477DA2" w:rsidRPr="00550FD4">
          <w:rPr>
            <w:rStyle w:val="Hyperlink"/>
          </w:rPr>
          <w:t>Section 20(3)</w:t>
        </w:r>
      </w:hyperlink>
      <w:r w:rsidR="00477DA2" w:rsidRPr="002C73EE">
        <w:t xml:space="preserve"> of the Act sets out what the holder of a source licence must do if the</w:t>
      </w:r>
      <w:r w:rsidR="00F64CAE" w:rsidRPr="002C73EE">
        <w:t>y</w:t>
      </w:r>
      <w:r w:rsidR="00477DA2" w:rsidRPr="002C73EE">
        <w:t xml:space="preserve"> </w:t>
      </w:r>
      <w:r w:rsidR="00032233" w:rsidRPr="002C73EE">
        <w:t xml:space="preserve">holder of a source licence </w:t>
      </w:r>
      <w:r w:rsidR="00477DA2" w:rsidRPr="002C73EE">
        <w:t xml:space="preserve">believe an incident has occurred that has resulted in overexposure of a person to radiation. </w:t>
      </w:r>
      <w:r w:rsidR="00730695" w:rsidRPr="002C73EE">
        <w:t>The</w:t>
      </w:r>
      <w:r w:rsidR="00032233" w:rsidRPr="002C73EE">
        <w:t xml:space="preserve"> holder of a source licence </w:t>
      </w:r>
      <w:r w:rsidR="00477DA2" w:rsidRPr="002C73EE">
        <w:t>‘must notify the Director as soon as practicable</w:t>
      </w:r>
      <w:r w:rsidR="00167E36">
        <w:t>’</w:t>
      </w:r>
      <w:r w:rsidR="00477DA2" w:rsidRPr="002C73EE">
        <w:t xml:space="preserve">. </w:t>
      </w:r>
      <w:r w:rsidR="005A61C9" w:rsidRPr="002C73EE">
        <w:t>‘</w:t>
      </w:r>
      <w:r w:rsidR="00477DA2" w:rsidRPr="002C73EE">
        <w:t>Overexposure of a person</w:t>
      </w:r>
      <w:r w:rsidR="005A61C9" w:rsidRPr="002C73EE">
        <w:t>’</w:t>
      </w:r>
      <w:r w:rsidR="00477DA2" w:rsidRPr="002C73EE">
        <w:t xml:space="preserve"> has the interpretation given in this code. As well as complying with these requirements, the holder of a source licence must:</w:t>
      </w:r>
      <w:r w:rsidR="00A854E9" w:rsidRPr="002C73EE">
        <w:t xml:space="preserve"> </w:t>
      </w:r>
    </w:p>
    <w:p w14:paraId="02B22796" w14:textId="39E8902D" w:rsidR="00370887" w:rsidRPr="006732CF" w:rsidRDefault="00AB4FBE" w:rsidP="00DF4D1D">
      <w:pPr>
        <w:pStyle w:val="Letter"/>
        <w:numPr>
          <w:ilvl w:val="4"/>
          <w:numId w:val="11"/>
        </w:numPr>
        <w:tabs>
          <w:tab w:val="left" w:pos="851"/>
        </w:tabs>
        <w:ind w:left="851" w:hanging="425"/>
      </w:pPr>
      <w:r w:rsidRPr="006732CF">
        <w:t xml:space="preserve">notify the Director as soon as practicable </w:t>
      </w:r>
      <w:r w:rsidR="000C62B0" w:rsidRPr="006732CF">
        <w:t xml:space="preserve">if </w:t>
      </w:r>
      <w:r w:rsidR="009E6B04" w:rsidRPr="006732CF">
        <w:t xml:space="preserve">the holder of a source licence </w:t>
      </w:r>
      <w:r w:rsidR="007B0B60" w:rsidRPr="006732CF">
        <w:t>believe</w:t>
      </w:r>
      <w:r w:rsidR="009E6B04" w:rsidRPr="006732CF">
        <w:t>s</w:t>
      </w:r>
      <w:r w:rsidR="006D5214" w:rsidRPr="006732CF">
        <w:t xml:space="preserve"> an underexposure in nuclear medicine therapy </w:t>
      </w:r>
      <w:r w:rsidR="007B0B60" w:rsidRPr="006732CF">
        <w:t xml:space="preserve">has occurred </w:t>
      </w:r>
    </w:p>
    <w:p w14:paraId="1D264C44" w14:textId="39179892" w:rsidR="007A0047" w:rsidRPr="006732CF" w:rsidRDefault="007A0047" w:rsidP="00DF4D1D">
      <w:pPr>
        <w:pStyle w:val="Letter"/>
        <w:numPr>
          <w:ilvl w:val="4"/>
          <w:numId w:val="11"/>
        </w:numPr>
        <w:tabs>
          <w:tab w:val="left" w:pos="851"/>
        </w:tabs>
        <w:ind w:left="851" w:hanging="425"/>
      </w:pPr>
      <w:r w:rsidRPr="006732CF">
        <w:t xml:space="preserve">take all </w:t>
      </w:r>
      <w:r w:rsidR="00D97D3A" w:rsidRPr="006732CF">
        <w:t xml:space="preserve">practical </w:t>
      </w:r>
      <w:r w:rsidRPr="006732CF">
        <w:t>steps to minimise the likelihood of accidents</w:t>
      </w:r>
      <w:r w:rsidR="00D97D3A" w:rsidRPr="006732CF">
        <w:t>,</w:t>
      </w:r>
      <w:r w:rsidRPr="006732CF">
        <w:t xml:space="preserve"> including a multilevel system of sequential, independent provisions for protection and safety commensurate with the likelihood and magnitude of potential exposures</w:t>
      </w:r>
    </w:p>
    <w:p w14:paraId="6148881F" w14:textId="7B0C2957" w:rsidR="007A0047" w:rsidRPr="006732CF" w:rsidRDefault="007A0047" w:rsidP="00DF4D1D">
      <w:pPr>
        <w:pStyle w:val="Letter"/>
        <w:numPr>
          <w:ilvl w:val="4"/>
          <w:numId w:val="11"/>
        </w:numPr>
        <w:tabs>
          <w:tab w:val="left" w:pos="851"/>
        </w:tabs>
        <w:ind w:left="851" w:hanging="425"/>
      </w:pPr>
      <w:r w:rsidRPr="006732CF">
        <w:t>take timely action to mitigate the consequences of any accident that occur</w:t>
      </w:r>
      <w:r w:rsidR="00494355" w:rsidRPr="006732CF">
        <w:t>s</w:t>
      </w:r>
      <w:r w:rsidRPr="006732CF">
        <w:t xml:space="preserve"> and restore radiation equipment to a safe condition</w:t>
      </w:r>
    </w:p>
    <w:p w14:paraId="369AE8AD" w14:textId="68E88B6B" w:rsidR="007A0047" w:rsidRPr="006732CF" w:rsidRDefault="007A0047" w:rsidP="00DF4D1D">
      <w:pPr>
        <w:pStyle w:val="Letter"/>
        <w:numPr>
          <w:ilvl w:val="4"/>
          <w:numId w:val="11"/>
        </w:numPr>
        <w:tabs>
          <w:tab w:val="left" w:pos="851"/>
        </w:tabs>
        <w:ind w:left="851" w:hanging="425"/>
      </w:pPr>
      <w:r w:rsidRPr="006732CF">
        <w:t>promptly investigate any incident, including by:</w:t>
      </w:r>
    </w:p>
    <w:p w14:paraId="6FDCFF66" w14:textId="7503AF4C" w:rsidR="007A0047" w:rsidRPr="003B6EF7" w:rsidRDefault="007A0047" w:rsidP="00440D45">
      <w:pPr>
        <w:pStyle w:val="Roman"/>
        <w:ind w:left="1276" w:hanging="425"/>
      </w:pPr>
      <w:r w:rsidRPr="003B6EF7">
        <w:t>calculating or estimating doses a</w:t>
      </w:r>
      <w:r w:rsidR="009E6B04">
        <w:t xml:space="preserve">n individual </w:t>
      </w:r>
      <w:r w:rsidRPr="003B6EF7">
        <w:t xml:space="preserve">has received and, if applicable, the dose distribution within </w:t>
      </w:r>
      <w:r w:rsidR="00494355">
        <w:t xml:space="preserve">that </w:t>
      </w:r>
      <w:r w:rsidR="009E6B04">
        <w:t xml:space="preserve">the individual </w:t>
      </w:r>
      <w:r w:rsidR="00494355">
        <w:t>person</w:t>
      </w:r>
    </w:p>
    <w:p w14:paraId="0C3EE1FF" w14:textId="7BE4961B" w:rsidR="007A0047" w:rsidRPr="003B6EF7" w:rsidRDefault="007A0047" w:rsidP="00440D45">
      <w:pPr>
        <w:pStyle w:val="Roman"/>
        <w:ind w:left="1276" w:hanging="425"/>
      </w:pPr>
      <w:r w:rsidRPr="003B6EF7">
        <w:t>identifying actions required to prevent a recurrence</w:t>
      </w:r>
    </w:p>
    <w:p w14:paraId="6370A384" w14:textId="0E6B0FC1" w:rsidR="007A0047" w:rsidRDefault="007A0047" w:rsidP="00DF4D1D">
      <w:pPr>
        <w:pStyle w:val="Letter"/>
        <w:numPr>
          <w:ilvl w:val="4"/>
          <w:numId w:val="11"/>
        </w:numPr>
        <w:tabs>
          <w:tab w:val="left" w:pos="851"/>
        </w:tabs>
        <w:ind w:left="851" w:hanging="425"/>
      </w:pPr>
      <w:r w:rsidRPr="003B6EF7">
        <w:t>implement all corrective actions identified in clause 1</w:t>
      </w:r>
      <w:r w:rsidR="006A37F8" w:rsidRPr="003B6EF7">
        <w:t>4</w:t>
      </w:r>
      <w:r w:rsidR="0037441C" w:rsidRPr="003B6EF7">
        <w:t>(c)</w:t>
      </w:r>
    </w:p>
    <w:p w14:paraId="733DDB69" w14:textId="0DBEE2AF" w:rsidR="007A0047" w:rsidRPr="00AD5D30" w:rsidRDefault="007A0047" w:rsidP="00DF4D1D">
      <w:pPr>
        <w:pStyle w:val="Letter"/>
        <w:numPr>
          <w:ilvl w:val="4"/>
          <w:numId w:val="11"/>
        </w:numPr>
        <w:tabs>
          <w:tab w:val="left" w:pos="851"/>
        </w:tabs>
        <w:ind w:left="851" w:hanging="425"/>
      </w:pPr>
      <w:r w:rsidRPr="00AD5D30">
        <w:t xml:space="preserve">keep a written record of the </w:t>
      </w:r>
      <w:r>
        <w:t>incident</w:t>
      </w:r>
      <w:r w:rsidRPr="00AD5D30">
        <w:t>, including the:</w:t>
      </w:r>
    </w:p>
    <w:p w14:paraId="271750E5" w14:textId="4809E8CC" w:rsidR="007A0047" w:rsidRPr="000457F7" w:rsidRDefault="007A0047" w:rsidP="00DF4D1D">
      <w:pPr>
        <w:pStyle w:val="Roman"/>
        <w:numPr>
          <w:ilvl w:val="5"/>
          <w:numId w:val="10"/>
        </w:numPr>
        <w:ind w:left="1276" w:hanging="425"/>
      </w:pPr>
      <w:r w:rsidRPr="000457F7">
        <w:t>cause or suspected cause</w:t>
      </w:r>
    </w:p>
    <w:p w14:paraId="44871D82" w14:textId="44F7B30C" w:rsidR="007A0047" w:rsidRPr="000457F7" w:rsidRDefault="007A0047" w:rsidP="00DF4D1D">
      <w:pPr>
        <w:pStyle w:val="Roman"/>
        <w:numPr>
          <w:ilvl w:val="5"/>
          <w:numId w:val="10"/>
        </w:numPr>
        <w:ind w:left="1276" w:hanging="425"/>
      </w:pPr>
      <w:r w:rsidRPr="000457F7">
        <w:t xml:space="preserve">calculations made under clause </w:t>
      </w:r>
      <w:r>
        <w:t>1</w:t>
      </w:r>
      <w:r w:rsidR="00A33162">
        <w:t>4</w:t>
      </w:r>
      <w:r w:rsidRPr="000457F7">
        <w:t>(</w:t>
      </w:r>
      <w:r w:rsidR="00513B1A">
        <w:t>d</w:t>
      </w:r>
      <w:r w:rsidRPr="000457F7">
        <w:t>)(i)</w:t>
      </w:r>
    </w:p>
    <w:p w14:paraId="0E83E689" w14:textId="1F94739E" w:rsidR="007A0047" w:rsidRPr="000457F7" w:rsidRDefault="007A0047" w:rsidP="00DF4D1D">
      <w:pPr>
        <w:pStyle w:val="Roman"/>
        <w:numPr>
          <w:ilvl w:val="5"/>
          <w:numId w:val="10"/>
        </w:numPr>
        <w:ind w:left="1276" w:hanging="425"/>
      </w:pPr>
      <w:r w:rsidRPr="000457F7">
        <w:t xml:space="preserve">corrective actions identified under clause </w:t>
      </w:r>
      <w:r>
        <w:t>1</w:t>
      </w:r>
      <w:r w:rsidR="00B95C83">
        <w:t>4</w:t>
      </w:r>
      <w:r w:rsidRPr="000457F7">
        <w:t>(</w:t>
      </w:r>
      <w:r w:rsidR="00513B1A">
        <w:t>d</w:t>
      </w:r>
      <w:r w:rsidRPr="000457F7">
        <w:t>)(ii)</w:t>
      </w:r>
    </w:p>
    <w:p w14:paraId="6C911E9B" w14:textId="24AD7BC5" w:rsidR="0037441C" w:rsidRDefault="007A0047" w:rsidP="00DF4D1D">
      <w:pPr>
        <w:pStyle w:val="Roman"/>
        <w:numPr>
          <w:ilvl w:val="5"/>
          <w:numId w:val="10"/>
        </w:numPr>
        <w:ind w:left="1276" w:hanging="425"/>
      </w:pPr>
      <w:r w:rsidRPr="000457F7">
        <w:t>details</w:t>
      </w:r>
      <w:r>
        <w:t xml:space="preserve"> of the implementation of corrective actions under clause 1</w:t>
      </w:r>
      <w:r w:rsidR="00B95C83">
        <w:t>4</w:t>
      </w:r>
      <w:r>
        <w:t>(</w:t>
      </w:r>
      <w:r w:rsidR="009511A9">
        <w:t>e</w:t>
      </w:r>
      <w:r>
        <w:t>)</w:t>
      </w:r>
    </w:p>
    <w:p w14:paraId="471432DE" w14:textId="2608B290" w:rsidR="007A0047" w:rsidRDefault="007A0047" w:rsidP="00DF4D1D">
      <w:pPr>
        <w:pStyle w:val="Letter"/>
        <w:numPr>
          <w:ilvl w:val="4"/>
          <w:numId w:val="11"/>
        </w:numPr>
        <w:tabs>
          <w:tab w:val="left" w:pos="851"/>
        </w:tabs>
        <w:ind w:left="851" w:hanging="425"/>
      </w:pPr>
      <w:r>
        <w:t>ensure that the referring practitioner and the patient (or the patient</w:t>
      </w:r>
      <w:r w:rsidR="008746C1">
        <w:t>’</w:t>
      </w:r>
      <w:r>
        <w:t>s legal representative) are informed of any unintended medical exposure</w:t>
      </w:r>
      <w:r w:rsidR="00852822">
        <w:t>.</w:t>
      </w:r>
    </w:p>
    <w:p w14:paraId="57FA4203" w14:textId="76A2D598" w:rsidR="007A0047" w:rsidRPr="002C73EE" w:rsidRDefault="6DB7F877" w:rsidP="002C73EE">
      <w:pPr>
        <w:pStyle w:val="Number"/>
        <w:ind w:left="426" w:hanging="426"/>
      </w:pPr>
      <w:r w:rsidRPr="002C73EE">
        <w:t xml:space="preserve">If the </w:t>
      </w:r>
      <w:r w:rsidR="7013C4C3" w:rsidRPr="002C73EE">
        <w:t>risk assessment</w:t>
      </w:r>
      <w:r w:rsidR="53C0EAA3" w:rsidRPr="002C73EE">
        <w:t xml:space="preserve"> </w:t>
      </w:r>
      <w:r w:rsidRPr="002C73EE">
        <w:t xml:space="preserve">required by clause </w:t>
      </w:r>
      <w:r w:rsidR="78F2FE64" w:rsidRPr="002C73EE">
        <w:t>4</w:t>
      </w:r>
      <w:r w:rsidRPr="002C73EE">
        <w:t xml:space="preserve"> indicates that there is a reasonable likelihood of an emergency affecting either workers or members of the public, the </w:t>
      </w:r>
      <w:r w:rsidR="79E3DCD4" w:rsidRPr="002C73EE">
        <w:t>holder of a source licence</w:t>
      </w:r>
      <w:r w:rsidRPr="002C73EE">
        <w:t xml:space="preserve"> must prepare an emergency plan for protecti</w:t>
      </w:r>
      <w:r w:rsidR="009511A9" w:rsidRPr="002C73EE">
        <w:t>ng</w:t>
      </w:r>
      <w:r w:rsidRPr="002C73EE">
        <w:t xml:space="preserve"> people and the environment</w:t>
      </w:r>
      <w:r w:rsidR="009511A9" w:rsidRPr="002C73EE">
        <w:t>,</w:t>
      </w:r>
      <w:r w:rsidRPr="002C73EE">
        <w:t xml:space="preserve"> including:</w:t>
      </w:r>
    </w:p>
    <w:p w14:paraId="36C3631A" w14:textId="3675FB6D" w:rsidR="007A0047" w:rsidRDefault="00FB175A" w:rsidP="00DF4D1D">
      <w:pPr>
        <w:pStyle w:val="Letter"/>
        <w:numPr>
          <w:ilvl w:val="4"/>
          <w:numId w:val="12"/>
        </w:numPr>
        <w:tabs>
          <w:tab w:val="left" w:pos="851"/>
        </w:tabs>
        <w:ind w:left="851" w:hanging="425"/>
      </w:pPr>
      <w:r>
        <w:t xml:space="preserve">making </w:t>
      </w:r>
      <w:r w:rsidR="007A0047">
        <w:t>arrangements for promptly identifying an emergency</w:t>
      </w:r>
    </w:p>
    <w:p w14:paraId="00BDB983" w14:textId="48905BE5" w:rsidR="007A0047" w:rsidRDefault="007A0047" w:rsidP="00DF4D1D">
      <w:pPr>
        <w:pStyle w:val="Letter"/>
        <w:numPr>
          <w:ilvl w:val="4"/>
          <w:numId w:val="12"/>
        </w:numPr>
        <w:tabs>
          <w:tab w:val="left" w:pos="851"/>
        </w:tabs>
        <w:ind w:left="851" w:hanging="425"/>
      </w:pPr>
      <w:r>
        <w:t>determining the correct level of emergency response</w:t>
      </w:r>
    </w:p>
    <w:p w14:paraId="09827AA2" w14:textId="6E8B1D94" w:rsidR="007A0047" w:rsidRDefault="007A0047" w:rsidP="00DF4D1D">
      <w:pPr>
        <w:pStyle w:val="Letter"/>
        <w:numPr>
          <w:ilvl w:val="4"/>
          <w:numId w:val="12"/>
        </w:numPr>
        <w:tabs>
          <w:tab w:val="left" w:pos="851"/>
        </w:tabs>
        <w:ind w:left="851" w:hanging="425"/>
      </w:pPr>
      <w:r>
        <w:t>provi</w:t>
      </w:r>
      <w:r w:rsidR="004A3419">
        <w:t>ding</w:t>
      </w:r>
      <w:r>
        <w:t xml:space="preserve"> individual monitoring, area monitoring and arrangements for medical treatment</w:t>
      </w:r>
    </w:p>
    <w:p w14:paraId="4847573F" w14:textId="067BC284" w:rsidR="007A0047" w:rsidRDefault="004A3419" w:rsidP="00DF4D1D">
      <w:pPr>
        <w:pStyle w:val="Letter"/>
        <w:numPr>
          <w:ilvl w:val="4"/>
          <w:numId w:val="12"/>
        </w:numPr>
        <w:tabs>
          <w:tab w:val="left" w:pos="851"/>
        </w:tabs>
        <w:ind w:left="851" w:hanging="425"/>
      </w:pPr>
      <w:r>
        <w:t xml:space="preserve">making </w:t>
      </w:r>
      <w:r w:rsidR="007A0047">
        <w:t>arrangements for assessing and mitigating any consequences of an emergency.</w:t>
      </w:r>
    </w:p>
    <w:p w14:paraId="73EAE86C" w14:textId="77777777" w:rsidR="007A0047" w:rsidRDefault="007A0047" w:rsidP="007A0047">
      <w:pPr>
        <w:pStyle w:val="Heading2"/>
      </w:pPr>
      <w:bookmarkStart w:id="81" w:name="_Toc528588017"/>
      <w:bookmarkStart w:id="82" w:name="_Toc529189924"/>
      <w:bookmarkStart w:id="83" w:name="_Toc3279696"/>
      <w:bookmarkStart w:id="84" w:name="_Toc161051021"/>
      <w:r w:rsidRPr="003F1A19">
        <w:lastRenderedPageBreak/>
        <w:t>Records</w:t>
      </w:r>
      <w:bookmarkEnd w:id="81"/>
      <w:bookmarkEnd w:id="82"/>
      <w:bookmarkEnd w:id="83"/>
      <w:bookmarkEnd w:id="84"/>
    </w:p>
    <w:p w14:paraId="0CDD68AA" w14:textId="5B3E40E2" w:rsidR="002E0AF1" w:rsidRPr="002C73EE" w:rsidRDefault="001F2BD7" w:rsidP="002C73EE">
      <w:pPr>
        <w:pStyle w:val="Number"/>
        <w:ind w:left="426" w:hanging="426"/>
      </w:pPr>
      <w:hyperlink r:id="rId59" w:anchor="DLM6339662" w:history="1">
        <w:r w:rsidR="009E6B04" w:rsidRPr="002C73EE">
          <w:rPr>
            <w:rStyle w:val="Hyperlink"/>
          </w:rPr>
          <w:t>Section 35(1)(a)</w:t>
        </w:r>
      </w:hyperlink>
      <w:r w:rsidR="002E0AF1" w:rsidRPr="002C73EE">
        <w:t xml:space="preserve"> of the Act provides that ‘a person who has management or control of a radiation source must keep records that contain sufficient information to enable the Director to ascertain whether the person is complying with the radiation safety requirements’. To meet this requirement, records that verify compliance and are not patient or occupational health records where other legislation applies must be maintained for not less than 10 years. Clause 1</w:t>
      </w:r>
      <w:r w:rsidR="00BB3C7E" w:rsidRPr="002C73EE">
        <w:t>3</w:t>
      </w:r>
      <w:r w:rsidR="002E0AF1" w:rsidRPr="002C73EE">
        <w:t>(b)(i) has requirements that apply to occupational exposure.</w:t>
      </w:r>
    </w:p>
    <w:p w14:paraId="15E35D97" w14:textId="2B5EE0BA" w:rsidR="007A0047" w:rsidRPr="002C73EE" w:rsidRDefault="007A0047" w:rsidP="002C73EE">
      <w:pPr>
        <w:pStyle w:val="Number"/>
        <w:ind w:left="426" w:hanging="426"/>
      </w:pPr>
      <w:r w:rsidRPr="002C73EE">
        <w:t xml:space="preserve">The </w:t>
      </w:r>
      <w:r w:rsidR="00545275" w:rsidRPr="002C73EE">
        <w:t>holder of a source licence</w:t>
      </w:r>
      <w:r w:rsidRPr="002C73EE">
        <w:t xml:space="preserve"> must maintain records, </w:t>
      </w:r>
      <w:r w:rsidR="00A71A4C" w:rsidRPr="002C73EE">
        <w:t xml:space="preserve">that include </w:t>
      </w:r>
    </w:p>
    <w:p w14:paraId="0CC17DB9" w14:textId="303851F6" w:rsidR="00BD7643" w:rsidRPr="002C73EE" w:rsidRDefault="00BD7643" w:rsidP="002C73EE">
      <w:pPr>
        <w:pStyle w:val="Letter"/>
        <w:ind w:left="851" w:hanging="425"/>
      </w:pPr>
      <w:r w:rsidRPr="002C73EE">
        <w:t xml:space="preserve">the roles and appointments of individuals made by the holder of a source licence </w:t>
      </w:r>
    </w:p>
    <w:p w14:paraId="69A8EAE2" w14:textId="35B0F3F4" w:rsidR="00973FD7" w:rsidRPr="002C73EE" w:rsidRDefault="00973FD7" w:rsidP="002C73EE">
      <w:pPr>
        <w:pStyle w:val="Letter"/>
        <w:ind w:left="851" w:hanging="425"/>
      </w:pPr>
      <w:r w:rsidRPr="002C73EE">
        <w:t>the names of all people with responsibility for protection and safety, including details of their specialisation, qualifications, education and training</w:t>
      </w:r>
    </w:p>
    <w:p w14:paraId="14F2CE9E" w14:textId="56B99ABC" w:rsidR="007A0047" w:rsidRPr="002C73EE" w:rsidRDefault="6DB7F877" w:rsidP="002C73EE">
      <w:pPr>
        <w:pStyle w:val="Letter"/>
        <w:ind w:left="851" w:hanging="425"/>
      </w:pPr>
      <w:r w:rsidRPr="002C73EE">
        <w:t>results of calibrations and periodic checks of physical and clinical parameters selected during treatment of patients</w:t>
      </w:r>
    </w:p>
    <w:p w14:paraId="41ED433D" w14:textId="7489ECCD" w:rsidR="007A0047" w:rsidRPr="002C73EE" w:rsidRDefault="6DB7F877" w:rsidP="002C73EE">
      <w:pPr>
        <w:pStyle w:val="Letter"/>
        <w:ind w:left="851" w:hanging="425"/>
      </w:pPr>
      <w:r w:rsidRPr="002C73EE">
        <w:t>dosimetry of patients</w:t>
      </w:r>
    </w:p>
    <w:p w14:paraId="46394BB5" w14:textId="571CF7D7" w:rsidR="007A0047" w:rsidRPr="002C73EE" w:rsidRDefault="6DB7F877" w:rsidP="002C73EE">
      <w:pPr>
        <w:pStyle w:val="Letter"/>
        <w:ind w:left="851" w:hanging="425"/>
      </w:pPr>
      <w:r w:rsidRPr="002C73EE">
        <w:t>local assessments and reviews relating to diagnostic reference levels</w:t>
      </w:r>
    </w:p>
    <w:p w14:paraId="1F1A42B6" w14:textId="3BEC028D" w:rsidR="007A0047" w:rsidRPr="002C73EE" w:rsidRDefault="6DB7F877" w:rsidP="002C73EE">
      <w:pPr>
        <w:pStyle w:val="Letter"/>
        <w:ind w:left="851" w:hanging="425"/>
      </w:pPr>
      <w:r w:rsidRPr="002C73EE">
        <w:t>the types of radiopharmaceutical administered and their activity</w:t>
      </w:r>
    </w:p>
    <w:p w14:paraId="4D7DFF6E" w14:textId="6EB179AA" w:rsidR="007A0047" w:rsidRPr="002C73EE" w:rsidRDefault="6DB7F877" w:rsidP="002C73EE">
      <w:pPr>
        <w:pStyle w:val="Letter"/>
        <w:ind w:left="851" w:hanging="425"/>
      </w:pPr>
      <w:r w:rsidRPr="002C73EE">
        <w:t>the quality assurance programme</w:t>
      </w:r>
    </w:p>
    <w:p w14:paraId="75BD0B74" w14:textId="126A9503" w:rsidR="007A0047" w:rsidRPr="002C73EE" w:rsidRDefault="6DB7F877" w:rsidP="002C73EE">
      <w:pPr>
        <w:pStyle w:val="Letter"/>
        <w:ind w:left="851" w:hanging="425"/>
      </w:pPr>
      <w:r w:rsidRPr="002C73EE">
        <w:t>information necessary:</w:t>
      </w:r>
    </w:p>
    <w:p w14:paraId="706D61F1" w14:textId="6E716A6E" w:rsidR="007A0047" w:rsidRPr="002C73EE" w:rsidRDefault="007A0047" w:rsidP="002C73EE">
      <w:pPr>
        <w:pStyle w:val="Roman"/>
        <w:ind w:left="1276" w:hanging="425"/>
      </w:pPr>
      <w:r w:rsidRPr="002C73EE">
        <w:t>for the retrospective assessment of doses</w:t>
      </w:r>
    </w:p>
    <w:p w14:paraId="2F533DAF" w14:textId="7349C390" w:rsidR="007A0047" w:rsidRPr="002C73EE" w:rsidRDefault="007A0047" w:rsidP="002C73EE">
      <w:pPr>
        <w:pStyle w:val="Roman"/>
        <w:ind w:left="1276" w:hanging="425"/>
      </w:pPr>
      <w:r w:rsidRPr="002C73EE">
        <w:t xml:space="preserve">to enable radiopharmaceutical preparations </w:t>
      </w:r>
      <w:r w:rsidR="00AE4EB0" w:rsidRPr="002C73EE">
        <w:t xml:space="preserve">to be traced </w:t>
      </w:r>
    </w:p>
    <w:p w14:paraId="2772220A" w14:textId="7FC0D24A" w:rsidR="007A0047" w:rsidRDefault="6DB7F877" w:rsidP="002C73EE">
      <w:pPr>
        <w:pStyle w:val="Letter"/>
        <w:ind w:left="851" w:hanging="425"/>
      </w:pPr>
      <w:r>
        <w:t xml:space="preserve">exposure </w:t>
      </w:r>
      <w:r w:rsidR="00AE4EB0">
        <w:t>of</w:t>
      </w:r>
      <w:r>
        <w:t xml:space="preserve"> volunteers </w:t>
      </w:r>
      <w:r w:rsidR="00AE4EB0">
        <w:t xml:space="preserve">who are </w:t>
      </w:r>
      <w:r>
        <w:t>subject to medical exposure as part of a programme of medical research</w:t>
      </w:r>
    </w:p>
    <w:p w14:paraId="6090ADB3" w14:textId="4B95E8A6" w:rsidR="007A0047" w:rsidRPr="00FE4337" w:rsidRDefault="6DB7F877" w:rsidP="002C73EE">
      <w:pPr>
        <w:pStyle w:val="Letter"/>
        <w:ind w:left="851" w:hanging="425"/>
      </w:pPr>
      <w:r>
        <w:t>investigations of unintended and accidental medical exposures</w:t>
      </w:r>
    </w:p>
    <w:p w14:paraId="2964A497" w14:textId="0E1CB926" w:rsidR="007A0047" w:rsidRPr="005176C2" w:rsidRDefault="6DB7F877" w:rsidP="002C73EE">
      <w:pPr>
        <w:pStyle w:val="Letter"/>
        <w:ind w:left="851" w:hanging="425"/>
      </w:pPr>
      <w:r>
        <w:t>radioactive waste that is generated, stored, transferred or disposed of</w:t>
      </w:r>
    </w:p>
    <w:p w14:paraId="5FFE2559" w14:textId="3F08AFA6" w:rsidR="007A0047" w:rsidRDefault="6DB7F877" w:rsidP="002C73EE">
      <w:pPr>
        <w:pStyle w:val="Letter"/>
        <w:ind w:left="851" w:hanging="425"/>
      </w:pPr>
      <w:r>
        <w:t xml:space="preserve">exemptions from this code granted under </w:t>
      </w:r>
      <w:hyperlink r:id="rId60" w:history="1">
        <w:r w:rsidRPr="00167E36">
          <w:rPr>
            <w:rStyle w:val="Hyperlink"/>
          </w:rPr>
          <w:t>section 86(3)</w:t>
        </w:r>
      </w:hyperlink>
      <w:r>
        <w:t xml:space="preserve"> of the Act.</w:t>
      </w:r>
    </w:p>
    <w:p w14:paraId="33EBBC12" w14:textId="77777777" w:rsidR="007A0047" w:rsidRPr="00FA5C8A" w:rsidRDefault="007A0047" w:rsidP="00C736D8">
      <w:pPr>
        <w:pStyle w:val="Heading2"/>
      </w:pPr>
      <w:bookmarkStart w:id="85" w:name="_Toc528588018"/>
      <w:bookmarkStart w:id="86" w:name="_Toc529189925"/>
      <w:bookmarkStart w:id="87" w:name="_Toc3279697"/>
      <w:bookmarkStart w:id="88" w:name="_Toc161051022"/>
      <w:r>
        <w:t>Quality assurance</w:t>
      </w:r>
      <w:bookmarkEnd w:id="85"/>
      <w:bookmarkEnd w:id="86"/>
      <w:bookmarkEnd w:id="87"/>
      <w:bookmarkEnd w:id="88"/>
    </w:p>
    <w:p w14:paraId="07D6C4E9" w14:textId="05AA86E7" w:rsidR="00830D75" w:rsidRPr="002C73EE" w:rsidRDefault="003636F2" w:rsidP="002C73EE">
      <w:pPr>
        <w:pStyle w:val="Number"/>
        <w:ind w:left="426" w:hanging="426"/>
      </w:pPr>
      <w:r w:rsidRPr="002C73EE">
        <w:t>The holder of a source licence must establish a comprehensive quality assurance programme for medical exposures</w:t>
      </w:r>
      <w:r w:rsidR="009E55DB" w:rsidRPr="002C73EE">
        <w:t>, including:</w:t>
      </w:r>
      <w:r w:rsidRPr="002C73EE">
        <w:t xml:space="preserve"> </w:t>
      </w:r>
    </w:p>
    <w:p w14:paraId="241AD586" w14:textId="65B9F23C" w:rsidR="003636F2" w:rsidRPr="00745CB2" w:rsidRDefault="003636F2" w:rsidP="002C73EE">
      <w:pPr>
        <w:pStyle w:val="Letter"/>
        <w:ind w:left="851" w:hanging="425"/>
        <w:rPr>
          <w:rFonts w:cs="Arial"/>
        </w:rPr>
      </w:pPr>
      <w:r w:rsidRPr="00745CB2">
        <w:rPr>
          <w:rFonts w:cs="Arial"/>
        </w:rPr>
        <w:t>measur</w:t>
      </w:r>
      <w:r w:rsidR="009E55DB" w:rsidRPr="00745CB2">
        <w:rPr>
          <w:rFonts w:cs="Arial"/>
        </w:rPr>
        <w:t xml:space="preserve">ing </w:t>
      </w:r>
      <w:r w:rsidRPr="00745CB2">
        <w:rPr>
          <w:rFonts w:cs="Arial"/>
        </w:rPr>
        <w:t>and assess</w:t>
      </w:r>
      <w:r w:rsidR="009E55DB" w:rsidRPr="00745CB2">
        <w:rPr>
          <w:rFonts w:cs="Arial"/>
        </w:rPr>
        <w:t>ing</w:t>
      </w:r>
      <w:r w:rsidRPr="00745CB2">
        <w:rPr>
          <w:rFonts w:cs="Arial"/>
        </w:rPr>
        <w:t xml:space="preserve"> the physical parameters of radi</w:t>
      </w:r>
      <w:r w:rsidR="00105525" w:rsidRPr="00745CB2">
        <w:rPr>
          <w:rFonts w:cs="Arial"/>
        </w:rPr>
        <w:t>ation</w:t>
      </w:r>
      <w:r w:rsidRPr="00745CB2">
        <w:rPr>
          <w:rFonts w:cs="Arial"/>
        </w:rPr>
        <w:t xml:space="preserve"> equipment for the purpose of quality control</w:t>
      </w:r>
      <w:r w:rsidR="00425C8E" w:rsidRPr="00745CB2">
        <w:rPr>
          <w:rFonts w:cs="Arial"/>
        </w:rPr>
        <w:t>, i</w:t>
      </w:r>
      <w:r w:rsidR="00E157E5" w:rsidRPr="00745CB2">
        <w:t xml:space="preserve">ncluding calibrating output in terms of appropriate quantities using protocols established by </w:t>
      </w:r>
      <w:r w:rsidR="006E5921">
        <w:t xml:space="preserve">professional, national and international bodies and approved by a medical physics expert, </w:t>
      </w:r>
      <w:r w:rsidR="00A21E52">
        <w:t xml:space="preserve">and </w:t>
      </w:r>
      <w:r w:rsidR="006E5921">
        <w:t>made</w:t>
      </w:r>
      <w:r w:rsidR="00E157E5" w:rsidRPr="00745CB2">
        <w:t>:</w:t>
      </w:r>
    </w:p>
    <w:p w14:paraId="347E3DE9" w14:textId="1AEC1CAA" w:rsidR="003636F2" w:rsidRPr="00745CB2" w:rsidRDefault="003636F2" w:rsidP="00B12DBF">
      <w:pPr>
        <w:pStyle w:val="Roman"/>
        <w:ind w:left="1276" w:hanging="425"/>
      </w:pPr>
      <w:r w:rsidRPr="00745CB2">
        <w:t xml:space="preserve">at the time of commissioning the equipment before </w:t>
      </w:r>
      <w:r w:rsidR="00A21E52">
        <w:t xml:space="preserve">that </w:t>
      </w:r>
      <w:r w:rsidRPr="00745CB2">
        <w:t xml:space="preserve">equipment is put </w:t>
      </w:r>
      <w:r w:rsidR="00AB5D9A">
        <w:t>to</w:t>
      </w:r>
      <w:r w:rsidR="00AB5D9A" w:rsidRPr="00745CB2">
        <w:t xml:space="preserve"> </w:t>
      </w:r>
      <w:r w:rsidRPr="00745CB2">
        <w:t xml:space="preserve">clinical use </w:t>
      </w:r>
    </w:p>
    <w:p w14:paraId="6A19F161" w14:textId="25E6AF3B" w:rsidR="003636F2" w:rsidRPr="00745CB2" w:rsidRDefault="003636F2" w:rsidP="00B12DBF">
      <w:pPr>
        <w:pStyle w:val="Roman"/>
        <w:ind w:left="1276" w:hanging="425"/>
        <w:rPr>
          <w:rFonts w:cs="Arial"/>
        </w:rPr>
      </w:pPr>
      <w:r w:rsidRPr="00745CB2">
        <w:rPr>
          <w:rFonts w:cs="Arial"/>
        </w:rPr>
        <w:lastRenderedPageBreak/>
        <w:t xml:space="preserve">periodically following commissioning </w:t>
      </w:r>
    </w:p>
    <w:p w14:paraId="004DF8FF" w14:textId="1D9A96D2" w:rsidR="003636F2" w:rsidRPr="003636F2" w:rsidRDefault="003636F2" w:rsidP="00B12DBF">
      <w:pPr>
        <w:pStyle w:val="Roman"/>
        <w:ind w:left="1276" w:hanging="425"/>
        <w:rPr>
          <w:rFonts w:cs="Arial"/>
        </w:rPr>
      </w:pPr>
      <w:r w:rsidRPr="00745CB2">
        <w:rPr>
          <w:rFonts w:cs="Arial"/>
        </w:rPr>
        <w:t>after any major maintenance procedure that could affect protection and safety</w:t>
      </w:r>
      <w:r w:rsidRPr="003636F2">
        <w:rPr>
          <w:rFonts w:cs="Arial"/>
        </w:rPr>
        <w:t xml:space="preserve"> </w:t>
      </w:r>
    </w:p>
    <w:p w14:paraId="4A56118C" w14:textId="32F932F4" w:rsidR="003636F2" w:rsidRPr="003636F2" w:rsidRDefault="003636F2" w:rsidP="00B12DBF">
      <w:pPr>
        <w:pStyle w:val="Roman"/>
        <w:ind w:left="1276" w:hanging="425"/>
        <w:rPr>
          <w:rFonts w:cs="Arial"/>
        </w:rPr>
      </w:pPr>
      <w:r w:rsidRPr="003636F2">
        <w:rPr>
          <w:rFonts w:cs="Arial"/>
        </w:rPr>
        <w:t xml:space="preserve">after installing any new software or modifying any existing software that could affect protection and safety </w:t>
      </w:r>
    </w:p>
    <w:p w14:paraId="1437E282" w14:textId="07CFC730" w:rsidR="003636F2" w:rsidRPr="003636F2" w:rsidRDefault="003636F2" w:rsidP="00B12DBF">
      <w:pPr>
        <w:pStyle w:val="Letter"/>
        <w:ind w:left="851" w:hanging="425"/>
        <w:rPr>
          <w:rFonts w:cs="Arial"/>
        </w:rPr>
      </w:pPr>
      <w:r w:rsidRPr="003636F2">
        <w:rPr>
          <w:rFonts w:cs="Arial"/>
        </w:rPr>
        <w:t xml:space="preserve">performing </w:t>
      </w:r>
      <w:r w:rsidR="004B7587">
        <w:rPr>
          <w:rFonts w:cs="Arial"/>
        </w:rPr>
        <w:t xml:space="preserve">quality control </w:t>
      </w:r>
      <w:r w:rsidRPr="003636F2">
        <w:rPr>
          <w:rFonts w:cs="Arial"/>
        </w:rPr>
        <w:t>tests on ancillary equipment and personal protective equipment</w:t>
      </w:r>
    </w:p>
    <w:p w14:paraId="3EF95F1B" w14:textId="7BA5DF5C" w:rsidR="003636F2" w:rsidRPr="003636F2" w:rsidRDefault="003636F2" w:rsidP="00B12DBF">
      <w:pPr>
        <w:pStyle w:val="Letter"/>
        <w:ind w:left="851" w:hanging="425"/>
        <w:rPr>
          <w:rFonts w:cs="Arial"/>
        </w:rPr>
      </w:pPr>
      <w:r w:rsidRPr="003636F2">
        <w:rPr>
          <w:rFonts w:cs="Arial"/>
        </w:rPr>
        <w:t>periodically checking the calibration and conditions of operation of dosimetry and monitoring equipment</w:t>
      </w:r>
    </w:p>
    <w:p w14:paraId="7FC26C64" w14:textId="4238E038" w:rsidR="003636F2" w:rsidRPr="00EE4F21" w:rsidRDefault="003636F2" w:rsidP="00B12DBF">
      <w:pPr>
        <w:pStyle w:val="Letter"/>
        <w:ind w:left="851" w:hanging="425"/>
        <w:rPr>
          <w:rFonts w:cs="Arial"/>
        </w:rPr>
      </w:pPr>
      <w:r w:rsidRPr="00EE4F21">
        <w:rPr>
          <w:rFonts w:cs="Arial"/>
        </w:rPr>
        <w:t>for the purposes of identifying and setting of baselines</w:t>
      </w:r>
    </w:p>
    <w:p w14:paraId="60C53382" w14:textId="784D1EF7" w:rsidR="003636F2" w:rsidRDefault="003636F2" w:rsidP="00B12DBF">
      <w:pPr>
        <w:pStyle w:val="Letter"/>
        <w:ind w:left="851" w:hanging="425"/>
        <w:rPr>
          <w:rFonts w:cs="Arial"/>
        </w:rPr>
      </w:pPr>
      <w:r w:rsidRPr="00EE4F21">
        <w:rPr>
          <w:rFonts w:cs="Arial"/>
        </w:rPr>
        <w:t>for the purposes of assessing safety and performance against remedial and suspension levels that have been set based on national and international norms and operational experience</w:t>
      </w:r>
    </w:p>
    <w:p w14:paraId="0855F3BF" w14:textId="55552469" w:rsidR="003636F2" w:rsidRPr="003636F2" w:rsidRDefault="003636F2" w:rsidP="00B12DBF">
      <w:pPr>
        <w:pStyle w:val="Letter"/>
        <w:ind w:left="851" w:hanging="425"/>
        <w:rPr>
          <w:rFonts w:cs="Arial"/>
        </w:rPr>
      </w:pPr>
      <w:r w:rsidRPr="00CB1E92">
        <w:rPr>
          <w:rFonts w:cs="Arial"/>
        </w:rPr>
        <w:t>ensur</w:t>
      </w:r>
      <w:r w:rsidR="00844986">
        <w:rPr>
          <w:rFonts w:cs="Arial"/>
        </w:rPr>
        <w:t>ing</w:t>
      </w:r>
      <w:r w:rsidRPr="00CB1E92">
        <w:rPr>
          <w:rFonts w:cs="Arial"/>
        </w:rPr>
        <w:t xml:space="preserve"> </w:t>
      </w:r>
      <w:r w:rsidR="00C1799C">
        <w:rPr>
          <w:rFonts w:cs="Arial"/>
        </w:rPr>
        <w:t xml:space="preserve">the </w:t>
      </w:r>
      <w:r w:rsidRPr="00CB1E92">
        <w:rPr>
          <w:rFonts w:cs="Arial"/>
        </w:rPr>
        <w:t>methods used</w:t>
      </w:r>
      <w:r w:rsidR="00C1799C">
        <w:rPr>
          <w:rFonts w:cs="Arial"/>
        </w:rPr>
        <w:t xml:space="preserve"> </w:t>
      </w:r>
      <w:r w:rsidRPr="00CB1E92">
        <w:rPr>
          <w:rFonts w:cs="Arial"/>
        </w:rPr>
        <w:t>and</w:t>
      </w:r>
      <w:r w:rsidR="00C1799C">
        <w:rPr>
          <w:rFonts w:cs="Arial"/>
        </w:rPr>
        <w:t xml:space="preserve"> the</w:t>
      </w:r>
      <w:r w:rsidRPr="00CB1E92">
        <w:rPr>
          <w:rFonts w:cs="Arial"/>
        </w:rPr>
        <w:t xml:space="preserve"> values established in clauses </w:t>
      </w:r>
      <w:r w:rsidR="00425D97" w:rsidRPr="00CB1E92">
        <w:rPr>
          <w:rFonts w:cs="Arial"/>
        </w:rPr>
        <w:t>18</w:t>
      </w:r>
      <w:r w:rsidRPr="00CB1E92">
        <w:rPr>
          <w:rFonts w:cs="Arial"/>
        </w:rPr>
        <w:t>(</w:t>
      </w:r>
      <w:r w:rsidR="0085561D" w:rsidRPr="00CB1E92">
        <w:rPr>
          <w:rFonts w:cs="Arial"/>
        </w:rPr>
        <w:t>d</w:t>
      </w:r>
      <w:r w:rsidRPr="00CB1E92">
        <w:rPr>
          <w:rFonts w:cs="Arial"/>
        </w:rPr>
        <w:t>)</w:t>
      </w:r>
      <w:r w:rsidR="00425D97" w:rsidRPr="00CB1E92">
        <w:rPr>
          <w:rFonts w:cs="Arial"/>
        </w:rPr>
        <w:t xml:space="preserve"> and (</w:t>
      </w:r>
      <w:r w:rsidR="0085561D" w:rsidRPr="00CB1E92">
        <w:rPr>
          <w:rFonts w:cs="Arial"/>
        </w:rPr>
        <w:t>e</w:t>
      </w:r>
      <w:r w:rsidR="00425D97" w:rsidRPr="00CB1E92">
        <w:rPr>
          <w:rFonts w:cs="Arial"/>
        </w:rPr>
        <w:t>)</w:t>
      </w:r>
      <w:r w:rsidRPr="00CB1E92">
        <w:rPr>
          <w:rFonts w:cs="Arial"/>
        </w:rPr>
        <w:t xml:space="preserve"> have been reviewed and approved by a medical physic</w:t>
      </w:r>
      <w:r w:rsidR="009B32C9">
        <w:rPr>
          <w:rFonts w:cs="Arial"/>
        </w:rPr>
        <w:t>s</w:t>
      </w:r>
      <w:r w:rsidRPr="00CB1E92">
        <w:rPr>
          <w:rFonts w:cs="Arial"/>
        </w:rPr>
        <w:t xml:space="preserve"> expert</w:t>
      </w:r>
    </w:p>
    <w:p w14:paraId="6474A0FB" w14:textId="342BDA26" w:rsidR="003636F2" w:rsidRDefault="003636F2" w:rsidP="00B12DBF">
      <w:pPr>
        <w:pStyle w:val="Letter"/>
        <w:ind w:left="851" w:hanging="425"/>
        <w:rPr>
          <w:rFonts w:cs="Arial"/>
        </w:rPr>
      </w:pPr>
      <w:r w:rsidRPr="003636F2">
        <w:rPr>
          <w:rFonts w:cs="Arial"/>
        </w:rPr>
        <w:t>verify</w:t>
      </w:r>
      <w:r w:rsidR="001F4835">
        <w:rPr>
          <w:rFonts w:cs="Arial"/>
        </w:rPr>
        <w:t>ing</w:t>
      </w:r>
      <w:r w:rsidRPr="003636F2">
        <w:rPr>
          <w:rFonts w:cs="Arial"/>
        </w:rPr>
        <w:t xml:space="preserve"> the appropriateness of physical and clinical factors used in </w:t>
      </w:r>
      <w:r w:rsidRPr="00717E61">
        <w:rPr>
          <w:rFonts w:cs="Arial"/>
        </w:rPr>
        <w:t>rad</w:t>
      </w:r>
      <w:r w:rsidR="00E45882" w:rsidRPr="00717E61">
        <w:rPr>
          <w:rFonts w:cs="Arial"/>
        </w:rPr>
        <w:t xml:space="preserve">iation </w:t>
      </w:r>
      <w:r w:rsidRPr="00717E61">
        <w:rPr>
          <w:rFonts w:cs="Arial"/>
        </w:rPr>
        <w:t>procedures</w:t>
      </w:r>
    </w:p>
    <w:p w14:paraId="405033BD" w14:textId="11DC4B9E" w:rsidR="007A0047" w:rsidRDefault="6DB7F877" w:rsidP="00B12DBF">
      <w:pPr>
        <w:pStyle w:val="Number"/>
        <w:ind w:left="426" w:hanging="426"/>
      </w:pPr>
      <w:r>
        <w:t xml:space="preserve">The </w:t>
      </w:r>
      <w:r w:rsidR="79E3DCD4">
        <w:t>holder of a source licence</w:t>
      </w:r>
      <w:r>
        <w:t xml:space="preserve"> must ensure </w:t>
      </w:r>
      <w:r w:rsidR="00C40613">
        <w:t xml:space="preserve">the quality assurance programme for medical exposures </w:t>
      </w:r>
      <w:r w:rsidR="00BD0D39">
        <w:t xml:space="preserve">is subject to </w:t>
      </w:r>
      <w:r>
        <w:t>regular internal or external independent audits.</w:t>
      </w:r>
    </w:p>
    <w:p w14:paraId="5FDDA064" w14:textId="233760DC" w:rsidR="007A0047" w:rsidRDefault="6DB7F877" w:rsidP="00B12DBF">
      <w:pPr>
        <w:pStyle w:val="Number"/>
        <w:ind w:left="426" w:hanging="426"/>
      </w:pPr>
      <w:r>
        <w:t xml:space="preserve">The </w:t>
      </w:r>
      <w:r w:rsidR="79E3DCD4">
        <w:t>holder of a source licence</w:t>
      </w:r>
      <w:r>
        <w:t xml:space="preserve"> must ensure:</w:t>
      </w:r>
    </w:p>
    <w:p w14:paraId="545F0826" w14:textId="4E9AA24C" w:rsidR="007A0047" w:rsidRPr="00B12DBF" w:rsidRDefault="007A0047" w:rsidP="00B12DBF">
      <w:pPr>
        <w:pStyle w:val="Letter"/>
        <w:ind w:left="851" w:hanging="425"/>
        <w:rPr>
          <w:rFonts w:cs="Arial"/>
        </w:rPr>
      </w:pPr>
      <w:r w:rsidRPr="00B12DBF">
        <w:rPr>
          <w:rFonts w:cs="Arial"/>
        </w:rPr>
        <w:t>radiation reviews are performed periodically by radiation practitioners</w:t>
      </w:r>
      <w:r w:rsidR="004746C3" w:rsidRPr="00B12DBF">
        <w:rPr>
          <w:rFonts w:cs="Arial"/>
        </w:rPr>
        <w:t>,</w:t>
      </w:r>
      <w:r w:rsidRPr="00B12DBF">
        <w:rPr>
          <w:rFonts w:cs="Arial"/>
        </w:rPr>
        <w:t xml:space="preserve"> in cooperation with </w:t>
      </w:r>
      <w:r w:rsidR="004C4393" w:rsidRPr="00B12DBF">
        <w:rPr>
          <w:rFonts w:cs="Arial"/>
        </w:rPr>
        <w:t>the use</w:t>
      </w:r>
      <w:r w:rsidR="00167E36">
        <w:rPr>
          <w:rFonts w:cs="Arial"/>
        </w:rPr>
        <w:t>r</w:t>
      </w:r>
      <w:r w:rsidR="004C4393" w:rsidRPr="00B12DBF">
        <w:rPr>
          <w:rFonts w:cs="Arial"/>
        </w:rPr>
        <w:t xml:space="preserve"> of radiation sources</w:t>
      </w:r>
      <w:r w:rsidR="001B7021" w:rsidRPr="00B12DBF">
        <w:rPr>
          <w:rFonts w:cs="Arial"/>
        </w:rPr>
        <w:t xml:space="preserve"> and </w:t>
      </w:r>
      <w:r w:rsidRPr="00B12DBF">
        <w:rPr>
          <w:rFonts w:cs="Arial"/>
        </w:rPr>
        <w:t>medical physic</w:t>
      </w:r>
      <w:r w:rsidR="004C4393" w:rsidRPr="00B12DBF">
        <w:rPr>
          <w:rFonts w:cs="Arial"/>
        </w:rPr>
        <w:t xml:space="preserve"> experts</w:t>
      </w:r>
      <w:r w:rsidRPr="00B12DBF">
        <w:rPr>
          <w:rFonts w:cs="Arial"/>
        </w:rPr>
        <w:t>, to investigate and critically review the current practical application of the radiation protection principles of justification and optimisation for radiation procedures</w:t>
      </w:r>
    </w:p>
    <w:p w14:paraId="5CC88241" w14:textId="58AA5166" w:rsidR="007A0047" w:rsidRPr="00B12DBF" w:rsidRDefault="007A0047" w:rsidP="00B12DBF">
      <w:pPr>
        <w:pStyle w:val="Letter"/>
        <w:ind w:left="851" w:hanging="425"/>
        <w:rPr>
          <w:rFonts w:cs="Arial"/>
        </w:rPr>
      </w:pPr>
      <w:r w:rsidRPr="00B12DBF">
        <w:rPr>
          <w:rFonts w:cs="Arial"/>
        </w:rPr>
        <w:t xml:space="preserve">local assessments are made at regular intervals for radiation procedures </w:t>
      </w:r>
      <w:r w:rsidR="004746C3" w:rsidRPr="00B12DBF">
        <w:rPr>
          <w:rFonts w:cs="Arial"/>
        </w:rPr>
        <w:t>where</w:t>
      </w:r>
      <w:r w:rsidRPr="00B12DBF">
        <w:rPr>
          <w:rFonts w:cs="Arial"/>
        </w:rPr>
        <w:t xml:space="preserve"> diagnostic reference levels have been established</w:t>
      </w:r>
    </w:p>
    <w:p w14:paraId="1339D966" w14:textId="0FBEFA6D" w:rsidR="007A0047" w:rsidRPr="00B12DBF" w:rsidRDefault="007A0047" w:rsidP="00B12DBF">
      <w:pPr>
        <w:pStyle w:val="Letter"/>
        <w:ind w:left="851" w:hanging="425"/>
        <w:rPr>
          <w:rFonts w:cs="Arial"/>
        </w:rPr>
      </w:pPr>
      <w:r w:rsidRPr="00B12DBF">
        <w:rPr>
          <w:rFonts w:cs="Arial"/>
        </w:rPr>
        <w:t xml:space="preserve">a review is conducted to determine whether the optimisation of protection and safety </w:t>
      </w:r>
      <w:r w:rsidR="00AB1578" w:rsidRPr="00B12DBF">
        <w:rPr>
          <w:rFonts w:cs="Arial"/>
        </w:rPr>
        <w:t xml:space="preserve">of </w:t>
      </w:r>
      <w:r w:rsidRPr="00B12DBF">
        <w:rPr>
          <w:rFonts w:cs="Arial"/>
        </w:rPr>
        <w:t>patients is adequate or corrective action is required if, for a given radiation procedure, typical doses or activities:</w:t>
      </w:r>
    </w:p>
    <w:p w14:paraId="2D55D31B" w14:textId="41B0D4B4" w:rsidR="007A0047" w:rsidRPr="00B12DBF" w:rsidRDefault="007A0047" w:rsidP="00B12DBF">
      <w:pPr>
        <w:pStyle w:val="Roman"/>
        <w:ind w:left="1276" w:hanging="425"/>
      </w:pPr>
      <w:r w:rsidRPr="00B12DBF">
        <w:t>exceed the relevant diagnostic reference level</w:t>
      </w:r>
    </w:p>
    <w:p w14:paraId="2FCBA1E9" w14:textId="6F0C4486" w:rsidR="004B657B" w:rsidRPr="00B12DBF" w:rsidRDefault="007A0047" w:rsidP="00B12DBF">
      <w:pPr>
        <w:pStyle w:val="Roman"/>
        <w:ind w:left="1276" w:hanging="425"/>
      </w:pPr>
      <w:r w:rsidRPr="00B12DBF">
        <w:t>fall substantially below the diagnostic reference level, and the exposures do not provide useful diagnostic information or do not yield the expected medical benefit to the patient</w:t>
      </w:r>
    </w:p>
    <w:p w14:paraId="2A1330A9" w14:textId="63801632" w:rsidR="00BC22ED" w:rsidRPr="00B12DBF" w:rsidRDefault="00BC22ED" w:rsidP="00B12DBF">
      <w:pPr>
        <w:pStyle w:val="Roman"/>
        <w:ind w:left="1276" w:hanging="425"/>
      </w:pPr>
      <w:r w:rsidRPr="00B12DBF">
        <w:t>do not provide useful diagnostic information or do not yield the expected medical benefit to the patient.</w:t>
      </w:r>
    </w:p>
    <w:p w14:paraId="0C88CB9C" w14:textId="59720AB8" w:rsidR="00F347AE" w:rsidRPr="004506FC" w:rsidRDefault="00037F95" w:rsidP="004506FC">
      <w:pPr>
        <w:pStyle w:val="Heading2"/>
      </w:pPr>
      <w:bookmarkStart w:id="89" w:name="_Toc3279702"/>
      <w:bookmarkStart w:id="90" w:name="_Toc5697911"/>
      <w:bookmarkStart w:id="91" w:name="_Hlk152932258"/>
      <w:bookmarkStart w:id="92" w:name="_Toc161051023"/>
      <w:bookmarkStart w:id="93" w:name="_Hlk160544692"/>
      <w:bookmarkStart w:id="94" w:name="_Hlk152929729"/>
      <w:r w:rsidRPr="009B2235">
        <w:lastRenderedPageBreak/>
        <w:t>Discharge of a patient who has undergone therapy</w:t>
      </w:r>
      <w:bookmarkEnd w:id="89"/>
      <w:bookmarkEnd w:id="90"/>
      <w:bookmarkEnd w:id="91"/>
      <w:bookmarkEnd w:id="92"/>
    </w:p>
    <w:p w14:paraId="24C79F38" w14:textId="40D70529" w:rsidR="00037F95" w:rsidRPr="004506FC" w:rsidRDefault="00037F95" w:rsidP="00B12DBF">
      <w:pPr>
        <w:pStyle w:val="Number"/>
        <w:ind w:left="426" w:hanging="426"/>
      </w:pPr>
      <w:r w:rsidRPr="004506FC">
        <w:t>The holder of a source licence must ensure a patient who has undergone a therapeutic radiation procedure is not discharged to be an outpatient without:</w:t>
      </w:r>
    </w:p>
    <w:bookmarkEnd w:id="93"/>
    <w:p w14:paraId="1933E038" w14:textId="77777777" w:rsidR="00037F95" w:rsidRPr="004506FC" w:rsidRDefault="00037F95" w:rsidP="00DA21A0">
      <w:pPr>
        <w:pStyle w:val="Letter"/>
        <w:ind w:left="851" w:hanging="425"/>
      </w:pPr>
      <w:r w:rsidRPr="004506FC">
        <w:t>the approval of the radiation practitioner</w:t>
      </w:r>
    </w:p>
    <w:p w14:paraId="762D89A6" w14:textId="6196E90E" w:rsidR="00037F95" w:rsidRPr="004506FC" w:rsidRDefault="00037F95" w:rsidP="00DA21A0">
      <w:pPr>
        <w:pStyle w:val="Letter"/>
        <w:ind w:left="851" w:hanging="425"/>
      </w:pPr>
      <w:r w:rsidRPr="004506FC">
        <w:t>advice from a medical physics expert</w:t>
      </w:r>
      <w:r w:rsidR="006A107A">
        <w:t>,</w:t>
      </w:r>
      <w:r w:rsidRPr="004506FC">
        <w:t xml:space="preserve"> when needed</w:t>
      </w:r>
    </w:p>
    <w:p w14:paraId="6AD9B3A8" w14:textId="3C684A38" w:rsidR="00563A73" w:rsidRPr="004506FC" w:rsidRDefault="00037F95" w:rsidP="00DA21A0">
      <w:pPr>
        <w:pStyle w:val="Letter"/>
        <w:ind w:left="851" w:hanging="425"/>
      </w:pPr>
      <w:r w:rsidRPr="004506FC">
        <w:t xml:space="preserve">the discharged patient or the legal guardian of the patient having been correctly informed in writing and understanding </w:t>
      </w:r>
      <w:r w:rsidR="006A107A">
        <w:t xml:space="preserve">the </w:t>
      </w:r>
      <w:r w:rsidRPr="004506FC">
        <w:t>precautions needed to</w:t>
      </w:r>
      <w:r w:rsidR="00563A73" w:rsidRPr="004506FC">
        <w:t>:</w:t>
      </w:r>
    </w:p>
    <w:p w14:paraId="3F6602D1" w14:textId="3DCE014D" w:rsidR="0037143B" w:rsidRPr="004506FC" w:rsidRDefault="00A13F20" w:rsidP="00DA21A0">
      <w:pPr>
        <w:pStyle w:val="Roman"/>
        <w:ind w:left="1276" w:hanging="425"/>
      </w:pPr>
      <w:r w:rsidRPr="004506FC">
        <w:t xml:space="preserve">restrict the exposure of </w:t>
      </w:r>
      <w:r w:rsidR="006A107A">
        <w:t>people</w:t>
      </w:r>
      <w:r w:rsidR="006A107A" w:rsidRPr="004506FC">
        <w:t xml:space="preserve"> </w:t>
      </w:r>
      <w:r w:rsidR="0019279E" w:rsidRPr="004506FC">
        <w:t xml:space="preserve">the patient may </w:t>
      </w:r>
      <w:r w:rsidR="00563A73" w:rsidRPr="004506FC">
        <w:t>come into contact wi</w:t>
      </w:r>
      <w:r w:rsidR="0037143B" w:rsidRPr="004506FC">
        <w:t>th</w:t>
      </w:r>
    </w:p>
    <w:p w14:paraId="4C06A62E" w14:textId="7F5DE910" w:rsidR="00037F95" w:rsidRPr="004506FC" w:rsidRDefault="0037143B" w:rsidP="00DA21A0">
      <w:pPr>
        <w:pStyle w:val="Roman"/>
        <w:ind w:left="1276" w:hanging="425"/>
      </w:pPr>
      <w:r w:rsidRPr="004506FC">
        <w:t xml:space="preserve">protect </w:t>
      </w:r>
      <w:r w:rsidR="00037F95" w:rsidRPr="004506FC">
        <w:t xml:space="preserve">nursing infants and a </w:t>
      </w:r>
      <w:r w:rsidR="00FA2252" w:rsidRPr="004506FC">
        <w:t xml:space="preserve">fetus </w:t>
      </w:r>
      <w:r w:rsidR="00037F95" w:rsidRPr="004506FC">
        <w:t>from radiation exposures</w:t>
      </w:r>
    </w:p>
    <w:p w14:paraId="228EB3F9" w14:textId="401F99C6" w:rsidR="00FA2252" w:rsidRPr="004506FC" w:rsidRDefault="005A6711" w:rsidP="00DA21A0">
      <w:pPr>
        <w:pStyle w:val="Roman"/>
        <w:ind w:left="1276" w:hanging="425"/>
      </w:pPr>
      <w:r w:rsidRPr="004506FC">
        <w:t xml:space="preserve">avoid the spread of </w:t>
      </w:r>
      <w:r w:rsidR="00141D42" w:rsidRPr="004506FC">
        <w:t xml:space="preserve">radiation </w:t>
      </w:r>
      <w:r w:rsidRPr="004506FC">
        <w:t>contami</w:t>
      </w:r>
      <w:r w:rsidR="00141D42" w:rsidRPr="004506FC">
        <w:t>na</w:t>
      </w:r>
      <w:r w:rsidRPr="004506FC">
        <w:t xml:space="preserve">tion and </w:t>
      </w:r>
      <w:r w:rsidR="00364B5B">
        <w:t xml:space="preserve">precautions needed for </w:t>
      </w:r>
      <w:r w:rsidRPr="004506FC">
        <w:t>the disposal of contaminated items</w:t>
      </w:r>
    </w:p>
    <w:p w14:paraId="36221CBC" w14:textId="78962FA7" w:rsidR="00037F95" w:rsidRPr="004506FC" w:rsidRDefault="00037F95" w:rsidP="00DA21A0">
      <w:pPr>
        <w:pStyle w:val="Letter"/>
        <w:ind w:left="851" w:hanging="425"/>
      </w:pPr>
      <w:r w:rsidRPr="004506FC">
        <w:t xml:space="preserve">ensuring that an individual intending to act as a carer and comforter has been correctly informed in writing about radiation protection and the radiation risks involved and the information provided is in a form that can reasonably be understood by the individual and the </w:t>
      </w:r>
      <w:r w:rsidR="00EF0BF1">
        <w:t>person</w:t>
      </w:r>
      <w:r w:rsidR="00EF0BF1" w:rsidRPr="004506FC">
        <w:t xml:space="preserve"> </w:t>
      </w:r>
      <w:r w:rsidRPr="004506FC">
        <w:t>agrees to act as a carer and comforter</w:t>
      </w:r>
    </w:p>
    <w:p w14:paraId="55B532F6" w14:textId="0C608668" w:rsidR="00037F95" w:rsidRPr="004506FC" w:rsidRDefault="00037F95" w:rsidP="00DA21A0">
      <w:pPr>
        <w:pStyle w:val="Letter"/>
        <w:ind w:left="851" w:hanging="425"/>
      </w:pPr>
      <w:r w:rsidRPr="004506FC">
        <w:t xml:space="preserve">as far as practicable, ensuring the dose constraint applied to </w:t>
      </w:r>
      <w:r w:rsidR="006901CC" w:rsidRPr="004506FC">
        <w:t xml:space="preserve">a </w:t>
      </w:r>
      <w:r w:rsidRPr="004506FC">
        <w:t xml:space="preserve">carer and comforter </w:t>
      </w:r>
      <w:r w:rsidR="00EF0BF1">
        <w:t>is</w:t>
      </w:r>
      <w:r w:rsidRPr="004506FC">
        <w:t xml:space="preserve"> </w:t>
      </w:r>
      <w:r w:rsidR="006901CC" w:rsidRPr="004506FC">
        <w:t xml:space="preserve">the </w:t>
      </w:r>
      <w:r w:rsidRPr="004506FC">
        <w:t xml:space="preserve">minimum </w:t>
      </w:r>
      <w:r w:rsidR="003A6233" w:rsidRPr="004506FC">
        <w:t xml:space="preserve">achievable </w:t>
      </w:r>
      <w:r w:rsidRPr="004506FC">
        <w:t xml:space="preserve">and </w:t>
      </w:r>
      <w:r w:rsidR="00EF0BF1">
        <w:t>is</w:t>
      </w:r>
      <w:r w:rsidRPr="004506FC">
        <w:t xml:space="preserve"> within an effective dose of </w:t>
      </w:r>
      <w:r w:rsidR="00EF0BF1" w:rsidRPr="004506FC">
        <w:t>5</w:t>
      </w:r>
      <w:r w:rsidR="00EF0BF1">
        <w:t> </w:t>
      </w:r>
      <w:r w:rsidRPr="004506FC">
        <w:t xml:space="preserve">mSv </w:t>
      </w:r>
      <w:r w:rsidR="00805172" w:rsidRPr="004506FC">
        <w:t xml:space="preserve">per treatment episode </w:t>
      </w:r>
      <w:r w:rsidR="00E63284" w:rsidRPr="004506FC">
        <w:t>for an adult</w:t>
      </w:r>
      <w:r w:rsidR="00D96726" w:rsidRPr="004506FC">
        <w:t xml:space="preserve"> who is not a casual visitor</w:t>
      </w:r>
      <w:r w:rsidR="00EF0BF1" w:rsidRPr="004506FC">
        <w:t xml:space="preserve"> </w:t>
      </w:r>
      <w:r w:rsidR="00E63284" w:rsidRPr="004506FC">
        <w:t xml:space="preserve">and less than the public </w:t>
      </w:r>
      <w:r w:rsidR="001E08B7" w:rsidRPr="004506FC">
        <w:t xml:space="preserve">dose </w:t>
      </w:r>
      <w:r w:rsidR="00E63284" w:rsidRPr="004506FC">
        <w:t>lim</w:t>
      </w:r>
      <w:r w:rsidR="001E08B7" w:rsidRPr="004506FC">
        <w:t>it</w:t>
      </w:r>
      <w:r w:rsidR="00D96726" w:rsidRPr="004506FC">
        <w:t xml:space="preserve"> for others</w:t>
      </w:r>
    </w:p>
    <w:p w14:paraId="2370D8F7" w14:textId="119174D8" w:rsidR="00037F95" w:rsidRPr="004506FC" w:rsidRDefault="00037F95" w:rsidP="00DA21A0">
      <w:pPr>
        <w:pStyle w:val="Letter"/>
        <w:ind w:left="851" w:hanging="425"/>
      </w:pPr>
      <w:r w:rsidRPr="004506FC">
        <w:t xml:space="preserve">as far as practicable, ensuring the activity of iodine-131 retained by a patient </w:t>
      </w:r>
      <w:r w:rsidR="00EF0BF1">
        <w:t>when</w:t>
      </w:r>
      <w:r w:rsidRPr="004506FC">
        <w:t xml:space="preserve"> the patient is discharged is below 1.2 giga-becquerel (GBq).</w:t>
      </w:r>
    </w:p>
    <w:bookmarkEnd w:id="94"/>
    <w:p w14:paraId="5226285C" w14:textId="77777777" w:rsidR="007A0047" w:rsidRDefault="007A0047" w:rsidP="00C736D8"/>
    <w:p w14:paraId="1CE72784" w14:textId="77777777" w:rsidR="007A0047" w:rsidRPr="00F706F0" w:rsidRDefault="007A0047" w:rsidP="00C736D8">
      <w:pPr>
        <w:pStyle w:val="Heading1"/>
      </w:pPr>
      <w:bookmarkStart w:id="95" w:name="_Toc3279698"/>
      <w:bookmarkStart w:id="96" w:name="_Toc161051024"/>
      <w:bookmarkStart w:id="97" w:name="_Toc459381937"/>
      <w:r>
        <w:lastRenderedPageBreak/>
        <w:t>Radiation practitioner</w:t>
      </w:r>
      <w:bookmarkEnd w:id="95"/>
      <w:bookmarkEnd w:id="96"/>
    </w:p>
    <w:p w14:paraId="6AE3C17A" w14:textId="77777777" w:rsidR="007A0047" w:rsidRPr="00F706F0" w:rsidRDefault="007A0047" w:rsidP="00C736D8">
      <w:pPr>
        <w:pStyle w:val="Heading2"/>
      </w:pPr>
      <w:bookmarkStart w:id="98" w:name="_Toc460302904"/>
      <w:bookmarkStart w:id="99" w:name="_Toc467054248"/>
      <w:bookmarkStart w:id="100" w:name="_Toc3279699"/>
      <w:bookmarkStart w:id="101" w:name="_Toc161051025"/>
      <w:r w:rsidRPr="00F706F0">
        <w:t>General</w:t>
      </w:r>
      <w:bookmarkEnd w:id="97"/>
      <w:bookmarkEnd w:id="98"/>
      <w:bookmarkEnd w:id="99"/>
      <w:bookmarkEnd w:id="100"/>
      <w:bookmarkEnd w:id="101"/>
    </w:p>
    <w:p w14:paraId="3E824CF2" w14:textId="69625AA6" w:rsidR="007A0047" w:rsidRPr="00B12DBF" w:rsidRDefault="007A0047" w:rsidP="00B12DBF">
      <w:pPr>
        <w:pStyle w:val="Number"/>
        <w:ind w:left="426" w:hanging="426"/>
      </w:pPr>
      <w:r w:rsidRPr="004506FC">
        <w:t>The radiation practitioner:</w:t>
      </w:r>
    </w:p>
    <w:p w14:paraId="026E1CBB" w14:textId="4693FDB6" w:rsidR="00E57B7B" w:rsidRPr="00DA21A0" w:rsidRDefault="005F0790" w:rsidP="00DA21A0">
      <w:pPr>
        <w:pStyle w:val="Letter"/>
        <w:ind w:left="851" w:hanging="425"/>
      </w:pPr>
      <w:r w:rsidRPr="00DA21A0">
        <w:t>is responsible for planning and deliver</w:t>
      </w:r>
      <w:r w:rsidR="00E835A2" w:rsidRPr="00DA21A0">
        <w:t>ing</w:t>
      </w:r>
      <w:r w:rsidRPr="00DA21A0">
        <w:t xml:space="preserve"> a medical exposure</w:t>
      </w:r>
    </w:p>
    <w:p w14:paraId="7F20D48E" w14:textId="04292BCD" w:rsidR="00C63A76" w:rsidRPr="00DA21A0" w:rsidRDefault="00E57B7B" w:rsidP="00DA21A0">
      <w:pPr>
        <w:pStyle w:val="Letter"/>
        <w:ind w:left="851" w:hanging="425"/>
      </w:pPr>
      <w:r w:rsidRPr="00DA21A0">
        <w:t>t</w:t>
      </w:r>
      <w:r w:rsidR="00BD0AE8" w:rsidRPr="00DA21A0">
        <w:t xml:space="preserve">o satisfy the responsibility </w:t>
      </w:r>
      <w:r w:rsidR="00EB2342" w:rsidRPr="00DA21A0">
        <w:t xml:space="preserve">described </w:t>
      </w:r>
      <w:r w:rsidR="00BD0AE8" w:rsidRPr="00DA21A0">
        <w:t>in clause 2</w:t>
      </w:r>
      <w:r w:rsidR="005F316F" w:rsidRPr="00DA21A0">
        <w:t>2</w:t>
      </w:r>
      <w:r w:rsidR="00BD0AE8" w:rsidRPr="00DA21A0">
        <w:t xml:space="preserve">(a), must cooperate with a referring practitioner </w:t>
      </w:r>
      <w:proofErr w:type="gramStart"/>
      <w:r w:rsidR="00BD0AE8" w:rsidRPr="00DA21A0">
        <w:t>and</w:t>
      </w:r>
      <w:r w:rsidR="00EB2342" w:rsidRPr="00DA21A0">
        <w:t>,</w:t>
      </w:r>
      <w:proofErr w:type="gramEnd"/>
      <w:r w:rsidR="00BD0AE8" w:rsidRPr="00DA21A0">
        <w:t xml:space="preserve"> as needed</w:t>
      </w:r>
      <w:r w:rsidR="00EB2342" w:rsidRPr="00DA21A0">
        <w:t>,</w:t>
      </w:r>
      <w:r w:rsidR="00BD0AE8" w:rsidRPr="00DA21A0">
        <w:t xml:space="preserve"> cooperate with and direct a user of</w:t>
      </w:r>
      <w:r w:rsidR="00D20453" w:rsidRPr="00DA21A0">
        <w:t xml:space="preserve"> unsealed radioactive material</w:t>
      </w:r>
      <w:r w:rsidR="00BD0AE8" w:rsidRPr="00DA21A0">
        <w:t>, medical physics expert or others</w:t>
      </w:r>
    </w:p>
    <w:p w14:paraId="289A7A45" w14:textId="67FAC36C" w:rsidR="007A0047" w:rsidRPr="00DA21A0" w:rsidRDefault="6DB7F877" w:rsidP="00DA21A0">
      <w:pPr>
        <w:pStyle w:val="Letter"/>
        <w:ind w:left="851" w:hanging="425"/>
      </w:pPr>
      <w:r w:rsidRPr="00DA21A0">
        <w:t>must inform in advance all individuals who may be subject to medical exposure (or their legal authorised representatives) of the expected benefits, risks and limitations of the procedure, as appropriate.</w:t>
      </w:r>
    </w:p>
    <w:p w14:paraId="4951781E" w14:textId="77777777" w:rsidR="007A0047" w:rsidRPr="00F706F0" w:rsidRDefault="007A0047" w:rsidP="00C736D8">
      <w:pPr>
        <w:pStyle w:val="Heading2"/>
        <w:rPr>
          <w:rFonts w:cs="Arial"/>
        </w:rPr>
      </w:pPr>
      <w:bookmarkStart w:id="102" w:name="_Toc460302906"/>
      <w:bookmarkStart w:id="103" w:name="_Toc467054249"/>
      <w:bookmarkStart w:id="104" w:name="_Toc3279700"/>
      <w:bookmarkStart w:id="105" w:name="_Toc161051026"/>
      <w:r w:rsidRPr="00F706F0">
        <w:t>Justification</w:t>
      </w:r>
      <w:bookmarkEnd w:id="102"/>
      <w:bookmarkEnd w:id="103"/>
      <w:bookmarkEnd w:id="104"/>
      <w:bookmarkEnd w:id="105"/>
    </w:p>
    <w:p w14:paraId="5579E293" w14:textId="5D83AA9A" w:rsidR="007A0047" w:rsidRDefault="007A0047" w:rsidP="00B12DBF">
      <w:pPr>
        <w:pStyle w:val="Number"/>
        <w:ind w:left="426" w:hanging="426"/>
      </w:pPr>
      <w:r>
        <w:t>The radiation practitioner must:</w:t>
      </w:r>
    </w:p>
    <w:p w14:paraId="3FF60CC6" w14:textId="35EB91D5" w:rsidR="007A0047" w:rsidRPr="00DA21A0" w:rsidRDefault="009B7C2B" w:rsidP="00DA21A0">
      <w:pPr>
        <w:pStyle w:val="Letter"/>
        <w:ind w:left="851" w:hanging="425"/>
      </w:pPr>
      <w:r w:rsidRPr="00DA21A0">
        <w:t>o</w:t>
      </w:r>
      <w:r w:rsidR="6DB7F877" w:rsidRPr="00DA21A0">
        <w:t xml:space="preserve">btain information on the clinical context for any procedure unless </w:t>
      </w:r>
      <w:r w:rsidR="008A6F0A" w:rsidRPr="00DA21A0">
        <w:t xml:space="preserve">that procedure </w:t>
      </w:r>
      <w:r w:rsidR="6DB7F877" w:rsidRPr="00DA21A0">
        <w:t>is part of a health screening programme</w:t>
      </w:r>
    </w:p>
    <w:p w14:paraId="5D54ECEE" w14:textId="3E2E1C3C" w:rsidR="007A0047" w:rsidRPr="00DA21A0" w:rsidRDefault="6DB7F877" w:rsidP="00DA21A0">
      <w:pPr>
        <w:pStyle w:val="Letter"/>
        <w:ind w:left="851" w:hanging="425"/>
      </w:pPr>
      <w:r w:rsidRPr="00DA21A0">
        <w:t>for any procedure that is not part of a health screening programme, justify the medical exposure in consultation</w:t>
      </w:r>
      <w:r w:rsidR="008A6F0A" w:rsidRPr="00DA21A0">
        <w:t>,</w:t>
      </w:r>
      <w:r w:rsidRPr="00DA21A0">
        <w:t xml:space="preserve"> as appropriate</w:t>
      </w:r>
      <w:r w:rsidR="008A6F0A" w:rsidRPr="00DA21A0">
        <w:t>,</w:t>
      </w:r>
      <w:r w:rsidRPr="00DA21A0">
        <w:t xml:space="preserve"> with the referring practitioner</w:t>
      </w:r>
      <w:r w:rsidR="008A6F0A" w:rsidRPr="00DA21A0">
        <w:t>,</w:t>
      </w:r>
      <w:r w:rsidRPr="00DA21A0">
        <w:t xml:space="preserve"> taking into account in particular paediatric, breastfeeding or possibly pregnant individuals:</w:t>
      </w:r>
    </w:p>
    <w:p w14:paraId="1E1260F9" w14:textId="7AE2CCDF" w:rsidR="007A0047" w:rsidRPr="00DA21A0" w:rsidRDefault="007A0047" w:rsidP="00DA21A0">
      <w:pPr>
        <w:pStyle w:val="Roman"/>
        <w:ind w:left="1276" w:hanging="425"/>
      </w:pPr>
      <w:r w:rsidRPr="00DA21A0">
        <w:t>the appropriateness of the request</w:t>
      </w:r>
    </w:p>
    <w:p w14:paraId="421EE342" w14:textId="05D2E877" w:rsidR="007A0047" w:rsidRPr="00DA21A0" w:rsidRDefault="007A0047" w:rsidP="00DA21A0">
      <w:pPr>
        <w:pStyle w:val="Roman"/>
        <w:ind w:left="1276" w:hanging="425"/>
      </w:pPr>
      <w:r w:rsidRPr="00DA21A0">
        <w:t>the urgency of the procedure</w:t>
      </w:r>
    </w:p>
    <w:p w14:paraId="36013AA9" w14:textId="15156811" w:rsidR="007A0047" w:rsidRPr="00DA21A0" w:rsidRDefault="007A0047" w:rsidP="00DA21A0">
      <w:pPr>
        <w:pStyle w:val="Roman"/>
        <w:ind w:left="1276" w:hanging="425"/>
      </w:pPr>
      <w:r w:rsidRPr="00DA21A0">
        <w:t>the characteristics of the medical exposure</w:t>
      </w:r>
    </w:p>
    <w:p w14:paraId="68343D82" w14:textId="6A57D1C9" w:rsidR="007A0047" w:rsidRPr="00DA21A0" w:rsidRDefault="007A0047" w:rsidP="00DA21A0">
      <w:pPr>
        <w:pStyle w:val="Roman"/>
        <w:ind w:left="1276" w:hanging="425"/>
      </w:pPr>
      <w:r w:rsidRPr="00DA21A0">
        <w:t>the characteristics of the patient</w:t>
      </w:r>
    </w:p>
    <w:p w14:paraId="37289572" w14:textId="6B3509C7" w:rsidR="007A0047" w:rsidRPr="00DA21A0" w:rsidRDefault="007A0047" w:rsidP="00DA21A0">
      <w:pPr>
        <w:pStyle w:val="Roman"/>
        <w:ind w:left="1276" w:hanging="425"/>
      </w:pPr>
      <w:r w:rsidRPr="00DA21A0">
        <w:t>relevant information from the patient</w:t>
      </w:r>
      <w:r w:rsidR="008746C1" w:rsidRPr="00DA21A0">
        <w:t>’</w:t>
      </w:r>
      <w:r w:rsidRPr="00DA21A0">
        <w:t>s previous radiation procedures</w:t>
      </w:r>
    </w:p>
    <w:p w14:paraId="2AF9FB80" w14:textId="110CB5CF" w:rsidR="007A0047" w:rsidRPr="00DA21A0" w:rsidRDefault="007A0047" w:rsidP="00DA21A0">
      <w:pPr>
        <w:pStyle w:val="Roman"/>
        <w:ind w:left="1276" w:hanging="425"/>
      </w:pPr>
      <w:r w:rsidRPr="00DA21A0">
        <w:t>relevant national or international referral guidelines</w:t>
      </w:r>
    </w:p>
    <w:p w14:paraId="4579B932" w14:textId="70E770D8" w:rsidR="007A0047" w:rsidRPr="00DA21A0" w:rsidRDefault="6DB7F877" w:rsidP="00DA21A0">
      <w:pPr>
        <w:pStyle w:val="Letter"/>
        <w:ind w:left="851" w:hanging="425"/>
      </w:pPr>
      <w:r w:rsidRPr="00DA21A0">
        <w:t>for any procedure to detect disease in an asymptomatic person that is not part of a health screening programme, justify the procedure specifically for the individual in accordance with any guidelines of relevant professional bodies or the health authority.</w:t>
      </w:r>
    </w:p>
    <w:p w14:paraId="69C28CB3" w14:textId="2011C1D3" w:rsidR="007A0047" w:rsidRPr="00F706F0" w:rsidRDefault="007A0047" w:rsidP="00C736D8">
      <w:pPr>
        <w:pStyle w:val="Heading2"/>
      </w:pPr>
      <w:bookmarkStart w:id="106" w:name="_Toc161051027"/>
      <w:bookmarkStart w:id="107" w:name="_Toc467054250"/>
      <w:bookmarkStart w:id="108" w:name="_Toc3279701"/>
      <w:r w:rsidRPr="00F706F0">
        <w:t>Optimisation</w:t>
      </w:r>
      <w:bookmarkEnd w:id="106"/>
      <w:r w:rsidRPr="00F706F0">
        <w:t xml:space="preserve"> </w:t>
      </w:r>
      <w:bookmarkEnd w:id="107"/>
      <w:bookmarkEnd w:id="108"/>
    </w:p>
    <w:p w14:paraId="679CB18D" w14:textId="7DA75E1D" w:rsidR="007A0047" w:rsidRDefault="6DB7F877" w:rsidP="00B12DBF">
      <w:pPr>
        <w:pStyle w:val="Number"/>
        <w:ind w:left="426" w:hanging="426"/>
      </w:pPr>
      <w:r>
        <w:t xml:space="preserve">The radiation practitioner must, in consultation as appropriate with </w:t>
      </w:r>
      <w:r w:rsidR="500753D2">
        <w:t xml:space="preserve">a </w:t>
      </w:r>
      <w:r>
        <w:t>medical physic</w:t>
      </w:r>
      <w:r w:rsidR="500753D2">
        <w:t>s expert</w:t>
      </w:r>
      <w:r>
        <w:t xml:space="preserve"> and </w:t>
      </w:r>
      <w:r w:rsidR="67AC2CA2">
        <w:t>the user of</w:t>
      </w:r>
      <w:r w:rsidR="00364B5B">
        <w:t xml:space="preserve"> unsealed radioactive material</w:t>
      </w:r>
      <w:r>
        <w:t>, ensure that protection and safety is optimised for each medical exposure:</w:t>
      </w:r>
    </w:p>
    <w:p w14:paraId="0154581A" w14:textId="58E1AAED" w:rsidR="007A0047" w:rsidRDefault="007A0047" w:rsidP="00B12DBF">
      <w:pPr>
        <w:pStyle w:val="Letter"/>
        <w:ind w:left="851" w:hanging="425"/>
      </w:pPr>
      <w:r>
        <w:lastRenderedPageBreak/>
        <w:t xml:space="preserve">by using appropriate </w:t>
      </w:r>
      <w:r w:rsidR="00587547">
        <w:t>radio</w:t>
      </w:r>
      <w:r>
        <w:t>pharmaceuticals</w:t>
      </w:r>
    </w:p>
    <w:p w14:paraId="1BC483D0" w14:textId="0865599A" w:rsidR="007A0047" w:rsidRDefault="007A0047" w:rsidP="00B12DBF">
      <w:pPr>
        <w:pStyle w:val="Letter"/>
        <w:ind w:left="851" w:hanging="425"/>
      </w:pPr>
      <w:r>
        <w:t>for diagnostic radiation procedures</w:t>
      </w:r>
      <w:r w:rsidR="0031354F">
        <w:t>,</w:t>
      </w:r>
      <w:r>
        <w:t xml:space="preserve"> by</w:t>
      </w:r>
      <w:r w:rsidRPr="000D62F1">
        <w:t xml:space="preserve"> </w:t>
      </w:r>
      <w:r>
        <w:t>adopting techniques and parameters to deliver a medical exposure that is the minimum necessary to fulfil the clinical purpose of the radiation procedure, taking into account relevant norms of acceptable image quality and relevant diagnostic reference levels</w:t>
      </w:r>
    </w:p>
    <w:p w14:paraId="5D01760A" w14:textId="688E6305" w:rsidR="007A0047" w:rsidRDefault="007A0047" w:rsidP="00B12DBF">
      <w:pPr>
        <w:pStyle w:val="Letter"/>
        <w:ind w:left="851" w:hanging="425"/>
      </w:pPr>
      <w:r>
        <w:t>for therapeutic radiation procedures</w:t>
      </w:r>
      <w:r w:rsidR="00250889">
        <w:t>,</w:t>
      </w:r>
      <w:r>
        <w:t xml:space="preserve"> by selecting and </w:t>
      </w:r>
      <w:r w:rsidR="00B56163">
        <w:t xml:space="preserve">accurately </w:t>
      </w:r>
      <w:r>
        <w:t xml:space="preserve">administering the appropriate activity </w:t>
      </w:r>
      <w:r w:rsidRPr="00F706F0">
        <w:t>for each patient so that the radioactivity is primarily locali</w:t>
      </w:r>
      <w:r>
        <w:t>s</w:t>
      </w:r>
      <w:r w:rsidRPr="00F706F0">
        <w:t>ed in the organ(s) of interest while the radioactivity in the rest of the body is kept as low as reasonably achievable</w:t>
      </w:r>
    </w:p>
    <w:p w14:paraId="1C1A3ACF" w14:textId="13D8528D" w:rsidR="007A0047" w:rsidRDefault="007A0047" w:rsidP="00B12DBF">
      <w:pPr>
        <w:pStyle w:val="Letter"/>
        <w:ind w:left="851" w:hanging="425"/>
      </w:pPr>
      <w:r>
        <w:t>by using constraints in any procedure in which an individual:</w:t>
      </w:r>
    </w:p>
    <w:p w14:paraId="354ED8D6" w14:textId="55FC73C4" w:rsidR="007A0047" w:rsidRPr="00C736D8" w:rsidRDefault="007A0047" w:rsidP="00B12DBF">
      <w:pPr>
        <w:pStyle w:val="Roman"/>
        <w:ind w:left="1276" w:hanging="425"/>
      </w:pPr>
      <w:r>
        <w:t xml:space="preserve">acts </w:t>
      </w:r>
      <w:r w:rsidRPr="00C736D8">
        <w:t xml:space="preserve">as a </w:t>
      </w:r>
      <w:r w:rsidR="00C61E3A">
        <w:t>carer and comforter</w:t>
      </w:r>
    </w:p>
    <w:p w14:paraId="2CE16814" w14:textId="0348DB23" w:rsidR="007A0047" w:rsidRDefault="007A0047" w:rsidP="00B12DBF">
      <w:pPr>
        <w:pStyle w:val="Roman"/>
        <w:ind w:left="1276" w:hanging="425"/>
      </w:pPr>
      <w:r w:rsidRPr="00C736D8">
        <w:t>is subject</w:t>
      </w:r>
      <w:r>
        <w:t xml:space="preserve"> to exposure as part of a programme of research</w:t>
      </w:r>
    </w:p>
    <w:p w14:paraId="5E62950A" w14:textId="47876216" w:rsidR="007A0047" w:rsidRDefault="007A0047" w:rsidP="00B12DBF">
      <w:pPr>
        <w:pStyle w:val="Letter"/>
        <w:ind w:left="851" w:hanging="425"/>
      </w:pPr>
      <w:r>
        <w:t>by minimising the need for repeat procedures</w:t>
      </w:r>
    </w:p>
    <w:p w14:paraId="06FC8F4E" w14:textId="386B0256" w:rsidR="007A0047" w:rsidRDefault="007A0047" w:rsidP="00B12DBF">
      <w:pPr>
        <w:pStyle w:val="Letter"/>
        <w:ind w:left="851" w:hanging="425"/>
      </w:pPr>
      <w:r>
        <w:t>by maximising the image quality per administered activity.</w:t>
      </w:r>
    </w:p>
    <w:p w14:paraId="221261AE" w14:textId="732C117F" w:rsidR="007A0047" w:rsidRDefault="6DB7F877" w:rsidP="00B12DBF">
      <w:pPr>
        <w:pStyle w:val="Number"/>
        <w:ind w:left="426" w:hanging="426"/>
      </w:pPr>
      <w:r>
        <w:t>The radiation practitioner must ensure that particular aspects of medical exposures are considered in the optimisation process for:</w:t>
      </w:r>
    </w:p>
    <w:p w14:paraId="363A087C" w14:textId="3F55ED46" w:rsidR="008746C1" w:rsidRPr="00B12DBF" w:rsidRDefault="007A0047" w:rsidP="00B12DBF">
      <w:pPr>
        <w:pStyle w:val="Letter"/>
        <w:ind w:left="851" w:hanging="425"/>
      </w:pPr>
      <w:r w:rsidRPr="00B12DBF">
        <w:t>paediatric patients</w:t>
      </w:r>
    </w:p>
    <w:p w14:paraId="6B644055" w14:textId="08DF8BA1" w:rsidR="007A0047" w:rsidRPr="00B12DBF" w:rsidRDefault="007A0047" w:rsidP="00B12DBF">
      <w:pPr>
        <w:pStyle w:val="Letter"/>
        <w:ind w:left="851" w:hanging="425"/>
      </w:pPr>
      <w:r w:rsidRPr="00B12DBF">
        <w:t>individuals subject to medical exposure as part of a health screening programme</w:t>
      </w:r>
    </w:p>
    <w:p w14:paraId="0004DB11" w14:textId="20893CA9" w:rsidR="007A0047" w:rsidRPr="00B12DBF" w:rsidRDefault="007A0047" w:rsidP="00B12DBF">
      <w:pPr>
        <w:pStyle w:val="Letter"/>
        <w:ind w:left="851" w:hanging="425"/>
      </w:pPr>
      <w:r w:rsidRPr="00B12DBF">
        <w:t>volunteers subject to medical exposure as part of a programme of medical research</w:t>
      </w:r>
    </w:p>
    <w:p w14:paraId="5554DB17" w14:textId="1FF3CC91" w:rsidR="007A0047" w:rsidRPr="00B12DBF" w:rsidRDefault="007A0047" w:rsidP="00B12DBF">
      <w:pPr>
        <w:pStyle w:val="Letter"/>
        <w:ind w:left="851" w:hanging="425"/>
      </w:pPr>
      <w:r w:rsidRPr="00B12DBF">
        <w:t>therapeutic radiation procedures</w:t>
      </w:r>
    </w:p>
    <w:p w14:paraId="3365D8E0" w14:textId="11C4F31C" w:rsidR="007A0047" w:rsidRPr="00B12DBF" w:rsidRDefault="007A0047" w:rsidP="00B12DBF">
      <w:pPr>
        <w:pStyle w:val="Letter"/>
        <w:ind w:left="851" w:hanging="425"/>
      </w:pPr>
      <w:r w:rsidRPr="00B12DBF">
        <w:t xml:space="preserve">exposure of </w:t>
      </w:r>
      <w:r w:rsidR="001A68B5" w:rsidRPr="00B12DBF">
        <w:t xml:space="preserve">an </w:t>
      </w:r>
      <w:r w:rsidRPr="00B12DBF">
        <w:t>embryo or fetus, in particular, for radiopharmaceuticals that would cross the placenta</w:t>
      </w:r>
      <w:r w:rsidR="00364B5B">
        <w:t xml:space="preserve">, </w:t>
      </w:r>
      <w:r w:rsidRPr="00B12DBF">
        <w:t xml:space="preserve">accumulate in a bladder or could otherwise </w:t>
      </w:r>
      <w:r w:rsidR="00364B5B">
        <w:t xml:space="preserve">result in a </w:t>
      </w:r>
      <w:r w:rsidRPr="00B12DBF">
        <w:t>significant dose</w:t>
      </w:r>
      <w:r w:rsidR="00364B5B">
        <w:t xml:space="preserve"> </w:t>
      </w:r>
    </w:p>
    <w:p w14:paraId="653DD0B4" w14:textId="43BFFA91" w:rsidR="007A0047" w:rsidRPr="00B12DBF" w:rsidRDefault="007A0047" w:rsidP="00B12DBF">
      <w:pPr>
        <w:pStyle w:val="Letter"/>
        <w:ind w:left="851" w:hanging="425"/>
      </w:pPr>
      <w:r w:rsidRPr="00B12DBF">
        <w:t xml:space="preserve">exposure of a </w:t>
      </w:r>
      <w:r w:rsidR="00364B5B" w:rsidRPr="00B12DBF">
        <w:t>breastfe</w:t>
      </w:r>
      <w:r w:rsidR="00364B5B">
        <w:t>eding</w:t>
      </w:r>
      <w:r w:rsidRPr="00B12DBF">
        <w:t xml:space="preserve"> infant as a result of a patient having undergone a radiation procedure with radiopharmaceuticals.</w:t>
      </w:r>
    </w:p>
    <w:p w14:paraId="0F7C8699" w14:textId="77777777" w:rsidR="00C736D8" w:rsidRDefault="00C736D8" w:rsidP="00C736D8"/>
    <w:p w14:paraId="768BFD3E" w14:textId="4DF29351" w:rsidR="007A0047" w:rsidRPr="00F706F0" w:rsidRDefault="007A0047" w:rsidP="00C736D8">
      <w:pPr>
        <w:pStyle w:val="Heading1"/>
      </w:pPr>
      <w:bookmarkStart w:id="109" w:name="_Toc459381938"/>
      <w:bookmarkStart w:id="110" w:name="_Toc460302910"/>
      <w:bookmarkStart w:id="111" w:name="_Toc467054251"/>
      <w:bookmarkStart w:id="112" w:name="_Toc3279703"/>
      <w:bookmarkStart w:id="113" w:name="_Toc161051028"/>
      <w:r w:rsidRPr="00F706F0">
        <w:lastRenderedPageBreak/>
        <w:t>Other parties</w:t>
      </w:r>
      <w:bookmarkEnd w:id="109"/>
      <w:bookmarkEnd w:id="110"/>
      <w:bookmarkEnd w:id="111"/>
      <w:bookmarkEnd w:id="112"/>
      <w:bookmarkEnd w:id="113"/>
    </w:p>
    <w:p w14:paraId="284BBBAD" w14:textId="45C29765" w:rsidR="007A0047" w:rsidRPr="00F706F0" w:rsidRDefault="007A0047" w:rsidP="00C736D8">
      <w:pPr>
        <w:pStyle w:val="Heading2"/>
      </w:pPr>
      <w:bookmarkStart w:id="114" w:name="_Toc460302911"/>
      <w:bookmarkStart w:id="115" w:name="_Toc467054253"/>
      <w:bookmarkStart w:id="116" w:name="_Toc3279705"/>
      <w:bookmarkStart w:id="117" w:name="_Toc161051029"/>
      <w:r w:rsidRPr="00F706F0">
        <w:t>Manufacturer/supplier</w:t>
      </w:r>
      <w:bookmarkEnd w:id="114"/>
      <w:bookmarkEnd w:id="115"/>
      <w:bookmarkEnd w:id="116"/>
      <w:bookmarkEnd w:id="117"/>
    </w:p>
    <w:p w14:paraId="7C6BA9D8" w14:textId="1ACCE079" w:rsidR="007A0047" w:rsidRPr="00F706F0" w:rsidRDefault="6DB7F877" w:rsidP="00B12DBF">
      <w:pPr>
        <w:pStyle w:val="Number"/>
        <w:ind w:left="426" w:hanging="426"/>
      </w:pPr>
      <w:r>
        <w:t>The manufacturer/supplier must</w:t>
      </w:r>
      <w:r w:rsidR="00B71429">
        <w:t xml:space="preserve"> provide</w:t>
      </w:r>
      <w:r>
        <w:t>:</w:t>
      </w:r>
    </w:p>
    <w:p w14:paraId="495FC70B" w14:textId="7627C008" w:rsidR="007A0047" w:rsidRDefault="007A0047" w:rsidP="00B12DBF">
      <w:pPr>
        <w:pStyle w:val="Letter"/>
        <w:ind w:left="851" w:hanging="425"/>
      </w:pPr>
      <w:r w:rsidRPr="00F706F0">
        <w:t xml:space="preserve">well-designed </w:t>
      </w:r>
      <w:r w:rsidR="00BB72CE">
        <w:t xml:space="preserve">radiation </w:t>
      </w:r>
      <w:r w:rsidR="009E7391">
        <w:t xml:space="preserve">and </w:t>
      </w:r>
      <w:r w:rsidR="002D768B">
        <w:t xml:space="preserve">protective equipment </w:t>
      </w:r>
      <w:r w:rsidRPr="00B07F6E">
        <w:t>that</w:t>
      </w:r>
      <w:r w:rsidR="000E4BA6">
        <w:t xml:space="preserve"> </w:t>
      </w:r>
      <w:r w:rsidRPr="00F706F0">
        <w:t>provides for protection and safety in accordance with the requirements of this code</w:t>
      </w:r>
      <w:r w:rsidR="008B124C">
        <w:t xml:space="preserve"> and </w:t>
      </w:r>
      <w:r w:rsidR="00560260">
        <w:t xml:space="preserve">appropriate </w:t>
      </w:r>
      <w:r w:rsidR="008B124C">
        <w:t>national and international standards</w:t>
      </w:r>
    </w:p>
    <w:p w14:paraId="7C20E285" w14:textId="741EA81D" w:rsidR="002A3DEE" w:rsidRDefault="002A3DEE" w:rsidP="00B12DBF">
      <w:pPr>
        <w:pStyle w:val="Letter"/>
        <w:ind w:left="851" w:hanging="425"/>
      </w:pPr>
      <w:r>
        <w:t>radiopharmaceuticals that are manufactured in accordance with good manufacturing practice and fit for their intended purpose</w:t>
      </w:r>
      <w:r w:rsidR="004712C8">
        <w:t>.</w:t>
      </w:r>
    </w:p>
    <w:p w14:paraId="612FC800" w14:textId="64A7FDAE" w:rsidR="007A0047" w:rsidRPr="00F706F0" w:rsidRDefault="00054389" w:rsidP="00B12DBF">
      <w:pPr>
        <w:pStyle w:val="Number"/>
        <w:ind w:left="426" w:hanging="426"/>
      </w:pPr>
      <w:r>
        <w:t>T</w:t>
      </w:r>
      <w:r w:rsidR="6DB7F877">
        <w:t xml:space="preserve">he manufacturer/supplier must make suitable arrangements with </w:t>
      </w:r>
      <w:r w:rsidR="00C46010">
        <w:t xml:space="preserve">the holder of a source licence </w:t>
      </w:r>
      <w:r w:rsidR="6DB7F877">
        <w:t>to share information on use and operating experience that may be important for protection and safety.</w:t>
      </w:r>
    </w:p>
    <w:p w14:paraId="0118873D" w14:textId="77777777" w:rsidR="007A0047" w:rsidRPr="00F706F0" w:rsidRDefault="007A0047" w:rsidP="00C736D8"/>
    <w:p w14:paraId="2508DD78" w14:textId="3DB39FE7" w:rsidR="007A0047" w:rsidRPr="00F706F0" w:rsidRDefault="007A0047" w:rsidP="00C736D8">
      <w:pPr>
        <w:pStyle w:val="Heading1"/>
      </w:pPr>
      <w:bookmarkStart w:id="118" w:name="_Toc459381945"/>
      <w:bookmarkStart w:id="119" w:name="_Toc460302918"/>
      <w:bookmarkStart w:id="120" w:name="_Toc467054258"/>
      <w:bookmarkStart w:id="121" w:name="_Toc3279706"/>
      <w:bookmarkStart w:id="122" w:name="_Toc161051030"/>
      <w:r w:rsidRPr="00F706F0">
        <w:lastRenderedPageBreak/>
        <w:t xml:space="preserve">Appendix </w:t>
      </w:r>
      <w:r>
        <w:t>1</w:t>
      </w:r>
      <w:r w:rsidRPr="00F706F0">
        <w:t>:</w:t>
      </w:r>
      <w:r w:rsidR="00C736D8">
        <w:br/>
      </w:r>
      <w:r w:rsidRPr="00F706F0">
        <w:t>Cross-reference to Radiation Safety Act</w:t>
      </w:r>
      <w:bookmarkEnd w:id="118"/>
      <w:r w:rsidRPr="00F706F0">
        <w:t xml:space="preserve"> 2016</w:t>
      </w:r>
      <w:bookmarkEnd w:id="119"/>
      <w:bookmarkEnd w:id="120"/>
      <w:bookmarkEnd w:id="121"/>
      <w:bookmarkEnd w:id="122"/>
    </w:p>
    <w:p w14:paraId="602501CF" w14:textId="22F86663" w:rsidR="007A0047" w:rsidRPr="00F706F0" w:rsidRDefault="007A0047" w:rsidP="00C736D8">
      <w:bookmarkStart w:id="123" w:name="_Hlk160609987"/>
      <w:r w:rsidRPr="00F706F0">
        <w:t>As required by section 87(1) of the Radiation Safety Act 2016</w:t>
      </w:r>
      <w:r w:rsidR="007B25E7">
        <w:t>,</w:t>
      </w:r>
      <w:r w:rsidRPr="00F706F0">
        <w:t xml:space="preserve"> clauses in this code apply to the fundamental requirements in sections 9–12 of the Act as follows</w:t>
      </w:r>
      <w:r w:rsidR="007B25E7">
        <w:t>.</w:t>
      </w:r>
    </w:p>
    <w:p w14:paraId="06C356E7" w14:textId="77777777" w:rsidR="007A0047" w:rsidRPr="00F706F0" w:rsidRDefault="007A0047" w:rsidP="00C736D8"/>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85"/>
        <w:gridCol w:w="2211"/>
      </w:tblGrid>
      <w:tr w:rsidR="007A0047" w:rsidRPr="00F706F0" w14:paraId="1A5E538B" w14:textId="77777777" w:rsidTr="00C46010">
        <w:trPr>
          <w:cantSplit/>
        </w:trPr>
        <w:tc>
          <w:tcPr>
            <w:tcW w:w="1985" w:type="dxa"/>
            <w:tcBorders>
              <w:top w:val="nil"/>
              <w:bottom w:val="nil"/>
            </w:tcBorders>
            <w:shd w:val="clear" w:color="auto" w:fill="D9D9D9" w:themeFill="background1" w:themeFillShade="D9"/>
          </w:tcPr>
          <w:p w14:paraId="0EE99EE8" w14:textId="77777777" w:rsidR="007A0047" w:rsidRPr="00F706F0" w:rsidRDefault="007A0047" w:rsidP="008746C1">
            <w:pPr>
              <w:pStyle w:val="TableText"/>
              <w:rPr>
                <w:b/>
              </w:rPr>
            </w:pPr>
            <w:r w:rsidRPr="00F706F0">
              <w:rPr>
                <w:b/>
              </w:rPr>
              <w:t>Section in Act</w:t>
            </w:r>
          </w:p>
        </w:tc>
        <w:tc>
          <w:tcPr>
            <w:tcW w:w="2211" w:type="dxa"/>
            <w:tcBorders>
              <w:top w:val="nil"/>
              <w:bottom w:val="nil"/>
            </w:tcBorders>
            <w:shd w:val="clear" w:color="auto" w:fill="D9D9D9" w:themeFill="background1" w:themeFillShade="D9"/>
          </w:tcPr>
          <w:p w14:paraId="051E717F" w14:textId="77777777" w:rsidR="00C46010" w:rsidRDefault="007A0047" w:rsidP="00C46010">
            <w:pPr>
              <w:pStyle w:val="TableText"/>
              <w:spacing w:after="0"/>
              <w:rPr>
                <w:b/>
              </w:rPr>
            </w:pPr>
            <w:r w:rsidRPr="00C46010">
              <w:rPr>
                <w:b/>
              </w:rPr>
              <w:t>Clauses in code</w:t>
            </w:r>
            <w:r w:rsidR="00C46010">
              <w:rPr>
                <w:b/>
              </w:rPr>
              <w:t xml:space="preserve"> </w:t>
            </w:r>
          </w:p>
          <w:p w14:paraId="3381EC98" w14:textId="77975ED8" w:rsidR="007A0047" w:rsidRPr="00F706F0" w:rsidRDefault="00C46010" w:rsidP="00C46010">
            <w:pPr>
              <w:pStyle w:val="TableText"/>
              <w:spacing w:before="0"/>
              <w:rPr>
                <w:b/>
              </w:rPr>
            </w:pPr>
            <w:r>
              <w:rPr>
                <w:b/>
              </w:rPr>
              <w:t>(left blank intentionally)</w:t>
            </w:r>
          </w:p>
        </w:tc>
      </w:tr>
      <w:tr w:rsidR="007A0047" w:rsidRPr="00F706F0" w14:paraId="5739FB24" w14:textId="77777777" w:rsidTr="00C46010">
        <w:trPr>
          <w:cantSplit/>
        </w:trPr>
        <w:tc>
          <w:tcPr>
            <w:tcW w:w="1985" w:type="dxa"/>
            <w:tcBorders>
              <w:top w:val="nil"/>
            </w:tcBorders>
          </w:tcPr>
          <w:p w14:paraId="2FB7CA8C" w14:textId="77777777" w:rsidR="007A0047" w:rsidRPr="00F706F0" w:rsidRDefault="007A0047" w:rsidP="008746C1">
            <w:pPr>
              <w:pStyle w:val="TableText"/>
            </w:pPr>
            <w:r w:rsidRPr="00F706F0">
              <w:t>9(1)</w:t>
            </w:r>
          </w:p>
        </w:tc>
        <w:tc>
          <w:tcPr>
            <w:tcW w:w="2211" w:type="dxa"/>
            <w:tcBorders>
              <w:top w:val="nil"/>
            </w:tcBorders>
          </w:tcPr>
          <w:p w14:paraId="38E2288A" w14:textId="30CA5085" w:rsidR="00400184" w:rsidRPr="00F706F0" w:rsidRDefault="00400184" w:rsidP="008746C1">
            <w:pPr>
              <w:pStyle w:val="TableText"/>
            </w:pPr>
          </w:p>
        </w:tc>
      </w:tr>
      <w:tr w:rsidR="007A0047" w:rsidRPr="00F706F0" w14:paraId="2825FB19" w14:textId="77777777" w:rsidTr="00C46010">
        <w:trPr>
          <w:cantSplit/>
        </w:trPr>
        <w:tc>
          <w:tcPr>
            <w:tcW w:w="1985" w:type="dxa"/>
          </w:tcPr>
          <w:p w14:paraId="66647914" w14:textId="77777777" w:rsidR="007A0047" w:rsidRPr="00F706F0" w:rsidRDefault="007A0047" w:rsidP="008746C1">
            <w:pPr>
              <w:pStyle w:val="TableText"/>
            </w:pPr>
            <w:r w:rsidRPr="00F706F0">
              <w:t>9(2)</w:t>
            </w:r>
          </w:p>
        </w:tc>
        <w:tc>
          <w:tcPr>
            <w:tcW w:w="2211" w:type="dxa"/>
          </w:tcPr>
          <w:p w14:paraId="3785EEC6" w14:textId="06FDAE9E" w:rsidR="007A0047" w:rsidRPr="00F706F0" w:rsidRDefault="007A0047" w:rsidP="008746C1">
            <w:pPr>
              <w:pStyle w:val="TableText"/>
            </w:pPr>
          </w:p>
        </w:tc>
      </w:tr>
      <w:tr w:rsidR="007A0047" w:rsidRPr="00F706F0" w14:paraId="6D4D3C9F" w14:textId="77777777" w:rsidTr="00C46010">
        <w:trPr>
          <w:cantSplit/>
        </w:trPr>
        <w:tc>
          <w:tcPr>
            <w:tcW w:w="1985" w:type="dxa"/>
          </w:tcPr>
          <w:p w14:paraId="541EA767" w14:textId="77777777" w:rsidR="007A0047" w:rsidRPr="00F706F0" w:rsidRDefault="007A0047" w:rsidP="008746C1">
            <w:pPr>
              <w:pStyle w:val="TableText"/>
            </w:pPr>
            <w:r w:rsidRPr="00F706F0">
              <w:t>9(3)</w:t>
            </w:r>
          </w:p>
        </w:tc>
        <w:tc>
          <w:tcPr>
            <w:tcW w:w="2211" w:type="dxa"/>
          </w:tcPr>
          <w:p w14:paraId="3708F289" w14:textId="01CE11DB" w:rsidR="007A0047" w:rsidRPr="00F706F0" w:rsidRDefault="007A0047" w:rsidP="008746C1">
            <w:pPr>
              <w:pStyle w:val="TableText"/>
            </w:pPr>
          </w:p>
        </w:tc>
      </w:tr>
      <w:tr w:rsidR="007A0047" w:rsidRPr="00F706F0" w14:paraId="69BCACD5" w14:textId="77777777" w:rsidTr="00C46010">
        <w:trPr>
          <w:cantSplit/>
        </w:trPr>
        <w:tc>
          <w:tcPr>
            <w:tcW w:w="1985" w:type="dxa"/>
          </w:tcPr>
          <w:p w14:paraId="471B8B35" w14:textId="4FC1D638" w:rsidR="007A0047" w:rsidRPr="00F706F0" w:rsidRDefault="007A0047" w:rsidP="008746C1">
            <w:pPr>
              <w:pStyle w:val="TableText"/>
            </w:pPr>
            <w:r w:rsidRPr="00F706F0">
              <w:t>10</w:t>
            </w:r>
          </w:p>
        </w:tc>
        <w:tc>
          <w:tcPr>
            <w:tcW w:w="2211" w:type="dxa"/>
          </w:tcPr>
          <w:p w14:paraId="06B85C61" w14:textId="598FA239" w:rsidR="007A0047" w:rsidRPr="00F706F0" w:rsidRDefault="007A0047" w:rsidP="008746C1">
            <w:pPr>
              <w:pStyle w:val="TableText"/>
            </w:pPr>
          </w:p>
        </w:tc>
      </w:tr>
      <w:tr w:rsidR="007A0047" w:rsidRPr="00F706F0" w14:paraId="0FBF4C2F" w14:textId="77777777" w:rsidTr="00C46010">
        <w:trPr>
          <w:cantSplit/>
        </w:trPr>
        <w:tc>
          <w:tcPr>
            <w:tcW w:w="1985" w:type="dxa"/>
          </w:tcPr>
          <w:p w14:paraId="0958A431" w14:textId="77777777" w:rsidR="007A0047" w:rsidRPr="00F706F0" w:rsidRDefault="007A0047" w:rsidP="008746C1">
            <w:pPr>
              <w:pStyle w:val="TableText"/>
            </w:pPr>
            <w:r w:rsidRPr="00F706F0">
              <w:t>11</w:t>
            </w:r>
          </w:p>
        </w:tc>
        <w:tc>
          <w:tcPr>
            <w:tcW w:w="2211" w:type="dxa"/>
          </w:tcPr>
          <w:p w14:paraId="289FA665" w14:textId="5BC5CB03" w:rsidR="007A0047" w:rsidRPr="00F706F0" w:rsidRDefault="007A0047" w:rsidP="008746C1">
            <w:pPr>
              <w:pStyle w:val="TableText"/>
            </w:pPr>
          </w:p>
        </w:tc>
      </w:tr>
      <w:tr w:rsidR="007A0047" w:rsidRPr="00F706F0" w14:paraId="2DCAD4B8" w14:textId="77777777" w:rsidTr="00C46010">
        <w:trPr>
          <w:cantSplit/>
        </w:trPr>
        <w:tc>
          <w:tcPr>
            <w:tcW w:w="1985" w:type="dxa"/>
          </w:tcPr>
          <w:p w14:paraId="38DA523C" w14:textId="77777777" w:rsidR="007A0047" w:rsidRPr="00F706F0" w:rsidRDefault="007A0047" w:rsidP="008746C1">
            <w:pPr>
              <w:pStyle w:val="TableText"/>
            </w:pPr>
            <w:r w:rsidRPr="00F706F0">
              <w:t>12</w:t>
            </w:r>
          </w:p>
        </w:tc>
        <w:tc>
          <w:tcPr>
            <w:tcW w:w="2211" w:type="dxa"/>
          </w:tcPr>
          <w:p w14:paraId="2A919340" w14:textId="74C8A07D" w:rsidR="007A0047" w:rsidRPr="00F706F0" w:rsidRDefault="007A0047" w:rsidP="008746C1">
            <w:pPr>
              <w:pStyle w:val="TableText"/>
            </w:pPr>
          </w:p>
        </w:tc>
      </w:tr>
    </w:tbl>
    <w:p w14:paraId="594F61D9" w14:textId="10DA4D86" w:rsidR="000C35BC" w:rsidRDefault="000C35BC" w:rsidP="00C736D8"/>
    <w:p w14:paraId="76C632A8" w14:textId="77777777" w:rsidR="008C2B1E" w:rsidRPr="00475EAB" w:rsidRDefault="008C2B1E" w:rsidP="007E3DE2">
      <w:pPr>
        <w:pStyle w:val="Heading1"/>
      </w:pPr>
      <w:bookmarkStart w:id="124" w:name="_Toc134269931"/>
      <w:bookmarkStart w:id="125" w:name="_Toc144957781"/>
      <w:bookmarkStart w:id="126" w:name="_Toc161051031"/>
      <w:bookmarkStart w:id="127" w:name="_Toc528588029"/>
      <w:bookmarkStart w:id="128" w:name="_Toc529189943"/>
      <w:bookmarkStart w:id="129" w:name="_Toc3279707"/>
      <w:bookmarkEnd w:id="123"/>
      <w:r w:rsidRPr="00F81258">
        <w:lastRenderedPageBreak/>
        <w:t>Appendix 2:</w:t>
      </w:r>
      <w:r w:rsidRPr="00475EAB">
        <w:br/>
      </w:r>
      <w:bookmarkEnd w:id="124"/>
      <w:r>
        <w:t xml:space="preserve">Training </w:t>
      </w:r>
      <w:r w:rsidRPr="0091005D">
        <w:t>requirements</w:t>
      </w:r>
      <w:r>
        <w:t xml:space="preserve"> for radiation safety officers</w:t>
      </w:r>
      <w:bookmarkEnd w:id="125"/>
      <w:bookmarkEnd w:id="126"/>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931"/>
        <w:gridCol w:w="1148"/>
      </w:tblGrid>
      <w:tr w:rsidR="000728F3" w:rsidRPr="0020690B" w14:paraId="23DE44FF" w14:textId="77777777" w:rsidTr="00D60C29">
        <w:trPr>
          <w:cantSplit/>
          <w:tblHeader/>
        </w:trPr>
        <w:tc>
          <w:tcPr>
            <w:tcW w:w="4290" w:type="pct"/>
            <w:tcBorders>
              <w:top w:val="nil"/>
              <w:bottom w:val="nil"/>
            </w:tcBorders>
            <w:shd w:val="clear" w:color="auto" w:fill="D9D9D9" w:themeFill="background1" w:themeFillShade="D9"/>
          </w:tcPr>
          <w:p w14:paraId="2C925523" w14:textId="77777777" w:rsidR="008C2B1E" w:rsidRPr="0020690B" w:rsidRDefault="008C2B1E">
            <w:pPr>
              <w:pStyle w:val="TableText"/>
              <w:rPr>
                <w:b/>
                <w:bCs/>
              </w:rPr>
            </w:pPr>
            <w:r w:rsidRPr="0020690B">
              <w:rPr>
                <w:b/>
                <w:bCs/>
              </w:rPr>
              <w:t>Topic area</w:t>
            </w:r>
          </w:p>
        </w:tc>
        <w:tc>
          <w:tcPr>
            <w:tcW w:w="710" w:type="pct"/>
            <w:tcBorders>
              <w:top w:val="nil"/>
              <w:bottom w:val="nil"/>
            </w:tcBorders>
            <w:shd w:val="clear" w:color="auto" w:fill="D9D9D9" w:themeFill="background1" w:themeFillShade="D9"/>
          </w:tcPr>
          <w:p w14:paraId="04D8EE2B" w14:textId="20FA2D32" w:rsidR="008C2B1E" w:rsidRPr="0020690B" w:rsidRDefault="008C2B1E">
            <w:pPr>
              <w:pStyle w:val="TableText"/>
              <w:rPr>
                <w:b/>
                <w:bCs/>
              </w:rPr>
            </w:pPr>
            <w:r w:rsidRPr="0020690B">
              <w:rPr>
                <w:b/>
                <w:bCs/>
              </w:rPr>
              <w:t>Level of knowledge</w:t>
            </w:r>
            <w:r w:rsidR="00192FEE">
              <w:rPr>
                <w:b/>
                <w:bCs/>
              </w:rPr>
              <w:t xml:space="preserve"> required</w:t>
            </w:r>
          </w:p>
        </w:tc>
      </w:tr>
      <w:tr w:rsidR="008C2B1E" w:rsidRPr="00475EAB" w14:paraId="3B204D8A" w14:textId="77777777" w:rsidTr="0017274B">
        <w:trPr>
          <w:cantSplit/>
        </w:trPr>
        <w:tc>
          <w:tcPr>
            <w:tcW w:w="4290" w:type="pct"/>
            <w:tcBorders>
              <w:top w:val="nil"/>
            </w:tcBorders>
          </w:tcPr>
          <w:p w14:paraId="519173FC" w14:textId="00F611DB" w:rsidR="008C2B1E" w:rsidRPr="00475EAB" w:rsidRDefault="0017274B">
            <w:pPr>
              <w:pStyle w:val="TableText"/>
              <w:rPr>
                <w:b/>
                <w:bCs/>
              </w:rPr>
            </w:pPr>
            <w:r>
              <w:rPr>
                <w:b/>
                <w:bCs/>
              </w:rPr>
              <w:t>Radioactive</w:t>
            </w:r>
            <w:r w:rsidR="00287258">
              <w:rPr>
                <w:b/>
                <w:bCs/>
              </w:rPr>
              <w:t xml:space="preserve"> materials</w:t>
            </w:r>
            <w:r w:rsidR="004D43D1">
              <w:rPr>
                <w:b/>
                <w:bCs/>
              </w:rPr>
              <w:t xml:space="preserve"> </w:t>
            </w:r>
          </w:p>
        </w:tc>
        <w:tc>
          <w:tcPr>
            <w:tcW w:w="710" w:type="pct"/>
            <w:tcBorders>
              <w:top w:val="nil"/>
            </w:tcBorders>
          </w:tcPr>
          <w:p w14:paraId="541B6C8D" w14:textId="77777777" w:rsidR="008C2B1E" w:rsidRPr="00475EAB" w:rsidRDefault="008C2B1E">
            <w:pPr>
              <w:pStyle w:val="TableText"/>
              <w:jc w:val="center"/>
            </w:pPr>
          </w:p>
        </w:tc>
      </w:tr>
      <w:tr w:rsidR="008C2B1E" w:rsidRPr="00475EAB" w14:paraId="2870CBBF" w14:textId="77777777" w:rsidTr="0017274B">
        <w:trPr>
          <w:cantSplit/>
        </w:trPr>
        <w:tc>
          <w:tcPr>
            <w:tcW w:w="4290" w:type="pct"/>
          </w:tcPr>
          <w:p w14:paraId="614B8BAF" w14:textId="74C14E4B" w:rsidR="008C2B1E" w:rsidRPr="00475EAB" w:rsidRDefault="00621CDE">
            <w:pPr>
              <w:pStyle w:val="TableText"/>
            </w:pPr>
            <w:r>
              <w:rPr>
                <w:caps/>
              </w:rPr>
              <w:t>A</w:t>
            </w:r>
            <w:r w:rsidR="00F83F44">
              <w:t>tomic</w:t>
            </w:r>
            <w:r>
              <w:rPr>
                <w:caps/>
              </w:rPr>
              <w:t xml:space="preserve"> </w:t>
            </w:r>
            <w:r w:rsidR="00F83F44">
              <w:t>and n</w:t>
            </w:r>
            <w:r w:rsidR="002D2104">
              <w:t>uclear structure</w:t>
            </w:r>
            <w:r w:rsidR="00623AFA">
              <w:t>,</w:t>
            </w:r>
            <w:r w:rsidR="00F83F44">
              <w:t xml:space="preserve"> </w:t>
            </w:r>
            <w:r w:rsidR="002D2104">
              <w:t>radioactivity</w:t>
            </w:r>
            <w:r w:rsidR="00623AFA">
              <w:t xml:space="preserve"> and radioactive decay</w:t>
            </w:r>
          </w:p>
        </w:tc>
        <w:tc>
          <w:tcPr>
            <w:tcW w:w="710" w:type="pct"/>
          </w:tcPr>
          <w:p w14:paraId="2A3AAFA3" w14:textId="77777777" w:rsidR="008C2B1E" w:rsidRPr="00475EAB" w:rsidRDefault="008C2B1E">
            <w:pPr>
              <w:pStyle w:val="TableText"/>
              <w:jc w:val="center"/>
            </w:pPr>
            <w:r w:rsidRPr="00475EAB">
              <w:t>1</w:t>
            </w:r>
          </w:p>
        </w:tc>
      </w:tr>
      <w:tr w:rsidR="00F50D14" w:rsidRPr="00475EAB" w14:paraId="32017692" w14:textId="77777777" w:rsidTr="0017274B">
        <w:trPr>
          <w:cantSplit/>
        </w:trPr>
        <w:tc>
          <w:tcPr>
            <w:tcW w:w="4290" w:type="pct"/>
          </w:tcPr>
          <w:p w14:paraId="12142257" w14:textId="44978FC8" w:rsidR="00F50D14" w:rsidRPr="00F50D14" w:rsidRDefault="00F50D14">
            <w:pPr>
              <w:pStyle w:val="TableText"/>
              <w:rPr>
                <w:iCs/>
              </w:rPr>
            </w:pPr>
            <w:r>
              <w:rPr>
                <w:iCs/>
              </w:rPr>
              <w:t>Interaction of ionising radiation with matter</w:t>
            </w:r>
          </w:p>
        </w:tc>
        <w:tc>
          <w:tcPr>
            <w:tcW w:w="710" w:type="pct"/>
          </w:tcPr>
          <w:p w14:paraId="2976149C" w14:textId="4EBF3245" w:rsidR="00F50D14" w:rsidRPr="00475EAB" w:rsidRDefault="00F50D14">
            <w:pPr>
              <w:pStyle w:val="TableText"/>
              <w:jc w:val="center"/>
            </w:pPr>
            <w:r>
              <w:t>1</w:t>
            </w:r>
          </w:p>
        </w:tc>
      </w:tr>
      <w:tr w:rsidR="008C2B1E" w:rsidRPr="00475EAB" w14:paraId="36569725" w14:textId="77777777" w:rsidTr="0017274B">
        <w:trPr>
          <w:cantSplit/>
        </w:trPr>
        <w:tc>
          <w:tcPr>
            <w:tcW w:w="4290" w:type="pct"/>
          </w:tcPr>
          <w:p w14:paraId="0A451576" w14:textId="1E1BA121" w:rsidR="008C2B1E" w:rsidRPr="00475EAB" w:rsidRDefault="002D2104">
            <w:pPr>
              <w:pStyle w:val="TableText"/>
            </w:pPr>
            <w:r>
              <w:t>Radiation detection</w:t>
            </w:r>
          </w:p>
        </w:tc>
        <w:tc>
          <w:tcPr>
            <w:tcW w:w="710" w:type="pct"/>
          </w:tcPr>
          <w:p w14:paraId="175516C1" w14:textId="77777777" w:rsidR="008C2B1E" w:rsidRPr="00475EAB" w:rsidRDefault="008C2B1E">
            <w:pPr>
              <w:pStyle w:val="TableText"/>
              <w:jc w:val="center"/>
            </w:pPr>
            <w:r w:rsidRPr="00475EAB">
              <w:t>1</w:t>
            </w:r>
          </w:p>
        </w:tc>
      </w:tr>
      <w:tr w:rsidR="008C2B1E" w:rsidRPr="00475EAB" w14:paraId="6CCE561C" w14:textId="77777777" w:rsidTr="0017274B">
        <w:trPr>
          <w:cantSplit/>
        </w:trPr>
        <w:tc>
          <w:tcPr>
            <w:tcW w:w="4290" w:type="pct"/>
          </w:tcPr>
          <w:p w14:paraId="32F146A7" w14:textId="0A6AE804" w:rsidR="008C2B1E" w:rsidRPr="00475EAB" w:rsidRDefault="008C2B1E">
            <w:pPr>
              <w:pStyle w:val="TableText"/>
              <w:rPr>
                <w:b/>
                <w:bCs/>
              </w:rPr>
            </w:pPr>
            <w:r w:rsidRPr="00475EAB">
              <w:rPr>
                <w:b/>
                <w:bCs/>
              </w:rPr>
              <w:t>Radiation effects, risks, dose units</w:t>
            </w:r>
            <w:r w:rsidR="001F1D16">
              <w:rPr>
                <w:b/>
                <w:bCs/>
              </w:rPr>
              <w:t>,</w:t>
            </w:r>
            <w:r w:rsidRPr="00475EAB">
              <w:rPr>
                <w:b/>
                <w:bCs/>
              </w:rPr>
              <w:t xml:space="preserve"> typical doses</w:t>
            </w:r>
            <w:r w:rsidR="001F1D16">
              <w:rPr>
                <w:b/>
                <w:bCs/>
              </w:rPr>
              <w:t xml:space="preserve"> and activities</w:t>
            </w:r>
          </w:p>
        </w:tc>
        <w:tc>
          <w:tcPr>
            <w:tcW w:w="710" w:type="pct"/>
          </w:tcPr>
          <w:p w14:paraId="6D3030D5" w14:textId="77777777" w:rsidR="008C2B1E" w:rsidRPr="00475EAB" w:rsidRDefault="008C2B1E">
            <w:pPr>
              <w:pStyle w:val="TableText"/>
              <w:jc w:val="center"/>
            </w:pPr>
          </w:p>
        </w:tc>
      </w:tr>
      <w:tr w:rsidR="008C2B1E" w:rsidRPr="00475EAB" w14:paraId="115D425D" w14:textId="77777777" w:rsidTr="0017274B">
        <w:trPr>
          <w:cantSplit/>
        </w:trPr>
        <w:tc>
          <w:tcPr>
            <w:tcW w:w="4290" w:type="pct"/>
          </w:tcPr>
          <w:p w14:paraId="42CA5E64" w14:textId="77777777" w:rsidR="008C2B1E" w:rsidRPr="00475EAB" w:rsidRDefault="008C2B1E">
            <w:pPr>
              <w:pStyle w:val="TableText"/>
            </w:pPr>
            <w:r w:rsidRPr="00475EAB">
              <w:t>Biological effects of radiation</w:t>
            </w:r>
          </w:p>
        </w:tc>
        <w:tc>
          <w:tcPr>
            <w:tcW w:w="710" w:type="pct"/>
          </w:tcPr>
          <w:p w14:paraId="689403A8" w14:textId="77777777" w:rsidR="008C2B1E" w:rsidRPr="00475EAB" w:rsidRDefault="008C2B1E">
            <w:pPr>
              <w:pStyle w:val="TableText"/>
              <w:jc w:val="center"/>
            </w:pPr>
            <w:r w:rsidRPr="00475EAB">
              <w:t>1</w:t>
            </w:r>
          </w:p>
        </w:tc>
      </w:tr>
      <w:tr w:rsidR="008C2B1E" w:rsidRPr="00475EAB" w14:paraId="454E9BB4" w14:textId="77777777" w:rsidTr="0017274B">
        <w:trPr>
          <w:cantSplit/>
        </w:trPr>
        <w:tc>
          <w:tcPr>
            <w:tcW w:w="4290" w:type="pct"/>
          </w:tcPr>
          <w:p w14:paraId="41C7A6B4" w14:textId="77777777" w:rsidR="008C2B1E" w:rsidRPr="00475EAB" w:rsidRDefault="008C2B1E">
            <w:pPr>
              <w:pStyle w:val="TableText"/>
            </w:pPr>
            <w:r w:rsidRPr="00475EAB">
              <w:t xml:space="preserve">Risks of stochastic effects (including from </w:t>
            </w:r>
            <w:r>
              <w:t>fetal</w:t>
            </w:r>
            <w:r w:rsidRPr="00475EAB">
              <w:t xml:space="preserve"> and paediatric exposures)</w:t>
            </w:r>
          </w:p>
        </w:tc>
        <w:tc>
          <w:tcPr>
            <w:tcW w:w="710" w:type="pct"/>
          </w:tcPr>
          <w:p w14:paraId="235314B8" w14:textId="77777777" w:rsidR="008C2B1E" w:rsidRPr="00475EAB" w:rsidRDefault="008C2B1E">
            <w:pPr>
              <w:pStyle w:val="TableText"/>
              <w:jc w:val="center"/>
            </w:pPr>
            <w:r w:rsidRPr="00475EAB">
              <w:t>2</w:t>
            </w:r>
          </w:p>
        </w:tc>
      </w:tr>
      <w:tr w:rsidR="008C2B1E" w:rsidRPr="00475EAB" w14:paraId="6384AE51" w14:textId="77777777" w:rsidTr="0017274B">
        <w:trPr>
          <w:cantSplit/>
        </w:trPr>
        <w:tc>
          <w:tcPr>
            <w:tcW w:w="4290" w:type="pct"/>
          </w:tcPr>
          <w:p w14:paraId="73B81F74" w14:textId="36EA5F7F" w:rsidR="008C2B1E" w:rsidRPr="00475EAB" w:rsidRDefault="008C2B1E">
            <w:pPr>
              <w:pStyle w:val="TableText"/>
            </w:pPr>
            <w:r>
              <w:t xml:space="preserve">Causes and consequences </w:t>
            </w:r>
            <w:r w:rsidRPr="00475EAB">
              <w:t>of deterministic effects</w:t>
            </w:r>
            <w:r>
              <w:t xml:space="preserve"> </w:t>
            </w:r>
            <w:r w:rsidRPr="00526BC3">
              <w:t>(also referred to as harmful tissue reactions)</w:t>
            </w:r>
          </w:p>
        </w:tc>
        <w:tc>
          <w:tcPr>
            <w:tcW w:w="710" w:type="pct"/>
          </w:tcPr>
          <w:p w14:paraId="799BA7E3" w14:textId="234FAF21" w:rsidR="008C2B1E" w:rsidRPr="004A2B01" w:rsidRDefault="008C2B1E">
            <w:pPr>
              <w:pStyle w:val="TableText"/>
              <w:jc w:val="center"/>
              <w:rPr>
                <w:strike/>
              </w:rPr>
            </w:pPr>
            <w:r w:rsidRPr="004A2B01">
              <w:t>2</w:t>
            </w:r>
          </w:p>
        </w:tc>
      </w:tr>
      <w:tr w:rsidR="008C2B1E" w:rsidRPr="00475EAB" w14:paraId="71DC082E" w14:textId="77777777" w:rsidTr="0017274B">
        <w:trPr>
          <w:cantSplit/>
        </w:trPr>
        <w:tc>
          <w:tcPr>
            <w:tcW w:w="4290" w:type="pct"/>
          </w:tcPr>
          <w:p w14:paraId="74204731" w14:textId="77777777" w:rsidR="008C2B1E" w:rsidRPr="00475EAB" w:rsidRDefault="008C2B1E">
            <w:pPr>
              <w:pStyle w:val="TableText"/>
            </w:pPr>
            <w:r w:rsidRPr="00475EAB">
              <w:t>Risk and benefits of radiation exposures</w:t>
            </w:r>
          </w:p>
        </w:tc>
        <w:tc>
          <w:tcPr>
            <w:tcW w:w="710" w:type="pct"/>
          </w:tcPr>
          <w:p w14:paraId="155826FA" w14:textId="77777777" w:rsidR="008C2B1E" w:rsidRPr="00475EAB" w:rsidRDefault="008C2B1E">
            <w:pPr>
              <w:pStyle w:val="TableText"/>
              <w:jc w:val="center"/>
            </w:pPr>
            <w:r w:rsidRPr="00475EAB">
              <w:t>2</w:t>
            </w:r>
          </w:p>
        </w:tc>
      </w:tr>
      <w:tr w:rsidR="008C2B1E" w:rsidRPr="00475EAB" w14:paraId="5B509FD0" w14:textId="77777777" w:rsidTr="0017274B">
        <w:trPr>
          <w:cantSplit/>
        </w:trPr>
        <w:tc>
          <w:tcPr>
            <w:tcW w:w="4290" w:type="pct"/>
          </w:tcPr>
          <w:p w14:paraId="2132B1DE" w14:textId="0B7A7E81" w:rsidR="008C2B1E" w:rsidRPr="00475EAB" w:rsidRDefault="008C2B1E">
            <w:pPr>
              <w:pStyle w:val="TableText"/>
            </w:pPr>
            <w:r w:rsidRPr="00475EAB">
              <w:t>Radiation dose quantities and units (absorbed dose</w:t>
            </w:r>
            <w:r>
              <w:t>,</w:t>
            </w:r>
            <w:r w:rsidRPr="00475EAB">
              <w:t xml:space="preserve"> equivalent dose</w:t>
            </w:r>
            <w:r>
              <w:t>,</w:t>
            </w:r>
            <w:r w:rsidRPr="00475EAB">
              <w:t xml:space="preserve"> effective dose</w:t>
            </w:r>
            <w:r>
              <w:t xml:space="preserve"> and operational quantities</w:t>
            </w:r>
            <w:r w:rsidRPr="00475EAB">
              <w:t>)</w:t>
            </w:r>
          </w:p>
        </w:tc>
        <w:tc>
          <w:tcPr>
            <w:tcW w:w="710" w:type="pct"/>
          </w:tcPr>
          <w:p w14:paraId="30DE4D84" w14:textId="77777777" w:rsidR="008C2B1E" w:rsidRPr="00475EAB" w:rsidRDefault="008C2B1E">
            <w:pPr>
              <w:pStyle w:val="TableText"/>
              <w:jc w:val="center"/>
            </w:pPr>
            <w:r w:rsidRPr="00475EAB">
              <w:t>2</w:t>
            </w:r>
          </w:p>
        </w:tc>
      </w:tr>
      <w:tr w:rsidR="008C2B1E" w:rsidRPr="00475EAB" w14:paraId="0DF8D727" w14:textId="77777777" w:rsidTr="0017274B">
        <w:trPr>
          <w:cantSplit/>
        </w:trPr>
        <w:tc>
          <w:tcPr>
            <w:tcW w:w="4290" w:type="pct"/>
          </w:tcPr>
          <w:p w14:paraId="3F0FC6C1" w14:textId="77777777" w:rsidR="008C2B1E" w:rsidRPr="00475EAB" w:rsidRDefault="008C2B1E">
            <w:pPr>
              <w:pStyle w:val="TableText"/>
            </w:pPr>
            <w:r w:rsidRPr="00475EAB">
              <w:t>Factors affecting radiation dose</w:t>
            </w:r>
          </w:p>
        </w:tc>
        <w:tc>
          <w:tcPr>
            <w:tcW w:w="710" w:type="pct"/>
          </w:tcPr>
          <w:p w14:paraId="5B48ABEF" w14:textId="77777777" w:rsidR="008C2B1E" w:rsidRPr="00475EAB" w:rsidRDefault="008C2B1E">
            <w:pPr>
              <w:pStyle w:val="TableText"/>
              <w:jc w:val="center"/>
            </w:pPr>
            <w:r w:rsidRPr="00475EAB">
              <w:t>2</w:t>
            </w:r>
          </w:p>
        </w:tc>
      </w:tr>
      <w:tr w:rsidR="008C2B1E" w:rsidRPr="00475EAB" w14:paraId="7A5C606A" w14:textId="77777777" w:rsidTr="0017274B">
        <w:trPr>
          <w:cantSplit/>
        </w:trPr>
        <w:tc>
          <w:tcPr>
            <w:tcW w:w="4290" w:type="pct"/>
          </w:tcPr>
          <w:p w14:paraId="1E62B927" w14:textId="545199BF" w:rsidR="008C2B1E" w:rsidRPr="00475EAB" w:rsidRDefault="008C2B1E">
            <w:pPr>
              <w:pStyle w:val="TableText"/>
            </w:pPr>
            <w:r w:rsidRPr="00475EAB">
              <w:t xml:space="preserve">Typical doses from </w:t>
            </w:r>
            <w:r w:rsidR="00EE303F">
              <w:t xml:space="preserve">nuclear medicine </w:t>
            </w:r>
            <w:r w:rsidRPr="00475EAB">
              <w:t>procedures</w:t>
            </w:r>
            <w:r w:rsidR="004F3BD5">
              <w:t xml:space="preserve"> and activities used f</w:t>
            </w:r>
            <w:r w:rsidR="00A44FA0">
              <w:t>or nuclear medicine procedures</w:t>
            </w:r>
            <w:r w:rsidRPr="00475EAB">
              <w:t xml:space="preserve"> (including diagnostic reference levels)</w:t>
            </w:r>
          </w:p>
        </w:tc>
        <w:tc>
          <w:tcPr>
            <w:tcW w:w="710" w:type="pct"/>
          </w:tcPr>
          <w:p w14:paraId="4C65D9AB" w14:textId="77777777" w:rsidR="008C2B1E" w:rsidRPr="00475EAB" w:rsidRDefault="008C2B1E">
            <w:pPr>
              <w:pStyle w:val="TableText"/>
              <w:jc w:val="center"/>
            </w:pPr>
            <w:r w:rsidRPr="00475EAB">
              <w:t>2</w:t>
            </w:r>
          </w:p>
        </w:tc>
      </w:tr>
      <w:tr w:rsidR="008C2B1E" w:rsidRPr="00475EAB" w14:paraId="74E4D584" w14:textId="77777777" w:rsidTr="0017274B">
        <w:trPr>
          <w:cantSplit/>
        </w:trPr>
        <w:tc>
          <w:tcPr>
            <w:tcW w:w="4290" w:type="pct"/>
          </w:tcPr>
          <w:p w14:paraId="44EBC6E8" w14:textId="792F8C7A" w:rsidR="008C2B1E" w:rsidRPr="00475EAB" w:rsidRDefault="00192FEE">
            <w:pPr>
              <w:pStyle w:val="TableText"/>
              <w:rPr>
                <w:b/>
                <w:bCs/>
              </w:rPr>
            </w:pPr>
            <w:r w:rsidRPr="00475EAB">
              <w:rPr>
                <w:b/>
                <w:bCs/>
              </w:rPr>
              <w:t>Protecti</w:t>
            </w:r>
            <w:r>
              <w:rPr>
                <w:b/>
                <w:bCs/>
              </w:rPr>
              <w:t>ng</w:t>
            </w:r>
            <w:r w:rsidRPr="00475EAB">
              <w:rPr>
                <w:b/>
                <w:bCs/>
              </w:rPr>
              <w:t xml:space="preserve"> </w:t>
            </w:r>
            <w:r w:rsidR="008C2B1E" w:rsidRPr="00475EAB">
              <w:rPr>
                <w:b/>
                <w:bCs/>
              </w:rPr>
              <w:t xml:space="preserve">of </w:t>
            </w:r>
            <w:r w:rsidR="00DA120D">
              <w:rPr>
                <w:b/>
                <w:bCs/>
              </w:rPr>
              <w:t>people</w:t>
            </w:r>
            <w:r w:rsidR="00DA120D" w:rsidRPr="00475EAB">
              <w:rPr>
                <w:b/>
                <w:bCs/>
              </w:rPr>
              <w:t xml:space="preserve"> </w:t>
            </w:r>
            <w:r w:rsidR="008C2B1E" w:rsidRPr="00475EAB">
              <w:rPr>
                <w:b/>
                <w:bCs/>
              </w:rPr>
              <w:t>and</w:t>
            </w:r>
            <w:r w:rsidR="008C2B1E">
              <w:rPr>
                <w:b/>
                <w:bCs/>
              </w:rPr>
              <w:t xml:space="preserve"> the</w:t>
            </w:r>
            <w:r w:rsidR="008C2B1E" w:rsidRPr="00475EAB">
              <w:rPr>
                <w:b/>
                <w:bCs/>
              </w:rPr>
              <w:t xml:space="preserve"> safety of </w:t>
            </w:r>
            <w:r w:rsidR="00AF1178">
              <w:rPr>
                <w:b/>
                <w:bCs/>
              </w:rPr>
              <w:t xml:space="preserve">radioactive material </w:t>
            </w:r>
            <w:r w:rsidR="001A2D46">
              <w:rPr>
                <w:b/>
                <w:bCs/>
              </w:rPr>
              <w:t>used</w:t>
            </w:r>
            <w:r w:rsidR="008C2B1E" w:rsidRPr="00475EAB">
              <w:rPr>
                <w:b/>
                <w:bCs/>
              </w:rPr>
              <w:t xml:space="preserve"> in </w:t>
            </w:r>
            <w:r w:rsidR="00AF1178">
              <w:rPr>
                <w:b/>
                <w:bCs/>
              </w:rPr>
              <w:t>nuclear medic</w:t>
            </w:r>
            <w:r w:rsidR="00CC6C7A">
              <w:rPr>
                <w:b/>
                <w:bCs/>
              </w:rPr>
              <w:t>ine</w:t>
            </w:r>
          </w:p>
        </w:tc>
        <w:tc>
          <w:tcPr>
            <w:tcW w:w="710" w:type="pct"/>
          </w:tcPr>
          <w:p w14:paraId="243A8AA0" w14:textId="77777777" w:rsidR="008C2B1E" w:rsidRPr="00475EAB" w:rsidRDefault="008C2B1E">
            <w:pPr>
              <w:pStyle w:val="TableText"/>
              <w:jc w:val="center"/>
            </w:pPr>
          </w:p>
        </w:tc>
      </w:tr>
      <w:tr w:rsidR="008C2B1E" w:rsidRPr="00475EAB" w14:paraId="3953397F" w14:textId="77777777" w:rsidTr="0017274B">
        <w:trPr>
          <w:cantSplit/>
        </w:trPr>
        <w:tc>
          <w:tcPr>
            <w:tcW w:w="4290" w:type="pct"/>
          </w:tcPr>
          <w:p w14:paraId="09E02E67" w14:textId="60BE6221" w:rsidR="008C2B1E" w:rsidRPr="00475EAB" w:rsidRDefault="008C2B1E">
            <w:pPr>
              <w:pStyle w:val="TableText"/>
            </w:pPr>
            <w:r w:rsidRPr="00475EAB">
              <w:t>Physical considerations of radiation exposure (</w:t>
            </w:r>
            <w:r w:rsidR="000203B5">
              <w:t>for example</w:t>
            </w:r>
            <w:r w:rsidRPr="00475EAB">
              <w:t>, tissue and organ doses)</w:t>
            </w:r>
          </w:p>
        </w:tc>
        <w:tc>
          <w:tcPr>
            <w:tcW w:w="710" w:type="pct"/>
          </w:tcPr>
          <w:p w14:paraId="7860EC39" w14:textId="77777777" w:rsidR="008C2B1E" w:rsidRPr="00475EAB" w:rsidRDefault="008C2B1E">
            <w:pPr>
              <w:pStyle w:val="TableText"/>
              <w:jc w:val="center"/>
            </w:pPr>
            <w:r w:rsidRPr="00475EAB">
              <w:t>2</w:t>
            </w:r>
          </w:p>
        </w:tc>
      </w:tr>
      <w:tr w:rsidR="008C2B1E" w:rsidRPr="00475EAB" w14:paraId="13E291DC" w14:textId="77777777" w:rsidTr="0017274B">
        <w:trPr>
          <w:cantSplit/>
        </w:trPr>
        <w:tc>
          <w:tcPr>
            <w:tcW w:w="4290" w:type="pct"/>
          </w:tcPr>
          <w:p w14:paraId="48D1A177" w14:textId="77777777" w:rsidR="008C2B1E" w:rsidRPr="00475EAB" w:rsidRDefault="008C2B1E">
            <w:pPr>
              <w:pStyle w:val="TableText"/>
            </w:pPr>
            <w:r w:rsidRPr="00475EAB">
              <w:t>Time, distance and shielding</w:t>
            </w:r>
          </w:p>
        </w:tc>
        <w:tc>
          <w:tcPr>
            <w:tcW w:w="710" w:type="pct"/>
          </w:tcPr>
          <w:p w14:paraId="2D2C3463" w14:textId="77777777" w:rsidR="008C2B1E" w:rsidRPr="00475EAB" w:rsidRDefault="008C2B1E">
            <w:pPr>
              <w:pStyle w:val="TableText"/>
              <w:jc w:val="center"/>
            </w:pPr>
            <w:r w:rsidRPr="00475EAB">
              <w:t>2</w:t>
            </w:r>
          </w:p>
        </w:tc>
      </w:tr>
      <w:tr w:rsidR="00B5515B" w:rsidRPr="00475EAB" w14:paraId="213E445A" w14:textId="77777777" w:rsidTr="0017274B">
        <w:trPr>
          <w:cantSplit/>
        </w:trPr>
        <w:tc>
          <w:tcPr>
            <w:tcW w:w="4290" w:type="pct"/>
          </w:tcPr>
          <w:p w14:paraId="0C71F3FA" w14:textId="03E81286" w:rsidR="00B5515B" w:rsidRPr="00475EAB" w:rsidRDefault="00D676D2">
            <w:pPr>
              <w:pStyle w:val="TableText"/>
            </w:pPr>
            <w:r>
              <w:t>Precautions</w:t>
            </w:r>
            <w:r w:rsidR="00B5515B">
              <w:t xml:space="preserve"> required for </w:t>
            </w:r>
            <w:r>
              <w:t xml:space="preserve">handling </w:t>
            </w:r>
            <w:r w:rsidR="00B5515B">
              <w:t>radioactive material</w:t>
            </w:r>
            <w:r w:rsidR="00E72E47">
              <w:t xml:space="preserve"> (to include spills</w:t>
            </w:r>
            <w:r w:rsidR="00485E46">
              <w:t>)</w:t>
            </w:r>
            <w:r w:rsidR="00E72E47">
              <w:t xml:space="preserve"> </w:t>
            </w:r>
          </w:p>
        </w:tc>
        <w:tc>
          <w:tcPr>
            <w:tcW w:w="710" w:type="pct"/>
          </w:tcPr>
          <w:p w14:paraId="0AA9701A" w14:textId="3206722D" w:rsidR="00B5515B" w:rsidRPr="00475EAB" w:rsidRDefault="00485E46">
            <w:pPr>
              <w:pStyle w:val="TableText"/>
              <w:jc w:val="center"/>
            </w:pPr>
            <w:r>
              <w:t>2</w:t>
            </w:r>
          </w:p>
        </w:tc>
      </w:tr>
      <w:tr w:rsidR="008C2B1E" w:rsidRPr="00475EAB" w14:paraId="621CE96D" w14:textId="77777777" w:rsidTr="0017274B">
        <w:trPr>
          <w:cantSplit/>
        </w:trPr>
        <w:tc>
          <w:tcPr>
            <w:tcW w:w="4290" w:type="pct"/>
          </w:tcPr>
          <w:p w14:paraId="76025ADE" w14:textId="6C4BEB0F" w:rsidR="008C2B1E" w:rsidRPr="00475EAB" w:rsidRDefault="008C2B1E">
            <w:pPr>
              <w:pStyle w:val="TableText"/>
            </w:pPr>
            <w:r w:rsidRPr="00475EAB">
              <w:t>Specific hazards</w:t>
            </w:r>
            <w:r>
              <w:t>,</w:t>
            </w:r>
            <w:r w:rsidRPr="00475EAB">
              <w:t xml:space="preserve"> including factors affecting radiation doses</w:t>
            </w:r>
            <w:r w:rsidR="00676F7D">
              <w:t xml:space="preserve"> from internal an</w:t>
            </w:r>
            <w:r w:rsidR="00B5515B">
              <w:t>d external radiation e</w:t>
            </w:r>
            <w:r w:rsidR="000B6430">
              <w:t>x</w:t>
            </w:r>
            <w:r w:rsidR="00B5515B">
              <w:t>posure</w:t>
            </w:r>
          </w:p>
        </w:tc>
        <w:tc>
          <w:tcPr>
            <w:tcW w:w="710" w:type="pct"/>
          </w:tcPr>
          <w:p w14:paraId="5364EE75" w14:textId="77777777" w:rsidR="008C2B1E" w:rsidRPr="00475EAB" w:rsidRDefault="008C2B1E">
            <w:pPr>
              <w:pStyle w:val="TableText"/>
              <w:jc w:val="center"/>
            </w:pPr>
            <w:r w:rsidRPr="00475EAB">
              <w:t>2</w:t>
            </w:r>
          </w:p>
        </w:tc>
      </w:tr>
      <w:tr w:rsidR="008C2B1E" w:rsidRPr="00475EAB" w14:paraId="2A41A38D" w14:textId="77777777" w:rsidTr="0017274B">
        <w:trPr>
          <w:cantSplit/>
        </w:trPr>
        <w:tc>
          <w:tcPr>
            <w:tcW w:w="4290" w:type="pct"/>
          </w:tcPr>
          <w:p w14:paraId="0A33DC28" w14:textId="77777777" w:rsidR="008C2B1E" w:rsidRPr="00475EAB" w:rsidRDefault="008C2B1E">
            <w:pPr>
              <w:pStyle w:val="TableText"/>
              <w:rPr>
                <w:b/>
                <w:bCs/>
              </w:rPr>
            </w:pPr>
            <w:r w:rsidRPr="00475EAB">
              <w:rPr>
                <w:b/>
                <w:bCs/>
              </w:rPr>
              <w:t>Regulatory requirements</w:t>
            </w:r>
          </w:p>
        </w:tc>
        <w:tc>
          <w:tcPr>
            <w:tcW w:w="710" w:type="pct"/>
          </w:tcPr>
          <w:p w14:paraId="0291B10B" w14:textId="77777777" w:rsidR="008C2B1E" w:rsidRPr="00475EAB" w:rsidRDefault="008C2B1E">
            <w:pPr>
              <w:pStyle w:val="TableText"/>
              <w:jc w:val="center"/>
            </w:pPr>
          </w:p>
        </w:tc>
      </w:tr>
      <w:tr w:rsidR="008C2B1E" w:rsidRPr="00475EAB" w14:paraId="5811445A" w14:textId="77777777" w:rsidTr="0017274B">
        <w:trPr>
          <w:cantSplit/>
        </w:trPr>
        <w:tc>
          <w:tcPr>
            <w:tcW w:w="4290" w:type="pct"/>
          </w:tcPr>
          <w:p w14:paraId="332C26AD" w14:textId="77777777" w:rsidR="008C2B1E" w:rsidRPr="00475EAB" w:rsidRDefault="008C2B1E">
            <w:pPr>
              <w:pStyle w:val="TableText"/>
            </w:pPr>
            <w:r w:rsidRPr="00475EAB">
              <w:t>Authorisations and compliance with the ‘radiation safety requirements’ under the Radiation Safety Act 2016</w:t>
            </w:r>
          </w:p>
        </w:tc>
        <w:tc>
          <w:tcPr>
            <w:tcW w:w="710" w:type="pct"/>
          </w:tcPr>
          <w:p w14:paraId="3FD48C25" w14:textId="77777777" w:rsidR="008C2B1E" w:rsidRPr="00475EAB" w:rsidRDefault="008C2B1E">
            <w:pPr>
              <w:pStyle w:val="TableText"/>
              <w:jc w:val="center"/>
            </w:pPr>
            <w:r w:rsidRPr="00475EAB">
              <w:t>2</w:t>
            </w:r>
          </w:p>
        </w:tc>
      </w:tr>
      <w:tr w:rsidR="008C2B1E" w:rsidRPr="00475EAB" w14:paraId="3F149A52" w14:textId="77777777" w:rsidTr="0017274B">
        <w:trPr>
          <w:cantSplit/>
        </w:trPr>
        <w:tc>
          <w:tcPr>
            <w:tcW w:w="4290" w:type="pct"/>
          </w:tcPr>
          <w:p w14:paraId="29781387" w14:textId="77777777" w:rsidR="008C2B1E" w:rsidRPr="00475EAB" w:rsidRDefault="008C2B1E">
            <w:pPr>
              <w:pStyle w:val="TableText"/>
            </w:pPr>
            <w:r w:rsidRPr="00475EAB">
              <w:lastRenderedPageBreak/>
              <w:t>Radiation protection of patients, carers and comforters, and volunteers in biomedical research</w:t>
            </w:r>
          </w:p>
        </w:tc>
        <w:tc>
          <w:tcPr>
            <w:tcW w:w="710" w:type="pct"/>
          </w:tcPr>
          <w:p w14:paraId="7E91EBEB" w14:textId="77777777" w:rsidR="008C2B1E" w:rsidRPr="00475EAB" w:rsidRDefault="008C2B1E">
            <w:pPr>
              <w:pStyle w:val="TableText"/>
              <w:jc w:val="center"/>
            </w:pPr>
            <w:r w:rsidRPr="00475EAB">
              <w:t>2</w:t>
            </w:r>
          </w:p>
        </w:tc>
      </w:tr>
      <w:tr w:rsidR="008C2B1E" w:rsidRPr="00475EAB" w14:paraId="398E1880" w14:textId="77777777" w:rsidTr="0017274B">
        <w:trPr>
          <w:cantSplit/>
        </w:trPr>
        <w:tc>
          <w:tcPr>
            <w:tcW w:w="4290" w:type="pct"/>
          </w:tcPr>
          <w:p w14:paraId="147110B0" w14:textId="77777777" w:rsidR="008C2B1E" w:rsidRPr="00475EAB" w:rsidRDefault="008C2B1E">
            <w:pPr>
              <w:pStyle w:val="TableText"/>
            </w:pPr>
            <w:r w:rsidRPr="00475EAB">
              <w:t>Radiation protection of workers and the public (including dose limits and individual dose monitoring for the assessment of occupational exposure)</w:t>
            </w:r>
          </w:p>
        </w:tc>
        <w:tc>
          <w:tcPr>
            <w:tcW w:w="710" w:type="pct"/>
          </w:tcPr>
          <w:p w14:paraId="5099DBB2" w14:textId="77777777" w:rsidR="008C2B1E" w:rsidRPr="00475EAB" w:rsidRDefault="008C2B1E">
            <w:pPr>
              <w:pStyle w:val="TableText"/>
              <w:jc w:val="center"/>
            </w:pPr>
            <w:r w:rsidRPr="00475EAB">
              <w:t>2</w:t>
            </w:r>
          </w:p>
        </w:tc>
      </w:tr>
      <w:tr w:rsidR="008C2B1E" w:rsidRPr="00475EAB" w14:paraId="3FFFF73B" w14:textId="77777777" w:rsidTr="0017274B">
        <w:trPr>
          <w:cantSplit/>
        </w:trPr>
        <w:tc>
          <w:tcPr>
            <w:tcW w:w="4290" w:type="pct"/>
          </w:tcPr>
          <w:p w14:paraId="1B4EC25D" w14:textId="77777777" w:rsidR="008C2B1E" w:rsidRPr="00475EAB" w:rsidRDefault="008C2B1E">
            <w:pPr>
              <w:pStyle w:val="TableText"/>
            </w:pPr>
            <w:r w:rsidRPr="00475EAB">
              <w:t>Quality control and quality assurance</w:t>
            </w:r>
          </w:p>
        </w:tc>
        <w:tc>
          <w:tcPr>
            <w:tcW w:w="710" w:type="pct"/>
          </w:tcPr>
          <w:p w14:paraId="378337C9" w14:textId="77777777" w:rsidR="008C2B1E" w:rsidRPr="00475EAB" w:rsidRDefault="008C2B1E">
            <w:pPr>
              <w:pStyle w:val="TableText"/>
              <w:jc w:val="center"/>
            </w:pPr>
            <w:r w:rsidRPr="00475EAB">
              <w:t>2</w:t>
            </w:r>
          </w:p>
        </w:tc>
      </w:tr>
    </w:tbl>
    <w:p w14:paraId="59BC6AC6" w14:textId="77777777" w:rsidR="008C2B1E" w:rsidRPr="00475EAB" w:rsidRDefault="008C2B1E" w:rsidP="008C2B1E"/>
    <w:p w14:paraId="2C590DB1" w14:textId="36E58583" w:rsidR="008C2B1E" w:rsidRPr="00475EAB" w:rsidRDefault="008C2B1E" w:rsidP="008C2B1E">
      <w:pPr>
        <w:rPr>
          <w:b/>
          <w:bCs/>
          <w:sz w:val="18"/>
          <w:szCs w:val="18"/>
        </w:rPr>
      </w:pPr>
      <w:r w:rsidRPr="00475EAB">
        <w:rPr>
          <w:b/>
          <w:bCs/>
          <w:sz w:val="18"/>
          <w:szCs w:val="18"/>
        </w:rPr>
        <w:t>Key for level of knowledge</w:t>
      </w:r>
    </w:p>
    <w:p w14:paraId="6F6EF805" w14:textId="1E3FCC95" w:rsidR="008C2B1E" w:rsidRPr="00475EAB" w:rsidRDefault="008C2B1E" w:rsidP="008C2B1E">
      <w:pPr>
        <w:ind w:left="284" w:hanging="284"/>
        <w:rPr>
          <w:sz w:val="18"/>
          <w:szCs w:val="18"/>
        </w:rPr>
      </w:pPr>
      <w:r w:rsidRPr="00475EAB">
        <w:rPr>
          <w:sz w:val="18"/>
          <w:szCs w:val="18"/>
        </w:rPr>
        <w:t>1</w:t>
      </w:r>
      <w:r>
        <w:rPr>
          <w:sz w:val="18"/>
          <w:szCs w:val="18"/>
        </w:rPr>
        <w:t>.</w:t>
      </w:r>
      <w:r>
        <w:rPr>
          <w:sz w:val="18"/>
          <w:szCs w:val="18"/>
        </w:rPr>
        <w:tab/>
      </w:r>
      <w:r w:rsidRPr="00475EAB">
        <w:rPr>
          <w:sz w:val="18"/>
          <w:szCs w:val="18"/>
        </w:rPr>
        <w:t>General awareness and understanding</w:t>
      </w:r>
    </w:p>
    <w:p w14:paraId="0F2DC4EA" w14:textId="10982961" w:rsidR="008C2B1E" w:rsidRPr="00475EAB" w:rsidRDefault="008C2B1E" w:rsidP="008C2B1E">
      <w:pPr>
        <w:ind w:left="284" w:hanging="284"/>
        <w:rPr>
          <w:sz w:val="18"/>
          <w:szCs w:val="18"/>
        </w:rPr>
      </w:pPr>
      <w:r w:rsidRPr="00475EAB">
        <w:rPr>
          <w:sz w:val="18"/>
          <w:szCs w:val="18"/>
        </w:rPr>
        <w:t>2</w:t>
      </w:r>
      <w:r>
        <w:rPr>
          <w:sz w:val="18"/>
          <w:szCs w:val="18"/>
        </w:rPr>
        <w:t>.</w:t>
      </w:r>
      <w:r>
        <w:rPr>
          <w:sz w:val="18"/>
          <w:szCs w:val="18"/>
        </w:rPr>
        <w:tab/>
      </w:r>
      <w:r w:rsidRPr="00367393">
        <w:rPr>
          <w:sz w:val="18"/>
          <w:szCs w:val="18"/>
        </w:rPr>
        <w:t xml:space="preserve">Ability to interpret and apply </w:t>
      </w:r>
      <w:r w:rsidR="000B475B" w:rsidRPr="00367393">
        <w:rPr>
          <w:sz w:val="18"/>
          <w:szCs w:val="18"/>
        </w:rPr>
        <w:t xml:space="preserve">working </w:t>
      </w:r>
      <w:r w:rsidRPr="00367393">
        <w:rPr>
          <w:sz w:val="18"/>
          <w:szCs w:val="18"/>
        </w:rPr>
        <w:t>knowledge in different situations</w:t>
      </w:r>
    </w:p>
    <w:bookmarkEnd w:id="127"/>
    <w:bookmarkEnd w:id="128"/>
    <w:bookmarkEnd w:id="129"/>
    <w:p w14:paraId="18EB9A2B" w14:textId="45EA8803" w:rsidR="00115684" w:rsidRDefault="00115684" w:rsidP="00F67FD8"/>
    <w:p w14:paraId="3C34C951" w14:textId="126D42F7" w:rsidR="00115684" w:rsidRDefault="00115684" w:rsidP="00115684">
      <w:r>
        <w:br w:type="page"/>
      </w:r>
    </w:p>
    <w:p w14:paraId="501BFFB7" w14:textId="22D243C3" w:rsidR="00115684" w:rsidRPr="00475EAB" w:rsidRDefault="00115684" w:rsidP="00115684">
      <w:pPr>
        <w:pStyle w:val="Heading1-notnumbered"/>
      </w:pPr>
      <w:bookmarkStart w:id="130" w:name="_Toc87367930"/>
      <w:bookmarkStart w:id="131" w:name="_Toc144957782"/>
      <w:bookmarkStart w:id="132" w:name="_Toc161051032"/>
      <w:bookmarkStart w:id="133" w:name="_Hlk160690527"/>
      <w:r w:rsidRPr="00475EAB">
        <w:lastRenderedPageBreak/>
        <w:t xml:space="preserve">Submission form </w:t>
      </w:r>
      <w:bookmarkEnd w:id="130"/>
      <w:r>
        <w:t>for revised C2 202</w:t>
      </w:r>
      <w:bookmarkEnd w:id="131"/>
      <w:r w:rsidR="001E1BC4">
        <w:t>4</w:t>
      </w:r>
      <w:bookmarkEnd w:id="132"/>
    </w:p>
    <w:p w14:paraId="5D2E00C5" w14:textId="77777777" w:rsidR="00115684" w:rsidRPr="00475EAB" w:rsidRDefault="00115684" w:rsidP="00435CB3">
      <w:pPr>
        <w:pStyle w:val="Heading3"/>
        <w:ind w:firstLine="1277"/>
        <w:rPr>
          <w:rFonts w:cs="Arial"/>
        </w:rPr>
      </w:pPr>
      <w:bookmarkStart w:id="134" w:name="_Hlk161051403"/>
      <w:r w:rsidRPr="00475EAB">
        <w:t>Your details</w:t>
      </w:r>
    </w:p>
    <w:tbl>
      <w:tblPr>
        <w:tblW w:w="8134"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023"/>
        <w:gridCol w:w="4111"/>
      </w:tblGrid>
      <w:tr w:rsidR="00115684" w:rsidRPr="00475EAB" w14:paraId="353EE9AB" w14:textId="77777777">
        <w:trPr>
          <w:cantSplit/>
        </w:trPr>
        <w:tc>
          <w:tcPr>
            <w:tcW w:w="4023" w:type="dxa"/>
            <w:tcBorders>
              <w:top w:val="nil"/>
              <w:bottom w:val="nil"/>
            </w:tcBorders>
          </w:tcPr>
          <w:p w14:paraId="48E077FB" w14:textId="77777777" w:rsidR="00115684" w:rsidRPr="00475EAB" w:rsidRDefault="00115684">
            <w:pPr>
              <w:tabs>
                <w:tab w:val="right" w:pos="3915"/>
              </w:tabs>
            </w:pPr>
            <w:r w:rsidRPr="00475EAB">
              <w:t>This submission was completed by:</w:t>
            </w:r>
            <w:r w:rsidRPr="00475EAB">
              <w:tab/>
            </w:r>
            <w:r w:rsidRPr="00475EAB">
              <w:rPr>
                <w:i/>
                <w:sz w:val="18"/>
              </w:rPr>
              <w:t>(name)</w:t>
            </w:r>
          </w:p>
        </w:tc>
        <w:tc>
          <w:tcPr>
            <w:tcW w:w="4111" w:type="dxa"/>
            <w:tcBorders>
              <w:top w:val="nil"/>
            </w:tcBorders>
            <w:vAlign w:val="bottom"/>
          </w:tcPr>
          <w:p w14:paraId="6667C008" w14:textId="77777777" w:rsidR="00115684" w:rsidRPr="00475EAB" w:rsidRDefault="00115684">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115684" w:rsidRPr="00475EAB" w14:paraId="1EDA619A" w14:textId="77777777">
        <w:trPr>
          <w:cantSplit/>
        </w:trPr>
        <w:tc>
          <w:tcPr>
            <w:tcW w:w="4023" w:type="dxa"/>
            <w:tcBorders>
              <w:top w:val="nil"/>
              <w:bottom w:val="nil"/>
            </w:tcBorders>
          </w:tcPr>
          <w:p w14:paraId="49971B23" w14:textId="77777777" w:rsidR="00115684" w:rsidRPr="00475EAB" w:rsidRDefault="00115684">
            <w:pPr>
              <w:tabs>
                <w:tab w:val="right" w:pos="3915"/>
              </w:tabs>
              <w:spacing w:before="120"/>
            </w:pPr>
            <w:r w:rsidRPr="00475EAB">
              <w:t>Address:</w:t>
            </w:r>
            <w:r w:rsidRPr="00475EAB">
              <w:tab/>
            </w:r>
            <w:r w:rsidRPr="00475EAB">
              <w:rPr>
                <w:i/>
                <w:sz w:val="18"/>
              </w:rPr>
              <w:t>(street/box number)</w:t>
            </w:r>
          </w:p>
        </w:tc>
        <w:tc>
          <w:tcPr>
            <w:tcW w:w="4111" w:type="dxa"/>
            <w:vAlign w:val="bottom"/>
          </w:tcPr>
          <w:p w14:paraId="44F8FBA2" w14:textId="77777777" w:rsidR="00115684" w:rsidRPr="00475EAB" w:rsidRDefault="00115684">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115684" w:rsidRPr="00475EAB" w14:paraId="0DD4F286" w14:textId="77777777">
        <w:trPr>
          <w:cantSplit/>
        </w:trPr>
        <w:tc>
          <w:tcPr>
            <w:tcW w:w="4023" w:type="dxa"/>
            <w:tcBorders>
              <w:top w:val="nil"/>
              <w:bottom w:val="nil"/>
            </w:tcBorders>
          </w:tcPr>
          <w:p w14:paraId="3ADF0C10" w14:textId="77777777" w:rsidR="00115684" w:rsidRPr="00475EAB" w:rsidRDefault="00115684">
            <w:pPr>
              <w:tabs>
                <w:tab w:val="right" w:pos="3915"/>
              </w:tabs>
              <w:spacing w:before="120"/>
              <w:rPr>
                <w:i/>
              </w:rPr>
            </w:pPr>
            <w:r w:rsidRPr="00475EAB">
              <w:tab/>
            </w:r>
            <w:r w:rsidRPr="00475EAB">
              <w:rPr>
                <w:i/>
                <w:sz w:val="18"/>
              </w:rPr>
              <w:t>(town/city and postcode)</w:t>
            </w:r>
          </w:p>
        </w:tc>
        <w:tc>
          <w:tcPr>
            <w:tcW w:w="4111" w:type="dxa"/>
            <w:vAlign w:val="bottom"/>
          </w:tcPr>
          <w:p w14:paraId="19DEA7B8" w14:textId="77777777" w:rsidR="00115684" w:rsidRPr="00475EAB" w:rsidRDefault="00115684">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115684" w:rsidRPr="00475EAB" w14:paraId="6B390572" w14:textId="77777777">
        <w:trPr>
          <w:cantSplit/>
        </w:trPr>
        <w:tc>
          <w:tcPr>
            <w:tcW w:w="4023" w:type="dxa"/>
            <w:tcBorders>
              <w:top w:val="nil"/>
              <w:bottom w:val="nil"/>
            </w:tcBorders>
          </w:tcPr>
          <w:p w14:paraId="3D68A664" w14:textId="77777777" w:rsidR="00115684" w:rsidRPr="00475EAB" w:rsidRDefault="00115684">
            <w:pPr>
              <w:spacing w:before="120"/>
            </w:pPr>
            <w:r w:rsidRPr="00475EAB">
              <w:t>Email:</w:t>
            </w:r>
          </w:p>
        </w:tc>
        <w:tc>
          <w:tcPr>
            <w:tcW w:w="4111" w:type="dxa"/>
            <w:vAlign w:val="bottom"/>
          </w:tcPr>
          <w:p w14:paraId="72C42E81" w14:textId="77777777" w:rsidR="00115684" w:rsidRPr="00475EAB" w:rsidRDefault="00115684">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115684" w:rsidRPr="00475EAB" w14:paraId="729A1B98" w14:textId="77777777">
        <w:trPr>
          <w:cantSplit/>
        </w:trPr>
        <w:tc>
          <w:tcPr>
            <w:tcW w:w="4023" w:type="dxa"/>
            <w:tcBorders>
              <w:top w:val="nil"/>
              <w:bottom w:val="nil"/>
            </w:tcBorders>
          </w:tcPr>
          <w:p w14:paraId="0592C68D" w14:textId="77777777" w:rsidR="00115684" w:rsidRPr="00475EAB" w:rsidRDefault="00115684">
            <w:pPr>
              <w:spacing w:before="120"/>
            </w:pPr>
            <w:r w:rsidRPr="00475EAB">
              <w:t>Organisation (if applicable):</w:t>
            </w:r>
          </w:p>
        </w:tc>
        <w:tc>
          <w:tcPr>
            <w:tcW w:w="4111" w:type="dxa"/>
            <w:vAlign w:val="bottom"/>
          </w:tcPr>
          <w:p w14:paraId="6AD7C47F" w14:textId="77777777" w:rsidR="00115684" w:rsidRPr="00475EAB" w:rsidRDefault="00115684">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115684" w:rsidRPr="00475EAB" w14:paraId="1D542C58" w14:textId="77777777">
        <w:trPr>
          <w:cantSplit/>
        </w:trPr>
        <w:tc>
          <w:tcPr>
            <w:tcW w:w="4023" w:type="dxa"/>
            <w:tcBorders>
              <w:top w:val="nil"/>
              <w:bottom w:val="nil"/>
            </w:tcBorders>
          </w:tcPr>
          <w:p w14:paraId="1D217FF2" w14:textId="77777777" w:rsidR="00115684" w:rsidRPr="00475EAB" w:rsidRDefault="00115684">
            <w:pPr>
              <w:spacing w:before="120"/>
            </w:pPr>
            <w:r w:rsidRPr="00475EAB">
              <w:t>Position (if applicable):</w:t>
            </w:r>
          </w:p>
        </w:tc>
        <w:tc>
          <w:tcPr>
            <w:tcW w:w="4111" w:type="dxa"/>
            <w:vAlign w:val="bottom"/>
          </w:tcPr>
          <w:p w14:paraId="293625C8" w14:textId="77777777" w:rsidR="00115684" w:rsidRPr="00475EAB" w:rsidRDefault="00115684">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4135F8C5" w14:textId="77777777" w:rsidR="00115684" w:rsidRPr="00475EAB" w:rsidRDefault="00115684" w:rsidP="00435CB3">
      <w:pPr>
        <w:pStyle w:val="Heading3"/>
        <w:numPr>
          <w:ilvl w:val="0"/>
          <w:numId w:val="0"/>
        </w:numPr>
      </w:pPr>
      <w:r w:rsidRPr="00475EAB">
        <w:t xml:space="preserve">Additional </w:t>
      </w:r>
      <w:r>
        <w:t>i</w:t>
      </w:r>
      <w:r w:rsidRPr="00475EAB">
        <w:t xml:space="preserve">nformation </w:t>
      </w:r>
    </w:p>
    <w:p w14:paraId="4E957E60" w14:textId="77777777" w:rsidR="00115684" w:rsidRDefault="00115684" w:rsidP="00115684">
      <w:pPr>
        <w:spacing w:after="120"/>
      </w:pPr>
      <w:r w:rsidRPr="00475EAB">
        <w:t>I am, or I represent an organisation that is, based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28"/>
        <w:gridCol w:w="2124"/>
        <w:gridCol w:w="5517"/>
      </w:tblGrid>
      <w:tr w:rsidR="00115684" w:rsidRPr="004846C6" w14:paraId="21D2F37E" w14:textId="77777777">
        <w:sdt>
          <w:sdtPr>
            <w:rPr>
              <w:sz w:val="25"/>
              <w:szCs w:val="24"/>
            </w:rPr>
            <w:id w:val="-839697002"/>
            <w14:checkbox>
              <w14:checked w14:val="0"/>
              <w14:checkedState w14:val="2612" w14:font="MS Gothic"/>
              <w14:uncheckedState w14:val="2610" w14:font="MS Gothic"/>
            </w14:checkbox>
          </w:sdtPr>
          <w:sdtEndPr/>
          <w:sdtContent>
            <w:tc>
              <w:tcPr>
                <w:tcW w:w="428" w:type="dxa"/>
              </w:tcPr>
              <w:p w14:paraId="581DF66D" w14:textId="77777777" w:rsidR="00115684" w:rsidRPr="004846C6" w:rsidRDefault="00115684">
                <w:pPr>
                  <w:spacing w:line="240" w:lineRule="auto"/>
                  <w:rPr>
                    <w:sz w:val="25"/>
                    <w:szCs w:val="24"/>
                  </w:rPr>
                </w:pPr>
                <w:r w:rsidRPr="004846C6">
                  <w:rPr>
                    <w:rFonts w:eastAsia="MS Gothic" w:hint="eastAsia"/>
                    <w:sz w:val="25"/>
                    <w:szCs w:val="24"/>
                  </w:rPr>
                  <w:t>☐</w:t>
                </w:r>
              </w:p>
            </w:tc>
          </w:sdtContent>
        </w:sdt>
        <w:tc>
          <w:tcPr>
            <w:tcW w:w="7641" w:type="dxa"/>
            <w:gridSpan w:val="2"/>
            <w:vAlign w:val="center"/>
          </w:tcPr>
          <w:p w14:paraId="10838D5D" w14:textId="77777777" w:rsidR="00115684" w:rsidRPr="004846C6" w:rsidRDefault="00115684">
            <w:pPr>
              <w:spacing w:line="240" w:lineRule="auto"/>
            </w:pPr>
            <w:r w:rsidRPr="004846C6">
              <w:t>New Zealand</w:t>
            </w:r>
          </w:p>
        </w:tc>
      </w:tr>
      <w:tr w:rsidR="00115684" w:rsidRPr="004846C6" w14:paraId="6901FFC4" w14:textId="77777777">
        <w:sdt>
          <w:sdtPr>
            <w:rPr>
              <w:sz w:val="25"/>
              <w:szCs w:val="24"/>
            </w:rPr>
            <w:id w:val="-1287504237"/>
            <w14:checkbox>
              <w14:checked w14:val="0"/>
              <w14:checkedState w14:val="2612" w14:font="MS Gothic"/>
              <w14:uncheckedState w14:val="2610" w14:font="MS Gothic"/>
            </w14:checkbox>
          </w:sdtPr>
          <w:sdtEndPr/>
          <w:sdtContent>
            <w:tc>
              <w:tcPr>
                <w:tcW w:w="428" w:type="dxa"/>
                <w:vAlign w:val="center"/>
              </w:tcPr>
              <w:p w14:paraId="34D3DFEC" w14:textId="77777777" w:rsidR="00115684" w:rsidRPr="004846C6" w:rsidRDefault="00115684">
                <w:pPr>
                  <w:spacing w:line="240" w:lineRule="auto"/>
                  <w:rPr>
                    <w:sz w:val="25"/>
                    <w:szCs w:val="24"/>
                  </w:rPr>
                </w:pPr>
                <w:r w:rsidRPr="004846C6">
                  <w:rPr>
                    <w:rFonts w:eastAsia="MS Gothic" w:hint="eastAsia"/>
                    <w:sz w:val="25"/>
                    <w:szCs w:val="24"/>
                  </w:rPr>
                  <w:t>☐</w:t>
                </w:r>
              </w:p>
            </w:tc>
          </w:sdtContent>
        </w:sdt>
        <w:tc>
          <w:tcPr>
            <w:tcW w:w="7641" w:type="dxa"/>
            <w:gridSpan w:val="2"/>
            <w:vAlign w:val="center"/>
          </w:tcPr>
          <w:p w14:paraId="3F422E96" w14:textId="77777777" w:rsidR="00115684" w:rsidRPr="004846C6" w:rsidRDefault="00115684">
            <w:pPr>
              <w:spacing w:line="240" w:lineRule="auto"/>
            </w:pPr>
            <w:r w:rsidRPr="004846C6">
              <w:t>Australia</w:t>
            </w:r>
          </w:p>
        </w:tc>
      </w:tr>
      <w:tr w:rsidR="00115684" w:rsidRPr="004846C6" w14:paraId="73B05223" w14:textId="77777777">
        <w:sdt>
          <w:sdtPr>
            <w:rPr>
              <w:sz w:val="25"/>
              <w:szCs w:val="24"/>
            </w:rPr>
            <w:id w:val="-596944668"/>
            <w14:checkbox>
              <w14:checked w14:val="0"/>
              <w14:checkedState w14:val="2612" w14:font="MS Gothic"/>
              <w14:uncheckedState w14:val="2610" w14:font="MS Gothic"/>
            </w14:checkbox>
          </w:sdtPr>
          <w:sdtEndPr/>
          <w:sdtContent>
            <w:tc>
              <w:tcPr>
                <w:tcW w:w="428" w:type="dxa"/>
                <w:vAlign w:val="center"/>
              </w:tcPr>
              <w:p w14:paraId="0CBDE2CA" w14:textId="77777777" w:rsidR="00115684" w:rsidRPr="004846C6" w:rsidRDefault="00115684">
                <w:pPr>
                  <w:spacing w:line="240" w:lineRule="auto"/>
                  <w:rPr>
                    <w:rFonts w:eastAsia="MS Gothic"/>
                    <w:sz w:val="25"/>
                    <w:szCs w:val="24"/>
                  </w:rPr>
                </w:pPr>
                <w:r w:rsidRPr="004846C6">
                  <w:rPr>
                    <w:rFonts w:eastAsia="MS Gothic" w:hint="eastAsia"/>
                    <w:sz w:val="25"/>
                    <w:szCs w:val="24"/>
                  </w:rPr>
                  <w:t>☐</w:t>
                </w:r>
              </w:p>
            </w:tc>
          </w:sdtContent>
        </w:sdt>
        <w:tc>
          <w:tcPr>
            <w:tcW w:w="2124" w:type="dxa"/>
            <w:vAlign w:val="center"/>
          </w:tcPr>
          <w:p w14:paraId="6BB21807" w14:textId="77777777" w:rsidR="00115684" w:rsidRPr="004846C6" w:rsidRDefault="00115684">
            <w:pPr>
              <w:spacing w:line="240" w:lineRule="auto"/>
            </w:pPr>
            <w:r w:rsidRPr="004846C6">
              <w:t xml:space="preserve">Other (please specify): </w:t>
            </w:r>
          </w:p>
        </w:tc>
        <w:tc>
          <w:tcPr>
            <w:tcW w:w="5517" w:type="dxa"/>
            <w:tcBorders>
              <w:bottom w:val="single" w:sz="4" w:space="0" w:color="auto"/>
            </w:tcBorders>
            <w:vAlign w:val="center"/>
          </w:tcPr>
          <w:p w14:paraId="2A50AAAC" w14:textId="77777777" w:rsidR="00115684" w:rsidRPr="004846C6" w:rsidRDefault="00115684">
            <w:pPr>
              <w:spacing w:line="240" w:lineRule="auto"/>
            </w:pPr>
          </w:p>
        </w:tc>
      </w:tr>
    </w:tbl>
    <w:p w14:paraId="4E4BF7C2" w14:textId="77777777" w:rsidR="00115684" w:rsidRDefault="00115684" w:rsidP="00115684"/>
    <w:p w14:paraId="536CAECF" w14:textId="77777777" w:rsidR="00115684" w:rsidRDefault="00115684" w:rsidP="00115684">
      <w:pPr>
        <w:spacing w:after="120"/>
      </w:pPr>
      <w:r w:rsidRPr="00475EAB">
        <w:t>I am or I represent: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28"/>
        <w:gridCol w:w="2124"/>
        <w:gridCol w:w="5517"/>
      </w:tblGrid>
      <w:tr w:rsidR="00115684" w:rsidRPr="004846C6" w14:paraId="57961C75" w14:textId="77777777">
        <w:sdt>
          <w:sdtPr>
            <w:rPr>
              <w:sz w:val="25"/>
              <w:szCs w:val="24"/>
            </w:rPr>
            <w:id w:val="992379522"/>
            <w14:checkbox>
              <w14:checked w14:val="0"/>
              <w14:checkedState w14:val="2612" w14:font="MS Gothic"/>
              <w14:uncheckedState w14:val="2610" w14:font="MS Gothic"/>
            </w14:checkbox>
          </w:sdtPr>
          <w:sdtEndPr/>
          <w:sdtContent>
            <w:tc>
              <w:tcPr>
                <w:tcW w:w="428" w:type="dxa"/>
              </w:tcPr>
              <w:p w14:paraId="0B7B132B" w14:textId="77777777" w:rsidR="00115684" w:rsidRPr="00EB45F5" w:rsidRDefault="00115684">
                <w:pPr>
                  <w:spacing w:line="240" w:lineRule="auto"/>
                  <w:rPr>
                    <w:sz w:val="25"/>
                    <w:szCs w:val="24"/>
                  </w:rPr>
                </w:pPr>
                <w:r w:rsidRPr="00EB45F5">
                  <w:rPr>
                    <w:rFonts w:eastAsia="MS Gothic" w:hint="eastAsia"/>
                    <w:sz w:val="25"/>
                    <w:szCs w:val="24"/>
                  </w:rPr>
                  <w:t>☐</w:t>
                </w:r>
              </w:p>
            </w:tc>
          </w:sdtContent>
        </w:sdt>
        <w:tc>
          <w:tcPr>
            <w:tcW w:w="7641" w:type="dxa"/>
            <w:gridSpan w:val="2"/>
          </w:tcPr>
          <w:p w14:paraId="0B9B158B" w14:textId="2018F9BC" w:rsidR="00115684" w:rsidRPr="004846C6" w:rsidRDefault="00E84D50">
            <w:pPr>
              <w:spacing w:line="240" w:lineRule="auto"/>
            </w:pPr>
            <w:r w:rsidRPr="004846C6">
              <w:t>a health practitioner</w:t>
            </w:r>
          </w:p>
        </w:tc>
      </w:tr>
      <w:tr w:rsidR="00115684" w:rsidRPr="004846C6" w14:paraId="26913E9A" w14:textId="77777777">
        <w:sdt>
          <w:sdtPr>
            <w:rPr>
              <w:sz w:val="25"/>
              <w:szCs w:val="24"/>
            </w:rPr>
            <w:id w:val="393554463"/>
            <w14:checkbox>
              <w14:checked w14:val="0"/>
              <w14:checkedState w14:val="2612" w14:font="MS Gothic"/>
              <w14:uncheckedState w14:val="2610" w14:font="MS Gothic"/>
            </w14:checkbox>
          </w:sdtPr>
          <w:sdtEndPr/>
          <w:sdtContent>
            <w:tc>
              <w:tcPr>
                <w:tcW w:w="428" w:type="dxa"/>
              </w:tcPr>
              <w:p w14:paraId="34CE9FBA" w14:textId="77777777" w:rsidR="00115684" w:rsidRPr="00EB45F5" w:rsidRDefault="00115684">
                <w:pPr>
                  <w:spacing w:line="240" w:lineRule="auto"/>
                  <w:rPr>
                    <w:sz w:val="25"/>
                    <w:szCs w:val="24"/>
                  </w:rPr>
                </w:pPr>
                <w:r w:rsidRPr="00EB45F5">
                  <w:rPr>
                    <w:rFonts w:eastAsia="MS Gothic" w:hint="eastAsia"/>
                    <w:sz w:val="25"/>
                    <w:szCs w:val="24"/>
                  </w:rPr>
                  <w:t>☐</w:t>
                </w:r>
              </w:p>
            </w:tc>
          </w:sdtContent>
        </w:sdt>
        <w:tc>
          <w:tcPr>
            <w:tcW w:w="7641" w:type="dxa"/>
            <w:gridSpan w:val="2"/>
          </w:tcPr>
          <w:p w14:paraId="75D279A2" w14:textId="78AFD202" w:rsidR="00115684" w:rsidRPr="004846C6" w:rsidRDefault="00E84D50">
            <w:pPr>
              <w:spacing w:line="240" w:lineRule="auto"/>
            </w:pPr>
            <w:r w:rsidRPr="004846C6">
              <w:t>a servicing engineer</w:t>
            </w:r>
          </w:p>
        </w:tc>
      </w:tr>
      <w:tr w:rsidR="00115684" w:rsidRPr="004846C6" w14:paraId="13E168A9" w14:textId="77777777">
        <w:sdt>
          <w:sdtPr>
            <w:rPr>
              <w:sz w:val="25"/>
              <w:szCs w:val="24"/>
            </w:rPr>
            <w:id w:val="1080564449"/>
            <w14:checkbox>
              <w14:checked w14:val="0"/>
              <w14:checkedState w14:val="2612" w14:font="MS Gothic"/>
              <w14:uncheckedState w14:val="2610" w14:font="MS Gothic"/>
            </w14:checkbox>
          </w:sdtPr>
          <w:sdtEndPr/>
          <w:sdtContent>
            <w:tc>
              <w:tcPr>
                <w:tcW w:w="428" w:type="dxa"/>
              </w:tcPr>
              <w:p w14:paraId="2D1B7270" w14:textId="77777777" w:rsidR="00115684" w:rsidRPr="00EB45F5" w:rsidRDefault="00115684">
                <w:pPr>
                  <w:spacing w:line="240" w:lineRule="auto"/>
                  <w:rPr>
                    <w:rFonts w:eastAsia="MS Gothic"/>
                    <w:sz w:val="25"/>
                    <w:szCs w:val="24"/>
                  </w:rPr>
                </w:pPr>
                <w:r w:rsidRPr="00EB45F5">
                  <w:rPr>
                    <w:rFonts w:eastAsia="MS Gothic" w:hint="eastAsia"/>
                    <w:sz w:val="25"/>
                    <w:szCs w:val="24"/>
                  </w:rPr>
                  <w:t>☐</w:t>
                </w:r>
              </w:p>
            </w:tc>
          </w:sdtContent>
        </w:sdt>
        <w:tc>
          <w:tcPr>
            <w:tcW w:w="7641" w:type="dxa"/>
            <w:gridSpan w:val="2"/>
          </w:tcPr>
          <w:p w14:paraId="1101FA06" w14:textId="23499DE7" w:rsidR="00115684" w:rsidRPr="004846C6" w:rsidRDefault="00E84D50">
            <w:pPr>
              <w:spacing w:line="240" w:lineRule="auto"/>
            </w:pPr>
            <w:r w:rsidRPr="004846C6">
              <w:t>a medical radiation technologist</w:t>
            </w:r>
          </w:p>
        </w:tc>
      </w:tr>
      <w:tr w:rsidR="00115684" w:rsidRPr="004846C6" w14:paraId="6D3B0DC5" w14:textId="77777777">
        <w:sdt>
          <w:sdtPr>
            <w:rPr>
              <w:sz w:val="25"/>
              <w:szCs w:val="24"/>
            </w:rPr>
            <w:id w:val="-494953795"/>
            <w14:checkbox>
              <w14:checked w14:val="0"/>
              <w14:checkedState w14:val="2612" w14:font="MS Gothic"/>
              <w14:uncheckedState w14:val="2610" w14:font="MS Gothic"/>
            </w14:checkbox>
          </w:sdtPr>
          <w:sdtEndPr/>
          <w:sdtContent>
            <w:tc>
              <w:tcPr>
                <w:tcW w:w="428" w:type="dxa"/>
              </w:tcPr>
              <w:p w14:paraId="4978E2E0" w14:textId="77777777" w:rsidR="00115684" w:rsidRPr="00EB45F5" w:rsidRDefault="00115684">
                <w:pPr>
                  <w:spacing w:line="240" w:lineRule="auto"/>
                  <w:rPr>
                    <w:rFonts w:eastAsia="MS Gothic"/>
                    <w:sz w:val="25"/>
                    <w:szCs w:val="24"/>
                  </w:rPr>
                </w:pPr>
                <w:r w:rsidRPr="00EB45F5">
                  <w:rPr>
                    <w:rFonts w:eastAsia="MS Gothic" w:hint="eastAsia"/>
                    <w:sz w:val="25"/>
                    <w:szCs w:val="24"/>
                  </w:rPr>
                  <w:t>☐</w:t>
                </w:r>
              </w:p>
            </w:tc>
          </w:sdtContent>
        </w:sdt>
        <w:tc>
          <w:tcPr>
            <w:tcW w:w="7641" w:type="dxa"/>
            <w:gridSpan w:val="2"/>
          </w:tcPr>
          <w:p w14:paraId="3DA49027" w14:textId="36BC102D" w:rsidR="00115684" w:rsidRPr="004846C6" w:rsidRDefault="00E84D50">
            <w:pPr>
              <w:spacing w:line="240" w:lineRule="auto"/>
            </w:pPr>
            <w:r w:rsidRPr="004846C6">
              <w:t>a medical physics expert</w:t>
            </w:r>
          </w:p>
        </w:tc>
      </w:tr>
      <w:tr w:rsidR="00115684" w:rsidRPr="004846C6" w14:paraId="575BE558" w14:textId="77777777">
        <w:sdt>
          <w:sdtPr>
            <w:rPr>
              <w:sz w:val="25"/>
              <w:szCs w:val="24"/>
            </w:rPr>
            <w:id w:val="-1689670646"/>
            <w14:checkbox>
              <w14:checked w14:val="0"/>
              <w14:checkedState w14:val="2612" w14:font="MS Gothic"/>
              <w14:uncheckedState w14:val="2610" w14:font="MS Gothic"/>
            </w14:checkbox>
          </w:sdtPr>
          <w:sdtEndPr/>
          <w:sdtContent>
            <w:tc>
              <w:tcPr>
                <w:tcW w:w="428" w:type="dxa"/>
              </w:tcPr>
              <w:p w14:paraId="0D8C2419" w14:textId="77777777" w:rsidR="00115684" w:rsidRPr="00EB45F5" w:rsidRDefault="00115684">
                <w:pPr>
                  <w:spacing w:line="240" w:lineRule="auto"/>
                  <w:rPr>
                    <w:rFonts w:eastAsia="MS Gothic"/>
                    <w:sz w:val="25"/>
                    <w:szCs w:val="24"/>
                  </w:rPr>
                </w:pPr>
                <w:r w:rsidRPr="00EB45F5">
                  <w:rPr>
                    <w:rFonts w:eastAsia="MS Gothic" w:hint="eastAsia"/>
                    <w:sz w:val="25"/>
                    <w:szCs w:val="24"/>
                  </w:rPr>
                  <w:t>☐</w:t>
                </w:r>
              </w:p>
            </w:tc>
          </w:sdtContent>
        </w:sdt>
        <w:tc>
          <w:tcPr>
            <w:tcW w:w="7641" w:type="dxa"/>
            <w:gridSpan w:val="2"/>
          </w:tcPr>
          <w:p w14:paraId="54518B5A" w14:textId="11B6524F" w:rsidR="00115684" w:rsidRPr="004846C6" w:rsidRDefault="00E84D50">
            <w:pPr>
              <w:spacing w:line="240" w:lineRule="auto"/>
            </w:pPr>
            <w:r w:rsidRPr="004846C6">
              <w:t>a qualified expert other than a servicing engineer, medical radiation technologist or a medical physics expert</w:t>
            </w:r>
          </w:p>
        </w:tc>
      </w:tr>
      <w:tr w:rsidR="00115684" w:rsidRPr="004846C6" w14:paraId="6D9C8A0F" w14:textId="77777777">
        <w:sdt>
          <w:sdtPr>
            <w:rPr>
              <w:sz w:val="25"/>
              <w:szCs w:val="24"/>
            </w:rPr>
            <w:id w:val="1568301313"/>
            <w14:checkbox>
              <w14:checked w14:val="0"/>
              <w14:checkedState w14:val="2612" w14:font="MS Gothic"/>
              <w14:uncheckedState w14:val="2610" w14:font="MS Gothic"/>
            </w14:checkbox>
          </w:sdtPr>
          <w:sdtEndPr/>
          <w:sdtContent>
            <w:tc>
              <w:tcPr>
                <w:tcW w:w="428" w:type="dxa"/>
              </w:tcPr>
              <w:p w14:paraId="7B7A3F26" w14:textId="77777777" w:rsidR="00115684" w:rsidRPr="00EB45F5" w:rsidRDefault="00115684">
                <w:pPr>
                  <w:spacing w:line="240" w:lineRule="auto"/>
                  <w:rPr>
                    <w:rFonts w:eastAsia="MS Gothic"/>
                    <w:sz w:val="25"/>
                    <w:szCs w:val="24"/>
                  </w:rPr>
                </w:pPr>
                <w:r w:rsidRPr="00EB45F5">
                  <w:rPr>
                    <w:rFonts w:eastAsia="MS Gothic" w:hint="eastAsia"/>
                    <w:sz w:val="25"/>
                    <w:szCs w:val="24"/>
                  </w:rPr>
                  <w:t>☐</w:t>
                </w:r>
              </w:p>
            </w:tc>
          </w:sdtContent>
        </w:sdt>
        <w:tc>
          <w:tcPr>
            <w:tcW w:w="7641" w:type="dxa"/>
            <w:gridSpan w:val="2"/>
          </w:tcPr>
          <w:p w14:paraId="1BD5A15F" w14:textId="4BDEA957" w:rsidR="00115684" w:rsidRPr="004846C6" w:rsidRDefault="00E84D50">
            <w:pPr>
              <w:spacing w:line="240" w:lineRule="auto"/>
            </w:pPr>
            <w:r w:rsidRPr="004846C6">
              <w:t>a supplier of radiological equipment</w:t>
            </w:r>
          </w:p>
        </w:tc>
      </w:tr>
      <w:tr w:rsidR="00115684" w:rsidRPr="004846C6" w14:paraId="5F9752F4" w14:textId="77777777">
        <w:sdt>
          <w:sdtPr>
            <w:rPr>
              <w:sz w:val="25"/>
              <w:szCs w:val="24"/>
            </w:rPr>
            <w:id w:val="1985962653"/>
            <w14:checkbox>
              <w14:checked w14:val="0"/>
              <w14:checkedState w14:val="2612" w14:font="MS Gothic"/>
              <w14:uncheckedState w14:val="2610" w14:font="MS Gothic"/>
            </w14:checkbox>
          </w:sdtPr>
          <w:sdtEndPr/>
          <w:sdtContent>
            <w:tc>
              <w:tcPr>
                <w:tcW w:w="428" w:type="dxa"/>
              </w:tcPr>
              <w:p w14:paraId="29694568" w14:textId="77777777" w:rsidR="00115684" w:rsidRPr="00EB45F5" w:rsidRDefault="00115684">
                <w:pPr>
                  <w:spacing w:line="240" w:lineRule="auto"/>
                  <w:rPr>
                    <w:rFonts w:eastAsia="MS Gothic"/>
                    <w:sz w:val="25"/>
                    <w:szCs w:val="24"/>
                  </w:rPr>
                </w:pPr>
                <w:r w:rsidRPr="00EB45F5">
                  <w:rPr>
                    <w:rFonts w:eastAsia="MS Gothic" w:hint="eastAsia"/>
                    <w:sz w:val="25"/>
                    <w:szCs w:val="24"/>
                  </w:rPr>
                  <w:t>☐</w:t>
                </w:r>
              </w:p>
            </w:tc>
          </w:sdtContent>
        </w:sdt>
        <w:tc>
          <w:tcPr>
            <w:tcW w:w="7641" w:type="dxa"/>
            <w:gridSpan w:val="2"/>
          </w:tcPr>
          <w:p w14:paraId="4698663F" w14:textId="1B632DCB" w:rsidR="00115684" w:rsidRPr="004846C6" w:rsidRDefault="00E84D50">
            <w:pPr>
              <w:spacing w:line="240" w:lineRule="auto"/>
            </w:pPr>
            <w:r w:rsidRPr="004846C6">
              <w:t>an organisation involved with</w:t>
            </w:r>
            <w:r>
              <w:t xml:space="preserve"> nuclear medicine</w:t>
            </w:r>
          </w:p>
        </w:tc>
      </w:tr>
      <w:tr w:rsidR="00115684" w:rsidRPr="004846C6" w14:paraId="7575CD22" w14:textId="77777777">
        <w:sdt>
          <w:sdtPr>
            <w:rPr>
              <w:sz w:val="25"/>
              <w:szCs w:val="24"/>
            </w:rPr>
            <w:id w:val="1395778646"/>
            <w14:checkbox>
              <w14:checked w14:val="0"/>
              <w14:checkedState w14:val="2612" w14:font="MS Gothic"/>
              <w14:uncheckedState w14:val="2610" w14:font="MS Gothic"/>
            </w14:checkbox>
          </w:sdtPr>
          <w:sdtEndPr/>
          <w:sdtContent>
            <w:tc>
              <w:tcPr>
                <w:tcW w:w="428" w:type="dxa"/>
              </w:tcPr>
              <w:p w14:paraId="4B565333" w14:textId="77777777" w:rsidR="00115684" w:rsidRPr="00EB45F5" w:rsidRDefault="00115684">
                <w:pPr>
                  <w:spacing w:line="240" w:lineRule="auto"/>
                  <w:rPr>
                    <w:rFonts w:eastAsia="MS Gothic"/>
                    <w:sz w:val="25"/>
                    <w:szCs w:val="24"/>
                  </w:rPr>
                </w:pPr>
                <w:r w:rsidRPr="00EB45F5">
                  <w:rPr>
                    <w:rFonts w:eastAsia="MS Gothic" w:hint="eastAsia"/>
                    <w:sz w:val="25"/>
                    <w:szCs w:val="24"/>
                  </w:rPr>
                  <w:t>☐</w:t>
                </w:r>
              </w:p>
            </w:tc>
          </w:sdtContent>
        </w:sdt>
        <w:tc>
          <w:tcPr>
            <w:tcW w:w="2124" w:type="dxa"/>
          </w:tcPr>
          <w:p w14:paraId="49C2AF55" w14:textId="2E25E0B9" w:rsidR="00115684" w:rsidRPr="004846C6" w:rsidRDefault="00E84D50">
            <w:pPr>
              <w:spacing w:line="240" w:lineRule="auto"/>
            </w:pPr>
            <w:r w:rsidRPr="004846C6">
              <w:t>other (please specify):</w:t>
            </w:r>
          </w:p>
        </w:tc>
        <w:tc>
          <w:tcPr>
            <w:tcW w:w="5517" w:type="dxa"/>
            <w:tcBorders>
              <w:bottom w:val="single" w:sz="4" w:space="0" w:color="auto"/>
            </w:tcBorders>
          </w:tcPr>
          <w:p w14:paraId="4CCD279F" w14:textId="77777777" w:rsidR="00115684" w:rsidRPr="004846C6" w:rsidRDefault="00115684">
            <w:pPr>
              <w:spacing w:line="240" w:lineRule="auto"/>
            </w:pPr>
          </w:p>
        </w:tc>
      </w:tr>
    </w:tbl>
    <w:p w14:paraId="434B9167" w14:textId="77777777" w:rsidR="00115684" w:rsidRPr="00475EAB" w:rsidRDefault="00115684" w:rsidP="00435CB3">
      <w:pPr>
        <w:pStyle w:val="Heading3"/>
        <w:ind w:firstLine="1277"/>
      </w:pPr>
      <w:r w:rsidRPr="00475EAB">
        <w:t>Privacy statement</w:t>
      </w:r>
    </w:p>
    <w:p w14:paraId="45160697" w14:textId="35726DEE" w:rsidR="00115684" w:rsidRPr="00475EAB" w:rsidRDefault="00115684" w:rsidP="00115684">
      <w:r w:rsidRPr="00475EAB">
        <w:t xml:space="preserve">The Ministry </w:t>
      </w:r>
      <w:r w:rsidR="00701896">
        <w:t>of Health – Manatū Hauora (</w:t>
      </w:r>
      <w:r w:rsidR="00C8685B">
        <w:t xml:space="preserve">the Ministry) </w:t>
      </w:r>
      <w:r w:rsidRPr="00475EAB">
        <w:t>may publish submissions on the Ministry’s website. If you are submitting as an individual, the Ministry will remove your personal details and any identifiable information.</w:t>
      </w:r>
    </w:p>
    <w:p w14:paraId="7907B774" w14:textId="77777777" w:rsidR="00115684" w:rsidRDefault="00115684" w:rsidP="00115684">
      <w:pPr>
        <w:keepNext/>
        <w:spacing w:after="120"/>
      </w:pPr>
      <w:r w:rsidRPr="00475EAB">
        <w:lastRenderedPageBreak/>
        <w:t>If you do not want your submission published on the Ministry’s website, please tick this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
        <w:gridCol w:w="7641"/>
      </w:tblGrid>
      <w:tr w:rsidR="00115684" w:rsidRPr="004B07D0" w14:paraId="1B912EE5" w14:textId="77777777">
        <w:sdt>
          <w:sdtPr>
            <w:rPr>
              <w:sz w:val="25"/>
              <w:szCs w:val="24"/>
            </w:rPr>
            <w:id w:val="-648901388"/>
            <w14:checkbox>
              <w14:checked w14:val="0"/>
              <w14:checkedState w14:val="2612" w14:font="MS Gothic"/>
              <w14:uncheckedState w14:val="2610" w14:font="MS Gothic"/>
            </w14:checkbox>
          </w:sdtPr>
          <w:sdtEndPr/>
          <w:sdtContent>
            <w:tc>
              <w:tcPr>
                <w:tcW w:w="428" w:type="dxa"/>
              </w:tcPr>
              <w:p w14:paraId="3815CCDC" w14:textId="77777777" w:rsidR="00115684" w:rsidRPr="004B07D0" w:rsidRDefault="00115684">
                <w:pPr>
                  <w:spacing w:line="240" w:lineRule="auto"/>
                </w:pPr>
                <w:r>
                  <w:rPr>
                    <w:rFonts w:ascii="MS Gothic" w:eastAsia="MS Gothic" w:hAnsi="MS Gothic" w:hint="eastAsia"/>
                    <w:sz w:val="25"/>
                    <w:szCs w:val="24"/>
                  </w:rPr>
                  <w:t>☐</w:t>
                </w:r>
              </w:p>
            </w:tc>
          </w:sdtContent>
        </w:sdt>
        <w:tc>
          <w:tcPr>
            <w:tcW w:w="7641" w:type="dxa"/>
            <w:vAlign w:val="center"/>
          </w:tcPr>
          <w:p w14:paraId="3760E72B" w14:textId="3A8490BE" w:rsidR="00115684" w:rsidRPr="004B07D0" w:rsidRDefault="00115684">
            <w:pPr>
              <w:spacing w:line="240" w:lineRule="auto"/>
            </w:pPr>
            <w:r w:rsidRPr="004B07D0">
              <w:t>Do not publish this submission</w:t>
            </w:r>
            <w:r w:rsidR="00C8685B">
              <w:t>.</w:t>
            </w:r>
          </w:p>
        </w:tc>
      </w:tr>
    </w:tbl>
    <w:p w14:paraId="2BC0CB9A" w14:textId="77777777" w:rsidR="00115684" w:rsidRPr="00475EAB" w:rsidRDefault="00115684" w:rsidP="00115684">
      <w:pPr>
        <w:keepNext/>
      </w:pPr>
    </w:p>
    <w:p w14:paraId="1E4FA691" w14:textId="02904794" w:rsidR="00115684" w:rsidRPr="00475EAB" w:rsidRDefault="00115684" w:rsidP="00115684">
      <w:pPr>
        <w:spacing w:after="120"/>
      </w:pPr>
      <w:r w:rsidRPr="00475EAB">
        <w:t xml:space="preserve">Your submission will be subject to requests made under the </w:t>
      </w:r>
      <w:hyperlink r:id="rId61" w:history="1">
        <w:r w:rsidR="008571A4" w:rsidRPr="0043350D">
          <w:rPr>
            <w:rStyle w:val="Hyperlink"/>
          </w:rPr>
          <w:t>Official Information Act 1982</w:t>
        </w:r>
      </w:hyperlink>
      <w:r w:rsidRPr="00475EAB">
        <w:t xml:space="preserve">. If you want your personal details removed from your submission, please tick this box: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
        <w:gridCol w:w="7641"/>
      </w:tblGrid>
      <w:tr w:rsidR="00115684" w:rsidRPr="00143235" w14:paraId="70A5A2D8" w14:textId="77777777">
        <w:sdt>
          <w:sdtPr>
            <w:rPr>
              <w:sz w:val="25"/>
              <w:szCs w:val="24"/>
            </w:rPr>
            <w:id w:val="1618639368"/>
            <w14:checkbox>
              <w14:checked w14:val="0"/>
              <w14:checkedState w14:val="2612" w14:font="MS Gothic"/>
              <w14:uncheckedState w14:val="2610" w14:font="MS Gothic"/>
            </w14:checkbox>
          </w:sdtPr>
          <w:sdtEndPr/>
          <w:sdtContent>
            <w:tc>
              <w:tcPr>
                <w:tcW w:w="428" w:type="dxa"/>
              </w:tcPr>
              <w:p w14:paraId="70B5D76C" w14:textId="77777777" w:rsidR="00115684" w:rsidRPr="00143235" w:rsidRDefault="00115684">
                <w:pPr>
                  <w:spacing w:line="240" w:lineRule="auto"/>
                </w:pPr>
                <w:r w:rsidRPr="00143235">
                  <w:rPr>
                    <w:rFonts w:eastAsia="MS Gothic" w:hint="eastAsia"/>
                    <w:sz w:val="25"/>
                    <w:szCs w:val="24"/>
                  </w:rPr>
                  <w:t>☐</w:t>
                </w:r>
              </w:p>
            </w:tc>
          </w:sdtContent>
        </w:sdt>
        <w:tc>
          <w:tcPr>
            <w:tcW w:w="7641" w:type="dxa"/>
            <w:vAlign w:val="center"/>
          </w:tcPr>
          <w:p w14:paraId="0B1646C5" w14:textId="486F16DC" w:rsidR="00115684" w:rsidRPr="00143235" w:rsidRDefault="00115684">
            <w:pPr>
              <w:spacing w:line="240" w:lineRule="auto"/>
            </w:pPr>
            <w:r w:rsidRPr="00143235">
              <w:t>Remove my personal details from responses to Official Information Act 1982 requests</w:t>
            </w:r>
            <w:r w:rsidR="008571A4">
              <w:t>.</w:t>
            </w:r>
          </w:p>
        </w:tc>
      </w:tr>
    </w:tbl>
    <w:p w14:paraId="1D6529EA" w14:textId="77777777" w:rsidR="00115684" w:rsidRPr="00475EAB" w:rsidRDefault="00115684" w:rsidP="00115684">
      <w:pPr>
        <w:spacing w:before="120"/>
      </w:pPr>
    </w:p>
    <w:p w14:paraId="4D05A9C8" w14:textId="77777777" w:rsidR="00115684" w:rsidRPr="00475EAB" w:rsidRDefault="00115684" w:rsidP="00115684">
      <w:pPr>
        <w:spacing w:before="120"/>
        <w:rPr>
          <w:b/>
          <w:bCs/>
        </w:rPr>
      </w:pPr>
      <w:r w:rsidRPr="00475EAB">
        <w:rPr>
          <w:b/>
          <w:bCs/>
        </w:rPr>
        <w:t xml:space="preserve">Please return this form: </w:t>
      </w:r>
    </w:p>
    <w:p w14:paraId="6D4F4B33" w14:textId="77777777" w:rsidR="00115684" w:rsidRPr="00475EAB" w:rsidRDefault="00115684" w:rsidP="00115684">
      <w:r w:rsidRPr="00475EAB">
        <w:t xml:space="preserve">By email to: </w:t>
      </w:r>
      <w:hyperlink r:id="rId62" w:history="1">
        <w:r w:rsidRPr="00475EAB">
          <w:rPr>
            <w:rStyle w:val="Hyperlink"/>
          </w:rPr>
          <w:t>ors.codes@health.govt.nz</w:t>
        </w:r>
      </w:hyperlink>
      <w:r w:rsidRPr="00475EAB">
        <w:t xml:space="preserve"> </w:t>
      </w:r>
    </w:p>
    <w:p w14:paraId="1604D2CC" w14:textId="77777777" w:rsidR="00115684" w:rsidRPr="00475EAB" w:rsidRDefault="00115684" w:rsidP="00115684">
      <w:pPr>
        <w:ind w:left="1134" w:hanging="1134"/>
      </w:pPr>
      <w:r w:rsidRPr="00475EAB">
        <w:t xml:space="preserve">By post to: </w:t>
      </w:r>
      <w:r w:rsidRPr="00475EAB">
        <w:tab/>
        <w:t xml:space="preserve">Office of Radiation Safety </w:t>
      </w:r>
      <w:r>
        <w:t>C2</w:t>
      </w:r>
      <w:r w:rsidRPr="00475EAB">
        <w:br/>
        <w:t>Ministry of Health</w:t>
      </w:r>
      <w:r w:rsidRPr="00475EAB">
        <w:br/>
        <w:t>PO Box 5013</w:t>
      </w:r>
      <w:r w:rsidRPr="00475EAB">
        <w:br/>
        <w:t>Wellington 6140</w:t>
      </w:r>
    </w:p>
    <w:p w14:paraId="5217ABE8" w14:textId="77777777" w:rsidR="00115684" w:rsidRPr="00475EAB" w:rsidRDefault="00115684" w:rsidP="001E1BC4">
      <w:pPr>
        <w:pStyle w:val="Heading3"/>
        <w:ind w:left="0"/>
      </w:pPr>
      <w:r w:rsidRPr="00475EAB">
        <w:t>Consultation questions</w:t>
      </w:r>
    </w:p>
    <w:p w14:paraId="712ACE47" w14:textId="1B54B781" w:rsidR="00115684" w:rsidRDefault="00115684" w:rsidP="00115684">
      <w:pPr>
        <w:rPr>
          <w:b/>
          <w:bCs/>
        </w:rPr>
      </w:pPr>
      <w:bookmarkStart w:id="135" w:name="_Toc449001267"/>
      <w:bookmarkStart w:id="136" w:name="_Toc450059027"/>
      <w:bookmarkStart w:id="137" w:name="_Hlk160547158"/>
      <w:r>
        <w:rPr>
          <w:b/>
          <w:bCs/>
        </w:rPr>
        <w:t>The Director</w:t>
      </w:r>
      <w:r w:rsidRPr="00475EAB">
        <w:rPr>
          <w:b/>
          <w:bCs/>
        </w:rPr>
        <w:t xml:space="preserve"> </w:t>
      </w:r>
      <w:r>
        <w:rPr>
          <w:b/>
          <w:bCs/>
        </w:rPr>
        <w:t xml:space="preserve">for Radiation Safety </w:t>
      </w:r>
      <w:r w:rsidR="00335AF6">
        <w:rPr>
          <w:b/>
          <w:bCs/>
        </w:rPr>
        <w:t xml:space="preserve">(the Director) </w:t>
      </w:r>
      <w:r w:rsidRPr="00475EAB">
        <w:rPr>
          <w:b/>
          <w:bCs/>
        </w:rPr>
        <w:t>is specifically seeking feedback and comments on the following:</w:t>
      </w:r>
    </w:p>
    <w:p w14:paraId="0DBF8C3F" w14:textId="0E2032F0" w:rsidR="004C41BF" w:rsidRDefault="004C41BF" w:rsidP="004C41BF">
      <w:pPr>
        <w:pStyle w:val="Number"/>
        <w:numPr>
          <w:ilvl w:val="0"/>
          <w:numId w:val="0"/>
        </w:numPr>
        <w:ind w:left="567" w:hanging="567"/>
      </w:pPr>
      <w:r>
        <w:t>1.</w:t>
      </w:r>
      <w:r>
        <w:tab/>
        <w:t>Is restricting the scope of the revised C2 to unsealed radioactive material appropriate?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4C41BF" w:rsidRPr="004B07D0" w14:paraId="32136888" w14:textId="77777777">
        <w:sdt>
          <w:sdtPr>
            <w:rPr>
              <w:sz w:val="25"/>
              <w:szCs w:val="24"/>
            </w:rPr>
            <w:id w:val="-1254275178"/>
            <w14:checkbox>
              <w14:checked w14:val="0"/>
              <w14:checkedState w14:val="2612" w14:font="MS Gothic"/>
              <w14:uncheckedState w14:val="2610" w14:font="MS Gothic"/>
            </w14:checkbox>
          </w:sdtPr>
          <w:sdtEndPr/>
          <w:sdtContent>
            <w:tc>
              <w:tcPr>
                <w:tcW w:w="428" w:type="dxa"/>
              </w:tcPr>
              <w:p w14:paraId="42A8322E" w14:textId="5B7DA6D9" w:rsidR="004C41BF" w:rsidRPr="004B07D0" w:rsidRDefault="00757FF0">
                <w:pPr>
                  <w:spacing w:line="240" w:lineRule="auto"/>
                </w:pPr>
                <w:r>
                  <w:rPr>
                    <w:rFonts w:ascii="MS Gothic" w:eastAsia="MS Gothic" w:hAnsi="MS Gothic" w:hint="eastAsia"/>
                    <w:sz w:val="25"/>
                    <w:szCs w:val="24"/>
                  </w:rPr>
                  <w:t>☐</w:t>
                </w:r>
              </w:p>
            </w:tc>
          </w:sdtContent>
        </w:sdt>
        <w:tc>
          <w:tcPr>
            <w:tcW w:w="7641" w:type="dxa"/>
            <w:vAlign w:val="center"/>
          </w:tcPr>
          <w:p w14:paraId="4999F331" w14:textId="77777777" w:rsidR="004C41BF" w:rsidRPr="004B07D0" w:rsidRDefault="004C41BF">
            <w:pPr>
              <w:spacing w:line="240" w:lineRule="auto"/>
            </w:pPr>
            <w:r>
              <w:t>Yes</w:t>
            </w:r>
          </w:p>
        </w:tc>
      </w:tr>
      <w:tr w:rsidR="004C41BF" w:rsidRPr="004B07D0" w14:paraId="60E35B35" w14:textId="77777777">
        <w:sdt>
          <w:sdtPr>
            <w:rPr>
              <w:sz w:val="25"/>
              <w:szCs w:val="24"/>
            </w:rPr>
            <w:id w:val="-2018530039"/>
            <w14:checkbox>
              <w14:checked w14:val="0"/>
              <w14:checkedState w14:val="2612" w14:font="MS Gothic"/>
              <w14:uncheckedState w14:val="2610" w14:font="MS Gothic"/>
            </w14:checkbox>
          </w:sdtPr>
          <w:sdtEndPr/>
          <w:sdtContent>
            <w:tc>
              <w:tcPr>
                <w:tcW w:w="428" w:type="dxa"/>
              </w:tcPr>
              <w:p w14:paraId="2D9DF90E" w14:textId="77777777" w:rsidR="004C41BF" w:rsidRDefault="004C41BF">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20686B26" w14:textId="77777777" w:rsidR="004C41BF" w:rsidRPr="004B07D0" w:rsidRDefault="004C41BF">
            <w:r>
              <w:t>No</w:t>
            </w:r>
          </w:p>
        </w:tc>
      </w:tr>
    </w:tbl>
    <w:p w14:paraId="0D2EE842" w14:textId="77777777" w:rsidR="004C41BF" w:rsidRPr="00475EAB" w:rsidRDefault="004C41BF" w:rsidP="004C41BF">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4C41BF" w:rsidRPr="00475EAB" w14:paraId="6085AF0D" w14:textId="77777777">
        <w:trPr>
          <w:cantSplit/>
          <w:trHeight w:val="1701"/>
        </w:trPr>
        <w:tc>
          <w:tcPr>
            <w:tcW w:w="7626" w:type="dxa"/>
          </w:tcPr>
          <w:p w14:paraId="5B90E3F2" w14:textId="77777777" w:rsidR="004C41BF" w:rsidRPr="00475EAB" w:rsidRDefault="004C41B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66D40F38" w14:textId="0E930905" w:rsidR="004C41BF" w:rsidRDefault="004C41BF" w:rsidP="004C41BF">
      <w:pPr>
        <w:pStyle w:val="Number"/>
        <w:numPr>
          <w:ilvl w:val="0"/>
          <w:numId w:val="0"/>
        </w:numPr>
        <w:ind w:left="567" w:hanging="567"/>
      </w:pPr>
      <w:r>
        <w:t xml:space="preserve">2. </w:t>
      </w:r>
      <w:r w:rsidR="00757FF0">
        <w:tab/>
        <w:t>Is describing nuclear medicine as ‘</w:t>
      </w:r>
      <w:r w:rsidR="00757FF0" w:rsidRPr="00757FF0">
        <w:t>the use of unsealed radionuclides in medicine for diagnosis, staging of disease, therapy and monitoring the response of a disease process. This includes but is not limited to the use of unsealed radioactive material in imaging, in vivo diagnostics, and as tracers</w:t>
      </w:r>
      <w:r w:rsidR="00757FF0">
        <w:t xml:space="preserve">’ </w:t>
      </w:r>
      <w:r w:rsidR="00B34774">
        <w:t>accurate</w:t>
      </w:r>
      <w:r w:rsidR="00757FF0">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757FF0" w:rsidRPr="004B07D0" w14:paraId="4FFCBDC6" w14:textId="77777777">
        <w:sdt>
          <w:sdtPr>
            <w:rPr>
              <w:sz w:val="25"/>
              <w:szCs w:val="24"/>
            </w:rPr>
            <w:id w:val="-2052831639"/>
            <w14:checkbox>
              <w14:checked w14:val="0"/>
              <w14:checkedState w14:val="2612" w14:font="MS Gothic"/>
              <w14:uncheckedState w14:val="2610" w14:font="MS Gothic"/>
            </w14:checkbox>
          </w:sdtPr>
          <w:sdtEndPr/>
          <w:sdtContent>
            <w:tc>
              <w:tcPr>
                <w:tcW w:w="428" w:type="dxa"/>
              </w:tcPr>
              <w:p w14:paraId="4AA72ECD" w14:textId="197BA8FD" w:rsidR="00757FF0" w:rsidRPr="004B07D0" w:rsidRDefault="00757FF0">
                <w:pPr>
                  <w:spacing w:line="240" w:lineRule="auto"/>
                </w:pPr>
                <w:r>
                  <w:rPr>
                    <w:rFonts w:ascii="MS Gothic" w:eastAsia="MS Gothic" w:hAnsi="MS Gothic" w:hint="eastAsia"/>
                    <w:sz w:val="25"/>
                    <w:szCs w:val="24"/>
                  </w:rPr>
                  <w:t>☐</w:t>
                </w:r>
              </w:p>
            </w:tc>
          </w:sdtContent>
        </w:sdt>
        <w:tc>
          <w:tcPr>
            <w:tcW w:w="7641" w:type="dxa"/>
            <w:vAlign w:val="center"/>
          </w:tcPr>
          <w:p w14:paraId="0ABB56C7" w14:textId="77777777" w:rsidR="00757FF0" w:rsidRPr="004B07D0" w:rsidRDefault="00757FF0">
            <w:pPr>
              <w:spacing w:line="240" w:lineRule="auto"/>
            </w:pPr>
            <w:r>
              <w:t>Yes</w:t>
            </w:r>
          </w:p>
        </w:tc>
      </w:tr>
      <w:tr w:rsidR="00757FF0" w:rsidRPr="004B07D0" w14:paraId="6E94E639" w14:textId="77777777">
        <w:sdt>
          <w:sdtPr>
            <w:rPr>
              <w:sz w:val="25"/>
              <w:szCs w:val="24"/>
            </w:rPr>
            <w:id w:val="1920362359"/>
            <w14:checkbox>
              <w14:checked w14:val="0"/>
              <w14:checkedState w14:val="2612" w14:font="MS Gothic"/>
              <w14:uncheckedState w14:val="2610" w14:font="MS Gothic"/>
            </w14:checkbox>
          </w:sdtPr>
          <w:sdtEndPr/>
          <w:sdtContent>
            <w:tc>
              <w:tcPr>
                <w:tcW w:w="428" w:type="dxa"/>
              </w:tcPr>
              <w:p w14:paraId="2E093896" w14:textId="77777777" w:rsidR="00757FF0" w:rsidRDefault="00757FF0">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32CC9C4C" w14:textId="77777777" w:rsidR="00757FF0" w:rsidRPr="004B07D0" w:rsidRDefault="00757FF0">
            <w:r>
              <w:t>No</w:t>
            </w:r>
          </w:p>
        </w:tc>
      </w:tr>
    </w:tbl>
    <w:p w14:paraId="61511802" w14:textId="77777777" w:rsidR="00757FF0" w:rsidRPr="00475EAB" w:rsidRDefault="00757FF0" w:rsidP="00757FF0">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757FF0" w:rsidRPr="00475EAB" w14:paraId="15720A00" w14:textId="77777777">
        <w:trPr>
          <w:cantSplit/>
          <w:trHeight w:val="1701"/>
        </w:trPr>
        <w:tc>
          <w:tcPr>
            <w:tcW w:w="7626" w:type="dxa"/>
          </w:tcPr>
          <w:p w14:paraId="7F12F5F1" w14:textId="77777777" w:rsidR="00757FF0" w:rsidRPr="00475EAB" w:rsidRDefault="00757FF0">
            <w:pPr>
              <w:pStyle w:val="TableText"/>
            </w:pPr>
            <w:r w:rsidRPr="00475EAB">
              <w:lastRenderedPageBreak/>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12386252" w14:textId="3178EDB6" w:rsidR="00115684" w:rsidRPr="004C41BF" w:rsidRDefault="00757FF0" w:rsidP="004C41BF">
      <w:pPr>
        <w:pStyle w:val="Number"/>
        <w:numPr>
          <w:ilvl w:val="0"/>
          <w:numId w:val="0"/>
        </w:numPr>
        <w:ind w:left="567" w:hanging="567"/>
      </w:pPr>
      <w:r>
        <w:t>3</w:t>
      </w:r>
      <w:r w:rsidR="004C41BF">
        <w:t>.</w:t>
      </w:r>
      <w:r w:rsidR="004C41BF">
        <w:tab/>
      </w:r>
      <w:r w:rsidR="004C41BF" w:rsidRPr="004C41BF">
        <w:t>Is the proposed interpretation of ‘medical physics expert’ appropriate?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115684" w:rsidRPr="004B07D0" w14:paraId="2DD73F66" w14:textId="77777777">
        <w:sdt>
          <w:sdtPr>
            <w:rPr>
              <w:sz w:val="25"/>
              <w:szCs w:val="24"/>
            </w:rPr>
            <w:id w:val="-543597070"/>
            <w14:checkbox>
              <w14:checked w14:val="0"/>
              <w14:checkedState w14:val="2612" w14:font="MS Gothic"/>
              <w14:uncheckedState w14:val="2610" w14:font="MS Gothic"/>
            </w14:checkbox>
          </w:sdtPr>
          <w:sdtEndPr/>
          <w:sdtContent>
            <w:tc>
              <w:tcPr>
                <w:tcW w:w="428" w:type="dxa"/>
              </w:tcPr>
              <w:p w14:paraId="1820A641" w14:textId="7F600028" w:rsidR="00115684" w:rsidRPr="004B07D0" w:rsidRDefault="004C41BF">
                <w:pPr>
                  <w:spacing w:line="240" w:lineRule="auto"/>
                </w:pPr>
                <w:r>
                  <w:rPr>
                    <w:rFonts w:ascii="MS Gothic" w:eastAsia="MS Gothic" w:hAnsi="MS Gothic" w:hint="eastAsia"/>
                    <w:sz w:val="25"/>
                    <w:szCs w:val="24"/>
                  </w:rPr>
                  <w:t>☐</w:t>
                </w:r>
              </w:p>
            </w:tc>
          </w:sdtContent>
        </w:sdt>
        <w:tc>
          <w:tcPr>
            <w:tcW w:w="7641" w:type="dxa"/>
            <w:vAlign w:val="center"/>
          </w:tcPr>
          <w:p w14:paraId="3796C383" w14:textId="77777777" w:rsidR="00115684" w:rsidRPr="004B07D0" w:rsidRDefault="00115684">
            <w:pPr>
              <w:spacing w:line="240" w:lineRule="auto"/>
            </w:pPr>
            <w:r>
              <w:t>Yes</w:t>
            </w:r>
          </w:p>
        </w:tc>
      </w:tr>
      <w:tr w:rsidR="00115684" w:rsidRPr="004B07D0" w14:paraId="46BA343F" w14:textId="77777777">
        <w:sdt>
          <w:sdtPr>
            <w:rPr>
              <w:sz w:val="25"/>
              <w:szCs w:val="24"/>
            </w:rPr>
            <w:id w:val="-1638024672"/>
            <w14:checkbox>
              <w14:checked w14:val="0"/>
              <w14:checkedState w14:val="2612" w14:font="MS Gothic"/>
              <w14:uncheckedState w14:val="2610" w14:font="MS Gothic"/>
            </w14:checkbox>
          </w:sdtPr>
          <w:sdtEndPr/>
          <w:sdtContent>
            <w:tc>
              <w:tcPr>
                <w:tcW w:w="428" w:type="dxa"/>
              </w:tcPr>
              <w:p w14:paraId="35A7F87C" w14:textId="77777777" w:rsidR="00115684" w:rsidRDefault="00115684">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07F46B04" w14:textId="77777777" w:rsidR="00115684" w:rsidRPr="004B07D0" w:rsidRDefault="00115684">
            <w:r>
              <w:t>No</w:t>
            </w:r>
          </w:p>
        </w:tc>
      </w:tr>
    </w:tbl>
    <w:p w14:paraId="70732CC6" w14:textId="77777777" w:rsidR="00115684" w:rsidRPr="00475EAB" w:rsidRDefault="00115684" w:rsidP="00115684">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115684" w:rsidRPr="00475EAB" w14:paraId="7562CDC1" w14:textId="77777777">
        <w:trPr>
          <w:cantSplit/>
          <w:trHeight w:val="1701"/>
        </w:trPr>
        <w:tc>
          <w:tcPr>
            <w:tcW w:w="7626" w:type="dxa"/>
          </w:tcPr>
          <w:p w14:paraId="0D89AA9C" w14:textId="77777777" w:rsidR="00115684" w:rsidRPr="00475EAB" w:rsidRDefault="00115684">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bookmarkEnd w:id="135"/>
    <w:bookmarkEnd w:id="136"/>
    <w:p w14:paraId="028F32BF" w14:textId="68463D76" w:rsidR="006A6ADB" w:rsidRDefault="006A6ADB" w:rsidP="006A6ADB">
      <w:pPr>
        <w:spacing w:before="240"/>
        <w:ind w:left="567" w:hanging="567"/>
      </w:pPr>
      <w:r>
        <w:t>4.</w:t>
      </w:r>
      <w:r>
        <w:tab/>
        <w:t>Is the proposed interpretation of an ‘overexposure of a person’ appropriate and complete?</w:t>
      </w:r>
    </w:p>
    <w:p w14:paraId="4A9A74D8" w14:textId="77777777" w:rsidR="006A6ADB" w:rsidRDefault="006A6ADB" w:rsidP="006A6ADB">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6A6ADB" w:rsidRPr="004B07D0" w14:paraId="65724684" w14:textId="77777777" w:rsidTr="007B41B1">
        <w:sdt>
          <w:sdtPr>
            <w:rPr>
              <w:sz w:val="25"/>
              <w:szCs w:val="24"/>
            </w:rPr>
            <w:id w:val="-557701043"/>
            <w14:checkbox>
              <w14:checked w14:val="0"/>
              <w14:checkedState w14:val="2612" w14:font="MS Gothic"/>
              <w14:uncheckedState w14:val="2610" w14:font="MS Gothic"/>
            </w14:checkbox>
          </w:sdtPr>
          <w:sdtEndPr/>
          <w:sdtContent>
            <w:tc>
              <w:tcPr>
                <w:tcW w:w="428" w:type="dxa"/>
              </w:tcPr>
              <w:p w14:paraId="228169CD" w14:textId="77777777" w:rsidR="006A6ADB" w:rsidRPr="004B07D0" w:rsidRDefault="006A6ADB" w:rsidP="007B41B1">
                <w:pPr>
                  <w:spacing w:line="240" w:lineRule="auto"/>
                </w:pPr>
                <w:r>
                  <w:rPr>
                    <w:rFonts w:ascii="MS Gothic" w:eastAsia="MS Gothic" w:hAnsi="MS Gothic" w:hint="eastAsia"/>
                    <w:sz w:val="25"/>
                    <w:szCs w:val="24"/>
                  </w:rPr>
                  <w:t>☐</w:t>
                </w:r>
              </w:p>
            </w:tc>
          </w:sdtContent>
        </w:sdt>
        <w:tc>
          <w:tcPr>
            <w:tcW w:w="7641" w:type="dxa"/>
            <w:vAlign w:val="center"/>
          </w:tcPr>
          <w:p w14:paraId="59C49418" w14:textId="77777777" w:rsidR="006A6ADB" w:rsidRPr="004B07D0" w:rsidRDefault="006A6ADB" w:rsidP="007B41B1">
            <w:pPr>
              <w:spacing w:line="240" w:lineRule="auto"/>
            </w:pPr>
            <w:r>
              <w:t>Yes</w:t>
            </w:r>
          </w:p>
        </w:tc>
      </w:tr>
      <w:tr w:rsidR="006A6ADB" w:rsidRPr="004B07D0" w14:paraId="7663BFBB" w14:textId="77777777" w:rsidTr="007B41B1">
        <w:sdt>
          <w:sdtPr>
            <w:rPr>
              <w:sz w:val="25"/>
              <w:szCs w:val="24"/>
            </w:rPr>
            <w:id w:val="1689176497"/>
            <w14:checkbox>
              <w14:checked w14:val="0"/>
              <w14:checkedState w14:val="2612" w14:font="MS Gothic"/>
              <w14:uncheckedState w14:val="2610" w14:font="MS Gothic"/>
            </w14:checkbox>
          </w:sdtPr>
          <w:sdtEndPr/>
          <w:sdtContent>
            <w:tc>
              <w:tcPr>
                <w:tcW w:w="428" w:type="dxa"/>
              </w:tcPr>
              <w:p w14:paraId="6C082213" w14:textId="77777777" w:rsidR="006A6ADB" w:rsidRDefault="006A6ADB"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0F1010DE" w14:textId="77777777" w:rsidR="006A6ADB" w:rsidRPr="004B07D0" w:rsidRDefault="006A6ADB" w:rsidP="007B41B1">
            <w:r>
              <w:t>No</w:t>
            </w:r>
          </w:p>
        </w:tc>
      </w:tr>
    </w:tbl>
    <w:p w14:paraId="6BBF53C7" w14:textId="77777777" w:rsidR="006A6ADB" w:rsidRPr="00475EAB" w:rsidRDefault="006A6ADB" w:rsidP="006A6ADB">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6A6ADB" w:rsidRPr="00475EAB" w14:paraId="1B7BCD56" w14:textId="77777777" w:rsidTr="007B41B1">
        <w:trPr>
          <w:cantSplit/>
          <w:trHeight w:val="1701"/>
        </w:trPr>
        <w:tc>
          <w:tcPr>
            <w:tcW w:w="7626" w:type="dxa"/>
          </w:tcPr>
          <w:p w14:paraId="25FDFA65" w14:textId="77777777" w:rsidR="006A6ADB" w:rsidRPr="00475EAB" w:rsidRDefault="006A6ADB" w:rsidP="007B41B1">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23E60560" w14:textId="422E6A1D" w:rsidR="006A6ADB" w:rsidRDefault="006A6ADB" w:rsidP="006A6ADB">
      <w:pPr>
        <w:spacing w:before="240"/>
        <w:ind w:left="567" w:hanging="567"/>
      </w:pPr>
      <w:r>
        <w:t>5.</w:t>
      </w:r>
      <w:r>
        <w:tab/>
        <w:t>Is interpretation of ‘radioactive waste’ appropriate?</w:t>
      </w:r>
    </w:p>
    <w:p w14:paraId="4A6903E6" w14:textId="77777777" w:rsidR="006A6ADB" w:rsidRDefault="006A6ADB" w:rsidP="006A6ADB">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6A6ADB" w:rsidRPr="004B07D0" w14:paraId="0EB96D9E" w14:textId="77777777" w:rsidTr="007B41B1">
        <w:sdt>
          <w:sdtPr>
            <w:rPr>
              <w:sz w:val="25"/>
              <w:szCs w:val="24"/>
            </w:rPr>
            <w:id w:val="-73053824"/>
            <w14:checkbox>
              <w14:checked w14:val="0"/>
              <w14:checkedState w14:val="2612" w14:font="MS Gothic"/>
              <w14:uncheckedState w14:val="2610" w14:font="MS Gothic"/>
            </w14:checkbox>
          </w:sdtPr>
          <w:sdtEndPr/>
          <w:sdtContent>
            <w:tc>
              <w:tcPr>
                <w:tcW w:w="428" w:type="dxa"/>
              </w:tcPr>
              <w:p w14:paraId="39C76818" w14:textId="77777777" w:rsidR="006A6ADB" w:rsidRPr="004B07D0" w:rsidRDefault="006A6ADB" w:rsidP="007B41B1">
                <w:pPr>
                  <w:spacing w:line="240" w:lineRule="auto"/>
                </w:pPr>
                <w:r>
                  <w:rPr>
                    <w:rFonts w:ascii="MS Gothic" w:eastAsia="MS Gothic" w:hAnsi="MS Gothic" w:hint="eastAsia"/>
                    <w:sz w:val="25"/>
                    <w:szCs w:val="24"/>
                  </w:rPr>
                  <w:t>☐</w:t>
                </w:r>
              </w:p>
            </w:tc>
          </w:sdtContent>
        </w:sdt>
        <w:tc>
          <w:tcPr>
            <w:tcW w:w="7641" w:type="dxa"/>
            <w:vAlign w:val="center"/>
          </w:tcPr>
          <w:p w14:paraId="31F13CE2" w14:textId="77777777" w:rsidR="006A6ADB" w:rsidRPr="004B07D0" w:rsidRDefault="006A6ADB" w:rsidP="007B41B1">
            <w:pPr>
              <w:spacing w:line="240" w:lineRule="auto"/>
            </w:pPr>
            <w:r>
              <w:t>Yes</w:t>
            </w:r>
          </w:p>
        </w:tc>
      </w:tr>
      <w:tr w:rsidR="006A6ADB" w:rsidRPr="004B07D0" w14:paraId="43AEBAF5" w14:textId="77777777" w:rsidTr="007B41B1">
        <w:sdt>
          <w:sdtPr>
            <w:rPr>
              <w:sz w:val="25"/>
              <w:szCs w:val="24"/>
            </w:rPr>
            <w:id w:val="257570420"/>
            <w14:checkbox>
              <w14:checked w14:val="0"/>
              <w14:checkedState w14:val="2612" w14:font="MS Gothic"/>
              <w14:uncheckedState w14:val="2610" w14:font="MS Gothic"/>
            </w14:checkbox>
          </w:sdtPr>
          <w:sdtEndPr/>
          <w:sdtContent>
            <w:tc>
              <w:tcPr>
                <w:tcW w:w="428" w:type="dxa"/>
              </w:tcPr>
              <w:p w14:paraId="7AAEECC2" w14:textId="77777777" w:rsidR="006A6ADB" w:rsidRDefault="006A6ADB"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23BDCEAE" w14:textId="77777777" w:rsidR="006A6ADB" w:rsidRPr="004B07D0" w:rsidRDefault="006A6ADB" w:rsidP="007B41B1">
            <w:r>
              <w:t>No</w:t>
            </w:r>
          </w:p>
        </w:tc>
      </w:tr>
    </w:tbl>
    <w:p w14:paraId="2147295D" w14:textId="77777777" w:rsidR="006A6ADB" w:rsidRPr="00475EAB" w:rsidRDefault="006A6ADB" w:rsidP="006A6ADB">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6A6ADB" w:rsidRPr="00475EAB" w14:paraId="2C7E5CF5" w14:textId="77777777" w:rsidTr="007B41B1">
        <w:trPr>
          <w:cantSplit/>
          <w:trHeight w:val="1701"/>
        </w:trPr>
        <w:tc>
          <w:tcPr>
            <w:tcW w:w="7626" w:type="dxa"/>
          </w:tcPr>
          <w:p w14:paraId="420A9EE4" w14:textId="77777777" w:rsidR="006A6ADB" w:rsidRPr="00475EAB" w:rsidRDefault="006A6ADB" w:rsidP="007B41B1">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46FFA113" w14:textId="77777777" w:rsidR="006A6ADB" w:rsidRDefault="006A6ADB" w:rsidP="00D8673C">
      <w:pPr>
        <w:spacing w:before="240"/>
        <w:ind w:left="567" w:hanging="567"/>
      </w:pPr>
    </w:p>
    <w:p w14:paraId="65753329" w14:textId="77777777" w:rsidR="006A6ADB" w:rsidRDefault="006A6ADB" w:rsidP="00D8673C">
      <w:pPr>
        <w:spacing w:before="240"/>
        <w:ind w:left="567" w:hanging="567"/>
      </w:pPr>
    </w:p>
    <w:p w14:paraId="07734A54" w14:textId="77777777" w:rsidR="006A6ADB" w:rsidRDefault="006A6ADB" w:rsidP="00D8673C">
      <w:pPr>
        <w:spacing w:before="240"/>
        <w:ind w:left="567" w:hanging="567"/>
      </w:pPr>
    </w:p>
    <w:p w14:paraId="0F1A26D3" w14:textId="63766C64" w:rsidR="009B32C9" w:rsidRDefault="006A6ADB" w:rsidP="00D8673C">
      <w:pPr>
        <w:spacing w:before="240"/>
        <w:ind w:left="567" w:hanging="567"/>
      </w:pPr>
      <w:r>
        <w:t>6</w:t>
      </w:r>
      <w:r w:rsidR="009B32C9">
        <w:t>.</w:t>
      </w:r>
      <w:r w:rsidR="009B32C9">
        <w:tab/>
        <w:t>In the proposed interpretation of ‘</w:t>
      </w:r>
      <w:bookmarkStart w:id="138" w:name="_Hlk160689909"/>
      <w:r w:rsidR="009B32C9">
        <w:t>referring practitioner</w:t>
      </w:r>
      <w:bookmarkEnd w:id="138"/>
      <w:r w:rsidR="009B32C9">
        <w:t>’, ‘health professional’ has replaced ‘health practitioner’. Is this an appropriate change?</w:t>
      </w:r>
    </w:p>
    <w:p w14:paraId="795022D3" w14:textId="77777777" w:rsidR="009B32C9" w:rsidRDefault="009B32C9" w:rsidP="009B32C9">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9B32C9" w:rsidRPr="004B07D0" w14:paraId="6AFFD9B2" w14:textId="77777777" w:rsidTr="007B41B1">
        <w:sdt>
          <w:sdtPr>
            <w:rPr>
              <w:sz w:val="25"/>
              <w:szCs w:val="24"/>
            </w:rPr>
            <w:id w:val="1058604743"/>
            <w14:checkbox>
              <w14:checked w14:val="0"/>
              <w14:checkedState w14:val="2612" w14:font="MS Gothic"/>
              <w14:uncheckedState w14:val="2610" w14:font="MS Gothic"/>
            </w14:checkbox>
          </w:sdtPr>
          <w:sdtEndPr/>
          <w:sdtContent>
            <w:tc>
              <w:tcPr>
                <w:tcW w:w="428" w:type="dxa"/>
              </w:tcPr>
              <w:p w14:paraId="1254EA82" w14:textId="77777777" w:rsidR="009B32C9" w:rsidRPr="004B07D0" w:rsidRDefault="009B32C9" w:rsidP="007B41B1">
                <w:pPr>
                  <w:spacing w:line="240" w:lineRule="auto"/>
                </w:pPr>
                <w:r>
                  <w:rPr>
                    <w:rFonts w:ascii="MS Gothic" w:eastAsia="MS Gothic" w:hAnsi="MS Gothic" w:hint="eastAsia"/>
                    <w:sz w:val="25"/>
                    <w:szCs w:val="24"/>
                  </w:rPr>
                  <w:t>☐</w:t>
                </w:r>
              </w:p>
            </w:tc>
          </w:sdtContent>
        </w:sdt>
        <w:tc>
          <w:tcPr>
            <w:tcW w:w="7641" w:type="dxa"/>
            <w:vAlign w:val="center"/>
          </w:tcPr>
          <w:p w14:paraId="5EB54408" w14:textId="77777777" w:rsidR="009B32C9" w:rsidRPr="004B07D0" w:rsidRDefault="009B32C9" w:rsidP="007B41B1">
            <w:pPr>
              <w:spacing w:line="240" w:lineRule="auto"/>
            </w:pPr>
            <w:r>
              <w:t>Yes</w:t>
            </w:r>
          </w:p>
        </w:tc>
      </w:tr>
      <w:tr w:rsidR="009B32C9" w:rsidRPr="004B07D0" w14:paraId="57756ACC" w14:textId="77777777" w:rsidTr="007B41B1">
        <w:sdt>
          <w:sdtPr>
            <w:rPr>
              <w:sz w:val="25"/>
              <w:szCs w:val="24"/>
            </w:rPr>
            <w:id w:val="1565917463"/>
            <w14:checkbox>
              <w14:checked w14:val="0"/>
              <w14:checkedState w14:val="2612" w14:font="MS Gothic"/>
              <w14:uncheckedState w14:val="2610" w14:font="MS Gothic"/>
            </w14:checkbox>
          </w:sdtPr>
          <w:sdtEndPr/>
          <w:sdtContent>
            <w:tc>
              <w:tcPr>
                <w:tcW w:w="428" w:type="dxa"/>
              </w:tcPr>
              <w:p w14:paraId="744F65FD" w14:textId="77777777" w:rsidR="009B32C9" w:rsidRDefault="009B32C9"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2508A382" w14:textId="77777777" w:rsidR="009B32C9" w:rsidRPr="004B07D0" w:rsidRDefault="009B32C9" w:rsidP="007B41B1">
            <w:r>
              <w:t>No</w:t>
            </w:r>
          </w:p>
        </w:tc>
      </w:tr>
    </w:tbl>
    <w:p w14:paraId="4E8EF345" w14:textId="77777777" w:rsidR="009B32C9" w:rsidRPr="00475EAB" w:rsidRDefault="009B32C9" w:rsidP="009B32C9">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9B32C9" w:rsidRPr="00475EAB" w14:paraId="668E25E7" w14:textId="77777777" w:rsidTr="007B41B1">
        <w:trPr>
          <w:cantSplit/>
          <w:trHeight w:val="1701"/>
        </w:trPr>
        <w:tc>
          <w:tcPr>
            <w:tcW w:w="7626" w:type="dxa"/>
          </w:tcPr>
          <w:p w14:paraId="5D176BC4" w14:textId="77777777" w:rsidR="009B32C9" w:rsidRPr="00475EAB" w:rsidRDefault="009B32C9" w:rsidP="007B41B1">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6D57B71A" w14:textId="1A7E214B" w:rsidR="004C41BF" w:rsidRDefault="00C17A73" w:rsidP="004932AE">
      <w:pPr>
        <w:spacing w:before="240"/>
        <w:ind w:left="567" w:hanging="567"/>
      </w:pPr>
      <w:r>
        <w:t>7</w:t>
      </w:r>
      <w:r w:rsidR="004C41BF">
        <w:t>.</w:t>
      </w:r>
      <w:r w:rsidR="004C41BF">
        <w:tab/>
        <w:t>Is the proposed interpretation of an ‘</w:t>
      </w:r>
      <w:bookmarkStart w:id="139" w:name="_Hlk160689932"/>
      <w:r w:rsidR="004C41BF">
        <w:t>underexposure of a person</w:t>
      </w:r>
      <w:bookmarkEnd w:id="139"/>
      <w:r w:rsidR="004C41BF">
        <w:t>’ appropriate and complete</w:t>
      </w:r>
      <w:r w:rsidR="005B72D9">
        <w:t>, and is the requirement to notify the Director appropriate</w:t>
      </w:r>
      <w:r w:rsidR="004C41BF">
        <w:t>?</w:t>
      </w:r>
    </w:p>
    <w:p w14:paraId="59183F4E" w14:textId="77777777" w:rsidR="004C41BF" w:rsidRDefault="004C41BF" w:rsidP="004C41BF">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4C41BF" w:rsidRPr="004B07D0" w14:paraId="30E03865" w14:textId="77777777">
        <w:sdt>
          <w:sdtPr>
            <w:rPr>
              <w:sz w:val="25"/>
              <w:szCs w:val="24"/>
            </w:rPr>
            <w:id w:val="-2064937533"/>
            <w14:checkbox>
              <w14:checked w14:val="0"/>
              <w14:checkedState w14:val="2612" w14:font="MS Gothic"/>
              <w14:uncheckedState w14:val="2610" w14:font="MS Gothic"/>
            </w14:checkbox>
          </w:sdtPr>
          <w:sdtEndPr/>
          <w:sdtContent>
            <w:tc>
              <w:tcPr>
                <w:tcW w:w="428" w:type="dxa"/>
              </w:tcPr>
              <w:p w14:paraId="12416BAE" w14:textId="77777777" w:rsidR="004C41BF" w:rsidRPr="004B07D0" w:rsidRDefault="004C41BF">
                <w:pPr>
                  <w:spacing w:line="240" w:lineRule="auto"/>
                </w:pPr>
                <w:r>
                  <w:rPr>
                    <w:rFonts w:ascii="MS Gothic" w:eastAsia="MS Gothic" w:hAnsi="MS Gothic" w:hint="eastAsia"/>
                    <w:sz w:val="25"/>
                    <w:szCs w:val="24"/>
                  </w:rPr>
                  <w:t>☐</w:t>
                </w:r>
              </w:p>
            </w:tc>
          </w:sdtContent>
        </w:sdt>
        <w:tc>
          <w:tcPr>
            <w:tcW w:w="7641" w:type="dxa"/>
            <w:vAlign w:val="center"/>
          </w:tcPr>
          <w:p w14:paraId="72CCAB9A" w14:textId="77777777" w:rsidR="004C41BF" w:rsidRPr="004B07D0" w:rsidRDefault="004C41BF">
            <w:pPr>
              <w:spacing w:line="240" w:lineRule="auto"/>
            </w:pPr>
            <w:r>
              <w:t>Yes</w:t>
            </w:r>
          </w:p>
        </w:tc>
      </w:tr>
      <w:tr w:rsidR="004C41BF" w:rsidRPr="004B07D0" w14:paraId="37FA436D" w14:textId="77777777">
        <w:sdt>
          <w:sdtPr>
            <w:rPr>
              <w:sz w:val="25"/>
              <w:szCs w:val="24"/>
            </w:rPr>
            <w:id w:val="-705331007"/>
            <w14:checkbox>
              <w14:checked w14:val="0"/>
              <w14:checkedState w14:val="2612" w14:font="MS Gothic"/>
              <w14:uncheckedState w14:val="2610" w14:font="MS Gothic"/>
            </w14:checkbox>
          </w:sdtPr>
          <w:sdtEndPr/>
          <w:sdtContent>
            <w:tc>
              <w:tcPr>
                <w:tcW w:w="428" w:type="dxa"/>
              </w:tcPr>
              <w:p w14:paraId="24E04180" w14:textId="77777777" w:rsidR="004C41BF" w:rsidRDefault="004C41BF">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4A3D97ED" w14:textId="77777777" w:rsidR="004C41BF" w:rsidRPr="004B07D0" w:rsidRDefault="004C41BF">
            <w:r>
              <w:t>No</w:t>
            </w:r>
          </w:p>
        </w:tc>
      </w:tr>
    </w:tbl>
    <w:p w14:paraId="16F98EC2" w14:textId="77777777" w:rsidR="004C41BF" w:rsidRPr="00475EAB" w:rsidRDefault="004C41BF" w:rsidP="004C41BF">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4C41BF" w:rsidRPr="00475EAB" w14:paraId="6617B4AC" w14:textId="77777777">
        <w:trPr>
          <w:cantSplit/>
          <w:trHeight w:val="1701"/>
        </w:trPr>
        <w:tc>
          <w:tcPr>
            <w:tcW w:w="7626" w:type="dxa"/>
          </w:tcPr>
          <w:p w14:paraId="7EE65A00" w14:textId="77777777" w:rsidR="004C41BF" w:rsidRPr="00475EAB" w:rsidRDefault="004C41B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69C7B242" w14:textId="07CD7746" w:rsidR="004C41BF" w:rsidRDefault="00C17A73" w:rsidP="004932AE">
      <w:pPr>
        <w:spacing w:before="240"/>
        <w:ind w:left="567" w:hanging="567"/>
      </w:pPr>
      <w:r>
        <w:t>8</w:t>
      </w:r>
      <w:r w:rsidR="004C41BF">
        <w:t>.</w:t>
      </w:r>
      <w:r w:rsidR="004C41BF">
        <w:tab/>
        <w:t>Is the proposed interpretation of a ‘</w:t>
      </w:r>
      <w:bookmarkStart w:id="140" w:name="_Hlk160689952"/>
      <w:r w:rsidR="004C41BF">
        <w:t>user of unsealed radioactive material</w:t>
      </w:r>
      <w:bookmarkEnd w:id="140"/>
      <w:r w:rsidR="004C41BF">
        <w:t>’ appropriate and comprehensive?</w:t>
      </w:r>
    </w:p>
    <w:p w14:paraId="2D0E808B" w14:textId="77777777" w:rsidR="004C41BF" w:rsidRDefault="004C41BF" w:rsidP="004C41BF">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4C41BF" w:rsidRPr="004B07D0" w14:paraId="1632ED99" w14:textId="77777777">
        <w:sdt>
          <w:sdtPr>
            <w:rPr>
              <w:sz w:val="25"/>
              <w:szCs w:val="24"/>
            </w:rPr>
            <w:id w:val="596675599"/>
            <w14:checkbox>
              <w14:checked w14:val="0"/>
              <w14:checkedState w14:val="2612" w14:font="MS Gothic"/>
              <w14:uncheckedState w14:val="2610" w14:font="MS Gothic"/>
            </w14:checkbox>
          </w:sdtPr>
          <w:sdtEndPr/>
          <w:sdtContent>
            <w:tc>
              <w:tcPr>
                <w:tcW w:w="428" w:type="dxa"/>
              </w:tcPr>
              <w:p w14:paraId="206623EC" w14:textId="77777777" w:rsidR="004C41BF" w:rsidRPr="004B07D0" w:rsidRDefault="004C41BF">
                <w:pPr>
                  <w:spacing w:line="240" w:lineRule="auto"/>
                </w:pPr>
                <w:r>
                  <w:rPr>
                    <w:rFonts w:ascii="MS Gothic" w:eastAsia="MS Gothic" w:hAnsi="MS Gothic" w:hint="eastAsia"/>
                    <w:sz w:val="25"/>
                    <w:szCs w:val="24"/>
                  </w:rPr>
                  <w:t>☐</w:t>
                </w:r>
              </w:p>
            </w:tc>
          </w:sdtContent>
        </w:sdt>
        <w:tc>
          <w:tcPr>
            <w:tcW w:w="7641" w:type="dxa"/>
            <w:vAlign w:val="center"/>
          </w:tcPr>
          <w:p w14:paraId="097CDCE5" w14:textId="77777777" w:rsidR="004C41BF" w:rsidRPr="004B07D0" w:rsidRDefault="004C41BF">
            <w:pPr>
              <w:spacing w:line="240" w:lineRule="auto"/>
            </w:pPr>
            <w:r>
              <w:t>Yes</w:t>
            </w:r>
          </w:p>
        </w:tc>
      </w:tr>
      <w:tr w:rsidR="004C41BF" w:rsidRPr="004B07D0" w14:paraId="6AE9AEA0" w14:textId="77777777">
        <w:sdt>
          <w:sdtPr>
            <w:rPr>
              <w:sz w:val="25"/>
              <w:szCs w:val="24"/>
            </w:rPr>
            <w:id w:val="-2048675016"/>
            <w14:checkbox>
              <w14:checked w14:val="0"/>
              <w14:checkedState w14:val="2612" w14:font="MS Gothic"/>
              <w14:uncheckedState w14:val="2610" w14:font="MS Gothic"/>
            </w14:checkbox>
          </w:sdtPr>
          <w:sdtEndPr/>
          <w:sdtContent>
            <w:tc>
              <w:tcPr>
                <w:tcW w:w="428" w:type="dxa"/>
              </w:tcPr>
              <w:p w14:paraId="3AD1C719" w14:textId="77777777" w:rsidR="004C41BF" w:rsidRDefault="004C41BF">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1CCFCC9F" w14:textId="77777777" w:rsidR="004C41BF" w:rsidRPr="004B07D0" w:rsidRDefault="004C41BF">
            <w:r>
              <w:t>No</w:t>
            </w:r>
          </w:p>
        </w:tc>
      </w:tr>
    </w:tbl>
    <w:p w14:paraId="21DD192D" w14:textId="77777777" w:rsidR="004C41BF" w:rsidRPr="00475EAB" w:rsidRDefault="004C41BF" w:rsidP="004C41BF">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4C41BF" w:rsidRPr="00475EAB" w14:paraId="50E1725A" w14:textId="77777777">
        <w:trPr>
          <w:cantSplit/>
          <w:trHeight w:val="1701"/>
        </w:trPr>
        <w:tc>
          <w:tcPr>
            <w:tcW w:w="7626" w:type="dxa"/>
          </w:tcPr>
          <w:p w14:paraId="3A1BA04D" w14:textId="77777777" w:rsidR="004C41BF" w:rsidRPr="00475EAB" w:rsidRDefault="004C41B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667049EE" w14:textId="5DF8D110" w:rsidR="004C41BF" w:rsidRDefault="00F12366" w:rsidP="004932AE">
      <w:pPr>
        <w:spacing w:before="240"/>
        <w:ind w:left="567" w:hanging="567"/>
      </w:pPr>
      <w:r>
        <w:t>9</w:t>
      </w:r>
      <w:r w:rsidR="00757FF0">
        <w:t>.</w:t>
      </w:r>
      <w:r w:rsidR="00757FF0">
        <w:tab/>
      </w:r>
      <w:bookmarkStart w:id="141" w:name="_Hlk161142876"/>
      <w:r w:rsidR="004C41BF">
        <w:t xml:space="preserve">Is </w:t>
      </w:r>
      <w:r w:rsidR="00757FF0">
        <w:t xml:space="preserve">the replacement of the requirement in </w:t>
      </w:r>
      <w:r w:rsidR="00B975BD">
        <w:t xml:space="preserve">clause </w:t>
      </w:r>
      <w:bookmarkStart w:id="142" w:name="_Hlk160689967"/>
      <w:r>
        <w:t>5</w:t>
      </w:r>
      <w:r w:rsidR="00B975BD">
        <w:t>(c)</w:t>
      </w:r>
      <w:r>
        <w:t>(ii)</w:t>
      </w:r>
      <w:bookmarkEnd w:id="142"/>
      <w:r w:rsidR="00B975BD">
        <w:t xml:space="preserve"> </w:t>
      </w:r>
      <w:r w:rsidR="00757FF0">
        <w:t>for an ‘emergency shower</w:t>
      </w:r>
      <w:r w:rsidR="00066295">
        <w:t xml:space="preserve">’ by a requirement for </w:t>
      </w:r>
      <w:bookmarkStart w:id="143" w:name="_Hlk160689984"/>
      <w:r w:rsidR="00066295">
        <w:t>‘</w:t>
      </w:r>
      <w:r w:rsidR="00066295" w:rsidRPr="00066295">
        <w:t>where appropriate, a shower for the decontamination of a person contaminated with radioactive materia</w:t>
      </w:r>
      <w:r w:rsidR="00066295">
        <w:t>l</w:t>
      </w:r>
      <w:r w:rsidR="00B975BD">
        <w:t xml:space="preserve">’ </w:t>
      </w:r>
      <w:bookmarkEnd w:id="143"/>
      <w:r w:rsidR="00066295">
        <w:t>appropriate?</w:t>
      </w:r>
      <w:bookmarkEnd w:id="141"/>
    </w:p>
    <w:p w14:paraId="7CD12578" w14:textId="77777777" w:rsidR="004C41BF" w:rsidRDefault="004C41BF" w:rsidP="004C41BF">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4C41BF" w:rsidRPr="004B07D0" w14:paraId="34191E29" w14:textId="77777777">
        <w:sdt>
          <w:sdtPr>
            <w:rPr>
              <w:sz w:val="25"/>
              <w:szCs w:val="24"/>
            </w:rPr>
            <w:id w:val="-1756740255"/>
            <w14:checkbox>
              <w14:checked w14:val="0"/>
              <w14:checkedState w14:val="2612" w14:font="MS Gothic"/>
              <w14:uncheckedState w14:val="2610" w14:font="MS Gothic"/>
            </w14:checkbox>
          </w:sdtPr>
          <w:sdtEndPr/>
          <w:sdtContent>
            <w:tc>
              <w:tcPr>
                <w:tcW w:w="428" w:type="dxa"/>
              </w:tcPr>
              <w:p w14:paraId="7E977004" w14:textId="77777777" w:rsidR="004C41BF" w:rsidRPr="004B07D0" w:rsidRDefault="004C41BF">
                <w:pPr>
                  <w:spacing w:line="240" w:lineRule="auto"/>
                </w:pPr>
                <w:r>
                  <w:rPr>
                    <w:rFonts w:ascii="MS Gothic" w:eastAsia="MS Gothic" w:hAnsi="MS Gothic" w:hint="eastAsia"/>
                    <w:sz w:val="25"/>
                    <w:szCs w:val="24"/>
                  </w:rPr>
                  <w:t>☐</w:t>
                </w:r>
              </w:p>
            </w:tc>
          </w:sdtContent>
        </w:sdt>
        <w:tc>
          <w:tcPr>
            <w:tcW w:w="7641" w:type="dxa"/>
            <w:vAlign w:val="center"/>
          </w:tcPr>
          <w:p w14:paraId="12B13A60" w14:textId="77777777" w:rsidR="004C41BF" w:rsidRPr="004B07D0" w:rsidRDefault="004C41BF">
            <w:pPr>
              <w:spacing w:line="240" w:lineRule="auto"/>
            </w:pPr>
            <w:r>
              <w:t>Yes</w:t>
            </w:r>
          </w:p>
        </w:tc>
      </w:tr>
      <w:tr w:rsidR="004C41BF" w:rsidRPr="004B07D0" w14:paraId="3BD4B9C8" w14:textId="77777777">
        <w:sdt>
          <w:sdtPr>
            <w:rPr>
              <w:sz w:val="25"/>
              <w:szCs w:val="24"/>
            </w:rPr>
            <w:id w:val="-19405600"/>
            <w14:checkbox>
              <w14:checked w14:val="0"/>
              <w14:checkedState w14:val="2612" w14:font="MS Gothic"/>
              <w14:uncheckedState w14:val="2610" w14:font="MS Gothic"/>
            </w14:checkbox>
          </w:sdtPr>
          <w:sdtEndPr/>
          <w:sdtContent>
            <w:tc>
              <w:tcPr>
                <w:tcW w:w="428" w:type="dxa"/>
              </w:tcPr>
              <w:p w14:paraId="42A6E7F5" w14:textId="77777777" w:rsidR="004C41BF" w:rsidRDefault="004C41BF">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181D6C69" w14:textId="77777777" w:rsidR="004C41BF" w:rsidRPr="004B07D0" w:rsidRDefault="004C41BF">
            <w:r>
              <w:t>No</w:t>
            </w:r>
          </w:p>
        </w:tc>
      </w:tr>
    </w:tbl>
    <w:p w14:paraId="6AE80BFD" w14:textId="77777777" w:rsidR="004C41BF" w:rsidRPr="00475EAB" w:rsidRDefault="004C41BF" w:rsidP="004C41BF">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4C41BF" w:rsidRPr="00475EAB" w14:paraId="7ECD042D" w14:textId="77777777">
        <w:trPr>
          <w:cantSplit/>
          <w:trHeight w:val="1701"/>
        </w:trPr>
        <w:tc>
          <w:tcPr>
            <w:tcW w:w="7626" w:type="dxa"/>
          </w:tcPr>
          <w:p w14:paraId="6320DD0C" w14:textId="77777777" w:rsidR="004C41BF" w:rsidRPr="00475EAB" w:rsidRDefault="004C41B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02EE2DD7" w14:textId="55DBA826" w:rsidR="00F12366" w:rsidRDefault="00EC5F60" w:rsidP="00F12366">
      <w:pPr>
        <w:spacing w:before="240"/>
        <w:ind w:left="567" w:hanging="567"/>
      </w:pPr>
      <w:r>
        <w:t>10</w:t>
      </w:r>
      <w:r w:rsidR="00F12366">
        <w:t>.</w:t>
      </w:r>
      <w:r w:rsidR="00F12366">
        <w:tab/>
      </w:r>
      <w:bookmarkStart w:id="144" w:name="_Hlk160690065"/>
      <w:r w:rsidR="00F12366">
        <w:t>Is the requirement in clause 5</w:t>
      </w:r>
      <w:bookmarkStart w:id="145" w:name="_Hlk160689997"/>
      <w:r w:rsidR="00F12366">
        <w:t>(e)</w:t>
      </w:r>
      <w:bookmarkEnd w:id="145"/>
      <w:r w:rsidR="00F12366">
        <w:t xml:space="preserve"> for radiation shielding to be approved by a medical physics expert or another qualified expert appropriate?</w:t>
      </w:r>
      <w:bookmarkEnd w:id="144"/>
    </w:p>
    <w:p w14:paraId="066146FC" w14:textId="77777777" w:rsidR="00F12366" w:rsidRDefault="00F12366" w:rsidP="00F12366">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F12366" w:rsidRPr="004B07D0" w14:paraId="63731D48" w14:textId="77777777" w:rsidTr="007B41B1">
        <w:sdt>
          <w:sdtPr>
            <w:rPr>
              <w:sz w:val="25"/>
              <w:szCs w:val="24"/>
            </w:rPr>
            <w:id w:val="-1865894993"/>
            <w14:checkbox>
              <w14:checked w14:val="0"/>
              <w14:checkedState w14:val="2612" w14:font="MS Gothic"/>
              <w14:uncheckedState w14:val="2610" w14:font="MS Gothic"/>
            </w14:checkbox>
          </w:sdtPr>
          <w:sdtEndPr/>
          <w:sdtContent>
            <w:tc>
              <w:tcPr>
                <w:tcW w:w="428" w:type="dxa"/>
              </w:tcPr>
              <w:p w14:paraId="5CECD5AA" w14:textId="77777777" w:rsidR="00F12366" w:rsidRPr="004B07D0" w:rsidRDefault="00F12366" w:rsidP="007B41B1">
                <w:pPr>
                  <w:spacing w:line="240" w:lineRule="auto"/>
                </w:pPr>
                <w:r>
                  <w:rPr>
                    <w:rFonts w:ascii="MS Gothic" w:eastAsia="MS Gothic" w:hAnsi="MS Gothic" w:hint="eastAsia"/>
                    <w:sz w:val="25"/>
                    <w:szCs w:val="24"/>
                  </w:rPr>
                  <w:t>☐</w:t>
                </w:r>
              </w:p>
            </w:tc>
          </w:sdtContent>
        </w:sdt>
        <w:tc>
          <w:tcPr>
            <w:tcW w:w="7641" w:type="dxa"/>
            <w:vAlign w:val="center"/>
          </w:tcPr>
          <w:p w14:paraId="04CDBA5C" w14:textId="77777777" w:rsidR="00F12366" w:rsidRPr="004B07D0" w:rsidRDefault="00F12366" w:rsidP="007B41B1">
            <w:pPr>
              <w:spacing w:line="240" w:lineRule="auto"/>
            </w:pPr>
            <w:r>
              <w:t>Yes</w:t>
            </w:r>
          </w:p>
        </w:tc>
      </w:tr>
      <w:tr w:rsidR="00F12366" w:rsidRPr="004B07D0" w14:paraId="33DE5D06" w14:textId="77777777" w:rsidTr="007B41B1">
        <w:sdt>
          <w:sdtPr>
            <w:rPr>
              <w:sz w:val="25"/>
              <w:szCs w:val="24"/>
            </w:rPr>
            <w:id w:val="-1436050239"/>
            <w14:checkbox>
              <w14:checked w14:val="0"/>
              <w14:checkedState w14:val="2612" w14:font="MS Gothic"/>
              <w14:uncheckedState w14:val="2610" w14:font="MS Gothic"/>
            </w14:checkbox>
          </w:sdtPr>
          <w:sdtEndPr/>
          <w:sdtContent>
            <w:tc>
              <w:tcPr>
                <w:tcW w:w="428" w:type="dxa"/>
              </w:tcPr>
              <w:p w14:paraId="52374665" w14:textId="77777777" w:rsidR="00F12366" w:rsidRDefault="00F12366"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2D947878" w14:textId="77777777" w:rsidR="00F12366" w:rsidRPr="004B07D0" w:rsidRDefault="00F12366" w:rsidP="007B41B1">
            <w:r>
              <w:t>No</w:t>
            </w:r>
          </w:p>
        </w:tc>
      </w:tr>
    </w:tbl>
    <w:p w14:paraId="74A38951" w14:textId="77777777" w:rsidR="00F12366" w:rsidRPr="00475EAB" w:rsidRDefault="00F12366" w:rsidP="00F12366">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F12366" w:rsidRPr="00475EAB" w14:paraId="33387A83" w14:textId="77777777" w:rsidTr="007B41B1">
        <w:trPr>
          <w:cantSplit/>
          <w:trHeight w:val="1701"/>
        </w:trPr>
        <w:tc>
          <w:tcPr>
            <w:tcW w:w="7626" w:type="dxa"/>
          </w:tcPr>
          <w:p w14:paraId="40D7D5F9" w14:textId="77777777" w:rsidR="00F12366" w:rsidRPr="00475EAB" w:rsidRDefault="00F12366" w:rsidP="007B41B1">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6ADDE28C" w14:textId="68B040ED" w:rsidR="00CC269A" w:rsidRDefault="00CC269A" w:rsidP="00CC269A">
      <w:pPr>
        <w:spacing w:before="240" w:after="240"/>
        <w:ind w:left="567" w:hanging="567"/>
      </w:pPr>
      <w:r>
        <w:t>11.</w:t>
      </w:r>
      <w:r>
        <w:tab/>
      </w:r>
      <w:bookmarkStart w:id="146" w:name="_Hlk160690055"/>
      <w:r>
        <w:t xml:space="preserve">Are the requirements in clause </w:t>
      </w:r>
      <w:bookmarkStart w:id="147" w:name="_Hlk160690042"/>
      <w:r>
        <w:t xml:space="preserve">6(j) and 6(k) </w:t>
      </w:r>
      <w:bookmarkEnd w:id="147"/>
      <w:r>
        <w:t>of the revised C2 for the disposal of radioactive waste, such as potentially limits being added to source licences, appropriate and adequate?</w:t>
      </w:r>
      <w:bookmarkEnd w:id="146"/>
    </w:p>
    <w:p w14:paraId="5D490267" w14:textId="77777777" w:rsidR="00CC269A" w:rsidRDefault="00CC269A" w:rsidP="00CC269A">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CC269A" w:rsidRPr="004B07D0" w14:paraId="0491F636" w14:textId="77777777" w:rsidTr="007B41B1">
        <w:sdt>
          <w:sdtPr>
            <w:rPr>
              <w:sz w:val="25"/>
              <w:szCs w:val="24"/>
            </w:rPr>
            <w:id w:val="-2095772039"/>
            <w14:checkbox>
              <w14:checked w14:val="0"/>
              <w14:checkedState w14:val="2612" w14:font="MS Gothic"/>
              <w14:uncheckedState w14:val="2610" w14:font="MS Gothic"/>
            </w14:checkbox>
          </w:sdtPr>
          <w:sdtEndPr/>
          <w:sdtContent>
            <w:tc>
              <w:tcPr>
                <w:tcW w:w="428" w:type="dxa"/>
              </w:tcPr>
              <w:p w14:paraId="54EE18D6" w14:textId="77777777" w:rsidR="00CC269A" w:rsidRPr="004B07D0" w:rsidRDefault="00CC269A" w:rsidP="007B41B1">
                <w:pPr>
                  <w:spacing w:line="240" w:lineRule="auto"/>
                </w:pPr>
                <w:r>
                  <w:rPr>
                    <w:rFonts w:ascii="MS Gothic" w:eastAsia="MS Gothic" w:hAnsi="MS Gothic" w:hint="eastAsia"/>
                    <w:sz w:val="25"/>
                    <w:szCs w:val="24"/>
                  </w:rPr>
                  <w:t>☐</w:t>
                </w:r>
              </w:p>
            </w:tc>
          </w:sdtContent>
        </w:sdt>
        <w:tc>
          <w:tcPr>
            <w:tcW w:w="7641" w:type="dxa"/>
            <w:vAlign w:val="center"/>
          </w:tcPr>
          <w:p w14:paraId="4D3BA767" w14:textId="77777777" w:rsidR="00CC269A" w:rsidRPr="004B07D0" w:rsidRDefault="00CC269A" w:rsidP="007B41B1">
            <w:pPr>
              <w:spacing w:line="240" w:lineRule="auto"/>
            </w:pPr>
            <w:r>
              <w:t>Yes</w:t>
            </w:r>
          </w:p>
        </w:tc>
      </w:tr>
      <w:tr w:rsidR="00CC269A" w:rsidRPr="004B07D0" w14:paraId="3400B63D" w14:textId="77777777" w:rsidTr="007B41B1">
        <w:sdt>
          <w:sdtPr>
            <w:rPr>
              <w:sz w:val="25"/>
              <w:szCs w:val="24"/>
            </w:rPr>
            <w:id w:val="-1932423888"/>
            <w14:checkbox>
              <w14:checked w14:val="0"/>
              <w14:checkedState w14:val="2612" w14:font="MS Gothic"/>
              <w14:uncheckedState w14:val="2610" w14:font="MS Gothic"/>
            </w14:checkbox>
          </w:sdtPr>
          <w:sdtEndPr/>
          <w:sdtContent>
            <w:tc>
              <w:tcPr>
                <w:tcW w:w="428" w:type="dxa"/>
              </w:tcPr>
              <w:p w14:paraId="6E9F1649" w14:textId="77777777" w:rsidR="00CC269A" w:rsidRDefault="00CC269A"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6826CFD9" w14:textId="77777777" w:rsidR="00CC269A" w:rsidRPr="004B07D0" w:rsidRDefault="00CC269A" w:rsidP="007B41B1">
            <w:r>
              <w:t>No</w:t>
            </w:r>
          </w:p>
        </w:tc>
      </w:tr>
    </w:tbl>
    <w:p w14:paraId="1A5C060C" w14:textId="77777777" w:rsidR="00CC269A" w:rsidRPr="00475EAB" w:rsidRDefault="00CC269A" w:rsidP="00CC269A">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CC269A" w:rsidRPr="00475EAB" w14:paraId="363B56E9" w14:textId="77777777" w:rsidTr="007B41B1">
        <w:trPr>
          <w:cantSplit/>
          <w:trHeight w:val="1701"/>
        </w:trPr>
        <w:tc>
          <w:tcPr>
            <w:tcW w:w="7626" w:type="dxa"/>
          </w:tcPr>
          <w:p w14:paraId="5760C390" w14:textId="77777777" w:rsidR="00CC269A" w:rsidRPr="00475EAB" w:rsidRDefault="00CC269A" w:rsidP="007B41B1">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36424D0F" w14:textId="2F155FC8" w:rsidR="00B975BD" w:rsidRDefault="00B975BD" w:rsidP="004932AE">
      <w:pPr>
        <w:spacing w:before="240"/>
        <w:ind w:left="567" w:hanging="567"/>
      </w:pPr>
      <w:r>
        <w:t>1</w:t>
      </w:r>
      <w:r w:rsidR="00CC269A">
        <w:t>2</w:t>
      </w:r>
      <w:r>
        <w:t>.</w:t>
      </w:r>
      <w:r>
        <w:tab/>
      </w:r>
      <w:bookmarkStart w:id="148" w:name="_Hlk161142919"/>
      <w:bookmarkStart w:id="149" w:name="_Hlk160690083"/>
      <w:r w:rsidR="00C01EFC">
        <w:t>‘</w:t>
      </w:r>
      <w:r w:rsidR="00C01EFC" w:rsidRPr="00B975BD">
        <w:t>3 Bq/cm</w:t>
      </w:r>
      <w:r w:rsidR="00C01EFC" w:rsidRPr="00B975BD">
        <w:rPr>
          <w:vertAlign w:val="superscript"/>
        </w:rPr>
        <w:t>2</w:t>
      </w:r>
      <w:r w:rsidR="00C01EFC">
        <w:rPr>
          <w:vertAlign w:val="superscript"/>
        </w:rPr>
        <w:t xml:space="preserve">‘ </w:t>
      </w:r>
      <w:r w:rsidR="00C01EFC">
        <w:t xml:space="preserve">is referenced in clause 10(f) of </w:t>
      </w:r>
      <w:r w:rsidR="0067062E">
        <w:t xml:space="preserve">the current </w:t>
      </w:r>
      <w:r w:rsidR="00C01EFC">
        <w:t xml:space="preserve">C2. Is the </w:t>
      </w:r>
      <w:r w:rsidR="009437E4">
        <w:t xml:space="preserve">removal of the reference </w:t>
      </w:r>
      <w:r w:rsidR="00C01EFC">
        <w:t xml:space="preserve">from </w:t>
      </w:r>
      <w:r>
        <w:t xml:space="preserve">clause 11(f) </w:t>
      </w:r>
      <w:r w:rsidR="00657572">
        <w:t xml:space="preserve">of revised C2 </w:t>
      </w:r>
      <w:r>
        <w:t>appropriate?</w:t>
      </w:r>
      <w:bookmarkEnd w:id="148"/>
    </w:p>
    <w:bookmarkEnd w:id="149"/>
    <w:p w14:paraId="289318CF" w14:textId="77777777" w:rsidR="00B975BD" w:rsidRDefault="00B975BD" w:rsidP="00B975BD">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B975BD" w:rsidRPr="004B07D0" w14:paraId="3143A8B0" w14:textId="77777777">
        <w:sdt>
          <w:sdtPr>
            <w:rPr>
              <w:sz w:val="25"/>
              <w:szCs w:val="24"/>
            </w:rPr>
            <w:id w:val="-117921923"/>
            <w14:checkbox>
              <w14:checked w14:val="0"/>
              <w14:checkedState w14:val="2612" w14:font="MS Gothic"/>
              <w14:uncheckedState w14:val="2610" w14:font="MS Gothic"/>
            </w14:checkbox>
          </w:sdtPr>
          <w:sdtEndPr/>
          <w:sdtContent>
            <w:tc>
              <w:tcPr>
                <w:tcW w:w="428" w:type="dxa"/>
              </w:tcPr>
              <w:p w14:paraId="2E2B874E" w14:textId="77777777" w:rsidR="00B975BD" w:rsidRPr="004B07D0" w:rsidRDefault="00B975BD">
                <w:pPr>
                  <w:spacing w:line="240" w:lineRule="auto"/>
                </w:pPr>
                <w:r>
                  <w:rPr>
                    <w:rFonts w:ascii="MS Gothic" w:eastAsia="MS Gothic" w:hAnsi="MS Gothic" w:hint="eastAsia"/>
                    <w:sz w:val="25"/>
                    <w:szCs w:val="24"/>
                  </w:rPr>
                  <w:t>☐</w:t>
                </w:r>
              </w:p>
            </w:tc>
          </w:sdtContent>
        </w:sdt>
        <w:tc>
          <w:tcPr>
            <w:tcW w:w="7641" w:type="dxa"/>
            <w:vAlign w:val="center"/>
          </w:tcPr>
          <w:p w14:paraId="56F28776" w14:textId="77777777" w:rsidR="00B975BD" w:rsidRPr="004B07D0" w:rsidRDefault="00B975BD">
            <w:pPr>
              <w:spacing w:line="240" w:lineRule="auto"/>
            </w:pPr>
            <w:r>
              <w:t>Yes</w:t>
            </w:r>
          </w:p>
        </w:tc>
      </w:tr>
      <w:tr w:rsidR="00B975BD" w:rsidRPr="004B07D0" w14:paraId="6D8B3EE8" w14:textId="77777777">
        <w:sdt>
          <w:sdtPr>
            <w:rPr>
              <w:sz w:val="25"/>
              <w:szCs w:val="24"/>
            </w:rPr>
            <w:id w:val="-1176957466"/>
            <w14:checkbox>
              <w14:checked w14:val="0"/>
              <w14:checkedState w14:val="2612" w14:font="MS Gothic"/>
              <w14:uncheckedState w14:val="2610" w14:font="MS Gothic"/>
            </w14:checkbox>
          </w:sdtPr>
          <w:sdtEndPr/>
          <w:sdtContent>
            <w:tc>
              <w:tcPr>
                <w:tcW w:w="428" w:type="dxa"/>
              </w:tcPr>
              <w:p w14:paraId="0BAB3438" w14:textId="77777777" w:rsidR="00B975BD" w:rsidRDefault="00B975BD">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41FEF85F" w14:textId="77777777" w:rsidR="00B975BD" w:rsidRPr="004B07D0" w:rsidRDefault="00B975BD">
            <w:r>
              <w:t>No</w:t>
            </w:r>
          </w:p>
        </w:tc>
      </w:tr>
    </w:tbl>
    <w:p w14:paraId="11F947CA" w14:textId="77777777" w:rsidR="00B975BD" w:rsidRPr="00475EAB" w:rsidRDefault="00B975BD" w:rsidP="00B975BD">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B975BD" w:rsidRPr="00475EAB" w14:paraId="7B2D9009" w14:textId="77777777">
        <w:trPr>
          <w:cantSplit/>
          <w:trHeight w:val="1701"/>
        </w:trPr>
        <w:tc>
          <w:tcPr>
            <w:tcW w:w="7626" w:type="dxa"/>
          </w:tcPr>
          <w:p w14:paraId="2343CD74" w14:textId="77777777" w:rsidR="00B975BD" w:rsidRPr="00475EAB" w:rsidRDefault="00B975BD">
            <w:pPr>
              <w:pStyle w:val="TableText"/>
            </w:pPr>
            <w:r w:rsidRPr="00475EAB">
              <w:lastRenderedPageBreak/>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25A2AE37" w14:textId="26D6AFBE" w:rsidR="004C41BF" w:rsidRDefault="00066295" w:rsidP="004932AE">
      <w:pPr>
        <w:spacing w:before="240"/>
        <w:ind w:left="567" w:hanging="567"/>
      </w:pPr>
      <w:r>
        <w:t>1</w:t>
      </w:r>
      <w:r w:rsidR="00CC269A">
        <w:t>3</w:t>
      </w:r>
      <w:r>
        <w:t>.</w:t>
      </w:r>
      <w:r>
        <w:tab/>
      </w:r>
      <w:bookmarkStart w:id="150" w:name="_Hlk161142944"/>
      <w:bookmarkStart w:id="151" w:name="_Hlk160690099"/>
      <w:r>
        <w:t xml:space="preserve">Is the proposed requirement </w:t>
      </w:r>
      <w:r w:rsidR="00B975BD">
        <w:t xml:space="preserve">in clause 12(b) of the revised C2 </w:t>
      </w:r>
      <w:r>
        <w:t xml:space="preserve">that the </w:t>
      </w:r>
      <w:r w:rsidR="005C1FDF">
        <w:t xml:space="preserve">holder of a source licence </w:t>
      </w:r>
      <w:r>
        <w:t xml:space="preserve">must use an accredited provider to provide a dose monitor to be used by an individual who is likely to exceed </w:t>
      </w:r>
      <w:r w:rsidR="00E74C92">
        <w:t>three-</w:t>
      </w:r>
      <w:r>
        <w:t>tenths of a dose limit justified to ensure protection and safety?</w:t>
      </w:r>
      <w:bookmarkEnd w:id="150"/>
    </w:p>
    <w:bookmarkEnd w:id="151"/>
    <w:p w14:paraId="6D0231F2" w14:textId="77777777" w:rsidR="004C41BF" w:rsidRDefault="004C41BF" w:rsidP="004C41BF">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4C41BF" w:rsidRPr="004B07D0" w14:paraId="753C0503" w14:textId="77777777">
        <w:sdt>
          <w:sdtPr>
            <w:rPr>
              <w:sz w:val="25"/>
              <w:szCs w:val="24"/>
            </w:rPr>
            <w:id w:val="-1999953112"/>
            <w14:checkbox>
              <w14:checked w14:val="0"/>
              <w14:checkedState w14:val="2612" w14:font="MS Gothic"/>
              <w14:uncheckedState w14:val="2610" w14:font="MS Gothic"/>
            </w14:checkbox>
          </w:sdtPr>
          <w:sdtEndPr/>
          <w:sdtContent>
            <w:tc>
              <w:tcPr>
                <w:tcW w:w="428" w:type="dxa"/>
              </w:tcPr>
              <w:p w14:paraId="0842F313" w14:textId="77777777" w:rsidR="004C41BF" w:rsidRPr="004B07D0" w:rsidRDefault="004C41BF">
                <w:pPr>
                  <w:spacing w:line="240" w:lineRule="auto"/>
                </w:pPr>
                <w:r>
                  <w:rPr>
                    <w:rFonts w:ascii="MS Gothic" w:eastAsia="MS Gothic" w:hAnsi="MS Gothic" w:hint="eastAsia"/>
                    <w:sz w:val="25"/>
                    <w:szCs w:val="24"/>
                  </w:rPr>
                  <w:t>☐</w:t>
                </w:r>
              </w:p>
            </w:tc>
          </w:sdtContent>
        </w:sdt>
        <w:tc>
          <w:tcPr>
            <w:tcW w:w="7641" w:type="dxa"/>
            <w:vAlign w:val="center"/>
          </w:tcPr>
          <w:p w14:paraId="0B73D195" w14:textId="77777777" w:rsidR="004C41BF" w:rsidRPr="004B07D0" w:rsidRDefault="004C41BF">
            <w:pPr>
              <w:spacing w:line="240" w:lineRule="auto"/>
            </w:pPr>
            <w:r>
              <w:t>Yes</w:t>
            </w:r>
          </w:p>
        </w:tc>
      </w:tr>
      <w:tr w:rsidR="004C41BF" w:rsidRPr="004B07D0" w14:paraId="297E96E8" w14:textId="77777777">
        <w:sdt>
          <w:sdtPr>
            <w:rPr>
              <w:sz w:val="25"/>
              <w:szCs w:val="24"/>
            </w:rPr>
            <w:id w:val="-59572812"/>
            <w14:checkbox>
              <w14:checked w14:val="0"/>
              <w14:checkedState w14:val="2612" w14:font="MS Gothic"/>
              <w14:uncheckedState w14:val="2610" w14:font="MS Gothic"/>
            </w14:checkbox>
          </w:sdtPr>
          <w:sdtEndPr/>
          <w:sdtContent>
            <w:tc>
              <w:tcPr>
                <w:tcW w:w="428" w:type="dxa"/>
              </w:tcPr>
              <w:p w14:paraId="1A9933A9" w14:textId="77777777" w:rsidR="004C41BF" w:rsidRDefault="004C41BF">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025F9FB5" w14:textId="77777777" w:rsidR="004C41BF" w:rsidRPr="004B07D0" w:rsidRDefault="004C41BF">
            <w:r>
              <w:t>No</w:t>
            </w:r>
          </w:p>
        </w:tc>
      </w:tr>
    </w:tbl>
    <w:p w14:paraId="787005F1" w14:textId="77777777" w:rsidR="004C41BF" w:rsidRPr="00475EAB" w:rsidRDefault="004C41BF" w:rsidP="004C41BF">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4C41BF" w:rsidRPr="00475EAB" w14:paraId="42C68CF3" w14:textId="77777777">
        <w:trPr>
          <w:cantSplit/>
          <w:trHeight w:val="1701"/>
        </w:trPr>
        <w:tc>
          <w:tcPr>
            <w:tcW w:w="7626" w:type="dxa"/>
          </w:tcPr>
          <w:p w14:paraId="7CA0E037" w14:textId="77777777" w:rsidR="004C41BF" w:rsidRPr="00475EAB" w:rsidRDefault="004C41B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151489C9" w14:textId="4724D89D" w:rsidR="00C17A73" w:rsidRDefault="00C17A73" w:rsidP="00C17A73">
      <w:pPr>
        <w:spacing w:before="240"/>
        <w:ind w:left="567" w:hanging="567"/>
      </w:pPr>
      <w:r>
        <w:t>14.</w:t>
      </w:r>
      <w:r>
        <w:tab/>
        <w:t>Is it appropriate for baselines and suspension and remedial levels to be approved by a medical physics expert and for such values to be based on the values provided in standards and in guidance produced by professional bodies?</w:t>
      </w:r>
    </w:p>
    <w:p w14:paraId="4FF6A4D5" w14:textId="77777777" w:rsidR="00C17A73" w:rsidRDefault="00C17A73" w:rsidP="00C17A73">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C17A73" w:rsidRPr="004B07D0" w14:paraId="29162D2D" w14:textId="77777777" w:rsidTr="007B41B1">
        <w:sdt>
          <w:sdtPr>
            <w:rPr>
              <w:sz w:val="25"/>
              <w:szCs w:val="24"/>
            </w:rPr>
            <w:id w:val="-1746418070"/>
            <w14:checkbox>
              <w14:checked w14:val="0"/>
              <w14:checkedState w14:val="2612" w14:font="MS Gothic"/>
              <w14:uncheckedState w14:val="2610" w14:font="MS Gothic"/>
            </w14:checkbox>
          </w:sdtPr>
          <w:sdtEndPr/>
          <w:sdtContent>
            <w:tc>
              <w:tcPr>
                <w:tcW w:w="428" w:type="dxa"/>
              </w:tcPr>
              <w:p w14:paraId="441E5DCA" w14:textId="77777777" w:rsidR="00C17A73" w:rsidRPr="004B07D0" w:rsidRDefault="00C17A73" w:rsidP="007B41B1">
                <w:pPr>
                  <w:spacing w:line="240" w:lineRule="auto"/>
                </w:pPr>
                <w:r>
                  <w:rPr>
                    <w:rFonts w:ascii="MS Gothic" w:eastAsia="MS Gothic" w:hAnsi="MS Gothic" w:hint="eastAsia"/>
                    <w:sz w:val="25"/>
                    <w:szCs w:val="24"/>
                  </w:rPr>
                  <w:t>☐</w:t>
                </w:r>
              </w:p>
            </w:tc>
          </w:sdtContent>
        </w:sdt>
        <w:tc>
          <w:tcPr>
            <w:tcW w:w="7641" w:type="dxa"/>
            <w:vAlign w:val="center"/>
          </w:tcPr>
          <w:p w14:paraId="5C00E320" w14:textId="77777777" w:rsidR="00C17A73" w:rsidRPr="004B07D0" w:rsidRDefault="00C17A73" w:rsidP="007B41B1">
            <w:pPr>
              <w:spacing w:line="240" w:lineRule="auto"/>
            </w:pPr>
            <w:r>
              <w:t>Yes</w:t>
            </w:r>
          </w:p>
        </w:tc>
      </w:tr>
      <w:tr w:rsidR="00C17A73" w:rsidRPr="004B07D0" w14:paraId="53679F24" w14:textId="77777777" w:rsidTr="007B41B1">
        <w:sdt>
          <w:sdtPr>
            <w:rPr>
              <w:sz w:val="25"/>
              <w:szCs w:val="24"/>
            </w:rPr>
            <w:id w:val="1189493800"/>
            <w14:checkbox>
              <w14:checked w14:val="0"/>
              <w14:checkedState w14:val="2612" w14:font="MS Gothic"/>
              <w14:uncheckedState w14:val="2610" w14:font="MS Gothic"/>
            </w14:checkbox>
          </w:sdtPr>
          <w:sdtEndPr/>
          <w:sdtContent>
            <w:tc>
              <w:tcPr>
                <w:tcW w:w="428" w:type="dxa"/>
              </w:tcPr>
              <w:p w14:paraId="52CFD610" w14:textId="77777777" w:rsidR="00C17A73" w:rsidRDefault="00C17A73"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0A53FEEE" w14:textId="77777777" w:rsidR="00C17A73" w:rsidRPr="004B07D0" w:rsidRDefault="00C17A73" w:rsidP="007B41B1">
            <w:r>
              <w:t>No</w:t>
            </w:r>
          </w:p>
        </w:tc>
      </w:tr>
    </w:tbl>
    <w:p w14:paraId="49510823" w14:textId="77777777" w:rsidR="00C17A73" w:rsidRPr="00475EAB" w:rsidRDefault="00C17A73" w:rsidP="00C17A73">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C17A73" w:rsidRPr="00475EAB" w14:paraId="7B02E24F" w14:textId="77777777" w:rsidTr="007B41B1">
        <w:trPr>
          <w:cantSplit/>
          <w:trHeight w:val="1701"/>
        </w:trPr>
        <w:tc>
          <w:tcPr>
            <w:tcW w:w="7626" w:type="dxa"/>
          </w:tcPr>
          <w:p w14:paraId="44B1FB4F" w14:textId="77777777" w:rsidR="00C17A73" w:rsidRPr="00475EAB" w:rsidRDefault="00C17A73" w:rsidP="007B41B1">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10A012A1" w14:textId="1A10AFB9" w:rsidR="00124D51" w:rsidRDefault="00124D51" w:rsidP="00124D51">
      <w:pPr>
        <w:spacing w:before="240"/>
        <w:ind w:left="567" w:hanging="567"/>
      </w:pPr>
      <w:r>
        <w:t>1</w:t>
      </w:r>
      <w:r w:rsidR="00C17A73">
        <w:t>5</w:t>
      </w:r>
      <w:r>
        <w:t>.</w:t>
      </w:r>
      <w:r>
        <w:tab/>
      </w:r>
      <w:bookmarkStart w:id="152" w:name="_Hlk160690134"/>
      <w:r>
        <w:t xml:space="preserve">In clause 21 of the revised C2, </w:t>
      </w:r>
      <w:r w:rsidRPr="001A4723">
        <w:t xml:space="preserve">is </w:t>
      </w:r>
      <w:r>
        <w:t>the title ‘Discharge of a patient who has undergone therapy’ appropriate and are the requirements, including use of the description ‘</w:t>
      </w:r>
      <w:r w:rsidRPr="001A4723">
        <w:t>not discharged to be an outpatient</w:t>
      </w:r>
      <w:r>
        <w:t>’, adequate and appropriate?</w:t>
      </w:r>
      <w:bookmarkEnd w:id="152"/>
    </w:p>
    <w:p w14:paraId="67F76801" w14:textId="77777777" w:rsidR="00124D51" w:rsidRDefault="00124D51" w:rsidP="00124D51">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124D51" w:rsidRPr="004B07D0" w14:paraId="5FF20498" w14:textId="77777777" w:rsidTr="007B41B1">
        <w:sdt>
          <w:sdtPr>
            <w:rPr>
              <w:sz w:val="25"/>
              <w:szCs w:val="24"/>
            </w:rPr>
            <w:id w:val="-271792793"/>
            <w14:checkbox>
              <w14:checked w14:val="0"/>
              <w14:checkedState w14:val="2612" w14:font="MS Gothic"/>
              <w14:uncheckedState w14:val="2610" w14:font="MS Gothic"/>
            </w14:checkbox>
          </w:sdtPr>
          <w:sdtEndPr/>
          <w:sdtContent>
            <w:tc>
              <w:tcPr>
                <w:tcW w:w="428" w:type="dxa"/>
              </w:tcPr>
              <w:p w14:paraId="195DCD13" w14:textId="77777777" w:rsidR="00124D51" w:rsidRPr="004B07D0" w:rsidRDefault="00124D51" w:rsidP="007B41B1">
                <w:pPr>
                  <w:spacing w:line="240" w:lineRule="auto"/>
                </w:pPr>
                <w:r>
                  <w:rPr>
                    <w:rFonts w:ascii="MS Gothic" w:eastAsia="MS Gothic" w:hAnsi="MS Gothic" w:hint="eastAsia"/>
                    <w:sz w:val="25"/>
                    <w:szCs w:val="24"/>
                  </w:rPr>
                  <w:t>☐</w:t>
                </w:r>
              </w:p>
            </w:tc>
          </w:sdtContent>
        </w:sdt>
        <w:tc>
          <w:tcPr>
            <w:tcW w:w="7641" w:type="dxa"/>
            <w:vAlign w:val="center"/>
          </w:tcPr>
          <w:p w14:paraId="3E911C28" w14:textId="77777777" w:rsidR="00124D51" w:rsidRPr="004B07D0" w:rsidRDefault="00124D51" w:rsidP="007B41B1">
            <w:pPr>
              <w:spacing w:line="240" w:lineRule="auto"/>
            </w:pPr>
            <w:r>
              <w:t>Yes</w:t>
            </w:r>
          </w:p>
        </w:tc>
      </w:tr>
      <w:tr w:rsidR="00124D51" w:rsidRPr="004B07D0" w14:paraId="61837A10" w14:textId="77777777" w:rsidTr="007B41B1">
        <w:sdt>
          <w:sdtPr>
            <w:rPr>
              <w:sz w:val="25"/>
              <w:szCs w:val="24"/>
            </w:rPr>
            <w:id w:val="1576853106"/>
            <w14:checkbox>
              <w14:checked w14:val="0"/>
              <w14:checkedState w14:val="2612" w14:font="MS Gothic"/>
              <w14:uncheckedState w14:val="2610" w14:font="MS Gothic"/>
            </w14:checkbox>
          </w:sdtPr>
          <w:sdtEndPr/>
          <w:sdtContent>
            <w:tc>
              <w:tcPr>
                <w:tcW w:w="428" w:type="dxa"/>
              </w:tcPr>
              <w:p w14:paraId="62A721CB" w14:textId="77777777" w:rsidR="00124D51" w:rsidRDefault="00124D51"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40C85C23" w14:textId="77777777" w:rsidR="00124D51" w:rsidRPr="004B07D0" w:rsidRDefault="00124D51" w:rsidP="007B41B1">
            <w:r>
              <w:t>No</w:t>
            </w:r>
          </w:p>
        </w:tc>
      </w:tr>
    </w:tbl>
    <w:p w14:paraId="0BEE9F5E" w14:textId="77777777" w:rsidR="00124D51" w:rsidRPr="00475EAB" w:rsidRDefault="00124D51" w:rsidP="00124D51">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124D51" w:rsidRPr="00475EAB" w14:paraId="189BE5FD" w14:textId="77777777" w:rsidTr="007B41B1">
        <w:trPr>
          <w:cantSplit/>
          <w:trHeight w:val="1701"/>
        </w:trPr>
        <w:tc>
          <w:tcPr>
            <w:tcW w:w="7626" w:type="dxa"/>
          </w:tcPr>
          <w:p w14:paraId="5C648DAC" w14:textId="77777777" w:rsidR="00124D51" w:rsidRPr="00475EAB" w:rsidRDefault="00124D51" w:rsidP="007B41B1">
            <w:pPr>
              <w:pStyle w:val="TableText"/>
            </w:pPr>
            <w:r w:rsidRPr="00475EAB">
              <w:lastRenderedPageBreak/>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67EB4A37" w14:textId="1FB44CAD" w:rsidR="004C41BF" w:rsidRDefault="00066295" w:rsidP="004932AE">
      <w:pPr>
        <w:spacing w:before="240"/>
        <w:ind w:left="567" w:hanging="567"/>
      </w:pPr>
      <w:r>
        <w:t>1</w:t>
      </w:r>
      <w:r w:rsidR="00C17A73">
        <w:t>6</w:t>
      </w:r>
      <w:r w:rsidR="00B975BD">
        <w:t>.</w:t>
      </w:r>
      <w:r>
        <w:tab/>
      </w:r>
      <w:bookmarkStart w:id="153" w:name="_Hlk161143646"/>
      <w:bookmarkStart w:id="154" w:name="_Hlk160690177"/>
      <w:r>
        <w:t xml:space="preserve">Is it appropriate </w:t>
      </w:r>
      <w:r w:rsidR="00881D9D">
        <w:t xml:space="preserve">to delete </w:t>
      </w:r>
      <w:r>
        <w:t>clause 24 (‘Referring practitioner’) of the current C2?</w:t>
      </w:r>
      <w:bookmarkEnd w:id="153"/>
    </w:p>
    <w:bookmarkEnd w:id="154"/>
    <w:p w14:paraId="488B0C1A" w14:textId="77777777" w:rsidR="004C41BF" w:rsidRDefault="004C41BF" w:rsidP="004C41BF">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4C41BF" w:rsidRPr="004B07D0" w14:paraId="38E29E2D" w14:textId="77777777">
        <w:sdt>
          <w:sdtPr>
            <w:rPr>
              <w:sz w:val="25"/>
              <w:szCs w:val="24"/>
            </w:rPr>
            <w:id w:val="-2034255828"/>
            <w14:checkbox>
              <w14:checked w14:val="0"/>
              <w14:checkedState w14:val="2612" w14:font="MS Gothic"/>
              <w14:uncheckedState w14:val="2610" w14:font="MS Gothic"/>
            </w14:checkbox>
          </w:sdtPr>
          <w:sdtEndPr/>
          <w:sdtContent>
            <w:tc>
              <w:tcPr>
                <w:tcW w:w="428" w:type="dxa"/>
              </w:tcPr>
              <w:p w14:paraId="195C1F68" w14:textId="77777777" w:rsidR="004C41BF" w:rsidRPr="004B07D0" w:rsidRDefault="004C41BF">
                <w:pPr>
                  <w:spacing w:line="240" w:lineRule="auto"/>
                </w:pPr>
                <w:r>
                  <w:rPr>
                    <w:rFonts w:ascii="MS Gothic" w:eastAsia="MS Gothic" w:hAnsi="MS Gothic" w:hint="eastAsia"/>
                    <w:sz w:val="25"/>
                    <w:szCs w:val="24"/>
                  </w:rPr>
                  <w:t>☐</w:t>
                </w:r>
              </w:p>
            </w:tc>
          </w:sdtContent>
        </w:sdt>
        <w:tc>
          <w:tcPr>
            <w:tcW w:w="7641" w:type="dxa"/>
            <w:vAlign w:val="center"/>
          </w:tcPr>
          <w:p w14:paraId="7E2DAA13" w14:textId="77777777" w:rsidR="004C41BF" w:rsidRPr="004B07D0" w:rsidRDefault="004C41BF">
            <w:pPr>
              <w:spacing w:line="240" w:lineRule="auto"/>
            </w:pPr>
            <w:r>
              <w:t>Yes</w:t>
            </w:r>
          </w:p>
        </w:tc>
      </w:tr>
      <w:tr w:rsidR="004C41BF" w:rsidRPr="004B07D0" w14:paraId="1E413371" w14:textId="77777777">
        <w:sdt>
          <w:sdtPr>
            <w:rPr>
              <w:sz w:val="25"/>
              <w:szCs w:val="24"/>
            </w:rPr>
            <w:id w:val="-996806094"/>
            <w14:checkbox>
              <w14:checked w14:val="0"/>
              <w14:checkedState w14:val="2612" w14:font="MS Gothic"/>
              <w14:uncheckedState w14:val="2610" w14:font="MS Gothic"/>
            </w14:checkbox>
          </w:sdtPr>
          <w:sdtEndPr/>
          <w:sdtContent>
            <w:tc>
              <w:tcPr>
                <w:tcW w:w="428" w:type="dxa"/>
              </w:tcPr>
              <w:p w14:paraId="68DB072D" w14:textId="77777777" w:rsidR="004C41BF" w:rsidRDefault="004C41BF">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35AF3997" w14:textId="77777777" w:rsidR="004C41BF" w:rsidRPr="004B07D0" w:rsidRDefault="004C41BF">
            <w:r>
              <w:t>No</w:t>
            </w:r>
          </w:p>
        </w:tc>
      </w:tr>
    </w:tbl>
    <w:p w14:paraId="465F4ADF" w14:textId="77777777" w:rsidR="004C41BF" w:rsidRPr="00475EAB" w:rsidRDefault="004C41BF" w:rsidP="004C41BF">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4C41BF" w:rsidRPr="00475EAB" w14:paraId="2753E438" w14:textId="77777777">
        <w:trPr>
          <w:cantSplit/>
          <w:trHeight w:val="1701"/>
        </w:trPr>
        <w:tc>
          <w:tcPr>
            <w:tcW w:w="7626" w:type="dxa"/>
          </w:tcPr>
          <w:p w14:paraId="50C8182A" w14:textId="77777777" w:rsidR="004C41BF" w:rsidRPr="00475EAB" w:rsidRDefault="004C41B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1380F57A" w14:textId="4DDA7BFD" w:rsidR="00041540" w:rsidRDefault="00041540" w:rsidP="00041540">
      <w:pPr>
        <w:spacing w:before="240"/>
        <w:ind w:left="567" w:hanging="567"/>
      </w:pPr>
      <w:r>
        <w:t>17.</w:t>
      </w:r>
      <w:r>
        <w:tab/>
      </w:r>
      <w:r w:rsidR="009225ED">
        <w:t xml:space="preserve">Would the </w:t>
      </w:r>
      <w:r>
        <w:t xml:space="preserve">inclusion </w:t>
      </w:r>
      <w:r w:rsidR="009225ED">
        <w:t xml:space="preserve">in a revised C2 </w:t>
      </w:r>
      <w:r>
        <w:t>of a completed ‘Appendix 1:</w:t>
      </w:r>
      <w:r w:rsidRPr="00041540">
        <w:t xml:space="preserve"> Cross-reference to Radiation Safety Act 2016</w:t>
      </w:r>
      <w:r>
        <w:t xml:space="preserve">’ </w:t>
      </w:r>
      <w:r w:rsidR="009225ED">
        <w:t xml:space="preserve">be </w:t>
      </w:r>
      <w:r>
        <w:t xml:space="preserve">useful? </w:t>
      </w:r>
    </w:p>
    <w:p w14:paraId="5555F993" w14:textId="77777777" w:rsidR="00041540" w:rsidRDefault="00041540" w:rsidP="00041540">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041540" w:rsidRPr="004B07D0" w14:paraId="0CAD12DE" w14:textId="77777777" w:rsidTr="007B41B1">
        <w:sdt>
          <w:sdtPr>
            <w:rPr>
              <w:sz w:val="25"/>
              <w:szCs w:val="24"/>
            </w:rPr>
            <w:id w:val="735362995"/>
            <w14:checkbox>
              <w14:checked w14:val="0"/>
              <w14:checkedState w14:val="2612" w14:font="MS Gothic"/>
              <w14:uncheckedState w14:val="2610" w14:font="MS Gothic"/>
            </w14:checkbox>
          </w:sdtPr>
          <w:sdtEndPr/>
          <w:sdtContent>
            <w:tc>
              <w:tcPr>
                <w:tcW w:w="428" w:type="dxa"/>
              </w:tcPr>
              <w:p w14:paraId="5E545557" w14:textId="77777777" w:rsidR="00041540" w:rsidRPr="004B07D0" w:rsidRDefault="00041540" w:rsidP="007B41B1">
                <w:pPr>
                  <w:spacing w:line="240" w:lineRule="auto"/>
                </w:pPr>
                <w:r>
                  <w:rPr>
                    <w:rFonts w:ascii="MS Gothic" w:eastAsia="MS Gothic" w:hAnsi="MS Gothic" w:hint="eastAsia"/>
                    <w:sz w:val="25"/>
                    <w:szCs w:val="24"/>
                  </w:rPr>
                  <w:t>☐</w:t>
                </w:r>
              </w:p>
            </w:tc>
          </w:sdtContent>
        </w:sdt>
        <w:tc>
          <w:tcPr>
            <w:tcW w:w="7641" w:type="dxa"/>
            <w:vAlign w:val="center"/>
          </w:tcPr>
          <w:p w14:paraId="645ADBBF" w14:textId="77777777" w:rsidR="00041540" w:rsidRPr="004B07D0" w:rsidRDefault="00041540" w:rsidP="007B41B1">
            <w:pPr>
              <w:spacing w:line="240" w:lineRule="auto"/>
            </w:pPr>
            <w:r>
              <w:t>Yes</w:t>
            </w:r>
          </w:p>
        </w:tc>
      </w:tr>
      <w:tr w:rsidR="00041540" w:rsidRPr="004B07D0" w14:paraId="181E3187" w14:textId="77777777" w:rsidTr="007B41B1">
        <w:sdt>
          <w:sdtPr>
            <w:rPr>
              <w:sz w:val="25"/>
              <w:szCs w:val="24"/>
            </w:rPr>
            <w:id w:val="-1576745386"/>
            <w14:checkbox>
              <w14:checked w14:val="0"/>
              <w14:checkedState w14:val="2612" w14:font="MS Gothic"/>
              <w14:uncheckedState w14:val="2610" w14:font="MS Gothic"/>
            </w14:checkbox>
          </w:sdtPr>
          <w:sdtEndPr/>
          <w:sdtContent>
            <w:tc>
              <w:tcPr>
                <w:tcW w:w="428" w:type="dxa"/>
              </w:tcPr>
              <w:p w14:paraId="66B99860" w14:textId="77777777" w:rsidR="00041540" w:rsidRDefault="00041540"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791790E2" w14:textId="77777777" w:rsidR="00041540" w:rsidRPr="004B07D0" w:rsidRDefault="00041540" w:rsidP="007B41B1">
            <w:r>
              <w:t>No</w:t>
            </w:r>
          </w:p>
        </w:tc>
      </w:tr>
    </w:tbl>
    <w:p w14:paraId="595ED298" w14:textId="77777777" w:rsidR="00041540" w:rsidRPr="00475EAB" w:rsidRDefault="00041540" w:rsidP="00041540">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041540" w:rsidRPr="00475EAB" w14:paraId="1F995FA0" w14:textId="77777777" w:rsidTr="007B41B1">
        <w:trPr>
          <w:cantSplit/>
          <w:trHeight w:val="1701"/>
        </w:trPr>
        <w:tc>
          <w:tcPr>
            <w:tcW w:w="7626" w:type="dxa"/>
          </w:tcPr>
          <w:p w14:paraId="25C20728" w14:textId="77777777" w:rsidR="00041540" w:rsidRPr="00475EAB" w:rsidRDefault="00041540" w:rsidP="007B41B1">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0B9EA868" w14:textId="3BD57889" w:rsidR="004C41BF" w:rsidRDefault="00066295" w:rsidP="004932AE">
      <w:pPr>
        <w:spacing w:before="240"/>
        <w:ind w:left="567" w:hanging="567"/>
      </w:pPr>
      <w:r>
        <w:t>1</w:t>
      </w:r>
      <w:r w:rsidR="00041540">
        <w:t>8</w:t>
      </w:r>
      <w:r>
        <w:t>.</w:t>
      </w:r>
      <w:r>
        <w:tab/>
        <w:t xml:space="preserve">Is it appropriate </w:t>
      </w:r>
      <w:r w:rsidR="00080934">
        <w:t>to replace ‘</w:t>
      </w:r>
      <w:r>
        <w:t>Appendix 2</w:t>
      </w:r>
      <w:r w:rsidR="00080934">
        <w:t>: Training requirement</w:t>
      </w:r>
      <w:r w:rsidR="00AB2E44">
        <w:t>s</w:t>
      </w:r>
      <w:r w:rsidR="00080934">
        <w:t>’</w:t>
      </w:r>
      <w:r>
        <w:t xml:space="preserve"> </w:t>
      </w:r>
      <w:r w:rsidR="00C572AC">
        <w:t xml:space="preserve">(as </w:t>
      </w:r>
      <w:r w:rsidR="00080934">
        <w:t xml:space="preserve">in </w:t>
      </w:r>
      <w:r>
        <w:t>the current C2</w:t>
      </w:r>
      <w:r w:rsidR="00C572AC">
        <w:t>)</w:t>
      </w:r>
      <w:r>
        <w:t xml:space="preserve"> </w:t>
      </w:r>
      <w:r w:rsidR="00080934">
        <w:t>with ‘Appendix 2: Training requir</w:t>
      </w:r>
      <w:r w:rsidR="0046211E">
        <w:t>ements</w:t>
      </w:r>
      <w:r w:rsidR="00AB2E44" w:rsidRPr="00AB2E44">
        <w:t xml:space="preserve"> </w:t>
      </w:r>
      <w:r w:rsidR="00AB2E44">
        <w:t>for radiation safety officers</w:t>
      </w:r>
      <w:r w:rsidR="0046211E">
        <w:t>’</w:t>
      </w:r>
      <w:r>
        <w:t>?</w:t>
      </w:r>
    </w:p>
    <w:p w14:paraId="60AF4318" w14:textId="77777777" w:rsidR="004C41BF" w:rsidRDefault="004C41BF" w:rsidP="004C41BF">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4C41BF" w:rsidRPr="004B07D0" w14:paraId="53242B91" w14:textId="77777777">
        <w:sdt>
          <w:sdtPr>
            <w:rPr>
              <w:sz w:val="25"/>
              <w:szCs w:val="24"/>
            </w:rPr>
            <w:id w:val="-10452751"/>
            <w14:checkbox>
              <w14:checked w14:val="0"/>
              <w14:checkedState w14:val="2612" w14:font="MS Gothic"/>
              <w14:uncheckedState w14:val="2610" w14:font="MS Gothic"/>
            </w14:checkbox>
          </w:sdtPr>
          <w:sdtEndPr/>
          <w:sdtContent>
            <w:tc>
              <w:tcPr>
                <w:tcW w:w="428" w:type="dxa"/>
              </w:tcPr>
              <w:p w14:paraId="3EADDB17" w14:textId="77777777" w:rsidR="004C41BF" w:rsidRPr="004B07D0" w:rsidRDefault="004C41BF">
                <w:pPr>
                  <w:spacing w:line="240" w:lineRule="auto"/>
                </w:pPr>
                <w:r>
                  <w:rPr>
                    <w:rFonts w:ascii="MS Gothic" w:eastAsia="MS Gothic" w:hAnsi="MS Gothic" w:hint="eastAsia"/>
                    <w:sz w:val="25"/>
                    <w:szCs w:val="24"/>
                  </w:rPr>
                  <w:t>☐</w:t>
                </w:r>
              </w:p>
            </w:tc>
          </w:sdtContent>
        </w:sdt>
        <w:tc>
          <w:tcPr>
            <w:tcW w:w="7641" w:type="dxa"/>
            <w:vAlign w:val="center"/>
          </w:tcPr>
          <w:p w14:paraId="2EBAE65C" w14:textId="77777777" w:rsidR="004C41BF" w:rsidRPr="004B07D0" w:rsidRDefault="004C41BF">
            <w:pPr>
              <w:spacing w:line="240" w:lineRule="auto"/>
            </w:pPr>
            <w:r>
              <w:t>Yes</w:t>
            </w:r>
          </w:p>
        </w:tc>
      </w:tr>
      <w:tr w:rsidR="004C41BF" w:rsidRPr="004B07D0" w14:paraId="7FEFBA7F" w14:textId="77777777">
        <w:sdt>
          <w:sdtPr>
            <w:rPr>
              <w:sz w:val="25"/>
              <w:szCs w:val="24"/>
            </w:rPr>
            <w:id w:val="-299846494"/>
            <w14:checkbox>
              <w14:checked w14:val="0"/>
              <w14:checkedState w14:val="2612" w14:font="MS Gothic"/>
              <w14:uncheckedState w14:val="2610" w14:font="MS Gothic"/>
            </w14:checkbox>
          </w:sdtPr>
          <w:sdtEndPr/>
          <w:sdtContent>
            <w:tc>
              <w:tcPr>
                <w:tcW w:w="428" w:type="dxa"/>
              </w:tcPr>
              <w:p w14:paraId="2DA832D8" w14:textId="77777777" w:rsidR="004C41BF" w:rsidRDefault="004C41BF">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28B341CA" w14:textId="77777777" w:rsidR="004C41BF" w:rsidRPr="004B07D0" w:rsidRDefault="004C41BF">
            <w:r>
              <w:t>No</w:t>
            </w:r>
          </w:p>
        </w:tc>
      </w:tr>
    </w:tbl>
    <w:p w14:paraId="2AD28B5B" w14:textId="77777777" w:rsidR="004C41BF" w:rsidRPr="00475EAB" w:rsidRDefault="004C41BF" w:rsidP="004C41BF">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4C41BF" w:rsidRPr="00475EAB" w14:paraId="240B1BEC" w14:textId="77777777">
        <w:trPr>
          <w:cantSplit/>
          <w:trHeight w:val="1701"/>
        </w:trPr>
        <w:tc>
          <w:tcPr>
            <w:tcW w:w="7626" w:type="dxa"/>
          </w:tcPr>
          <w:p w14:paraId="6A38E737" w14:textId="77777777" w:rsidR="004C41BF" w:rsidRPr="00475EAB" w:rsidRDefault="004C41B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09D58329" w14:textId="57ABC99A" w:rsidR="001B5A4B" w:rsidRDefault="001B5A4B" w:rsidP="001B5A4B">
      <w:pPr>
        <w:spacing w:before="240"/>
        <w:ind w:left="567" w:hanging="567"/>
      </w:pPr>
      <w:r>
        <w:t>1</w:t>
      </w:r>
      <w:r w:rsidR="00041540">
        <w:t>9</w:t>
      </w:r>
      <w:r>
        <w:t>.</w:t>
      </w:r>
      <w:r>
        <w:tab/>
        <w:t>Are the training requirements in Appendix 2 of the revised C2 appropriate and comprehensive for training a radiation safety officer?</w:t>
      </w:r>
    </w:p>
    <w:p w14:paraId="5F157BE2" w14:textId="77777777" w:rsidR="001B5A4B" w:rsidRDefault="001B5A4B" w:rsidP="001B5A4B">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1B5A4B" w:rsidRPr="004B07D0" w14:paraId="56AFF251" w14:textId="77777777" w:rsidTr="007B41B1">
        <w:sdt>
          <w:sdtPr>
            <w:rPr>
              <w:sz w:val="25"/>
              <w:szCs w:val="24"/>
            </w:rPr>
            <w:id w:val="-1326587689"/>
            <w14:checkbox>
              <w14:checked w14:val="0"/>
              <w14:checkedState w14:val="2612" w14:font="MS Gothic"/>
              <w14:uncheckedState w14:val="2610" w14:font="MS Gothic"/>
            </w14:checkbox>
          </w:sdtPr>
          <w:sdtEndPr/>
          <w:sdtContent>
            <w:tc>
              <w:tcPr>
                <w:tcW w:w="428" w:type="dxa"/>
              </w:tcPr>
              <w:p w14:paraId="563E6B96" w14:textId="77777777" w:rsidR="001B5A4B" w:rsidRPr="004B07D0" w:rsidRDefault="001B5A4B" w:rsidP="007B41B1">
                <w:pPr>
                  <w:spacing w:line="240" w:lineRule="auto"/>
                </w:pPr>
                <w:r>
                  <w:rPr>
                    <w:rFonts w:ascii="MS Gothic" w:eastAsia="MS Gothic" w:hAnsi="MS Gothic" w:hint="eastAsia"/>
                    <w:sz w:val="25"/>
                    <w:szCs w:val="24"/>
                  </w:rPr>
                  <w:t>☐</w:t>
                </w:r>
              </w:p>
            </w:tc>
          </w:sdtContent>
        </w:sdt>
        <w:tc>
          <w:tcPr>
            <w:tcW w:w="7641" w:type="dxa"/>
            <w:vAlign w:val="center"/>
          </w:tcPr>
          <w:p w14:paraId="33B23535" w14:textId="77777777" w:rsidR="001B5A4B" w:rsidRPr="004B07D0" w:rsidRDefault="001B5A4B" w:rsidP="007B41B1">
            <w:pPr>
              <w:spacing w:line="240" w:lineRule="auto"/>
            </w:pPr>
            <w:r>
              <w:t>Yes</w:t>
            </w:r>
          </w:p>
        </w:tc>
      </w:tr>
      <w:tr w:rsidR="001B5A4B" w:rsidRPr="004B07D0" w14:paraId="3A4C7251" w14:textId="77777777" w:rsidTr="007B41B1">
        <w:sdt>
          <w:sdtPr>
            <w:rPr>
              <w:sz w:val="25"/>
              <w:szCs w:val="24"/>
            </w:rPr>
            <w:id w:val="-105350854"/>
            <w14:checkbox>
              <w14:checked w14:val="0"/>
              <w14:checkedState w14:val="2612" w14:font="MS Gothic"/>
              <w14:uncheckedState w14:val="2610" w14:font="MS Gothic"/>
            </w14:checkbox>
          </w:sdtPr>
          <w:sdtEndPr/>
          <w:sdtContent>
            <w:tc>
              <w:tcPr>
                <w:tcW w:w="428" w:type="dxa"/>
              </w:tcPr>
              <w:p w14:paraId="36EFF2E1" w14:textId="77777777" w:rsidR="001B5A4B" w:rsidRDefault="001B5A4B" w:rsidP="007B41B1">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2E457955" w14:textId="77777777" w:rsidR="001B5A4B" w:rsidRPr="004B07D0" w:rsidRDefault="001B5A4B" w:rsidP="007B41B1">
            <w:r>
              <w:t>No</w:t>
            </w:r>
          </w:p>
        </w:tc>
      </w:tr>
    </w:tbl>
    <w:p w14:paraId="21CA6F5C" w14:textId="77777777" w:rsidR="001B5A4B" w:rsidRPr="00475EAB" w:rsidRDefault="001B5A4B" w:rsidP="001B5A4B">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1B5A4B" w:rsidRPr="00475EAB" w14:paraId="316D8175" w14:textId="77777777" w:rsidTr="007B41B1">
        <w:trPr>
          <w:cantSplit/>
          <w:trHeight w:val="1701"/>
        </w:trPr>
        <w:tc>
          <w:tcPr>
            <w:tcW w:w="7626" w:type="dxa"/>
          </w:tcPr>
          <w:p w14:paraId="6E1EDF68" w14:textId="77777777" w:rsidR="001B5A4B" w:rsidRPr="00475EAB" w:rsidRDefault="001B5A4B" w:rsidP="007B41B1">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73F33603" w14:textId="6DC58E04" w:rsidR="00066295" w:rsidRDefault="00041540" w:rsidP="004932AE">
      <w:pPr>
        <w:spacing w:before="240"/>
        <w:ind w:left="567" w:hanging="567"/>
      </w:pPr>
      <w:r>
        <w:t>20</w:t>
      </w:r>
      <w:r w:rsidR="00B975BD">
        <w:t>.</w:t>
      </w:r>
      <w:r w:rsidR="00066295">
        <w:tab/>
        <w:t xml:space="preserve">Do the training requirements in </w:t>
      </w:r>
      <w:r w:rsidR="00657572">
        <w:t>A</w:t>
      </w:r>
      <w:r w:rsidR="00066295">
        <w:t>ppendix 2 of the revised C</w:t>
      </w:r>
      <w:r w:rsidR="005B72D9">
        <w:t>2</w:t>
      </w:r>
      <w:r w:rsidR="00066295">
        <w:t xml:space="preserve"> provide an adequate core of knowledge for those who have roles for protection and safety that are specified by the </w:t>
      </w:r>
      <w:r w:rsidR="00124D51">
        <w:t>holder of a source licence</w:t>
      </w:r>
      <w:r w:rsidR="00066295">
        <w:t>?</w:t>
      </w:r>
      <w:r w:rsidR="00066295">
        <w:cr/>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066295" w:rsidRPr="004B07D0" w14:paraId="69B571DA" w14:textId="77777777" w:rsidTr="00066295">
        <w:sdt>
          <w:sdtPr>
            <w:rPr>
              <w:sz w:val="25"/>
              <w:szCs w:val="24"/>
            </w:rPr>
            <w:id w:val="428632989"/>
            <w14:checkbox>
              <w14:checked w14:val="0"/>
              <w14:checkedState w14:val="2612" w14:font="MS Gothic"/>
              <w14:uncheckedState w14:val="2610" w14:font="MS Gothic"/>
            </w14:checkbox>
          </w:sdtPr>
          <w:sdtEndPr/>
          <w:sdtContent>
            <w:tc>
              <w:tcPr>
                <w:tcW w:w="415" w:type="dxa"/>
              </w:tcPr>
              <w:p w14:paraId="4D372627" w14:textId="77777777" w:rsidR="00066295" w:rsidRPr="004B07D0" w:rsidRDefault="00066295">
                <w:pPr>
                  <w:spacing w:line="240" w:lineRule="auto"/>
                </w:pPr>
                <w:r>
                  <w:rPr>
                    <w:rFonts w:ascii="MS Gothic" w:eastAsia="MS Gothic" w:hAnsi="MS Gothic" w:hint="eastAsia"/>
                    <w:sz w:val="25"/>
                    <w:szCs w:val="24"/>
                  </w:rPr>
                  <w:t>☐</w:t>
                </w:r>
              </w:p>
            </w:tc>
          </w:sdtContent>
        </w:sdt>
        <w:tc>
          <w:tcPr>
            <w:tcW w:w="7097" w:type="dxa"/>
            <w:vAlign w:val="center"/>
          </w:tcPr>
          <w:p w14:paraId="57BF8746" w14:textId="77777777" w:rsidR="00066295" w:rsidRPr="004B07D0" w:rsidRDefault="00066295">
            <w:pPr>
              <w:spacing w:line="240" w:lineRule="auto"/>
            </w:pPr>
            <w:r>
              <w:t>Yes</w:t>
            </w:r>
          </w:p>
        </w:tc>
      </w:tr>
      <w:tr w:rsidR="00066295" w:rsidRPr="004B07D0" w14:paraId="045E3934" w14:textId="77777777" w:rsidTr="00066295">
        <w:sdt>
          <w:sdtPr>
            <w:rPr>
              <w:sz w:val="25"/>
              <w:szCs w:val="24"/>
            </w:rPr>
            <w:id w:val="-1087996911"/>
            <w14:checkbox>
              <w14:checked w14:val="0"/>
              <w14:checkedState w14:val="2612" w14:font="MS Gothic"/>
              <w14:uncheckedState w14:val="2610" w14:font="MS Gothic"/>
            </w14:checkbox>
          </w:sdtPr>
          <w:sdtEndPr/>
          <w:sdtContent>
            <w:tc>
              <w:tcPr>
                <w:tcW w:w="415" w:type="dxa"/>
              </w:tcPr>
              <w:p w14:paraId="70DDA7D6" w14:textId="77777777" w:rsidR="00066295" w:rsidRDefault="00066295">
                <w:pPr>
                  <w:rPr>
                    <w:rFonts w:ascii="MS Gothic" w:eastAsia="MS Gothic" w:hAnsi="MS Gothic"/>
                    <w:sz w:val="25"/>
                    <w:szCs w:val="24"/>
                  </w:rPr>
                </w:pPr>
                <w:r>
                  <w:rPr>
                    <w:rFonts w:ascii="MS Gothic" w:eastAsia="MS Gothic" w:hAnsi="MS Gothic" w:hint="eastAsia"/>
                    <w:sz w:val="25"/>
                    <w:szCs w:val="24"/>
                  </w:rPr>
                  <w:t>☐</w:t>
                </w:r>
              </w:p>
            </w:tc>
          </w:sdtContent>
        </w:sdt>
        <w:tc>
          <w:tcPr>
            <w:tcW w:w="7097" w:type="dxa"/>
            <w:vAlign w:val="center"/>
          </w:tcPr>
          <w:p w14:paraId="027CAF50" w14:textId="77777777" w:rsidR="00066295" w:rsidRPr="004B07D0" w:rsidRDefault="00066295">
            <w:r>
              <w:t>No</w:t>
            </w:r>
          </w:p>
        </w:tc>
      </w:tr>
    </w:tbl>
    <w:p w14:paraId="2DC528A8" w14:textId="77777777" w:rsidR="00066295" w:rsidRPr="00475EAB" w:rsidRDefault="00066295" w:rsidP="00066295">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066295" w:rsidRPr="00475EAB" w14:paraId="6FD53DA2" w14:textId="77777777">
        <w:trPr>
          <w:cantSplit/>
          <w:trHeight w:val="1701"/>
        </w:trPr>
        <w:tc>
          <w:tcPr>
            <w:tcW w:w="7626" w:type="dxa"/>
          </w:tcPr>
          <w:p w14:paraId="7FB5784E" w14:textId="77777777" w:rsidR="00066295" w:rsidRPr="00475EAB" w:rsidRDefault="00066295">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7352A8BF" w14:textId="4EE61AFA" w:rsidR="00066295" w:rsidRDefault="00B975BD" w:rsidP="004932AE">
      <w:pPr>
        <w:spacing w:before="240"/>
        <w:ind w:left="567" w:hanging="567"/>
      </w:pPr>
      <w:r>
        <w:t>2</w:t>
      </w:r>
      <w:r w:rsidR="00041540">
        <w:t>1</w:t>
      </w:r>
      <w:r w:rsidR="005B72D9">
        <w:t>.</w:t>
      </w:r>
      <w:r w:rsidR="005B72D9">
        <w:tab/>
        <w:t>Are there any other changes you would like to suggest to the revised C2 or comments that you would like to make?</w:t>
      </w:r>
    </w:p>
    <w:p w14:paraId="4520A916" w14:textId="77777777" w:rsidR="00066295" w:rsidRDefault="00066295" w:rsidP="00066295">
      <w:pPr>
        <w:ind w:left="567" w:hanging="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tblGrid>
      <w:tr w:rsidR="00066295" w:rsidRPr="004B07D0" w14:paraId="18702780" w14:textId="77777777">
        <w:sdt>
          <w:sdtPr>
            <w:rPr>
              <w:sz w:val="25"/>
              <w:szCs w:val="24"/>
            </w:rPr>
            <w:id w:val="-1233691308"/>
            <w14:checkbox>
              <w14:checked w14:val="0"/>
              <w14:checkedState w14:val="2612" w14:font="MS Gothic"/>
              <w14:uncheckedState w14:val="2610" w14:font="MS Gothic"/>
            </w14:checkbox>
          </w:sdtPr>
          <w:sdtEndPr/>
          <w:sdtContent>
            <w:tc>
              <w:tcPr>
                <w:tcW w:w="428" w:type="dxa"/>
              </w:tcPr>
              <w:p w14:paraId="11039B05" w14:textId="77777777" w:rsidR="00066295" w:rsidRPr="004B07D0" w:rsidRDefault="00066295">
                <w:pPr>
                  <w:spacing w:line="240" w:lineRule="auto"/>
                </w:pPr>
                <w:r>
                  <w:rPr>
                    <w:rFonts w:ascii="MS Gothic" w:eastAsia="MS Gothic" w:hAnsi="MS Gothic" w:hint="eastAsia"/>
                    <w:sz w:val="25"/>
                    <w:szCs w:val="24"/>
                  </w:rPr>
                  <w:t>☐</w:t>
                </w:r>
              </w:p>
            </w:tc>
          </w:sdtContent>
        </w:sdt>
        <w:tc>
          <w:tcPr>
            <w:tcW w:w="7641" w:type="dxa"/>
            <w:vAlign w:val="center"/>
          </w:tcPr>
          <w:p w14:paraId="525EC31E" w14:textId="77777777" w:rsidR="00066295" w:rsidRPr="004B07D0" w:rsidRDefault="00066295">
            <w:pPr>
              <w:spacing w:line="240" w:lineRule="auto"/>
            </w:pPr>
            <w:r>
              <w:t>Yes</w:t>
            </w:r>
          </w:p>
        </w:tc>
      </w:tr>
      <w:tr w:rsidR="00066295" w:rsidRPr="004B07D0" w14:paraId="3FA65BFD" w14:textId="77777777">
        <w:sdt>
          <w:sdtPr>
            <w:rPr>
              <w:sz w:val="25"/>
              <w:szCs w:val="24"/>
            </w:rPr>
            <w:id w:val="-1506363214"/>
            <w14:checkbox>
              <w14:checked w14:val="0"/>
              <w14:checkedState w14:val="2612" w14:font="MS Gothic"/>
              <w14:uncheckedState w14:val="2610" w14:font="MS Gothic"/>
            </w14:checkbox>
          </w:sdtPr>
          <w:sdtEndPr/>
          <w:sdtContent>
            <w:tc>
              <w:tcPr>
                <w:tcW w:w="428" w:type="dxa"/>
              </w:tcPr>
              <w:p w14:paraId="21A8058F" w14:textId="77777777" w:rsidR="00066295" w:rsidRDefault="00066295">
                <w:pPr>
                  <w:rPr>
                    <w:rFonts w:ascii="MS Gothic" w:eastAsia="MS Gothic" w:hAnsi="MS Gothic"/>
                    <w:sz w:val="25"/>
                    <w:szCs w:val="24"/>
                  </w:rPr>
                </w:pPr>
                <w:r>
                  <w:rPr>
                    <w:rFonts w:ascii="MS Gothic" w:eastAsia="MS Gothic" w:hAnsi="MS Gothic" w:hint="eastAsia"/>
                    <w:sz w:val="25"/>
                    <w:szCs w:val="24"/>
                  </w:rPr>
                  <w:t>☐</w:t>
                </w:r>
              </w:p>
            </w:tc>
          </w:sdtContent>
        </w:sdt>
        <w:tc>
          <w:tcPr>
            <w:tcW w:w="7641" w:type="dxa"/>
            <w:vAlign w:val="center"/>
          </w:tcPr>
          <w:p w14:paraId="45EA114C" w14:textId="77777777" w:rsidR="00066295" w:rsidRPr="004B07D0" w:rsidRDefault="00066295">
            <w:r>
              <w:t>No</w:t>
            </w:r>
          </w:p>
        </w:tc>
      </w:tr>
    </w:tbl>
    <w:p w14:paraId="6C23C868" w14:textId="77777777" w:rsidR="00066295" w:rsidRPr="00475EAB" w:rsidRDefault="00066295" w:rsidP="00066295">
      <w:pPr>
        <w:spacing w:before="120" w:after="120"/>
        <w:ind w:left="567"/>
      </w:pPr>
      <w:r w:rsidRPr="00475EAB">
        <w:t>Comments:</w:t>
      </w:r>
    </w:p>
    <w:tbl>
      <w:tblPr>
        <w:tblStyle w:val="TableGrid"/>
        <w:tblW w:w="7626" w:type="dxa"/>
        <w:tblInd w:w="562" w:type="dxa"/>
        <w:tblLayout w:type="fixed"/>
        <w:tblLook w:val="04A0" w:firstRow="1" w:lastRow="0" w:firstColumn="1" w:lastColumn="0" w:noHBand="0" w:noVBand="1"/>
      </w:tblPr>
      <w:tblGrid>
        <w:gridCol w:w="7626"/>
      </w:tblGrid>
      <w:tr w:rsidR="00066295" w:rsidRPr="00475EAB" w14:paraId="3BD7B0B7" w14:textId="77777777">
        <w:trPr>
          <w:cantSplit/>
          <w:trHeight w:val="1701"/>
        </w:trPr>
        <w:tc>
          <w:tcPr>
            <w:tcW w:w="7626" w:type="dxa"/>
          </w:tcPr>
          <w:p w14:paraId="33CC3345" w14:textId="77777777" w:rsidR="00066295" w:rsidRPr="00475EAB" w:rsidRDefault="00066295">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bookmarkEnd w:id="133"/>
      <w:bookmarkEnd w:id="134"/>
      <w:bookmarkEnd w:id="137"/>
    </w:tbl>
    <w:p w14:paraId="5959CA12" w14:textId="77777777" w:rsidR="004C41BF" w:rsidRPr="00475EAB" w:rsidRDefault="004C41BF" w:rsidP="004932AE"/>
    <w:sectPr w:rsidR="004C41BF" w:rsidRPr="00475EAB" w:rsidSect="00A03E47">
      <w:footerReference w:type="even" r:id="rId63"/>
      <w:footerReference w:type="default" r:id="rId6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BE1A" w14:textId="77777777" w:rsidR="005032F1" w:rsidRDefault="005032F1">
      <w:r>
        <w:separator/>
      </w:r>
    </w:p>
    <w:p w14:paraId="6044EC3F" w14:textId="77777777" w:rsidR="005032F1" w:rsidRDefault="005032F1"/>
  </w:endnote>
  <w:endnote w:type="continuationSeparator" w:id="0">
    <w:p w14:paraId="4EF86F56" w14:textId="77777777" w:rsidR="005032F1" w:rsidRDefault="005032F1">
      <w:r>
        <w:continuationSeparator/>
      </w:r>
    </w:p>
    <w:p w14:paraId="2BD40777" w14:textId="77777777" w:rsidR="005032F1" w:rsidRDefault="005032F1"/>
  </w:endnote>
  <w:endnote w:type="continuationNotice" w:id="1">
    <w:p w14:paraId="2E3E1CF0" w14:textId="77777777" w:rsidR="005032F1" w:rsidRDefault="00503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9A59" w14:textId="2CFA25DE" w:rsidR="00183B17" w:rsidRPr="00581136" w:rsidRDefault="00183B17"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7B4601E0" w14:textId="77777777" w:rsidR="00183B17" w:rsidRPr="005A79E5" w:rsidRDefault="00183B1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969F" w14:textId="77777777" w:rsidR="00183B17" w:rsidRDefault="00183B17"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A79" w14:textId="77777777" w:rsidR="00183B17" w:rsidRDefault="00183B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83B17" w14:paraId="4BFD1287" w14:textId="77777777" w:rsidTr="00D662F8">
      <w:trPr>
        <w:cantSplit/>
      </w:trPr>
      <w:tc>
        <w:tcPr>
          <w:tcW w:w="709" w:type="dxa"/>
          <w:vAlign w:val="center"/>
        </w:tcPr>
        <w:p w14:paraId="55E11F08" w14:textId="77777777" w:rsidR="00183B17" w:rsidRPr="00931466" w:rsidRDefault="00183B17"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38706C72" w14:textId="675D7003" w:rsidR="00183B17" w:rsidRDefault="00182E48" w:rsidP="00926083">
          <w:pPr>
            <w:pStyle w:val="RectoFooter"/>
            <w:jc w:val="left"/>
          </w:pPr>
          <w:r>
            <w:rPr>
              <w:rFonts w:ascii="Arial" w:hAnsi="Arial" w:cs="Arial"/>
              <w:color w:val="222222"/>
              <w:shd w:val="clear" w:color="auto" w:fill="FFFFFF"/>
            </w:rPr>
            <w:t>Code of Practice for Nuclear Medicine: ORS C2: For public consultation</w:t>
          </w:r>
        </w:p>
      </w:tc>
    </w:tr>
  </w:tbl>
  <w:p w14:paraId="46BC98F6" w14:textId="77777777" w:rsidR="00183B17" w:rsidRPr="00571223" w:rsidRDefault="00183B17"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83B17" w14:paraId="35DC7D0E" w14:textId="77777777" w:rsidTr="00D662F8">
      <w:trPr>
        <w:cantSplit/>
      </w:trPr>
      <w:tc>
        <w:tcPr>
          <w:tcW w:w="8080" w:type="dxa"/>
          <w:vAlign w:val="center"/>
        </w:tcPr>
        <w:p w14:paraId="0E1D78F6" w14:textId="518A6CED" w:rsidR="00183B17" w:rsidRDefault="00182E48" w:rsidP="007A0047">
          <w:pPr>
            <w:pStyle w:val="RectoFooter"/>
          </w:pPr>
          <w:r w:rsidRPr="00182E48">
            <w:t>Code of Practice for Nuclear Medicine: ORS C2: For public consultation</w:t>
          </w:r>
        </w:p>
      </w:tc>
      <w:tc>
        <w:tcPr>
          <w:tcW w:w="709" w:type="dxa"/>
          <w:vAlign w:val="center"/>
        </w:tcPr>
        <w:p w14:paraId="1BB62600" w14:textId="77777777" w:rsidR="00183B17" w:rsidRPr="00931466" w:rsidRDefault="00183B17"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66B65E9F" w14:textId="77777777" w:rsidR="00183B17" w:rsidRPr="00581EB8" w:rsidRDefault="00183B17"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9705" w14:textId="77777777" w:rsidR="00183B17" w:rsidRPr="00571223" w:rsidRDefault="00183B17"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51A6" w14:textId="77777777" w:rsidR="003B18B2" w:rsidRPr="00581EB8" w:rsidRDefault="003B18B2"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83B17" w14:paraId="4EAAE83A" w14:textId="77777777" w:rsidTr="00D662F8">
      <w:trPr>
        <w:cantSplit/>
      </w:trPr>
      <w:tc>
        <w:tcPr>
          <w:tcW w:w="675" w:type="dxa"/>
          <w:vAlign w:val="center"/>
        </w:tcPr>
        <w:p w14:paraId="74F2DF56" w14:textId="77777777" w:rsidR="00183B17" w:rsidRPr="00931466" w:rsidRDefault="00183B17"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9072" w:type="dxa"/>
          <w:vAlign w:val="center"/>
        </w:tcPr>
        <w:p w14:paraId="246EEDF0" w14:textId="4D3A4154" w:rsidR="00183B17" w:rsidRDefault="00182E48" w:rsidP="008814E8">
          <w:pPr>
            <w:pStyle w:val="RectoFooter"/>
            <w:jc w:val="left"/>
          </w:pPr>
          <w:r w:rsidRPr="00182E48">
            <w:t>Code of Practice for Nuclear Medicine: ORS C2: For public consultation</w:t>
          </w:r>
        </w:p>
      </w:tc>
    </w:tr>
  </w:tbl>
  <w:p w14:paraId="0D9BE352" w14:textId="77777777" w:rsidR="00183B17" w:rsidRPr="00571223" w:rsidRDefault="00183B17"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83B17" w14:paraId="439F7BBB" w14:textId="77777777" w:rsidTr="008746C1">
      <w:trPr>
        <w:cantSplit/>
      </w:trPr>
      <w:tc>
        <w:tcPr>
          <w:tcW w:w="8080" w:type="dxa"/>
          <w:vAlign w:val="center"/>
        </w:tcPr>
        <w:p w14:paraId="4EF6C0DF" w14:textId="5E1683FA" w:rsidR="00183B17" w:rsidRDefault="00182E48" w:rsidP="002575E8">
          <w:pPr>
            <w:pStyle w:val="RectoFooter"/>
          </w:pPr>
          <w:r>
            <w:rPr>
              <w:rFonts w:ascii="Arial" w:hAnsi="Arial" w:cs="Arial"/>
              <w:color w:val="222222"/>
              <w:shd w:val="clear" w:color="auto" w:fill="FFFFFF"/>
            </w:rPr>
            <w:t>Code of Practice for Nuclear Medicine: ORS C2: For public consultation</w:t>
          </w:r>
        </w:p>
      </w:tc>
      <w:tc>
        <w:tcPr>
          <w:tcW w:w="709" w:type="dxa"/>
          <w:vAlign w:val="center"/>
        </w:tcPr>
        <w:p w14:paraId="6B51FE8E" w14:textId="77777777" w:rsidR="00183B17" w:rsidRPr="00931466" w:rsidRDefault="00183B17" w:rsidP="008746C1">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17</w:t>
          </w:r>
          <w:r w:rsidRPr="00931466">
            <w:rPr>
              <w:rStyle w:val="PageNumber"/>
            </w:rPr>
            <w:fldChar w:fldCharType="end"/>
          </w:r>
        </w:p>
      </w:tc>
    </w:tr>
  </w:tbl>
  <w:p w14:paraId="585A8F5F" w14:textId="77777777" w:rsidR="00183B17" w:rsidRPr="00581EB8" w:rsidRDefault="00183B17"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E3AF" w14:textId="77777777" w:rsidR="005032F1" w:rsidRPr="00A26E6B" w:rsidRDefault="005032F1" w:rsidP="00A26E6B"/>
  </w:footnote>
  <w:footnote w:type="continuationSeparator" w:id="0">
    <w:p w14:paraId="56929D1B" w14:textId="77777777" w:rsidR="005032F1" w:rsidRDefault="005032F1">
      <w:r>
        <w:continuationSeparator/>
      </w:r>
    </w:p>
    <w:p w14:paraId="51A1FB03" w14:textId="77777777" w:rsidR="005032F1" w:rsidRDefault="005032F1"/>
  </w:footnote>
  <w:footnote w:type="continuationNotice" w:id="1">
    <w:p w14:paraId="5A65BB2B" w14:textId="77777777" w:rsidR="005032F1" w:rsidRDefault="005032F1"/>
  </w:footnote>
  <w:footnote w:id="2">
    <w:p w14:paraId="77446680" w14:textId="09927C8D" w:rsidR="00183B17" w:rsidRPr="00FE51AB" w:rsidRDefault="00183B17">
      <w:pPr>
        <w:pStyle w:val="FootnoteText"/>
        <w:rPr>
          <w:lang w:val="en-GB"/>
        </w:rPr>
      </w:pPr>
      <w:r>
        <w:rPr>
          <w:rStyle w:val="FootnoteReference"/>
        </w:rPr>
        <w:footnoteRef/>
      </w:r>
      <w:r>
        <w:t xml:space="preserve"> </w:t>
      </w:r>
      <w:r>
        <w:tab/>
      </w:r>
      <w:hyperlink r:id="rId1" w:history="1">
        <w:r w:rsidRPr="00613ED7">
          <w:rPr>
            <w:rStyle w:val="Hyperlink"/>
            <w:rFonts w:ascii="Open Sans" w:hAnsi="Open Sans" w:cs="Open Sans"/>
            <w:szCs w:val="21"/>
            <w:shd w:val="clear" w:color="auto" w:fill="FFFFFF"/>
          </w:rPr>
          <w:t xml:space="preserve">IAEA. 2009. Release of patients after radionuclide therapy, </w:t>
        </w:r>
        <w:r w:rsidRPr="00613ED7">
          <w:rPr>
            <w:rStyle w:val="Hyperlink"/>
            <w:rFonts w:ascii="Open Sans" w:hAnsi="Open Sans" w:cs="Open Sans"/>
            <w:i/>
            <w:iCs/>
            <w:szCs w:val="21"/>
            <w:shd w:val="clear" w:color="auto" w:fill="FFFFFF"/>
          </w:rPr>
          <w:t>Safety Reports Series No. 63</w:t>
        </w:r>
        <w:r w:rsidRPr="00613ED7">
          <w:rPr>
            <w:rStyle w:val="Hyperlink"/>
            <w:rFonts w:ascii="Open Sans" w:hAnsi="Open Sans" w:cs="Open Sans"/>
            <w:szCs w:val="21"/>
            <w:shd w:val="clear" w:color="auto" w:fill="FFFFFF"/>
          </w:rPr>
          <w:t>. Vienna: International Atomic Energy Agency (IAEA).</w:t>
        </w:r>
      </w:hyperlink>
    </w:p>
  </w:footnote>
  <w:footnote w:id="3">
    <w:p w14:paraId="23E076DE" w14:textId="77C612AB" w:rsidR="00183B17" w:rsidRPr="008B210E" w:rsidRDefault="00183B17" w:rsidP="000C145F">
      <w:pPr>
        <w:pStyle w:val="FootnoteText"/>
        <w:ind w:left="-426" w:hanging="283"/>
        <w:rPr>
          <w:lang w:val="mi-NZ"/>
        </w:rPr>
      </w:pPr>
      <w:r>
        <w:rPr>
          <w:rStyle w:val="FootnoteReference"/>
        </w:rPr>
        <w:footnoteRef/>
      </w:r>
      <w:r>
        <w:tab/>
        <w:t>Storage for decay of short-lived radionuclides will generally reduce measured levels of radiation to background or near background radiation levels.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3"/>
      <w:gridCol w:w="4432"/>
    </w:tblGrid>
    <w:tr w:rsidR="00183B17" w14:paraId="666B24EA" w14:textId="77777777" w:rsidTr="00A10064">
      <w:trPr>
        <w:cantSplit/>
      </w:trPr>
      <w:tc>
        <w:tcPr>
          <w:tcW w:w="5210" w:type="dxa"/>
          <w:vAlign w:val="center"/>
          <w:hideMark/>
        </w:tcPr>
        <w:p w14:paraId="4812660D" w14:textId="69D7AF4C" w:rsidR="00183B17" w:rsidRDefault="00183B17" w:rsidP="00A10064">
          <w:pPr>
            <w:pStyle w:val="Header"/>
          </w:pPr>
          <w:bookmarkStart w:id="0" w:name="_Hlk110933925"/>
          <w:r>
            <w:rPr>
              <w:noProof/>
              <w:lang w:eastAsia="en-NZ"/>
            </w:rPr>
            <w:drawing>
              <wp:inline distT="0" distB="0" distL="0" distR="0" wp14:anchorId="5A494614" wp14:editId="607D7EE2">
                <wp:extent cx="2305050" cy="533400"/>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a:picLocks noChangeAspect="1" noChangeArrowheads="1"/>
                        </pic:cNvPicPr>
                      </pic:nvPicPr>
                      <pic:blipFill>
                        <a:blip r:embed="rId1">
                          <a:extLst>
                            <a:ext uri="{28A0092B-C50C-407E-A947-70E740481C1C}">
                              <a14:useLocalDpi xmlns:a14="http://schemas.microsoft.com/office/drawing/2010/main" val="0"/>
                            </a:ext>
                          </a:extLst>
                        </a:blip>
                        <a:srcRect l="10400" t="16016" r="61171" b="13255"/>
                        <a:stretch>
                          <a:fillRect/>
                        </a:stretch>
                      </pic:blipFill>
                      <pic:spPr bwMode="auto">
                        <a:xfrm>
                          <a:off x="0" y="0"/>
                          <a:ext cx="2305050" cy="533400"/>
                        </a:xfrm>
                        <a:prstGeom prst="rect">
                          <a:avLst/>
                        </a:prstGeom>
                        <a:noFill/>
                        <a:ln>
                          <a:noFill/>
                        </a:ln>
                      </pic:spPr>
                    </pic:pic>
                  </a:graphicData>
                </a:graphic>
              </wp:inline>
            </w:drawing>
          </w:r>
        </w:p>
      </w:tc>
      <w:tc>
        <w:tcPr>
          <w:tcW w:w="4429" w:type="dxa"/>
          <w:vAlign w:val="center"/>
          <w:hideMark/>
        </w:tcPr>
        <w:p w14:paraId="04E1D313" w14:textId="1741D2D6" w:rsidR="00183B17" w:rsidRDefault="00183B17" w:rsidP="00A10064">
          <w:pPr>
            <w:pStyle w:val="Header"/>
            <w:jc w:val="right"/>
          </w:pPr>
          <w:r>
            <w:rPr>
              <w:noProof/>
            </w:rPr>
            <w:drawing>
              <wp:anchor distT="0" distB="0" distL="114300" distR="114300" simplePos="0" relativeHeight="251658240" behindDoc="0" locked="0" layoutInCell="1" allowOverlap="1" wp14:anchorId="4A6686AC" wp14:editId="41199F8F">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pic:spPr>
                    </pic:pic>
                  </a:graphicData>
                </a:graphic>
                <wp14:sizeRelH relativeFrom="page">
                  <wp14:pctWidth>0</wp14:pctWidth>
                </wp14:sizeRelH>
                <wp14:sizeRelV relativeFrom="page">
                  <wp14:pctHeight>0</wp14:pctHeight>
                </wp14:sizeRelV>
              </wp:anchor>
            </w:drawing>
          </w:r>
        </w:p>
      </w:tc>
      <w:bookmarkEnd w:id="0"/>
    </w:tr>
  </w:tbl>
  <w:p w14:paraId="156B66B8" w14:textId="77777777" w:rsidR="00183B17" w:rsidRDefault="00183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7357" w14:textId="77777777" w:rsidR="00183B17" w:rsidRDefault="00183B17"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3F63" w14:textId="77777777" w:rsidR="00183B17" w:rsidRDefault="00183B17"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24A0DD0"/>
    <w:lvl w:ilvl="0">
      <w:start w:val="1"/>
      <w:numFmt w:val="lowerRoman"/>
      <w:lvlText w:val="%1)"/>
      <w:lvlJc w:val="left"/>
      <w:pPr>
        <w:ind w:left="992" w:hanging="992"/>
      </w:pPr>
      <w:rPr>
        <w:rFonts w:ascii="Segoe UI" w:eastAsia="Times New Roman" w:hAnsi="Segoe UI" w:cs="Times New Roman"/>
      </w:rPr>
    </w:lvl>
    <w:lvl w:ilvl="1">
      <w:start w:val="1"/>
      <w:numFmt w:val="lowerLetter"/>
      <w:lvlText w:val="%2."/>
      <w:lvlJc w:val="left"/>
      <w:pPr>
        <w:ind w:left="-285" w:hanging="992"/>
      </w:pPr>
      <w:rPr>
        <w:rFonts w:hint="default"/>
      </w:rPr>
    </w:lvl>
    <w:lvl w:ilvl="2">
      <w:start w:val="1"/>
      <w:numFmt w:val="none"/>
      <w:pStyle w:val="Heading3"/>
      <w:suff w:val="nothing"/>
      <w:lvlText w:val="%3"/>
      <w:lvlJc w:val="left"/>
      <w:pPr>
        <w:ind w:left="-1277" w:firstLine="0"/>
      </w:pPr>
      <w:rPr>
        <w:rFonts w:hint="default"/>
      </w:rPr>
    </w:lvl>
    <w:lvl w:ilvl="3">
      <w:start w:val="1"/>
      <w:numFmt w:val="decimal"/>
      <w:pStyle w:val="Number"/>
      <w:lvlText w:val="%4."/>
      <w:lvlJc w:val="left"/>
      <w:pPr>
        <w:ind w:left="2911" w:hanging="360"/>
      </w:pPr>
      <w:rPr>
        <w:b w:val="0"/>
        <w:bCs w:val="0"/>
      </w:rPr>
    </w:lvl>
    <w:lvl w:ilvl="4">
      <w:start w:val="1"/>
      <w:numFmt w:val="lowerLetter"/>
      <w:pStyle w:val="Letter"/>
      <w:lvlText w:val="%5)"/>
      <w:lvlJc w:val="left"/>
      <w:pPr>
        <w:ind w:left="-350" w:hanging="360"/>
      </w:pPr>
      <w:rPr>
        <w:rFonts w:hint="default"/>
      </w:rPr>
    </w:lvl>
    <w:lvl w:ilvl="5">
      <w:start w:val="1"/>
      <w:numFmt w:val="lowerRoman"/>
      <w:pStyle w:val="Roman"/>
      <w:lvlText w:val="%6)"/>
      <w:lvlJc w:val="left"/>
      <w:pPr>
        <w:ind w:left="424" w:hanging="567"/>
      </w:pPr>
      <w:rPr>
        <w:rFonts w:ascii="Segoe UI" w:eastAsia="Arial Unicode MS" w:hAnsi="Segoe UI" w:cs="Times New Roman"/>
      </w:rPr>
    </w:lvl>
    <w:lvl w:ilvl="6">
      <w:start w:val="1"/>
      <w:numFmt w:val="decimal"/>
      <w:lvlText w:val="%7."/>
      <w:lvlJc w:val="left"/>
      <w:pPr>
        <w:ind w:left="1243" w:hanging="360"/>
      </w:pPr>
      <w:rPr>
        <w:rFonts w:hint="default"/>
      </w:rPr>
    </w:lvl>
    <w:lvl w:ilvl="7">
      <w:start w:val="1"/>
      <w:numFmt w:val="lowerLetter"/>
      <w:lvlText w:val="%8."/>
      <w:lvlJc w:val="left"/>
      <w:pPr>
        <w:ind w:left="1603" w:hanging="360"/>
      </w:pPr>
      <w:rPr>
        <w:rFonts w:hint="default"/>
      </w:rPr>
    </w:lvl>
    <w:lvl w:ilvl="8">
      <w:start w:val="1"/>
      <w:numFmt w:val="lowerRoman"/>
      <w:lvlText w:val="%9."/>
      <w:lvlJc w:val="left"/>
      <w:pPr>
        <w:ind w:left="1963"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5" w15:restartNumberingAfterBreak="0">
    <w:nsid w:val="7CC02721"/>
    <w:multiLevelType w:val="multilevel"/>
    <w:tmpl w:val="9362936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ascii="Segoe UI" w:eastAsia="Times New Roman" w:hAnsi="Segoe UI"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4808886">
    <w:abstractNumId w:val="4"/>
  </w:num>
  <w:num w:numId="2" w16cid:durableId="1271469370">
    <w:abstractNumId w:val="2"/>
  </w:num>
  <w:num w:numId="3" w16cid:durableId="2020229106">
    <w:abstractNumId w:val="3"/>
  </w:num>
  <w:num w:numId="4" w16cid:durableId="797533463">
    <w:abstractNumId w:val="1"/>
  </w:num>
  <w:num w:numId="5" w16cid:durableId="1051222281">
    <w:abstractNumId w:val="0"/>
  </w:num>
  <w:num w:numId="6" w16cid:durableId="105740965">
    <w:abstractNumId w:val="5"/>
  </w:num>
  <w:num w:numId="7" w16cid:durableId="761344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1505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941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314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0371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1458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0130043">
    <w:abstractNumId w:val="0"/>
  </w:num>
  <w:num w:numId="14" w16cid:durableId="96679994">
    <w:abstractNumId w:val="0"/>
  </w:num>
  <w:num w:numId="15" w16cid:durableId="143356972">
    <w:abstractNumId w:val="0"/>
  </w:num>
  <w:num w:numId="16" w16cid:durableId="164437544">
    <w:abstractNumId w:val="0"/>
  </w:num>
  <w:num w:numId="17" w16cid:durableId="1645088067">
    <w:abstractNumId w:val="0"/>
  </w:num>
  <w:num w:numId="18" w16cid:durableId="779491513">
    <w:abstractNumId w:val="0"/>
  </w:num>
  <w:num w:numId="19" w16cid:durableId="255135499">
    <w:abstractNumId w:val="0"/>
  </w:num>
  <w:num w:numId="20" w16cid:durableId="1264415110">
    <w:abstractNumId w:val="0"/>
  </w:num>
  <w:num w:numId="21" w16cid:durableId="97725838">
    <w:abstractNumId w:val="0"/>
  </w:num>
  <w:num w:numId="22" w16cid:durableId="89743005">
    <w:abstractNumId w:val="0"/>
  </w:num>
  <w:num w:numId="23" w16cid:durableId="1511337364">
    <w:abstractNumId w:val="0"/>
  </w:num>
  <w:num w:numId="24" w16cid:durableId="1578633736">
    <w:abstractNumId w:val="0"/>
  </w:num>
  <w:num w:numId="25" w16cid:durableId="168211979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0499"/>
    <w:rsid w:val="00000D65"/>
    <w:rsid w:val="000025B8"/>
    <w:rsid w:val="000029AB"/>
    <w:rsid w:val="000037BA"/>
    <w:rsid w:val="000043AF"/>
    <w:rsid w:val="00004797"/>
    <w:rsid w:val="00005938"/>
    <w:rsid w:val="00005BB5"/>
    <w:rsid w:val="00005C46"/>
    <w:rsid w:val="000064DC"/>
    <w:rsid w:val="00007A33"/>
    <w:rsid w:val="0001011E"/>
    <w:rsid w:val="000119B1"/>
    <w:rsid w:val="00014782"/>
    <w:rsid w:val="00016419"/>
    <w:rsid w:val="000203B5"/>
    <w:rsid w:val="00021FA7"/>
    <w:rsid w:val="00024AE3"/>
    <w:rsid w:val="00025256"/>
    <w:rsid w:val="00025A6F"/>
    <w:rsid w:val="00025B6D"/>
    <w:rsid w:val="0002618D"/>
    <w:rsid w:val="00027A45"/>
    <w:rsid w:val="00027CBD"/>
    <w:rsid w:val="00030B26"/>
    <w:rsid w:val="00030E84"/>
    <w:rsid w:val="00032233"/>
    <w:rsid w:val="00032C0A"/>
    <w:rsid w:val="00032E9E"/>
    <w:rsid w:val="00035257"/>
    <w:rsid w:val="00035D68"/>
    <w:rsid w:val="00036027"/>
    <w:rsid w:val="00037F95"/>
    <w:rsid w:val="0004111B"/>
    <w:rsid w:val="00041540"/>
    <w:rsid w:val="000418A7"/>
    <w:rsid w:val="00043159"/>
    <w:rsid w:val="00043A97"/>
    <w:rsid w:val="00043C2A"/>
    <w:rsid w:val="00045FCE"/>
    <w:rsid w:val="00046987"/>
    <w:rsid w:val="000472DC"/>
    <w:rsid w:val="00051C9E"/>
    <w:rsid w:val="00053903"/>
    <w:rsid w:val="00053921"/>
    <w:rsid w:val="00054389"/>
    <w:rsid w:val="00054B44"/>
    <w:rsid w:val="0006006B"/>
    <w:rsid w:val="0006228D"/>
    <w:rsid w:val="000635EB"/>
    <w:rsid w:val="000645D0"/>
    <w:rsid w:val="00064786"/>
    <w:rsid w:val="00064EFB"/>
    <w:rsid w:val="00066295"/>
    <w:rsid w:val="00066D1F"/>
    <w:rsid w:val="000670EC"/>
    <w:rsid w:val="000671E5"/>
    <w:rsid w:val="000674C3"/>
    <w:rsid w:val="00070285"/>
    <w:rsid w:val="0007040B"/>
    <w:rsid w:val="00070CBE"/>
    <w:rsid w:val="00071095"/>
    <w:rsid w:val="000728F3"/>
    <w:rsid w:val="00072BD6"/>
    <w:rsid w:val="00073433"/>
    <w:rsid w:val="00074E00"/>
    <w:rsid w:val="00075160"/>
    <w:rsid w:val="00075B78"/>
    <w:rsid w:val="000763E9"/>
    <w:rsid w:val="00077E59"/>
    <w:rsid w:val="00080934"/>
    <w:rsid w:val="00081817"/>
    <w:rsid w:val="000823EF"/>
    <w:rsid w:val="00082CD6"/>
    <w:rsid w:val="0008437D"/>
    <w:rsid w:val="00085AFE"/>
    <w:rsid w:val="00086A30"/>
    <w:rsid w:val="00092D9D"/>
    <w:rsid w:val="00093C69"/>
    <w:rsid w:val="00094800"/>
    <w:rsid w:val="00094D57"/>
    <w:rsid w:val="00095089"/>
    <w:rsid w:val="00096001"/>
    <w:rsid w:val="0009645F"/>
    <w:rsid w:val="000A0158"/>
    <w:rsid w:val="000A0BDA"/>
    <w:rsid w:val="000A1054"/>
    <w:rsid w:val="000A3566"/>
    <w:rsid w:val="000A373D"/>
    <w:rsid w:val="000A41ED"/>
    <w:rsid w:val="000A4E9D"/>
    <w:rsid w:val="000A594C"/>
    <w:rsid w:val="000A5968"/>
    <w:rsid w:val="000A5F89"/>
    <w:rsid w:val="000A6FDD"/>
    <w:rsid w:val="000B0730"/>
    <w:rsid w:val="000B2789"/>
    <w:rsid w:val="000B2E29"/>
    <w:rsid w:val="000B3FFA"/>
    <w:rsid w:val="000B475B"/>
    <w:rsid w:val="000B50D2"/>
    <w:rsid w:val="000B6430"/>
    <w:rsid w:val="000C0EA9"/>
    <w:rsid w:val="000C145F"/>
    <w:rsid w:val="000C2FB1"/>
    <w:rsid w:val="000C35A3"/>
    <w:rsid w:val="000C35BC"/>
    <w:rsid w:val="000C46B9"/>
    <w:rsid w:val="000C5956"/>
    <w:rsid w:val="000C62A2"/>
    <w:rsid w:val="000C62B0"/>
    <w:rsid w:val="000C7705"/>
    <w:rsid w:val="000D0BD9"/>
    <w:rsid w:val="000D1946"/>
    <w:rsid w:val="000D19F4"/>
    <w:rsid w:val="000D4D1D"/>
    <w:rsid w:val="000D58DD"/>
    <w:rsid w:val="000D69ED"/>
    <w:rsid w:val="000D6B93"/>
    <w:rsid w:val="000E2D6E"/>
    <w:rsid w:val="000E2DBB"/>
    <w:rsid w:val="000E3FB1"/>
    <w:rsid w:val="000E426B"/>
    <w:rsid w:val="000E4996"/>
    <w:rsid w:val="000E4A1E"/>
    <w:rsid w:val="000E4BA6"/>
    <w:rsid w:val="000E64AB"/>
    <w:rsid w:val="000E6B42"/>
    <w:rsid w:val="000E6CDE"/>
    <w:rsid w:val="000E7ADE"/>
    <w:rsid w:val="000F07FD"/>
    <w:rsid w:val="000F2AE2"/>
    <w:rsid w:val="000F2BFF"/>
    <w:rsid w:val="000F351A"/>
    <w:rsid w:val="000F49C2"/>
    <w:rsid w:val="000F523A"/>
    <w:rsid w:val="000F53A0"/>
    <w:rsid w:val="000F5E9F"/>
    <w:rsid w:val="000F6638"/>
    <w:rsid w:val="000F6ACC"/>
    <w:rsid w:val="000F7109"/>
    <w:rsid w:val="000F7579"/>
    <w:rsid w:val="00100946"/>
    <w:rsid w:val="001012CE"/>
    <w:rsid w:val="0010134C"/>
    <w:rsid w:val="00102063"/>
    <w:rsid w:val="0010227D"/>
    <w:rsid w:val="00103792"/>
    <w:rsid w:val="0010541C"/>
    <w:rsid w:val="00105525"/>
    <w:rsid w:val="00106F93"/>
    <w:rsid w:val="001078C7"/>
    <w:rsid w:val="00107AD6"/>
    <w:rsid w:val="001101E2"/>
    <w:rsid w:val="00111D50"/>
    <w:rsid w:val="001122CB"/>
    <w:rsid w:val="00113B8E"/>
    <w:rsid w:val="00114BCA"/>
    <w:rsid w:val="00115684"/>
    <w:rsid w:val="0011584E"/>
    <w:rsid w:val="00115960"/>
    <w:rsid w:val="00116B82"/>
    <w:rsid w:val="0012053C"/>
    <w:rsid w:val="00122363"/>
    <w:rsid w:val="001227EA"/>
    <w:rsid w:val="00123957"/>
    <w:rsid w:val="00124299"/>
    <w:rsid w:val="00124AC7"/>
    <w:rsid w:val="00124D51"/>
    <w:rsid w:val="00125F5A"/>
    <w:rsid w:val="001263BB"/>
    <w:rsid w:val="00126C97"/>
    <w:rsid w:val="00127C6C"/>
    <w:rsid w:val="001342C7"/>
    <w:rsid w:val="0013585C"/>
    <w:rsid w:val="00136B33"/>
    <w:rsid w:val="0013783B"/>
    <w:rsid w:val="00137FEE"/>
    <w:rsid w:val="00140782"/>
    <w:rsid w:val="00141760"/>
    <w:rsid w:val="00141D42"/>
    <w:rsid w:val="00142261"/>
    <w:rsid w:val="00142954"/>
    <w:rsid w:val="00143123"/>
    <w:rsid w:val="001433EE"/>
    <w:rsid w:val="001460E0"/>
    <w:rsid w:val="00146EA8"/>
    <w:rsid w:val="001472F0"/>
    <w:rsid w:val="0014730E"/>
    <w:rsid w:val="00147506"/>
    <w:rsid w:val="0014784D"/>
    <w:rsid w:val="00147F71"/>
    <w:rsid w:val="00150A6E"/>
    <w:rsid w:val="00153072"/>
    <w:rsid w:val="0015543D"/>
    <w:rsid w:val="00160331"/>
    <w:rsid w:val="0016304B"/>
    <w:rsid w:val="00163FCE"/>
    <w:rsid w:val="0016468A"/>
    <w:rsid w:val="00167407"/>
    <w:rsid w:val="00167E36"/>
    <w:rsid w:val="0017003B"/>
    <w:rsid w:val="00170364"/>
    <w:rsid w:val="0017070E"/>
    <w:rsid w:val="0017274B"/>
    <w:rsid w:val="00172BEA"/>
    <w:rsid w:val="00174119"/>
    <w:rsid w:val="001744DC"/>
    <w:rsid w:val="001755F6"/>
    <w:rsid w:val="00175DE7"/>
    <w:rsid w:val="001764BF"/>
    <w:rsid w:val="0017663C"/>
    <w:rsid w:val="00176D18"/>
    <w:rsid w:val="00180651"/>
    <w:rsid w:val="00180E78"/>
    <w:rsid w:val="00180E7E"/>
    <w:rsid w:val="00181813"/>
    <w:rsid w:val="00182655"/>
    <w:rsid w:val="001828C6"/>
    <w:rsid w:val="00182E20"/>
    <w:rsid w:val="00182E48"/>
    <w:rsid w:val="001830B6"/>
    <w:rsid w:val="0018376C"/>
    <w:rsid w:val="00183851"/>
    <w:rsid w:val="00183B17"/>
    <w:rsid w:val="00184030"/>
    <w:rsid w:val="0018590E"/>
    <w:rsid w:val="0018662D"/>
    <w:rsid w:val="001866B2"/>
    <w:rsid w:val="001873DF"/>
    <w:rsid w:val="00187B14"/>
    <w:rsid w:val="00190AD0"/>
    <w:rsid w:val="0019279E"/>
    <w:rsid w:val="00192E97"/>
    <w:rsid w:val="00192FEE"/>
    <w:rsid w:val="001949D8"/>
    <w:rsid w:val="00196E4D"/>
    <w:rsid w:val="00197427"/>
    <w:rsid w:val="001979E1"/>
    <w:rsid w:val="001A182F"/>
    <w:rsid w:val="001A21B4"/>
    <w:rsid w:val="001A2D46"/>
    <w:rsid w:val="001A4353"/>
    <w:rsid w:val="001A4723"/>
    <w:rsid w:val="001A5CF5"/>
    <w:rsid w:val="001A68B5"/>
    <w:rsid w:val="001B0670"/>
    <w:rsid w:val="001B2140"/>
    <w:rsid w:val="001B39D2"/>
    <w:rsid w:val="001B43E4"/>
    <w:rsid w:val="001B4BF8"/>
    <w:rsid w:val="001B5A4B"/>
    <w:rsid w:val="001B6BC3"/>
    <w:rsid w:val="001B7021"/>
    <w:rsid w:val="001B713F"/>
    <w:rsid w:val="001C1897"/>
    <w:rsid w:val="001C29B4"/>
    <w:rsid w:val="001C379C"/>
    <w:rsid w:val="001C4326"/>
    <w:rsid w:val="001C4D2B"/>
    <w:rsid w:val="001C4F1B"/>
    <w:rsid w:val="001C665E"/>
    <w:rsid w:val="001D0D6A"/>
    <w:rsid w:val="001D3541"/>
    <w:rsid w:val="001D3E4E"/>
    <w:rsid w:val="001D55F8"/>
    <w:rsid w:val="001D612C"/>
    <w:rsid w:val="001E00D7"/>
    <w:rsid w:val="001E08B7"/>
    <w:rsid w:val="001E0F73"/>
    <w:rsid w:val="001E1BC4"/>
    <w:rsid w:val="001E254A"/>
    <w:rsid w:val="001E4460"/>
    <w:rsid w:val="001E5E02"/>
    <w:rsid w:val="001E7386"/>
    <w:rsid w:val="001F0B3A"/>
    <w:rsid w:val="001F1338"/>
    <w:rsid w:val="001F1D16"/>
    <w:rsid w:val="001F2938"/>
    <w:rsid w:val="001F2BD7"/>
    <w:rsid w:val="001F3552"/>
    <w:rsid w:val="001F45A7"/>
    <w:rsid w:val="001F4835"/>
    <w:rsid w:val="001F570E"/>
    <w:rsid w:val="001F67A7"/>
    <w:rsid w:val="001F6CA8"/>
    <w:rsid w:val="001F7CF5"/>
    <w:rsid w:val="0020027C"/>
    <w:rsid w:val="00201A01"/>
    <w:rsid w:val="00202AFB"/>
    <w:rsid w:val="00203D40"/>
    <w:rsid w:val="00203D80"/>
    <w:rsid w:val="002048B6"/>
    <w:rsid w:val="002052F2"/>
    <w:rsid w:val="002062FB"/>
    <w:rsid w:val="00206A39"/>
    <w:rsid w:val="0020754B"/>
    <w:rsid w:val="00207B6E"/>
    <w:rsid w:val="002104D3"/>
    <w:rsid w:val="002109C5"/>
    <w:rsid w:val="00211A22"/>
    <w:rsid w:val="0021294F"/>
    <w:rsid w:val="00212B10"/>
    <w:rsid w:val="00213A33"/>
    <w:rsid w:val="00213A51"/>
    <w:rsid w:val="00215D3B"/>
    <w:rsid w:val="00217143"/>
    <w:rsid w:val="0021763B"/>
    <w:rsid w:val="00217863"/>
    <w:rsid w:val="00217DCE"/>
    <w:rsid w:val="00222C51"/>
    <w:rsid w:val="002247F7"/>
    <w:rsid w:val="002332B2"/>
    <w:rsid w:val="002335CD"/>
    <w:rsid w:val="00233650"/>
    <w:rsid w:val="00237B9F"/>
    <w:rsid w:val="00237BAF"/>
    <w:rsid w:val="00237F51"/>
    <w:rsid w:val="00240F55"/>
    <w:rsid w:val="0024102F"/>
    <w:rsid w:val="00242704"/>
    <w:rsid w:val="00242A6B"/>
    <w:rsid w:val="00245A93"/>
    <w:rsid w:val="00245C00"/>
    <w:rsid w:val="00246DB1"/>
    <w:rsid w:val="002476B5"/>
    <w:rsid w:val="00250605"/>
    <w:rsid w:val="00250889"/>
    <w:rsid w:val="002520CC"/>
    <w:rsid w:val="00253ECF"/>
    <w:rsid w:val="002546A1"/>
    <w:rsid w:val="00254F5C"/>
    <w:rsid w:val="002555F1"/>
    <w:rsid w:val="0025581F"/>
    <w:rsid w:val="00255F02"/>
    <w:rsid w:val="00256BA2"/>
    <w:rsid w:val="002575E8"/>
    <w:rsid w:val="00260304"/>
    <w:rsid w:val="0026038E"/>
    <w:rsid w:val="002605B2"/>
    <w:rsid w:val="002619C8"/>
    <w:rsid w:val="002628F4"/>
    <w:rsid w:val="00266758"/>
    <w:rsid w:val="002673A2"/>
    <w:rsid w:val="002701DA"/>
    <w:rsid w:val="00270302"/>
    <w:rsid w:val="00270F09"/>
    <w:rsid w:val="0027320A"/>
    <w:rsid w:val="0027345B"/>
    <w:rsid w:val="00273C62"/>
    <w:rsid w:val="00274E89"/>
    <w:rsid w:val="00274EE9"/>
    <w:rsid w:val="00275648"/>
    <w:rsid w:val="00275D08"/>
    <w:rsid w:val="00275E3C"/>
    <w:rsid w:val="00276F90"/>
    <w:rsid w:val="0028097C"/>
    <w:rsid w:val="00281547"/>
    <w:rsid w:val="00281AF4"/>
    <w:rsid w:val="00281DDB"/>
    <w:rsid w:val="00282624"/>
    <w:rsid w:val="00282A71"/>
    <w:rsid w:val="00282B6E"/>
    <w:rsid w:val="00282CCD"/>
    <w:rsid w:val="002839AF"/>
    <w:rsid w:val="00284A3A"/>
    <w:rsid w:val="002858E3"/>
    <w:rsid w:val="00285AF1"/>
    <w:rsid w:val="00285C97"/>
    <w:rsid w:val="00287258"/>
    <w:rsid w:val="0028795C"/>
    <w:rsid w:val="002905C5"/>
    <w:rsid w:val="00290B80"/>
    <w:rsid w:val="00290EFC"/>
    <w:rsid w:val="0029190A"/>
    <w:rsid w:val="002925CB"/>
    <w:rsid w:val="00292C5A"/>
    <w:rsid w:val="00292E35"/>
    <w:rsid w:val="0029377C"/>
    <w:rsid w:val="00293988"/>
    <w:rsid w:val="00294CE6"/>
    <w:rsid w:val="00295241"/>
    <w:rsid w:val="0029619B"/>
    <w:rsid w:val="00296864"/>
    <w:rsid w:val="00296EE3"/>
    <w:rsid w:val="00297362"/>
    <w:rsid w:val="0029740F"/>
    <w:rsid w:val="002A1BFD"/>
    <w:rsid w:val="002A2856"/>
    <w:rsid w:val="002A3DEE"/>
    <w:rsid w:val="002A468B"/>
    <w:rsid w:val="002A4DFC"/>
    <w:rsid w:val="002A628A"/>
    <w:rsid w:val="002A678E"/>
    <w:rsid w:val="002B047D"/>
    <w:rsid w:val="002B1E80"/>
    <w:rsid w:val="002B30D6"/>
    <w:rsid w:val="002B3D40"/>
    <w:rsid w:val="002B7054"/>
    <w:rsid w:val="002B7261"/>
    <w:rsid w:val="002B732B"/>
    <w:rsid w:val="002B76A7"/>
    <w:rsid w:val="002B7BEC"/>
    <w:rsid w:val="002C1FC1"/>
    <w:rsid w:val="002C2219"/>
    <w:rsid w:val="002C2552"/>
    <w:rsid w:val="002C2E6D"/>
    <w:rsid w:val="002C380A"/>
    <w:rsid w:val="002C463E"/>
    <w:rsid w:val="002C6103"/>
    <w:rsid w:val="002C73EE"/>
    <w:rsid w:val="002D0DF2"/>
    <w:rsid w:val="002D117D"/>
    <w:rsid w:val="002D2104"/>
    <w:rsid w:val="002D23BD"/>
    <w:rsid w:val="002D334A"/>
    <w:rsid w:val="002D3533"/>
    <w:rsid w:val="002D5090"/>
    <w:rsid w:val="002D59F8"/>
    <w:rsid w:val="002D6244"/>
    <w:rsid w:val="002D6348"/>
    <w:rsid w:val="002D6C76"/>
    <w:rsid w:val="002D768B"/>
    <w:rsid w:val="002E0AF1"/>
    <w:rsid w:val="002E0B47"/>
    <w:rsid w:val="002E13BF"/>
    <w:rsid w:val="002E1EDA"/>
    <w:rsid w:val="002E2DEE"/>
    <w:rsid w:val="002E4C0E"/>
    <w:rsid w:val="002E4EFC"/>
    <w:rsid w:val="002E5E19"/>
    <w:rsid w:val="002E62C1"/>
    <w:rsid w:val="002E7F9D"/>
    <w:rsid w:val="002F1D2C"/>
    <w:rsid w:val="002F4685"/>
    <w:rsid w:val="002F4743"/>
    <w:rsid w:val="002F608C"/>
    <w:rsid w:val="002F692A"/>
    <w:rsid w:val="002F6C58"/>
    <w:rsid w:val="002F7213"/>
    <w:rsid w:val="002F7422"/>
    <w:rsid w:val="002F76E5"/>
    <w:rsid w:val="003009F3"/>
    <w:rsid w:val="0030382F"/>
    <w:rsid w:val="0030408D"/>
    <w:rsid w:val="003040BD"/>
    <w:rsid w:val="003060E4"/>
    <w:rsid w:val="00307819"/>
    <w:rsid w:val="00310F83"/>
    <w:rsid w:val="00311D21"/>
    <w:rsid w:val="00312B4D"/>
    <w:rsid w:val="0031354F"/>
    <w:rsid w:val="003145D1"/>
    <w:rsid w:val="00314F81"/>
    <w:rsid w:val="003160E7"/>
    <w:rsid w:val="0031739E"/>
    <w:rsid w:val="003176F7"/>
    <w:rsid w:val="003178B3"/>
    <w:rsid w:val="00320CA3"/>
    <w:rsid w:val="00321C85"/>
    <w:rsid w:val="003235C6"/>
    <w:rsid w:val="003238FD"/>
    <w:rsid w:val="00323F0A"/>
    <w:rsid w:val="003241E4"/>
    <w:rsid w:val="00324B1B"/>
    <w:rsid w:val="0032532D"/>
    <w:rsid w:val="003267CE"/>
    <w:rsid w:val="00326AD9"/>
    <w:rsid w:val="0033062D"/>
    <w:rsid w:val="00330636"/>
    <w:rsid w:val="003309CA"/>
    <w:rsid w:val="00330A06"/>
    <w:rsid w:val="00331133"/>
    <w:rsid w:val="003325AB"/>
    <w:rsid w:val="00332633"/>
    <w:rsid w:val="0033272A"/>
    <w:rsid w:val="003332D1"/>
    <w:rsid w:val="0033330E"/>
    <w:rsid w:val="0033412B"/>
    <w:rsid w:val="00334AEF"/>
    <w:rsid w:val="00334C68"/>
    <w:rsid w:val="00334F07"/>
    <w:rsid w:val="0033513F"/>
    <w:rsid w:val="00335AF6"/>
    <w:rsid w:val="00336E45"/>
    <w:rsid w:val="003370A9"/>
    <w:rsid w:val="00337F9A"/>
    <w:rsid w:val="003401BF"/>
    <w:rsid w:val="0034074B"/>
    <w:rsid w:val="00341161"/>
    <w:rsid w:val="00342BA4"/>
    <w:rsid w:val="00343365"/>
    <w:rsid w:val="00343C8E"/>
    <w:rsid w:val="00344105"/>
    <w:rsid w:val="003445F4"/>
    <w:rsid w:val="00344A5C"/>
    <w:rsid w:val="00345F40"/>
    <w:rsid w:val="003469D9"/>
    <w:rsid w:val="00346BFC"/>
    <w:rsid w:val="003511C1"/>
    <w:rsid w:val="0035124A"/>
    <w:rsid w:val="00351AEA"/>
    <w:rsid w:val="00353229"/>
    <w:rsid w:val="00353501"/>
    <w:rsid w:val="00353734"/>
    <w:rsid w:val="00353E46"/>
    <w:rsid w:val="0035548C"/>
    <w:rsid w:val="00356390"/>
    <w:rsid w:val="00356836"/>
    <w:rsid w:val="00356A3A"/>
    <w:rsid w:val="00356B1F"/>
    <w:rsid w:val="00357C01"/>
    <w:rsid w:val="003606F8"/>
    <w:rsid w:val="00361BD4"/>
    <w:rsid w:val="00362A6A"/>
    <w:rsid w:val="003636F2"/>
    <w:rsid w:val="003648EF"/>
    <w:rsid w:val="00364B5B"/>
    <w:rsid w:val="00367393"/>
    <w:rsid w:val="003673E6"/>
    <w:rsid w:val="00370887"/>
    <w:rsid w:val="0037143B"/>
    <w:rsid w:val="00372327"/>
    <w:rsid w:val="00372B5B"/>
    <w:rsid w:val="0037311B"/>
    <w:rsid w:val="0037327F"/>
    <w:rsid w:val="00373625"/>
    <w:rsid w:val="0037371A"/>
    <w:rsid w:val="00373826"/>
    <w:rsid w:val="00373DB8"/>
    <w:rsid w:val="0037441C"/>
    <w:rsid w:val="00376B2D"/>
    <w:rsid w:val="00377264"/>
    <w:rsid w:val="00377491"/>
    <w:rsid w:val="003779D2"/>
    <w:rsid w:val="00377A12"/>
    <w:rsid w:val="0038011F"/>
    <w:rsid w:val="0038122E"/>
    <w:rsid w:val="00385E38"/>
    <w:rsid w:val="00387485"/>
    <w:rsid w:val="003908C2"/>
    <w:rsid w:val="0039111C"/>
    <w:rsid w:val="00395C5D"/>
    <w:rsid w:val="00396523"/>
    <w:rsid w:val="003969F2"/>
    <w:rsid w:val="00397A25"/>
    <w:rsid w:val="003A06A8"/>
    <w:rsid w:val="003A18EF"/>
    <w:rsid w:val="003A26A5"/>
    <w:rsid w:val="003A2788"/>
    <w:rsid w:val="003A31FA"/>
    <w:rsid w:val="003A3761"/>
    <w:rsid w:val="003A512D"/>
    <w:rsid w:val="003A57C9"/>
    <w:rsid w:val="003A59C0"/>
    <w:rsid w:val="003A5BE9"/>
    <w:rsid w:val="003A5FEA"/>
    <w:rsid w:val="003A6233"/>
    <w:rsid w:val="003A6331"/>
    <w:rsid w:val="003A6E85"/>
    <w:rsid w:val="003A710B"/>
    <w:rsid w:val="003B18B2"/>
    <w:rsid w:val="003B1D10"/>
    <w:rsid w:val="003B1D8E"/>
    <w:rsid w:val="003B2229"/>
    <w:rsid w:val="003B3D59"/>
    <w:rsid w:val="003B41CF"/>
    <w:rsid w:val="003B6E29"/>
    <w:rsid w:val="003B6EF7"/>
    <w:rsid w:val="003C1E31"/>
    <w:rsid w:val="003C2210"/>
    <w:rsid w:val="003C2B8E"/>
    <w:rsid w:val="003C4664"/>
    <w:rsid w:val="003C51BD"/>
    <w:rsid w:val="003C5305"/>
    <w:rsid w:val="003C563D"/>
    <w:rsid w:val="003C5E62"/>
    <w:rsid w:val="003C6C8E"/>
    <w:rsid w:val="003C76D4"/>
    <w:rsid w:val="003D1102"/>
    <w:rsid w:val="003D137D"/>
    <w:rsid w:val="003D1A0E"/>
    <w:rsid w:val="003D1AF8"/>
    <w:rsid w:val="003D2739"/>
    <w:rsid w:val="003D2CC5"/>
    <w:rsid w:val="003D3057"/>
    <w:rsid w:val="003D345F"/>
    <w:rsid w:val="003D3828"/>
    <w:rsid w:val="003D38A1"/>
    <w:rsid w:val="003D3E5C"/>
    <w:rsid w:val="003D4174"/>
    <w:rsid w:val="003D46B6"/>
    <w:rsid w:val="003D4751"/>
    <w:rsid w:val="003D5538"/>
    <w:rsid w:val="003D587B"/>
    <w:rsid w:val="003D6613"/>
    <w:rsid w:val="003D6A7E"/>
    <w:rsid w:val="003E04C1"/>
    <w:rsid w:val="003E0887"/>
    <w:rsid w:val="003E28C3"/>
    <w:rsid w:val="003E31D2"/>
    <w:rsid w:val="003E4AC6"/>
    <w:rsid w:val="003E5A1A"/>
    <w:rsid w:val="003E5C2C"/>
    <w:rsid w:val="003E74B5"/>
    <w:rsid w:val="003E74C8"/>
    <w:rsid w:val="003E74E2"/>
    <w:rsid w:val="003E7C46"/>
    <w:rsid w:val="003F096A"/>
    <w:rsid w:val="003F0ED7"/>
    <w:rsid w:val="003F2106"/>
    <w:rsid w:val="003F303B"/>
    <w:rsid w:val="003F52A7"/>
    <w:rsid w:val="003F57E2"/>
    <w:rsid w:val="003F5D7C"/>
    <w:rsid w:val="003F6854"/>
    <w:rsid w:val="003F7013"/>
    <w:rsid w:val="003F7F6A"/>
    <w:rsid w:val="00400184"/>
    <w:rsid w:val="00401BFF"/>
    <w:rsid w:val="00401DF4"/>
    <w:rsid w:val="0040240C"/>
    <w:rsid w:val="00403A2B"/>
    <w:rsid w:val="0040416E"/>
    <w:rsid w:val="00404E09"/>
    <w:rsid w:val="00406F1F"/>
    <w:rsid w:val="00407480"/>
    <w:rsid w:val="00407E8A"/>
    <w:rsid w:val="0041161D"/>
    <w:rsid w:val="00413021"/>
    <w:rsid w:val="00413F53"/>
    <w:rsid w:val="00414280"/>
    <w:rsid w:val="00414A3E"/>
    <w:rsid w:val="00416D11"/>
    <w:rsid w:val="00417CD5"/>
    <w:rsid w:val="00423330"/>
    <w:rsid w:val="00424052"/>
    <w:rsid w:val="00425C8E"/>
    <w:rsid w:val="00425D97"/>
    <w:rsid w:val="00426044"/>
    <w:rsid w:val="00426A54"/>
    <w:rsid w:val="004270AC"/>
    <w:rsid w:val="004274F7"/>
    <w:rsid w:val="004301C6"/>
    <w:rsid w:val="00431319"/>
    <w:rsid w:val="0043217B"/>
    <w:rsid w:val="0043277A"/>
    <w:rsid w:val="0043478F"/>
    <w:rsid w:val="00435CB3"/>
    <w:rsid w:val="0043602B"/>
    <w:rsid w:val="004367D2"/>
    <w:rsid w:val="004376FB"/>
    <w:rsid w:val="00440BE0"/>
    <w:rsid w:val="00440D45"/>
    <w:rsid w:val="00442A06"/>
    <w:rsid w:val="00442C1C"/>
    <w:rsid w:val="004441FC"/>
    <w:rsid w:val="00444704"/>
    <w:rsid w:val="00444E1A"/>
    <w:rsid w:val="00445698"/>
    <w:rsid w:val="0044584B"/>
    <w:rsid w:val="004470F3"/>
    <w:rsid w:val="00447CB7"/>
    <w:rsid w:val="0045036D"/>
    <w:rsid w:val="004506FC"/>
    <w:rsid w:val="00451FBC"/>
    <w:rsid w:val="00454CB0"/>
    <w:rsid w:val="004559B7"/>
    <w:rsid w:val="00455CC9"/>
    <w:rsid w:val="00457CD0"/>
    <w:rsid w:val="00460011"/>
    <w:rsid w:val="00460826"/>
    <w:rsid w:val="00460B1E"/>
    <w:rsid w:val="00460EA7"/>
    <w:rsid w:val="0046195B"/>
    <w:rsid w:val="0046211E"/>
    <w:rsid w:val="00462C8D"/>
    <w:rsid w:val="0046362D"/>
    <w:rsid w:val="0046400B"/>
    <w:rsid w:val="00464D4B"/>
    <w:rsid w:val="00465117"/>
    <w:rsid w:val="0046596D"/>
    <w:rsid w:val="0046772A"/>
    <w:rsid w:val="004701A6"/>
    <w:rsid w:val="00470353"/>
    <w:rsid w:val="004709EE"/>
    <w:rsid w:val="004712C8"/>
    <w:rsid w:val="00471378"/>
    <w:rsid w:val="004729D3"/>
    <w:rsid w:val="00472B04"/>
    <w:rsid w:val="004733C2"/>
    <w:rsid w:val="004746C3"/>
    <w:rsid w:val="00475334"/>
    <w:rsid w:val="00475A69"/>
    <w:rsid w:val="00476218"/>
    <w:rsid w:val="00477DA2"/>
    <w:rsid w:val="00480432"/>
    <w:rsid w:val="004806FE"/>
    <w:rsid w:val="004809F4"/>
    <w:rsid w:val="00480B73"/>
    <w:rsid w:val="00481D2B"/>
    <w:rsid w:val="004821A3"/>
    <w:rsid w:val="004822FE"/>
    <w:rsid w:val="00483013"/>
    <w:rsid w:val="00484EC8"/>
    <w:rsid w:val="00485E46"/>
    <w:rsid w:val="00486261"/>
    <w:rsid w:val="00487C04"/>
    <w:rsid w:val="004907E1"/>
    <w:rsid w:val="004921BD"/>
    <w:rsid w:val="0049293C"/>
    <w:rsid w:val="004932AE"/>
    <w:rsid w:val="004935F8"/>
    <w:rsid w:val="004939D4"/>
    <w:rsid w:val="00494355"/>
    <w:rsid w:val="004949EB"/>
    <w:rsid w:val="00494C8E"/>
    <w:rsid w:val="00495035"/>
    <w:rsid w:val="004A01AB"/>
    <w:rsid w:val="004A035B"/>
    <w:rsid w:val="004A06CB"/>
    <w:rsid w:val="004A089B"/>
    <w:rsid w:val="004A2108"/>
    <w:rsid w:val="004A2531"/>
    <w:rsid w:val="004A3419"/>
    <w:rsid w:val="004A38D7"/>
    <w:rsid w:val="004A778C"/>
    <w:rsid w:val="004A78B4"/>
    <w:rsid w:val="004B0645"/>
    <w:rsid w:val="004B17D2"/>
    <w:rsid w:val="004B1B7F"/>
    <w:rsid w:val="004B3354"/>
    <w:rsid w:val="004B367B"/>
    <w:rsid w:val="004B48C7"/>
    <w:rsid w:val="004B657B"/>
    <w:rsid w:val="004B7587"/>
    <w:rsid w:val="004C2E6A"/>
    <w:rsid w:val="004C41BF"/>
    <w:rsid w:val="004C4393"/>
    <w:rsid w:val="004C64B8"/>
    <w:rsid w:val="004C76D4"/>
    <w:rsid w:val="004D02C7"/>
    <w:rsid w:val="004D28FA"/>
    <w:rsid w:val="004D2A2D"/>
    <w:rsid w:val="004D2CC2"/>
    <w:rsid w:val="004D2E75"/>
    <w:rsid w:val="004D36EE"/>
    <w:rsid w:val="004D413F"/>
    <w:rsid w:val="004D43D1"/>
    <w:rsid w:val="004D479F"/>
    <w:rsid w:val="004D63AE"/>
    <w:rsid w:val="004D65BC"/>
    <w:rsid w:val="004D6689"/>
    <w:rsid w:val="004D7A8C"/>
    <w:rsid w:val="004D7F01"/>
    <w:rsid w:val="004E0867"/>
    <w:rsid w:val="004E1579"/>
    <w:rsid w:val="004E1D1D"/>
    <w:rsid w:val="004E2031"/>
    <w:rsid w:val="004E26B7"/>
    <w:rsid w:val="004E3D88"/>
    <w:rsid w:val="004E673A"/>
    <w:rsid w:val="004E792E"/>
    <w:rsid w:val="004E7AC8"/>
    <w:rsid w:val="004F0C94"/>
    <w:rsid w:val="004F33A1"/>
    <w:rsid w:val="004F3BD5"/>
    <w:rsid w:val="004F694B"/>
    <w:rsid w:val="004F6CAC"/>
    <w:rsid w:val="004F701A"/>
    <w:rsid w:val="004F739F"/>
    <w:rsid w:val="004F7A89"/>
    <w:rsid w:val="0050167D"/>
    <w:rsid w:val="00501864"/>
    <w:rsid w:val="005019AE"/>
    <w:rsid w:val="005032F1"/>
    <w:rsid w:val="00503749"/>
    <w:rsid w:val="00504CF4"/>
    <w:rsid w:val="005056DB"/>
    <w:rsid w:val="0050635B"/>
    <w:rsid w:val="005075B3"/>
    <w:rsid w:val="00507860"/>
    <w:rsid w:val="00510733"/>
    <w:rsid w:val="00510E37"/>
    <w:rsid w:val="00511F08"/>
    <w:rsid w:val="00512B04"/>
    <w:rsid w:val="005133BA"/>
    <w:rsid w:val="00513876"/>
    <w:rsid w:val="00513B1A"/>
    <w:rsid w:val="00514316"/>
    <w:rsid w:val="00514F2A"/>
    <w:rsid w:val="005151C2"/>
    <w:rsid w:val="0051699E"/>
    <w:rsid w:val="0051760B"/>
    <w:rsid w:val="00517DE2"/>
    <w:rsid w:val="0052123A"/>
    <w:rsid w:val="005219C1"/>
    <w:rsid w:val="00523057"/>
    <w:rsid w:val="00523A86"/>
    <w:rsid w:val="0052515C"/>
    <w:rsid w:val="00527941"/>
    <w:rsid w:val="00527DFB"/>
    <w:rsid w:val="00527E1F"/>
    <w:rsid w:val="0053026C"/>
    <w:rsid w:val="0053199F"/>
    <w:rsid w:val="00531D9B"/>
    <w:rsid w:val="00531E12"/>
    <w:rsid w:val="00532146"/>
    <w:rsid w:val="00532CA1"/>
    <w:rsid w:val="005334C8"/>
    <w:rsid w:val="00533B90"/>
    <w:rsid w:val="00534AF4"/>
    <w:rsid w:val="00537B6D"/>
    <w:rsid w:val="00540AA7"/>
    <w:rsid w:val="00540D35"/>
    <w:rsid w:val="005410F8"/>
    <w:rsid w:val="0054149A"/>
    <w:rsid w:val="00541583"/>
    <w:rsid w:val="00543046"/>
    <w:rsid w:val="00544103"/>
    <w:rsid w:val="005448EC"/>
    <w:rsid w:val="00544D73"/>
    <w:rsid w:val="0054523F"/>
    <w:rsid w:val="00545275"/>
    <w:rsid w:val="00545963"/>
    <w:rsid w:val="00547FC8"/>
    <w:rsid w:val="00550256"/>
    <w:rsid w:val="00550FD4"/>
    <w:rsid w:val="00553165"/>
    <w:rsid w:val="00553919"/>
    <w:rsid w:val="00553958"/>
    <w:rsid w:val="00556BB7"/>
    <w:rsid w:val="00556BE4"/>
    <w:rsid w:val="005571DC"/>
    <w:rsid w:val="0055763D"/>
    <w:rsid w:val="005576C9"/>
    <w:rsid w:val="00560260"/>
    <w:rsid w:val="00561516"/>
    <w:rsid w:val="00561C12"/>
    <w:rsid w:val="005621F2"/>
    <w:rsid w:val="0056240A"/>
    <w:rsid w:val="005635C3"/>
    <w:rsid w:val="00563A73"/>
    <w:rsid w:val="0056456B"/>
    <w:rsid w:val="00566A43"/>
    <w:rsid w:val="00567B58"/>
    <w:rsid w:val="005704A4"/>
    <w:rsid w:val="005711F9"/>
    <w:rsid w:val="00571223"/>
    <w:rsid w:val="005713C8"/>
    <w:rsid w:val="005715C5"/>
    <w:rsid w:val="005722DF"/>
    <w:rsid w:val="005726E7"/>
    <w:rsid w:val="00573D49"/>
    <w:rsid w:val="00574BC1"/>
    <w:rsid w:val="005753D7"/>
    <w:rsid w:val="005763E0"/>
    <w:rsid w:val="005765B2"/>
    <w:rsid w:val="00580C77"/>
    <w:rsid w:val="00581136"/>
    <w:rsid w:val="005817FD"/>
    <w:rsid w:val="00581B0C"/>
    <w:rsid w:val="00581EB8"/>
    <w:rsid w:val="00582342"/>
    <w:rsid w:val="0058304E"/>
    <w:rsid w:val="00583BE6"/>
    <w:rsid w:val="0058437F"/>
    <w:rsid w:val="00584BED"/>
    <w:rsid w:val="00584C0A"/>
    <w:rsid w:val="00584EB6"/>
    <w:rsid w:val="0058743C"/>
    <w:rsid w:val="00587547"/>
    <w:rsid w:val="0059210D"/>
    <w:rsid w:val="00595656"/>
    <w:rsid w:val="00595F71"/>
    <w:rsid w:val="005977D2"/>
    <w:rsid w:val="005A0506"/>
    <w:rsid w:val="005A1CFD"/>
    <w:rsid w:val="005A1D08"/>
    <w:rsid w:val="005A201F"/>
    <w:rsid w:val="005A27CA"/>
    <w:rsid w:val="005A3784"/>
    <w:rsid w:val="005A37E0"/>
    <w:rsid w:val="005A43BD"/>
    <w:rsid w:val="005A61C9"/>
    <w:rsid w:val="005A6425"/>
    <w:rsid w:val="005A6711"/>
    <w:rsid w:val="005A6831"/>
    <w:rsid w:val="005A79E5"/>
    <w:rsid w:val="005B0155"/>
    <w:rsid w:val="005B0660"/>
    <w:rsid w:val="005B07FE"/>
    <w:rsid w:val="005B25A7"/>
    <w:rsid w:val="005B34DE"/>
    <w:rsid w:val="005B3D68"/>
    <w:rsid w:val="005B4572"/>
    <w:rsid w:val="005B4576"/>
    <w:rsid w:val="005B58F3"/>
    <w:rsid w:val="005B7078"/>
    <w:rsid w:val="005B72D9"/>
    <w:rsid w:val="005C1FDF"/>
    <w:rsid w:val="005C203E"/>
    <w:rsid w:val="005C4B5A"/>
    <w:rsid w:val="005D034C"/>
    <w:rsid w:val="005D0D90"/>
    <w:rsid w:val="005D0FFB"/>
    <w:rsid w:val="005D1333"/>
    <w:rsid w:val="005D154B"/>
    <w:rsid w:val="005D162F"/>
    <w:rsid w:val="005D1A68"/>
    <w:rsid w:val="005E163D"/>
    <w:rsid w:val="005E1943"/>
    <w:rsid w:val="005E226E"/>
    <w:rsid w:val="005E2636"/>
    <w:rsid w:val="005E2C5E"/>
    <w:rsid w:val="005E3D5D"/>
    <w:rsid w:val="005E4CBF"/>
    <w:rsid w:val="005E59BA"/>
    <w:rsid w:val="005E68E7"/>
    <w:rsid w:val="005E7A7E"/>
    <w:rsid w:val="005F0790"/>
    <w:rsid w:val="005F0914"/>
    <w:rsid w:val="005F0A98"/>
    <w:rsid w:val="005F0D08"/>
    <w:rsid w:val="005F129C"/>
    <w:rsid w:val="005F1B21"/>
    <w:rsid w:val="005F316F"/>
    <w:rsid w:val="005F4106"/>
    <w:rsid w:val="005F4428"/>
    <w:rsid w:val="005F4AA2"/>
    <w:rsid w:val="005F509E"/>
    <w:rsid w:val="005F58F0"/>
    <w:rsid w:val="005F5AB1"/>
    <w:rsid w:val="005F5FDC"/>
    <w:rsid w:val="005F6ED8"/>
    <w:rsid w:val="005F72E7"/>
    <w:rsid w:val="005F78DE"/>
    <w:rsid w:val="006015D7"/>
    <w:rsid w:val="00601B21"/>
    <w:rsid w:val="006041F0"/>
    <w:rsid w:val="00604B89"/>
    <w:rsid w:val="00604DF3"/>
    <w:rsid w:val="00605C6D"/>
    <w:rsid w:val="0060603C"/>
    <w:rsid w:val="00606597"/>
    <w:rsid w:val="00607B5F"/>
    <w:rsid w:val="00610AB3"/>
    <w:rsid w:val="006120CA"/>
    <w:rsid w:val="00612709"/>
    <w:rsid w:val="006137E1"/>
    <w:rsid w:val="00613ED7"/>
    <w:rsid w:val="0061454A"/>
    <w:rsid w:val="00615407"/>
    <w:rsid w:val="00615B13"/>
    <w:rsid w:val="00616318"/>
    <w:rsid w:val="006202B0"/>
    <w:rsid w:val="00620928"/>
    <w:rsid w:val="00621CDE"/>
    <w:rsid w:val="0062250E"/>
    <w:rsid w:val="00623236"/>
    <w:rsid w:val="00623AFA"/>
    <w:rsid w:val="00623DD0"/>
    <w:rsid w:val="00624174"/>
    <w:rsid w:val="006260A6"/>
    <w:rsid w:val="006260C0"/>
    <w:rsid w:val="00626CEA"/>
    <w:rsid w:val="00626CF8"/>
    <w:rsid w:val="00627D9E"/>
    <w:rsid w:val="006314AF"/>
    <w:rsid w:val="0063233B"/>
    <w:rsid w:val="00632E78"/>
    <w:rsid w:val="006338E4"/>
    <w:rsid w:val="00633999"/>
    <w:rsid w:val="00633AC0"/>
    <w:rsid w:val="00634003"/>
    <w:rsid w:val="00634ED8"/>
    <w:rsid w:val="00635AEB"/>
    <w:rsid w:val="006360FA"/>
    <w:rsid w:val="00636D7D"/>
    <w:rsid w:val="006370A3"/>
    <w:rsid w:val="00637408"/>
    <w:rsid w:val="00640B0D"/>
    <w:rsid w:val="00640B4A"/>
    <w:rsid w:val="00640CB6"/>
    <w:rsid w:val="00642868"/>
    <w:rsid w:val="00642EB3"/>
    <w:rsid w:val="0064644B"/>
    <w:rsid w:val="006467D0"/>
    <w:rsid w:val="00647AFE"/>
    <w:rsid w:val="00647EF7"/>
    <w:rsid w:val="006512BC"/>
    <w:rsid w:val="006531FC"/>
    <w:rsid w:val="0065370C"/>
    <w:rsid w:val="00653A5A"/>
    <w:rsid w:val="006554AC"/>
    <w:rsid w:val="00657572"/>
    <w:rsid w:val="006575F4"/>
    <w:rsid w:val="006579E6"/>
    <w:rsid w:val="00660682"/>
    <w:rsid w:val="00660F74"/>
    <w:rsid w:val="00661642"/>
    <w:rsid w:val="00661AB0"/>
    <w:rsid w:val="00661D40"/>
    <w:rsid w:val="00662533"/>
    <w:rsid w:val="0066291C"/>
    <w:rsid w:val="00662999"/>
    <w:rsid w:val="00662B12"/>
    <w:rsid w:val="006638C9"/>
    <w:rsid w:val="00663EDC"/>
    <w:rsid w:val="006654E4"/>
    <w:rsid w:val="00665849"/>
    <w:rsid w:val="0067062E"/>
    <w:rsid w:val="00670E00"/>
    <w:rsid w:val="00670E49"/>
    <w:rsid w:val="00671078"/>
    <w:rsid w:val="006732CF"/>
    <w:rsid w:val="00673B58"/>
    <w:rsid w:val="00674BEA"/>
    <w:rsid w:val="006758CA"/>
    <w:rsid w:val="00676F7D"/>
    <w:rsid w:val="0068063C"/>
    <w:rsid w:val="00680A04"/>
    <w:rsid w:val="00681A6A"/>
    <w:rsid w:val="0068201F"/>
    <w:rsid w:val="00682C16"/>
    <w:rsid w:val="00686C8D"/>
    <w:rsid w:val="00686D80"/>
    <w:rsid w:val="006901CC"/>
    <w:rsid w:val="0069021F"/>
    <w:rsid w:val="006911AD"/>
    <w:rsid w:val="0069128E"/>
    <w:rsid w:val="00694895"/>
    <w:rsid w:val="00694D9C"/>
    <w:rsid w:val="00695DCB"/>
    <w:rsid w:val="00695FD8"/>
    <w:rsid w:val="00697114"/>
    <w:rsid w:val="00697E2E"/>
    <w:rsid w:val="006A107A"/>
    <w:rsid w:val="006A130F"/>
    <w:rsid w:val="006A1D84"/>
    <w:rsid w:val="006A25A2"/>
    <w:rsid w:val="006A37F8"/>
    <w:rsid w:val="006A390B"/>
    <w:rsid w:val="006A3B87"/>
    <w:rsid w:val="006A44FC"/>
    <w:rsid w:val="006A48AD"/>
    <w:rsid w:val="006A6ADB"/>
    <w:rsid w:val="006A7A9B"/>
    <w:rsid w:val="006B0540"/>
    <w:rsid w:val="006B0A88"/>
    <w:rsid w:val="006B0E73"/>
    <w:rsid w:val="006B1E3D"/>
    <w:rsid w:val="006B38D8"/>
    <w:rsid w:val="006B4A4D"/>
    <w:rsid w:val="006B5695"/>
    <w:rsid w:val="006B7B2E"/>
    <w:rsid w:val="006C1100"/>
    <w:rsid w:val="006C2413"/>
    <w:rsid w:val="006C2F21"/>
    <w:rsid w:val="006C3726"/>
    <w:rsid w:val="006C545A"/>
    <w:rsid w:val="006C61E3"/>
    <w:rsid w:val="006C6E7F"/>
    <w:rsid w:val="006C78EB"/>
    <w:rsid w:val="006D0C82"/>
    <w:rsid w:val="006D1084"/>
    <w:rsid w:val="006D1660"/>
    <w:rsid w:val="006D1BCD"/>
    <w:rsid w:val="006D4348"/>
    <w:rsid w:val="006D46FF"/>
    <w:rsid w:val="006D488F"/>
    <w:rsid w:val="006D5045"/>
    <w:rsid w:val="006D5214"/>
    <w:rsid w:val="006D63E5"/>
    <w:rsid w:val="006D6961"/>
    <w:rsid w:val="006D6FA4"/>
    <w:rsid w:val="006D7955"/>
    <w:rsid w:val="006D7FA8"/>
    <w:rsid w:val="006E1753"/>
    <w:rsid w:val="006E2388"/>
    <w:rsid w:val="006E2A65"/>
    <w:rsid w:val="006E3911"/>
    <w:rsid w:val="006E4F34"/>
    <w:rsid w:val="006E5817"/>
    <w:rsid w:val="006E5921"/>
    <w:rsid w:val="006E661A"/>
    <w:rsid w:val="006E6A41"/>
    <w:rsid w:val="006F0B19"/>
    <w:rsid w:val="006F1B67"/>
    <w:rsid w:val="006F3B66"/>
    <w:rsid w:val="006F4D9C"/>
    <w:rsid w:val="0070091D"/>
    <w:rsid w:val="00701896"/>
    <w:rsid w:val="0070219C"/>
    <w:rsid w:val="00702854"/>
    <w:rsid w:val="007035AA"/>
    <w:rsid w:val="00703705"/>
    <w:rsid w:val="00703E31"/>
    <w:rsid w:val="00703EFA"/>
    <w:rsid w:val="00704E1C"/>
    <w:rsid w:val="00705067"/>
    <w:rsid w:val="007064B7"/>
    <w:rsid w:val="00707498"/>
    <w:rsid w:val="0071106A"/>
    <w:rsid w:val="00714021"/>
    <w:rsid w:val="007148EA"/>
    <w:rsid w:val="007166CA"/>
    <w:rsid w:val="0071741C"/>
    <w:rsid w:val="00717E61"/>
    <w:rsid w:val="00721AA3"/>
    <w:rsid w:val="00722D1D"/>
    <w:rsid w:val="00724BA0"/>
    <w:rsid w:val="00725B30"/>
    <w:rsid w:val="00730695"/>
    <w:rsid w:val="00734D4F"/>
    <w:rsid w:val="007354FD"/>
    <w:rsid w:val="00735E1F"/>
    <w:rsid w:val="0073646D"/>
    <w:rsid w:val="00737DA7"/>
    <w:rsid w:val="00737EA2"/>
    <w:rsid w:val="00740608"/>
    <w:rsid w:val="00742780"/>
    <w:rsid w:val="00742B90"/>
    <w:rsid w:val="00742BC9"/>
    <w:rsid w:val="0074434D"/>
    <w:rsid w:val="0074525D"/>
    <w:rsid w:val="00745CB2"/>
    <w:rsid w:val="00747347"/>
    <w:rsid w:val="00750ED9"/>
    <w:rsid w:val="007534FA"/>
    <w:rsid w:val="007570C4"/>
    <w:rsid w:val="00757D78"/>
    <w:rsid w:val="00757FF0"/>
    <w:rsid w:val="00760506"/>
    <w:rsid w:val="007605B8"/>
    <w:rsid w:val="007616F5"/>
    <w:rsid w:val="00763B35"/>
    <w:rsid w:val="00764DFE"/>
    <w:rsid w:val="00764F2B"/>
    <w:rsid w:val="0076586C"/>
    <w:rsid w:val="00765B04"/>
    <w:rsid w:val="00771836"/>
    <w:rsid w:val="00771B1E"/>
    <w:rsid w:val="00771B7C"/>
    <w:rsid w:val="00771BFD"/>
    <w:rsid w:val="007738BF"/>
    <w:rsid w:val="007739C9"/>
    <w:rsid w:val="00773C95"/>
    <w:rsid w:val="00774336"/>
    <w:rsid w:val="0077524C"/>
    <w:rsid w:val="00775407"/>
    <w:rsid w:val="007759D7"/>
    <w:rsid w:val="00775CB9"/>
    <w:rsid w:val="00776E62"/>
    <w:rsid w:val="00780397"/>
    <w:rsid w:val="0078087B"/>
    <w:rsid w:val="0078171E"/>
    <w:rsid w:val="0078658E"/>
    <w:rsid w:val="00787A2E"/>
    <w:rsid w:val="0079071A"/>
    <w:rsid w:val="007908F8"/>
    <w:rsid w:val="00790A1F"/>
    <w:rsid w:val="00791947"/>
    <w:rsid w:val="007920E2"/>
    <w:rsid w:val="007927A4"/>
    <w:rsid w:val="0079284F"/>
    <w:rsid w:val="00792A9B"/>
    <w:rsid w:val="00792E93"/>
    <w:rsid w:val="00794985"/>
    <w:rsid w:val="0079566E"/>
    <w:rsid w:val="00795B34"/>
    <w:rsid w:val="00795B5D"/>
    <w:rsid w:val="007961BC"/>
    <w:rsid w:val="00797997"/>
    <w:rsid w:val="007A0047"/>
    <w:rsid w:val="007A067F"/>
    <w:rsid w:val="007A1184"/>
    <w:rsid w:val="007A2783"/>
    <w:rsid w:val="007A2CE3"/>
    <w:rsid w:val="007A2DB4"/>
    <w:rsid w:val="007A3A55"/>
    <w:rsid w:val="007A6712"/>
    <w:rsid w:val="007A751A"/>
    <w:rsid w:val="007B0B60"/>
    <w:rsid w:val="007B0C9E"/>
    <w:rsid w:val="007B1770"/>
    <w:rsid w:val="007B25E7"/>
    <w:rsid w:val="007B26C2"/>
    <w:rsid w:val="007B41B1"/>
    <w:rsid w:val="007B45AC"/>
    <w:rsid w:val="007B4C07"/>
    <w:rsid w:val="007B4D3E"/>
    <w:rsid w:val="007B7C70"/>
    <w:rsid w:val="007B7DEB"/>
    <w:rsid w:val="007C0449"/>
    <w:rsid w:val="007C04CA"/>
    <w:rsid w:val="007C4909"/>
    <w:rsid w:val="007C6ACD"/>
    <w:rsid w:val="007C73CD"/>
    <w:rsid w:val="007C75F6"/>
    <w:rsid w:val="007C7F9F"/>
    <w:rsid w:val="007D1BB6"/>
    <w:rsid w:val="007D2151"/>
    <w:rsid w:val="007D2285"/>
    <w:rsid w:val="007D26F0"/>
    <w:rsid w:val="007D2A0A"/>
    <w:rsid w:val="007D3B90"/>
    <w:rsid w:val="007D42CC"/>
    <w:rsid w:val="007D54F5"/>
    <w:rsid w:val="007D5DBF"/>
    <w:rsid w:val="007D5DE4"/>
    <w:rsid w:val="007D600D"/>
    <w:rsid w:val="007D6044"/>
    <w:rsid w:val="007D70DF"/>
    <w:rsid w:val="007D7310"/>
    <w:rsid w:val="007D741E"/>
    <w:rsid w:val="007D7B3B"/>
    <w:rsid w:val="007D7C3A"/>
    <w:rsid w:val="007E0777"/>
    <w:rsid w:val="007E11DB"/>
    <w:rsid w:val="007E1341"/>
    <w:rsid w:val="007E1B41"/>
    <w:rsid w:val="007E1EC4"/>
    <w:rsid w:val="007E30B9"/>
    <w:rsid w:val="007E3DE2"/>
    <w:rsid w:val="007E56FF"/>
    <w:rsid w:val="007E5B09"/>
    <w:rsid w:val="007E6572"/>
    <w:rsid w:val="007E70D8"/>
    <w:rsid w:val="007E74F1"/>
    <w:rsid w:val="007E79EE"/>
    <w:rsid w:val="007E7E0F"/>
    <w:rsid w:val="007F0174"/>
    <w:rsid w:val="007F0F0C"/>
    <w:rsid w:val="007F1288"/>
    <w:rsid w:val="007F3877"/>
    <w:rsid w:val="007F3E11"/>
    <w:rsid w:val="007F4403"/>
    <w:rsid w:val="007F6C48"/>
    <w:rsid w:val="007F76C3"/>
    <w:rsid w:val="00800A8A"/>
    <w:rsid w:val="0080155C"/>
    <w:rsid w:val="00801BAE"/>
    <w:rsid w:val="008026D2"/>
    <w:rsid w:val="00802A57"/>
    <w:rsid w:val="00802F97"/>
    <w:rsid w:val="00804F7A"/>
    <w:rsid w:val="00805172"/>
    <w:rsid w:val="008052E1"/>
    <w:rsid w:val="00806101"/>
    <w:rsid w:val="00811B4A"/>
    <w:rsid w:val="008129F2"/>
    <w:rsid w:val="0081415A"/>
    <w:rsid w:val="008158AC"/>
    <w:rsid w:val="008158E9"/>
    <w:rsid w:val="00815B1A"/>
    <w:rsid w:val="008160AA"/>
    <w:rsid w:val="00817187"/>
    <w:rsid w:val="008179E7"/>
    <w:rsid w:val="00820AAB"/>
    <w:rsid w:val="0082215B"/>
    <w:rsid w:val="008221B6"/>
    <w:rsid w:val="00822F2C"/>
    <w:rsid w:val="00823B34"/>
    <w:rsid w:val="00823DEE"/>
    <w:rsid w:val="00825834"/>
    <w:rsid w:val="008258A6"/>
    <w:rsid w:val="00825D64"/>
    <w:rsid w:val="0082692C"/>
    <w:rsid w:val="008305E8"/>
    <w:rsid w:val="00830D75"/>
    <w:rsid w:val="008320F2"/>
    <w:rsid w:val="00832DA0"/>
    <w:rsid w:val="008331A2"/>
    <w:rsid w:val="00833624"/>
    <w:rsid w:val="008338F5"/>
    <w:rsid w:val="00833FB2"/>
    <w:rsid w:val="00835851"/>
    <w:rsid w:val="00836165"/>
    <w:rsid w:val="00836E30"/>
    <w:rsid w:val="0083728F"/>
    <w:rsid w:val="0084008E"/>
    <w:rsid w:val="00842A10"/>
    <w:rsid w:val="00844986"/>
    <w:rsid w:val="0084640C"/>
    <w:rsid w:val="0084703D"/>
    <w:rsid w:val="0085069F"/>
    <w:rsid w:val="0085106A"/>
    <w:rsid w:val="00852822"/>
    <w:rsid w:val="00853449"/>
    <w:rsid w:val="00854B1E"/>
    <w:rsid w:val="0085561D"/>
    <w:rsid w:val="00855A15"/>
    <w:rsid w:val="00856088"/>
    <w:rsid w:val="008571A4"/>
    <w:rsid w:val="00857561"/>
    <w:rsid w:val="00857B5E"/>
    <w:rsid w:val="00860826"/>
    <w:rsid w:val="00860E21"/>
    <w:rsid w:val="00860E87"/>
    <w:rsid w:val="00863117"/>
    <w:rsid w:val="0086388B"/>
    <w:rsid w:val="008642E5"/>
    <w:rsid w:val="00864488"/>
    <w:rsid w:val="008659BF"/>
    <w:rsid w:val="00870334"/>
    <w:rsid w:val="00870A36"/>
    <w:rsid w:val="0087128C"/>
    <w:rsid w:val="00872D93"/>
    <w:rsid w:val="008746C1"/>
    <w:rsid w:val="00876BAF"/>
    <w:rsid w:val="008771F4"/>
    <w:rsid w:val="00880470"/>
    <w:rsid w:val="0088076A"/>
    <w:rsid w:val="00880CD9"/>
    <w:rsid w:val="00880D3E"/>
    <w:rsid w:val="00880D94"/>
    <w:rsid w:val="008814E8"/>
    <w:rsid w:val="00881D75"/>
    <w:rsid w:val="00881D9D"/>
    <w:rsid w:val="008857E7"/>
    <w:rsid w:val="00886F64"/>
    <w:rsid w:val="00886FCB"/>
    <w:rsid w:val="0088759B"/>
    <w:rsid w:val="0089019E"/>
    <w:rsid w:val="008924DE"/>
    <w:rsid w:val="00892B6B"/>
    <w:rsid w:val="008937B6"/>
    <w:rsid w:val="0089582A"/>
    <w:rsid w:val="008962EE"/>
    <w:rsid w:val="008A27E5"/>
    <w:rsid w:val="008A3755"/>
    <w:rsid w:val="008A4F9A"/>
    <w:rsid w:val="008A6F0A"/>
    <w:rsid w:val="008B018C"/>
    <w:rsid w:val="008B124C"/>
    <w:rsid w:val="008B19DC"/>
    <w:rsid w:val="008B210E"/>
    <w:rsid w:val="008B264F"/>
    <w:rsid w:val="008B5194"/>
    <w:rsid w:val="008B55C2"/>
    <w:rsid w:val="008B60DD"/>
    <w:rsid w:val="008B6F83"/>
    <w:rsid w:val="008B7AB1"/>
    <w:rsid w:val="008B7FD8"/>
    <w:rsid w:val="008C25D1"/>
    <w:rsid w:val="008C2973"/>
    <w:rsid w:val="008C2B1E"/>
    <w:rsid w:val="008C3042"/>
    <w:rsid w:val="008C32D8"/>
    <w:rsid w:val="008C35BE"/>
    <w:rsid w:val="008C387E"/>
    <w:rsid w:val="008C5ABD"/>
    <w:rsid w:val="008C6324"/>
    <w:rsid w:val="008C64C4"/>
    <w:rsid w:val="008D01F4"/>
    <w:rsid w:val="008D1065"/>
    <w:rsid w:val="008D2CDD"/>
    <w:rsid w:val="008D2ED0"/>
    <w:rsid w:val="008D5968"/>
    <w:rsid w:val="008D74D5"/>
    <w:rsid w:val="008D756C"/>
    <w:rsid w:val="008D7C9F"/>
    <w:rsid w:val="008E0A63"/>
    <w:rsid w:val="008E0ED1"/>
    <w:rsid w:val="008E1308"/>
    <w:rsid w:val="008E17D4"/>
    <w:rsid w:val="008E324F"/>
    <w:rsid w:val="008E3A07"/>
    <w:rsid w:val="008E3FE8"/>
    <w:rsid w:val="008E4C39"/>
    <w:rsid w:val="008E537B"/>
    <w:rsid w:val="008E605A"/>
    <w:rsid w:val="008E6879"/>
    <w:rsid w:val="008E7F3C"/>
    <w:rsid w:val="008F0616"/>
    <w:rsid w:val="008F0B37"/>
    <w:rsid w:val="008F233B"/>
    <w:rsid w:val="008F29BE"/>
    <w:rsid w:val="008F3AC8"/>
    <w:rsid w:val="008F3BE2"/>
    <w:rsid w:val="008F4259"/>
    <w:rsid w:val="008F4AE5"/>
    <w:rsid w:val="008F51EB"/>
    <w:rsid w:val="008F5334"/>
    <w:rsid w:val="008F5DAA"/>
    <w:rsid w:val="008F5FE7"/>
    <w:rsid w:val="008F690A"/>
    <w:rsid w:val="008F6959"/>
    <w:rsid w:val="008F6A6A"/>
    <w:rsid w:val="00900197"/>
    <w:rsid w:val="00902B1A"/>
    <w:rsid w:val="00902F55"/>
    <w:rsid w:val="0090582B"/>
    <w:rsid w:val="00905F5C"/>
    <w:rsid w:val="009060C0"/>
    <w:rsid w:val="00906FB1"/>
    <w:rsid w:val="00907391"/>
    <w:rsid w:val="0091005D"/>
    <w:rsid w:val="00910F2F"/>
    <w:rsid w:val="009115E7"/>
    <w:rsid w:val="00911A2F"/>
    <w:rsid w:val="00911C38"/>
    <w:rsid w:val="00911C60"/>
    <w:rsid w:val="00912428"/>
    <w:rsid w:val="009133F5"/>
    <w:rsid w:val="009134BD"/>
    <w:rsid w:val="009146C7"/>
    <w:rsid w:val="0091566E"/>
    <w:rsid w:val="00915D1B"/>
    <w:rsid w:val="0091756F"/>
    <w:rsid w:val="009206C9"/>
    <w:rsid w:val="00920A27"/>
    <w:rsid w:val="00920E23"/>
    <w:rsid w:val="00921216"/>
    <w:rsid w:val="009216CC"/>
    <w:rsid w:val="009225ED"/>
    <w:rsid w:val="00922E41"/>
    <w:rsid w:val="00924479"/>
    <w:rsid w:val="0092448A"/>
    <w:rsid w:val="00924E32"/>
    <w:rsid w:val="00925892"/>
    <w:rsid w:val="00926083"/>
    <w:rsid w:val="009266E9"/>
    <w:rsid w:val="00927A84"/>
    <w:rsid w:val="00930D08"/>
    <w:rsid w:val="00931466"/>
    <w:rsid w:val="00931AAB"/>
    <w:rsid w:val="00932C0B"/>
    <w:rsid w:val="00932D69"/>
    <w:rsid w:val="00933CEF"/>
    <w:rsid w:val="009342B7"/>
    <w:rsid w:val="009347C0"/>
    <w:rsid w:val="00934A59"/>
    <w:rsid w:val="00934A7D"/>
    <w:rsid w:val="00935589"/>
    <w:rsid w:val="00936D6C"/>
    <w:rsid w:val="0093723F"/>
    <w:rsid w:val="00937408"/>
    <w:rsid w:val="009427FA"/>
    <w:rsid w:val="009437E4"/>
    <w:rsid w:val="00944647"/>
    <w:rsid w:val="00944D5B"/>
    <w:rsid w:val="00950CC4"/>
    <w:rsid w:val="009511A9"/>
    <w:rsid w:val="009517BE"/>
    <w:rsid w:val="00951D1C"/>
    <w:rsid w:val="0095255E"/>
    <w:rsid w:val="009535BF"/>
    <w:rsid w:val="00954D78"/>
    <w:rsid w:val="0095565C"/>
    <w:rsid w:val="0095574F"/>
    <w:rsid w:val="00956963"/>
    <w:rsid w:val="0095747C"/>
    <w:rsid w:val="00960BA3"/>
    <w:rsid w:val="00961996"/>
    <w:rsid w:val="009625FE"/>
    <w:rsid w:val="00964260"/>
    <w:rsid w:val="00964AB6"/>
    <w:rsid w:val="00966F9A"/>
    <w:rsid w:val="00967229"/>
    <w:rsid w:val="009700F5"/>
    <w:rsid w:val="00970511"/>
    <w:rsid w:val="00973FD7"/>
    <w:rsid w:val="009757E7"/>
    <w:rsid w:val="00975831"/>
    <w:rsid w:val="009762D8"/>
    <w:rsid w:val="00976F40"/>
    <w:rsid w:val="00977312"/>
    <w:rsid w:val="00977B8A"/>
    <w:rsid w:val="0098184B"/>
    <w:rsid w:val="009819C6"/>
    <w:rsid w:val="00982594"/>
    <w:rsid w:val="00982971"/>
    <w:rsid w:val="009845AD"/>
    <w:rsid w:val="00984835"/>
    <w:rsid w:val="0098587A"/>
    <w:rsid w:val="009862E4"/>
    <w:rsid w:val="00986B3B"/>
    <w:rsid w:val="00986DAF"/>
    <w:rsid w:val="009914BA"/>
    <w:rsid w:val="00992EED"/>
    <w:rsid w:val="009933EF"/>
    <w:rsid w:val="009937E6"/>
    <w:rsid w:val="00993CF7"/>
    <w:rsid w:val="009940C1"/>
    <w:rsid w:val="00994593"/>
    <w:rsid w:val="00994879"/>
    <w:rsid w:val="00994FC5"/>
    <w:rsid w:val="00995253"/>
    <w:rsid w:val="00995BA0"/>
    <w:rsid w:val="00995C96"/>
    <w:rsid w:val="00996418"/>
    <w:rsid w:val="009A1001"/>
    <w:rsid w:val="009A1E8C"/>
    <w:rsid w:val="009A29D7"/>
    <w:rsid w:val="009A3042"/>
    <w:rsid w:val="009A3702"/>
    <w:rsid w:val="009A418B"/>
    <w:rsid w:val="009A426F"/>
    <w:rsid w:val="009A42D5"/>
    <w:rsid w:val="009A4473"/>
    <w:rsid w:val="009A5538"/>
    <w:rsid w:val="009A56C4"/>
    <w:rsid w:val="009A7D4E"/>
    <w:rsid w:val="009B0512"/>
    <w:rsid w:val="009B05C9"/>
    <w:rsid w:val="009B0E57"/>
    <w:rsid w:val="009B12C4"/>
    <w:rsid w:val="009B2235"/>
    <w:rsid w:val="009B286C"/>
    <w:rsid w:val="009B3056"/>
    <w:rsid w:val="009B32C9"/>
    <w:rsid w:val="009B42F4"/>
    <w:rsid w:val="009B59F9"/>
    <w:rsid w:val="009B6E5A"/>
    <w:rsid w:val="009B6E9A"/>
    <w:rsid w:val="009B705F"/>
    <w:rsid w:val="009B7C2B"/>
    <w:rsid w:val="009C151C"/>
    <w:rsid w:val="009C440A"/>
    <w:rsid w:val="009C655C"/>
    <w:rsid w:val="009C78EB"/>
    <w:rsid w:val="009D000B"/>
    <w:rsid w:val="009D0388"/>
    <w:rsid w:val="009D30F2"/>
    <w:rsid w:val="009D5125"/>
    <w:rsid w:val="009D60B8"/>
    <w:rsid w:val="009D7D4B"/>
    <w:rsid w:val="009E01D9"/>
    <w:rsid w:val="009E09B6"/>
    <w:rsid w:val="009E1142"/>
    <w:rsid w:val="009E36ED"/>
    <w:rsid w:val="009E3B47"/>
    <w:rsid w:val="009E3C8C"/>
    <w:rsid w:val="009E55DB"/>
    <w:rsid w:val="009E6881"/>
    <w:rsid w:val="009E6B04"/>
    <w:rsid w:val="009E6B77"/>
    <w:rsid w:val="009E7391"/>
    <w:rsid w:val="009F05D0"/>
    <w:rsid w:val="009F460A"/>
    <w:rsid w:val="009F4FD7"/>
    <w:rsid w:val="009F5A96"/>
    <w:rsid w:val="009F5F73"/>
    <w:rsid w:val="009F6C09"/>
    <w:rsid w:val="00A00BE3"/>
    <w:rsid w:val="00A00CCB"/>
    <w:rsid w:val="00A0170A"/>
    <w:rsid w:val="00A01B58"/>
    <w:rsid w:val="00A02AF9"/>
    <w:rsid w:val="00A02FEC"/>
    <w:rsid w:val="00A03E47"/>
    <w:rsid w:val="00A043FB"/>
    <w:rsid w:val="00A049EC"/>
    <w:rsid w:val="00A04CB6"/>
    <w:rsid w:val="00A05151"/>
    <w:rsid w:val="00A06BE4"/>
    <w:rsid w:val="00A06E4D"/>
    <w:rsid w:val="00A0729C"/>
    <w:rsid w:val="00A073CF"/>
    <w:rsid w:val="00A074B4"/>
    <w:rsid w:val="00A07779"/>
    <w:rsid w:val="00A10064"/>
    <w:rsid w:val="00A11439"/>
    <w:rsid w:val="00A1166A"/>
    <w:rsid w:val="00A11EC0"/>
    <w:rsid w:val="00A12B2C"/>
    <w:rsid w:val="00A13213"/>
    <w:rsid w:val="00A13387"/>
    <w:rsid w:val="00A13F20"/>
    <w:rsid w:val="00A148AA"/>
    <w:rsid w:val="00A150FE"/>
    <w:rsid w:val="00A157DC"/>
    <w:rsid w:val="00A15BEA"/>
    <w:rsid w:val="00A20639"/>
    <w:rsid w:val="00A20B2E"/>
    <w:rsid w:val="00A215F9"/>
    <w:rsid w:val="00A218F4"/>
    <w:rsid w:val="00A21E52"/>
    <w:rsid w:val="00A2201E"/>
    <w:rsid w:val="00A22FBC"/>
    <w:rsid w:val="00A24F33"/>
    <w:rsid w:val="00A25069"/>
    <w:rsid w:val="00A25781"/>
    <w:rsid w:val="00A26493"/>
    <w:rsid w:val="00A26E6B"/>
    <w:rsid w:val="00A270C6"/>
    <w:rsid w:val="00A27F9F"/>
    <w:rsid w:val="00A3068F"/>
    <w:rsid w:val="00A312EE"/>
    <w:rsid w:val="00A3138D"/>
    <w:rsid w:val="00A3145B"/>
    <w:rsid w:val="00A31658"/>
    <w:rsid w:val="00A33162"/>
    <w:rsid w:val="00A33792"/>
    <w:rsid w:val="00A339D0"/>
    <w:rsid w:val="00A349B5"/>
    <w:rsid w:val="00A366A1"/>
    <w:rsid w:val="00A375BF"/>
    <w:rsid w:val="00A40DB1"/>
    <w:rsid w:val="00A41002"/>
    <w:rsid w:val="00A4201A"/>
    <w:rsid w:val="00A420B7"/>
    <w:rsid w:val="00A434F5"/>
    <w:rsid w:val="00A44FA0"/>
    <w:rsid w:val="00A47B1E"/>
    <w:rsid w:val="00A50535"/>
    <w:rsid w:val="00A50B14"/>
    <w:rsid w:val="00A5132D"/>
    <w:rsid w:val="00A52606"/>
    <w:rsid w:val="00A5465D"/>
    <w:rsid w:val="00A54E77"/>
    <w:rsid w:val="00A553CE"/>
    <w:rsid w:val="00A5677A"/>
    <w:rsid w:val="00A56DCC"/>
    <w:rsid w:val="00A57C65"/>
    <w:rsid w:val="00A60E92"/>
    <w:rsid w:val="00A6144D"/>
    <w:rsid w:val="00A625E8"/>
    <w:rsid w:val="00A63DFF"/>
    <w:rsid w:val="00A64496"/>
    <w:rsid w:val="00A6490D"/>
    <w:rsid w:val="00A64DF2"/>
    <w:rsid w:val="00A65CB2"/>
    <w:rsid w:val="00A66075"/>
    <w:rsid w:val="00A67033"/>
    <w:rsid w:val="00A677D9"/>
    <w:rsid w:val="00A70532"/>
    <w:rsid w:val="00A71A4C"/>
    <w:rsid w:val="00A71FCC"/>
    <w:rsid w:val="00A74105"/>
    <w:rsid w:val="00A7415D"/>
    <w:rsid w:val="00A74795"/>
    <w:rsid w:val="00A7491B"/>
    <w:rsid w:val="00A7670B"/>
    <w:rsid w:val="00A777E3"/>
    <w:rsid w:val="00A80363"/>
    <w:rsid w:val="00A80939"/>
    <w:rsid w:val="00A82CC9"/>
    <w:rsid w:val="00A83E9D"/>
    <w:rsid w:val="00A84E8F"/>
    <w:rsid w:val="00A854E9"/>
    <w:rsid w:val="00A85D18"/>
    <w:rsid w:val="00A87594"/>
    <w:rsid w:val="00A8768D"/>
    <w:rsid w:val="00A87C05"/>
    <w:rsid w:val="00A87D4C"/>
    <w:rsid w:val="00A90177"/>
    <w:rsid w:val="00A90946"/>
    <w:rsid w:val="00A909AA"/>
    <w:rsid w:val="00A9169D"/>
    <w:rsid w:val="00A93598"/>
    <w:rsid w:val="00A94167"/>
    <w:rsid w:val="00A9429B"/>
    <w:rsid w:val="00A95A45"/>
    <w:rsid w:val="00A97918"/>
    <w:rsid w:val="00AA0090"/>
    <w:rsid w:val="00AA011D"/>
    <w:rsid w:val="00AA0407"/>
    <w:rsid w:val="00AA240C"/>
    <w:rsid w:val="00AA28A1"/>
    <w:rsid w:val="00AA43FB"/>
    <w:rsid w:val="00AA4C7F"/>
    <w:rsid w:val="00AA68F9"/>
    <w:rsid w:val="00AA71D4"/>
    <w:rsid w:val="00AB1578"/>
    <w:rsid w:val="00AB2352"/>
    <w:rsid w:val="00AB2E44"/>
    <w:rsid w:val="00AB3966"/>
    <w:rsid w:val="00AB39CD"/>
    <w:rsid w:val="00AB46F1"/>
    <w:rsid w:val="00AB4FBE"/>
    <w:rsid w:val="00AB5D9A"/>
    <w:rsid w:val="00AC101C"/>
    <w:rsid w:val="00AC12FD"/>
    <w:rsid w:val="00AC1AA2"/>
    <w:rsid w:val="00AC33C6"/>
    <w:rsid w:val="00AC3425"/>
    <w:rsid w:val="00AC588C"/>
    <w:rsid w:val="00AC5BF6"/>
    <w:rsid w:val="00AC73AA"/>
    <w:rsid w:val="00AC7C61"/>
    <w:rsid w:val="00AD01D2"/>
    <w:rsid w:val="00AD1A3D"/>
    <w:rsid w:val="00AD4225"/>
    <w:rsid w:val="00AD4CF1"/>
    <w:rsid w:val="00AD5988"/>
    <w:rsid w:val="00AD6293"/>
    <w:rsid w:val="00AE04B4"/>
    <w:rsid w:val="00AE0697"/>
    <w:rsid w:val="00AE0E3C"/>
    <w:rsid w:val="00AE1013"/>
    <w:rsid w:val="00AE1447"/>
    <w:rsid w:val="00AE2C24"/>
    <w:rsid w:val="00AE380E"/>
    <w:rsid w:val="00AE4EB0"/>
    <w:rsid w:val="00AE5C0A"/>
    <w:rsid w:val="00AE5F96"/>
    <w:rsid w:val="00AF1178"/>
    <w:rsid w:val="00AF1DB6"/>
    <w:rsid w:val="00AF32BE"/>
    <w:rsid w:val="00AF4328"/>
    <w:rsid w:val="00AF46CE"/>
    <w:rsid w:val="00AF4D06"/>
    <w:rsid w:val="00AF5053"/>
    <w:rsid w:val="00AF7800"/>
    <w:rsid w:val="00B006CA"/>
    <w:rsid w:val="00B00CF5"/>
    <w:rsid w:val="00B04ED3"/>
    <w:rsid w:val="00B04F5E"/>
    <w:rsid w:val="00B05322"/>
    <w:rsid w:val="00B072E0"/>
    <w:rsid w:val="00B07F6E"/>
    <w:rsid w:val="00B1007E"/>
    <w:rsid w:val="00B10459"/>
    <w:rsid w:val="00B11999"/>
    <w:rsid w:val="00B126AA"/>
    <w:rsid w:val="00B1271F"/>
    <w:rsid w:val="00B12DBF"/>
    <w:rsid w:val="00B15D70"/>
    <w:rsid w:val="00B1666C"/>
    <w:rsid w:val="00B17D41"/>
    <w:rsid w:val="00B23506"/>
    <w:rsid w:val="00B23A6B"/>
    <w:rsid w:val="00B24F80"/>
    <w:rsid w:val="00B253F6"/>
    <w:rsid w:val="00B26675"/>
    <w:rsid w:val="00B26AE7"/>
    <w:rsid w:val="00B26E1C"/>
    <w:rsid w:val="00B27F0F"/>
    <w:rsid w:val="00B305DB"/>
    <w:rsid w:val="00B31918"/>
    <w:rsid w:val="00B332F8"/>
    <w:rsid w:val="00B33306"/>
    <w:rsid w:val="00B33685"/>
    <w:rsid w:val="00B34774"/>
    <w:rsid w:val="00B3492B"/>
    <w:rsid w:val="00B34BC0"/>
    <w:rsid w:val="00B355EF"/>
    <w:rsid w:val="00B35E18"/>
    <w:rsid w:val="00B4067C"/>
    <w:rsid w:val="00B45D83"/>
    <w:rsid w:val="00B45F33"/>
    <w:rsid w:val="00B4613A"/>
    <w:rsid w:val="00B4646F"/>
    <w:rsid w:val="00B501C7"/>
    <w:rsid w:val="00B5022E"/>
    <w:rsid w:val="00B50BBD"/>
    <w:rsid w:val="00B50E97"/>
    <w:rsid w:val="00B5472B"/>
    <w:rsid w:val="00B5515B"/>
    <w:rsid w:val="00B55C7D"/>
    <w:rsid w:val="00B55DD8"/>
    <w:rsid w:val="00B56163"/>
    <w:rsid w:val="00B5721E"/>
    <w:rsid w:val="00B57767"/>
    <w:rsid w:val="00B60398"/>
    <w:rsid w:val="00B61D1E"/>
    <w:rsid w:val="00B6207E"/>
    <w:rsid w:val="00B63038"/>
    <w:rsid w:val="00B63376"/>
    <w:rsid w:val="00B64950"/>
    <w:rsid w:val="00B64BD8"/>
    <w:rsid w:val="00B659CE"/>
    <w:rsid w:val="00B663B4"/>
    <w:rsid w:val="00B665F3"/>
    <w:rsid w:val="00B67F64"/>
    <w:rsid w:val="00B701D1"/>
    <w:rsid w:val="00B70804"/>
    <w:rsid w:val="00B71429"/>
    <w:rsid w:val="00B71ADD"/>
    <w:rsid w:val="00B71F10"/>
    <w:rsid w:val="00B721EB"/>
    <w:rsid w:val="00B73686"/>
    <w:rsid w:val="00B73AF2"/>
    <w:rsid w:val="00B746E1"/>
    <w:rsid w:val="00B7551A"/>
    <w:rsid w:val="00B773F1"/>
    <w:rsid w:val="00B7759D"/>
    <w:rsid w:val="00B8074B"/>
    <w:rsid w:val="00B828E5"/>
    <w:rsid w:val="00B82E72"/>
    <w:rsid w:val="00B83912"/>
    <w:rsid w:val="00B844C8"/>
    <w:rsid w:val="00B848FA"/>
    <w:rsid w:val="00B8494E"/>
    <w:rsid w:val="00B85781"/>
    <w:rsid w:val="00B861C1"/>
    <w:rsid w:val="00B862E3"/>
    <w:rsid w:val="00B86AB1"/>
    <w:rsid w:val="00B87726"/>
    <w:rsid w:val="00B87B2F"/>
    <w:rsid w:val="00B87E6D"/>
    <w:rsid w:val="00B9121F"/>
    <w:rsid w:val="00B91B22"/>
    <w:rsid w:val="00B94490"/>
    <w:rsid w:val="00B946A0"/>
    <w:rsid w:val="00B95C83"/>
    <w:rsid w:val="00B9670F"/>
    <w:rsid w:val="00B975BD"/>
    <w:rsid w:val="00B979AA"/>
    <w:rsid w:val="00B97AD3"/>
    <w:rsid w:val="00B97F1F"/>
    <w:rsid w:val="00BA2110"/>
    <w:rsid w:val="00BA240D"/>
    <w:rsid w:val="00BA29C6"/>
    <w:rsid w:val="00BA2ABC"/>
    <w:rsid w:val="00BA4A0D"/>
    <w:rsid w:val="00BA642F"/>
    <w:rsid w:val="00BA68EE"/>
    <w:rsid w:val="00BA7EBA"/>
    <w:rsid w:val="00BB0594"/>
    <w:rsid w:val="00BB1710"/>
    <w:rsid w:val="00BB24BD"/>
    <w:rsid w:val="00BB2622"/>
    <w:rsid w:val="00BB27E2"/>
    <w:rsid w:val="00BB2A06"/>
    <w:rsid w:val="00BB2CBB"/>
    <w:rsid w:val="00BB38B0"/>
    <w:rsid w:val="00BB3A20"/>
    <w:rsid w:val="00BB3C7E"/>
    <w:rsid w:val="00BB4198"/>
    <w:rsid w:val="00BB6936"/>
    <w:rsid w:val="00BB6F6F"/>
    <w:rsid w:val="00BB72CE"/>
    <w:rsid w:val="00BC03EE"/>
    <w:rsid w:val="00BC0742"/>
    <w:rsid w:val="00BC22ED"/>
    <w:rsid w:val="00BC2984"/>
    <w:rsid w:val="00BC3E31"/>
    <w:rsid w:val="00BC43FB"/>
    <w:rsid w:val="00BC51FC"/>
    <w:rsid w:val="00BC59F1"/>
    <w:rsid w:val="00BC5FE8"/>
    <w:rsid w:val="00BC6163"/>
    <w:rsid w:val="00BD0AE8"/>
    <w:rsid w:val="00BD0D39"/>
    <w:rsid w:val="00BD3B5A"/>
    <w:rsid w:val="00BD4798"/>
    <w:rsid w:val="00BD488E"/>
    <w:rsid w:val="00BD4FA8"/>
    <w:rsid w:val="00BD7643"/>
    <w:rsid w:val="00BE0D45"/>
    <w:rsid w:val="00BE1302"/>
    <w:rsid w:val="00BE53BE"/>
    <w:rsid w:val="00BE61DA"/>
    <w:rsid w:val="00BE7264"/>
    <w:rsid w:val="00BF334F"/>
    <w:rsid w:val="00BF35E9"/>
    <w:rsid w:val="00BF3DE1"/>
    <w:rsid w:val="00BF3F85"/>
    <w:rsid w:val="00BF4843"/>
    <w:rsid w:val="00BF516F"/>
    <w:rsid w:val="00BF5205"/>
    <w:rsid w:val="00C0143F"/>
    <w:rsid w:val="00C018CF"/>
    <w:rsid w:val="00C01EFC"/>
    <w:rsid w:val="00C02E58"/>
    <w:rsid w:val="00C05132"/>
    <w:rsid w:val="00C05163"/>
    <w:rsid w:val="00C07D41"/>
    <w:rsid w:val="00C100C2"/>
    <w:rsid w:val="00C10A06"/>
    <w:rsid w:val="00C11046"/>
    <w:rsid w:val="00C1179B"/>
    <w:rsid w:val="00C12123"/>
    <w:rsid w:val="00C12508"/>
    <w:rsid w:val="00C1321F"/>
    <w:rsid w:val="00C13A2F"/>
    <w:rsid w:val="00C15E67"/>
    <w:rsid w:val="00C1611B"/>
    <w:rsid w:val="00C16D71"/>
    <w:rsid w:val="00C1799C"/>
    <w:rsid w:val="00C17A73"/>
    <w:rsid w:val="00C206D8"/>
    <w:rsid w:val="00C21D9D"/>
    <w:rsid w:val="00C22704"/>
    <w:rsid w:val="00C23728"/>
    <w:rsid w:val="00C23A4D"/>
    <w:rsid w:val="00C23CBB"/>
    <w:rsid w:val="00C3026C"/>
    <w:rsid w:val="00C3054B"/>
    <w:rsid w:val="00C313A9"/>
    <w:rsid w:val="00C347C8"/>
    <w:rsid w:val="00C34B0A"/>
    <w:rsid w:val="00C368C1"/>
    <w:rsid w:val="00C36F83"/>
    <w:rsid w:val="00C40613"/>
    <w:rsid w:val="00C428B9"/>
    <w:rsid w:val="00C43809"/>
    <w:rsid w:val="00C441CF"/>
    <w:rsid w:val="00C44892"/>
    <w:rsid w:val="00C455FE"/>
    <w:rsid w:val="00C45AA2"/>
    <w:rsid w:val="00C46010"/>
    <w:rsid w:val="00C4792C"/>
    <w:rsid w:val="00C53AEA"/>
    <w:rsid w:val="00C543C0"/>
    <w:rsid w:val="00C5462C"/>
    <w:rsid w:val="00C5463A"/>
    <w:rsid w:val="00C55BEF"/>
    <w:rsid w:val="00C564C8"/>
    <w:rsid w:val="00C572AC"/>
    <w:rsid w:val="00C573B8"/>
    <w:rsid w:val="00C601AF"/>
    <w:rsid w:val="00C61A63"/>
    <w:rsid w:val="00C61E3A"/>
    <w:rsid w:val="00C61F0A"/>
    <w:rsid w:val="00C62009"/>
    <w:rsid w:val="00C63702"/>
    <w:rsid w:val="00C63A76"/>
    <w:rsid w:val="00C66296"/>
    <w:rsid w:val="00C66AE3"/>
    <w:rsid w:val="00C66C1D"/>
    <w:rsid w:val="00C678FA"/>
    <w:rsid w:val="00C736D8"/>
    <w:rsid w:val="00C7394D"/>
    <w:rsid w:val="00C7560E"/>
    <w:rsid w:val="00C75AD2"/>
    <w:rsid w:val="00C75BE2"/>
    <w:rsid w:val="00C77282"/>
    <w:rsid w:val="00C80038"/>
    <w:rsid w:val="00C828BF"/>
    <w:rsid w:val="00C82B44"/>
    <w:rsid w:val="00C83A08"/>
    <w:rsid w:val="00C84DE5"/>
    <w:rsid w:val="00C86248"/>
    <w:rsid w:val="00C8685B"/>
    <w:rsid w:val="00C874A3"/>
    <w:rsid w:val="00C90B31"/>
    <w:rsid w:val="00C90D18"/>
    <w:rsid w:val="00C929BC"/>
    <w:rsid w:val="00C9476E"/>
    <w:rsid w:val="00C951A1"/>
    <w:rsid w:val="00C96454"/>
    <w:rsid w:val="00C965B8"/>
    <w:rsid w:val="00CA0D6F"/>
    <w:rsid w:val="00CA156E"/>
    <w:rsid w:val="00CA238D"/>
    <w:rsid w:val="00CA2946"/>
    <w:rsid w:val="00CA307E"/>
    <w:rsid w:val="00CA311D"/>
    <w:rsid w:val="00CA3E88"/>
    <w:rsid w:val="00CA4488"/>
    <w:rsid w:val="00CA4C33"/>
    <w:rsid w:val="00CA5990"/>
    <w:rsid w:val="00CA6F4A"/>
    <w:rsid w:val="00CA722C"/>
    <w:rsid w:val="00CA7850"/>
    <w:rsid w:val="00CB03E8"/>
    <w:rsid w:val="00CB09E9"/>
    <w:rsid w:val="00CB18B1"/>
    <w:rsid w:val="00CB1E92"/>
    <w:rsid w:val="00CB377B"/>
    <w:rsid w:val="00CB40E2"/>
    <w:rsid w:val="00CB477A"/>
    <w:rsid w:val="00CB4CBF"/>
    <w:rsid w:val="00CB5E07"/>
    <w:rsid w:val="00CB6427"/>
    <w:rsid w:val="00CB672C"/>
    <w:rsid w:val="00CB7025"/>
    <w:rsid w:val="00CB768E"/>
    <w:rsid w:val="00CB7B36"/>
    <w:rsid w:val="00CC0F7D"/>
    <w:rsid w:val="00CC0FBE"/>
    <w:rsid w:val="00CC10A4"/>
    <w:rsid w:val="00CC1676"/>
    <w:rsid w:val="00CC1F4F"/>
    <w:rsid w:val="00CC269A"/>
    <w:rsid w:val="00CC2F22"/>
    <w:rsid w:val="00CC49F8"/>
    <w:rsid w:val="00CC6198"/>
    <w:rsid w:val="00CC66F5"/>
    <w:rsid w:val="00CC6C05"/>
    <w:rsid w:val="00CC6C7A"/>
    <w:rsid w:val="00CC6D77"/>
    <w:rsid w:val="00CC6F98"/>
    <w:rsid w:val="00CC7366"/>
    <w:rsid w:val="00CC76D9"/>
    <w:rsid w:val="00CD2119"/>
    <w:rsid w:val="00CD237A"/>
    <w:rsid w:val="00CD31A4"/>
    <w:rsid w:val="00CD36AC"/>
    <w:rsid w:val="00CD4543"/>
    <w:rsid w:val="00CD4D5C"/>
    <w:rsid w:val="00CD6C4C"/>
    <w:rsid w:val="00CE13A3"/>
    <w:rsid w:val="00CE36BC"/>
    <w:rsid w:val="00CE388A"/>
    <w:rsid w:val="00CF115E"/>
    <w:rsid w:val="00CF1747"/>
    <w:rsid w:val="00CF36C7"/>
    <w:rsid w:val="00CF3EAC"/>
    <w:rsid w:val="00CF4513"/>
    <w:rsid w:val="00CF548D"/>
    <w:rsid w:val="00CF5EF9"/>
    <w:rsid w:val="00CF60ED"/>
    <w:rsid w:val="00D003E1"/>
    <w:rsid w:val="00D013D7"/>
    <w:rsid w:val="00D040F8"/>
    <w:rsid w:val="00D05D74"/>
    <w:rsid w:val="00D106C5"/>
    <w:rsid w:val="00D13201"/>
    <w:rsid w:val="00D139FD"/>
    <w:rsid w:val="00D14C00"/>
    <w:rsid w:val="00D20453"/>
    <w:rsid w:val="00D20C59"/>
    <w:rsid w:val="00D20EE4"/>
    <w:rsid w:val="00D23323"/>
    <w:rsid w:val="00D2392A"/>
    <w:rsid w:val="00D2425F"/>
    <w:rsid w:val="00D25FFE"/>
    <w:rsid w:val="00D2675B"/>
    <w:rsid w:val="00D31CF0"/>
    <w:rsid w:val="00D34904"/>
    <w:rsid w:val="00D3498B"/>
    <w:rsid w:val="00D3675B"/>
    <w:rsid w:val="00D36AEE"/>
    <w:rsid w:val="00D37D80"/>
    <w:rsid w:val="00D37E88"/>
    <w:rsid w:val="00D411D2"/>
    <w:rsid w:val="00D42B0C"/>
    <w:rsid w:val="00D43B43"/>
    <w:rsid w:val="00D442F3"/>
    <w:rsid w:val="00D44483"/>
    <w:rsid w:val="00D4476F"/>
    <w:rsid w:val="00D45A20"/>
    <w:rsid w:val="00D4627C"/>
    <w:rsid w:val="00D46B1A"/>
    <w:rsid w:val="00D50573"/>
    <w:rsid w:val="00D508A2"/>
    <w:rsid w:val="00D51C4B"/>
    <w:rsid w:val="00D53FFC"/>
    <w:rsid w:val="00D54BFA"/>
    <w:rsid w:val="00D54D50"/>
    <w:rsid w:val="00D55C58"/>
    <w:rsid w:val="00D560B4"/>
    <w:rsid w:val="00D5642D"/>
    <w:rsid w:val="00D564A4"/>
    <w:rsid w:val="00D56921"/>
    <w:rsid w:val="00D60539"/>
    <w:rsid w:val="00D606F9"/>
    <w:rsid w:val="00D60941"/>
    <w:rsid w:val="00D60B86"/>
    <w:rsid w:val="00D60C29"/>
    <w:rsid w:val="00D6339B"/>
    <w:rsid w:val="00D63ABE"/>
    <w:rsid w:val="00D654F7"/>
    <w:rsid w:val="00D657F9"/>
    <w:rsid w:val="00D65DE5"/>
    <w:rsid w:val="00D65FCC"/>
    <w:rsid w:val="00D66142"/>
    <w:rsid w:val="00D662F8"/>
    <w:rsid w:val="00D66797"/>
    <w:rsid w:val="00D676D2"/>
    <w:rsid w:val="00D70657"/>
    <w:rsid w:val="00D7087C"/>
    <w:rsid w:val="00D70C3C"/>
    <w:rsid w:val="00D71765"/>
    <w:rsid w:val="00D71DF7"/>
    <w:rsid w:val="00D72BE5"/>
    <w:rsid w:val="00D72CA0"/>
    <w:rsid w:val="00D73FB8"/>
    <w:rsid w:val="00D7667F"/>
    <w:rsid w:val="00D76F8D"/>
    <w:rsid w:val="00D777D7"/>
    <w:rsid w:val="00D81462"/>
    <w:rsid w:val="00D8239E"/>
    <w:rsid w:val="00D82431"/>
    <w:rsid w:val="00D824ED"/>
    <w:rsid w:val="00D82C6B"/>
    <w:rsid w:val="00D82D0C"/>
    <w:rsid w:val="00D82D5C"/>
    <w:rsid w:val="00D82F14"/>
    <w:rsid w:val="00D82F26"/>
    <w:rsid w:val="00D85422"/>
    <w:rsid w:val="00D863D0"/>
    <w:rsid w:val="00D8673C"/>
    <w:rsid w:val="00D86B00"/>
    <w:rsid w:val="00D86FB9"/>
    <w:rsid w:val="00D87C87"/>
    <w:rsid w:val="00D90B99"/>
    <w:rsid w:val="00D90BB4"/>
    <w:rsid w:val="00D90E07"/>
    <w:rsid w:val="00D91A02"/>
    <w:rsid w:val="00D92728"/>
    <w:rsid w:val="00D93163"/>
    <w:rsid w:val="00D932C2"/>
    <w:rsid w:val="00D937E3"/>
    <w:rsid w:val="00D93A97"/>
    <w:rsid w:val="00D93AB4"/>
    <w:rsid w:val="00D94B4C"/>
    <w:rsid w:val="00D94BA0"/>
    <w:rsid w:val="00D955F0"/>
    <w:rsid w:val="00D96726"/>
    <w:rsid w:val="00D97D3A"/>
    <w:rsid w:val="00DA0232"/>
    <w:rsid w:val="00DA08D3"/>
    <w:rsid w:val="00DA120D"/>
    <w:rsid w:val="00DA1434"/>
    <w:rsid w:val="00DA1D14"/>
    <w:rsid w:val="00DA21A0"/>
    <w:rsid w:val="00DA394C"/>
    <w:rsid w:val="00DA4B45"/>
    <w:rsid w:val="00DA5279"/>
    <w:rsid w:val="00DA5F65"/>
    <w:rsid w:val="00DA6C40"/>
    <w:rsid w:val="00DA7A2E"/>
    <w:rsid w:val="00DB08E0"/>
    <w:rsid w:val="00DB1AF3"/>
    <w:rsid w:val="00DB2DCC"/>
    <w:rsid w:val="00DB39CF"/>
    <w:rsid w:val="00DB4156"/>
    <w:rsid w:val="00DB52D1"/>
    <w:rsid w:val="00DB57DB"/>
    <w:rsid w:val="00DB5D4D"/>
    <w:rsid w:val="00DB7256"/>
    <w:rsid w:val="00DC0401"/>
    <w:rsid w:val="00DC04A5"/>
    <w:rsid w:val="00DC132E"/>
    <w:rsid w:val="00DC1E06"/>
    <w:rsid w:val="00DC20BD"/>
    <w:rsid w:val="00DC215C"/>
    <w:rsid w:val="00DC242A"/>
    <w:rsid w:val="00DC2B9A"/>
    <w:rsid w:val="00DC4ECA"/>
    <w:rsid w:val="00DC5111"/>
    <w:rsid w:val="00DC5170"/>
    <w:rsid w:val="00DC6034"/>
    <w:rsid w:val="00DC7967"/>
    <w:rsid w:val="00DD0BCD"/>
    <w:rsid w:val="00DD2868"/>
    <w:rsid w:val="00DD3C10"/>
    <w:rsid w:val="00DD447A"/>
    <w:rsid w:val="00DD63DD"/>
    <w:rsid w:val="00DD7C7F"/>
    <w:rsid w:val="00DE1C54"/>
    <w:rsid w:val="00DE1DD5"/>
    <w:rsid w:val="00DE3B20"/>
    <w:rsid w:val="00DE4081"/>
    <w:rsid w:val="00DE42C2"/>
    <w:rsid w:val="00DE5117"/>
    <w:rsid w:val="00DE5876"/>
    <w:rsid w:val="00DE6C94"/>
    <w:rsid w:val="00DE6FD7"/>
    <w:rsid w:val="00DE7A19"/>
    <w:rsid w:val="00DF0C7C"/>
    <w:rsid w:val="00DF14EE"/>
    <w:rsid w:val="00DF38FB"/>
    <w:rsid w:val="00DF46EA"/>
    <w:rsid w:val="00DF4D1D"/>
    <w:rsid w:val="00DF5A27"/>
    <w:rsid w:val="00DF6027"/>
    <w:rsid w:val="00DF646A"/>
    <w:rsid w:val="00E05473"/>
    <w:rsid w:val="00E064B1"/>
    <w:rsid w:val="00E06A5D"/>
    <w:rsid w:val="00E06C5B"/>
    <w:rsid w:val="00E07827"/>
    <w:rsid w:val="00E10B2C"/>
    <w:rsid w:val="00E11530"/>
    <w:rsid w:val="00E11AF0"/>
    <w:rsid w:val="00E13342"/>
    <w:rsid w:val="00E1470E"/>
    <w:rsid w:val="00E157E5"/>
    <w:rsid w:val="00E15FF7"/>
    <w:rsid w:val="00E160AB"/>
    <w:rsid w:val="00E173E3"/>
    <w:rsid w:val="00E178C8"/>
    <w:rsid w:val="00E17EE4"/>
    <w:rsid w:val="00E2102F"/>
    <w:rsid w:val="00E21B1F"/>
    <w:rsid w:val="00E23271"/>
    <w:rsid w:val="00E24F80"/>
    <w:rsid w:val="00E2566A"/>
    <w:rsid w:val="00E259F3"/>
    <w:rsid w:val="00E2616A"/>
    <w:rsid w:val="00E2698D"/>
    <w:rsid w:val="00E2711F"/>
    <w:rsid w:val="00E276FC"/>
    <w:rsid w:val="00E308F7"/>
    <w:rsid w:val="00E30985"/>
    <w:rsid w:val="00E32045"/>
    <w:rsid w:val="00E33238"/>
    <w:rsid w:val="00E33934"/>
    <w:rsid w:val="00E359F0"/>
    <w:rsid w:val="00E36F9B"/>
    <w:rsid w:val="00E3750E"/>
    <w:rsid w:val="00E376B7"/>
    <w:rsid w:val="00E40AAF"/>
    <w:rsid w:val="00E40CA1"/>
    <w:rsid w:val="00E40ECF"/>
    <w:rsid w:val="00E416D5"/>
    <w:rsid w:val="00E417C0"/>
    <w:rsid w:val="00E42C2D"/>
    <w:rsid w:val="00E42F5D"/>
    <w:rsid w:val="00E43E18"/>
    <w:rsid w:val="00E4486C"/>
    <w:rsid w:val="00E4506B"/>
    <w:rsid w:val="00E45882"/>
    <w:rsid w:val="00E460B6"/>
    <w:rsid w:val="00E4611E"/>
    <w:rsid w:val="00E46514"/>
    <w:rsid w:val="00E46C99"/>
    <w:rsid w:val="00E4713A"/>
    <w:rsid w:val="00E477AC"/>
    <w:rsid w:val="00E504FA"/>
    <w:rsid w:val="00E5063F"/>
    <w:rsid w:val="00E5100F"/>
    <w:rsid w:val="00E511D5"/>
    <w:rsid w:val="00E5201C"/>
    <w:rsid w:val="00E527BB"/>
    <w:rsid w:val="00E5375D"/>
    <w:rsid w:val="00E53A9F"/>
    <w:rsid w:val="00E5417B"/>
    <w:rsid w:val="00E57A4D"/>
    <w:rsid w:val="00E57B7B"/>
    <w:rsid w:val="00E60249"/>
    <w:rsid w:val="00E616C1"/>
    <w:rsid w:val="00E61DC3"/>
    <w:rsid w:val="00E621A0"/>
    <w:rsid w:val="00E63284"/>
    <w:rsid w:val="00E64463"/>
    <w:rsid w:val="00E65269"/>
    <w:rsid w:val="00E66E79"/>
    <w:rsid w:val="00E67501"/>
    <w:rsid w:val="00E70603"/>
    <w:rsid w:val="00E713BF"/>
    <w:rsid w:val="00E72E47"/>
    <w:rsid w:val="00E73BF8"/>
    <w:rsid w:val="00E74C92"/>
    <w:rsid w:val="00E7628B"/>
    <w:rsid w:val="00E762D5"/>
    <w:rsid w:val="00E76D66"/>
    <w:rsid w:val="00E7737E"/>
    <w:rsid w:val="00E77698"/>
    <w:rsid w:val="00E80FC5"/>
    <w:rsid w:val="00E813CD"/>
    <w:rsid w:val="00E835A2"/>
    <w:rsid w:val="00E84D50"/>
    <w:rsid w:val="00E85A26"/>
    <w:rsid w:val="00E90268"/>
    <w:rsid w:val="00E911DA"/>
    <w:rsid w:val="00E91FF8"/>
    <w:rsid w:val="00E93C54"/>
    <w:rsid w:val="00E94596"/>
    <w:rsid w:val="00E94F26"/>
    <w:rsid w:val="00E95725"/>
    <w:rsid w:val="00E95C3A"/>
    <w:rsid w:val="00E96896"/>
    <w:rsid w:val="00EA1422"/>
    <w:rsid w:val="00EA1FB0"/>
    <w:rsid w:val="00EA2655"/>
    <w:rsid w:val="00EA28BC"/>
    <w:rsid w:val="00EA2DD6"/>
    <w:rsid w:val="00EA2DEC"/>
    <w:rsid w:val="00EA3057"/>
    <w:rsid w:val="00EA3DA5"/>
    <w:rsid w:val="00EA3ECF"/>
    <w:rsid w:val="00EA43C4"/>
    <w:rsid w:val="00EA4F1E"/>
    <w:rsid w:val="00EA4F4E"/>
    <w:rsid w:val="00EA51EB"/>
    <w:rsid w:val="00EA7033"/>
    <w:rsid w:val="00EA70B5"/>
    <w:rsid w:val="00EA796A"/>
    <w:rsid w:val="00EB0891"/>
    <w:rsid w:val="00EB1856"/>
    <w:rsid w:val="00EB2342"/>
    <w:rsid w:val="00EB4645"/>
    <w:rsid w:val="00EB49F4"/>
    <w:rsid w:val="00EB52C5"/>
    <w:rsid w:val="00EB6554"/>
    <w:rsid w:val="00EB7A29"/>
    <w:rsid w:val="00EC1EA4"/>
    <w:rsid w:val="00EC255D"/>
    <w:rsid w:val="00EC45F2"/>
    <w:rsid w:val="00EC50CE"/>
    <w:rsid w:val="00EC562F"/>
    <w:rsid w:val="00EC5B34"/>
    <w:rsid w:val="00EC5D05"/>
    <w:rsid w:val="00EC5D85"/>
    <w:rsid w:val="00EC5F60"/>
    <w:rsid w:val="00EC62AA"/>
    <w:rsid w:val="00ED021E"/>
    <w:rsid w:val="00ED043F"/>
    <w:rsid w:val="00ED15CF"/>
    <w:rsid w:val="00ED2C3A"/>
    <w:rsid w:val="00ED323C"/>
    <w:rsid w:val="00ED53AC"/>
    <w:rsid w:val="00ED585B"/>
    <w:rsid w:val="00ED5EA6"/>
    <w:rsid w:val="00ED68ED"/>
    <w:rsid w:val="00EE064D"/>
    <w:rsid w:val="00EE132F"/>
    <w:rsid w:val="00EE186F"/>
    <w:rsid w:val="00EE2D5C"/>
    <w:rsid w:val="00EE303F"/>
    <w:rsid w:val="00EE3252"/>
    <w:rsid w:val="00EE354B"/>
    <w:rsid w:val="00EE4ADE"/>
    <w:rsid w:val="00EE4DE8"/>
    <w:rsid w:val="00EE4F21"/>
    <w:rsid w:val="00EE5CB7"/>
    <w:rsid w:val="00EE6731"/>
    <w:rsid w:val="00EE753C"/>
    <w:rsid w:val="00EF075E"/>
    <w:rsid w:val="00EF0A39"/>
    <w:rsid w:val="00EF0BF1"/>
    <w:rsid w:val="00EF2048"/>
    <w:rsid w:val="00EF3BE0"/>
    <w:rsid w:val="00EF4380"/>
    <w:rsid w:val="00EF6229"/>
    <w:rsid w:val="00EF7968"/>
    <w:rsid w:val="00F0014D"/>
    <w:rsid w:val="00F00EFB"/>
    <w:rsid w:val="00F02425"/>
    <w:rsid w:val="00F024FE"/>
    <w:rsid w:val="00F02D12"/>
    <w:rsid w:val="00F0566B"/>
    <w:rsid w:val="00F05AD4"/>
    <w:rsid w:val="00F05AFC"/>
    <w:rsid w:val="00F079A5"/>
    <w:rsid w:val="00F10BA9"/>
    <w:rsid w:val="00F10EB6"/>
    <w:rsid w:val="00F11399"/>
    <w:rsid w:val="00F12254"/>
    <w:rsid w:val="00F12366"/>
    <w:rsid w:val="00F12B91"/>
    <w:rsid w:val="00F13F07"/>
    <w:rsid w:val="00F140B2"/>
    <w:rsid w:val="00F159BF"/>
    <w:rsid w:val="00F15C61"/>
    <w:rsid w:val="00F1760B"/>
    <w:rsid w:val="00F17EC2"/>
    <w:rsid w:val="00F2111F"/>
    <w:rsid w:val="00F25970"/>
    <w:rsid w:val="00F25C53"/>
    <w:rsid w:val="00F31060"/>
    <w:rsid w:val="00F311A9"/>
    <w:rsid w:val="00F32F33"/>
    <w:rsid w:val="00F33A7A"/>
    <w:rsid w:val="00F347AE"/>
    <w:rsid w:val="00F34864"/>
    <w:rsid w:val="00F3545C"/>
    <w:rsid w:val="00F36134"/>
    <w:rsid w:val="00F36242"/>
    <w:rsid w:val="00F372E8"/>
    <w:rsid w:val="00F37381"/>
    <w:rsid w:val="00F37F15"/>
    <w:rsid w:val="00F37FF9"/>
    <w:rsid w:val="00F4072E"/>
    <w:rsid w:val="00F41D89"/>
    <w:rsid w:val="00F41E44"/>
    <w:rsid w:val="00F44FCF"/>
    <w:rsid w:val="00F4515D"/>
    <w:rsid w:val="00F45787"/>
    <w:rsid w:val="00F46C89"/>
    <w:rsid w:val="00F50D14"/>
    <w:rsid w:val="00F5180D"/>
    <w:rsid w:val="00F52397"/>
    <w:rsid w:val="00F529F0"/>
    <w:rsid w:val="00F53DFB"/>
    <w:rsid w:val="00F55FED"/>
    <w:rsid w:val="00F579E9"/>
    <w:rsid w:val="00F57E6C"/>
    <w:rsid w:val="00F6261A"/>
    <w:rsid w:val="00F6334E"/>
    <w:rsid w:val="00F633A5"/>
    <w:rsid w:val="00F63781"/>
    <w:rsid w:val="00F639D1"/>
    <w:rsid w:val="00F63AE4"/>
    <w:rsid w:val="00F6416E"/>
    <w:rsid w:val="00F64594"/>
    <w:rsid w:val="00F64CAE"/>
    <w:rsid w:val="00F65A1B"/>
    <w:rsid w:val="00F65EF9"/>
    <w:rsid w:val="00F67496"/>
    <w:rsid w:val="00F674EC"/>
    <w:rsid w:val="00F67FD8"/>
    <w:rsid w:val="00F713F6"/>
    <w:rsid w:val="00F718FC"/>
    <w:rsid w:val="00F71E8B"/>
    <w:rsid w:val="00F7609A"/>
    <w:rsid w:val="00F77180"/>
    <w:rsid w:val="00F801BA"/>
    <w:rsid w:val="00F8061F"/>
    <w:rsid w:val="00F807AD"/>
    <w:rsid w:val="00F81258"/>
    <w:rsid w:val="00F839F7"/>
    <w:rsid w:val="00F83B22"/>
    <w:rsid w:val="00F83D1C"/>
    <w:rsid w:val="00F83F44"/>
    <w:rsid w:val="00F84E3F"/>
    <w:rsid w:val="00F851D5"/>
    <w:rsid w:val="00F864C9"/>
    <w:rsid w:val="00F8694D"/>
    <w:rsid w:val="00F87370"/>
    <w:rsid w:val="00F90BF5"/>
    <w:rsid w:val="00F90E11"/>
    <w:rsid w:val="00F90E99"/>
    <w:rsid w:val="00F91E68"/>
    <w:rsid w:val="00F93167"/>
    <w:rsid w:val="00F93247"/>
    <w:rsid w:val="00F934C3"/>
    <w:rsid w:val="00F9366A"/>
    <w:rsid w:val="00F94387"/>
    <w:rsid w:val="00F946C9"/>
    <w:rsid w:val="00F94992"/>
    <w:rsid w:val="00F961DF"/>
    <w:rsid w:val="00F96D90"/>
    <w:rsid w:val="00FA0EA5"/>
    <w:rsid w:val="00FA1B81"/>
    <w:rsid w:val="00FA2252"/>
    <w:rsid w:val="00FA2292"/>
    <w:rsid w:val="00FA233B"/>
    <w:rsid w:val="00FA2A19"/>
    <w:rsid w:val="00FA2C97"/>
    <w:rsid w:val="00FA544F"/>
    <w:rsid w:val="00FA5750"/>
    <w:rsid w:val="00FA628D"/>
    <w:rsid w:val="00FA68C7"/>
    <w:rsid w:val="00FA7175"/>
    <w:rsid w:val="00FA72AB"/>
    <w:rsid w:val="00FA7300"/>
    <w:rsid w:val="00FA7407"/>
    <w:rsid w:val="00FA74EE"/>
    <w:rsid w:val="00FB05E4"/>
    <w:rsid w:val="00FB1066"/>
    <w:rsid w:val="00FB175A"/>
    <w:rsid w:val="00FB2B35"/>
    <w:rsid w:val="00FB3CA1"/>
    <w:rsid w:val="00FB54C2"/>
    <w:rsid w:val="00FC05C9"/>
    <w:rsid w:val="00FC1D43"/>
    <w:rsid w:val="00FC2850"/>
    <w:rsid w:val="00FC2C5A"/>
    <w:rsid w:val="00FC3208"/>
    <w:rsid w:val="00FC3711"/>
    <w:rsid w:val="00FC382A"/>
    <w:rsid w:val="00FC3E4B"/>
    <w:rsid w:val="00FC4215"/>
    <w:rsid w:val="00FC46E7"/>
    <w:rsid w:val="00FC58E3"/>
    <w:rsid w:val="00FC5D25"/>
    <w:rsid w:val="00FC6977"/>
    <w:rsid w:val="00FC70F6"/>
    <w:rsid w:val="00FC7976"/>
    <w:rsid w:val="00FD0865"/>
    <w:rsid w:val="00FD0C33"/>
    <w:rsid w:val="00FD0D7E"/>
    <w:rsid w:val="00FD16C4"/>
    <w:rsid w:val="00FD2701"/>
    <w:rsid w:val="00FD362F"/>
    <w:rsid w:val="00FD4FFB"/>
    <w:rsid w:val="00FD5022"/>
    <w:rsid w:val="00FD633B"/>
    <w:rsid w:val="00FD7345"/>
    <w:rsid w:val="00FD76DD"/>
    <w:rsid w:val="00FE201F"/>
    <w:rsid w:val="00FE2537"/>
    <w:rsid w:val="00FE2B3D"/>
    <w:rsid w:val="00FE2E52"/>
    <w:rsid w:val="00FE30A5"/>
    <w:rsid w:val="00FE4AC5"/>
    <w:rsid w:val="00FE51AB"/>
    <w:rsid w:val="00FE687B"/>
    <w:rsid w:val="00FE6E13"/>
    <w:rsid w:val="00FE7093"/>
    <w:rsid w:val="00FF0777"/>
    <w:rsid w:val="00FF0E7C"/>
    <w:rsid w:val="00FF15F6"/>
    <w:rsid w:val="00FF2DF7"/>
    <w:rsid w:val="00FF415E"/>
    <w:rsid w:val="00FF463C"/>
    <w:rsid w:val="00FF527C"/>
    <w:rsid w:val="00FF65CD"/>
    <w:rsid w:val="00FF72FA"/>
    <w:rsid w:val="083D32F8"/>
    <w:rsid w:val="1069C794"/>
    <w:rsid w:val="17E32B78"/>
    <w:rsid w:val="1C5247E5"/>
    <w:rsid w:val="28B35591"/>
    <w:rsid w:val="34B9A6D4"/>
    <w:rsid w:val="3A3A720B"/>
    <w:rsid w:val="437E13A3"/>
    <w:rsid w:val="4A4CD53E"/>
    <w:rsid w:val="4BA21C38"/>
    <w:rsid w:val="4EC9C0F6"/>
    <w:rsid w:val="4FF46C58"/>
    <w:rsid w:val="500753D2"/>
    <w:rsid w:val="53C0EAA3"/>
    <w:rsid w:val="5EA59B90"/>
    <w:rsid w:val="62131DF6"/>
    <w:rsid w:val="66234E9C"/>
    <w:rsid w:val="67AC2CA2"/>
    <w:rsid w:val="68E50EDD"/>
    <w:rsid w:val="6A9D399B"/>
    <w:rsid w:val="6DB7F877"/>
    <w:rsid w:val="7013C4C3"/>
    <w:rsid w:val="71FAB0A9"/>
    <w:rsid w:val="7232D855"/>
    <w:rsid w:val="76233E93"/>
    <w:rsid w:val="78F2FE64"/>
    <w:rsid w:val="79E3DCD4"/>
    <w:rsid w:val="7ACED484"/>
    <w:rsid w:val="7B22F9A5"/>
    <w:rsid w:val="7E88C3F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B73F8"/>
  <w15:docId w15:val="{0A63CC6F-D0CC-443C-A095-D41AFA7F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2575E8"/>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550FD4"/>
    <w:pPr>
      <w:tabs>
        <w:tab w:val="right" w:pos="8080"/>
      </w:tabs>
      <w:spacing w:before="260"/>
      <w:ind w:left="567" w:right="567" w:hanging="567"/>
    </w:pPr>
    <w:rPr>
      <w:rFonts w:ascii="Segoe UI Semibold" w:hAnsi="Segoe UI Semibold"/>
      <w:sz w:val="24"/>
    </w:rPr>
  </w:style>
  <w:style w:type="paragraph" w:styleId="TOC2">
    <w:name w:val="toc 2"/>
    <w:basedOn w:val="Normal"/>
    <w:next w:val="Normal"/>
    <w:uiPriority w:val="39"/>
    <w:qFormat/>
    <w:rsid w:val="005075B3"/>
    <w:pPr>
      <w:tabs>
        <w:tab w:val="right" w:pos="8080"/>
      </w:tabs>
      <w:spacing w:before="60"/>
      <w:ind w:left="567" w:right="567"/>
    </w:pPr>
    <w:rPr>
      <w:sz w:val="22"/>
    </w:rPr>
  </w:style>
  <w:style w:type="paragraph" w:styleId="TOC3">
    <w:name w:val="toc 3"/>
    <w:basedOn w:val="Normal"/>
    <w:next w:val="Normal"/>
    <w:uiPriority w:val="39"/>
    <w:rsid w:val="000A0158"/>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B60398"/>
    <w:pPr>
      <w:numPr>
        <w:ilvl w:val="3"/>
        <w:numId w:val="5"/>
      </w:numPr>
      <w:spacing w:before="21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307819"/>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character" w:customStyle="1" w:styleId="TableTextChar">
    <w:name w:val="TableText Char"/>
    <w:link w:val="TableText"/>
    <w:rsid w:val="007A0047"/>
    <w:rPr>
      <w:rFonts w:ascii="Segoe UI" w:hAnsi="Segoe UI"/>
      <w:sz w:val="18"/>
      <w:lang w:eastAsia="en-GB"/>
    </w:rPr>
  </w:style>
  <w:style w:type="paragraph" w:styleId="BalloonText">
    <w:name w:val="Balloon Text"/>
    <w:basedOn w:val="Normal"/>
    <w:link w:val="BalloonTextChar"/>
    <w:uiPriority w:val="99"/>
    <w:semiHidden/>
    <w:unhideWhenUsed/>
    <w:rsid w:val="00CD31A4"/>
    <w:rPr>
      <w:rFonts w:cs="Segoe UI"/>
      <w:sz w:val="18"/>
      <w:szCs w:val="18"/>
    </w:rPr>
  </w:style>
  <w:style w:type="character" w:customStyle="1" w:styleId="BalloonTextChar">
    <w:name w:val="Balloon Text Char"/>
    <w:basedOn w:val="DefaultParagraphFont"/>
    <w:link w:val="BalloonText"/>
    <w:uiPriority w:val="99"/>
    <w:semiHidden/>
    <w:rsid w:val="00CD31A4"/>
    <w:rPr>
      <w:rFonts w:ascii="Segoe UI" w:hAnsi="Segoe UI" w:cs="Segoe UI"/>
      <w:sz w:val="18"/>
      <w:szCs w:val="18"/>
      <w:lang w:eastAsia="en-GB"/>
    </w:rPr>
  </w:style>
  <w:style w:type="paragraph" w:styleId="ListParagraph">
    <w:name w:val="List Paragraph"/>
    <w:basedOn w:val="Normal"/>
    <w:uiPriority w:val="34"/>
    <w:qFormat/>
    <w:rsid w:val="004E792E"/>
    <w:pPr>
      <w:ind w:left="720"/>
      <w:contextualSpacing/>
    </w:pPr>
  </w:style>
  <w:style w:type="character" w:styleId="CommentReference">
    <w:name w:val="annotation reference"/>
    <w:basedOn w:val="DefaultParagraphFont"/>
    <w:semiHidden/>
    <w:unhideWhenUsed/>
    <w:rsid w:val="00181813"/>
    <w:rPr>
      <w:sz w:val="16"/>
      <w:szCs w:val="16"/>
    </w:rPr>
  </w:style>
  <w:style w:type="paragraph" w:styleId="CommentText">
    <w:name w:val="annotation text"/>
    <w:basedOn w:val="Normal"/>
    <w:link w:val="CommentTextChar"/>
    <w:unhideWhenUsed/>
    <w:rsid w:val="00181813"/>
    <w:rPr>
      <w:sz w:val="20"/>
    </w:rPr>
  </w:style>
  <w:style w:type="character" w:customStyle="1" w:styleId="CommentTextChar">
    <w:name w:val="Comment Text Char"/>
    <w:basedOn w:val="DefaultParagraphFont"/>
    <w:link w:val="CommentText"/>
    <w:rsid w:val="00181813"/>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181813"/>
    <w:rPr>
      <w:b/>
      <w:bCs/>
    </w:rPr>
  </w:style>
  <w:style w:type="character" w:customStyle="1" w:styleId="CommentSubjectChar">
    <w:name w:val="Comment Subject Char"/>
    <w:basedOn w:val="CommentTextChar"/>
    <w:link w:val="CommentSubject"/>
    <w:uiPriority w:val="99"/>
    <w:semiHidden/>
    <w:rsid w:val="00181813"/>
    <w:rPr>
      <w:rFonts w:ascii="Segoe UI" w:hAnsi="Segoe UI"/>
      <w:b/>
      <w:bCs/>
      <w:lang w:eastAsia="en-GB"/>
    </w:rPr>
  </w:style>
  <w:style w:type="paragraph" w:customStyle="1" w:styleId="Heading1-notnumbered">
    <w:name w:val="Heading 1 - not numbered"/>
    <w:basedOn w:val="Heading1"/>
    <w:next w:val="Normal"/>
    <w:qFormat/>
    <w:rsid w:val="000C35BC"/>
    <w:rPr>
      <w:sz w:val="64"/>
    </w:rPr>
  </w:style>
  <w:style w:type="character" w:styleId="UnresolvedMention">
    <w:name w:val="Unresolved Mention"/>
    <w:basedOn w:val="DefaultParagraphFont"/>
    <w:uiPriority w:val="99"/>
    <w:semiHidden/>
    <w:unhideWhenUsed/>
    <w:rsid w:val="00EF0A39"/>
    <w:rPr>
      <w:color w:val="605E5C"/>
      <w:shd w:val="clear" w:color="auto" w:fill="E1DFDD"/>
    </w:rPr>
  </w:style>
  <w:style w:type="character" w:styleId="FollowedHyperlink">
    <w:name w:val="FollowedHyperlink"/>
    <w:basedOn w:val="DefaultParagraphFont"/>
    <w:uiPriority w:val="99"/>
    <w:semiHidden/>
    <w:unhideWhenUsed/>
    <w:rsid w:val="00217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5557">
      <w:bodyDiv w:val="1"/>
      <w:marLeft w:val="0"/>
      <w:marRight w:val="0"/>
      <w:marTop w:val="0"/>
      <w:marBottom w:val="0"/>
      <w:divBdr>
        <w:top w:val="none" w:sz="0" w:space="0" w:color="auto"/>
        <w:left w:val="none" w:sz="0" w:space="0" w:color="auto"/>
        <w:bottom w:val="none" w:sz="0" w:space="0" w:color="auto"/>
        <w:right w:val="none" w:sz="0" w:space="0" w:color="auto"/>
      </w:divBdr>
    </w:div>
    <w:div w:id="177625041">
      <w:bodyDiv w:val="1"/>
      <w:marLeft w:val="0"/>
      <w:marRight w:val="0"/>
      <w:marTop w:val="0"/>
      <w:marBottom w:val="0"/>
      <w:divBdr>
        <w:top w:val="none" w:sz="0" w:space="0" w:color="auto"/>
        <w:left w:val="none" w:sz="0" w:space="0" w:color="auto"/>
        <w:bottom w:val="none" w:sz="0" w:space="0" w:color="auto"/>
        <w:right w:val="none" w:sz="0" w:space="0" w:color="auto"/>
      </w:divBdr>
    </w:div>
    <w:div w:id="572467411">
      <w:bodyDiv w:val="1"/>
      <w:marLeft w:val="0"/>
      <w:marRight w:val="0"/>
      <w:marTop w:val="0"/>
      <w:marBottom w:val="0"/>
      <w:divBdr>
        <w:top w:val="none" w:sz="0" w:space="0" w:color="auto"/>
        <w:left w:val="none" w:sz="0" w:space="0" w:color="auto"/>
        <w:bottom w:val="none" w:sz="0" w:space="0" w:color="auto"/>
        <w:right w:val="none" w:sz="0" w:space="0" w:color="auto"/>
      </w:divBdr>
    </w:div>
    <w:div w:id="628827158">
      <w:bodyDiv w:val="1"/>
      <w:marLeft w:val="0"/>
      <w:marRight w:val="0"/>
      <w:marTop w:val="0"/>
      <w:marBottom w:val="0"/>
      <w:divBdr>
        <w:top w:val="none" w:sz="0" w:space="0" w:color="auto"/>
        <w:left w:val="none" w:sz="0" w:space="0" w:color="auto"/>
        <w:bottom w:val="none" w:sz="0" w:space="0" w:color="auto"/>
        <w:right w:val="none" w:sz="0" w:space="0" w:color="auto"/>
      </w:divBdr>
    </w:div>
    <w:div w:id="12752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t.nz/act/public/2016/0006/latest/DLM6339744.html" TargetMode="External"/><Relationship Id="rId26" Type="http://schemas.openxmlformats.org/officeDocument/2006/relationships/hyperlink" Target="https://www.legislation.govt.nz/act/public/2016/0006/latest/DLM6339526.html" TargetMode="External"/><Relationship Id="rId39" Type="http://schemas.openxmlformats.org/officeDocument/2006/relationships/hyperlink" Target="mailto:ors.codes@health.govt.nz" TargetMode="External"/><Relationship Id="rId21" Type="http://schemas.openxmlformats.org/officeDocument/2006/relationships/hyperlink" Target="https://consult.health.govt.nz/radiation-safety/revised-code-of-practice-for-nuclear-medicine-c2" TargetMode="External"/><Relationship Id="rId34" Type="http://schemas.openxmlformats.org/officeDocument/2006/relationships/hyperlink" Target="https://www.legislation.govt.nz/act/public/2016/0006/latest/DLM6339662.html" TargetMode="External"/><Relationship Id="rId42" Type="http://schemas.openxmlformats.org/officeDocument/2006/relationships/footer" Target="footer4.xml"/><Relationship Id="rId47" Type="http://schemas.openxmlformats.org/officeDocument/2006/relationships/hyperlink" Target="https://www.legislation.govt.nz/act/public/2016/0006/latest/DLM6339731.html" TargetMode="External"/><Relationship Id="rId50" Type="http://schemas.openxmlformats.org/officeDocument/2006/relationships/hyperlink" Target="https://legislation.govt.nz/regulation/public/2016/0303/latest/DLM7049020.html" TargetMode="External"/><Relationship Id="rId55" Type="http://schemas.openxmlformats.org/officeDocument/2006/relationships/hyperlink" Target="https://www.legislation.govt.nz/act/public/2016/0006/latest/DLM6339637.html" TargetMode="External"/><Relationship Id="rId63" Type="http://schemas.openxmlformats.org/officeDocument/2006/relationships/footer" Target="foot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t.nz/act/public/2016/0006/latest/DLM6560514.html" TargetMode="External"/><Relationship Id="rId29" Type="http://schemas.openxmlformats.org/officeDocument/2006/relationships/hyperlink" Target="https://www.legislation.govt.nz/act/public/2016/0006/latest/DLM6339637.html" TargetMode="External"/><Relationship Id="rId41" Type="http://schemas.openxmlformats.org/officeDocument/2006/relationships/header" Target="header3.xml"/><Relationship Id="rId54" Type="http://schemas.openxmlformats.org/officeDocument/2006/relationships/hyperlink" Target="https://www.legislation.govt.nz/act/public/2016/0006/latest/DLM6339639.html" TargetMode="External"/><Relationship Id="rId62" Type="http://schemas.openxmlformats.org/officeDocument/2006/relationships/hyperlink" Target="mailto:ors.codes@health.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t.nz/act/public/2016/0006/latest/DLM6339744.html" TargetMode="External"/><Relationship Id="rId32" Type="http://schemas.openxmlformats.org/officeDocument/2006/relationships/hyperlink" Target="https://www.legislation.govt.nz/act/public/2016/0006/latest/DLM6339622.html" TargetMode="External"/><Relationship Id="rId37" Type="http://schemas.openxmlformats.org/officeDocument/2006/relationships/hyperlink" Target="https://www.legislation.govt.nz/act/public/2016/0006/latest/DLM6339637.html" TargetMode="External"/><Relationship Id="rId40" Type="http://schemas.openxmlformats.org/officeDocument/2006/relationships/header" Target="header2.xml"/><Relationship Id="rId45" Type="http://schemas.openxmlformats.org/officeDocument/2006/relationships/footer" Target="footer7.xml"/><Relationship Id="rId53" Type="http://schemas.openxmlformats.org/officeDocument/2006/relationships/hyperlink" Target="https://www.legislation.govt.nz/act/public/2016/0006/latest/DLM6339779.html" TargetMode="External"/><Relationship Id="rId58" Type="http://schemas.openxmlformats.org/officeDocument/2006/relationships/hyperlink" Target="https://www.legislation.govt.nz/act/public/2016/0006/latest/whole.html"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legislation.govt.nz/act/public/2019/0058/latest/DLM7298133.html" TargetMode="External"/><Relationship Id="rId28" Type="http://schemas.openxmlformats.org/officeDocument/2006/relationships/hyperlink" Target="https://www.legislation.govt.nz/act/public/2016/0006/latest/DLM6339638.html" TargetMode="External"/><Relationship Id="rId36" Type="http://schemas.openxmlformats.org/officeDocument/2006/relationships/hyperlink" Target="https://www.legislation.govt.nz/act/public/2016/0006/latest/DLM6339636.html" TargetMode="External"/><Relationship Id="rId49" Type="http://schemas.openxmlformats.org/officeDocument/2006/relationships/hyperlink" Target="https://www.legislation.govt.nz/act/public/2019/0058/latest/DLM7298197.html" TargetMode="External"/><Relationship Id="rId57" Type="http://schemas.openxmlformats.org/officeDocument/2006/relationships/hyperlink" Target="https://www.legislation.govt.nz/act/public/2016/0006/latest/whole.html" TargetMode="External"/><Relationship Id="rId61" Type="http://schemas.openxmlformats.org/officeDocument/2006/relationships/hyperlink" Target="https://www.legislation.govt.nz/act/public/1982/0156/latest/DLM64785.html" TargetMode="External"/><Relationship Id="rId10" Type="http://schemas.openxmlformats.org/officeDocument/2006/relationships/footnotes" Target="footnotes.xml"/><Relationship Id="rId19" Type="http://schemas.openxmlformats.org/officeDocument/2006/relationships/hyperlink" Target="https://www.legislation.govt.nz/act/public/2016/0006/latest/DLM6339747.html" TargetMode="External"/><Relationship Id="rId31" Type="http://schemas.openxmlformats.org/officeDocument/2006/relationships/hyperlink" Target="https://www.legislation.govt.nz/act/public/2016/0006/latest/DLM6339637.html" TargetMode="External"/><Relationship Id="rId44" Type="http://schemas.openxmlformats.org/officeDocument/2006/relationships/footer" Target="footer6.xml"/><Relationship Id="rId52" Type="http://schemas.openxmlformats.org/officeDocument/2006/relationships/hyperlink" Target="https://www.legislation.govt.nz/act/public/2016/0006/latest/DLM6339526.html" TargetMode="External"/><Relationship Id="rId60" Type="http://schemas.openxmlformats.org/officeDocument/2006/relationships/hyperlink" Target="https://www.legislation.govt.nz/act/public/2016/0006/latest/DLM6339744.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health.govt.nz/publication/code-practice-nuclear-medicine" TargetMode="External"/><Relationship Id="rId27" Type="http://schemas.openxmlformats.org/officeDocument/2006/relationships/hyperlink" Target="https://www.legislation.govt.nz/act/public/2016/0006/latest/DLM6339637.html" TargetMode="External"/><Relationship Id="rId30" Type="http://schemas.openxmlformats.org/officeDocument/2006/relationships/hyperlink" Target="https://www.legislation.govt.nz/act/public/2016/0006/latest/DLM6339744.html" TargetMode="External"/><Relationship Id="rId35" Type="http://schemas.openxmlformats.org/officeDocument/2006/relationships/hyperlink" Target="https://www.legislation.govt.nz/act/public/2016/0006/latest/DLM6339662.html" TargetMode="External"/><Relationship Id="rId43" Type="http://schemas.openxmlformats.org/officeDocument/2006/relationships/footer" Target="footer5.xml"/><Relationship Id="rId48" Type="http://schemas.openxmlformats.org/officeDocument/2006/relationships/hyperlink" Target="https://www.legislation.govt.nz/act/public/2016/0006/latest/DLM6339637.html" TargetMode="External"/><Relationship Id="rId56" Type="http://schemas.openxmlformats.org/officeDocument/2006/relationships/hyperlink" Target="https://www.legislation.govt.nz/act/public/2016/0006/latest/DLM6339622.html" TargetMode="External"/><Relationship Id="rId64" Type="http://schemas.openxmlformats.org/officeDocument/2006/relationships/footer" Target="footer9.xml"/><Relationship Id="rId8" Type="http://schemas.openxmlformats.org/officeDocument/2006/relationships/settings" Target="settings.xml"/><Relationship Id="rId51" Type="http://schemas.openxmlformats.org/officeDocument/2006/relationships/hyperlink" Target="https://www.legislation.govt.nz/act/public/2016/0006/latest/DLM6339781.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t.nz/act/public/2016/0006/latest/DLM6339747.html" TargetMode="External"/><Relationship Id="rId33" Type="http://schemas.openxmlformats.org/officeDocument/2006/relationships/hyperlink" Target="https://www.legislation.govt.nz/act/public/2016/0006/latest/DLM6339637.html" TargetMode="External"/><Relationship Id="rId38" Type="http://schemas.openxmlformats.org/officeDocument/2006/relationships/hyperlink" Target="https://consult.health.govt.nz/radiation-safety/revised-code-of-practice-for-nuclear-medicine-c2" TargetMode="External"/><Relationship Id="rId46" Type="http://schemas.openxmlformats.org/officeDocument/2006/relationships/hyperlink" Target="https://www.legislation.govt.nz/act/public/2016/0006/latest/DLM6339744.html" TargetMode="External"/><Relationship Id="rId59" Type="http://schemas.openxmlformats.org/officeDocument/2006/relationships/hyperlink" Target="https://www.legislation.govt.nz/act/public/2016/0006/latest/whol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ub.iaea.org/MTCD/Publications/PDF/pub1417_w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17" ma:contentTypeDescription="Create a new document." ma:contentTypeScope="" ma:versionID="aab1f7b80a9ffe5ae062c82e32242d10">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2ea4e8fd60b8940d41b77deeb1cf07fb"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ServiceLocation" minOccurs="0"/>
                <xsd:element ref="ns9:MediaServiceObjectDetectorVersions" minOccurs="0"/>
                <xsd:element ref="ns9:MediaServiceOCR"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22141773-e30a-4aca-bbc9-8bf228cfe9f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Codes of Safe Practice and Cores of Knowledge"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Provider Regulation"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Radi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NA"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Del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dexed="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Location" ma:index="63" nillable="true" ma:displayName="Location" ma:indexed="true" ma:internalName="MediaServiceLocation" ma:readOnly="true">
      <xsd:simpleType>
        <xsd:restriction base="dms:Text"/>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Codes of Safe Practice and Cores of Knowledge</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Radiation</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2023 review of C2 nuclear medicine</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NA</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Del10M</SetLabel>
    <RelatedPeople xmlns="4f9c820c-e7e2-444d-97ee-45f2b3485c1d">
      <UserInfo>
        <DisplayName/>
        <AccountId xsi:nil="true"/>
        <AccountType/>
      </UserInfo>
    </RelatedPeople>
    <AggregationNarrative xmlns="725c79e5-42ce-4aa0-ac78-b6418001f0d2" xsi:nil="true"/>
    <Channel xmlns="c91a514c-9034-4fa3-897a-8352025b26ed">Codes of practice</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Public consultation</CategoryName>
    <PRADateTrigger xmlns="4f9c820c-e7e2-444d-97ee-45f2b3485c1d" xsi:nil="true"/>
    <PRAText2 xmlns="4f9c820c-e7e2-444d-97ee-45f2b3485c1d" xsi:nil="true"/>
    <zLegacyID xmlns="184c05c4-c568-455d-94a4-7e009b164348" xsi:nil="true"/>
    <_dlc_DocId xmlns="a92161ee-a867-43fa-afc4-ef021add4eae">MOHECM-1447971958-3283</_dlc_DocId>
    <_dlc_DocIdUrl xmlns="a92161ee-a867-43fa-afc4-ef021add4eae">
      <Url>https://mohgovtnz.sharepoint.com/sites/moh-ecm-RadCodes/_layouts/15/DocIdRedir.aspx?ID=MOHECM-1447971958-3283</Url>
      <Description>MOHECM-1447971958-3283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26B8DD-316E-4F24-9E6F-509185FA3AB4}">
  <ds:schemaRefs>
    <ds:schemaRef ds:uri="http://schemas.openxmlformats.org/officeDocument/2006/bibliography"/>
  </ds:schemaRefs>
</ds:datastoreItem>
</file>

<file path=customXml/itemProps2.xml><?xml version="1.0" encoding="utf-8"?>
<ds:datastoreItem xmlns:ds="http://schemas.openxmlformats.org/officeDocument/2006/customXml" ds:itemID="{7B7B19BE-B9D0-4ECE-B973-7063D06F7575}">
  <ds:schemaRefs>
    <ds:schemaRef ds:uri="http://schemas.microsoft.com/sharepoint/v3/contenttype/forms"/>
  </ds:schemaRefs>
</ds:datastoreItem>
</file>

<file path=customXml/itemProps3.xml><?xml version="1.0" encoding="utf-8"?>
<ds:datastoreItem xmlns:ds="http://schemas.openxmlformats.org/officeDocument/2006/customXml" ds:itemID="{1E106FC3-A7A1-4FD5-A162-8652D735B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572C4-1E50-4262-98DE-10626AFA75EA}">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FE093E8E-FED9-4A10-8F83-B3F6DA390C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53</Pages>
  <Words>12674</Words>
  <Characters>76306</Characters>
  <Application>Microsoft Office Word</Application>
  <DocSecurity>0</DocSecurity>
  <Lines>635</Lines>
  <Paragraphs>177</Paragraphs>
  <ScaleCrop>false</ScaleCrop>
  <HeadingPairs>
    <vt:vector size="2" baseType="variant">
      <vt:variant>
        <vt:lpstr>Title</vt:lpstr>
      </vt:variant>
      <vt:variant>
        <vt:i4>1</vt:i4>
      </vt:variant>
    </vt:vector>
  </HeadingPairs>
  <TitlesOfParts>
    <vt:vector size="1" baseType="lpstr">
      <vt:lpstr>Code of practice for nuclear medicine</vt:lpstr>
    </vt:vector>
  </TitlesOfParts>
  <Company>Microsoft</Company>
  <LinksUpToDate>false</LinksUpToDate>
  <CharactersWithSpaces>88803</CharactersWithSpaces>
  <SharedDoc>false</SharedDoc>
  <HLinks>
    <vt:vector size="258" baseType="variant">
      <vt:variant>
        <vt:i4>2883586</vt:i4>
      </vt:variant>
      <vt:variant>
        <vt:i4>162</vt:i4>
      </vt:variant>
      <vt:variant>
        <vt:i4>0</vt:i4>
      </vt:variant>
      <vt:variant>
        <vt:i4>5</vt:i4>
      </vt:variant>
      <vt:variant>
        <vt:lpwstr>mailto:ors.codes@health.govt.nz</vt:lpwstr>
      </vt:variant>
      <vt:variant>
        <vt:lpwstr/>
      </vt:variant>
      <vt:variant>
        <vt:i4>2883586</vt:i4>
      </vt:variant>
      <vt:variant>
        <vt:i4>141</vt:i4>
      </vt:variant>
      <vt:variant>
        <vt:i4>0</vt:i4>
      </vt:variant>
      <vt:variant>
        <vt:i4>5</vt:i4>
      </vt:variant>
      <vt:variant>
        <vt:lpwstr>mailto:ors.codes@health.govt.nz</vt:lpwstr>
      </vt:variant>
      <vt:variant>
        <vt:lpwstr/>
      </vt:variant>
      <vt:variant>
        <vt:i4>7471209</vt:i4>
      </vt:variant>
      <vt:variant>
        <vt:i4>138</vt:i4>
      </vt:variant>
      <vt:variant>
        <vt:i4>0</vt:i4>
      </vt:variant>
      <vt:variant>
        <vt:i4>5</vt:i4>
      </vt:variant>
      <vt:variant>
        <vt:lpwstr>https://www.legislation.govt.nz/act/public/2016/0006/latest/DLM6339637.html</vt:lpwstr>
      </vt:variant>
      <vt:variant>
        <vt:lpwstr/>
      </vt:variant>
      <vt:variant>
        <vt:i4>7536745</vt:i4>
      </vt:variant>
      <vt:variant>
        <vt:i4>135</vt:i4>
      </vt:variant>
      <vt:variant>
        <vt:i4>0</vt:i4>
      </vt:variant>
      <vt:variant>
        <vt:i4>5</vt:i4>
      </vt:variant>
      <vt:variant>
        <vt:lpwstr>https://www.legislation.govt.nz/act/public/2016/0006/latest/DLM6339636.html</vt:lpwstr>
      </vt:variant>
      <vt:variant>
        <vt:lpwstr/>
      </vt:variant>
      <vt:variant>
        <vt:i4>7798892</vt:i4>
      </vt:variant>
      <vt:variant>
        <vt:i4>132</vt:i4>
      </vt:variant>
      <vt:variant>
        <vt:i4>0</vt:i4>
      </vt:variant>
      <vt:variant>
        <vt:i4>5</vt:i4>
      </vt:variant>
      <vt:variant>
        <vt:lpwstr>https://www.legislation.govt.nz/act/public/2016/0006/latest/DLM6339662.html</vt:lpwstr>
      </vt:variant>
      <vt:variant>
        <vt:lpwstr/>
      </vt:variant>
      <vt:variant>
        <vt:i4>7798892</vt:i4>
      </vt:variant>
      <vt:variant>
        <vt:i4>129</vt:i4>
      </vt:variant>
      <vt:variant>
        <vt:i4>0</vt:i4>
      </vt:variant>
      <vt:variant>
        <vt:i4>5</vt:i4>
      </vt:variant>
      <vt:variant>
        <vt:lpwstr>https://www.legislation.govt.nz/act/public/2016/0006/latest/DLM6339662.html</vt:lpwstr>
      </vt:variant>
      <vt:variant>
        <vt:lpwstr/>
      </vt:variant>
      <vt:variant>
        <vt:i4>7471209</vt:i4>
      </vt:variant>
      <vt:variant>
        <vt:i4>126</vt:i4>
      </vt:variant>
      <vt:variant>
        <vt:i4>0</vt:i4>
      </vt:variant>
      <vt:variant>
        <vt:i4>5</vt:i4>
      </vt:variant>
      <vt:variant>
        <vt:lpwstr>https://www.legislation.govt.nz/act/public/2016/0006/latest/DLM6339637.html</vt:lpwstr>
      </vt:variant>
      <vt:variant>
        <vt:lpwstr/>
      </vt:variant>
      <vt:variant>
        <vt:i4>7471209</vt:i4>
      </vt:variant>
      <vt:variant>
        <vt:i4>123</vt:i4>
      </vt:variant>
      <vt:variant>
        <vt:i4>0</vt:i4>
      </vt:variant>
      <vt:variant>
        <vt:i4>5</vt:i4>
      </vt:variant>
      <vt:variant>
        <vt:lpwstr>https://www.legislation.govt.nz/act/public/2016/0006/latest/DLM6339637.html</vt:lpwstr>
      </vt:variant>
      <vt:variant>
        <vt:lpwstr/>
      </vt:variant>
      <vt:variant>
        <vt:i4>7340142</vt:i4>
      </vt:variant>
      <vt:variant>
        <vt:i4>120</vt:i4>
      </vt:variant>
      <vt:variant>
        <vt:i4>0</vt:i4>
      </vt:variant>
      <vt:variant>
        <vt:i4>5</vt:i4>
      </vt:variant>
      <vt:variant>
        <vt:lpwstr>https://www.legislation.govt.nz/act/public/2016/0006/latest/DLM6339744.html</vt:lpwstr>
      </vt:variant>
      <vt:variant>
        <vt:lpwstr/>
      </vt:variant>
      <vt:variant>
        <vt:i4>7471209</vt:i4>
      </vt:variant>
      <vt:variant>
        <vt:i4>117</vt:i4>
      </vt:variant>
      <vt:variant>
        <vt:i4>0</vt:i4>
      </vt:variant>
      <vt:variant>
        <vt:i4>5</vt:i4>
      </vt:variant>
      <vt:variant>
        <vt:lpwstr>https://www.legislation.govt.nz/act/public/2016/0006/latest/DLM6339637.html</vt:lpwstr>
      </vt:variant>
      <vt:variant>
        <vt:lpwstr/>
      </vt:variant>
      <vt:variant>
        <vt:i4>7471209</vt:i4>
      </vt:variant>
      <vt:variant>
        <vt:i4>114</vt:i4>
      </vt:variant>
      <vt:variant>
        <vt:i4>0</vt:i4>
      </vt:variant>
      <vt:variant>
        <vt:i4>5</vt:i4>
      </vt:variant>
      <vt:variant>
        <vt:lpwstr>https://www.legislation.govt.nz/act/public/2016/0006/latest/DLM6339637.html</vt:lpwstr>
      </vt:variant>
      <vt:variant>
        <vt:lpwstr/>
      </vt:variant>
      <vt:variant>
        <vt:i4>5374067</vt:i4>
      </vt:variant>
      <vt:variant>
        <vt:i4>108</vt:i4>
      </vt:variant>
      <vt:variant>
        <vt:i4>0</vt:i4>
      </vt:variant>
      <vt:variant>
        <vt:i4>5</vt:i4>
      </vt:variant>
      <vt:variant>
        <vt:lpwstr/>
      </vt:variant>
      <vt:variant>
        <vt:lpwstr>Table_1</vt:lpwstr>
      </vt:variant>
      <vt:variant>
        <vt:i4>7340136</vt:i4>
      </vt:variant>
      <vt:variant>
        <vt:i4>102</vt:i4>
      </vt:variant>
      <vt:variant>
        <vt:i4>0</vt:i4>
      </vt:variant>
      <vt:variant>
        <vt:i4>5</vt:i4>
      </vt:variant>
      <vt:variant>
        <vt:lpwstr>https://www.legislation.govt.nz/act/public/2016/0006/latest/DLM6339526.html</vt:lpwstr>
      </vt:variant>
      <vt:variant>
        <vt:lpwstr/>
      </vt:variant>
      <vt:variant>
        <vt:i4>7536750</vt:i4>
      </vt:variant>
      <vt:variant>
        <vt:i4>99</vt:i4>
      </vt:variant>
      <vt:variant>
        <vt:i4>0</vt:i4>
      </vt:variant>
      <vt:variant>
        <vt:i4>5</vt:i4>
      </vt:variant>
      <vt:variant>
        <vt:lpwstr>https://www.legislation.govt.nz/act/public/2016/0006/latest/DLM6339747.html</vt:lpwstr>
      </vt:variant>
      <vt:variant>
        <vt:lpwstr/>
      </vt:variant>
      <vt:variant>
        <vt:i4>7340142</vt:i4>
      </vt:variant>
      <vt:variant>
        <vt:i4>96</vt:i4>
      </vt:variant>
      <vt:variant>
        <vt:i4>0</vt:i4>
      </vt:variant>
      <vt:variant>
        <vt:i4>5</vt:i4>
      </vt:variant>
      <vt:variant>
        <vt:lpwstr>https://www.legislation.govt.nz/act/public/2016/0006/latest/DLM6339744.html</vt:lpwstr>
      </vt:variant>
      <vt:variant>
        <vt:lpwstr/>
      </vt:variant>
      <vt:variant>
        <vt:i4>1310803</vt:i4>
      </vt:variant>
      <vt:variant>
        <vt:i4>93</vt:i4>
      </vt:variant>
      <vt:variant>
        <vt:i4>0</vt:i4>
      </vt:variant>
      <vt:variant>
        <vt:i4>5</vt:i4>
      </vt:variant>
      <vt:variant>
        <vt:lpwstr>https://www.legislation.govt.nz/act/public/2019/0058/latest/DLM7298133.html</vt:lpwstr>
      </vt:variant>
      <vt:variant>
        <vt:lpwstr>DLM7298133</vt:lpwstr>
      </vt:variant>
      <vt:variant>
        <vt:i4>5767190</vt:i4>
      </vt:variant>
      <vt:variant>
        <vt:i4>90</vt:i4>
      </vt:variant>
      <vt:variant>
        <vt:i4>0</vt:i4>
      </vt:variant>
      <vt:variant>
        <vt:i4>5</vt:i4>
      </vt:variant>
      <vt:variant>
        <vt:lpwstr>https://www.health.govt.nz/publication/code-practice-nuclear-medicine</vt:lpwstr>
      </vt:variant>
      <vt:variant>
        <vt:lpwstr/>
      </vt:variant>
      <vt:variant>
        <vt:i4>7798884</vt:i4>
      </vt:variant>
      <vt:variant>
        <vt:i4>87</vt:i4>
      </vt:variant>
      <vt:variant>
        <vt:i4>0</vt:i4>
      </vt:variant>
      <vt:variant>
        <vt:i4>5</vt:i4>
      </vt:variant>
      <vt:variant>
        <vt:lpwstr>https://www.legislation.govt.nz/act/public/2016/0006/latest/DLM6560514.html</vt:lpwstr>
      </vt:variant>
      <vt:variant>
        <vt:lpwstr/>
      </vt:variant>
      <vt:variant>
        <vt:i4>7340142</vt:i4>
      </vt:variant>
      <vt:variant>
        <vt:i4>84</vt:i4>
      </vt:variant>
      <vt:variant>
        <vt:i4>0</vt:i4>
      </vt:variant>
      <vt:variant>
        <vt:i4>5</vt:i4>
      </vt:variant>
      <vt:variant>
        <vt:lpwstr>https://www.legislation.govt.nz/act/public/2016/0006/latest/DLM6339744.html</vt:lpwstr>
      </vt:variant>
      <vt:variant>
        <vt:lpwstr/>
      </vt:variant>
      <vt:variant>
        <vt:i4>2555909</vt:i4>
      </vt:variant>
      <vt:variant>
        <vt:i4>80</vt:i4>
      </vt:variant>
      <vt:variant>
        <vt:i4>0</vt:i4>
      </vt:variant>
      <vt:variant>
        <vt:i4>5</vt:i4>
      </vt:variant>
      <vt:variant>
        <vt:lpwstr/>
      </vt:variant>
      <vt:variant>
        <vt:lpwstr>_Toc5697916</vt:lpwstr>
      </vt:variant>
      <vt:variant>
        <vt:i4>2555909</vt:i4>
      </vt:variant>
      <vt:variant>
        <vt:i4>77</vt:i4>
      </vt:variant>
      <vt:variant>
        <vt:i4>0</vt:i4>
      </vt:variant>
      <vt:variant>
        <vt:i4>5</vt:i4>
      </vt:variant>
      <vt:variant>
        <vt:lpwstr/>
      </vt:variant>
      <vt:variant>
        <vt:lpwstr>_Toc5697915</vt:lpwstr>
      </vt:variant>
      <vt:variant>
        <vt:i4>2555909</vt:i4>
      </vt:variant>
      <vt:variant>
        <vt:i4>74</vt:i4>
      </vt:variant>
      <vt:variant>
        <vt:i4>0</vt:i4>
      </vt:variant>
      <vt:variant>
        <vt:i4>5</vt:i4>
      </vt:variant>
      <vt:variant>
        <vt:lpwstr/>
      </vt:variant>
      <vt:variant>
        <vt:lpwstr>_Toc5697914</vt:lpwstr>
      </vt:variant>
      <vt:variant>
        <vt:i4>2555909</vt:i4>
      </vt:variant>
      <vt:variant>
        <vt:i4>71</vt:i4>
      </vt:variant>
      <vt:variant>
        <vt:i4>0</vt:i4>
      </vt:variant>
      <vt:variant>
        <vt:i4>5</vt:i4>
      </vt:variant>
      <vt:variant>
        <vt:lpwstr/>
      </vt:variant>
      <vt:variant>
        <vt:lpwstr>_Toc5697912</vt:lpwstr>
      </vt:variant>
      <vt:variant>
        <vt:i4>2555909</vt:i4>
      </vt:variant>
      <vt:variant>
        <vt:i4>68</vt:i4>
      </vt:variant>
      <vt:variant>
        <vt:i4>0</vt:i4>
      </vt:variant>
      <vt:variant>
        <vt:i4>5</vt:i4>
      </vt:variant>
      <vt:variant>
        <vt:lpwstr/>
      </vt:variant>
      <vt:variant>
        <vt:lpwstr>_Toc5697910</vt:lpwstr>
      </vt:variant>
      <vt:variant>
        <vt:i4>2490373</vt:i4>
      </vt:variant>
      <vt:variant>
        <vt:i4>65</vt:i4>
      </vt:variant>
      <vt:variant>
        <vt:i4>0</vt:i4>
      </vt:variant>
      <vt:variant>
        <vt:i4>5</vt:i4>
      </vt:variant>
      <vt:variant>
        <vt:lpwstr/>
      </vt:variant>
      <vt:variant>
        <vt:lpwstr>_Toc5697909</vt:lpwstr>
      </vt:variant>
      <vt:variant>
        <vt:i4>2490373</vt:i4>
      </vt:variant>
      <vt:variant>
        <vt:i4>62</vt:i4>
      </vt:variant>
      <vt:variant>
        <vt:i4>0</vt:i4>
      </vt:variant>
      <vt:variant>
        <vt:i4>5</vt:i4>
      </vt:variant>
      <vt:variant>
        <vt:lpwstr/>
      </vt:variant>
      <vt:variant>
        <vt:lpwstr>_Toc5697908</vt:lpwstr>
      </vt:variant>
      <vt:variant>
        <vt:i4>2490373</vt:i4>
      </vt:variant>
      <vt:variant>
        <vt:i4>59</vt:i4>
      </vt:variant>
      <vt:variant>
        <vt:i4>0</vt:i4>
      </vt:variant>
      <vt:variant>
        <vt:i4>5</vt:i4>
      </vt:variant>
      <vt:variant>
        <vt:lpwstr/>
      </vt:variant>
      <vt:variant>
        <vt:lpwstr>_Toc5697907</vt:lpwstr>
      </vt:variant>
      <vt:variant>
        <vt:i4>2490373</vt:i4>
      </vt:variant>
      <vt:variant>
        <vt:i4>56</vt:i4>
      </vt:variant>
      <vt:variant>
        <vt:i4>0</vt:i4>
      </vt:variant>
      <vt:variant>
        <vt:i4>5</vt:i4>
      </vt:variant>
      <vt:variant>
        <vt:lpwstr/>
      </vt:variant>
      <vt:variant>
        <vt:lpwstr>_Toc5697906</vt:lpwstr>
      </vt:variant>
      <vt:variant>
        <vt:i4>2490373</vt:i4>
      </vt:variant>
      <vt:variant>
        <vt:i4>53</vt:i4>
      </vt:variant>
      <vt:variant>
        <vt:i4>0</vt:i4>
      </vt:variant>
      <vt:variant>
        <vt:i4>5</vt:i4>
      </vt:variant>
      <vt:variant>
        <vt:lpwstr/>
      </vt:variant>
      <vt:variant>
        <vt:lpwstr>_Toc5697905</vt:lpwstr>
      </vt:variant>
      <vt:variant>
        <vt:i4>2490373</vt:i4>
      </vt:variant>
      <vt:variant>
        <vt:i4>50</vt:i4>
      </vt:variant>
      <vt:variant>
        <vt:i4>0</vt:i4>
      </vt:variant>
      <vt:variant>
        <vt:i4>5</vt:i4>
      </vt:variant>
      <vt:variant>
        <vt:lpwstr/>
      </vt:variant>
      <vt:variant>
        <vt:lpwstr>_Toc5697904</vt:lpwstr>
      </vt:variant>
      <vt:variant>
        <vt:i4>2490373</vt:i4>
      </vt:variant>
      <vt:variant>
        <vt:i4>47</vt:i4>
      </vt:variant>
      <vt:variant>
        <vt:i4>0</vt:i4>
      </vt:variant>
      <vt:variant>
        <vt:i4>5</vt:i4>
      </vt:variant>
      <vt:variant>
        <vt:lpwstr/>
      </vt:variant>
      <vt:variant>
        <vt:lpwstr>_Toc5697903</vt:lpwstr>
      </vt:variant>
      <vt:variant>
        <vt:i4>2490373</vt:i4>
      </vt:variant>
      <vt:variant>
        <vt:i4>44</vt:i4>
      </vt:variant>
      <vt:variant>
        <vt:i4>0</vt:i4>
      </vt:variant>
      <vt:variant>
        <vt:i4>5</vt:i4>
      </vt:variant>
      <vt:variant>
        <vt:lpwstr/>
      </vt:variant>
      <vt:variant>
        <vt:lpwstr>_Toc5697902</vt:lpwstr>
      </vt:variant>
      <vt:variant>
        <vt:i4>2490373</vt:i4>
      </vt:variant>
      <vt:variant>
        <vt:i4>41</vt:i4>
      </vt:variant>
      <vt:variant>
        <vt:i4>0</vt:i4>
      </vt:variant>
      <vt:variant>
        <vt:i4>5</vt:i4>
      </vt:variant>
      <vt:variant>
        <vt:lpwstr/>
      </vt:variant>
      <vt:variant>
        <vt:lpwstr>_Toc5697901</vt:lpwstr>
      </vt:variant>
      <vt:variant>
        <vt:i4>2490373</vt:i4>
      </vt:variant>
      <vt:variant>
        <vt:i4>38</vt:i4>
      </vt:variant>
      <vt:variant>
        <vt:i4>0</vt:i4>
      </vt:variant>
      <vt:variant>
        <vt:i4>5</vt:i4>
      </vt:variant>
      <vt:variant>
        <vt:lpwstr/>
      </vt:variant>
      <vt:variant>
        <vt:lpwstr>_Toc5697900</vt:lpwstr>
      </vt:variant>
      <vt:variant>
        <vt:i4>3080196</vt:i4>
      </vt:variant>
      <vt:variant>
        <vt:i4>35</vt:i4>
      </vt:variant>
      <vt:variant>
        <vt:i4>0</vt:i4>
      </vt:variant>
      <vt:variant>
        <vt:i4>5</vt:i4>
      </vt:variant>
      <vt:variant>
        <vt:lpwstr/>
      </vt:variant>
      <vt:variant>
        <vt:lpwstr>_Toc5697899</vt:lpwstr>
      </vt:variant>
      <vt:variant>
        <vt:i4>3080196</vt:i4>
      </vt:variant>
      <vt:variant>
        <vt:i4>32</vt:i4>
      </vt:variant>
      <vt:variant>
        <vt:i4>0</vt:i4>
      </vt:variant>
      <vt:variant>
        <vt:i4>5</vt:i4>
      </vt:variant>
      <vt:variant>
        <vt:lpwstr/>
      </vt:variant>
      <vt:variant>
        <vt:lpwstr>_Toc5697898</vt:lpwstr>
      </vt:variant>
      <vt:variant>
        <vt:i4>3080196</vt:i4>
      </vt:variant>
      <vt:variant>
        <vt:i4>29</vt:i4>
      </vt:variant>
      <vt:variant>
        <vt:i4>0</vt:i4>
      </vt:variant>
      <vt:variant>
        <vt:i4>5</vt:i4>
      </vt:variant>
      <vt:variant>
        <vt:lpwstr/>
      </vt:variant>
      <vt:variant>
        <vt:lpwstr>_Toc5697897</vt:lpwstr>
      </vt:variant>
      <vt:variant>
        <vt:i4>3080196</vt:i4>
      </vt:variant>
      <vt:variant>
        <vt:i4>26</vt:i4>
      </vt:variant>
      <vt:variant>
        <vt:i4>0</vt:i4>
      </vt:variant>
      <vt:variant>
        <vt:i4>5</vt:i4>
      </vt:variant>
      <vt:variant>
        <vt:lpwstr/>
      </vt:variant>
      <vt:variant>
        <vt:lpwstr>_Toc5697896</vt:lpwstr>
      </vt:variant>
      <vt:variant>
        <vt:i4>3080196</vt:i4>
      </vt:variant>
      <vt:variant>
        <vt:i4>23</vt:i4>
      </vt:variant>
      <vt:variant>
        <vt:i4>0</vt:i4>
      </vt:variant>
      <vt:variant>
        <vt:i4>5</vt:i4>
      </vt:variant>
      <vt:variant>
        <vt:lpwstr/>
      </vt:variant>
      <vt:variant>
        <vt:lpwstr>_Toc5697895</vt:lpwstr>
      </vt:variant>
      <vt:variant>
        <vt:i4>3080196</vt:i4>
      </vt:variant>
      <vt:variant>
        <vt:i4>20</vt:i4>
      </vt:variant>
      <vt:variant>
        <vt:i4>0</vt:i4>
      </vt:variant>
      <vt:variant>
        <vt:i4>5</vt:i4>
      </vt:variant>
      <vt:variant>
        <vt:lpwstr/>
      </vt:variant>
      <vt:variant>
        <vt:lpwstr>_Toc5697893</vt:lpwstr>
      </vt:variant>
      <vt:variant>
        <vt:i4>3080196</vt:i4>
      </vt:variant>
      <vt:variant>
        <vt:i4>14</vt:i4>
      </vt:variant>
      <vt:variant>
        <vt:i4>0</vt:i4>
      </vt:variant>
      <vt:variant>
        <vt:i4>5</vt:i4>
      </vt:variant>
      <vt:variant>
        <vt:lpwstr/>
      </vt:variant>
      <vt:variant>
        <vt:lpwstr>_Toc5697891</vt:lpwstr>
      </vt:variant>
      <vt:variant>
        <vt:i4>3080196</vt:i4>
      </vt:variant>
      <vt:variant>
        <vt:i4>8</vt:i4>
      </vt:variant>
      <vt:variant>
        <vt:i4>0</vt:i4>
      </vt:variant>
      <vt:variant>
        <vt:i4>5</vt:i4>
      </vt:variant>
      <vt:variant>
        <vt:lpwstr/>
      </vt:variant>
      <vt:variant>
        <vt:lpwstr>_Toc5697890</vt:lpwstr>
      </vt:variant>
      <vt:variant>
        <vt:i4>3014660</vt:i4>
      </vt:variant>
      <vt:variant>
        <vt:i4>2</vt:i4>
      </vt:variant>
      <vt:variant>
        <vt:i4>0</vt:i4>
      </vt:variant>
      <vt:variant>
        <vt:i4>5</vt:i4>
      </vt:variant>
      <vt:variant>
        <vt:lpwstr/>
      </vt:variant>
      <vt:variant>
        <vt:lpwstr>_Toc5697889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nuclear medicine</dc:title>
  <dc:subject/>
  <dc:creator>Ministry of Health</dc:creator>
  <cp:keywords/>
  <cp:lastModifiedBy>Ministry of Health</cp:lastModifiedBy>
  <cp:revision>3</cp:revision>
  <cp:lastPrinted>2024-03-14T01:36:00Z</cp:lastPrinted>
  <dcterms:created xsi:type="dcterms:W3CDTF">2024-03-14T01:36:00Z</dcterms:created>
  <dcterms:modified xsi:type="dcterms:W3CDTF">2024-03-14T01:37:00Z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d33e7c56-54e7-4ec2-94f6-9d829b1c12e1</vt:lpwstr>
  </property>
  <property fmtid="{D5CDD505-2E9C-101B-9397-08002B2CF9AE}" pid="4" name="MediaServiceImageTags">
    <vt:lpwstr/>
  </property>
</Properties>
</file>