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5161" w14:textId="7C6A7CFC" w:rsidR="00C86248" w:rsidRPr="00390AA7" w:rsidRDefault="004366B7" w:rsidP="00926083">
      <w:pPr>
        <w:pStyle w:val="Title"/>
      </w:pPr>
      <w:r w:rsidRPr="00390AA7">
        <w:t>Methodology Report 202</w:t>
      </w:r>
      <w:r w:rsidR="00F3279F" w:rsidRPr="00390AA7">
        <w:t>2</w:t>
      </w:r>
      <w:r w:rsidRPr="00390AA7">
        <w:t>/2</w:t>
      </w:r>
      <w:r w:rsidR="00F3279F" w:rsidRPr="00390AA7">
        <w:t>3</w:t>
      </w:r>
    </w:p>
    <w:p w14:paraId="2B4FAC6A" w14:textId="6322C768" w:rsidR="00C05132" w:rsidRPr="00390AA7" w:rsidRDefault="004366B7" w:rsidP="00926083">
      <w:pPr>
        <w:pStyle w:val="Subhead"/>
      </w:pPr>
      <w:r w:rsidRPr="00390AA7">
        <w:t>New Zealand Health Survey</w:t>
      </w:r>
    </w:p>
    <w:p w14:paraId="2A961E80" w14:textId="6D64234F" w:rsidR="00531E12" w:rsidRPr="00390AA7" w:rsidRDefault="004366B7" w:rsidP="00531E12">
      <w:pPr>
        <w:pStyle w:val="Year"/>
      </w:pPr>
      <w:r w:rsidRPr="00390AA7">
        <w:t>202</w:t>
      </w:r>
      <w:r w:rsidR="00A256C0" w:rsidRPr="00390AA7">
        <w:t>3</w:t>
      </w:r>
    </w:p>
    <w:p w14:paraId="48BD843E" w14:textId="77777777" w:rsidR="004366B7" w:rsidRPr="00390AA7" w:rsidRDefault="004366B7" w:rsidP="004366B7">
      <w:pPr>
        <w:pStyle w:val="Subhead"/>
      </w:pPr>
    </w:p>
    <w:p w14:paraId="5C1CCC9F" w14:textId="03FD03B4" w:rsidR="00C05132" w:rsidRPr="00390AA7" w:rsidRDefault="004366B7" w:rsidP="00A06BE4">
      <w:r w:rsidRPr="00390AA7">
        <w:rPr>
          <w:noProof/>
          <w:color w:val="2B579A"/>
          <w:shd w:val="clear" w:color="auto" w:fill="E6E6E6"/>
        </w:rPr>
        <w:drawing>
          <wp:anchor distT="0" distB="0" distL="114300" distR="114300" simplePos="0" relativeHeight="251658240" behindDoc="1" locked="0" layoutInCell="1" allowOverlap="1" wp14:anchorId="1F22C52F" wp14:editId="7F82AA3C">
            <wp:simplePos x="0" y="0"/>
            <wp:positionH relativeFrom="column">
              <wp:posOffset>300355</wp:posOffset>
            </wp:positionH>
            <wp:positionV relativeFrom="page">
              <wp:posOffset>8215630</wp:posOffset>
            </wp:positionV>
            <wp:extent cx="5401310" cy="1414145"/>
            <wp:effectExtent l="0" t="0" r="8890" b="0"/>
            <wp:wrapTight wrapText="bothSides">
              <wp:wrapPolygon edited="0">
                <wp:start x="0" y="0"/>
                <wp:lineTo x="0" y="21241"/>
                <wp:lineTo x="21559" y="21241"/>
                <wp:lineTo x="21559" y="0"/>
                <wp:lineTo x="0" y="0"/>
              </wp:wrapPolygon>
            </wp:wrapTight>
            <wp:docPr id="5" name="Picture 5" descr="New Zealand Health Surv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ew Zealand Health Surve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1310" cy="1414145"/>
                    </a:xfrm>
                    <a:prstGeom prst="rect">
                      <a:avLst/>
                    </a:prstGeom>
                    <a:noFill/>
                  </pic:spPr>
                </pic:pic>
              </a:graphicData>
            </a:graphic>
            <wp14:sizeRelH relativeFrom="page">
              <wp14:pctWidth>0</wp14:pctWidth>
            </wp14:sizeRelH>
            <wp14:sizeRelV relativeFrom="page">
              <wp14:pctHeight>0</wp14:pctHeight>
            </wp14:sizeRelV>
          </wp:anchor>
        </w:drawing>
      </w:r>
    </w:p>
    <w:p w14:paraId="57E2CB79" w14:textId="53AF37D0" w:rsidR="00142954" w:rsidRPr="00390AA7" w:rsidRDefault="00142954" w:rsidP="00142954">
      <w:pPr>
        <w:sectPr w:rsidR="00142954" w:rsidRPr="00390AA7" w:rsidSect="005A79E5">
          <w:headerReference w:type="default" r:id="rId13"/>
          <w:footerReference w:type="default" r:id="rId14"/>
          <w:pgSz w:w="11907" w:h="16834" w:code="9"/>
          <w:pgMar w:top="5670" w:right="1134" w:bottom="1134" w:left="1134" w:header="567" w:footer="851" w:gutter="0"/>
          <w:pgNumType w:start="1"/>
          <w:cols w:space="720"/>
        </w:sectPr>
      </w:pPr>
    </w:p>
    <w:p w14:paraId="32A4C763" w14:textId="77777777" w:rsidR="009A42D5" w:rsidRPr="00390AA7" w:rsidRDefault="009A42D5" w:rsidP="00C05132">
      <w:pPr>
        <w:rPr>
          <w:rFonts w:asciiTheme="minorHAnsi" w:hAnsiTheme="minorHAnsi" w:cstheme="minorHAnsi"/>
          <w:b/>
          <w:spacing w:val="10"/>
          <w:sz w:val="36"/>
          <w:szCs w:val="36"/>
        </w:rPr>
      </w:pPr>
      <w:r w:rsidRPr="00390AA7">
        <w:rPr>
          <w:rFonts w:asciiTheme="minorHAnsi" w:hAnsiTheme="minorHAnsi" w:cstheme="minorHAnsi"/>
          <w:b/>
          <w:spacing w:val="10"/>
          <w:sz w:val="36"/>
          <w:szCs w:val="36"/>
        </w:rPr>
        <w:lastRenderedPageBreak/>
        <w:t>Acknowledgements</w:t>
      </w:r>
    </w:p>
    <w:p w14:paraId="24BC56F3" w14:textId="1341CF7D" w:rsidR="004366B7" w:rsidRPr="00390AA7" w:rsidRDefault="004366B7" w:rsidP="004366B7">
      <w:pPr>
        <w:spacing w:before="120"/>
        <w:rPr>
          <w:rFonts w:cs="Segoe UI"/>
          <w:sz w:val="20"/>
        </w:rPr>
      </w:pPr>
      <w:r w:rsidRPr="00390AA7">
        <w:rPr>
          <w:rFonts w:cs="Segoe UI"/>
          <w:sz w:val="20"/>
        </w:rPr>
        <w:t xml:space="preserve">This report was originally written by Deepa Weerasekera, Steven Johnston, Maria Turley, Robert Clark (Statistics Adding Value) and Barry Gribben, Carol Boustead Gibb and Neil Tee (Reach Aotearoa). </w:t>
      </w:r>
    </w:p>
    <w:p w14:paraId="4407D9C0" w14:textId="06AEC0E6" w:rsidR="00B73112" w:rsidRPr="00390AA7" w:rsidRDefault="004366B7" w:rsidP="00B73112">
      <w:pPr>
        <w:spacing w:before="120"/>
        <w:rPr>
          <w:rFonts w:cs="Segoe UI"/>
          <w:sz w:val="20"/>
        </w:rPr>
      </w:pPr>
      <w:r w:rsidRPr="0017099C">
        <w:rPr>
          <w:rFonts w:cs="Segoe UI"/>
          <w:sz w:val="20"/>
        </w:rPr>
        <w:t xml:space="preserve">This version of the report was updated by the Health Surveys team in the Evidence, Research and </w:t>
      </w:r>
      <w:r w:rsidR="00662514" w:rsidRPr="0017099C">
        <w:rPr>
          <w:rFonts w:cs="Segoe UI"/>
          <w:sz w:val="20"/>
        </w:rPr>
        <w:t xml:space="preserve">Analytics </w:t>
      </w:r>
      <w:r w:rsidR="004F1B20">
        <w:rPr>
          <w:rFonts w:cs="Segoe UI"/>
          <w:sz w:val="20"/>
        </w:rPr>
        <w:t>group</w:t>
      </w:r>
      <w:r w:rsidR="001833D1" w:rsidRPr="0017099C">
        <w:rPr>
          <w:rFonts w:cs="Segoe UI"/>
          <w:sz w:val="20"/>
        </w:rPr>
        <w:t xml:space="preserve"> of </w:t>
      </w:r>
      <w:r w:rsidR="00220EA4" w:rsidRPr="0017099C">
        <w:rPr>
          <w:rFonts w:cs="Segoe UI"/>
          <w:sz w:val="20"/>
        </w:rPr>
        <w:t>Manatū Hauora</w:t>
      </w:r>
      <w:r w:rsidR="004E2CBF" w:rsidRPr="0017099C">
        <w:rPr>
          <w:rFonts w:cs="Segoe UI"/>
          <w:sz w:val="20"/>
        </w:rPr>
        <w:t xml:space="preserve"> </w:t>
      </w:r>
      <w:r w:rsidR="004E2CBF" w:rsidRPr="0017099C">
        <w:rPr>
          <w:rFonts w:ascii="Arial" w:hAnsi="Arial" w:cs="Arial"/>
          <w:sz w:val="20"/>
        </w:rPr>
        <w:t>|</w:t>
      </w:r>
      <w:r w:rsidR="004E2CBF" w:rsidRPr="0017099C">
        <w:rPr>
          <w:rFonts w:cs="Segoe UI"/>
          <w:sz w:val="20"/>
        </w:rPr>
        <w:t xml:space="preserve"> </w:t>
      </w:r>
      <w:r w:rsidR="005C262F">
        <w:rPr>
          <w:rFonts w:cs="Segoe UI"/>
          <w:sz w:val="20"/>
        </w:rPr>
        <w:t xml:space="preserve">the </w:t>
      </w:r>
      <w:r w:rsidRPr="0017099C">
        <w:rPr>
          <w:rFonts w:cs="Segoe UI"/>
          <w:sz w:val="20"/>
        </w:rPr>
        <w:t xml:space="preserve">Ministry of Health. </w:t>
      </w:r>
      <w:r w:rsidR="00B73112" w:rsidRPr="0017099C">
        <w:rPr>
          <w:rFonts w:cs="Segoe UI"/>
          <w:sz w:val="20"/>
        </w:rPr>
        <w:t>Additional content was provided by Robert Clark (Statistics Adding Value) and Neil Tee (Reach Aotearoa).</w:t>
      </w:r>
      <w:r w:rsidR="00B73112" w:rsidRPr="00390AA7">
        <w:rPr>
          <w:rFonts w:cs="Segoe UI"/>
          <w:sz w:val="20"/>
        </w:rPr>
        <w:t xml:space="preserve"> </w:t>
      </w:r>
    </w:p>
    <w:p w14:paraId="5A09B06F" w14:textId="340BBFE1" w:rsidR="004366B7" w:rsidRPr="00390AA7" w:rsidRDefault="00A80363" w:rsidP="004366B7">
      <w:pPr>
        <w:spacing w:before="1200"/>
        <w:rPr>
          <w:rFonts w:cs="Segoe UI"/>
        </w:rPr>
      </w:pPr>
      <w:r w:rsidRPr="00390AA7">
        <w:rPr>
          <w:rFonts w:cs="Segoe UI"/>
        </w:rPr>
        <w:t xml:space="preserve">Citation: </w:t>
      </w:r>
      <w:bookmarkStart w:id="1" w:name="_Hlk118732820"/>
      <w:r w:rsidR="004366B7" w:rsidRPr="00390AA7">
        <w:rPr>
          <w:rFonts w:cs="Segoe UI"/>
        </w:rPr>
        <w:t>Ministry of Health. 202</w:t>
      </w:r>
      <w:r w:rsidR="00376C40" w:rsidRPr="00390AA7">
        <w:rPr>
          <w:rFonts w:cs="Segoe UI"/>
        </w:rPr>
        <w:t>3</w:t>
      </w:r>
      <w:r w:rsidR="004366B7" w:rsidRPr="00390AA7">
        <w:rPr>
          <w:rFonts w:cs="Segoe UI"/>
        </w:rPr>
        <w:t xml:space="preserve">. </w:t>
      </w:r>
      <w:bookmarkStart w:id="2" w:name="_Hlk118732760"/>
      <w:r w:rsidR="004366B7" w:rsidRPr="00390AA7">
        <w:rPr>
          <w:rFonts w:cs="Segoe UI"/>
          <w:i/>
          <w:iCs/>
        </w:rPr>
        <w:t>Methodology Report 202</w:t>
      </w:r>
      <w:r w:rsidR="00376C40" w:rsidRPr="00390AA7">
        <w:rPr>
          <w:rFonts w:cs="Segoe UI"/>
          <w:i/>
          <w:iCs/>
        </w:rPr>
        <w:t>2</w:t>
      </w:r>
      <w:r w:rsidR="004366B7" w:rsidRPr="00390AA7">
        <w:rPr>
          <w:rFonts w:cs="Segoe UI"/>
          <w:i/>
          <w:iCs/>
        </w:rPr>
        <w:t>/2</w:t>
      </w:r>
      <w:r w:rsidR="00376C40" w:rsidRPr="00390AA7">
        <w:rPr>
          <w:rFonts w:cs="Segoe UI"/>
          <w:i/>
          <w:iCs/>
        </w:rPr>
        <w:t>3</w:t>
      </w:r>
      <w:r w:rsidR="004366B7" w:rsidRPr="00390AA7">
        <w:rPr>
          <w:rFonts w:cs="Segoe UI"/>
          <w:i/>
          <w:iCs/>
        </w:rPr>
        <w:t>: New Zealand Health Survey</w:t>
      </w:r>
      <w:bookmarkEnd w:id="2"/>
      <w:r w:rsidR="004366B7" w:rsidRPr="00390AA7">
        <w:rPr>
          <w:rFonts w:cs="Segoe UI"/>
        </w:rPr>
        <w:t xml:space="preserve">. Wellington: Ministry of Health. </w:t>
      </w:r>
    </w:p>
    <w:p w14:paraId="40C27BF9" w14:textId="77777777" w:rsidR="004366B7" w:rsidRPr="00390AA7" w:rsidRDefault="004366B7" w:rsidP="004366B7">
      <w:pPr>
        <w:rPr>
          <w:rFonts w:cs="Segoe UI"/>
        </w:rPr>
      </w:pPr>
    </w:p>
    <w:p w14:paraId="001ADDA5" w14:textId="468526C0" w:rsidR="004366B7" w:rsidRPr="00390AA7" w:rsidRDefault="004366B7" w:rsidP="004366B7">
      <w:pPr>
        <w:pStyle w:val="Imprint"/>
      </w:pPr>
      <w:r w:rsidRPr="00390AA7">
        <w:t xml:space="preserve">Published in </w:t>
      </w:r>
      <w:bookmarkStart w:id="3" w:name="_Hlk118732778"/>
      <w:r w:rsidR="0008576E">
        <w:t>December</w:t>
      </w:r>
      <w:r w:rsidRPr="00390AA7">
        <w:t xml:space="preserve"> 202</w:t>
      </w:r>
      <w:r w:rsidR="00974D9E" w:rsidRPr="00390AA7">
        <w:t>3</w:t>
      </w:r>
      <w:r w:rsidRPr="00390AA7">
        <w:t xml:space="preserve"> </w:t>
      </w:r>
      <w:bookmarkEnd w:id="3"/>
      <w:r w:rsidRPr="00390AA7">
        <w:t>by the Ministry of Health</w:t>
      </w:r>
      <w:r w:rsidRPr="00390AA7">
        <w:br/>
        <w:t>PO Box 5013, Wellington 6140, New Zealand</w:t>
      </w:r>
    </w:p>
    <w:p w14:paraId="21B5C2C8" w14:textId="7D38B06F" w:rsidR="004366B7" w:rsidRPr="00390AA7" w:rsidRDefault="004366B7" w:rsidP="004366B7">
      <w:pPr>
        <w:pStyle w:val="Imprint"/>
        <w:rPr>
          <w:lang w:val="de-DE"/>
        </w:rPr>
      </w:pPr>
      <w:r w:rsidRPr="0017099C">
        <w:rPr>
          <w:lang w:val="de-DE"/>
        </w:rPr>
        <w:t xml:space="preserve">ISBN </w:t>
      </w:r>
      <w:r w:rsidR="001838D5" w:rsidRPr="001838D5">
        <w:rPr>
          <w:lang w:val="de-DE"/>
        </w:rPr>
        <w:t>978-1-991075-64-2</w:t>
      </w:r>
      <w:r w:rsidRPr="0017099C">
        <w:rPr>
          <w:lang w:val="de-DE"/>
        </w:rPr>
        <w:t xml:space="preserve"> (online)</w:t>
      </w:r>
      <w:r w:rsidRPr="0017099C">
        <w:rPr>
          <w:lang w:val="de-DE"/>
        </w:rPr>
        <w:br/>
        <w:t xml:space="preserve">HP </w:t>
      </w:r>
      <w:r w:rsidR="00F745C3">
        <w:rPr>
          <w:lang w:val="de-DE"/>
        </w:rPr>
        <w:t>9058</w:t>
      </w:r>
    </w:p>
    <w:bookmarkEnd w:id="1"/>
    <w:p w14:paraId="48DBDA36" w14:textId="54FE4334" w:rsidR="00C86248" w:rsidRPr="00390AA7" w:rsidRDefault="008C64C4" w:rsidP="004366B7">
      <w:pPr>
        <w:pStyle w:val="Imprint"/>
        <w:spacing w:before="1200"/>
      </w:pPr>
      <w:r w:rsidRPr="00390AA7">
        <w:rPr>
          <w:noProof/>
          <w:color w:val="2B579A"/>
          <w:shd w:val="clear" w:color="auto" w:fill="E6E6E6"/>
          <w:lang w:eastAsia="en-NZ"/>
        </w:rPr>
        <w:drawing>
          <wp:inline distT="0" distB="0" distL="0" distR="0" wp14:anchorId="6EF4539D" wp14:editId="59ADA5DF">
            <wp:extent cx="1216825" cy="576270"/>
            <wp:effectExtent l="0" t="0" r="2540" b="0"/>
            <wp:docPr id="2" name="Picture 2"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Health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216825" cy="576270"/>
                    </a:xfrm>
                    <a:prstGeom prst="rect">
                      <a:avLst/>
                    </a:prstGeom>
                    <a:noFill/>
                    <a:ln>
                      <a:noFill/>
                    </a:ln>
                  </pic:spPr>
                </pic:pic>
              </a:graphicData>
            </a:graphic>
          </wp:inline>
        </w:drawing>
      </w:r>
    </w:p>
    <w:p w14:paraId="354F16DF" w14:textId="77777777" w:rsidR="00A63DFF" w:rsidRPr="00390AA7" w:rsidRDefault="00A63DFF" w:rsidP="00A63DFF">
      <w:pPr>
        <w:pStyle w:val="Imprint"/>
        <w:spacing w:before="240" w:after="480"/>
      </w:pPr>
      <w:r w:rsidRPr="00390AA7">
        <w:t>This document is available at health.govt.nz</w:t>
      </w:r>
    </w:p>
    <w:tbl>
      <w:tblPr>
        <w:tblW w:w="0" w:type="auto"/>
        <w:tblLayout w:type="fixed"/>
        <w:tblLook w:val="04A0" w:firstRow="1" w:lastRow="0" w:firstColumn="1" w:lastColumn="0" w:noHBand="0" w:noVBand="1"/>
      </w:tblPr>
      <w:tblGrid>
        <w:gridCol w:w="1526"/>
        <w:gridCol w:w="6061"/>
      </w:tblGrid>
      <w:tr w:rsidR="00A63DFF" w:rsidRPr="00390AA7" w14:paraId="3FC6B2D2" w14:textId="77777777" w:rsidTr="00A63DFF">
        <w:trPr>
          <w:cantSplit/>
        </w:trPr>
        <w:tc>
          <w:tcPr>
            <w:tcW w:w="1526" w:type="dxa"/>
          </w:tcPr>
          <w:p w14:paraId="362D26E7" w14:textId="77777777" w:rsidR="00A63DFF" w:rsidRPr="00390AA7" w:rsidRDefault="00A63DFF" w:rsidP="00A63DFF">
            <w:pPr>
              <w:rPr>
                <w:rFonts w:cs="Segoe UI"/>
                <w:sz w:val="15"/>
                <w:szCs w:val="15"/>
              </w:rPr>
            </w:pPr>
            <w:r w:rsidRPr="00390AA7">
              <w:rPr>
                <w:rFonts w:cs="Segoe UI"/>
                <w:noProof/>
                <w:color w:val="2B579A"/>
                <w:sz w:val="15"/>
                <w:szCs w:val="15"/>
                <w:shd w:val="clear" w:color="auto" w:fill="E6E6E6"/>
                <w:lang w:eastAsia="en-NZ"/>
              </w:rPr>
              <w:drawing>
                <wp:inline distT="0" distB="0" distL="0" distR="0" wp14:anchorId="4BFD7476" wp14:editId="5569ABBB">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390AA7" w:rsidRDefault="00A63DFF" w:rsidP="00A63DFF">
            <w:pPr>
              <w:rPr>
                <w:rFonts w:cs="Segoe UI"/>
                <w:sz w:val="15"/>
                <w:szCs w:val="15"/>
              </w:rPr>
            </w:pPr>
            <w:r w:rsidRPr="00390AA7">
              <w:rPr>
                <w:rFonts w:cs="Segoe UI"/>
                <w:sz w:val="15"/>
                <w:szCs w:val="15"/>
              </w:rPr>
              <w:t xml:space="preserve">This work is licensed under the Creative Commons Attribution 4.0 International licence. In essence, </w:t>
            </w:r>
            <w:r w:rsidRPr="00390AA7">
              <w:rPr>
                <w:rFonts w:cs="Segoe UI"/>
                <w:bCs/>
                <w:sz w:val="15"/>
                <w:szCs w:val="15"/>
              </w:rPr>
              <w:t xml:space="preserve">you are free to: </w:t>
            </w:r>
            <w:r w:rsidRPr="00390AA7">
              <w:rPr>
                <w:rFonts w:cs="Segoe UI"/>
                <w:sz w:val="15"/>
                <w:szCs w:val="15"/>
              </w:rPr>
              <w:t xml:space="preserve">share ie, copy and redistribute the material in any medium or format; adapt ie, remix, transform and build upon the material. </w:t>
            </w:r>
            <w:r w:rsidRPr="00390AA7">
              <w:rPr>
                <w:rFonts w:cs="Segoe UI"/>
                <w:bCs/>
                <w:sz w:val="15"/>
                <w:szCs w:val="15"/>
              </w:rPr>
              <w:t>You must give appropriate credit, provide a link to the licence and indicate if changes were made.</w:t>
            </w:r>
          </w:p>
        </w:tc>
      </w:tr>
    </w:tbl>
    <w:p w14:paraId="44C6FE3A" w14:textId="77777777" w:rsidR="007E74F1" w:rsidRPr="00390AA7" w:rsidRDefault="007E74F1" w:rsidP="00A63DFF"/>
    <w:p w14:paraId="2113CC0B" w14:textId="77777777" w:rsidR="00C86248" w:rsidRPr="00390AA7" w:rsidRDefault="00C86248">
      <w:pPr>
        <w:jc w:val="center"/>
        <w:sectPr w:rsidR="00C86248" w:rsidRPr="00390AA7" w:rsidSect="00C05132">
          <w:footerReference w:type="even" r:id="rId17"/>
          <w:footerReference w:type="default" r:id="rId18"/>
          <w:pgSz w:w="11907" w:h="16834" w:code="9"/>
          <w:pgMar w:top="1701" w:right="2268" w:bottom="1134" w:left="2268" w:header="0" w:footer="0" w:gutter="0"/>
          <w:cols w:space="720"/>
          <w:vAlign w:val="bottom"/>
        </w:sectPr>
      </w:pPr>
    </w:p>
    <w:p w14:paraId="648D4F84" w14:textId="77777777" w:rsidR="00C86248" w:rsidRPr="00390AA7" w:rsidRDefault="00C86248" w:rsidP="00025A6F">
      <w:pPr>
        <w:pStyle w:val="IntroHead"/>
      </w:pPr>
      <w:bookmarkStart w:id="4" w:name="_Toc405792991"/>
      <w:bookmarkStart w:id="5" w:name="_Toc405793224"/>
      <w:r w:rsidRPr="00390AA7">
        <w:lastRenderedPageBreak/>
        <w:t>Contents</w:t>
      </w:r>
      <w:bookmarkEnd w:id="4"/>
      <w:bookmarkEnd w:id="5"/>
    </w:p>
    <w:p w14:paraId="23D7D09F" w14:textId="2E086AF4" w:rsidR="00412012" w:rsidRDefault="00FC740F">
      <w:pPr>
        <w:pStyle w:val="TOC1"/>
        <w:rPr>
          <w:rFonts w:asciiTheme="minorHAnsi" w:eastAsiaTheme="minorEastAsia" w:hAnsiTheme="minorHAnsi" w:cstheme="minorBidi"/>
          <w:noProof/>
          <w:sz w:val="22"/>
          <w:szCs w:val="22"/>
          <w:lang w:val="en-AU" w:eastAsia="en-AU"/>
        </w:rPr>
      </w:pPr>
      <w:r>
        <w:fldChar w:fldCharType="begin"/>
      </w:r>
      <w:r w:rsidR="00F90A81">
        <w:instrText>TOC \o "1-2" \h \z</w:instrText>
      </w:r>
      <w:r>
        <w:fldChar w:fldCharType="separate"/>
      </w:r>
      <w:hyperlink w:anchor="_Toc153259072" w:history="1">
        <w:r w:rsidR="00412012" w:rsidRPr="00363F84">
          <w:rPr>
            <w:rStyle w:val="Hyperlink"/>
            <w:noProof/>
          </w:rPr>
          <w:t>Introduction</w:t>
        </w:r>
        <w:r w:rsidR="00412012">
          <w:rPr>
            <w:noProof/>
            <w:webHidden/>
          </w:rPr>
          <w:tab/>
        </w:r>
        <w:r w:rsidR="00412012">
          <w:rPr>
            <w:noProof/>
            <w:webHidden/>
          </w:rPr>
          <w:fldChar w:fldCharType="begin"/>
        </w:r>
        <w:r w:rsidR="00412012">
          <w:rPr>
            <w:noProof/>
            <w:webHidden/>
          </w:rPr>
          <w:instrText xml:space="preserve"> PAGEREF _Toc153259072 \h </w:instrText>
        </w:r>
        <w:r w:rsidR="00412012">
          <w:rPr>
            <w:noProof/>
            <w:webHidden/>
          </w:rPr>
        </w:r>
        <w:r w:rsidR="00412012">
          <w:rPr>
            <w:noProof/>
            <w:webHidden/>
          </w:rPr>
          <w:fldChar w:fldCharType="separate"/>
        </w:r>
        <w:r w:rsidR="008D278D">
          <w:rPr>
            <w:noProof/>
            <w:webHidden/>
          </w:rPr>
          <w:t>1</w:t>
        </w:r>
        <w:r w:rsidR="00412012">
          <w:rPr>
            <w:noProof/>
            <w:webHidden/>
          </w:rPr>
          <w:fldChar w:fldCharType="end"/>
        </w:r>
      </w:hyperlink>
    </w:p>
    <w:p w14:paraId="296B1A3D" w14:textId="73CBFA03" w:rsidR="00412012" w:rsidRDefault="00412012">
      <w:pPr>
        <w:pStyle w:val="TOC2"/>
        <w:rPr>
          <w:rFonts w:asciiTheme="minorHAnsi" w:eastAsiaTheme="minorEastAsia" w:hAnsiTheme="minorHAnsi" w:cstheme="minorBidi"/>
          <w:noProof/>
          <w:szCs w:val="22"/>
          <w:lang w:val="en-AU" w:eastAsia="en-AU"/>
        </w:rPr>
      </w:pPr>
      <w:hyperlink w:anchor="_Toc153259073" w:history="1">
        <w:r w:rsidRPr="00363F84">
          <w:rPr>
            <w:rStyle w:val="Hyperlink"/>
            <w:noProof/>
          </w:rPr>
          <w:t>Background</w:t>
        </w:r>
        <w:r>
          <w:rPr>
            <w:noProof/>
            <w:webHidden/>
          </w:rPr>
          <w:tab/>
        </w:r>
        <w:r>
          <w:rPr>
            <w:noProof/>
            <w:webHidden/>
          </w:rPr>
          <w:fldChar w:fldCharType="begin"/>
        </w:r>
        <w:r>
          <w:rPr>
            <w:noProof/>
            <w:webHidden/>
          </w:rPr>
          <w:instrText xml:space="preserve"> PAGEREF _Toc153259073 \h </w:instrText>
        </w:r>
        <w:r>
          <w:rPr>
            <w:noProof/>
            <w:webHidden/>
          </w:rPr>
        </w:r>
        <w:r>
          <w:rPr>
            <w:noProof/>
            <w:webHidden/>
          </w:rPr>
          <w:fldChar w:fldCharType="separate"/>
        </w:r>
        <w:r w:rsidR="008D278D">
          <w:rPr>
            <w:noProof/>
            <w:webHidden/>
          </w:rPr>
          <w:t>2</w:t>
        </w:r>
        <w:r>
          <w:rPr>
            <w:noProof/>
            <w:webHidden/>
          </w:rPr>
          <w:fldChar w:fldCharType="end"/>
        </w:r>
      </w:hyperlink>
    </w:p>
    <w:p w14:paraId="0CDA62AA" w14:textId="768402E4" w:rsidR="00412012" w:rsidRDefault="00412012">
      <w:pPr>
        <w:pStyle w:val="TOC1"/>
        <w:rPr>
          <w:rFonts w:asciiTheme="minorHAnsi" w:eastAsiaTheme="minorEastAsia" w:hAnsiTheme="minorHAnsi" w:cstheme="minorBidi"/>
          <w:noProof/>
          <w:sz w:val="22"/>
          <w:szCs w:val="22"/>
          <w:lang w:val="en-AU" w:eastAsia="en-AU"/>
        </w:rPr>
      </w:pPr>
      <w:hyperlink w:anchor="_Toc153259074" w:history="1">
        <w:r w:rsidRPr="00363F84">
          <w:rPr>
            <w:rStyle w:val="Hyperlink"/>
            <w:noProof/>
          </w:rPr>
          <w:t>Survey content</w:t>
        </w:r>
        <w:r>
          <w:rPr>
            <w:noProof/>
            <w:webHidden/>
          </w:rPr>
          <w:tab/>
        </w:r>
        <w:r>
          <w:rPr>
            <w:noProof/>
            <w:webHidden/>
          </w:rPr>
          <w:fldChar w:fldCharType="begin"/>
        </w:r>
        <w:r>
          <w:rPr>
            <w:noProof/>
            <w:webHidden/>
          </w:rPr>
          <w:instrText xml:space="preserve"> PAGEREF _Toc153259074 \h </w:instrText>
        </w:r>
        <w:r>
          <w:rPr>
            <w:noProof/>
            <w:webHidden/>
          </w:rPr>
        </w:r>
        <w:r>
          <w:rPr>
            <w:noProof/>
            <w:webHidden/>
          </w:rPr>
          <w:fldChar w:fldCharType="separate"/>
        </w:r>
        <w:r w:rsidR="008D278D">
          <w:rPr>
            <w:noProof/>
            <w:webHidden/>
          </w:rPr>
          <w:t>3</w:t>
        </w:r>
        <w:r>
          <w:rPr>
            <w:noProof/>
            <w:webHidden/>
          </w:rPr>
          <w:fldChar w:fldCharType="end"/>
        </w:r>
      </w:hyperlink>
    </w:p>
    <w:p w14:paraId="3107D8B1" w14:textId="7998D958" w:rsidR="00412012" w:rsidRDefault="00412012">
      <w:pPr>
        <w:pStyle w:val="TOC2"/>
        <w:rPr>
          <w:rFonts w:asciiTheme="minorHAnsi" w:eastAsiaTheme="minorEastAsia" w:hAnsiTheme="minorHAnsi" w:cstheme="minorBidi"/>
          <w:noProof/>
          <w:szCs w:val="22"/>
          <w:lang w:val="en-AU" w:eastAsia="en-AU"/>
        </w:rPr>
      </w:pPr>
      <w:hyperlink w:anchor="_Toc153259075" w:history="1">
        <w:r w:rsidRPr="00363F84">
          <w:rPr>
            <w:rStyle w:val="Hyperlink"/>
            <w:noProof/>
          </w:rPr>
          <w:t>Core content</w:t>
        </w:r>
        <w:r>
          <w:rPr>
            <w:noProof/>
            <w:webHidden/>
          </w:rPr>
          <w:tab/>
        </w:r>
        <w:r>
          <w:rPr>
            <w:noProof/>
            <w:webHidden/>
          </w:rPr>
          <w:fldChar w:fldCharType="begin"/>
        </w:r>
        <w:r>
          <w:rPr>
            <w:noProof/>
            <w:webHidden/>
          </w:rPr>
          <w:instrText xml:space="preserve"> PAGEREF _Toc153259075 \h </w:instrText>
        </w:r>
        <w:r>
          <w:rPr>
            <w:noProof/>
            <w:webHidden/>
          </w:rPr>
        </w:r>
        <w:r>
          <w:rPr>
            <w:noProof/>
            <w:webHidden/>
          </w:rPr>
          <w:fldChar w:fldCharType="separate"/>
        </w:r>
        <w:r w:rsidR="008D278D">
          <w:rPr>
            <w:noProof/>
            <w:webHidden/>
          </w:rPr>
          <w:t>3</w:t>
        </w:r>
        <w:r>
          <w:rPr>
            <w:noProof/>
            <w:webHidden/>
          </w:rPr>
          <w:fldChar w:fldCharType="end"/>
        </w:r>
      </w:hyperlink>
    </w:p>
    <w:p w14:paraId="1510DC57" w14:textId="0DE2E6D6" w:rsidR="00412012" w:rsidRDefault="00412012">
      <w:pPr>
        <w:pStyle w:val="TOC1"/>
        <w:rPr>
          <w:rFonts w:asciiTheme="minorHAnsi" w:eastAsiaTheme="minorEastAsia" w:hAnsiTheme="minorHAnsi" w:cstheme="minorBidi"/>
          <w:noProof/>
          <w:sz w:val="22"/>
          <w:szCs w:val="22"/>
          <w:lang w:val="en-AU" w:eastAsia="en-AU"/>
        </w:rPr>
      </w:pPr>
      <w:hyperlink w:anchor="_Toc153259076" w:history="1">
        <w:r w:rsidRPr="00363F84">
          <w:rPr>
            <w:rStyle w:val="Hyperlink"/>
            <w:noProof/>
          </w:rPr>
          <w:t>Survey population and sample design</w:t>
        </w:r>
        <w:r>
          <w:rPr>
            <w:noProof/>
            <w:webHidden/>
          </w:rPr>
          <w:tab/>
        </w:r>
        <w:r>
          <w:rPr>
            <w:noProof/>
            <w:webHidden/>
          </w:rPr>
          <w:fldChar w:fldCharType="begin"/>
        </w:r>
        <w:r>
          <w:rPr>
            <w:noProof/>
            <w:webHidden/>
          </w:rPr>
          <w:instrText xml:space="preserve"> PAGEREF _Toc153259076 \h </w:instrText>
        </w:r>
        <w:r>
          <w:rPr>
            <w:noProof/>
            <w:webHidden/>
          </w:rPr>
        </w:r>
        <w:r>
          <w:rPr>
            <w:noProof/>
            <w:webHidden/>
          </w:rPr>
          <w:fldChar w:fldCharType="separate"/>
        </w:r>
        <w:r w:rsidR="008D278D">
          <w:rPr>
            <w:noProof/>
            <w:webHidden/>
          </w:rPr>
          <w:t>5</w:t>
        </w:r>
        <w:r>
          <w:rPr>
            <w:noProof/>
            <w:webHidden/>
          </w:rPr>
          <w:fldChar w:fldCharType="end"/>
        </w:r>
      </w:hyperlink>
    </w:p>
    <w:p w14:paraId="42E1A782" w14:textId="26854642" w:rsidR="00412012" w:rsidRDefault="00412012">
      <w:pPr>
        <w:pStyle w:val="TOC2"/>
        <w:rPr>
          <w:rFonts w:asciiTheme="minorHAnsi" w:eastAsiaTheme="minorEastAsia" w:hAnsiTheme="minorHAnsi" w:cstheme="minorBidi"/>
          <w:noProof/>
          <w:szCs w:val="22"/>
          <w:lang w:val="en-AU" w:eastAsia="en-AU"/>
        </w:rPr>
      </w:pPr>
      <w:hyperlink w:anchor="_Toc153259077" w:history="1">
        <w:r w:rsidRPr="00363F84">
          <w:rPr>
            <w:rStyle w:val="Hyperlink"/>
            <w:noProof/>
          </w:rPr>
          <w:t>Target and survey population</w:t>
        </w:r>
        <w:r>
          <w:rPr>
            <w:noProof/>
            <w:webHidden/>
          </w:rPr>
          <w:tab/>
        </w:r>
        <w:r>
          <w:rPr>
            <w:noProof/>
            <w:webHidden/>
          </w:rPr>
          <w:fldChar w:fldCharType="begin"/>
        </w:r>
        <w:r>
          <w:rPr>
            <w:noProof/>
            <w:webHidden/>
          </w:rPr>
          <w:instrText xml:space="preserve"> PAGEREF _Toc153259077 \h </w:instrText>
        </w:r>
        <w:r>
          <w:rPr>
            <w:noProof/>
            <w:webHidden/>
          </w:rPr>
        </w:r>
        <w:r>
          <w:rPr>
            <w:noProof/>
            <w:webHidden/>
          </w:rPr>
          <w:fldChar w:fldCharType="separate"/>
        </w:r>
        <w:r w:rsidR="008D278D">
          <w:rPr>
            <w:noProof/>
            <w:webHidden/>
          </w:rPr>
          <w:t>5</w:t>
        </w:r>
        <w:r>
          <w:rPr>
            <w:noProof/>
            <w:webHidden/>
          </w:rPr>
          <w:fldChar w:fldCharType="end"/>
        </w:r>
      </w:hyperlink>
    </w:p>
    <w:p w14:paraId="65E3FF04" w14:textId="2A87BF62" w:rsidR="00412012" w:rsidRDefault="00412012">
      <w:pPr>
        <w:pStyle w:val="TOC2"/>
        <w:rPr>
          <w:rFonts w:asciiTheme="minorHAnsi" w:eastAsiaTheme="minorEastAsia" w:hAnsiTheme="minorHAnsi" w:cstheme="minorBidi"/>
          <w:noProof/>
          <w:szCs w:val="22"/>
          <w:lang w:val="en-AU" w:eastAsia="en-AU"/>
        </w:rPr>
      </w:pPr>
      <w:hyperlink w:anchor="_Toc153259078" w:history="1">
        <w:r w:rsidRPr="00363F84">
          <w:rPr>
            <w:rStyle w:val="Hyperlink"/>
            <w:noProof/>
          </w:rPr>
          <w:t>Sample design</w:t>
        </w:r>
        <w:r>
          <w:rPr>
            <w:noProof/>
            <w:webHidden/>
          </w:rPr>
          <w:tab/>
        </w:r>
        <w:r>
          <w:rPr>
            <w:noProof/>
            <w:webHidden/>
          </w:rPr>
          <w:fldChar w:fldCharType="begin"/>
        </w:r>
        <w:r>
          <w:rPr>
            <w:noProof/>
            <w:webHidden/>
          </w:rPr>
          <w:instrText xml:space="preserve"> PAGEREF _Toc153259078 \h </w:instrText>
        </w:r>
        <w:r>
          <w:rPr>
            <w:noProof/>
            <w:webHidden/>
          </w:rPr>
        </w:r>
        <w:r>
          <w:rPr>
            <w:noProof/>
            <w:webHidden/>
          </w:rPr>
          <w:fldChar w:fldCharType="separate"/>
        </w:r>
        <w:r w:rsidR="008D278D">
          <w:rPr>
            <w:noProof/>
            <w:webHidden/>
          </w:rPr>
          <w:t>6</w:t>
        </w:r>
        <w:r>
          <w:rPr>
            <w:noProof/>
            <w:webHidden/>
          </w:rPr>
          <w:fldChar w:fldCharType="end"/>
        </w:r>
      </w:hyperlink>
    </w:p>
    <w:p w14:paraId="76BB1FA8" w14:textId="250A1F62" w:rsidR="00412012" w:rsidRDefault="00412012">
      <w:pPr>
        <w:pStyle w:val="TOC1"/>
        <w:rPr>
          <w:rFonts w:asciiTheme="minorHAnsi" w:eastAsiaTheme="minorEastAsia" w:hAnsiTheme="minorHAnsi" w:cstheme="minorBidi"/>
          <w:noProof/>
          <w:sz w:val="22"/>
          <w:szCs w:val="22"/>
          <w:lang w:val="en-AU" w:eastAsia="en-AU"/>
        </w:rPr>
      </w:pPr>
      <w:hyperlink w:anchor="_Toc153259079" w:history="1">
        <w:r w:rsidRPr="00363F84">
          <w:rPr>
            <w:rStyle w:val="Hyperlink"/>
            <w:noProof/>
          </w:rPr>
          <w:t>Data collection</w:t>
        </w:r>
        <w:r>
          <w:rPr>
            <w:noProof/>
            <w:webHidden/>
          </w:rPr>
          <w:tab/>
        </w:r>
        <w:r>
          <w:rPr>
            <w:noProof/>
            <w:webHidden/>
          </w:rPr>
          <w:fldChar w:fldCharType="begin"/>
        </w:r>
        <w:r>
          <w:rPr>
            <w:noProof/>
            <w:webHidden/>
          </w:rPr>
          <w:instrText xml:space="preserve"> PAGEREF _Toc153259079 \h </w:instrText>
        </w:r>
        <w:r>
          <w:rPr>
            <w:noProof/>
            <w:webHidden/>
          </w:rPr>
        </w:r>
        <w:r>
          <w:rPr>
            <w:noProof/>
            <w:webHidden/>
          </w:rPr>
          <w:fldChar w:fldCharType="separate"/>
        </w:r>
        <w:r w:rsidR="008D278D">
          <w:rPr>
            <w:noProof/>
            <w:webHidden/>
          </w:rPr>
          <w:t>9</w:t>
        </w:r>
        <w:r>
          <w:rPr>
            <w:noProof/>
            <w:webHidden/>
          </w:rPr>
          <w:fldChar w:fldCharType="end"/>
        </w:r>
      </w:hyperlink>
    </w:p>
    <w:p w14:paraId="03BA5CC2" w14:textId="38022B77" w:rsidR="00412012" w:rsidRDefault="00412012">
      <w:pPr>
        <w:pStyle w:val="TOC2"/>
        <w:rPr>
          <w:rFonts w:asciiTheme="minorHAnsi" w:eastAsiaTheme="minorEastAsia" w:hAnsiTheme="minorHAnsi" w:cstheme="minorBidi"/>
          <w:noProof/>
          <w:szCs w:val="22"/>
          <w:lang w:val="en-AU" w:eastAsia="en-AU"/>
        </w:rPr>
      </w:pPr>
      <w:hyperlink w:anchor="_Toc153259080" w:history="1">
        <w:r w:rsidRPr="00363F84">
          <w:rPr>
            <w:rStyle w:val="Hyperlink"/>
            <w:noProof/>
          </w:rPr>
          <w:t>Interviews</w:t>
        </w:r>
        <w:r>
          <w:rPr>
            <w:noProof/>
            <w:webHidden/>
          </w:rPr>
          <w:tab/>
        </w:r>
        <w:r>
          <w:rPr>
            <w:noProof/>
            <w:webHidden/>
          </w:rPr>
          <w:fldChar w:fldCharType="begin"/>
        </w:r>
        <w:r>
          <w:rPr>
            <w:noProof/>
            <w:webHidden/>
          </w:rPr>
          <w:instrText xml:space="preserve"> PAGEREF _Toc153259080 \h </w:instrText>
        </w:r>
        <w:r>
          <w:rPr>
            <w:noProof/>
            <w:webHidden/>
          </w:rPr>
        </w:r>
        <w:r>
          <w:rPr>
            <w:noProof/>
            <w:webHidden/>
          </w:rPr>
          <w:fldChar w:fldCharType="separate"/>
        </w:r>
        <w:r w:rsidR="008D278D">
          <w:rPr>
            <w:noProof/>
            <w:webHidden/>
          </w:rPr>
          <w:t>9</w:t>
        </w:r>
        <w:r>
          <w:rPr>
            <w:noProof/>
            <w:webHidden/>
          </w:rPr>
          <w:fldChar w:fldCharType="end"/>
        </w:r>
      </w:hyperlink>
    </w:p>
    <w:p w14:paraId="1F85212C" w14:textId="2CFACAB1" w:rsidR="00412012" w:rsidRDefault="00412012">
      <w:pPr>
        <w:pStyle w:val="TOC2"/>
        <w:rPr>
          <w:rFonts w:asciiTheme="minorHAnsi" w:eastAsiaTheme="minorEastAsia" w:hAnsiTheme="minorHAnsi" w:cstheme="minorBidi"/>
          <w:noProof/>
          <w:szCs w:val="22"/>
          <w:lang w:val="en-AU" w:eastAsia="en-AU"/>
        </w:rPr>
      </w:pPr>
      <w:hyperlink w:anchor="_Toc153259081" w:history="1">
        <w:r w:rsidRPr="00363F84">
          <w:rPr>
            <w:rStyle w:val="Hyperlink"/>
            <w:rFonts w:eastAsia="Segoe UI" w:cs="Segoe UI"/>
            <w:noProof/>
          </w:rPr>
          <w:t>Objective measurements</w:t>
        </w:r>
        <w:r>
          <w:rPr>
            <w:noProof/>
            <w:webHidden/>
          </w:rPr>
          <w:tab/>
        </w:r>
        <w:r>
          <w:rPr>
            <w:noProof/>
            <w:webHidden/>
          </w:rPr>
          <w:fldChar w:fldCharType="begin"/>
        </w:r>
        <w:r>
          <w:rPr>
            <w:noProof/>
            <w:webHidden/>
          </w:rPr>
          <w:instrText xml:space="preserve"> PAGEREF _Toc153259081 \h </w:instrText>
        </w:r>
        <w:r>
          <w:rPr>
            <w:noProof/>
            <w:webHidden/>
          </w:rPr>
        </w:r>
        <w:r>
          <w:rPr>
            <w:noProof/>
            <w:webHidden/>
          </w:rPr>
          <w:fldChar w:fldCharType="separate"/>
        </w:r>
        <w:r w:rsidR="008D278D">
          <w:rPr>
            <w:noProof/>
            <w:webHidden/>
          </w:rPr>
          <w:t>10</w:t>
        </w:r>
        <w:r>
          <w:rPr>
            <w:noProof/>
            <w:webHidden/>
          </w:rPr>
          <w:fldChar w:fldCharType="end"/>
        </w:r>
      </w:hyperlink>
    </w:p>
    <w:p w14:paraId="51564C48" w14:textId="7F3A6A48" w:rsidR="00412012" w:rsidRDefault="00412012">
      <w:pPr>
        <w:pStyle w:val="TOC2"/>
        <w:rPr>
          <w:rFonts w:asciiTheme="minorHAnsi" w:eastAsiaTheme="minorEastAsia" w:hAnsiTheme="minorHAnsi" w:cstheme="minorBidi"/>
          <w:noProof/>
          <w:szCs w:val="22"/>
          <w:lang w:val="en-AU" w:eastAsia="en-AU"/>
        </w:rPr>
      </w:pPr>
      <w:hyperlink w:anchor="_Toc153259082" w:history="1">
        <w:r w:rsidRPr="00363F84">
          <w:rPr>
            <w:rStyle w:val="Hyperlink"/>
            <w:noProof/>
            <w:lang w:eastAsia="en-NZ"/>
          </w:rPr>
          <w:t>Field work</w:t>
        </w:r>
        <w:r>
          <w:rPr>
            <w:noProof/>
            <w:webHidden/>
          </w:rPr>
          <w:tab/>
        </w:r>
        <w:r>
          <w:rPr>
            <w:noProof/>
            <w:webHidden/>
          </w:rPr>
          <w:fldChar w:fldCharType="begin"/>
        </w:r>
        <w:r>
          <w:rPr>
            <w:noProof/>
            <w:webHidden/>
          </w:rPr>
          <w:instrText xml:space="preserve"> PAGEREF _Toc153259082 \h </w:instrText>
        </w:r>
        <w:r>
          <w:rPr>
            <w:noProof/>
            <w:webHidden/>
          </w:rPr>
        </w:r>
        <w:r>
          <w:rPr>
            <w:noProof/>
            <w:webHidden/>
          </w:rPr>
          <w:fldChar w:fldCharType="separate"/>
        </w:r>
        <w:r w:rsidR="008D278D">
          <w:rPr>
            <w:noProof/>
            <w:webHidden/>
          </w:rPr>
          <w:t>12</w:t>
        </w:r>
        <w:r>
          <w:rPr>
            <w:noProof/>
            <w:webHidden/>
          </w:rPr>
          <w:fldChar w:fldCharType="end"/>
        </w:r>
      </w:hyperlink>
    </w:p>
    <w:p w14:paraId="76B941F1" w14:textId="13A6D085" w:rsidR="00412012" w:rsidRDefault="00412012">
      <w:pPr>
        <w:pStyle w:val="TOC1"/>
        <w:rPr>
          <w:rFonts w:asciiTheme="minorHAnsi" w:eastAsiaTheme="minorEastAsia" w:hAnsiTheme="minorHAnsi" w:cstheme="minorBidi"/>
          <w:noProof/>
          <w:sz w:val="22"/>
          <w:szCs w:val="22"/>
          <w:lang w:val="en-AU" w:eastAsia="en-AU"/>
        </w:rPr>
      </w:pPr>
      <w:hyperlink w:anchor="_Toc153259083" w:history="1">
        <w:r w:rsidRPr="00363F84">
          <w:rPr>
            <w:rStyle w:val="Hyperlink"/>
            <w:noProof/>
          </w:rPr>
          <w:t>Response and coverage rates</w:t>
        </w:r>
        <w:r>
          <w:rPr>
            <w:noProof/>
            <w:webHidden/>
          </w:rPr>
          <w:tab/>
        </w:r>
        <w:r>
          <w:rPr>
            <w:noProof/>
            <w:webHidden/>
          </w:rPr>
          <w:fldChar w:fldCharType="begin"/>
        </w:r>
        <w:r>
          <w:rPr>
            <w:noProof/>
            <w:webHidden/>
          </w:rPr>
          <w:instrText xml:space="preserve"> PAGEREF _Toc153259083 \h </w:instrText>
        </w:r>
        <w:r>
          <w:rPr>
            <w:noProof/>
            <w:webHidden/>
          </w:rPr>
        </w:r>
        <w:r>
          <w:rPr>
            <w:noProof/>
            <w:webHidden/>
          </w:rPr>
          <w:fldChar w:fldCharType="separate"/>
        </w:r>
        <w:r w:rsidR="008D278D">
          <w:rPr>
            <w:noProof/>
            <w:webHidden/>
          </w:rPr>
          <w:t>16</w:t>
        </w:r>
        <w:r>
          <w:rPr>
            <w:noProof/>
            <w:webHidden/>
          </w:rPr>
          <w:fldChar w:fldCharType="end"/>
        </w:r>
      </w:hyperlink>
    </w:p>
    <w:p w14:paraId="3C23A7F2" w14:textId="14C27B6B" w:rsidR="00412012" w:rsidRDefault="00412012">
      <w:pPr>
        <w:pStyle w:val="TOC2"/>
        <w:rPr>
          <w:rFonts w:asciiTheme="minorHAnsi" w:eastAsiaTheme="minorEastAsia" w:hAnsiTheme="minorHAnsi" w:cstheme="minorBidi"/>
          <w:noProof/>
          <w:szCs w:val="22"/>
          <w:lang w:val="en-AU" w:eastAsia="en-AU"/>
        </w:rPr>
      </w:pPr>
      <w:hyperlink w:anchor="_Toc153259084" w:history="1">
        <w:r w:rsidRPr="00363F84">
          <w:rPr>
            <w:rStyle w:val="Hyperlink"/>
            <w:noProof/>
          </w:rPr>
          <w:t>Calculating the response rate</w:t>
        </w:r>
        <w:r>
          <w:rPr>
            <w:noProof/>
            <w:webHidden/>
          </w:rPr>
          <w:tab/>
        </w:r>
        <w:r>
          <w:rPr>
            <w:noProof/>
            <w:webHidden/>
          </w:rPr>
          <w:fldChar w:fldCharType="begin"/>
        </w:r>
        <w:r>
          <w:rPr>
            <w:noProof/>
            <w:webHidden/>
          </w:rPr>
          <w:instrText xml:space="preserve"> PAGEREF _Toc153259084 \h </w:instrText>
        </w:r>
        <w:r>
          <w:rPr>
            <w:noProof/>
            <w:webHidden/>
          </w:rPr>
        </w:r>
        <w:r>
          <w:rPr>
            <w:noProof/>
            <w:webHidden/>
          </w:rPr>
          <w:fldChar w:fldCharType="separate"/>
        </w:r>
        <w:r w:rsidR="008D278D">
          <w:rPr>
            <w:noProof/>
            <w:webHidden/>
          </w:rPr>
          <w:t>17</w:t>
        </w:r>
        <w:r>
          <w:rPr>
            <w:noProof/>
            <w:webHidden/>
          </w:rPr>
          <w:fldChar w:fldCharType="end"/>
        </w:r>
      </w:hyperlink>
    </w:p>
    <w:p w14:paraId="3EEED03F" w14:textId="61FC2F96" w:rsidR="00412012" w:rsidRDefault="00412012">
      <w:pPr>
        <w:pStyle w:val="TOC2"/>
        <w:rPr>
          <w:rFonts w:asciiTheme="minorHAnsi" w:eastAsiaTheme="minorEastAsia" w:hAnsiTheme="minorHAnsi" w:cstheme="minorBidi"/>
          <w:noProof/>
          <w:szCs w:val="22"/>
          <w:lang w:val="en-AU" w:eastAsia="en-AU"/>
        </w:rPr>
      </w:pPr>
      <w:hyperlink w:anchor="_Toc153259085" w:history="1">
        <w:r w:rsidRPr="00363F84">
          <w:rPr>
            <w:rStyle w:val="Hyperlink"/>
            <w:noProof/>
            <w:lang w:eastAsia="en-US"/>
          </w:rPr>
          <w:t>Coverage rate</w:t>
        </w:r>
        <w:r>
          <w:rPr>
            <w:noProof/>
            <w:webHidden/>
          </w:rPr>
          <w:tab/>
        </w:r>
        <w:r>
          <w:rPr>
            <w:noProof/>
            <w:webHidden/>
          </w:rPr>
          <w:fldChar w:fldCharType="begin"/>
        </w:r>
        <w:r>
          <w:rPr>
            <w:noProof/>
            <w:webHidden/>
          </w:rPr>
          <w:instrText xml:space="preserve"> PAGEREF _Toc153259085 \h </w:instrText>
        </w:r>
        <w:r>
          <w:rPr>
            <w:noProof/>
            <w:webHidden/>
          </w:rPr>
        </w:r>
        <w:r>
          <w:rPr>
            <w:noProof/>
            <w:webHidden/>
          </w:rPr>
          <w:fldChar w:fldCharType="separate"/>
        </w:r>
        <w:r w:rsidR="008D278D">
          <w:rPr>
            <w:noProof/>
            <w:webHidden/>
          </w:rPr>
          <w:t>18</w:t>
        </w:r>
        <w:r>
          <w:rPr>
            <w:noProof/>
            <w:webHidden/>
          </w:rPr>
          <w:fldChar w:fldCharType="end"/>
        </w:r>
      </w:hyperlink>
    </w:p>
    <w:p w14:paraId="6AB7D8DA" w14:textId="6635F156" w:rsidR="00412012" w:rsidRDefault="00412012">
      <w:pPr>
        <w:pStyle w:val="TOC1"/>
        <w:rPr>
          <w:rFonts w:asciiTheme="minorHAnsi" w:eastAsiaTheme="minorEastAsia" w:hAnsiTheme="minorHAnsi" w:cstheme="minorBidi"/>
          <w:noProof/>
          <w:sz w:val="22"/>
          <w:szCs w:val="22"/>
          <w:lang w:val="en-AU" w:eastAsia="en-AU"/>
        </w:rPr>
      </w:pPr>
      <w:hyperlink w:anchor="_Toc153259086" w:history="1">
        <w:r w:rsidRPr="00363F84">
          <w:rPr>
            <w:rStyle w:val="Hyperlink"/>
            <w:noProof/>
          </w:rPr>
          <w:t>Data processing</w:t>
        </w:r>
        <w:r>
          <w:rPr>
            <w:noProof/>
            <w:webHidden/>
          </w:rPr>
          <w:tab/>
        </w:r>
        <w:r>
          <w:rPr>
            <w:noProof/>
            <w:webHidden/>
          </w:rPr>
          <w:fldChar w:fldCharType="begin"/>
        </w:r>
        <w:r>
          <w:rPr>
            <w:noProof/>
            <w:webHidden/>
          </w:rPr>
          <w:instrText xml:space="preserve"> PAGEREF _Toc153259086 \h </w:instrText>
        </w:r>
        <w:r>
          <w:rPr>
            <w:noProof/>
            <w:webHidden/>
          </w:rPr>
        </w:r>
        <w:r>
          <w:rPr>
            <w:noProof/>
            <w:webHidden/>
          </w:rPr>
          <w:fldChar w:fldCharType="separate"/>
        </w:r>
        <w:r w:rsidR="008D278D">
          <w:rPr>
            <w:noProof/>
            <w:webHidden/>
          </w:rPr>
          <w:t>19</w:t>
        </w:r>
        <w:r>
          <w:rPr>
            <w:noProof/>
            <w:webHidden/>
          </w:rPr>
          <w:fldChar w:fldCharType="end"/>
        </w:r>
      </w:hyperlink>
    </w:p>
    <w:p w14:paraId="2A07067A" w14:textId="2D229B3A" w:rsidR="00412012" w:rsidRDefault="00412012">
      <w:pPr>
        <w:pStyle w:val="TOC2"/>
        <w:rPr>
          <w:rFonts w:asciiTheme="minorHAnsi" w:eastAsiaTheme="minorEastAsia" w:hAnsiTheme="minorHAnsi" w:cstheme="minorBidi"/>
          <w:noProof/>
          <w:szCs w:val="22"/>
          <w:lang w:val="en-AU" w:eastAsia="en-AU"/>
        </w:rPr>
      </w:pPr>
      <w:hyperlink w:anchor="_Toc153259087" w:history="1">
        <w:r w:rsidRPr="00363F84">
          <w:rPr>
            <w:rStyle w:val="Hyperlink"/>
            <w:noProof/>
          </w:rPr>
          <w:t>Capturing and coding</w:t>
        </w:r>
        <w:r>
          <w:rPr>
            <w:noProof/>
            <w:webHidden/>
          </w:rPr>
          <w:tab/>
        </w:r>
        <w:r>
          <w:rPr>
            <w:noProof/>
            <w:webHidden/>
          </w:rPr>
          <w:fldChar w:fldCharType="begin"/>
        </w:r>
        <w:r>
          <w:rPr>
            <w:noProof/>
            <w:webHidden/>
          </w:rPr>
          <w:instrText xml:space="preserve"> PAGEREF _Toc153259087 \h </w:instrText>
        </w:r>
        <w:r>
          <w:rPr>
            <w:noProof/>
            <w:webHidden/>
          </w:rPr>
        </w:r>
        <w:r>
          <w:rPr>
            <w:noProof/>
            <w:webHidden/>
          </w:rPr>
          <w:fldChar w:fldCharType="separate"/>
        </w:r>
        <w:r w:rsidR="008D278D">
          <w:rPr>
            <w:noProof/>
            <w:webHidden/>
          </w:rPr>
          <w:t>19</w:t>
        </w:r>
        <w:r>
          <w:rPr>
            <w:noProof/>
            <w:webHidden/>
          </w:rPr>
          <w:fldChar w:fldCharType="end"/>
        </w:r>
      </w:hyperlink>
    </w:p>
    <w:p w14:paraId="6A9043A5" w14:textId="42CC7757" w:rsidR="00412012" w:rsidRDefault="00412012">
      <w:pPr>
        <w:pStyle w:val="TOC2"/>
        <w:rPr>
          <w:rFonts w:asciiTheme="minorHAnsi" w:eastAsiaTheme="minorEastAsia" w:hAnsiTheme="minorHAnsi" w:cstheme="minorBidi"/>
          <w:noProof/>
          <w:szCs w:val="22"/>
          <w:lang w:val="en-AU" w:eastAsia="en-AU"/>
        </w:rPr>
      </w:pPr>
      <w:hyperlink w:anchor="_Toc153259088" w:history="1">
        <w:r w:rsidRPr="00363F84">
          <w:rPr>
            <w:rStyle w:val="Hyperlink"/>
            <w:noProof/>
          </w:rPr>
          <w:t>Securing information</w:t>
        </w:r>
        <w:r>
          <w:rPr>
            <w:noProof/>
            <w:webHidden/>
          </w:rPr>
          <w:tab/>
        </w:r>
        <w:r>
          <w:rPr>
            <w:noProof/>
            <w:webHidden/>
          </w:rPr>
          <w:fldChar w:fldCharType="begin"/>
        </w:r>
        <w:r>
          <w:rPr>
            <w:noProof/>
            <w:webHidden/>
          </w:rPr>
          <w:instrText xml:space="preserve"> PAGEREF _Toc153259088 \h </w:instrText>
        </w:r>
        <w:r>
          <w:rPr>
            <w:noProof/>
            <w:webHidden/>
          </w:rPr>
        </w:r>
        <w:r>
          <w:rPr>
            <w:noProof/>
            <w:webHidden/>
          </w:rPr>
          <w:fldChar w:fldCharType="separate"/>
        </w:r>
        <w:r w:rsidR="008D278D">
          <w:rPr>
            <w:noProof/>
            <w:webHidden/>
          </w:rPr>
          <w:t>19</w:t>
        </w:r>
        <w:r>
          <w:rPr>
            <w:noProof/>
            <w:webHidden/>
          </w:rPr>
          <w:fldChar w:fldCharType="end"/>
        </w:r>
      </w:hyperlink>
    </w:p>
    <w:p w14:paraId="3B7FFC2A" w14:textId="78236989" w:rsidR="00412012" w:rsidRDefault="00412012">
      <w:pPr>
        <w:pStyle w:val="TOC2"/>
        <w:rPr>
          <w:rFonts w:asciiTheme="minorHAnsi" w:eastAsiaTheme="minorEastAsia" w:hAnsiTheme="minorHAnsi" w:cstheme="minorBidi"/>
          <w:noProof/>
          <w:szCs w:val="22"/>
          <w:lang w:val="en-AU" w:eastAsia="en-AU"/>
        </w:rPr>
      </w:pPr>
      <w:hyperlink w:anchor="_Toc153259089" w:history="1">
        <w:r w:rsidRPr="00363F84">
          <w:rPr>
            <w:rStyle w:val="Hyperlink"/>
            <w:noProof/>
          </w:rPr>
          <w:t>Checking and editing</w:t>
        </w:r>
        <w:r>
          <w:rPr>
            <w:noProof/>
            <w:webHidden/>
          </w:rPr>
          <w:tab/>
        </w:r>
        <w:r>
          <w:rPr>
            <w:noProof/>
            <w:webHidden/>
          </w:rPr>
          <w:fldChar w:fldCharType="begin"/>
        </w:r>
        <w:r>
          <w:rPr>
            <w:noProof/>
            <w:webHidden/>
          </w:rPr>
          <w:instrText xml:space="preserve"> PAGEREF _Toc153259089 \h </w:instrText>
        </w:r>
        <w:r>
          <w:rPr>
            <w:noProof/>
            <w:webHidden/>
          </w:rPr>
        </w:r>
        <w:r>
          <w:rPr>
            <w:noProof/>
            <w:webHidden/>
          </w:rPr>
          <w:fldChar w:fldCharType="separate"/>
        </w:r>
        <w:r w:rsidR="008D278D">
          <w:rPr>
            <w:noProof/>
            <w:webHidden/>
          </w:rPr>
          <w:t>19</w:t>
        </w:r>
        <w:r>
          <w:rPr>
            <w:noProof/>
            <w:webHidden/>
          </w:rPr>
          <w:fldChar w:fldCharType="end"/>
        </w:r>
      </w:hyperlink>
    </w:p>
    <w:p w14:paraId="37F9AE53" w14:textId="3D8EF74B" w:rsidR="00412012" w:rsidRDefault="00412012">
      <w:pPr>
        <w:pStyle w:val="TOC2"/>
        <w:rPr>
          <w:rFonts w:asciiTheme="minorHAnsi" w:eastAsiaTheme="minorEastAsia" w:hAnsiTheme="minorHAnsi" w:cstheme="minorBidi"/>
          <w:noProof/>
          <w:szCs w:val="22"/>
          <w:lang w:val="en-AU" w:eastAsia="en-AU"/>
        </w:rPr>
      </w:pPr>
      <w:hyperlink w:anchor="_Toc153259090" w:history="1">
        <w:r w:rsidRPr="00363F84">
          <w:rPr>
            <w:rStyle w:val="Hyperlink"/>
            <w:noProof/>
          </w:rPr>
          <w:t>Missing data due to non-response</w:t>
        </w:r>
        <w:r>
          <w:rPr>
            <w:noProof/>
            <w:webHidden/>
          </w:rPr>
          <w:tab/>
        </w:r>
        <w:r>
          <w:rPr>
            <w:noProof/>
            <w:webHidden/>
          </w:rPr>
          <w:fldChar w:fldCharType="begin"/>
        </w:r>
        <w:r>
          <w:rPr>
            <w:noProof/>
            <w:webHidden/>
          </w:rPr>
          <w:instrText xml:space="preserve"> PAGEREF _Toc153259090 \h </w:instrText>
        </w:r>
        <w:r>
          <w:rPr>
            <w:noProof/>
            <w:webHidden/>
          </w:rPr>
        </w:r>
        <w:r>
          <w:rPr>
            <w:noProof/>
            <w:webHidden/>
          </w:rPr>
          <w:fldChar w:fldCharType="separate"/>
        </w:r>
        <w:r w:rsidR="008D278D">
          <w:rPr>
            <w:noProof/>
            <w:webHidden/>
          </w:rPr>
          <w:t>20</w:t>
        </w:r>
        <w:r>
          <w:rPr>
            <w:noProof/>
            <w:webHidden/>
          </w:rPr>
          <w:fldChar w:fldCharType="end"/>
        </w:r>
      </w:hyperlink>
    </w:p>
    <w:p w14:paraId="00A1828B" w14:textId="30E3D27C" w:rsidR="00412012" w:rsidRDefault="00412012">
      <w:pPr>
        <w:pStyle w:val="TOC2"/>
        <w:rPr>
          <w:rFonts w:asciiTheme="minorHAnsi" w:eastAsiaTheme="minorEastAsia" w:hAnsiTheme="minorHAnsi" w:cstheme="minorBidi"/>
          <w:noProof/>
          <w:szCs w:val="22"/>
          <w:lang w:val="en-AU" w:eastAsia="en-AU"/>
        </w:rPr>
      </w:pPr>
      <w:hyperlink w:anchor="_Toc153259091" w:history="1">
        <w:r w:rsidRPr="00363F84">
          <w:rPr>
            <w:rStyle w:val="Hyperlink"/>
            <w:noProof/>
          </w:rPr>
          <w:t>Creating derived variables</w:t>
        </w:r>
        <w:r>
          <w:rPr>
            <w:noProof/>
            <w:webHidden/>
          </w:rPr>
          <w:tab/>
        </w:r>
        <w:r>
          <w:rPr>
            <w:noProof/>
            <w:webHidden/>
          </w:rPr>
          <w:fldChar w:fldCharType="begin"/>
        </w:r>
        <w:r>
          <w:rPr>
            <w:noProof/>
            <w:webHidden/>
          </w:rPr>
          <w:instrText xml:space="preserve"> PAGEREF _Toc153259091 \h </w:instrText>
        </w:r>
        <w:r>
          <w:rPr>
            <w:noProof/>
            <w:webHidden/>
          </w:rPr>
        </w:r>
        <w:r>
          <w:rPr>
            <w:noProof/>
            <w:webHidden/>
          </w:rPr>
          <w:fldChar w:fldCharType="separate"/>
        </w:r>
        <w:r w:rsidR="008D278D">
          <w:rPr>
            <w:noProof/>
            <w:webHidden/>
          </w:rPr>
          <w:t>21</w:t>
        </w:r>
        <w:r>
          <w:rPr>
            <w:noProof/>
            <w:webHidden/>
          </w:rPr>
          <w:fldChar w:fldCharType="end"/>
        </w:r>
      </w:hyperlink>
    </w:p>
    <w:p w14:paraId="4F19C08C" w14:textId="5E7C6050" w:rsidR="00412012" w:rsidRDefault="00412012">
      <w:pPr>
        <w:pStyle w:val="TOC1"/>
        <w:rPr>
          <w:rFonts w:asciiTheme="minorHAnsi" w:eastAsiaTheme="minorEastAsia" w:hAnsiTheme="minorHAnsi" w:cstheme="minorBidi"/>
          <w:noProof/>
          <w:sz w:val="22"/>
          <w:szCs w:val="22"/>
          <w:lang w:val="en-AU" w:eastAsia="en-AU"/>
        </w:rPr>
      </w:pPr>
      <w:hyperlink w:anchor="_Toc153259092" w:history="1">
        <w:r w:rsidRPr="00363F84">
          <w:rPr>
            <w:rStyle w:val="Hyperlink"/>
            <w:noProof/>
          </w:rPr>
          <w:t>Weighting</w:t>
        </w:r>
        <w:r>
          <w:rPr>
            <w:noProof/>
            <w:webHidden/>
          </w:rPr>
          <w:tab/>
        </w:r>
        <w:r>
          <w:rPr>
            <w:noProof/>
            <w:webHidden/>
          </w:rPr>
          <w:fldChar w:fldCharType="begin"/>
        </w:r>
        <w:r>
          <w:rPr>
            <w:noProof/>
            <w:webHidden/>
          </w:rPr>
          <w:instrText xml:space="preserve"> PAGEREF _Toc153259092 \h </w:instrText>
        </w:r>
        <w:r>
          <w:rPr>
            <w:noProof/>
            <w:webHidden/>
          </w:rPr>
        </w:r>
        <w:r>
          <w:rPr>
            <w:noProof/>
            <w:webHidden/>
          </w:rPr>
          <w:fldChar w:fldCharType="separate"/>
        </w:r>
        <w:r w:rsidR="008D278D">
          <w:rPr>
            <w:noProof/>
            <w:webHidden/>
          </w:rPr>
          <w:t>24</w:t>
        </w:r>
        <w:r>
          <w:rPr>
            <w:noProof/>
            <w:webHidden/>
          </w:rPr>
          <w:fldChar w:fldCharType="end"/>
        </w:r>
      </w:hyperlink>
    </w:p>
    <w:p w14:paraId="29FCA197" w14:textId="4957A15C" w:rsidR="00412012" w:rsidRDefault="00412012">
      <w:pPr>
        <w:pStyle w:val="TOC2"/>
        <w:rPr>
          <w:rFonts w:asciiTheme="minorHAnsi" w:eastAsiaTheme="minorEastAsia" w:hAnsiTheme="minorHAnsi" w:cstheme="minorBidi"/>
          <w:noProof/>
          <w:szCs w:val="22"/>
          <w:lang w:val="en-AU" w:eastAsia="en-AU"/>
        </w:rPr>
      </w:pPr>
      <w:hyperlink w:anchor="_Toc153259093" w:history="1">
        <w:r w:rsidRPr="00363F84">
          <w:rPr>
            <w:rStyle w:val="Hyperlink"/>
            <w:noProof/>
            <w:lang w:eastAsia="en-US"/>
          </w:rPr>
          <w:t>Calculating selection weights</w:t>
        </w:r>
        <w:r>
          <w:rPr>
            <w:noProof/>
            <w:webHidden/>
          </w:rPr>
          <w:tab/>
        </w:r>
        <w:r>
          <w:rPr>
            <w:noProof/>
            <w:webHidden/>
          </w:rPr>
          <w:fldChar w:fldCharType="begin"/>
        </w:r>
        <w:r>
          <w:rPr>
            <w:noProof/>
            <w:webHidden/>
          </w:rPr>
          <w:instrText xml:space="preserve"> PAGEREF _Toc153259093 \h </w:instrText>
        </w:r>
        <w:r>
          <w:rPr>
            <w:noProof/>
            <w:webHidden/>
          </w:rPr>
        </w:r>
        <w:r>
          <w:rPr>
            <w:noProof/>
            <w:webHidden/>
          </w:rPr>
          <w:fldChar w:fldCharType="separate"/>
        </w:r>
        <w:r w:rsidR="008D278D">
          <w:rPr>
            <w:noProof/>
            <w:webHidden/>
          </w:rPr>
          <w:t>25</w:t>
        </w:r>
        <w:r>
          <w:rPr>
            <w:noProof/>
            <w:webHidden/>
          </w:rPr>
          <w:fldChar w:fldCharType="end"/>
        </w:r>
      </w:hyperlink>
    </w:p>
    <w:p w14:paraId="5BCFDDEB" w14:textId="50106B75" w:rsidR="00412012" w:rsidRDefault="00412012">
      <w:pPr>
        <w:pStyle w:val="TOC2"/>
        <w:rPr>
          <w:rFonts w:asciiTheme="minorHAnsi" w:eastAsiaTheme="minorEastAsia" w:hAnsiTheme="minorHAnsi" w:cstheme="minorBidi"/>
          <w:noProof/>
          <w:szCs w:val="22"/>
          <w:lang w:val="en-AU" w:eastAsia="en-AU"/>
        </w:rPr>
      </w:pPr>
      <w:hyperlink w:anchor="_Toc153259094" w:history="1">
        <w:r w:rsidRPr="00363F84">
          <w:rPr>
            <w:rStyle w:val="Hyperlink"/>
            <w:rFonts w:eastAsia="Cambria"/>
            <w:noProof/>
            <w:lang w:eastAsia="en-US"/>
          </w:rPr>
          <w:t>Calibration of selection weights</w:t>
        </w:r>
        <w:r>
          <w:rPr>
            <w:noProof/>
            <w:webHidden/>
          </w:rPr>
          <w:tab/>
        </w:r>
        <w:r>
          <w:rPr>
            <w:noProof/>
            <w:webHidden/>
          </w:rPr>
          <w:fldChar w:fldCharType="begin"/>
        </w:r>
        <w:r>
          <w:rPr>
            <w:noProof/>
            <w:webHidden/>
          </w:rPr>
          <w:instrText xml:space="preserve"> PAGEREF _Toc153259094 \h </w:instrText>
        </w:r>
        <w:r>
          <w:rPr>
            <w:noProof/>
            <w:webHidden/>
          </w:rPr>
        </w:r>
        <w:r>
          <w:rPr>
            <w:noProof/>
            <w:webHidden/>
          </w:rPr>
          <w:fldChar w:fldCharType="separate"/>
        </w:r>
        <w:r w:rsidR="008D278D">
          <w:rPr>
            <w:noProof/>
            <w:webHidden/>
          </w:rPr>
          <w:t>26</w:t>
        </w:r>
        <w:r>
          <w:rPr>
            <w:noProof/>
            <w:webHidden/>
          </w:rPr>
          <w:fldChar w:fldCharType="end"/>
        </w:r>
      </w:hyperlink>
    </w:p>
    <w:p w14:paraId="508165D3" w14:textId="49F14EDD" w:rsidR="00412012" w:rsidRDefault="00412012">
      <w:pPr>
        <w:pStyle w:val="TOC2"/>
        <w:rPr>
          <w:rFonts w:asciiTheme="minorHAnsi" w:eastAsiaTheme="minorEastAsia" w:hAnsiTheme="minorHAnsi" w:cstheme="minorBidi"/>
          <w:noProof/>
          <w:szCs w:val="22"/>
          <w:lang w:val="en-AU" w:eastAsia="en-AU"/>
        </w:rPr>
      </w:pPr>
      <w:hyperlink w:anchor="_Toc153259095" w:history="1">
        <w:r w:rsidRPr="00363F84">
          <w:rPr>
            <w:rStyle w:val="Hyperlink"/>
            <w:rFonts w:eastAsia="Cambria"/>
            <w:noProof/>
          </w:rPr>
          <w:t>Jackknife replicate weights</w:t>
        </w:r>
        <w:r>
          <w:rPr>
            <w:noProof/>
            <w:webHidden/>
          </w:rPr>
          <w:tab/>
        </w:r>
        <w:r>
          <w:rPr>
            <w:noProof/>
            <w:webHidden/>
          </w:rPr>
          <w:fldChar w:fldCharType="begin"/>
        </w:r>
        <w:r>
          <w:rPr>
            <w:noProof/>
            <w:webHidden/>
          </w:rPr>
          <w:instrText xml:space="preserve"> PAGEREF _Toc153259095 \h </w:instrText>
        </w:r>
        <w:r>
          <w:rPr>
            <w:noProof/>
            <w:webHidden/>
          </w:rPr>
        </w:r>
        <w:r>
          <w:rPr>
            <w:noProof/>
            <w:webHidden/>
          </w:rPr>
          <w:fldChar w:fldCharType="separate"/>
        </w:r>
        <w:r w:rsidR="008D278D">
          <w:rPr>
            <w:noProof/>
            <w:webHidden/>
          </w:rPr>
          <w:t>29</w:t>
        </w:r>
        <w:r>
          <w:rPr>
            <w:noProof/>
            <w:webHidden/>
          </w:rPr>
          <w:fldChar w:fldCharType="end"/>
        </w:r>
      </w:hyperlink>
    </w:p>
    <w:p w14:paraId="0F2C273F" w14:textId="33F47B0F" w:rsidR="00412012" w:rsidRDefault="00412012">
      <w:pPr>
        <w:pStyle w:val="TOC2"/>
        <w:rPr>
          <w:rFonts w:asciiTheme="minorHAnsi" w:eastAsiaTheme="minorEastAsia" w:hAnsiTheme="minorHAnsi" w:cstheme="minorBidi"/>
          <w:noProof/>
          <w:szCs w:val="22"/>
          <w:lang w:val="en-AU" w:eastAsia="en-AU"/>
        </w:rPr>
      </w:pPr>
      <w:hyperlink w:anchor="_Toc153259096" w:history="1">
        <w:r w:rsidRPr="00363F84">
          <w:rPr>
            <w:rStyle w:val="Hyperlink"/>
            <w:noProof/>
            <w:lang w:eastAsia="en-NZ"/>
          </w:rPr>
          <w:t>Weights for measurement data</w:t>
        </w:r>
        <w:r>
          <w:rPr>
            <w:noProof/>
            <w:webHidden/>
          </w:rPr>
          <w:tab/>
        </w:r>
        <w:r>
          <w:rPr>
            <w:noProof/>
            <w:webHidden/>
          </w:rPr>
          <w:fldChar w:fldCharType="begin"/>
        </w:r>
        <w:r>
          <w:rPr>
            <w:noProof/>
            <w:webHidden/>
          </w:rPr>
          <w:instrText xml:space="preserve"> PAGEREF _Toc153259096 \h </w:instrText>
        </w:r>
        <w:r>
          <w:rPr>
            <w:noProof/>
            <w:webHidden/>
          </w:rPr>
        </w:r>
        <w:r>
          <w:rPr>
            <w:noProof/>
            <w:webHidden/>
          </w:rPr>
          <w:fldChar w:fldCharType="separate"/>
        </w:r>
        <w:r w:rsidR="008D278D">
          <w:rPr>
            <w:noProof/>
            <w:webHidden/>
          </w:rPr>
          <w:t>29</w:t>
        </w:r>
        <w:r>
          <w:rPr>
            <w:noProof/>
            <w:webHidden/>
          </w:rPr>
          <w:fldChar w:fldCharType="end"/>
        </w:r>
      </w:hyperlink>
    </w:p>
    <w:p w14:paraId="2BEA5C54" w14:textId="38CBF60F" w:rsidR="00412012" w:rsidRDefault="00412012">
      <w:pPr>
        <w:pStyle w:val="TOC1"/>
        <w:rPr>
          <w:rFonts w:asciiTheme="minorHAnsi" w:eastAsiaTheme="minorEastAsia" w:hAnsiTheme="minorHAnsi" w:cstheme="minorBidi"/>
          <w:noProof/>
          <w:sz w:val="22"/>
          <w:szCs w:val="22"/>
          <w:lang w:val="en-AU" w:eastAsia="en-AU"/>
        </w:rPr>
      </w:pPr>
      <w:hyperlink w:anchor="_Toc153259097" w:history="1">
        <w:r w:rsidRPr="00363F84">
          <w:rPr>
            <w:rStyle w:val="Hyperlink"/>
            <w:noProof/>
          </w:rPr>
          <w:t>Analysis methods</w:t>
        </w:r>
        <w:r>
          <w:rPr>
            <w:noProof/>
            <w:webHidden/>
          </w:rPr>
          <w:tab/>
        </w:r>
        <w:r>
          <w:rPr>
            <w:noProof/>
            <w:webHidden/>
          </w:rPr>
          <w:fldChar w:fldCharType="begin"/>
        </w:r>
        <w:r>
          <w:rPr>
            <w:noProof/>
            <w:webHidden/>
          </w:rPr>
          <w:instrText xml:space="preserve"> PAGEREF _Toc153259097 \h </w:instrText>
        </w:r>
        <w:r>
          <w:rPr>
            <w:noProof/>
            <w:webHidden/>
          </w:rPr>
        </w:r>
        <w:r>
          <w:rPr>
            <w:noProof/>
            <w:webHidden/>
          </w:rPr>
          <w:fldChar w:fldCharType="separate"/>
        </w:r>
        <w:r w:rsidR="008D278D">
          <w:rPr>
            <w:noProof/>
            <w:webHidden/>
          </w:rPr>
          <w:t>31</w:t>
        </w:r>
        <w:r>
          <w:rPr>
            <w:noProof/>
            <w:webHidden/>
          </w:rPr>
          <w:fldChar w:fldCharType="end"/>
        </w:r>
      </w:hyperlink>
    </w:p>
    <w:p w14:paraId="58E4BE15" w14:textId="64DB1A3E" w:rsidR="00412012" w:rsidRDefault="00412012">
      <w:pPr>
        <w:pStyle w:val="TOC2"/>
        <w:rPr>
          <w:rFonts w:asciiTheme="minorHAnsi" w:eastAsiaTheme="minorEastAsia" w:hAnsiTheme="minorHAnsi" w:cstheme="minorBidi"/>
          <w:noProof/>
          <w:szCs w:val="22"/>
          <w:lang w:val="en-AU" w:eastAsia="en-AU"/>
        </w:rPr>
      </w:pPr>
      <w:hyperlink w:anchor="_Toc153259098" w:history="1">
        <w:r w:rsidRPr="00363F84">
          <w:rPr>
            <w:rStyle w:val="Hyperlink"/>
            <w:noProof/>
          </w:rPr>
          <w:t>Estimating proportions, totals and means</w:t>
        </w:r>
        <w:r>
          <w:rPr>
            <w:noProof/>
            <w:webHidden/>
          </w:rPr>
          <w:tab/>
        </w:r>
        <w:r>
          <w:rPr>
            <w:noProof/>
            <w:webHidden/>
          </w:rPr>
          <w:fldChar w:fldCharType="begin"/>
        </w:r>
        <w:r>
          <w:rPr>
            <w:noProof/>
            <w:webHidden/>
          </w:rPr>
          <w:instrText xml:space="preserve"> PAGEREF _Toc153259098 \h </w:instrText>
        </w:r>
        <w:r>
          <w:rPr>
            <w:noProof/>
            <w:webHidden/>
          </w:rPr>
        </w:r>
        <w:r>
          <w:rPr>
            <w:noProof/>
            <w:webHidden/>
          </w:rPr>
          <w:fldChar w:fldCharType="separate"/>
        </w:r>
        <w:r w:rsidR="008D278D">
          <w:rPr>
            <w:noProof/>
            <w:webHidden/>
          </w:rPr>
          <w:t>31</w:t>
        </w:r>
        <w:r>
          <w:rPr>
            <w:noProof/>
            <w:webHidden/>
          </w:rPr>
          <w:fldChar w:fldCharType="end"/>
        </w:r>
      </w:hyperlink>
    </w:p>
    <w:p w14:paraId="5A5D14FA" w14:textId="152CEEA6" w:rsidR="00412012" w:rsidRDefault="00412012">
      <w:pPr>
        <w:pStyle w:val="TOC2"/>
        <w:rPr>
          <w:rFonts w:asciiTheme="minorHAnsi" w:eastAsiaTheme="minorEastAsia" w:hAnsiTheme="minorHAnsi" w:cstheme="minorBidi"/>
          <w:noProof/>
          <w:szCs w:val="22"/>
          <w:lang w:val="en-AU" w:eastAsia="en-AU"/>
        </w:rPr>
      </w:pPr>
      <w:hyperlink w:anchor="_Toc153259099" w:history="1">
        <w:r w:rsidRPr="00363F84">
          <w:rPr>
            <w:rStyle w:val="Hyperlink"/>
            <w:noProof/>
          </w:rPr>
          <w:t>Comparing population groups</w:t>
        </w:r>
        <w:r>
          <w:rPr>
            <w:noProof/>
            <w:webHidden/>
          </w:rPr>
          <w:tab/>
        </w:r>
        <w:r>
          <w:rPr>
            <w:noProof/>
            <w:webHidden/>
          </w:rPr>
          <w:fldChar w:fldCharType="begin"/>
        </w:r>
        <w:r>
          <w:rPr>
            <w:noProof/>
            <w:webHidden/>
          </w:rPr>
          <w:instrText xml:space="preserve"> PAGEREF _Toc153259099 \h </w:instrText>
        </w:r>
        <w:r>
          <w:rPr>
            <w:noProof/>
            <w:webHidden/>
          </w:rPr>
        </w:r>
        <w:r>
          <w:rPr>
            <w:noProof/>
            <w:webHidden/>
          </w:rPr>
          <w:fldChar w:fldCharType="separate"/>
        </w:r>
        <w:r w:rsidR="008D278D">
          <w:rPr>
            <w:noProof/>
            <w:webHidden/>
          </w:rPr>
          <w:t>33</w:t>
        </w:r>
        <w:r>
          <w:rPr>
            <w:noProof/>
            <w:webHidden/>
          </w:rPr>
          <w:fldChar w:fldCharType="end"/>
        </w:r>
      </w:hyperlink>
    </w:p>
    <w:p w14:paraId="3FFAA37F" w14:textId="69C28DC6" w:rsidR="00412012" w:rsidRDefault="00412012">
      <w:pPr>
        <w:pStyle w:val="TOC2"/>
        <w:rPr>
          <w:rFonts w:asciiTheme="minorHAnsi" w:eastAsiaTheme="minorEastAsia" w:hAnsiTheme="minorHAnsi" w:cstheme="minorBidi"/>
          <w:noProof/>
          <w:szCs w:val="22"/>
          <w:lang w:val="en-AU" w:eastAsia="en-AU"/>
        </w:rPr>
      </w:pPr>
      <w:hyperlink w:anchor="_Toc153259100" w:history="1">
        <w:r w:rsidRPr="00363F84">
          <w:rPr>
            <w:rStyle w:val="Hyperlink"/>
            <w:noProof/>
          </w:rPr>
          <w:t>Confidence intervals and statistical tests</w:t>
        </w:r>
        <w:r>
          <w:rPr>
            <w:noProof/>
            <w:webHidden/>
          </w:rPr>
          <w:tab/>
        </w:r>
        <w:r>
          <w:rPr>
            <w:noProof/>
            <w:webHidden/>
          </w:rPr>
          <w:fldChar w:fldCharType="begin"/>
        </w:r>
        <w:r>
          <w:rPr>
            <w:noProof/>
            <w:webHidden/>
          </w:rPr>
          <w:instrText xml:space="preserve"> PAGEREF _Toc153259100 \h </w:instrText>
        </w:r>
        <w:r>
          <w:rPr>
            <w:noProof/>
            <w:webHidden/>
          </w:rPr>
        </w:r>
        <w:r>
          <w:rPr>
            <w:noProof/>
            <w:webHidden/>
          </w:rPr>
          <w:fldChar w:fldCharType="separate"/>
        </w:r>
        <w:r w:rsidR="008D278D">
          <w:rPr>
            <w:noProof/>
            <w:webHidden/>
          </w:rPr>
          <w:t>36</w:t>
        </w:r>
        <w:r>
          <w:rPr>
            <w:noProof/>
            <w:webHidden/>
          </w:rPr>
          <w:fldChar w:fldCharType="end"/>
        </w:r>
      </w:hyperlink>
    </w:p>
    <w:p w14:paraId="0D5F0F77" w14:textId="2C3F2EAF" w:rsidR="00412012" w:rsidRDefault="00412012">
      <w:pPr>
        <w:pStyle w:val="TOC2"/>
        <w:rPr>
          <w:rFonts w:asciiTheme="minorHAnsi" w:eastAsiaTheme="minorEastAsia" w:hAnsiTheme="minorHAnsi" w:cstheme="minorBidi"/>
          <w:noProof/>
          <w:szCs w:val="22"/>
          <w:lang w:val="en-AU" w:eastAsia="en-AU"/>
        </w:rPr>
      </w:pPr>
      <w:hyperlink w:anchor="_Toc153259101" w:history="1">
        <w:r w:rsidRPr="00363F84">
          <w:rPr>
            <w:rStyle w:val="Hyperlink"/>
            <w:noProof/>
            <w:lang w:eastAsia="en-US"/>
          </w:rPr>
          <w:t>Time trends</w:t>
        </w:r>
        <w:r>
          <w:rPr>
            <w:noProof/>
            <w:webHidden/>
          </w:rPr>
          <w:tab/>
        </w:r>
        <w:r>
          <w:rPr>
            <w:noProof/>
            <w:webHidden/>
          </w:rPr>
          <w:fldChar w:fldCharType="begin"/>
        </w:r>
        <w:r>
          <w:rPr>
            <w:noProof/>
            <w:webHidden/>
          </w:rPr>
          <w:instrText xml:space="preserve"> PAGEREF _Toc153259101 \h </w:instrText>
        </w:r>
        <w:r>
          <w:rPr>
            <w:noProof/>
            <w:webHidden/>
          </w:rPr>
        </w:r>
        <w:r>
          <w:rPr>
            <w:noProof/>
            <w:webHidden/>
          </w:rPr>
          <w:fldChar w:fldCharType="separate"/>
        </w:r>
        <w:r w:rsidR="008D278D">
          <w:rPr>
            <w:noProof/>
            <w:webHidden/>
          </w:rPr>
          <w:t>37</w:t>
        </w:r>
        <w:r>
          <w:rPr>
            <w:noProof/>
            <w:webHidden/>
          </w:rPr>
          <w:fldChar w:fldCharType="end"/>
        </w:r>
      </w:hyperlink>
    </w:p>
    <w:p w14:paraId="12E0F0EB" w14:textId="75C3A671" w:rsidR="00412012" w:rsidRDefault="00412012">
      <w:pPr>
        <w:pStyle w:val="TOC1"/>
        <w:rPr>
          <w:rFonts w:asciiTheme="minorHAnsi" w:eastAsiaTheme="minorEastAsia" w:hAnsiTheme="minorHAnsi" w:cstheme="minorBidi"/>
          <w:noProof/>
          <w:sz w:val="22"/>
          <w:szCs w:val="22"/>
          <w:lang w:val="en-AU" w:eastAsia="en-AU"/>
        </w:rPr>
      </w:pPr>
      <w:hyperlink w:anchor="_Toc153259102" w:history="1">
        <w:r w:rsidRPr="00363F84">
          <w:rPr>
            <w:rStyle w:val="Hyperlink"/>
            <w:noProof/>
          </w:rPr>
          <w:t>New Zealand Health Survey 2022/23</w:t>
        </w:r>
        <w:r>
          <w:rPr>
            <w:noProof/>
            <w:webHidden/>
          </w:rPr>
          <w:tab/>
        </w:r>
        <w:r>
          <w:rPr>
            <w:noProof/>
            <w:webHidden/>
          </w:rPr>
          <w:fldChar w:fldCharType="begin"/>
        </w:r>
        <w:r>
          <w:rPr>
            <w:noProof/>
            <w:webHidden/>
          </w:rPr>
          <w:instrText xml:space="preserve"> PAGEREF _Toc153259102 \h </w:instrText>
        </w:r>
        <w:r>
          <w:rPr>
            <w:noProof/>
            <w:webHidden/>
          </w:rPr>
        </w:r>
        <w:r>
          <w:rPr>
            <w:noProof/>
            <w:webHidden/>
          </w:rPr>
          <w:fldChar w:fldCharType="separate"/>
        </w:r>
        <w:r w:rsidR="008D278D">
          <w:rPr>
            <w:noProof/>
            <w:webHidden/>
          </w:rPr>
          <w:t>38</w:t>
        </w:r>
        <w:r>
          <w:rPr>
            <w:noProof/>
            <w:webHidden/>
          </w:rPr>
          <w:fldChar w:fldCharType="end"/>
        </w:r>
      </w:hyperlink>
    </w:p>
    <w:p w14:paraId="5A87330C" w14:textId="263A53C7" w:rsidR="00412012" w:rsidRDefault="00412012">
      <w:pPr>
        <w:pStyle w:val="TOC2"/>
        <w:rPr>
          <w:rFonts w:asciiTheme="minorHAnsi" w:eastAsiaTheme="minorEastAsia" w:hAnsiTheme="minorHAnsi" w:cstheme="minorBidi"/>
          <w:noProof/>
          <w:szCs w:val="22"/>
          <w:lang w:val="en-AU" w:eastAsia="en-AU"/>
        </w:rPr>
      </w:pPr>
      <w:hyperlink w:anchor="_Toc153259103" w:history="1">
        <w:r w:rsidRPr="00363F84">
          <w:rPr>
            <w:rStyle w:val="Hyperlink"/>
            <w:noProof/>
          </w:rPr>
          <w:t>2022/23 module topics</w:t>
        </w:r>
        <w:r>
          <w:rPr>
            <w:noProof/>
            <w:webHidden/>
          </w:rPr>
          <w:tab/>
        </w:r>
        <w:r>
          <w:rPr>
            <w:noProof/>
            <w:webHidden/>
          </w:rPr>
          <w:fldChar w:fldCharType="begin"/>
        </w:r>
        <w:r>
          <w:rPr>
            <w:noProof/>
            <w:webHidden/>
          </w:rPr>
          <w:instrText xml:space="preserve"> PAGEREF _Toc153259103 \h </w:instrText>
        </w:r>
        <w:r>
          <w:rPr>
            <w:noProof/>
            <w:webHidden/>
          </w:rPr>
        </w:r>
        <w:r>
          <w:rPr>
            <w:noProof/>
            <w:webHidden/>
          </w:rPr>
          <w:fldChar w:fldCharType="separate"/>
        </w:r>
        <w:r w:rsidR="008D278D">
          <w:rPr>
            <w:noProof/>
            <w:webHidden/>
          </w:rPr>
          <w:t>38</w:t>
        </w:r>
        <w:r>
          <w:rPr>
            <w:noProof/>
            <w:webHidden/>
          </w:rPr>
          <w:fldChar w:fldCharType="end"/>
        </w:r>
      </w:hyperlink>
    </w:p>
    <w:p w14:paraId="0FBE3EBC" w14:textId="4EDC14A5" w:rsidR="00412012" w:rsidRDefault="00412012">
      <w:pPr>
        <w:pStyle w:val="TOC2"/>
        <w:rPr>
          <w:rFonts w:asciiTheme="minorHAnsi" w:eastAsiaTheme="minorEastAsia" w:hAnsiTheme="minorHAnsi" w:cstheme="minorBidi"/>
          <w:noProof/>
          <w:szCs w:val="22"/>
          <w:lang w:val="en-AU" w:eastAsia="en-AU"/>
        </w:rPr>
      </w:pPr>
      <w:hyperlink w:anchor="_Toc153259104" w:history="1">
        <w:r w:rsidRPr="00363F84">
          <w:rPr>
            <w:rStyle w:val="Hyperlink"/>
            <w:noProof/>
          </w:rPr>
          <w:t>Data collection</w:t>
        </w:r>
        <w:r>
          <w:rPr>
            <w:noProof/>
            <w:webHidden/>
          </w:rPr>
          <w:tab/>
        </w:r>
        <w:r>
          <w:rPr>
            <w:noProof/>
            <w:webHidden/>
          </w:rPr>
          <w:fldChar w:fldCharType="begin"/>
        </w:r>
        <w:r>
          <w:rPr>
            <w:noProof/>
            <w:webHidden/>
          </w:rPr>
          <w:instrText xml:space="preserve"> PAGEREF _Toc153259104 \h </w:instrText>
        </w:r>
        <w:r>
          <w:rPr>
            <w:noProof/>
            <w:webHidden/>
          </w:rPr>
        </w:r>
        <w:r>
          <w:rPr>
            <w:noProof/>
            <w:webHidden/>
          </w:rPr>
          <w:fldChar w:fldCharType="separate"/>
        </w:r>
        <w:r w:rsidR="008D278D">
          <w:rPr>
            <w:noProof/>
            <w:webHidden/>
          </w:rPr>
          <w:t>38</w:t>
        </w:r>
        <w:r>
          <w:rPr>
            <w:noProof/>
            <w:webHidden/>
          </w:rPr>
          <w:fldChar w:fldCharType="end"/>
        </w:r>
      </w:hyperlink>
    </w:p>
    <w:p w14:paraId="107970F1" w14:textId="5D2D2596" w:rsidR="00412012" w:rsidRDefault="00412012">
      <w:pPr>
        <w:pStyle w:val="TOC2"/>
        <w:rPr>
          <w:rFonts w:asciiTheme="minorHAnsi" w:eastAsiaTheme="minorEastAsia" w:hAnsiTheme="minorHAnsi" w:cstheme="minorBidi"/>
          <w:noProof/>
          <w:szCs w:val="22"/>
          <w:lang w:val="en-AU" w:eastAsia="en-AU"/>
        </w:rPr>
      </w:pPr>
      <w:hyperlink w:anchor="_Toc153259105" w:history="1">
        <w:r w:rsidRPr="00363F84">
          <w:rPr>
            <w:rStyle w:val="Hyperlink"/>
            <w:noProof/>
            <w:lang w:eastAsia="en-US"/>
          </w:rPr>
          <w:t>Impact of data collection disruptions</w:t>
        </w:r>
        <w:r>
          <w:rPr>
            <w:noProof/>
            <w:webHidden/>
          </w:rPr>
          <w:tab/>
        </w:r>
        <w:r>
          <w:rPr>
            <w:noProof/>
            <w:webHidden/>
          </w:rPr>
          <w:fldChar w:fldCharType="begin"/>
        </w:r>
        <w:r>
          <w:rPr>
            <w:noProof/>
            <w:webHidden/>
          </w:rPr>
          <w:instrText xml:space="preserve"> PAGEREF _Toc153259105 \h </w:instrText>
        </w:r>
        <w:r>
          <w:rPr>
            <w:noProof/>
            <w:webHidden/>
          </w:rPr>
        </w:r>
        <w:r>
          <w:rPr>
            <w:noProof/>
            <w:webHidden/>
          </w:rPr>
          <w:fldChar w:fldCharType="separate"/>
        </w:r>
        <w:r w:rsidR="008D278D">
          <w:rPr>
            <w:noProof/>
            <w:webHidden/>
          </w:rPr>
          <w:t>39</w:t>
        </w:r>
        <w:r>
          <w:rPr>
            <w:noProof/>
            <w:webHidden/>
          </w:rPr>
          <w:fldChar w:fldCharType="end"/>
        </w:r>
      </w:hyperlink>
    </w:p>
    <w:p w14:paraId="1DEE7B56" w14:textId="4E55121A" w:rsidR="00412012" w:rsidRDefault="00412012">
      <w:pPr>
        <w:pStyle w:val="TOC2"/>
        <w:rPr>
          <w:rFonts w:asciiTheme="minorHAnsi" w:eastAsiaTheme="minorEastAsia" w:hAnsiTheme="minorHAnsi" w:cstheme="minorBidi"/>
          <w:noProof/>
          <w:szCs w:val="22"/>
          <w:lang w:val="en-AU" w:eastAsia="en-AU"/>
        </w:rPr>
      </w:pPr>
      <w:hyperlink w:anchor="_Toc153259106" w:history="1">
        <w:r w:rsidRPr="00363F84">
          <w:rPr>
            <w:rStyle w:val="Hyperlink"/>
            <w:noProof/>
          </w:rPr>
          <w:t>Response rates</w:t>
        </w:r>
        <w:r>
          <w:rPr>
            <w:noProof/>
            <w:webHidden/>
          </w:rPr>
          <w:tab/>
        </w:r>
        <w:r>
          <w:rPr>
            <w:noProof/>
            <w:webHidden/>
          </w:rPr>
          <w:fldChar w:fldCharType="begin"/>
        </w:r>
        <w:r>
          <w:rPr>
            <w:noProof/>
            <w:webHidden/>
          </w:rPr>
          <w:instrText xml:space="preserve"> PAGEREF _Toc153259106 \h </w:instrText>
        </w:r>
        <w:r>
          <w:rPr>
            <w:noProof/>
            <w:webHidden/>
          </w:rPr>
        </w:r>
        <w:r>
          <w:rPr>
            <w:noProof/>
            <w:webHidden/>
          </w:rPr>
          <w:fldChar w:fldCharType="separate"/>
        </w:r>
        <w:r w:rsidR="008D278D">
          <w:rPr>
            <w:noProof/>
            <w:webHidden/>
          </w:rPr>
          <w:t>40</w:t>
        </w:r>
        <w:r>
          <w:rPr>
            <w:noProof/>
            <w:webHidden/>
          </w:rPr>
          <w:fldChar w:fldCharType="end"/>
        </w:r>
      </w:hyperlink>
    </w:p>
    <w:p w14:paraId="60FE450B" w14:textId="288E135A" w:rsidR="00412012" w:rsidRDefault="00412012">
      <w:pPr>
        <w:pStyle w:val="TOC2"/>
        <w:rPr>
          <w:rFonts w:asciiTheme="minorHAnsi" w:eastAsiaTheme="minorEastAsia" w:hAnsiTheme="minorHAnsi" w:cstheme="minorBidi"/>
          <w:noProof/>
          <w:szCs w:val="22"/>
          <w:lang w:val="en-AU" w:eastAsia="en-AU"/>
        </w:rPr>
      </w:pPr>
      <w:hyperlink w:anchor="_Toc153259107" w:history="1">
        <w:r w:rsidRPr="00363F84">
          <w:rPr>
            <w:rStyle w:val="Hyperlink"/>
            <w:noProof/>
          </w:rPr>
          <w:t>Coverage rates</w:t>
        </w:r>
        <w:r>
          <w:rPr>
            <w:noProof/>
            <w:webHidden/>
          </w:rPr>
          <w:tab/>
        </w:r>
        <w:r>
          <w:rPr>
            <w:noProof/>
            <w:webHidden/>
          </w:rPr>
          <w:fldChar w:fldCharType="begin"/>
        </w:r>
        <w:r>
          <w:rPr>
            <w:noProof/>
            <w:webHidden/>
          </w:rPr>
          <w:instrText xml:space="preserve"> PAGEREF _Toc153259107 \h </w:instrText>
        </w:r>
        <w:r>
          <w:rPr>
            <w:noProof/>
            <w:webHidden/>
          </w:rPr>
        </w:r>
        <w:r>
          <w:rPr>
            <w:noProof/>
            <w:webHidden/>
          </w:rPr>
          <w:fldChar w:fldCharType="separate"/>
        </w:r>
        <w:r w:rsidR="008D278D">
          <w:rPr>
            <w:noProof/>
            <w:webHidden/>
          </w:rPr>
          <w:t>40</w:t>
        </w:r>
        <w:r>
          <w:rPr>
            <w:noProof/>
            <w:webHidden/>
          </w:rPr>
          <w:fldChar w:fldCharType="end"/>
        </w:r>
      </w:hyperlink>
    </w:p>
    <w:p w14:paraId="15AB96AF" w14:textId="3FC93EF7" w:rsidR="00412012" w:rsidRDefault="00412012">
      <w:pPr>
        <w:pStyle w:val="TOC2"/>
        <w:rPr>
          <w:rFonts w:asciiTheme="minorHAnsi" w:eastAsiaTheme="minorEastAsia" w:hAnsiTheme="minorHAnsi" w:cstheme="minorBidi"/>
          <w:noProof/>
          <w:szCs w:val="22"/>
          <w:lang w:val="en-AU" w:eastAsia="en-AU"/>
        </w:rPr>
      </w:pPr>
      <w:hyperlink w:anchor="_Toc153259108" w:history="1">
        <w:r w:rsidRPr="00363F84">
          <w:rPr>
            <w:rStyle w:val="Hyperlink"/>
            <w:rFonts w:eastAsia="Cambria"/>
            <w:noProof/>
            <w:lang w:eastAsia="en-US"/>
          </w:rPr>
          <w:t>Final weights</w:t>
        </w:r>
        <w:r>
          <w:rPr>
            <w:noProof/>
            <w:webHidden/>
          </w:rPr>
          <w:tab/>
        </w:r>
        <w:r>
          <w:rPr>
            <w:noProof/>
            <w:webHidden/>
          </w:rPr>
          <w:fldChar w:fldCharType="begin"/>
        </w:r>
        <w:r>
          <w:rPr>
            <w:noProof/>
            <w:webHidden/>
          </w:rPr>
          <w:instrText xml:space="preserve"> PAGEREF _Toc153259108 \h </w:instrText>
        </w:r>
        <w:r>
          <w:rPr>
            <w:noProof/>
            <w:webHidden/>
          </w:rPr>
        </w:r>
        <w:r>
          <w:rPr>
            <w:noProof/>
            <w:webHidden/>
          </w:rPr>
          <w:fldChar w:fldCharType="separate"/>
        </w:r>
        <w:r w:rsidR="008D278D">
          <w:rPr>
            <w:noProof/>
            <w:webHidden/>
          </w:rPr>
          <w:t>43</w:t>
        </w:r>
        <w:r>
          <w:rPr>
            <w:noProof/>
            <w:webHidden/>
          </w:rPr>
          <w:fldChar w:fldCharType="end"/>
        </w:r>
      </w:hyperlink>
    </w:p>
    <w:p w14:paraId="72C06953" w14:textId="4E5C981F" w:rsidR="00412012" w:rsidRDefault="00412012">
      <w:pPr>
        <w:pStyle w:val="TOC2"/>
        <w:rPr>
          <w:rFonts w:asciiTheme="minorHAnsi" w:eastAsiaTheme="minorEastAsia" w:hAnsiTheme="minorHAnsi" w:cstheme="minorBidi"/>
          <w:noProof/>
          <w:szCs w:val="22"/>
          <w:lang w:val="en-AU" w:eastAsia="en-AU"/>
        </w:rPr>
      </w:pPr>
      <w:hyperlink w:anchor="_Toc153259109" w:history="1">
        <w:r w:rsidRPr="00363F84">
          <w:rPr>
            <w:rStyle w:val="Hyperlink"/>
            <w:noProof/>
          </w:rPr>
          <w:t>Sample sizes</w:t>
        </w:r>
        <w:r>
          <w:rPr>
            <w:noProof/>
            <w:webHidden/>
          </w:rPr>
          <w:tab/>
        </w:r>
        <w:r>
          <w:rPr>
            <w:noProof/>
            <w:webHidden/>
          </w:rPr>
          <w:fldChar w:fldCharType="begin"/>
        </w:r>
        <w:r>
          <w:rPr>
            <w:noProof/>
            <w:webHidden/>
          </w:rPr>
          <w:instrText xml:space="preserve"> PAGEREF _Toc153259109 \h </w:instrText>
        </w:r>
        <w:r>
          <w:rPr>
            <w:noProof/>
            <w:webHidden/>
          </w:rPr>
        </w:r>
        <w:r>
          <w:rPr>
            <w:noProof/>
            <w:webHidden/>
          </w:rPr>
          <w:fldChar w:fldCharType="separate"/>
        </w:r>
        <w:r w:rsidR="008D278D">
          <w:rPr>
            <w:noProof/>
            <w:webHidden/>
          </w:rPr>
          <w:t>44</w:t>
        </w:r>
        <w:r>
          <w:rPr>
            <w:noProof/>
            <w:webHidden/>
          </w:rPr>
          <w:fldChar w:fldCharType="end"/>
        </w:r>
      </w:hyperlink>
    </w:p>
    <w:p w14:paraId="5A95865E" w14:textId="565ED907" w:rsidR="00412012" w:rsidRDefault="00412012">
      <w:pPr>
        <w:pStyle w:val="TOC1"/>
        <w:rPr>
          <w:rFonts w:asciiTheme="minorHAnsi" w:eastAsiaTheme="minorEastAsia" w:hAnsiTheme="minorHAnsi" w:cstheme="minorBidi"/>
          <w:noProof/>
          <w:sz w:val="22"/>
          <w:szCs w:val="22"/>
          <w:lang w:val="en-AU" w:eastAsia="en-AU"/>
        </w:rPr>
      </w:pPr>
      <w:hyperlink w:anchor="_Toc153259110" w:history="1">
        <w:r w:rsidRPr="00363F84">
          <w:rPr>
            <w:rStyle w:val="Hyperlink"/>
            <w:noProof/>
          </w:rPr>
          <w:t>Changes in previously published statistics</w:t>
        </w:r>
        <w:r>
          <w:rPr>
            <w:noProof/>
            <w:webHidden/>
          </w:rPr>
          <w:tab/>
        </w:r>
        <w:r>
          <w:rPr>
            <w:noProof/>
            <w:webHidden/>
          </w:rPr>
          <w:fldChar w:fldCharType="begin"/>
        </w:r>
        <w:r>
          <w:rPr>
            <w:noProof/>
            <w:webHidden/>
          </w:rPr>
          <w:instrText xml:space="preserve"> PAGEREF _Toc153259110 \h </w:instrText>
        </w:r>
        <w:r>
          <w:rPr>
            <w:noProof/>
            <w:webHidden/>
          </w:rPr>
        </w:r>
        <w:r>
          <w:rPr>
            <w:noProof/>
            <w:webHidden/>
          </w:rPr>
          <w:fldChar w:fldCharType="separate"/>
        </w:r>
        <w:r w:rsidR="008D278D">
          <w:rPr>
            <w:noProof/>
            <w:webHidden/>
          </w:rPr>
          <w:t>46</w:t>
        </w:r>
        <w:r>
          <w:rPr>
            <w:noProof/>
            <w:webHidden/>
          </w:rPr>
          <w:fldChar w:fldCharType="end"/>
        </w:r>
      </w:hyperlink>
    </w:p>
    <w:p w14:paraId="3550AFAC" w14:textId="3DD3E672" w:rsidR="00412012" w:rsidRDefault="00412012">
      <w:pPr>
        <w:pStyle w:val="TOC1"/>
        <w:rPr>
          <w:rFonts w:asciiTheme="minorHAnsi" w:eastAsiaTheme="minorEastAsia" w:hAnsiTheme="minorHAnsi" w:cstheme="minorBidi"/>
          <w:noProof/>
          <w:sz w:val="22"/>
          <w:szCs w:val="22"/>
          <w:lang w:val="en-AU" w:eastAsia="en-AU"/>
        </w:rPr>
      </w:pPr>
      <w:hyperlink w:anchor="_Toc153259111" w:history="1">
        <w:r w:rsidRPr="00363F84">
          <w:rPr>
            <w:rStyle w:val="Hyperlink"/>
            <w:noProof/>
          </w:rPr>
          <w:t>References</w:t>
        </w:r>
        <w:r>
          <w:rPr>
            <w:noProof/>
            <w:webHidden/>
          </w:rPr>
          <w:tab/>
        </w:r>
        <w:r>
          <w:rPr>
            <w:noProof/>
            <w:webHidden/>
          </w:rPr>
          <w:fldChar w:fldCharType="begin"/>
        </w:r>
        <w:r>
          <w:rPr>
            <w:noProof/>
            <w:webHidden/>
          </w:rPr>
          <w:instrText xml:space="preserve"> PAGEREF _Toc153259111 \h </w:instrText>
        </w:r>
        <w:r>
          <w:rPr>
            <w:noProof/>
            <w:webHidden/>
          </w:rPr>
        </w:r>
        <w:r>
          <w:rPr>
            <w:noProof/>
            <w:webHidden/>
          </w:rPr>
          <w:fldChar w:fldCharType="separate"/>
        </w:r>
        <w:r w:rsidR="008D278D">
          <w:rPr>
            <w:noProof/>
            <w:webHidden/>
          </w:rPr>
          <w:t>47</w:t>
        </w:r>
        <w:r>
          <w:rPr>
            <w:noProof/>
            <w:webHidden/>
          </w:rPr>
          <w:fldChar w:fldCharType="end"/>
        </w:r>
      </w:hyperlink>
    </w:p>
    <w:p w14:paraId="7E290C91" w14:textId="5A4BF6DD" w:rsidR="00881B3D" w:rsidRDefault="00FC740F" w:rsidP="3E625A02">
      <w:pPr>
        <w:pStyle w:val="TOC1"/>
        <w:tabs>
          <w:tab w:val="right" w:leader="dot" w:pos="8355"/>
        </w:tabs>
        <w:rPr>
          <w:rFonts w:asciiTheme="minorHAnsi" w:eastAsiaTheme="minorEastAsia" w:hAnsiTheme="minorHAnsi" w:cstheme="minorBidi"/>
          <w:noProof/>
          <w:sz w:val="22"/>
          <w:szCs w:val="22"/>
          <w:lang w:eastAsia="en-NZ"/>
        </w:rPr>
      </w:pPr>
      <w:r>
        <w:fldChar w:fldCharType="end"/>
      </w:r>
    </w:p>
    <w:p w14:paraId="49038387" w14:textId="32B9687C" w:rsidR="003A5FEA" w:rsidRPr="00390AA7" w:rsidRDefault="003A5FEA" w:rsidP="001D3E4E">
      <w:pPr>
        <w:pStyle w:val="TOC1"/>
        <w:keepNext/>
      </w:pPr>
      <w:r w:rsidRPr="00390AA7">
        <w:t xml:space="preserve">List of </w:t>
      </w:r>
      <w:r w:rsidR="00ED6805" w:rsidRPr="00390AA7">
        <w:t>f</w:t>
      </w:r>
      <w:r w:rsidRPr="00390AA7">
        <w:t>igures</w:t>
      </w:r>
    </w:p>
    <w:p w14:paraId="2696EB66" w14:textId="7B9B43EC" w:rsidR="00412012" w:rsidRDefault="00B2502A">
      <w:pPr>
        <w:pStyle w:val="TableofFigures"/>
        <w:tabs>
          <w:tab w:val="right" w:pos="8069"/>
        </w:tabs>
        <w:rPr>
          <w:rFonts w:asciiTheme="minorHAnsi" w:eastAsiaTheme="minorEastAsia" w:hAnsiTheme="minorHAnsi" w:cstheme="minorBidi"/>
          <w:noProof/>
          <w:sz w:val="22"/>
          <w:szCs w:val="22"/>
          <w:lang w:val="en-AU" w:eastAsia="en-AU"/>
        </w:rPr>
      </w:pPr>
      <w:r w:rsidRPr="00390AA7">
        <w:rPr>
          <w:color w:val="2B579A"/>
          <w:shd w:val="clear" w:color="auto" w:fill="E6E6E6"/>
        </w:rPr>
        <w:fldChar w:fldCharType="begin"/>
      </w:r>
      <w:r w:rsidRPr="00390AA7">
        <w:instrText xml:space="preserve"> TOC \h \z \c "Figure" </w:instrText>
      </w:r>
      <w:r w:rsidRPr="00390AA7">
        <w:rPr>
          <w:color w:val="2B579A"/>
          <w:shd w:val="clear" w:color="auto" w:fill="E6E6E6"/>
        </w:rPr>
        <w:fldChar w:fldCharType="separate"/>
      </w:r>
      <w:hyperlink w:anchor="_Toc153259112" w:history="1">
        <w:r w:rsidR="00412012" w:rsidRPr="007360AC">
          <w:rPr>
            <w:rStyle w:val="Hyperlink"/>
            <w:noProof/>
          </w:rPr>
          <w:t>Figure 1: Proportion of households agreeing to first interview, by number of visits, 2022/23</w:t>
        </w:r>
        <w:r w:rsidR="00412012">
          <w:rPr>
            <w:noProof/>
            <w:webHidden/>
          </w:rPr>
          <w:tab/>
        </w:r>
        <w:r w:rsidR="00412012">
          <w:rPr>
            <w:noProof/>
            <w:webHidden/>
          </w:rPr>
          <w:fldChar w:fldCharType="begin"/>
        </w:r>
        <w:r w:rsidR="00412012">
          <w:rPr>
            <w:noProof/>
            <w:webHidden/>
          </w:rPr>
          <w:instrText xml:space="preserve"> PAGEREF _Toc153259112 \h </w:instrText>
        </w:r>
        <w:r w:rsidR="00412012">
          <w:rPr>
            <w:noProof/>
            <w:webHidden/>
          </w:rPr>
        </w:r>
        <w:r w:rsidR="00412012">
          <w:rPr>
            <w:noProof/>
            <w:webHidden/>
          </w:rPr>
          <w:fldChar w:fldCharType="separate"/>
        </w:r>
        <w:r w:rsidR="008D278D">
          <w:rPr>
            <w:noProof/>
            <w:webHidden/>
          </w:rPr>
          <w:t>15</w:t>
        </w:r>
        <w:r w:rsidR="00412012">
          <w:rPr>
            <w:noProof/>
            <w:webHidden/>
          </w:rPr>
          <w:fldChar w:fldCharType="end"/>
        </w:r>
      </w:hyperlink>
    </w:p>
    <w:p w14:paraId="06D1626D" w14:textId="51F543B2"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13" w:history="1">
        <w:r w:rsidRPr="007360AC">
          <w:rPr>
            <w:rStyle w:val="Hyperlink"/>
            <w:noProof/>
          </w:rPr>
          <w:t>Figure 2: Response rates for adults and children, 2011/12 to 2022/23</w:t>
        </w:r>
        <w:r>
          <w:rPr>
            <w:noProof/>
            <w:webHidden/>
          </w:rPr>
          <w:tab/>
        </w:r>
        <w:r>
          <w:rPr>
            <w:noProof/>
            <w:webHidden/>
          </w:rPr>
          <w:fldChar w:fldCharType="begin"/>
        </w:r>
        <w:r>
          <w:rPr>
            <w:noProof/>
            <w:webHidden/>
          </w:rPr>
          <w:instrText xml:space="preserve"> PAGEREF _Toc153259113 \h </w:instrText>
        </w:r>
        <w:r>
          <w:rPr>
            <w:noProof/>
            <w:webHidden/>
          </w:rPr>
        </w:r>
        <w:r>
          <w:rPr>
            <w:noProof/>
            <w:webHidden/>
          </w:rPr>
          <w:fldChar w:fldCharType="separate"/>
        </w:r>
        <w:r w:rsidR="008D278D">
          <w:rPr>
            <w:noProof/>
            <w:webHidden/>
          </w:rPr>
          <w:t>40</w:t>
        </w:r>
        <w:r>
          <w:rPr>
            <w:noProof/>
            <w:webHidden/>
          </w:rPr>
          <w:fldChar w:fldCharType="end"/>
        </w:r>
      </w:hyperlink>
    </w:p>
    <w:p w14:paraId="29B9B62F" w14:textId="3FD88A7E"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14" w:history="1">
        <w:r w:rsidRPr="007360AC">
          <w:rPr>
            <w:rStyle w:val="Hyperlink"/>
            <w:noProof/>
          </w:rPr>
          <w:t>Figure 3</w:t>
        </w:r>
        <w:r w:rsidRPr="007360AC">
          <w:rPr>
            <w:rStyle w:val="Hyperlink"/>
            <w:noProof/>
            <w:lang w:eastAsia="en-US"/>
          </w:rPr>
          <w:t>: Coverage rates for adults and children, 2011/12 to 2022/23</w:t>
        </w:r>
        <w:r>
          <w:rPr>
            <w:noProof/>
            <w:webHidden/>
          </w:rPr>
          <w:tab/>
        </w:r>
        <w:r>
          <w:rPr>
            <w:noProof/>
            <w:webHidden/>
          </w:rPr>
          <w:fldChar w:fldCharType="begin"/>
        </w:r>
        <w:r>
          <w:rPr>
            <w:noProof/>
            <w:webHidden/>
          </w:rPr>
          <w:instrText xml:space="preserve"> PAGEREF _Toc153259114 \h </w:instrText>
        </w:r>
        <w:r>
          <w:rPr>
            <w:noProof/>
            <w:webHidden/>
          </w:rPr>
        </w:r>
        <w:r>
          <w:rPr>
            <w:noProof/>
            <w:webHidden/>
          </w:rPr>
          <w:fldChar w:fldCharType="separate"/>
        </w:r>
        <w:r w:rsidR="008D278D">
          <w:rPr>
            <w:noProof/>
            <w:webHidden/>
          </w:rPr>
          <w:t>41</w:t>
        </w:r>
        <w:r>
          <w:rPr>
            <w:noProof/>
            <w:webHidden/>
          </w:rPr>
          <w:fldChar w:fldCharType="end"/>
        </w:r>
      </w:hyperlink>
    </w:p>
    <w:p w14:paraId="548EE098" w14:textId="1F2B8F08"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15" w:history="1">
        <w:r w:rsidRPr="007360AC">
          <w:rPr>
            <w:rStyle w:val="Hyperlink"/>
            <w:noProof/>
          </w:rPr>
          <w:t>Figure 4</w:t>
        </w:r>
        <w:r w:rsidRPr="007360AC">
          <w:rPr>
            <w:rStyle w:val="Hyperlink"/>
            <w:noProof/>
            <w:lang w:eastAsia="en-US"/>
          </w:rPr>
          <w:t xml:space="preserve">: Coverage rates for Māori, Pacific peoples and Asian ethnic groups, 2011/12 to </w:t>
        </w:r>
        <w:r w:rsidRPr="007360AC">
          <w:rPr>
            <w:rStyle w:val="Hyperlink"/>
            <w:rFonts w:eastAsia="Calibri"/>
            <w:noProof/>
            <w:lang w:eastAsia="en-US"/>
          </w:rPr>
          <w:t>2022/23</w:t>
        </w:r>
        <w:r>
          <w:rPr>
            <w:noProof/>
            <w:webHidden/>
          </w:rPr>
          <w:tab/>
        </w:r>
        <w:r>
          <w:rPr>
            <w:noProof/>
            <w:webHidden/>
          </w:rPr>
          <w:fldChar w:fldCharType="begin"/>
        </w:r>
        <w:r>
          <w:rPr>
            <w:noProof/>
            <w:webHidden/>
          </w:rPr>
          <w:instrText xml:space="preserve"> PAGEREF _Toc153259115 \h </w:instrText>
        </w:r>
        <w:r>
          <w:rPr>
            <w:noProof/>
            <w:webHidden/>
          </w:rPr>
        </w:r>
        <w:r>
          <w:rPr>
            <w:noProof/>
            <w:webHidden/>
          </w:rPr>
          <w:fldChar w:fldCharType="separate"/>
        </w:r>
        <w:r w:rsidR="008D278D">
          <w:rPr>
            <w:noProof/>
            <w:webHidden/>
          </w:rPr>
          <w:t>41</w:t>
        </w:r>
        <w:r>
          <w:rPr>
            <w:noProof/>
            <w:webHidden/>
          </w:rPr>
          <w:fldChar w:fldCharType="end"/>
        </w:r>
      </w:hyperlink>
    </w:p>
    <w:p w14:paraId="084B17EA" w14:textId="5262D2A7"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16" w:history="1">
        <w:r w:rsidRPr="007360AC">
          <w:rPr>
            <w:rStyle w:val="Hyperlink"/>
            <w:noProof/>
          </w:rPr>
          <w:t>Figure 5</w:t>
        </w:r>
        <w:r w:rsidRPr="007360AC">
          <w:rPr>
            <w:rStyle w:val="Hyperlink"/>
            <w:noProof/>
            <w:lang w:eastAsia="en-US"/>
          </w:rPr>
          <w:t xml:space="preserve">: Coverage rates by </w:t>
        </w:r>
        <w:r w:rsidRPr="007360AC">
          <w:rPr>
            <w:rStyle w:val="Hyperlink"/>
            <w:noProof/>
          </w:rPr>
          <w:t>New Zealand Index of Deprivation</w:t>
        </w:r>
        <w:r w:rsidRPr="007360AC">
          <w:rPr>
            <w:rStyle w:val="Hyperlink"/>
            <w:noProof/>
            <w:lang w:eastAsia="en-US"/>
          </w:rPr>
          <w:t xml:space="preserve"> quintiles, 2011/12 to </w:t>
        </w:r>
        <w:r w:rsidRPr="007360AC">
          <w:rPr>
            <w:rStyle w:val="Hyperlink"/>
            <w:rFonts w:eastAsia="Calibri"/>
            <w:noProof/>
            <w:lang w:eastAsia="en-US"/>
          </w:rPr>
          <w:t>2022/23</w:t>
        </w:r>
        <w:r>
          <w:rPr>
            <w:noProof/>
            <w:webHidden/>
          </w:rPr>
          <w:tab/>
        </w:r>
        <w:r>
          <w:rPr>
            <w:noProof/>
            <w:webHidden/>
          </w:rPr>
          <w:fldChar w:fldCharType="begin"/>
        </w:r>
        <w:r>
          <w:rPr>
            <w:noProof/>
            <w:webHidden/>
          </w:rPr>
          <w:instrText xml:space="preserve"> PAGEREF _Toc153259116 \h </w:instrText>
        </w:r>
        <w:r>
          <w:rPr>
            <w:noProof/>
            <w:webHidden/>
          </w:rPr>
        </w:r>
        <w:r>
          <w:rPr>
            <w:noProof/>
            <w:webHidden/>
          </w:rPr>
          <w:fldChar w:fldCharType="separate"/>
        </w:r>
        <w:r w:rsidR="008D278D">
          <w:rPr>
            <w:noProof/>
            <w:webHidden/>
          </w:rPr>
          <w:t>42</w:t>
        </w:r>
        <w:r>
          <w:rPr>
            <w:noProof/>
            <w:webHidden/>
          </w:rPr>
          <w:fldChar w:fldCharType="end"/>
        </w:r>
      </w:hyperlink>
    </w:p>
    <w:p w14:paraId="43E126AD" w14:textId="69A6D030"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17" w:history="1">
        <w:r w:rsidRPr="007360AC">
          <w:rPr>
            <w:rStyle w:val="Hyperlink"/>
            <w:noProof/>
          </w:rPr>
          <w:t xml:space="preserve">Figure 6: Coverage rates for total population, by age group and gender, </w:t>
        </w:r>
        <w:r w:rsidRPr="007360AC">
          <w:rPr>
            <w:rStyle w:val="Hyperlink"/>
            <w:rFonts w:eastAsia="Calibri"/>
            <w:noProof/>
            <w:lang w:eastAsia="en-US"/>
          </w:rPr>
          <w:t>2022/23</w:t>
        </w:r>
        <w:r>
          <w:rPr>
            <w:noProof/>
            <w:webHidden/>
          </w:rPr>
          <w:tab/>
        </w:r>
        <w:r>
          <w:rPr>
            <w:noProof/>
            <w:webHidden/>
          </w:rPr>
          <w:fldChar w:fldCharType="begin"/>
        </w:r>
        <w:r>
          <w:rPr>
            <w:noProof/>
            <w:webHidden/>
          </w:rPr>
          <w:instrText xml:space="preserve"> PAGEREF _Toc153259117 \h </w:instrText>
        </w:r>
        <w:r>
          <w:rPr>
            <w:noProof/>
            <w:webHidden/>
          </w:rPr>
        </w:r>
        <w:r>
          <w:rPr>
            <w:noProof/>
            <w:webHidden/>
          </w:rPr>
          <w:fldChar w:fldCharType="separate"/>
        </w:r>
        <w:r w:rsidR="008D278D">
          <w:rPr>
            <w:noProof/>
            <w:webHidden/>
          </w:rPr>
          <w:t>42</w:t>
        </w:r>
        <w:r>
          <w:rPr>
            <w:noProof/>
            <w:webHidden/>
          </w:rPr>
          <w:fldChar w:fldCharType="end"/>
        </w:r>
      </w:hyperlink>
    </w:p>
    <w:p w14:paraId="2F959D4E" w14:textId="3CA67E1D"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18" w:history="1">
        <w:r w:rsidRPr="007360AC">
          <w:rPr>
            <w:rStyle w:val="Hyperlink"/>
            <w:noProof/>
          </w:rPr>
          <w:t xml:space="preserve">Figure 7: Coverage rates for Māori, by age group and gender, </w:t>
        </w:r>
        <w:r w:rsidRPr="007360AC">
          <w:rPr>
            <w:rStyle w:val="Hyperlink"/>
            <w:rFonts w:eastAsia="Calibri"/>
            <w:noProof/>
            <w:lang w:eastAsia="en-US"/>
          </w:rPr>
          <w:t>2022/23</w:t>
        </w:r>
        <w:r>
          <w:rPr>
            <w:noProof/>
            <w:webHidden/>
          </w:rPr>
          <w:tab/>
        </w:r>
        <w:r>
          <w:rPr>
            <w:noProof/>
            <w:webHidden/>
          </w:rPr>
          <w:fldChar w:fldCharType="begin"/>
        </w:r>
        <w:r>
          <w:rPr>
            <w:noProof/>
            <w:webHidden/>
          </w:rPr>
          <w:instrText xml:space="preserve"> PAGEREF _Toc153259118 \h </w:instrText>
        </w:r>
        <w:r>
          <w:rPr>
            <w:noProof/>
            <w:webHidden/>
          </w:rPr>
        </w:r>
        <w:r>
          <w:rPr>
            <w:noProof/>
            <w:webHidden/>
          </w:rPr>
          <w:fldChar w:fldCharType="separate"/>
        </w:r>
        <w:r w:rsidR="008D278D">
          <w:rPr>
            <w:noProof/>
            <w:webHidden/>
          </w:rPr>
          <w:t>43</w:t>
        </w:r>
        <w:r>
          <w:rPr>
            <w:noProof/>
            <w:webHidden/>
          </w:rPr>
          <w:fldChar w:fldCharType="end"/>
        </w:r>
      </w:hyperlink>
    </w:p>
    <w:p w14:paraId="05CC63FD" w14:textId="4729702F" w:rsidR="003A5FEA" w:rsidRPr="00390AA7" w:rsidRDefault="00B2502A" w:rsidP="003A5FEA">
      <w:r w:rsidRPr="00390AA7">
        <w:rPr>
          <w:color w:val="2B579A"/>
          <w:shd w:val="clear" w:color="auto" w:fill="E6E6E6"/>
        </w:rPr>
        <w:fldChar w:fldCharType="end"/>
      </w:r>
    </w:p>
    <w:p w14:paraId="0D248541" w14:textId="6B2EEC51" w:rsidR="002B76A7" w:rsidRPr="00390AA7" w:rsidRDefault="002B76A7" w:rsidP="002B76A7">
      <w:pPr>
        <w:pStyle w:val="TOC1"/>
        <w:keepNext/>
      </w:pPr>
      <w:r w:rsidRPr="00390AA7">
        <w:t xml:space="preserve">List of </w:t>
      </w:r>
      <w:r w:rsidR="00ED6805" w:rsidRPr="00390AA7">
        <w:t>t</w:t>
      </w:r>
      <w:r w:rsidRPr="00390AA7">
        <w:t>ables</w:t>
      </w:r>
    </w:p>
    <w:p w14:paraId="1CFE4526" w14:textId="06F02A4C" w:rsidR="00412012" w:rsidRDefault="00B2502A">
      <w:pPr>
        <w:pStyle w:val="TableofFigures"/>
        <w:tabs>
          <w:tab w:val="right" w:pos="8069"/>
        </w:tabs>
        <w:rPr>
          <w:rFonts w:asciiTheme="minorHAnsi" w:eastAsiaTheme="minorEastAsia" w:hAnsiTheme="minorHAnsi" w:cstheme="minorBidi"/>
          <w:noProof/>
          <w:sz w:val="22"/>
          <w:szCs w:val="22"/>
          <w:lang w:val="en-AU" w:eastAsia="en-AU"/>
        </w:rPr>
      </w:pPr>
      <w:r w:rsidRPr="00390AA7">
        <w:rPr>
          <w:color w:val="2B579A"/>
          <w:shd w:val="clear" w:color="auto" w:fill="E6E6E6"/>
        </w:rPr>
        <w:fldChar w:fldCharType="begin"/>
      </w:r>
      <w:r w:rsidRPr="00390AA7">
        <w:instrText xml:space="preserve"> TOC \h \z \c "Table" </w:instrText>
      </w:r>
      <w:r w:rsidRPr="00390AA7">
        <w:rPr>
          <w:color w:val="2B579A"/>
          <w:shd w:val="clear" w:color="auto" w:fill="E6E6E6"/>
        </w:rPr>
        <w:fldChar w:fldCharType="separate"/>
      </w:r>
      <w:hyperlink w:anchor="_Toc153259119" w:history="1">
        <w:r w:rsidR="00412012" w:rsidRPr="0089430B">
          <w:rPr>
            <w:rStyle w:val="Hyperlink"/>
            <w:noProof/>
          </w:rPr>
          <w:t>Table 1: New Zealand Health Survey 2022/23 core content</w:t>
        </w:r>
        <w:r w:rsidR="00412012">
          <w:rPr>
            <w:noProof/>
            <w:webHidden/>
          </w:rPr>
          <w:tab/>
        </w:r>
        <w:r w:rsidR="00412012">
          <w:rPr>
            <w:noProof/>
            <w:webHidden/>
          </w:rPr>
          <w:fldChar w:fldCharType="begin"/>
        </w:r>
        <w:r w:rsidR="00412012">
          <w:rPr>
            <w:noProof/>
            <w:webHidden/>
          </w:rPr>
          <w:instrText xml:space="preserve"> PAGEREF _Toc153259119 \h </w:instrText>
        </w:r>
        <w:r w:rsidR="00412012">
          <w:rPr>
            <w:noProof/>
            <w:webHidden/>
          </w:rPr>
        </w:r>
        <w:r w:rsidR="00412012">
          <w:rPr>
            <w:noProof/>
            <w:webHidden/>
          </w:rPr>
          <w:fldChar w:fldCharType="separate"/>
        </w:r>
        <w:r w:rsidR="008D278D">
          <w:rPr>
            <w:noProof/>
            <w:webHidden/>
          </w:rPr>
          <w:t>3</w:t>
        </w:r>
        <w:r w:rsidR="00412012">
          <w:rPr>
            <w:noProof/>
            <w:webHidden/>
          </w:rPr>
          <w:fldChar w:fldCharType="end"/>
        </w:r>
      </w:hyperlink>
    </w:p>
    <w:p w14:paraId="61AF9779" w14:textId="1C0D06D7"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20" w:history="1">
        <w:r w:rsidRPr="0089430B">
          <w:rPr>
            <w:rStyle w:val="Hyperlink"/>
            <w:noProof/>
          </w:rPr>
          <w:t>Table 2: Sample size and response rates, 2011/12–2022/23</w:t>
        </w:r>
        <w:r>
          <w:rPr>
            <w:noProof/>
            <w:webHidden/>
          </w:rPr>
          <w:tab/>
        </w:r>
        <w:r>
          <w:rPr>
            <w:noProof/>
            <w:webHidden/>
          </w:rPr>
          <w:fldChar w:fldCharType="begin"/>
        </w:r>
        <w:r>
          <w:rPr>
            <w:noProof/>
            <w:webHidden/>
          </w:rPr>
          <w:instrText xml:space="preserve"> PAGEREF _Toc153259120 \h </w:instrText>
        </w:r>
        <w:r>
          <w:rPr>
            <w:noProof/>
            <w:webHidden/>
          </w:rPr>
        </w:r>
        <w:r>
          <w:rPr>
            <w:noProof/>
            <w:webHidden/>
          </w:rPr>
          <w:fldChar w:fldCharType="separate"/>
        </w:r>
        <w:r w:rsidR="008D278D">
          <w:rPr>
            <w:noProof/>
            <w:webHidden/>
          </w:rPr>
          <w:t>16</w:t>
        </w:r>
        <w:r>
          <w:rPr>
            <w:noProof/>
            <w:webHidden/>
          </w:rPr>
          <w:fldChar w:fldCharType="end"/>
        </w:r>
      </w:hyperlink>
    </w:p>
    <w:p w14:paraId="2852E08A" w14:textId="47484966"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21" w:history="1">
        <w:r w:rsidRPr="0089430B">
          <w:rPr>
            <w:rStyle w:val="Hyperlink"/>
            <w:noProof/>
          </w:rPr>
          <w:t>Table 3: Questions with item non-response for more than 3% of respondents, 2022/23</w:t>
        </w:r>
        <w:r>
          <w:rPr>
            <w:noProof/>
            <w:webHidden/>
          </w:rPr>
          <w:tab/>
        </w:r>
        <w:r>
          <w:rPr>
            <w:noProof/>
            <w:webHidden/>
          </w:rPr>
          <w:fldChar w:fldCharType="begin"/>
        </w:r>
        <w:r>
          <w:rPr>
            <w:noProof/>
            <w:webHidden/>
          </w:rPr>
          <w:instrText xml:space="preserve"> PAGEREF _Toc153259121 \h </w:instrText>
        </w:r>
        <w:r>
          <w:rPr>
            <w:noProof/>
            <w:webHidden/>
          </w:rPr>
        </w:r>
        <w:r>
          <w:rPr>
            <w:noProof/>
            <w:webHidden/>
          </w:rPr>
          <w:fldChar w:fldCharType="separate"/>
        </w:r>
        <w:r w:rsidR="008D278D">
          <w:rPr>
            <w:noProof/>
            <w:webHidden/>
          </w:rPr>
          <w:t>21</w:t>
        </w:r>
        <w:r>
          <w:rPr>
            <w:noProof/>
            <w:webHidden/>
          </w:rPr>
          <w:fldChar w:fldCharType="end"/>
        </w:r>
      </w:hyperlink>
    </w:p>
    <w:p w14:paraId="0E7CD0F9" w14:textId="6DD4D0F7"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22" w:history="1">
        <w:r w:rsidRPr="0089430B">
          <w:rPr>
            <w:rStyle w:val="Hyperlink"/>
            <w:noProof/>
          </w:rPr>
          <w:t>Table 4: New Zealand Health Survey 2022/23 module topics</w:t>
        </w:r>
        <w:r>
          <w:rPr>
            <w:noProof/>
            <w:webHidden/>
          </w:rPr>
          <w:tab/>
        </w:r>
        <w:r>
          <w:rPr>
            <w:noProof/>
            <w:webHidden/>
          </w:rPr>
          <w:fldChar w:fldCharType="begin"/>
        </w:r>
        <w:r>
          <w:rPr>
            <w:noProof/>
            <w:webHidden/>
          </w:rPr>
          <w:instrText xml:space="preserve"> PAGEREF _Toc153259122 \h </w:instrText>
        </w:r>
        <w:r>
          <w:rPr>
            <w:noProof/>
            <w:webHidden/>
          </w:rPr>
        </w:r>
        <w:r>
          <w:rPr>
            <w:noProof/>
            <w:webHidden/>
          </w:rPr>
          <w:fldChar w:fldCharType="separate"/>
        </w:r>
        <w:r w:rsidR="008D278D">
          <w:rPr>
            <w:noProof/>
            <w:webHidden/>
          </w:rPr>
          <w:t>38</w:t>
        </w:r>
        <w:r>
          <w:rPr>
            <w:noProof/>
            <w:webHidden/>
          </w:rPr>
          <w:fldChar w:fldCharType="end"/>
        </w:r>
      </w:hyperlink>
    </w:p>
    <w:p w14:paraId="656994D4" w14:textId="6FF6E647"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23" w:history="1">
        <w:r w:rsidRPr="0089430B">
          <w:rPr>
            <w:rStyle w:val="Hyperlink"/>
            <w:noProof/>
          </w:rPr>
          <w:t>Table 5: Number of survey respondents by quarter, 2022/23</w:t>
        </w:r>
        <w:r>
          <w:rPr>
            <w:noProof/>
            <w:webHidden/>
          </w:rPr>
          <w:tab/>
        </w:r>
        <w:r>
          <w:rPr>
            <w:noProof/>
            <w:webHidden/>
          </w:rPr>
          <w:fldChar w:fldCharType="begin"/>
        </w:r>
        <w:r>
          <w:rPr>
            <w:noProof/>
            <w:webHidden/>
          </w:rPr>
          <w:instrText xml:space="preserve"> PAGEREF _Toc153259123 \h </w:instrText>
        </w:r>
        <w:r>
          <w:rPr>
            <w:noProof/>
            <w:webHidden/>
          </w:rPr>
        </w:r>
        <w:r>
          <w:rPr>
            <w:noProof/>
            <w:webHidden/>
          </w:rPr>
          <w:fldChar w:fldCharType="separate"/>
        </w:r>
        <w:r w:rsidR="008D278D">
          <w:rPr>
            <w:noProof/>
            <w:webHidden/>
          </w:rPr>
          <w:t>39</w:t>
        </w:r>
        <w:r>
          <w:rPr>
            <w:noProof/>
            <w:webHidden/>
          </w:rPr>
          <w:fldChar w:fldCharType="end"/>
        </w:r>
      </w:hyperlink>
    </w:p>
    <w:p w14:paraId="1E7F87F2" w14:textId="3FBDB425"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24" w:history="1">
        <w:r w:rsidRPr="0089430B">
          <w:rPr>
            <w:rStyle w:val="Hyperlink"/>
            <w:noProof/>
          </w:rPr>
          <w:t>Table 6: Final weights 2022/23</w:t>
        </w:r>
        <w:r>
          <w:rPr>
            <w:noProof/>
            <w:webHidden/>
          </w:rPr>
          <w:tab/>
        </w:r>
        <w:r>
          <w:rPr>
            <w:noProof/>
            <w:webHidden/>
          </w:rPr>
          <w:fldChar w:fldCharType="begin"/>
        </w:r>
        <w:r>
          <w:rPr>
            <w:noProof/>
            <w:webHidden/>
          </w:rPr>
          <w:instrText xml:space="preserve"> PAGEREF _Toc153259124 \h </w:instrText>
        </w:r>
        <w:r>
          <w:rPr>
            <w:noProof/>
            <w:webHidden/>
          </w:rPr>
        </w:r>
        <w:r>
          <w:rPr>
            <w:noProof/>
            <w:webHidden/>
          </w:rPr>
          <w:fldChar w:fldCharType="separate"/>
        </w:r>
        <w:r w:rsidR="008D278D">
          <w:rPr>
            <w:noProof/>
            <w:webHidden/>
          </w:rPr>
          <w:t>43</w:t>
        </w:r>
        <w:r>
          <w:rPr>
            <w:noProof/>
            <w:webHidden/>
          </w:rPr>
          <w:fldChar w:fldCharType="end"/>
        </w:r>
      </w:hyperlink>
    </w:p>
    <w:p w14:paraId="1D8F1D37" w14:textId="11BD1F48"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25" w:history="1">
        <w:r w:rsidRPr="0089430B">
          <w:rPr>
            <w:rStyle w:val="Hyperlink"/>
            <w:noProof/>
          </w:rPr>
          <w:t>Table 7: Sample sizes and population counts for children and adults, by gender, 2022/23</w:t>
        </w:r>
        <w:r>
          <w:rPr>
            <w:noProof/>
            <w:webHidden/>
          </w:rPr>
          <w:tab/>
        </w:r>
        <w:r>
          <w:rPr>
            <w:noProof/>
            <w:webHidden/>
          </w:rPr>
          <w:fldChar w:fldCharType="begin"/>
        </w:r>
        <w:r>
          <w:rPr>
            <w:noProof/>
            <w:webHidden/>
          </w:rPr>
          <w:instrText xml:space="preserve"> PAGEREF _Toc153259125 \h </w:instrText>
        </w:r>
        <w:r>
          <w:rPr>
            <w:noProof/>
            <w:webHidden/>
          </w:rPr>
        </w:r>
        <w:r>
          <w:rPr>
            <w:noProof/>
            <w:webHidden/>
          </w:rPr>
          <w:fldChar w:fldCharType="separate"/>
        </w:r>
        <w:r w:rsidR="008D278D">
          <w:rPr>
            <w:noProof/>
            <w:webHidden/>
          </w:rPr>
          <w:t>44</w:t>
        </w:r>
        <w:r>
          <w:rPr>
            <w:noProof/>
            <w:webHidden/>
          </w:rPr>
          <w:fldChar w:fldCharType="end"/>
        </w:r>
      </w:hyperlink>
    </w:p>
    <w:p w14:paraId="166099B4" w14:textId="1BE6EC2F"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26" w:history="1">
        <w:r w:rsidRPr="0089430B">
          <w:rPr>
            <w:rStyle w:val="Hyperlink"/>
            <w:noProof/>
          </w:rPr>
          <w:t>Table 8: Sample sizes and population counts for children and adults, by total response ethnicity, 2022/23</w:t>
        </w:r>
        <w:r>
          <w:rPr>
            <w:noProof/>
            <w:webHidden/>
          </w:rPr>
          <w:tab/>
        </w:r>
        <w:r>
          <w:rPr>
            <w:noProof/>
            <w:webHidden/>
          </w:rPr>
          <w:fldChar w:fldCharType="begin"/>
        </w:r>
        <w:r>
          <w:rPr>
            <w:noProof/>
            <w:webHidden/>
          </w:rPr>
          <w:instrText xml:space="preserve"> PAGEREF _Toc153259126 \h </w:instrText>
        </w:r>
        <w:r>
          <w:rPr>
            <w:noProof/>
            <w:webHidden/>
          </w:rPr>
        </w:r>
        <w:r>
          <w:rPr>
            <w:noProof/>
            <w:webHidden/>
          </w:rPr>
          <w:fldChar w:fldCharType="separate"/>
        </w:r>
        <w:r w:rsidR="008D278D">
          <w:rPr>
            <w:noProof/>
            <w:webHidden/>
          </w:rPr>
          <w:t>44</w:t>
        </w:r>
        <w:r>
          <w:rPr>
            <w:noProof/>
            <w:webHidden/>
          </w:rPr>
          <w:fldChar w:fldCharType="end"/>
        </w:r>
      </w:hyperlink>
    </w:p>
    <w:p w14:paraId="12F55640" w14:textId="59DEEFF1"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27" w:history="1">
        <w:r w:rsidRPr="0089430B">
          <w:rPr>
            <w:rStyle w:val="Hyperlink"/>
            <w:noProof/>
          </w:rPr>
          <w:t>Table 9: Sample sizes and population counts, by age, 2022/23</w:t>
        </w:r>
        <w:r>
          <w:rPr>
            <w:noProof/>
            <w:webHidden/>
          </w:rPr>
          <w:tab/>
        </w:r>
        <w:r>
          <w:rPr>
            <w:noProof/>
            <w:webHidden/>
          </w:rPr>
          <w:fldChar w:fldCharType="begin"/>
        </w:r>
        <w:r>
          <w:rPr>
            <w:noProof/>
            <w:webHidden/>
          </w:rPr>
          <w:instrText xml:space="preserve"> PAGEREF _Toc153259127 \h </w:instrText>
        </w:r>
        <w:r>
          <w:rPr>
            <w:noProof/>
            <w:webHidden/>
          </w:rPr>
        </w:r>
        <w:r>
          <w:rPr>
            <w:noProof/>
            <w:webHidden/>
          </w:rPr>
          <w:fldChar w:fldCharType="separate"/>
        </w:r>
        <w:r w:rsidR="008D278D">
          <w:rPr>
            <w:noProof/>
            <w:webHidden/>
          </w:rPr>
          <w:t>44</w:t>
        </w:r>
        <w:r>
          <w:rPr>
            <w:noProof/>
            <w:webHidden/>
          </w:rPr>
          <w:fldChar w:fldCharType="end"/>
        </w:r>
      </w:hyperlink>
    </w:p>
    <w:p w14:paraId="68FA9024" w14:textId="3B6A8934"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28" w:history="1">
        <w:r w:rsidRPr="0089430B">
          <w:rPr>
            <w:rStyle w:val="Hyperlink"/>
            <w:noProof/>
          </w:rPr>
          <w:t>Table 10: Sample sizes and population counts, by NZDep2018 quintile, 2022/23</w:t>
        </w:r>
        <w:r>
          <w:rPr>
            <w:noProof/>
            <w:webHidden/>
          </w:rPr>
          <w:tab/>
        </w:r>
        <w:r>
          <w:rPr>
            <w:noProof/>
            <w:webHidden/>
          </w:rPr>
          <w:fldChar w:fldCharType="begin"/>
        </w:r>
        <w:r>
          <w:rPr>
            <w:noProof/>
            <w:webHidden/>
          </w:rPr>
          <w:instrText xml:space="preserve"> PAGEREF _Toc153259128 \h </w:instrText>
        </w:r>
        <w:r>
          <w:rPr>
            <w:noProof/>
            <w:webHidden/>
          </w:rPr>
        </w:r>
        <w:r>
          <w:rPr>
            <w:noProof/>
            <w:webHidden/>
          </w:rPr>
          <w:fldChar w:fldCharType="separate"/>
        </w:r>
        <w:r w:rsidR="008D278D">
          <w:rPr>
            <w:noProof/>
            <w:webHidden/>
          </w:rPr>
          <w:t>45</w:t>
        </w:r>
        <w:r>
          <w:rPr>
            <w:noProof/>
            <w:webHidden/>
          </w:rPr>
          <w:fldChar w:fldCharType="end"/>
        </w:r>
      </w:hyperlink>
    </w:p>
    <w:p w14:paraId="6F78AC70" w14:textId="056C4C63" w:rsidR="00412012" w:rsidRDefault="00412012">
      <w:pPr>
        <w:pStyle w:val="TableofFigures"/>
        <w:tabs>
          <w:tab w:val="right" w:pos="8069"/>
        </w:tabs>
        <w:rPr>
          <w:rFonts w:asciiTheme="minorHAnsi" w:eastAsiaTheme="minorEastAsia" w:hAnsiTheme="minorHAnsi" w:cstheme="minorBidi"/>
          <w:noProof/>
          <w:sz w:val="22"/>
          <w:szCs w:val="22"/>
          <w:lang w:val="en-AU" w:eastAsia="en-AU"/>
        </w:rPr>
      </w:pPr>
      <w:hyperlink w:anchor="_Toc153259129" w:history="1">
        <w:r w:rsidRPr="0089430B">
          <w:rPr>
            <w:rStyle w:val="Hyperlink"/>
            <w:noProof/>
          </w:rPr>
          <w:t>Table 11: Sample sizes and population counts (adults), by disability status and gender, 2022/23</w:t>
        </w:r>
        <w:r>
          <w:rPr>
            <w:noProof/>
            <w:webHidden/>
          </w:rPr>
          <w:tab/>
        </w:r>
        <w:r>
          <w:rPr>
            <w:noProof/>
            <w:webHidden/>
          </w:rPr>
          <w:fldChar w:fldCharType="begin"/>
        </w:r>
        <w:r>
          <w:rPr>
            <w:noProof/>
            <w:webHidden/>
          </w:rPr>
          <w:instrText xml:space="preserve"> PAGEREF _Toc153259129 \h </w:instrText>
        </w:r>
        <w:r>
          <w:rPr>
            <w:noProof/>
            <w:webHidden/>
          </w:rPr>
        </w:r>
        <w:r>
          <w:rPr>
            <w:noProof/>
            <w:webHidden/>
          </w:rPr>
          <w:fldChar w:fldCharType="separate"/>
        </w:r>
        <w:r w:rsidR="008D278D">
          <w:rPr>
            <w:noProof/>
            <w:webHidden/>
          </w:rPr>
          <w:t>45</w:t>
        </w:r>
        <w:r>
          <w:rPr>
            <w:noProof/>
            <w:webHidden/>
          </w:rPr>
          <w:fldChar w:fldCharType="end"/>
        </w:r>
      </w:hyperlink>
    </w:p>
    <w:p w14:paraId="4A6797B1" w14:textId="262053D0" w:rsidR="002B76A7" w:rsidRPr="00390AA7" w:rsidRDefault="00B2502A" w:rsidP="00B2502A">
      <w:pPr>
        <w:pStyle w:val="TOC3"/>
        <w:spacing w:before="100"/>
      </w:pPr>
      <w:r w:rsidRPr="00390AA7">
        <w:rPr>
          <w:color w:val="2B579A"/>
          <w:shd w:val="clear" w:color="auto" w:fill="E6E6E6"/>
        </w:rPr>
        <w:fldChar w:fldCharType="end"/>
      </w:r>
    </w:p>
    <w:p w14:paraId="03333094" w14:textId="77777777" w:rsidR="001D3E4E" w:rsidRPr="00390AA7" w:rsidRDefault="001D3E4E" w:rsidP="003A5FEA">
      <w:pPr>
        <w:sectPr w:rsidR="001D3E4E" w:rsidRPr="00390AA7" w:rsidSect="0078658E">
          <w:headerReference w:type="even" r:id="rId19"/>
          <w:headerReference w:type="default" r:id="rId20"/>
          <w:footerReference w:type="even" r:id="rId21"/>
          <w:footerReference w:type="default" r:id="rId22"/>
          <w:pgSz w:w="11907" w:h="16840" w:code="9"/>
          <w:pgMar w:top="1418" w:right="1701" w:bottom="1134" w:left="1843" w:header="284" w:footer="425" w:gutter="284"/>
          <w:pgNumType w:fmt="lowerRoman"/>
          <w:cols w:space="720"/>
        </w:sectPr>
      </w:pPr>
    </w:p>
    <w:p w14:paraId="29274597" w14:textId="77777777" w:rsidR="004366B7" w:rsidRPr="00390AA7" w:rsidRDefault="004366B7" w:rsidP="004366B7">
      <w:pPr>
        <w:pStyle w:val="Heading1"/>
        <w:spacing w:before="0"/>
      </w:pPr>
      <w:bookmarkStart w:id="6" w:name="_Toc88752024"/>
      <w:bookmarkStart w:id="7" w:name="_Toc153259072"/>
      <w:r w:rsidRPr="00390AA7">
        <w:t>Introduction</w:t>
      </w:r>
      <w:bookmarkEnd w:id="6"/>
      <w:bookmarkEnd w:id="7"/>
    </w:p>
    <w:p w14:paraId="62A5766A" w14:textId="0F07A182" w:rsidR="004366B7" w:rsidRPr="00390AA7" w:rsidRDefault="004366B7" w:rsidP="004366B7">
      <w:r w:rsidRPr="00390AA7">
        <w:t>The New Zealand Health Survey (NZHS) is an important data collection tool that is used to monitor population health and provide supporting evidence for health policy and strategy development. The Evidence, Research and Analy</w:t>
      </w:r>
      <w:r w:rsidR="16376895" w:rsidRPr="00390AA7">
        <w:t>tics</w:t>
      </w:r>
      <w:r w:rsidRPr="00390AA7">
        <w:t xml:space="preserve"> </w:t>
      </w:r>
      <w:r w:rsidR="00E64F1C">
        <w:t>group</w:t>
      </w:r>
      <w:r w:rsidRPr="00390AA7">
        <w:t xml:space="preserve">, within the </w:t>
      </w:r>
      <w:r w:rsidR="68C751D2" w:rsidRPr="00DB3423">
        <w:t>Manatū Hauora</w:t>
      </w:r>
      <w:r w:rsidR="68C751D2" w:rsidRPr="00390AA7">
        <w:t>/</w:t>
      </w:r>
      <w:r w:rsidRPr="00390AA7">
        <w:t xml:space="preserve">Ministry of Health’s Evidence, Research and Innovation </w:t>
      </w:r>
      <w:r w:rsidR="00E64F1C">
        <w:t>directorate</w:t>
      </w:r>
      <w:r w:rsidRPr="00390AA7">
        <w:t>, is responsible for designing, analysing and reporting on the NZHS. The NZHS field activities are contracted out to a specialist survey provider, Reach Aotearoa, formerly known as CBG Health Research.</w:t>
      </w:r>
    </w:p>
    <w:p w14:paraId="00BCA212" w14:textId="77777777" w:rsidR="004366B7" w:rsidRPr="00390AA7" w:rsidRDefault="004366B7" w:rsidP="004366B7"/>
    <w:p w14:paraId="5FA22CAF" w14:textId="77777777" w:rsidR="004366B7" w:rsidRPr="00390AA7" w:rsidRDefault="004366B7" w:rsidP="004366B7">
      <w:r w:rsidRPr="00390AA7">
        <w:t>The NZHS collects information that cannot be obtained more effectively or efficiently through other means, such as by analyses of hospital administrative records, disease registries or epidemiological research. The NZHS is the best source of information at a population level for most of the topics it covers.</w:t>
      </w:r>
    </w:p>
    <w:p w14:paraId="6B990C7D" w14:textId="77777777" w:rsidR="004366B7" w:rsidRPr="00390AA7" w:rsidRDefault="004366B7" w:rsidP="004366B7"/>
    <w:p w14:paraId="698117AF" w14:textId="59D4DCC7" w:rsidR="004366B7" w:rsidRPr="00390AA7" w:rsidRDefault="004366B7" w:rsidP="004366B7">
      <w:r w:rsidRPr="00390AA7">
        <w:t>Before 2011, the Ministry conducted New Zealand Health Surveys</w:t>
      </w:r>
      <w:r w:rsidR="00662514" w:rsidRPr="00390AA7">
        <w:t xml:space="preserve"> </w:t>
      </w:r>
      <w:r w:rsidR="001D12C1" w:rsidRPr="00390AA7">
        <w:t xml:space="preserve">every three or four years </w:t>
      </w:r>
      <w:r w:rsidRPr="00390AA7">
        <w:t>(1992/93, 1996/97, 2002/03 and 2006/07)</w:t>
      </w:r>
      <w:r w:rsidR="001D12C1" w:rsidRPr="00390AA7">
        <w:t xml:space="preserve">. </w:t>
      </w:r>
      <w:r w:rsidR="00B848CA" w:rsidRPr="00390AA7">
        <w:t>The wider survey programme included</w:t>
      </w:r>
      <w:r w:rsidRPr="00390AA7">
        <w:t xml:space="preserve"> separate surveys on specific subjects (</w:t>
      </w:r>
      <w:r w:rsidR="006F55AE" w:rsidRPr="00390AA7">
        <w:t xml:space="preserve">eg, </w:t>
      </w:r>
      <w:r w:rsidRPr="00390AA7">
        <w:t xml:space="preserve">nutrition; tobacco, alcohol and drug use; mental health; and oral health) </w:t>
      </w:r>
      <w:r w:rsidR="00F24A32" w:rsidRPr="00390AA7">
        <w:t>at varying frequencies</w:t>
      </w:r>
      <w:r w:rsidRPr="00390AA7">
        <w:t>. In July 2011, all of these surveys were integrated into a single NZHS, which is now in continuous annual operation.</w:t>
      </w:r>
    </w:p>
    <w:p w14:paraId="18769395" w14:textId="77777777" w:rsidR="004366B7" w:rsidRPr="00390AA7" w:rsidRDefault="004366B7" w:rsidP="004366B7"/>
    <w:p w14:paraId="18086A09" w14:textId="464B0CE6" w:rsidR="004366B7" w:rsidRPr="00390AA7" w:rsidRDefault="004366B7" w:rsidP="004366B7">
      <w:r w:rsidRPr="00390AA7">
        <w:t>From 2013 onwards, a number of key outputs from the NZHS became Tier 1 statistics (a portfolio the government maintains of the most important official statistics, essential to understanding how well New Zealand is performing in different aspects of national concern)</w:t>
      </w:r>
      <w:r w:rsidR="00C25254">
        <w:t>. These</w:t>
      </w:r>
      <w:r w:rsidRPr="00390AA7">
        <w:t xml:space="preserve"> are: smoking (current), past-year (alcohol) drinking, hazardous (alcohol) drinking, obesity, unmet need for a general practitioner (GP) due to cost, unfilled prescription due to cost, self-rated health, and mental health status (psychological distress).</w:t>
      </w:r>
    </w:p>
    <w:p w14:paraId="15D8A9DF" w14:textId="77777777" w:rsidR="004366B7" w:rsidRPr="00390AA7" w:rsidRDefault="004366B7" w:rsidP="004366B7"/>
    <w:p w14:paraId="09526043" w14:textId="4361E4A9" w:rsidR="004366B7" w:rsidRPr="00390AA7" w:rsidRDefault="004366B7" w:rsidP="004366B7">
      <w:r w:rsidRPr="00390AA7">
        <w:t>This NZHS methodology report outlines the procedures and protocols followed to ensure that the NZHS produces the high-quality and robust data expected of official statistics (</w:t>
      </w:r>
      <w:r w:rsidR="007A3409" w:rsidRPr="00390AA7">
        <w:t>Stats NZ</w:t>
      </w:r>
      <w:r w:rsidRPr="00390AA7">
        <w:t xml:space="preserve"> 2007). </w:t>
      </w:r>
      <w:bookmarkStart w:id="8" w:name="_Toc199225768"/>
      <w:bookmarkStart w:id="9" w:name="_Toc201042972"/>
      <w:bookmarkStart w:id="10" w:name="_Toc335133096"/>
      <w:r w:rsidRPr="00390AA7">
        <w:t>The information from the continuous NZHS specific to the 202</w:t>
      </w:r>
      <w:r w:rsidR="00DB0740" w:rsidRPr="00390AA7">
        <w:t>2</w:t>
      </w:r>
      <w:r w:rsidRPr="00390AA7">
        <w:t>/2</w:t>
      </w:r>
      <w:r w:rsidR="008E4418" w:rsidRPr="00390AA7">
        <w:t>3</w:t>
      </w:r>
      <w:r w:rsidRPr="00390AA7">
        <w:t xml:space="preserve"> year (data collected from July 202</w:t>
      </w:r>
      <w:r w:rsidR="008E4418" w:rsidRPr="00390AA7">
        <w:t>2</w:t>
      </w:r>
      <w:r w:rsidRPr="00390AA7">
        <w:t xml:space="preserve"> to July 202</w:t>
      </w:r>
      <w:r w:rsidR="008E4418" w:rsidRPr="00390AA7">
        <w:t>3</w:t>
      </w:r>
      <w:r w:rsidRPr="00390AA7">
        <w:t>) is included in the ‘New Zealand Health Survey 202</w:t>
      </w:r>
      <w:r w:rsidR="008E4418" w:rsidRPr="00390AA7">
        <w:t>2</w:t>
      </w:r>
      <w:r w:rsidRPr="00390AA7">
        <w:t>/2</w:t>
      </w:r>
      <w:r w:rsidR="008E4418" w:rsidRPr="00390AA7">
        <w:t>3</w:t>
      </w:r>
      <w:r w:rsidRPr="00390AA7">
        <w:t xml:space="preserve">’ section of this report. </w:t>
      </w:r>
      <w:r w:rsidRPr="007C5065">
        <w:t>Due to</w:t>
      </w:r>
      <w:r w:rsidR="0021492A" w:rsidRPr="007C5065">
        <w:t xml:space="preserve"> workforce issues and</w:t>
      </w:r>
      <w:r w:rsidRPr="007C5065">
        <w:t xml:space="preserve"> </w:t>
      </w:r>
      <w:r w:rsidR="00C01499" w:rsidRPr="007C5065">
        <w:t xml:space="preserve">ongoing </w:t>
      </w:r>
      <w:r w:rsidRPr="007C5065">
        <w:t>disruptions</w:t>
      </w:r>
      <w:r w:rsidR="00C01499" w:rsidRPr="007C5065">
        <w:t xml:space="preserve"> to data collection related to the COVID-19 pandemic</w:t>
      </w:r>
      <w:r w:rsidR="00ED6805" w:rsidRPr="007C5065">
        <w:t xml:space="preserve"> </w:t>
      </w:r>
      <w:r w:rsidR="00C01499" w:rsidRPr="007C5065">
        <w:t>and Cyclone Gabrielle</w:t>
      </w:r>
      <w:r w:rsidRPr="007C5065">
        <w:t>, the sample size for 202</w:t>
      </w:r>
      <w:r w:rsidR="00B5141A" w:rsidRPr="007C5065">
        <w:t>2</w:t>
      </w:r>
      <w:r w:rsidRPr="007C5065">
        <w:t>/2</w:t>
      </w:r>
      <w:r w:rsidR="00B5141A" w:rsidRPr="007C5065">
        <w:t>3</w:t>
      </w:r>
      <w:r w:rsidRPr="007C5065">
        <w:t xml:space="preserve"> is smaller than those for pre-COVID years (until 2018/19).</w:t>
      </w:r>
      <w:r w:rsidRPr="00390AA7">
        <w:rPr>
          <w:color w:val="000000" w:themeColor="text1"/>
        </w:rPr>
        <w:t xml:space="preserve"> </w:t>
      </w:r>
      <w:r w:rsidRPr="00390AA7">
        <w:t>The corresponding information for years 2011/12 to 202</w:t>
      </w:r>
      <w:r w:rsidR="00B5141A" w:rsidRPr="00390AA7">
        <w:t>1</w:t>
      </w:r>
      <w:r w:rsidRPr="00390AA7">
        <w:t>/2</w:t>
      </w:r>
      <w:r w:rsidR="00B5141A" w:rsidRPr="00390AA7">
        <w:t>2</w:t>
      </w:r>
      <w:r w:rsidRPr="00390AA7">
        <w:t xml:space="preserve"> of the NZHS can be found in previous methodology reports.</w:t>
      </w:r>
      <w:r w:rsidRPr="00390AA7">
        <w:rPr>
          <w:rStyle w:val="FootnoteReference"/>
        </w:rPr>
        <w:footnoteReference w:id="2"/>
      </w:r>
    </w:p>
    <w:p w14:paraId="3843A6BC" w14:textId="77777777" w:rsidR="004366B7" w:rsidRPr="00390AA7" w:rsidRDefault="004366B7" w:rsidP="004366B7"/>
    <w:p w14:paraId="16603D36" w14:textId="77777777" w:rsidR="004366B7" w:rsidRPr="00390AA7" w:rsidRDefault="004366B7" w:rsidP="004366B7">
      <w:pPr>
        <w:pStyle w:val="Heading2"/>
      </w:pPr>
      <w:bookmarkStart w:id="11" w:name="_Toc339269997"/>
      <w:bookmarkStart w:id="12" w:name="_Toc340501923"/>
      <w:bookmarkStart w:id="13" w:name="_Toc372445543"/>
      <w:bookmarkStart w:id="14" w:name="_Toc403043997"/>
      <w:bookmarkStart w:id="15" w:name="_Toc467491513"/>
      <w:bookmarkStart w:id="16" w:name="_Toc529525703"/>
      <w:bookmarkStart w:id="17" w:name="_Toc531762331"/>
      <w:bookmarkStart w:id="18" w:name="_Toc531783688"/>
      <w:bookmarkStart w:id="19" w:name="_Toc22887921"/>
      <w:bookmarkStart w:id="20" w:name="_Toc55206828"/>
      <w:bookmarkStart w:id="21" w:name="_Toc88752025"/>
      <w:bookmarkStart w:id="22" w:name="_Toc153259073"/>
      <w:r w:rsidRPr="00390AA7">
        <w:t>Background</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518FBF7" w14:textId="624855D8" w:rsidR="004366B7" w:rsidRPr="00390AA7" w:rsidRDefault="004366B7" w:rsidP="004366B7">
      <w:r w:rsidRPr="00390AA7">
        <w:t xml:space="preserve">As a signatory to the </w:t>
      </w:r>
      <w:r w:rsidRPr="00390AA7">
        <w:rPr>
          <w:i/>
        </w:rPr>
        <w:t>Protocols for Official Statistics</w:t>
      </w:r>
      <w:r w:rsidRPr="00390AA7">
        <w:t xml:space="preserve"> (</w:t>
      </w:r>
      <w:r w:rsidR="007A3409" w:rsidRPr="00390AA7">
        <w:t>Stats NZ</w:t>
      </w:r>
      <w:r w:rsidRPr="00390AA7">
        <w:t xml:space="preserve"> 1998), the Ministry employs best-practice survey techniques to produce high-quality information from the NZHS. It uses standard frameworks and classifications, with validated questions where possible, so that NZHS data can be integrated with data from other sources.</w:t>
      </w:r>
    </w:p>
    <w:p w14:paraId="136B5A3E" w14:textId="77777777" w:rsidR="004366B7" w:rsidRPr="00390AA7" w:rsidRDefault="004366B7" w:rsidP="004366B7">
      <w:pPr>
        <w:pStyle w:val="Heading3"/>
      </w:pPr>
      <w:bookmarkStart w:id="23" w:name="_Toc20997289"/>
      <w:bookmarkStart w:id="24" w:name="_Toc53131204"/>
      <w:r w:rsidRPr="00390AA7">
        <w:t>Goal</w:t>
      </w:r>
      <w:bookmarkEnd w:id="23"/>
      <w:bookmarkEnd w:id="24"/>
    </w:p>
    <w:p w14:paraId="1871A55D" w14:textId="77777777" w:rsidR="004366B7" w:rsidRPr="00390AA7" w:rsidRDefault="004366B7" w:rsidP="004366B7">
      <w:bookmarkStart w:id="25" w:name="_Hlk85627140"/>
      <w:r w:rsidRPr="00390AA7">
        <w:t>The goal for the NZHS was reviewed in 2019 as part of a project to ensure the survey remains fit for purpose for the future. The refreshed goal is to monitor and research the health and wellbeing of New Zealanders, including how people experience their own health and health services. The information covers population health, health risk and protective factors, as well as health service utilisation.</w:t>
      </w:r>
    </w:p>
    <w:p w14:paraId="1AF90067" w14:textId="77777777" w:rsidR="004366B7" w:rsidRPr="00390AA7" w:rsidRDefault="004366B7" w:rsidP="004366B7">
      <w:pPr>
        <w:pStyle w:val="Heading3"/>
      </w:pPr>
      <w:bookmarkStart w:id="26" w:name="_Toc53131205"/>
      <w:bookmarkEnd w:id="25"/>
      <w:r w:rsidRPr="00390AA7">
        <w:t>Objectives</w:t>
      </w:r>
      <w:bookmarkEnd w:id="26"/>
    </w:p>
    <w:p w14:paraId="5D912ECE" w14:textId="77777777" w:rsidR="004366B7" w:rsidRPr="00390AA7" w:rsidRDefault="004366B7" w:rsidP="004366B7">
      <w:pPr>
        <w:keepNext/>
      </w:pPr>
      <w:bookmarkStart w:id="27" w:name="_Hlk85627191"/>
      <w:r w:rsidRPr="00390AA7">
        <w:t>To achieve this goal, four high-level objectives have been identified for the NZHS. These are to:</w:t>
      </w:r>
    </w:p>
    <w:p w14:paraId="25BD884D" w14:textId="77777777" w:rsidR="004366B7" w:rsidRPr="00390AA7" w:rsidRDefault="004366B7" w:rsidP="004366B7">
      <w:pPr>
        <w:pStyle w:val="ListParagraph"/>
        <w:numPr>
          <w:ilvl w:val="0"/>
          <w:numId w:val="17"/>
        </w:numPr>
        <w:spacing w:before="90"/>
        <w:contextualSpacing w:val="0"/>
      </w:pPr>
      <w:r w:rsidRPr="00390AA7">
        <w:t xml:space="preserve">provide an evidence base to inform health system funding, policy, programmes and advocacy with a focus on long-term priorities </w:t>
      </w:r>
    </w:p>
    <w:p w14:paraId="7322C84A" w14:textId="77777777" w:rsidR="004366B7" w:rsidRPr="00390AA7" w:rsidRDefault="004366B7" w:rsidP="004366B7">
      <w:pPr>
        <w:pStyle w:val="Number"/>
        <w:spacing w:before="90"/>
        <w:rPr>
          <w:szCs w:val="20"/>
        </w:rPr>
      </w:pPr>
      <w:r w:rsidRPr="00390AA7">
        <w:rPr>
          <w:szCs w:val="20"/>
        </w:rPr>
        <w:t>monitor and research population health status and the prevalence of key health behaviours and risk factors</w:t>
      </w:r>
    </w:p>
    <w:p w14:paraId="186AA251" w14:textId="77777777" w:rsidR="004366B7" w:rsidRPr="00390AA7" w:rsidRDefault="004366B7" w:rsidP="004366B7">
      <w:pPr>
        <w:pStyle w:val="Number"/>
        <w:spacing w:before="90"/>
        <w:rPr>
          <w:szCs w:val="20"/>
        </w:rPr>
      </w:pPr>
      <w:r w:rsidRPr="00390AA7">
        <w:rPr>
          <w:szCs w:val="20"/>
        </w:rPr>
        <w:t>monitor barriers to access and use of health care services, including health service user experience</w:t>
      </w:r>
    </w:p>
    <w:p w14:paraId="4DE1B266" w14:textId="77777777" w:rsidR="004366B7" w:rsidRPr="00390AA7" w:rsidRDefault="004366B7" w:rsidP="004366B7">
      <w:pPr>
        <w:pStyle w:val="ListParagraph"/>
        <w:numPr>
          <w:ilvl w:val="0"/>
          <w:numId w:val="17"/>
        </w:numPr>
        <w:spacing w:before="90"/>
        <w:contextualSpacing w:val="0"/>
      </w:pPr>
      <w:r w:rsidRPr="00390AA7">
        <w:t>enable robust statistical analysis to be carried out and links to other data collections to be made, to address wider information needs.</w:t>
      </w:r>
      <w:bookmarkEnd w:id="27"/>
    </w:p>
    <w:p w14:paraId="387C430F" w14:textId="77777777" w:rsidR="004366B7" w:rsidRPr="00390AA7" w:rsidRDefault="004366B7" w:rsidP="004366B7">
      <w:pPr>
        <w:pStyle w:val="Heading3"/>
      </w:pPr>
      <w:r w:rsidRPr="00390AA7">
        <w:t>Features of the survey</w:t>
      </w:r>
    </w:p>
    <w:p w14:paraId="12256C2C" w14:textId="77777777" w:rsidR="004366B7" w:rsidRPr="00390AA7" w:rsidRDefault="004366B7" w:rsidP="004366B7">
      <w:r w:rsidRPr="00390AA7">
        <w:t>The NZHS has been carefully designed to minimise impact on survey respondents. Features for this purpose include:</w:t>
      </w:r>
    </w:p>
    <w:p w14:paraId="40B37FAB" w14:textId="77777777" w:rsidR="004366B7" w:rsidRPr="00390AA7" w:rsidRDefault="004366B7" w:rsidP="004366B7">
      <w:pPr>
        <w:pStyle w:val="Bullet"/>
      </w:pPr>
      <w:r w:rsidRPr="00390AA7">
        <w:t>selecting only one eligible adult and one eligible child per dwelling</w:t>
      </w:r>
    </w:p>
    <w:p w14:paraId="413598FD" w14:textId="77777777" w:rsidR="004366B7" w:rsidRPr="00390AA7" w:rsidRDefault="004366B7" w:rsidP="004366B7">
      <w:pPr>
        <w:pStyle w:val="Bullet"/>
      </w:pPr>
      <w:r w:rsidRPr="00390AA7">
        <w:t>using well-tested and proven questions</w:t>
      </w:r>
    </w:p>
    <w:p w14:paraId="403B01E5" w14:textId="77777777" w:rsidR="004366B7" w:rsidRPr="00390AA7" w:rsidRDefault="004366B7" w:rsidP="004366B7">
      <w:pPr>
        <w:pStyle w:val="Bullet"/>
      </w:pPr>
      <w:r w:rsidRPr="00390AA7">
        <w:t>using professional, trained interviewers to conduct the interviews</w:t>
      </w:r>
    </w:p>
    <w:p w14:paraId="32C47BD1" w14:textId="77777777" w:rsidR="004366B7" w:rsidRPr="00390AA7" w:rsidRDefault="004366B7" w:rsidP="004366B7">
      <w:pPr>
        <w:pStyle w:val="Bullet"/>
      </w:pPr>
      <w:r w:rsidRPr="00390AA7">
        <w:t>making an appointment to conduct each interview at a time that suits the respondent and their family</w:t>
      </w:r>
    </w:p>
    <w:p w14:paraId="36CEE1A9" w14:textId="77777777" w:rsidR="004366B7" w:rsidRPr="00390AA7" w:rsidRDefault="004366B7" w:rsidP="004366B7">
      <w:pPr>
        <w:pStyle w:val="Bullet"/>
      </w:pPr>
      <w:r w:rsidRPr="00390AA7">
        <w:t>having the option of using a proxy respondent where would-be respondents living in private dwellings have severe ill health or cognitive disability</w:t>
      </w:r>
    </w:p>
    <w:p w14:paraId="39B3D6FA" w14:textId="77777777" w:rsidR="004366B7" w:rsidRPr="00390AA7" w:rsidRDefault="004366B7" w:rsidP="004366B7">
      <w:pPr>
        <w:pStyle w:val="Bullet"/>
      </w:pPr>
      <w:r w:rsidRPr="00390AA7">
        <w:t>having the option of computer-assisted video interviewing (CAVI) when it was not possible to do a computer-assisted personal interview (CAPI).</w:t>
      </w:r>
    </w:p>
    <w:p w14:paraId="434B12B5" w14:textId="77777777" w:rsidR="004366B7" w:rsidRPr="00390AA7" w:rsidRDefault="004366B7" w:rsidP="004366B7"/>
    <w:p w14:paraId="32197415" w14:textId="0547974C" w:rsidR="004366B7" w:rsidRPr="00390AA7" w:rsidRDefault="004366B7" w:rsidP="004366B7">
      <w:r w:rsidRPr="00390AA7">
        <w:t>The New Zealand Health and Disability Multi-region Ethics Committee (MEC) approved the 202</w:t>
      </w:r>
      <w:r w:rsidR="00283843" w:rsidRPr="00390AA7">
        <w:t>2</w:t>
      </w:r>
      <w:r w:rsidRPr="00390AA7">
        <w:t>/2</w:t>
      </w:r>
      <w:r w:rsidR="00283843" w:rsidRPr="00390AA7">
        <w:t xml:space="preserve">3 </w:t>
      </w:r>
      <w:r w:rsidRPr="00390AA7">
        <w:t>NZHS (MEC reference: MEC/10/10/103).</w:t>
      </w:r>
    </w:p>
    <w:p w14:paraId="7D7C77D9" w14:textId="77777777" w:rsidR="004366B7" w:rsidRPr="00390AA7" w:rsidRDefault="004366B7" w:rsidP="004366B7">
      <w:pPr>
        <w:pStyle w:val="Heading1"/>
        <w:spacing w:before="0"/>
      </w:pPr>
      <w:bookmarkStart w:id="28" w:name="_Toc467491514"/>
      <w:bookmarkStart w:id="29" w:name="_Toc529525704"/>
      <w:bookmarkStart w:id="30" w:name="_Toc531762332"/>
      <w:bookmarkStart w:id="31" w:name="_Toc531783689"/>
      <w:bookmarkStart w:id="32" w:name="_Toc22887922"/>
      <w:bookmarkStart w:id="33" w:name="_Toc55206829"/>
      <w:bookmarkStart w:id="34" w:name="_Toc88752026"/>
      <w:bookmarkStart w:id="35" w:name="_Toc153259074"/>
      <w:bookmarkStart w:id="36" w:name="_Toc199225775"/>
      <w:bookmarkStart w:id="37" w:name="_Toc201042979"/>
      <w:r w:rsidRPr="00390AA7">
        <w:t>Survey content</w:t>
      </w:r>
      <w:bookmarkEnd w:id="28"/>
      <w:bookmarkEnd w:id="29"/>
      <w:bookmarkEnd w:id="30"/>
      <w:bookmarkEnd w:id="31"/>
      <w:bookmarkEnd w:id="32"/>
      <w:bookmarkEnd w:id="33"/>
      <w:bookmarkEnd w:id="34"/>
      <w:bookmarkEnd w:id="35"/>
    </w:p>
    <w:p w14:paraId="596D375C" w14:textId="5569D853" w:rsidR="00104841" w:rsidRPr="00390AA7" w:rsidRDefault="004366B7" w:rsidP="004366B7">
      <w:r w:rsidRPr="00390AA7">
        <w:t>The NZHS comprises core questions</w:t>
      </w:r>
      <w:r w:rsidR="0047704A" w:rsidRPr="00390AA7">
        <w:t xml:space="preserve"> and measurements</w:t>
      </w:r>
      <w:r w:rsidRPr="00390AA7">
        <w:t xml:space="preserve"> </w:t>
      </w:r>
      <w:r w:rsidR="00104841" w:rsidRPr="00390AA7">
        <w:t xml:space="preserve">that are repeated every year, </w:t>
      </w:r>
      <w:r w:rsidRPr="00390AA7">
        <w:t>combined with</w:t>
      </w:r>
      <w:r w:rsidR="00EB7FAB" w:rsidRPr="00390AA7">
        <w:t xml:space="preserve"> a series of</w:t>
      </w:r>
      <w:r w:rsidRPr="00390AA7">
        <w:t xml:space="preserve"> modules</w:t>
      </w:r>
      <w:r w:rsidR="00104841" w:rsidRPr="00390AA7">
        <w:t xml:space="preserve"> that</w:t>
      </w:r>
      <w:r w:rsidR="00A30F7D" w:rsidRPr="00390AA7">
        <w:t xml:space="preserve"> usually</w:t>
      </w:r>
      <w:r w:rsidR="00104841" w:rsidRPr="00390AA7">
        <w:t xml:space="preserve"> change </w:t>
      </w:r>
      <w:r w:rsidR="00EB7FAB" w:rsidRPr="00390AA7">
        <w:t>every 12 months</w:t>
      </w:r>
      <w:r w:rsidRPr="00390AA7">
        <w:t xml:space="preserve">. </w:t>
      </w:r>
    </w:p>
    <w:p w14:paraId="31B36C02" w14:textId="77777777" w:rsidR="004366B7" w:rsidRPr="00390AA7" w:rsidRDefault="004366B7" w:rsidP="004366B7"/>
    <w:p w14:paraId="4B435E12" w14:textId="5B617D8E" w:rsidR="004366B7" w:rsidRPr="00390AA7" w:rsidRDefault="004366B7" w:rsidP="004366B7">
      <w:r w:rsidRPr="00390AA7">
        <w:t xml:space="preserve">For details on the rationale of topic inclusion, cognitive testing, and the content of the questionnaires, see the </w:t>
      </w:r>
      <w:r w:rsidRPr="009604F9">
        <w:rPr>
          <w:i/>
          <w:iCs/>
        </w:rPr>
        <w:t>Content Guide</w:t>
      </w:r>
      <w:r w:rsidRPr="009604F9">
        <w:t xml:space="preserve"> 202</w:t>
      </w:r>
      <w:r w:rsidR="008F3627" w:rsidRPr="009604F9">
        <w:t>2</w:t>
      </w:r>
      <w:r w:rsidRPr="009604F9">
        <w:t>/2</w:t>
      </w:r>
      <w:r w:rsidR="008F3627" w:rsidRPr="009604F9">
        <w:t>3</w:t>
      </w:r>
      <w:r w:rsidRPr="009604F9" w:rsidDel="00753D78">
        <w:t xml:space="preserve"> </w:t>
      </w:r>
      <w:r w:rsidRPr="009604F9">
        <w:t>(Ministry of Health</w:t>
      </w:r>
      <w:r w:rsidR="008F3627" w:rsidRPr="009604F9">
        <w:t xml:space="preserve"> </w:t>
      </w:r>
      <w:r w:rsidR="006D59A5" w:rsidRPr="009604F9">
        <w:t>2023</w:t>
      </w:r>
      <w:r w:rsidR="00A344CE" w:rsidRPr="009604F9">
        <w:t>b</w:t>
      </w:r>
      <w:r w:rsidRPr="00390AA7">
        <w:t>).</w:t>
      </w:r>
    </w:p>
    <w:p w14:paraId="727CAE1B" w14:textId="77777777" w:rsidR="004366B7" w:rsidRPr="00390AA7" w:rsidRDefault="004366B7" w:rsidP="004366B7">
      <w:pPr>
        <w:pStyle w:val="Heading2"/>
      </w:pPr>
      <w:bookmarkStart w:id="38" w:name="_Toc339269999"/>
      <w:bookmarkStart w:id="39" w:name="_Toc340501925"/>
      <w:bookmarkStart w:id="40" w:name="_Toc372445545"/>
      <w:bookmarkStart w:id="41" w:name="_Toc403043999"/>
      <w:bookmarkStart w:id="42" w:name="_Toc467491515"/>
      <w:bookmarkStart w:id="43" w:name="_Toc529525705"/>
      <w:bookmarkStart w:id="44" w:name="_Toc531762333"/>
      <w:bookmarkStart w:id="45" w:name="_Toc531783690"/>
      <w:bookmarkStart w:id="46" w:name="_Toc22887923"/>
      <w:bookmarkStart w:id="47" w:name="_Toc55206830"/>
      <w:bookmarkStart w:id="48" w:name="_Toc88752027"/>
      <w:bookmarkStart w:id="49" w:name="_Toc153259075"/>
      <w:r w:rsidRPr="00390AA7">
        <w:t xml:space="preserve">Core </w:t>
      </w:r>
      <w:bookmarkEnd w:id="38"/>
      <w:bookmarkEnd w:id="39"/>
      <w:bookmarkEnd w:id="40"/>
      <w:bookmarkEnd w:id="41"/>
      <w:r w:rsidRPr="00390AA7">
        <w:t>content</w:t>
      </w:r>
      <w:bookmarkEnd w:id="42"/>
      <w:bookmarkEnd w:id="43"/>
      <w:bookmarkEnd w:id="44"/>
      <w:bookmarkEnd w:id="45"/>
      <w:bookmarkEnd w:id="46"/>
      <w:bookmarkEnd w:id="47"/>
      <w:bookmarkEnd w:id="48"/>
      <w:bookmarkEnd w:id="49"/>
    </w:p>
    <w:p w14:paraId="34302C48" w14:textId="70C37401" w:rsidR="004366B7" w:rsidRPr="00390AA7" w:rsidRDefault="004366B7" w:rsidP="004366B7">
      <w:r w:rsidRPr="00390AA7">
        <w:t xml:space="preserve">Most of the core </w:t>
      </w:r>
      <w:r w:rsidR="003A3729" w:rsidRPr="00390AA7">
        <w:t xml:space="preserve">content </w:t>
      </w:r>
      <w:r w:rsidRPr="00390AA7">
        <w:t xml:space="preserve">for both adults and children </w:t>
      </w:r>
      <w:r w:rsidR="003A3729" w:rsidRPr="00390AA7">
        <w:t>is</w:t>
      </w:r>
      <w:r w:rsidRPr="00390AA7">
        <w:t xml:space="preserve"> drawn from the main topic areas included in the 2006/07 and 2011/12 NZHS. Topic areas include long-term conditions, health status and development, health behaviours</w:t>
      </w:r>
      <w:r w:rsidR="00104308" w:rsidRPr="00390AA7">
        <w:t xml:space="preserve"> and risk factors</w:t>
      </w:r>
      <w:r w:rsidRPr="00390AA7">
        <w:t xml:space="preserve">, health service utilisation and </w:t>
      </w:r>
      <w:r w:rsidR="000F5E59" w:rsidRPr="00390AA7">
        <w:t>barriers to accessing health</w:t>
      </w:r>
      <w:r w:rsidR="006B1A39" w:rsidRPr="00390AA7">
        <w:t xml:space="preserve"> </w:t>
      </w:r>
      <w:r w:rsidR="000F5E59" w:rsidRPr="00390AA7">
        <w:t>care</w:t>
      </w:r>
      <w:r w:rsidRPr="00390AA7">
        <w:t>, sociodemographic and health measurements.</w:t>
      </w:r>
      <w:r w:rsidR="00B2502A" w:rsidRPr="00390AA7">
        <w:t xml:space="preserve"> </w:t>
      </w:r>
      <w:r w:rsidR="00B2502A" w:rsidRPr="00390AA7">
        <w:rPr>
          <w:color w:val="2B579A"/>
          <w:shd w:val="clear" w:color="auto" w:fill="E6E6E6"/>
        </w:rPr>
        <w:fldChar w:fldCharType="begin"/>
      </w:r>
      <w:r w:rsidR="00B2502A" w:rsidRPr="00390AA7">
        <w:instrText xml:space="preserve"> REF _Ref118735672 \h </w:instrText>
      </w:r>
      <w:r w:rsidR="00390AA7">
        <w:rPr>
          <w:color w:val="2B579A"/>
          <w:shd w:val="clear" w:color="auto" w:fill="E6E6E6"/>
        </w:rPr>
        <w:instrText xml:space="preserve"> \* MERGEFORMAT </w:instrText>
      </w:r>
      <w:r w:rsidR="00B2502A" w:rsidRPr="00390AA7">
        <w:rPr>
          <w:color w:val="2B579A"/>
          <w:shd w:val="clear" w:color="auto" w:fill="E6E6E6"/>
        </w:rPr>
      </w:r>
      <w:r w:rsidR="00B2502A" w:rsidRPr="00390AA7">
        <w:rPr>
          <w:color w:val="2B579A"/>
          <w:shd w:val="clear" w:color="auto" w:fill="E6E6E6"/>
        </w:rPr>
        <w:fldChar w:fldCharType="separate"/>
      </w:r>
      <w:r w:rsidR="008D278D" w:rsidRPr="0017099C">
        <w:t xml:space="preserve">Table </w:t>
      </w:r>
      <w:r w:rsidR="008D278D">
        <w:rPr>
          <w:noProof/>
        </w:rPr>
        <w:t>1</w:t>
      </w:r>
      <w:r w:rsidR="00B2502A" w:rsidRPr="00390AA7">
        <w:rPr>
          <w:color w:val="2B579A"/>
          <w:shd w:val="clear" w:color="auto" w:fill="E6E6E6"/>
        </w:rPr>
        <w:fldChar w:fldCharType="end"/>
      </w:r>
      <w:r w:rsidR="00B2502A" w:rsidRPr="00390AA7">
        <w:t xml:space="preserve"> </w:t>
      </w:r>
      <w:r w:rsidRPr="00390AA7">
        <w:t>summarises the topics included in the core content of the 202</w:t>
      </w:r>
      <w:r w:rsidR="00FF24ED" w:rsidRPr="00390AA7">
        <w:t>2</w:t>
      </w:r>
      <w:r w:rsidRPr="00390AA7">
        <w:t>/2</w:t>
      </w:r>
      <w:r w:rsidR="00FF24ED" w:rsidRPr="00390AA7">
        <w:t xml:space="preserve">3 </w:t>
      </w:r>
      <w:r w:rsidRPr="00390AA7">
        <w:t xml:space="preserve">NZHS. </w:t>
      </w:r>
      <w:r w:rsidRPr="0017099C">
        <w:t xml:space="preserve">See the </w:t>
      </w:r>
      <w:r w:rsidRPr="0017099C">
        <w:rPr>
          <w:i/>
        </w:rPr>
        <w:t xml:space="preserve">Content Guide </w:t>
      </w:r>
      <w:r w:rsidRPr="009604F9">
        <w:rPr>
          <w:i/>
        </w:rPr>
        <w:t>202</w:t>
      </w:r>
      <w:r w:rsidR="008F617D" w:rsidRPr="009604F9">
        <w:rPr>
          <w:i/>
        </w:rPr>
        <w:t>2</w:t>
      </w:r>
      <w:r w:rsidRPr="009604F9">
        <w:rPr>
          <w:i/>
        </w:rPr>
        <w:t>/2</w:t>
      </w:r>
      <w:r w:rsidR="008F617D" w:rsidRPr="009604F9">
        <w:rPr>
          <w:i/>
        </w:rPr>
        <w:t>3</w:t>
      </w:r>
      <w:r w:rsidRPr="009604F9" w:rsidDel="00753D78">
        <w:rPr>
          <w:i/>
        </w:rPr>
        <w:t xml:space="preserve"> </w:t>
      </w:r>
      <w:r w:rsidRPr="009604F9">
        <w:rPr>
          <w:iCs/>
        </w:rPr>
        <w:t>(Ministry of Health 202</w:t>
      </w:r>
      <w:r w:rsidR="008F617D" w:rsidRPr="009604F9">
        <w:rPr>
          <w:iCs/>
        </w:rPr>
        <w:t>3</w:t>
      </w:r>
      <w:r w:rsidRPr="009604F9">
        <w:rPr>
          <w:iCs/>
        </w:rPr>
        <w:t>b)</w:t>
      </w:r>
      <w:r w:rsidRPr="0017099C">
        <w:t xml:space="preserve"> for the module topics of each survey year between 2011/12 and 202</w:t>
      </w:r>
      <w:r w:rsidR="008F617D" w:rsidRPr="0017099C">
        <w:t>2</w:t>
      </w:r>
      <w:r w:rsidRPr="0017099C">
        <w:t>/2</w:t>
      </w:r>
      <w:r w:rsidR="008F617D" w:rsidRPr="0017099C">
        <w:t>3</w:t>
      </w:r>
      <w:r w:rsidRPr="0017099C">
        <w:t>.</w:t>
      </w:r>
    </w:p>
    <w:p w14:paraId="1C57F7E4" w14:textId="77777777" w:rsidR="004366B7" w:rsidRPr="00390AA7" w:rsidRDefault="004366B7" w:rsidP="004366B7"/>
    <w:p w14:paraId="52DDC11A" w14:textId="2BDAD647" w:rsidR="00C54902" w:rsidRPr="00CF2783" w:rsidRDefault="00B2502A" w:rsidP="00C54902">
      <w:pPr>
        <w:pStyle w:val="Table"/>
      </w:pPr>
      <w:bookmarkStart w:id="50" w:name="_Ref118735672"/>
      <w:bookmarkStart w:id="51" w:name="_Toc153259119"/>
      <w:bookmarkStart w:id="52" w:name="_Ref338859567"/>
      <w:bookmarkStart w:id="53" w:name="_Toc339878412"/>
      <w:bookmarkStart w:id="54" w:name="_Toc372445582"/>
      <w:bookmarkStart w:id="55" w:name="_Toc403044037"/>
      <w:bookmarkStart w:id="56" w:name="_Toc467491564"/>
      <w:bookmarkStart w:id="57" w:name="_Toc531762382"/>
      <w:bookmarkStart w:id="58" w:name="_Toc531766766"/>
      <w:bookmarkStart w:id="59" w:name="_Toc23857687"/>
      <w:bookmarkStart w:id="60" w:name="_Toc54962246"/>
      <w:bookmarkStart w:id="61" w:name="_Toc88038741"/>
      <w:bookmarkStart w:id="62" w:name="_Hlk85530118"/>
      <w:r w:rsidRPr="0017099C">
        <w:t xml:space="preserve">Table </w:t>
      </w:r>
      <w:r w:rsidRPr="0017099C">
        <w:rPr>
          <w:color w:val="2B579A"/>
          <w:shd w:val="clear" w:color="auto" w:fill="E6E6E6"/>
        </w:rPr>
        <w:fldChar w:fldCharType="begin"/>
      </w:r>
      <w:r w:rsidRPr="0017099C">
        <w:instrText>SEQ Table \* ARABIC</w:instrText>
      </w:r>
      <w:r w:rsidRPr="0017099C">
        <w:rPr>
          <w:color w:val="2B579A"/>
          <w:shd w:val="clear" w:color="auto" w:fill="E6E6E6"/>
        </w:rPr>
        <w:fldChar w:fldCharType="separate"/>
      </w:r>
      <w:r w:rsidR="008D278D">
        <w:rPr>
          <w:noProof/>
        </w:rPr>
        <w:t>1</w:t>
      </w:r>
      <w:r w:rsidRPr="0017099C">
        <w:rPr>
          <w:color w:val="2B579A"/>
          <w:shd w:val="clear" w:color="auto" w:fill="E6E6E6"/>
        </w:rPr>
        <w:fldChar w:fldCharType="end"/>
      </w:r>
      <w:bookmarkEnd w:id="50"/>
      <w:r w:rsidRPr="0017099C">
        <w:t xml:space="preserve">: </w:t>
      </w:r>
      <w:r w:rsidR="004366B7" w:rsidRPr="0017099C">
        <w:t xml:space="preserve">New Zealand Health Survey </w:t>
      </w:r>
      <w:r w:rsidR="004366B7" w:rsidRPr="00E4040B">
        <w:t>202</w:t>
      </w:r>
      <w:r w:rsidR="008F617D" w:rsidRPr="00E4040B">
        <w:t>2</w:t>
      </w:r>
      <w:r w:rsidR="004366B7" w:rsidRPr="00E4040B">
        <w:t>/2</w:t>
      </w:r>
      <w:r w:rsidR="008F617D" w:rsidRPr="00E4040B">
        <w:t>3</w:t>
      </w:r>
      <w:r w:rsidR="004366B7" w:rsidRPr="00E4040B">
        <w:t xml:space="preserve"> core content</w:t>
      </w:r>
      <w:bookmarkEnd w:id="51"/>
      <w:r w:rsidR="004366B7" w:rsidRPr="0017099C">
        <w:t> </w:t>
      </w:r>
    </w:p>
    <w:tbl>
      <w:tblPr>
        <w:tblW w:w="8080" w:type="dxa"/>
        <w:tblInd w:w="57" w:type="dxa"/>
        <w:tblBorders>
          <w:top w:val="single" w:sz="4" w:space="0" w:color="A6A6A6"/>
          <w:bottom w:val="single" w:sz="4" w:space="0" w:color="A6A6A6"/>
          <w:insideH w:val="single" w:sz="4" w:space="0" w:color="A6A6A6"/>
        </w:tblBorders>
        <w:tblLayout w:type="fixed"/>
        <w:tblCellMar>
          <w:left w:w="57" w:type="dxa"/>
          <w:right w:w="57" w:type="dxa"/>
        </w:tblCellMar>
        <w:tblLook w:val="01E0" w:firstRow="1" w:lastRow="1" w:firstColumn="1" w:lastColumn="1" w:noHBand="0" w:noVBand="0"/>
      </w:tblPr>
      <w:tblGrid>
        <w:gridCol w:w="2381"/>
        <w:gridCol w:w="5699"/>
      </w:tblGrid>
      <w:tr w:rsidR="00C54902" w:rsidRPr="00CF2783" w14:paraId="6812085A" w14:textId="77777777" w:rsidTr="00EA0BCB">
        <w:trPr>
          <w:cantSplit/>
          <w:tblHeader/>
        </w:trPr>
        <w:tc>
          <w:tcPr>
            <w:tcW w:w="2381" w:type="dxa"/>
            <w:tcBorders>
              <w:top w:val="nil"/>
              <w:left w:val="nil"/>
              <w:bottom w:val="nil"/>
              <w:right w:val="nil"/>
            </w:tcBorders>
            <w:shd w:val="clear" w:color="auto" w:fill="D9D9D9" w:themeFill="background1" w:themeFillShade="D9"/>
          </w:tcPr>
          <w:p w14:paraId="2045DA44" w14:textId="77777777" w:rsidR="00C54902" w:rsidRPr="00CF2783" w:rsidRDefault="00C54902" w:rsidP="00EA0BCB">
            <w:pPr>
              <w:keepNext/>
              <w:spacing w:before="60" w:after="60"/>
              <w:rPr>
                <w:b/>
                <w:sz w:val="18"/>
              </w:rPr>
            </w:pPr>
            <w:r w:rsidRPr="00CF2783">
              <w:rPr>
                <w:b/>
                <w:sz w:val="18"/>
              </w:rPr>
              <w:t>Domain</w:t>
            </w:r>
          </w:p>
        </w:tc>
        <w:tc>
          <w:tcPr>
            <w:tcW w:w="5699" w:type="dxa"/>
            <w:tcBorders>
              <w:top w:val="nil"/>
              <w:left w:val="nil"/>
              <w:bottom w:val="nil"/>
              <w:right w:val="nil"/>
            </w:tcBorders>
            <w:shd w:val="clear" w:color="auto" w:fill="D9D9D9" w:themeFill="background1" w:themeFillShade="D9"/>
          </w:tcPr>
          <w:p w14:paraId="32D31D26" w14:textId="77777777" w:rsidR="00C54902" w:rsidRPr="00CF2783" w:rsidRDefault="00C54902" w:rsidP="00EA0BCB">
            <w:pPr>
              <w:keepNext/>
              <w:spacing w:before="60" w:after="60"/>
              <w:rPr>
                <w:b/>
                <w:sz w:val="18"/>
              </w:rPr>
            </w:pPr>
            <w:r w:rsidRPr="00CF2783">
              <w:rPr>
                <w:b/>
                <w:sz w:val="18"/>
              </w:rPr>
              <w:t>Topics</w:t>
            </w:r>
          </w:p>
        </w:tc>
      </w:tr>
      <w:tr w:rsidR="00C54902" w:rsidRPr="00CF2783" w14:paraId="6043BD5B" w14:textId="77777777" w:rsidTr="00EA0BCB">
        <w:trPr>
          <w:cantSplit/>
        </w:trPr>
        <w:tc>
          <w:tcPr>
            <w:tcW w:w="8080" w:type="dxa"/>
            <w:gridSpan w:val="2"/>
            <w:tcBorders>
              <w:top w:val="nil"/>
              <w:bottom w:val="nil"/>
            </w:tcBorders>
            <w:shd w:val="clear" w:color="auto" w:fill="F2F2F2" w:themeFill="background1" w:themeFillShade="F2"/>
          </w:tcPr>
          <w:p w14:paraId="16D764D3" w14:textId="77777777" w:rsidR="00C54902" w:rsidRPr="00CF2783" w:rsidRDefault="00C54902" w:rsidP="00EA0BCB">
            <w:pPr>
              <w:keepNext/>
              <w:spacing w:before="60" w:after="60"/>
              <w:rPr>
                <w:b/>
                <w:sz w:val="18"/>
              </w:rPr>
            </w:pPr>
            <w:r w:rsidRPr="00CF2783">
              <w:rPr>
                <w:b/>
                <w:sz w:val="18"/>
              </w:rPr>
              <w:t>Children</w:t>
            </w:r>
          </w:p>
        </w:tc>
      </w:tr>
      <w:tr w:rsidR="00C54902" w:rsidRPr="00CF2783" w14:paraId="08E5611B" w14:textId="77777777" w:rsidTr="00EA0BCB">
        <w:trPr>
          <w:cantSplit/>
        </w:trPr>
        <w:tc>
          <w:tcPr>
            <w:tcW w:w="2381" w:type="dxa"/>
            <w:tcBorders>
              <w:top w:val="nil"/>
            </w:tcBorders>
            <w:shd w:val="clear" w:color="auto" w:fill="auto"/>
          </w:tcPr>
          <w:p w14:paraId="21C42992" w14:textId="77777777" w:rsidR="00C54902" w:rsidRPr="00CF2783" w:rsidRDefault="00C54902" w:rsidP="00EA0BCB">
            <w:pPr>
              <w:keepNext/>
              <w:spacing w:before="60" w:after="60"/>
              <w:rPr>
                <w:sz w:val="18"/>
              </w:rPr>
            </w:pPr>
            <w:r w:rsidRPr="00CF2783">
              <w:rPr>
                <w:sz w:val="18"/>
              </w:rPr>
              <w:t>Long-term health conditions</w:t>
            </w:r>
          </w:p>
        </w:tc>
        <w:tc>
          <w:tcPr>
            <w:tcW w:w="5699" w:type="dxa"/>
            <w:tcBorders>
              <w:top w:val="nil"/>
            </w:tcBorders>
            <w:shd w:val="clear" w:color="auto" w:fill="auto"/>
          </w:tcPr>
          <w:p w14:paraId="7D7B93E3" w14:textId="77777777" w:rsidR="00C54902" w:rsidRPr="00CF2783" w:rsidRDefault="00C54902" w:rsidP="00EA0BCB">
            <w:pPr>
              <w:keepNext/>
              <w:spacing w:before="60" w:after="60"/>
              <w:rPr>
                <w:sz w:val="18"/>
                <w:szCs w:val="18"/>
              </w:rPr>
            </w:pPr>
            <w:r w:rsidRPr="00CF2783">
              <w:rPr>
                <w:sz w:val="18"/>
                <w:szCs w:val="18"/>
              </w:rPr>
              <w:t>Asthma, eczema, developmental disorders, attention deficit hyperactivity disorder, autism spectrum disorder</w:t>
            </w:r>
          </w:p>
        </w:tc>
      </w:tr>
      <w:tr w:rsidR="00C54902" w:rsidRPr="00CF2783" w14:paraId="0C3B9522" w14:textId="77777777" w:rsidTr="00EA0BCB">
        <w:trPr>
          <w:cantSplit/>
        </w:trPr>
        <w:tc>
          <w:tcPr>
            <w:tcW w:w="2381" w:type="dxa"/>
            <w:shd w:val="clear" w:color="auto" w:fill="auto"/>
          </w:tcPr>
          <w:p w14:paraId="62CB032D" w14:textId="77777777" w:rsidR="00C54902" w:rsidRPr="00CF2783" w:rsidRDefault="00C54902" w:rsidP="00EA0BCB">
            <w:pPr>
              <w:keepNext/>
              <w:spacing w:before="60" w:after="60"/>
              <w:rPr>
                <w:sz w:val="18"/>
              </w:rPr>
            </w:pPr>
            <w:r w:rsidRPr="00CF2783">
              <w:rPr>
                <w:sz w:val="18"/>
              </w:rPr>
              <w:t>Health status</w:t>
            </w:r>
          </w:p>
        </w:tc>
        <w:tc>
          <w:tcPr>
            <w:tcW w:w="5699" w:type="dxa"/>
            <w:shd w:val="clear" w:color="auto" w:fill="auto"/>
          </w:tcPr>
          <w:p w14:paraId="2145C24C" w14:textId="77777777" w:rsidR="00C54902" w:rsidRPr="00CF2783" w:rsidRDefault="00C54902" w:rsidP="00EA0BCB">
            <w:pPr>
              <w:keepNext/>
              <w:spacing w:before="60" w:after="60"/>
              <w:rPr>
                <w:sz w:val="18"/>
                <w:szCs w:val="18"/>
              </w:rPr>
            </w:pPr>
            <w:r w:rsidRPr="00CF2783">
              <w:rPr>
                <w:sz w:val="18"/>
                <w:szCs w:val="18"/>
              </w:rPr>
              <w:t>Parent-rated health</w:t>
            </w:r>
          </w:p>
        </w:tc>
      </w:tr>
      <w:tr w:rsidR="00C54902" w:rsidRPr="00CF2783" w14:paraId="6BEB2BFA" w14:textId="77777777" w:rsidTr="00EA0BCB">
        <w:trPr>
          <w:cantSplit/>
        </w:trPr>
        <w:tc>
          <w:tcPr>
            <w:tcW w:w="2381" w:type="dxa"/>
            <w:shd w:val="clear" w:color="auto" w:fill="auto"/>
          </w:tcPr>
          <w:p w14:paraId="64D503AE" w14:textId="77777777" w:rsidR="00C54902" w:rsidRPr="00CF2783" w:rsidRDefault="00C54902" w:rsidP="00EA0BCB">
            <w:pPr>
              <w:spacing w:before="60" w:after="60"/>
              <w:rPr>
                <w:sz w:val="18"/>
              </w:rPr>
            </w:pPr>
            <w:r w:rsidRPr="00CF2783">
              <w:rPr>
                <w:sz w:val="18"/>
              </w:rPr>
              <w:t>Health behaviours and risk factors</w:t>
            </w:r>
          </w:p>
        </w:tc>
        <w:tc>
          <w:tcPr>
            <w:tcW w:w="5699" w:type="dxa"/>
            <w:shd w:val="clear" w:color="auto" w:fill="auto"/>
          </w:tcPr>
          <w:p w14:paraId="5AFB0B3E" w14:textId="77777777" w:rsidR="00C54902" w:rsidRPr="00CF2783" w:rsidRDefault="00C54902" w:rsidP="00EA0BCB">
            <w:pPr>
              <w:spacing w:before="60" w:after="60"/>
              <w:rPr>
                <w:sz w:val="18"/>
              </w:rPr>
            </w:pPr>
            <w:r w:rsidRPr="00CF2783">
              <w:rPr>
                <w:sz w:val="18"/>
              </w:rPr>
              <w:t>Nutrition, physical activity, screen time, sleep, tooth brushing, child discipline</w:t>
            </w:r>
          </w:p>
        </w:tc>
      </w:tr>
      <w:tr w:rsidR="00C54902" w:rsidRPr="00CF2783" w14:paraId="22577B9C" w14:textId="77777777" w:rsidTr="00EA0BCB">
        <w:trPr>
          <w:cantSplit/>
        </w:trPr>
        <w:tc>
          <w:tcPr>
            <w:tcW w:w="2381" w:type="dxa"/>
            <w:shd w:val="clear" w:color="auto" w:fill="auto"/>
          </w:tcPr>
          <w:p w14:paraId="38030996" w14:textId="77777777" w:rsidR="00C54902" w:rsidRPr="00CF2783" w:rsidRDefault="00C54902" w:rsidP="00EA0BCB">
            <w:pPr>
              <w:spacing w:before="60" w:after="60"/>
              <w:rPr>
                <w:sz w:val="18"/>
                <w:szCs w:val="18"/>
              </w:rPr>
            </w:pPr>
            <w:r w:rsidRPr="00CF2783">
              <w:rPr>
                <w:sz w:val="18"/>
                <w:szCs w:val="18"/>
              </w:rPr>
              <w:t xml:space="preserve">Health care services: utilisation and barriers </w:t>
            </w:r>
          </w:p>
        </w:tc>
        <w:tc>
          <w:tcPr>
            <w:tcW w:w="5699" w:type="dxa"/>
            <w:shd w:val="clear" w:color="auto" w:fill="auto"/>
          </w:tcPr>
          <w:p w14:paraId="67938B64" w14:textId="77777777" w:rsidR="00C54902" w:rsidRPr="00CF2783" w:rsidRDefault="00C54902" w:rsidP="00EA0BCB">
            <w:pPr>
              <w:spacing w:before="60" w:after="60"/>
              <w:rPr>
                <w:sz w:val="18"/>
                <w:szCs w:val="18"/>
              </w:rPr>
            </w:pPr>
            <w:r w:rsidRPr="00CF2783">
              <w:rPr>
                <w:sz w:val="18"/>
                <w:szCs w:val="18"/>
              </w:rPr>
              <w:t>General practitioners (GPs), nurses, specialist doctors,</w:t>
            </w:r>
            <w:r w:rsidRPr="00CF2783" w:rsidDel="00CC2624">
              <w:rPr>
                <w:sz w:val="18"/>
                <w:szCs w:val="18"/>
              </w:rPr>
              <w:t xml:space="preserve"> </w:t>
            </w:r>
            <w:r w:rsidRPr="00CF2783">
              <w:rPr>
                <w:sz w:val="18"/>
                <w:szCs w:val="18"/>
              </w:rPr>
              <w:t>emergency departments (EDs), prescriptions, dental health care workers</w:t>
            </w:r>
          </w:p>
        </w:tc>
      </w:tr>
      <w:tr w:rsidR="00C54902" w:rsidRPr="00CF2783" w14:paraId="5814B819" w14:textId="77777777" w:rsidTr="00EA0BCB">
        <w:trPr>
          <w:cantSplit/>
        </w:trPr>
        <w:tc>
          <w:tcPr>
            <w:tcW w:w="2381" w:type="dxa"/>
            <w:shd w:val="clear" w:color="auto" w:fill="auto"/>
          </w:tcPr>
          <w:p w14:paraId="112DC1F4" w14:textId="77777777" w:rsidR="00C54902" w:rsidRPr="00CF2783" w:rsidRDefault="00C54902" w:rsidP="00EA0BCB">
            <w:pPr>
              <w:spacing w:before="60" w:after="60"/>
              <w:rPr>
                <w:sz w:val="18"/>
              </w:rPr>
            </w:pPr>
            <w:r w:rsidRPr="00CF2783">
              <w:rPr>
                <w:sz w:val="18"/>
              </w:rPr>
              <w:t>Sociodemographics</w:t>
            </w:r>
          </w:p>
        </w:tc>
        <w:tc>
          <w:tcPr>
            <w:tcW w:w="5699" w:type="dxa"/>
            <w:shd w:val="clear" w:color="auto" w:fill="auto"/>
          </w:tcPr>
          <w:p w14:paraId="23765C8C" w14:textId="77777777" w:rsidR="00C54902" w:rsidRPr="00CF2783" w:rsidRDefault="00C54902" w:rsidP="00EA0BCB">
            <w:pPr>
              <w:spacing w:before="60" w:after="60"/>
              <w:rPr>
                <w:sz w:val="18"/>
                <w:szCs w:val="18"/>
              </w:rPr>
            </w:pPr>
            <w:r w:rsidRPr="00CF2783">
              <w:rPr>
                <w:sz w:val="18"/>
                <w:szCs w:val="18"/>
              </w:rPr>
              <w:t>Child: gender, age, ethnicity, country of birth, health insurance, Household: housing, household income, household composition (age, gender, and the relationship between all household members), household food security</w:t>
            </w:r>
          </w:p>
          <w:p w14:paraId="0EC93576" w14:textId="77777777" w:rsidR="00C54902" w:rsidRPr="00CF2783" w:rsidRDefault="00C54902" w:rsidP="00EA0BCB">
            <w:pPr>
              <w:spacing w:before="60" w:after="60"/>
              <w:rPr>
                <w:sz w:val="18"/>
              </w:rPr>
            </w:pPr>
            <w:r w:rsidRPr="00CF2783">
              <w:rPr>
                <w:sz w:val="18"/>
              </w:rPr>
              <w:t>Primary caregiver: education and employment status</w:t>
            </w:r>
          </w:p>
        </w:tc>
      </w:tr>
      <w:tr w:rsidR="00C54902" w:rsidRPr="00CF2783" w14:paraId="014BF47D" w14:textId="77777777" w:rsidTr="00B16B0F">
        <w:trPr>
          <w:cantSplit/>
        </w:trPr>
        <w:tc>
          <w:tcPr>
            <w:tcW w:w="2381" w:type="dxa"/>
            <w:tcBorders>
              <w:bottom w:val="single" w:sz="4" w:space="0" w:color="FFFFFF" w:themeColor="background1"/>
            </w:tcBorders>
            <w:shd w:val="clear" w:color="auto" w:fill="auto"/>
          </w:tcPr>
          <w:p w14:paraId="2DE774D2" w14:textId="77777777" w:rsidR="00C54902" w:rsidRPr="00CF2783" w:rsidRDefault="00C54902" w:rsidP="00EA0BCB">
            <w:pPr>
              <w:spacing w:before="60" w:after="60"/>
              <w:rPr>
                <w:sz w:val="18"/>
              </w:rPr>
            </w:pPr>
            <w:r w:rsidRPr="00CF2783">
              <w:rPr>
                <w:sz w:val="18"/>
              </w:rPr>
              <w:t>Health measurements</w:t>
            </w:r>
          </w:p>
        </w:tc>
        <w:tc>
          <w:tcPr>
            <w:tcW w:w="5699" w:type="dxa"/>
            <w:tcBorders>
              <w:bottom w:val="single" w:sz="4" w:space="0" w:color="FFFFFF" w:themeColor="background1"/>
            </w:tcBorders>
            <w:shd w:val="clear" w:color="auto" w:fill="auto"/>
          </w:tcPr>
          <w:p w14:paraId="237958AF" w14:textId="77777777" w:rsidR="00C54902" w:rsidRPr="00CF2783" w:rsidRDefault="00C54902" w:rsidP="00EA0BCB">
            <w:pPr>
              <w:spacing w:before="60" w:after="60"/>
              <w:rPr>
                <w:sz w:val="18"/>
              </w:rPr>
            </w:pPr>
            <w:r w:rsidRPr="00CF2783">
              <w:rPr>
                <w:sz w:val="18"/>
                <w:szCs w:val="18"/>
              </w:rPr>
              <w:t>Height, weight, waist circumference</w:t>
            </w:r>
          </w:p>
        </w:tc>
      </w:tr>
      <w:tr w:rsidR="00C54902" w:rsidRPr="00CF2783" w14:paraId="44E2328F" w14:textId="77777777" w:rsidTr="00B16B0F">
        <w:trPr>
          <w:cantSplit/>
        </w:trPr>
        <w:tc>
          <w:tcPr>
            <w:tcW w:w="8080" w:type="dxa"/>
            <w:gridSpan w:val="2"/>
            <w:tcBorders>
              <w:top w:val="single" w:sz="4" w:space="0" w:color="FFFFFF" w:themeColor="background1"/>
              <w:bottom w:val="nil"/>
            </w:tcBorders>
            <w:shd w:val="clear" w:color="auto" w:fill="F2F2F2" w:themeFill="background1" w:themeFillShade="F2"/>
          </w:tcPr>
          <w:p w14:paraId="59EF1AC1" w14:textId="77777777" w:rsidR="00C54902" w:rsidRPr="00CF2783" w:rsidRDefault="00C54902" w:rsidP="00EA0BCB">
            <w:pPr>
              <w:spacing w:before="60" w:after="60"/>
              <w:rPr>
                <w:b/>
                <w:sz w:val="18"/>
              </w:rPr>
            </w:pPr>
            <w:r w:rsidRPr="00CF2783">
              <w:rPr>
                <w:b/>
                <w:sz w:val="18"/>
              </w:rPr>
              <w:t>Adults</w:t>
            </w:r>
          </w:p>
        </w:tc>
      </w:tr>
      <w:tr w:rsidR="00C54902" w:rsidRPr="00CF2783" w14:paraId="7309AE09" w14:textId="77777777" w:rsidTr="00EA0BCB">
        <w:trPr>
          <w:cantSplit/>
        </w:trPr>
        <w:tc>
          <w:tcPr>
            <w:tcW w:w="2381" w:type="dxa"/>
            <w:tcBorders>
              <w:top w:val="nil"/>
            </w:tcBorders>
            <w:shd w:val="clear" w:color="auto" w:fill="auto"/>
          </w:tcPr>
          <w:p w14:paraId="34BA7217" w14:textId="77777777" w:rsidR="00C54902" w:rsidRPr="00CF2783" w:rsidRDefault="00C54902" w:rsidP="00EA0BCB">
            <w:pPr>
              <w:spacing w:before="60" w:after="60"/>
              <w:rPr>
                <w:sz w:val="18"/>
              </w:rPr>
            </w:pPr>
            <w:r w:rsidRPr="00CF2783">
              <w:rPr>
                <w:sz w:val="18"/>
              </w:rPr>
              <w:t>Long-term health conditions</w:t>
            </w:r>
          </w:p>
        </w:tc>
        <w:tc>
          <w:tcPr>
            <w:tcW w:w="5699" w:type="dxa"/>
            <w:tcBorders>
              <w:top w:val="nil"/>
            </w:tcBorders>
            <w:shd w:val="clear" w:color="auto" w:fill="auto"/>
          </w:tcPr>
          <w:p w14:paraId="6FB7A389" w14:textId="77777777" w:rsidR="00C54902" w:rsidRPr="00CF2783" w:rsidRDefault="00C54902" w:rsidP="00EA0BCB">
            <w:pPr>
              <w:spacing w:before="60" w:after="60"/>
              <w:rPr>
                <w:sz w:val="18"/>
              </w:rPr>
            </w:pPr>
            <w:r w:rsidRPr="00CF2783">
              <w:rPr>
                <w:sz w:val="18"/>
              </w:rPr>
              <w:t>Heart disease, stroke, high cholesterol, high blood pressure, diabetes, asthma, arthritis, chronic pain, psychological distress</w:t>
            </w:r>
          </w:p>
        </w:tc>
      </w:tr>
      <w:tr w:rsidR="00C54902" w:rsidRPr="00CF2783" w14:paraId="4AB5FA66" w14:textId="77777777" w:rsidTr="00EA0BCB">
        <w:trPr>
          <w:cantSplit/>
        </w:trPr>
        <w:tc>
          <w:tcPr>
            <w:tcW w:w="2381" w:type="dxa"/>
            <w:shd w:val="clear" w:color="auto" w:fill="auto"/>
          </w:tcPr>
          <w:p w14:paraId="5566856E" w14:textId="77777777" w:rsidR="00C54902" w:rsidRPr="00CF2783" w:rsidRDefault="00C54902" w:rsidP="00EA0BCB">
            <w:pPr>
              <w:spacing w:before="60" w:after="60"/>
              <w:rPr>
                <w:sz w:val="18"/>
              </w:rPr>
            </w:pPr>
            <w:r w:rsidRPr="00CF2783">
              <w:rPr>
                <w:sz w:val="18"/>
              </w:rPr>
              <w:t>Health status</w:t>
            </w:r>
          </w:p>
        </w:tc>
        <w:tc>
          <w:tcPr>
            <w:tcW w:w="5699" w:type="dxa"/>
            <w:shd w:val="clear" w:color="auto" w:fill="auto"/>
          </w:tcPr>
          <w:p w14:paraId="5919B808" w14:textId="77777777" w:rsidR="00C54902" w:rsidRPr="00CF2783" w:rsidRDefault="00C54902" w:rsidP="00EA0BCB">
            <w:pPr>
              <w:spacing w:before="60" w:after="60"/>
              <w:rPr>
                <w:sz w:val="18"/>
                <w:szCs w:val="18"/>
              </w:rPr>
            </w:pPr>
            <w:r w:rsidRPr="00CF2783">
              <w:rPr>
                <w:sz w:val="18"/>
                <w:szCs w:val="18"/>
              </w:rPr>
              <w:t xml:space="preserve">General health (physical and mental health), functional difficulties (disability status), life satisfaction, family wellbeing, loneliness </w:t>
            </w:r>
          </w:p>
        </w:tc>
      </w:tr>
      <w:tr w:rsidR="00C54902" w:rsidRPr="00CF2783" w14:paraId="1D0375EF" w14:textId="77777777" w:rsidTr="00EA0BCB">
        <w:trPr>
          <w:cantSplit/>
        </w:trPr>
        <w:tc>
          <w:tcPr>
            <w:tcW w:w="2381" w:type="dxa"/>
            <w:shd w:val="clear" w:color="auto" w:fill="auto"/>
          </w:tcPr>
          <w:p w14:paraId="4253FFAF" w14:textId="77777777" w:rsidR="00C54902" w:rsidRPr="00CF2783" w:rsidRDefault="00C54902" w:rsidP="00EA0BCB">
            <w:pPr>
              <w:spacing w:before="60" w:after="60"/>
              <w:rPr>
                <w:sz w:val="18"/>
              </w:rPr>
            </w:pPr>
            <w:r w:rsidRPr="00CF2783">
              <w:rPr>
                <w:sz w:val="18"/>
              </w:rPr>
              <w:t>Health behaviours and risk factors</w:t>
            </w:r>
          </w:p>
        </w:tc>
        <w:tc>
          <w:tcPr>
            <w:tcW w:w="5699" w:type="dxa"/>
            <w:shd w:val="clear" w:color="auto" w:fill="auto"/>
          </w:tcPr>
          <w:p w14:paraId="2B84B43E" w14:textId="77777777" w:rsidR="00C54902" w:rsidRPr="00CF2783" w:rsidRDefault="00C54902" w:rsidP="00EA0BCB">
            <w:pPr>
              <w:spacing w:before="60" w:after="60"/>
              <w:rPr>
                <w:sz w:val="18"/>
              </w:rPr>
            </w:pPr>
            <w:r w:rsidRPr="00CF2783">
              <w:rPr>
                <w:sz w:val="18"/>
              </w:rPr>
              <w:t>Tobacco smoking, electronic cigarette use, alcohol use, drug use, nutrition, physical activity, sleep, tooth brushing</w:t>
            </w:r>
          </w:p>
        </w:tc>
      </w:tr>
      <w:tr w:rsidR="00C54902" w:rsidRPr="00CF2783" w14:paraId="3F197B89" w14:textId="77777777" w:rsidTr="00B16B0F">
        <w:trPr>
          <w:cantSplit/>
        </w:trPr>
        <w:tc>
          <w:tcPr>
            <w:tcW w:w="2381" w:type="dxa"/>
            <w:tcBorders>
              <w:bottom w:val="single" w:sz="4" w:space="0" w:color="FFFFFF" w:themeColor="background1"/>
            </w:tcBorders>
            <w:shd w:val="clear" w:color="auto" w:fill="auto"/>
          </w:tcPr>
          <w:p w14:paraId="28D00946" w14:textId="77777777" w:rsidR="00C54902" w:rsidRPr="00CF2783" w:rsidRDefault="00C54902" w:rsidP="00EA0BCB">
            <w:pPr>
              <w:spacing w:before="60" w:after="60"/>
              <w:rPr>
                <w:sz w:val="18"/>
              </w:rPr>
            </w:pPr>
            <w:r w:rsidRPr="00CF2783">
              <w:rPr>
                <w:sz w:val="18"/>
              </w:rPr>
              <w:t>Health care services: utilisation and barriers</w:t>
            </w:r>
          </w:p>
        </w:tc>
        <w:tc>
          <w:tcPr>
            <w:tcW w:w="5699" w:type="dxa"/>
            <w:tcBorders>
              <w:bottom w:val="single" w:sz="4" w:space="0" w:color="FFFFFF" w:themeColor="background1"/>
            </w:tcBorders>
            <w:shd w:val="clear" w:color="auto" w:fill="auto"/>
          </w:tcPr>
          <w:p w14:paraId="500085CA" w14:textId="77777777" w:rsidR="00C54902" w:rsidRPr="00CF2783" w:rsidRDefault="00C54902" w:rsidP="00EA0BCB">
            <w:pPr>
              <w:spacing w:before="60" w:after="60"/>
              <w:rPr>
                <w:sz w:val="18"/>
                <w:szCs w:val="18"/>
              </w:rPr>
            </w:pPr>
            <w:r w:rsidRPr="00CF2783">
              <w:rPr>
                <w:sz w:val="18"/>
                <w:szCs w:val="18"/>
              </w:rPr>
              <w:t>General practitioners, nurses, specialist doctors, EDs, prescriptions, dental health care workers</w:t>
            </w:r>
          </w:p>
        </w:tc>
      </w:tr>
      <w:tr w:rsidR="00C54902" w:rsidRPr="00CF2783" w14:paraId="44BEE4F4" w14:textId="77777777" w:rsidTr="00B16B0F">
        <w:trPr>
          <w:cantSplit/>
        </w:trPr>
        <w:tc>
          <w:tcPr>
            <w:tcW w:w="2381" w:type="dxa"/>
            <w:tcBorders>
              <w:top w:val="single" w:sz="4" w:space="0" w:color="FFFFFF" w:themeColor="background1"/>
            </w:tcBorders>
            <w:shd w:val="clear" w:color="auto" w:fill="auto"/>
          </w:tcPr>
          <w:p w14:paraId="4FA518DA" w14:textId="77777777" w:rsidR="00C54902" w:rsidRPr="00CF2783" w:rsidRDefault="00C54902" w:rsidP="00EA0BCB">
            <w:pPr>
              <w:spacing w:before="60" w:after="60"/>
              <w:rPr>
                <w:sz w:val="18"/>
              </w:rPr>
            </w:pPr>
            <w:r w:rsidRPr="00CF2783">
              <w:rPr>
                <w:sz w:val="18"/>
              </w:rPr>
              <w:t>Sociodemographics</w:t>
            </w:r>
          </w:p>
        </w:tc>
        <w:tc>
          <w:tcPr>
            <w:tcW w:w="5699" w:type="dxa"/>
            <w:tcBorders>
              <w:top w:val="single" w:sz="4" w:space="0" w:color="FFFFFF" w:themeColor="background1"/>
            </w:tcBorders>
            <w:shd w:val="clear" w:color="auto" w:fill="auto"/>
          </w:tcPr>
          <w:p w14:paraId="0BB7341F" w14:textId="77777777" w:rsidR="00C54902" w:rsidRPr="00CF2783" w:rsidRDefault="00C54902" w:rsidP="00EA0BCB">
            <w:pPr>
              <w:spacing w:before="60" w:after="60"/>
              <w:rPr>
                <w:sz w:val="18"/>
              </w:rPr>
            </w:pPr>
            <w:r w:rsidRPr="00CF2783">
              <w:rPr>
                <w:sz w:val="18"/>
              </w:rPr>
              <w:t>Adult: sex, gender, age, ethnicity, sexual identity, languages spoken, country of birth, education, personal income and income sources, employment status, health insurance</w:t>
            </w:r>
          </w:p>
          <w:p w14:paraId="0E574356" w14:textId="77777777" w:rsidR="00C54902" w:rsidRPr="00CF2783" w:rsidRDefault="00C54902" w:rsidP="00EA0BCB">
            <w:pPr>
              <w:spacing w:before="60" w:after="60"/>
              <w:rPr>
                <w:sz w:val="18"/>
              </w:rPr>
            </w:pPr>
            <w:r w:rsidRPr="00CF2783">
              <w:rPr>
                <w:sz w:val="18"/>
                <w:szCs w:val="18"/>
              </w:rPr>
              <w:t>Household: housing, household income, household composition (age, gender, and the relationship between all household members</w:t>
            </w:r>
            <w:r w:rsidRPr="00CF2783">
              <w:rPr>
                <w:sz w:val="18"/>
              </w:rPr>
              <w:t>)</w:t>
            </w:r>
          </w:p>
        </w:tc>
      </w:tr>
      <w:tr w:rsidR="00C54902" w:rsidRPr="00CF2783" w14:paraId="6466F878" w14:textId="77777777" w:rsidTr="00EA0BCB">
        <w:trPr>
          <w:cantSplit/>
        </w:trPr>
        <w:tc>
          <w:tcPr>
            <w:tcW w:w="2381" w:type="dxa"/>
            <w:shd w:val="clear" w:color="auto" w:fill="auto"/>
          </w:tcPr>
          <w:p w14:paraId="6A622CA5" w14:textId="77777777" w:rsidR="00C54902" w:rsidRPr="00CF2783" w:rsidRDefault="00C54902" w:rsidP="00EA0BCB">
            <w:pPr>
              <w:spacing w:before="60" w:after="60"/>
              <w:rPr>
                <w:sz w:val="18"/>
              </w:rPr>
            </w:pPr>
            <w:r w:rsidRPr="00CF2783">
              <w:rPr>
                <w:sz w:val="18"/>
              </w:rPr>
              <w:t>Health measurements</w:t>
            </w:r>
          </w:p>
        </w:tc>
        <w:tc>
          <w:tcPr>
            <w:tcW w:w="5699" w:type="dxa"/>
            <w:shd w:val="clear" w:color="auto" w:fill="auto"/>
          </w:tcPr>
          <w:p w14:paraId="5357A522" w14:textId="77777777" w:rsidR="00C54902" w:rsidRPr="00CF2783" w:rsidRDefault="00C54902" w:rsidP="00EA0BCB">
            <w:pPr>
              <w:spacing w:before="60" w:after="60"/>
              <w:rPr>
                <w:rStyle w:val="FootnoteReference"/>
                <w:sz w:val="18"/>
                <w:szCs w:val="18"/>
              </w:rPr>
            </w:pPr>
            <w:r w:rsidRPr="00CF2783">
              <w:rPr>
                <w:sz w:val="18"/>
                <w:szCs w:val="18"/>
              </w:rPr>
              <w:t>Height, weight, waist circumference, measured blood pressure</w:t>
            </w:r>
          </w:p>
        </w:tc>
      </w:tr>
    </w:tbl>
    <w:p w14:paraId="5D56FBBE" w14:textId="77777777" w:rsidR="00C54902" w:rsidRDefault="00C54902" w:rsidP="00C54902">
      <w:pPr>
        <w:pStyle w:val="Source"/>
        <w:spacing w:line="259" w:lineRule="auto"/>
        <w:rPr>
          <w:lang w:eastAsia="en-NZ"/>
        </w:rPr>
      </w:pPr>
      <w:r w:rsidRPr="00CF2783">
        <w:rPr>
          <w:lang w:eastAsia="en-NZ"/>
        </w:rPr>
        <w:t>Notes: Health measurements (including measured blood pressure) were not collected in the 2021/22 NZHS due to COVID-19 restrictions. Blood pressure was not measured in the 2017/18 and 2022/23 surveys due to a lack of time.</w:t>
      </w:r>
    </w:p>
    <w:p w14:paraId="3088EF74" w14:textId="77777777" w:rsidR="00C54902" w:rsidRPr="00C54902" w:rsidRDefault="00C54902" w:rsidP="00C54902">
      <w:pPr>
        <w:rPr>
          <w:lang w:eastAsia="en-NZ"/>
        </w:rPr>
      </w:pPr>
    </w:p>
    <w:p w14:paraId="2B81E1CC" w14:textId="77777777" w:rsidR="00A6291E" w:rsidRPr="00390AA7" w:rsidRDefault="00A6291E" w:rsidP="00A6291E">
      <w:pPr>
        <w:rPr>
          <w:lang w:eastAsia="en-NZ"/>
        </w:rPr>
      </w:pPr>
    </w:p>
    <w:p w14:paraId="09DEB75C" w14:textId="77777777" w:rsidR="003C7201" w:rsidRDefault="003C7201">
      <w:pPr>
        <w:rPr>
          <w:b/>
          <w:color w:val="23305D"/>
          <w:spacing w:val="-10"/>
          <w:sz w:val="72"/>
        </w:rPr>
      </w:pPr>
      <w:bookmarkStart w:id="63" w:name="_Toc339270001"/>
      <w:bookmarkStart w:id="64" w:name="_Toc340501927"/>
      <w:bookmarkStart w:id="65" w:name="_Toc372445547"/>
      <w:bookmarkStart w:id="66" w:name="_Toc403044001"/>
      <w:bookmarkStart w:id="67" w:name="_Toc467491517"/>
      <w:bookmarkStart w:id="68" w:name="_Toc531762334"/>
      <w:bookmarkStart w:id="69" w:name="_Toc531783691"/>
      <w:bookmarkStart w:id="70" w:name="_Toc22887924"/>
      <w:bookmarkStart w:id="71" w:name="_Toc55206831"/>
      <w:bookmarkStart w:id="72" w:name="_Toc88752028"/>
      <w:bookmarkStart w:id="73" w:name="_Toc199225779"/>
      <w:bookmarkEnd w:id="36"/>
      <w:bookmarkEnd w:id="37"/>
      <w:bookmarkEnd w:id="52"/>
      <w:bookmarkEnd w:id="53"/>
      <w:bookmarkEnd w:id="54"/>
      <w:bookmarkEnd w:id="55"/>
      <w:bookmarkEnd w:id="56"/>
      <w:bookmarkEnd w:id="57"/>
      <w:bookmarkEnd w:id="58"/>
      <w:bookmarkEnd w:id="59"/>
      <w:bookmarkEnd w:id="60"/>
      <w:bookmarkEnd w:id="61"/>
      <w:bookmarkEnd w:id="62"/>
      <w:r>
        <w:br w:type="page"/>
      </w:r>
    </w:p>
    <w:p w14:paraId="2B140DFA" w14:textId="1E825AB6" w:rsidR="004366B7" w:rsidRPr="00390AA7" w:rsidRDefault="004366B7" w:rsidP="00B2502A">
      <w:pPr>
        <w:pStyle w:val="Heading1"/>
        <w:spacing w:before="0"/>
      </w:pPr>
      <w:bookmarkStart w:id="74" w:name="_Toc153259076"/>
      <w:r w:rsidRPr="00390AA7">
        <w:t>Survey population and sample design</w:t>
      </w:r>
      <w:bookmarkEnd w:id="63"/>
      <w:bookmarkEnd w:id="64"/>
      <w:bookmarkEnd w:id="65"/>
      <w:bookmarkEnd w:id="66"/>
      <w:bookmarkEnd w:id="67"/>
      <w:bookmarkEnd w:id="68"/>
      <w:bookmarkEnd w:id="69"/>
      <w:bookmarkEnd w:id="70"/>
      <w:bookmarkEnd w:id="71"/>
      <w:bookmarkEnd w:id="72"/>
      <w:bookmarkEnd w:id="74"/>
    </w:p>
    <w:p w14:paraId="3B68E9D1" w14:textId="77777777" w:rsidR="004366B7" w:rsidRPr="00390AA7" w:rsidRDefault="004366B7" w:rsidP="004366B7">
      <w:bookmarkStart w:id="75" w:name="_Toc335133100"/>
      <w:r w:rsidRPr="00390AA7">
        <w:t>This section describes the target population, the survey population and the sample design for the NZHS.</w:t>
      </w:r>
    </w:p>
    <w:p w14:paraId="76A01C08" w14:textId="77777777" w:rsidR="004366B7" w:rsidRPr="00390AA7" w:rsidRDefault="004366B7" w:rsidP="004366B7">
      <w:pPr>
        <w:pStyle w:val="Heading2"/>
      </w:pPr>
      <w:bookmarkStart w:id="76" w:name="_Toc339270002"/>
      <w:bookmarkStart w:id="77" w:name="_Toc340501928"/>
      <w:bookmarkStart w:id="78" w:name="_Toc372445548"/>
      <w:bookmarkStart w:id="79" w:name="_Toc403044002"/>
      <w:bookmarkStart w:id="80" w:name="_Toc467491518"/>
      <w:bookmarkStart w:id="81" w:name="_Toc531762335"/>
      <w:bookmarkStart w:id="82" w:name="_Toc531783692"/>
      <w:bookmarkStart w:id="83" w:name="_Toc22887925"/>
      <w:bookmarkStart w:id="84" w:name="_Toc55206832"/>
      <w:bookmarkStart w:id="85" w:name="_Toc88752029"/>
      <w:bookmarkStart w:id="86" w:name="_Toc153259077"/>
      <w:r w:rsidRPr="00390AA7">
        <w:t>Target and survey population</w:t>
      </w:r>
      <w:bookmarkEnd w:id="75"/>
      <w:bookmarkEnd w:id="76"/>
      <w:bookmarkEnd w:id="77"/>
      <w:bookmarkEnd w:id="78"/>
      <w:bookmarkEnd w:id="79"/>
      <w:bookmarkEnd w:id="80"/>
      <w:bookmarkEnd w:id="81"/>
      <w:bookmarkEnd w:id="82"/>
      <w:bookmarkEnd w:id="83"/>
      <w:bookmarkEnd w:id="84"/>
      <w:bookmarkEnd w:id="85"/>
      <w:bookmarkEnd w:id="86"/>
    </w:p>
    <w:p w14:paraId="77604DB9" w14:textId="77777777" w:rsidR="004366B7" w:rsidRPr="00390AA7" w:rsidRDefault="004366B7" w:rsidP="004366B7">
      <w:r w:rsidRPr="00390AA7">
        <w:t xml:space="preserve">The </w:t>
      </w:r>
      <w:r w:rsidRPr="00390AA7">
        <w:rPr>
          <w:b/>
        </w:rPr>
        <w:t>target population</w:t>
      </w:r>
      <w:r w:rsidRPr="00390AA7">
        <w:t xml:space="preserve"> is the population the survey aims to represent. The </w:t>
      </w:r>
      <w:r w:rsidRPr="00390AA7">
        <w:rPr>
          <w:b/>
        </w:rPr>
        <w:t>survey population</w:t>
      </w:r>
      <w:r w:rsidRPr="00390AA7">
        <w:t xml:space="preserve"> is the population that was covered in the survey.</w:t>
      </w:r>
    </w:p>
    <w:p w14:paraId="48CDCF2B" w14:textId="77777777" w:rsidR="004366B7" w:rsidRPr="00390AA7" w:rsidRDefault="004366B7" w:rsidP="004366B7">
      <w:pPr>
        <w:pStyle w:val="Heading3"/>
      </w:pPr>
      <w:bookmarkStart w:id="87" w:name="_Toc199225772"/>
      <w:bookmarkStart w:id="88" w:name="_Toc201042976"/>
      <w:bookmarkStart w:id="89" w:name="_Toc335133101"/>
      <w:bookmarkStart w:id="90" w:name="_Toc339270003"/>
      <w:r w:rsidRPr="00390AA7">
        <w:t>Target population</w:t>
      </w:r>
      <w:bookmarkEnd w:id="87"/>
      <w:bookmarkEnd w:id="88"/>
      <w:bookmarkEnd w:id="89"/>
      <w:bookmarkEnd w:id="90"/>
    </w:p>
    <w:p w14:paraId="1A9191DF" w14:textId="77777777" w:rsidR="004366B7" w:rsidRPr="00390AA7" w:rsidRDefault="004366B7" w:rsidP="004366B7">
      <w:pPr>
        <w:rPr>
          <w:szCs w:val="24"/>
        </w:rPr>
      </w:pPr>
      <w:r w:rsidRPr="00390AA7">
        <w:t>The target population for the NZHS is the New Zealand ‘usually resident’ population of all ages, including those living in non-private accommodation.</w:t>
      </w:r>
    </w:p>
    <w:p w14:paraId="5D95C50B" w14:textId="77777777" w:rsidR="004366B7" w:rsidRPr="00390AA7" w:rsidRDefault="004366B7" w:rsidP="004366B7"/>
    <w:p w14:paraId="55B51734" w14:textId="0780C3EF" w:rsidR="004366B7" w:rsidRPr="00390AA7" w:rsidRDefault="004366B7" w:rsidP="004366B7">
      <w:bookmarkStart w:id="91" w:name="_Hlk85472404"/>
      <w:r w:rsidRPr="00390AA7">
        <w:t>The target population is approximately 4.</w:t>
      </w:r>
      <w:r w:rsidR="00BD665C" w:rsidRPr="00390AA7">
        <w:t>2</w:t>
      </w:r>
      <w:r w:rsidRPr="00390AA7">
        <w:t xml:space="preserve"> million adults (aged 15 years and over) and 0.9</w:t>
      </w:r>
      <w:r w:rsidR="00BD665C" w:rsidRPr="00390AA7">
        <w:t>6</w:t>
      </w:r>
      <w:r w:rsidRPr="00390AA7">
        <w:t> million children (aged from birth to 14 years), according to the Stats NZ estimated resident population as</w:t>
      </w:r>
      <w:r w:rsidR="00BD665C" w:rsidRPr="00390AA7">
        <w:t xml:space="preserve"> at</w:t>
      </w:r>
      <w:r w:rsidRPr="00390AA7">
        <w:t xml:space="preserve"> </w:t>
      </w:r>
      <w:r w:rsidR="008D1A0D">
        <w:t>30</w:t>
      </w:r>
      <w:r w:rsidR="009920B5">
        <w:t xml:space="preserve"> </w:t>
      </w:r>
      <w:r w:rsidR="0094060B">
        <w:t>September</w:t>
      </w:r>
      <w:r w:rsidRPr="00390AA7">
        <w:t xml:space="preserve"> 202</w:t>
      </w:r>
      <w:r w:rsidR="00BD665C" w:rsidRPr="00390AA7">
        <w:t>2</w:t>
      </w:r>
      <w:r w:rsidRPr="00390AA7">
        <w:t xml:space="preserve"> (Stats NZ 202</w:t>
      </w:r>
      <w:r w:rsidR="00BD665C" w:rsidRPr="00390AA7">
        <w:t>3</w:t>
      </w:r>
      <w:r w:rsidRPr="00390AA7">
        <w:t>).</w:t>
      </w:r>
    </w:p>
    <w:bookmarkEnd w:id="91"/>
    <w:p w14:paraId="1F48086C" w14:textId="77777777" w:rsidR="004366B7" w:rsidRPr="00390AA7" w:rsidRDefault="004366B7" w:rsidP="004366B7"/>
    <w:p w14:paraId="2977EB9B" w14:textId="77777777" w:rsidR="004366B7" w:rsidRPr="00390AA7" w:rsidRDefault="004366B7" w:rsidP="004366B7">
      <w:pPr>
        <w:rPr>
          <w:rFonts w:eastAsia="Cambria" w:cs="Arial"/>
          <w:szCs w:val="24"/>
          <w:lang w:eastAsia="en-US"/>
        </w:rPr>
      </w:pPr>
      <w:r w:rsidRPr="00390AA7">
        <w:t>The NZHS previously (in 2006/07 and earlier) included only people living in private accommodation. The target population for the current NZHS includes people living in some types of non-private accommodation, t</w:t>
      </w:r>
      <w:r w:rsidRPr="00390AA7">
        <w:rPr>
          <w:rFonts w:eastAsia="Cambria" w:cs="Arial"/>
          <w:szCs w:val="24"/>
          <w:lang w:eastAsia="en-US"/>
        </w:rPr>
        <w:t>o improve coverage of older people.</w:t>
      </w:r>
    </w:p>
    <w:p w14:paraId="3C14A9C6" w14:textId="77777777" w:rsidR="004366B7" w:rsidRPr="00390AA7" w:rsidRDefault="004366B7" w:rsidP="004366B7">
      <w:pPr>
        <w:pStyle w:val="Heading3"/>
      </w:pPr>
      <w:bookmarkStart w:id="92" w:name="_Toc199225773"/>
      <w:bookmarkStart w:id="93" w:name="_Toc201042977"/>
      <w:bookmarkStart w:id="94" w:name="_Toc335133102"/>
      <w:bookmarkStart w:id="95" w:name="_Toc339270004"/>
      <w:r w:rsidRPr="00390AA7">
        <w:t>Survey population</w:t>
      </w:r>
      <w:bookmarkEnd w:id="92"/>
      <w:bookmarkEnd w:id="93"/>
      <w:bookmarkEnd w:id="94"/>
      <w:bookmarkEnd w:id="95"/>
    </w:p>
    <w:p w14:paraId="7FC1EA2A" w14:textId="77777777" w:rsidR="004366B7" w:rsidRPr="00390AA7" w:rsidRDefault="004366B7" w:rsidP="004366B7">
      <w:pPr>
        <w:rPr>
          <w:spacing w:val="-2"/>
        </w:rPr>
      </w:pPr>
      <w:r w:rsidRPr="00390AA7">
        <w:rPr>
          <w:spacing w:val="-2"/>
        </w:rPr>
        <w:t>Approximately 99% of the New Zealand ‘usually resident’ population of all ages is eligible to participate in the NZHS. For practical reasons, a small proportion of the target population is excluded from the survey population.</w:t>
      </w:r>
      <w:bookmarkStart w:id="96" w:name="_Hlk21006379"/>
      <w:r w:rsidRPr="00390AA7">
        <w:rPr>
          <w:spacing w:val="-2"/>
        </w:rPr>
        <w:t xml:space="preserve"> People in this category include:</w:t>
      </w:r>
    </w:p>
    <w:bookmarkEnd w:id="96"/>
    <w:p w14:paraId="4D415A46" w14:textId="77777777" w:rsidR="004366B7" w:rsidRPr="00390AA7" w:rsidRDefault="004366B7" w:rsidP="004366B7">
      <w:pPr>
        <w:pStyle w:val="Bullet"/>
      </w:pPr>
      <w:r w:rsidRPr="00390AA7">
        <w:t>those in most types of non-private dwellings (prisons, hospitals, hospices, dementia care units and hospital-level care in aged-care facilities)</w:t>
      </w:r>
    </w:p>
    <w:p w14:paraId="5F310393" w14:textId="77777777" w:rsidR="004366B7" w:rsidRPr="00390AA7" w:rsidRDefault="004366B7" w:rsidP="004366B7">
      <w:pPr>
        <w:pStyle w:val="Bullet"/>
      </w:pPr>
      <w:r w:rsidRPr="00390AA7">
        <w:t>non-New Zealand diplomats, diplomatic staff and their dependants</w:t>
      </w:r>
    </w:p>
    <w:p w14:paraId="7662F790" w14:textId="77777777" w:rsidR="004366B7" w:rsidRPr="00390AA7" w:rsidRDefault="004366B7" w:rsidP="004366B7">
      <w:pPr>
        <w:pStyle w:val="Bullet"/>
      </w:pPr>
      <w:r w:rsidRPr="00390AA7">
        <w:t xml:space="preserve">people who </w:t>
      </w:r>
      <w:r w:rsidRPr="00390AA7">
        <w:rPr>
          <w:bCs/>
        </w:rPr>
        <w:t xml:space="preserve">usually live in </w:t>
      </w:r>
      <w:bookmarkStart w:id="97" w:name="_Hlk21006286"/>
      <w:r w:rsidRPr="00390AA7">
        <w:rPr>
          <w:bCs/>
        </w:rPr>
        <w:t>a household</w:t>
      </w:r>
      <w:bookmarkEnd w:id="97"/>
      <w:r w:rsidRPr="00390AA7">
        <w:t xml:space="preserve"> but are </w:t>
      </w:r>
      <w:r w:rsidRPr="00390AA7">
        <w:rPr>
          <w:bCs/>
        </w:rPr>
        <w:t>currently away</w:t>
      </w:r>
      <w:r w:rsidRPr="00390AA7">
        <w:t xml:space="preserve"> and </w:t>
      </w:r>
      <w:r w:rsidRPr="00390AA7">
        <w:rPr>
          <w:bCs/>
        </w:rPr>
        <w:t>will not return</w:t>
      </w:r>
      <w:r w:rsidRPr="00390AA7">
        <w:t xml:space="preserve"> </w:t>
      </w:r>
      <w:r w:rsidRPr="00390AA7">
        <w:rPr>
          <w:bCs/>
        </w:rPr>
        <w:t>within the next four weeks</w:t>
      </w:r>
      <w:r w:rsidRPr="00390AA7">
        <w:t xml:space="preserve"> (except students based in hostels and boarding schools)</w:t>
      </w:r>
    </w:p>
    <w:p w14:paraId="4DC0555C" w14:textId="77777777" w:rsidR="004366B7" w:rsidRPr="00390AA7" w:rsidRDefault="004366B7" w:rsidP="004366B7">
      <w:pPr>
        <w:pStyle w:val="Bullet"/>
      </w:pPr>
      <w:r w:rsidRPr="00390AA7">
        <w:rPr>
          <w:szCs w:val="24"/>
        </w:rPr>
        <w:t xml:space="preserve">people in households </w:t>
      </w:r>
      <w:r w:rsidRPr="00390AA7">
        <w:t>located on islands other than the North Island, South Island and Waiheke Island.</w:t>
      </w:r>
    </w:p>
    <w:p w14:paraId="180032FD" w14:textId="77777777" w:rsidR="00A6291E" w:rsidRPr="00390AA7" w:rsidRDefault="00A6291E" w:rsidP="004366B7"/>
    <w:p w14:paraId="5D7A92DB" w14:textId="77777777" w:rsidR="004366B7" w:rsidRPr="00390AA7" w:rsidRDefault="004366B7" w:rsidP="004366B7">
      <w:pPr>
        <w:keepNext/>
      </w:pPr>
      <w:r w:rsidRPr="00390AA7">
        <w:t>Included in the survey population are:</w:t>
      </w:r>
    </w:p>
    <w:p w14:paraId="4260C2E3" w14:textId="77777777" w:rsidR="004366B7" w:rsidRPr="00390AA7" w:rsidRDefault="004366B7" w:rsidP="004366B7">
      <w:pPr>
        <w:pStyle w:val="Bullet"/>
      </w:pPr>
      <w:bookmarkStart w:id="98" w:name="_Hlk21009602"/>
      <w:r w:rsidRPr="00390AA7">
        <w:t xml:space="preserve">usual residents who </w:t>
      </w:r>
      <w:bookmarkEnd w:id="98"/>
      <w:r w:rsidRPr="00390AA7">
        <w:t>live in aged-care facilities (rest homes)</w:t>
      </w:r>
    </w:p>
    <w:p w14:paraId="15214473" w14:textId="77777777" w:rsidR="004366B7" w:rsidRPr="00390AA7" w:rsidRDefault="004366B7" w:rsidP="004366B7">
      <w:pPr>
        <w:pStyle w:val="Bullet"/>
      </w:pPr>
      <w:r w:rsidRPr="00390AA7">
        <w:t>students who live away for at least four weeks from their household in student accommodation (university hostels and boarding schools)</w:t>
      </w:r>
    </w:p>
    <w:p w14:paraId="384BBC48" w14:textId="77777777" w:rsidR="004366B7" w:rsidRPr="00390AA7" w:rsidRDefault="004366B7" w:rsidP="004366B7">
      <w:pPr>
        <w:pStyle w:val="Bullet"/>
      </w:pPr>
      <w:r w:rsidRPr="00390AA7">
        <w:t>usual residents who live in a household, but are away for less than four weeks</w:t>
      </w:r>
    </w:p>
    <w:p w14:paraId="4C82DB17" w14:textId="77777777" w:rsidR="004366B7" w:rsidRPr="00390AA7" w:rsidRDefault="004366B7" w:rsidP="004366B7">
      <w:pPr>
        <w:pStyle w:val="Bullet"/>
      </w:pPr>
      <w:bookmarkStart w:id="99" w:name="_Hlk21009303"/>
      <w:r w:rsidRPr="00390AA7">
        <w:t>ch</w:t>
      </w:r>
      <w:bookmarkEnd w:id="99"/>
      <w:r w:rsidRPr="00390AA7">
        <w:t xml:space="preserve">ildren under </w:t>
      </w:r>
      <w:r w:rsidRPr="00390AA7">
        <w:rPr>
          <w:bCs/>
        </w:rPr>
        <w:t xml:space="preserve">shared care arrangements </w:t>
      </w:r>
      <w:r w:rsidRPr="00390AA7">
        <w:t>if they spend:</w:t>
      </w:r>
    </w:p>
    <w:p w14:paraId="531BDF64" w14:textId="77777777" w:rsidR="004366B7" w:rsidRPr="00390AA7" w:rsidRDefault="004366B7" w:rsidP="004366B7">
      <w:pPr>
        <w:pStyle w:val="Dash"/>
      </w:pPr>
      <w:r w:rsidRPr="00390AA7">
        <w:t>at least four days per week in the current household</w:t>
      </w:r>
    </w:p>
    <w:p w14:paraId="6F55D797" w14:textId="77777777" w:rsidR="004366B7" w:rsidRPr="00390AA7" w:rsidRDefault="004366B7" w:rsidP="004366B7">
      <w:pPr>
        <w:pStyle w:val="Dash"/>
      </w:pPr>
      <w:r w:rsidRPr="00390AA7">
        <w:t>equal time in the current household and somewhere else, and they are present in the household on the day of recruitment</w:t>
      </w:r>
    </w:p>
    <w:p w14:paraId="4B3CBB02" w14:textId="77777777" w:rsidR="004366B7" w:rsidRPr="00390AA7" w:rsidRDefault="004366B7" w:rsidP="004366B7">
      <w:pPr>
        <w:pStyle w:val="Bullet"/>
      </w:pPr>
      <w:r w:rsidRPr="00390AA7">
        <w:t xml:space="preserve">overseas visitors who intend to stay in </w:t>
      </w:r>
      <w:bookmarkStart w:id="100" w:name="_Hlk21009358"/>
      <w:r w:rsidRPr="00390AA7">
        <w:t>New Zealand</w:t>
      </w:r>
      <w:bookmarkEnd w:id="100"/>
      <w:r w:rsidRPr="00390AA7">
        <w:t xml:space="preserve"> for more than 12 months.</w:t>
      </w:r>
    </w:p>
    <w:p w14:paraId="51B55D0D" w14:textId="77777777" w:rsidR="004366B7" w:rsidRPr="00390AA7" w:rsidRDefault="004366B7" w:rsidP="004366B7">
      <w:pPr>
        <w:pStyle w:val="Heading2"/>
      </w:pPr>
      <w:bookmarkStart w:id="101" w:name="_Toc335133105"/>
      <w:bookmarkStart w:id="102" w:name="_Toc339270005"/>
      <w:bookmarkStart w:id="103" w:name="_Toc340501929"/>
      <w:bookmarkStart w:id="104" w:name="_Toc372445549"/>
      <w:bookmarkStart w:id="105" w:name="_Toc403044003"/>
      <w:bookmarkStart w:id="106" w:name="_Toc467491519"/>
      <w:bookmarkStart w:id="107" w:name="_Toc531762336"/>
      <w:bookmarkStart w:id="108" w:name="_Toc531783693"/>
      <w:bookmarkStart w:id="109" w:name="_Toc22887926"/>
      <w:bookmarkStart w:id="110" w:name="_Toc55206833"/>
      <w:bookmarkStart w:id="111" w:name="_Toc88752030"/>
      <w:bookmarkStart w:id="112" w:name="_Toc153259078"/>
      <w:r w:rsidRPr="00390AA7">
        <w:t>Sample design</w:t>
      </w:r>
      <w:bookmarkEnd w:id="101"/>
      <w:bookmarkEnd w:id="102"/>
      <w:bookmarkEnd w:id="103"/>
      <w:bookmarkEnd w:id="104"/>
      <w:bookmarkEnd w:id="105"/>
      <w:bookmarkEnd w:id="106"/>
      <w:bookmarkEnd w:id="107"/>
      <w:bookmarkEnd w:id="108"/>
      <w:bookmarkEnd w:id="109"/>
      <w:bookmarkEnd w:id="110"/>
      <w:bookmarkEnd w:id="111"/>
      <w:bookmarkEnd w:id="112"/>
    </w:p>
    <w:p w14:paraId="35BFA6F2" w14:textId="77777777" w:rsidR="004366B7" w:rsidRPr="00390AA7" w:rsidRDefault="004366B7" w:rsidP="004366B7">
      <w:r w:rsidRPr="00390AA7">
        <w:t>The sample design for the NZHS was developed by the National Institute for Applied Statistics Research Australia, University of Wollongong, Australia.</w:t>
      </w:r>
    </w:p>
    <w:p w14:paraId="147468FC" w14:textId="77777777" w:rsidR="004366B7" w:rsidRPr="0017099C" w:rsidRDefault="004366B7" w:rsidP="004366B7"/>
    <w:p w14:paraId="50EC4192" w14:textId="7073162F" w:rsidR="004366B7" w:rsidRPr="00390AA7" w:rsidRDefault="004366B7" w:rsidP="004366B7">
      <w:r w:rsidRPr="00390AA7">
        <w:t xml:space="preserve">The sample design used in the current year is the same design </w:t>
      </w:r>
      <w:bookmarkStart w:id="113" w:name="_Hlk52886824"/>
      <w:r w:rsidRPr="00390AA7">
        <w:t>used for the years 2015/16 to 202</w:t>
      </w:r>
      <w:r w:rsidR="00141ADE" w:rsidRPr="00390AA7">
        <w:t>1</w:t>
      </w:r>
      <w:r w:rsidRPr="00390AA7">
        <w:t>/2</w:t>
      </w:r>
      <w:bookmarkEnd w:id="113"/>
      <w:r w:rsidR="00141ADE" w:rsidRPr="00390AA7">
        <w:t>2</w:t>
      </w:r>
      <w:r w:rsidRPr="00390AA7">
        <w:t xml:space="preserve">, but it is slightly different from the design used for the years 2011/12 to 2014/15. The main changes made in 2015/16 </w:t>
      </w:r>
      <w:r w:rsidR="009377E9" w:rsidRPr="00390AA7">
        <w:t>were</w:t>
      </w:r>
      <w:r w:rsidRPr="00390AA7">
        <w:t xml:space="preserve"> as follows:</w:t>
      </w:r>
    </w:p>
    <w:p w14:paraId="129C5675" w14:textId="43DCE19D" w:rsidR="004366B7" w:rsidRPr="00390AA7" w:rsidRDefault="004366B7" w:rsidP="004366B7">
      <w:pPr>
        <w:pStyle w:val="Bullet"/>
      </w:pPr>
      <w:r w:rsidRPr="00390AA7">
        <w:t xml:space="preserve">The first-stage selection units are now </w:t>
      </w:r>
      <w:r w:rsidR="007A3409" w:rsidRPr="00390AA7">
        <w:t>Stats NZ</w:t>
      </w:r>
      <w:r w:rsidRPr="00390AA7">
        <w:t>’s household survey frame primary sampling units (PSUs) rather than the census meshblocks used in the first four years of continuous survey. PSUs are groupings of one or more meshblocks. There have also been some associated changes to the selection probabilities and the number of dwellings selected from each PSU.</w:t>
      </w:r>
    </w:p>
    <w:p w14:paraId="12AD86DF" w14:textId="575AF3A5" w:rsidR="004366B7" w:rsidRPr="00390AA7" w:rsidRDefault="004366B7" w:rsidP="004366B7">
      <w:pPr>
        <w:pStyle w:val="Bullet"/>
      </w:pPr>
      <w:r w:rsidRPr="00390AA7">
        <w:t xml:space="preserve">PSUs are now selected using the </w:t>
      </w:r>
      <w:r w:rsidR="007A3409" w:rsidRPr="00390AA7">
        <w:t>Stats NZ</w:t>
      </w:r>
      <w:r w:rsidRPr="00390AA7">
        <w:t xml:space="preserve"> coordinated selection facility to manage overlap across many government surveys and to minimise the NZHS revisiting the same households.</w:t>
      </w:r>
    </w:p>
    <w:p w14:paraId="261BCD9D" w14:textId="6F86B4FF" w:rsidR="004366B7" w:rsidRPr="00390AA7" w:rsidRDefault="004366B7" w:rsidP="004366B7">
      <w:pPr>
        <w:pStyle w:val="Bullet"/>
      </w:pPr>
      <w:r w:rsidRPr="00390AA7">
        <w:t>PSUs selected for the area component (defined below under ‘Sample selection’) of the sample are now surveyed in two different quarters of the same calendar year, but in different reporting years, such as 20</w:t>
      </w:r>
      <w:r w:rsidR="00034E50">
        <w:t>20</w:t>
      </w:r>
      <w:r w:rsidRPr="00390AA7">
        <w:t>/</w:t>
      </w:r>
      <w:r w:rsidR="009377E9" w:rsidRPr="00390AA7">
        <w:t>2</w:t>
      </w:r>
      <w:r w:rsidR="00034E50">
        <w:t>1</w:t>
      </w:r>
      <w:r w:rsidRPr="00390AA7">
        <w:t xml:space="preserve"> and 20</w:t>
      </w:r>
      <w:r w:rsidR="009377E9" w:rsidRPr="00390AA7">
        <w:t>2</w:t>
      </w:r>
      <w:r w:rsidR="00034E50">
        <w:t>1</w:t>
      </w:r>
      <w:r w:rsidRPr="00390AA7">
        <w:t>/2</w:t>
      </w:r>
      <w:r w:rsidR="00034E50">
        <w:t>2</w:t>
      </w:r>
      <w:r w:rsidRPr="00390AA7">
        <w:t>. Different households are surveyed in these two different quarters.</w:t>
      </w:r>
    </w:p>
    <w:p w14:paraId="13ABC725" w14:textId="77777777" w:rsidR="004366B7" w:rsidRPr="0017099C" w:rsidRDefault="004366B7" w:rsidP="004366B7"/>
    <w:p w14:paraId="40039861" w14:textId="77777777" w:rsidR="004366B7" w:rsidRPr="00390AA7" w:rsidRDefault="004366B7" w:rsidP="004366B7">
      <w:r w:rsidRPr="00390AA7">
        <w:t xml:space="preserve">For more detail on the current sample design, see </w:t>
      </w:r>
      <w:r w:rsidRPr="00390AA7">
        <w:rPr>
          <w:rFonts w:cs="Georgia"/>
          <w:bCs/>
          <w:i/>
          <w:iCs/>
          <w:color w:val="000000"/>
          <w:szCs w:val="22"/>
          <w:lang w:eastAsia="en-NZ"/>
        </w:rPr>
        <w:t>Sample Design from 2015/16: New Zealand Health Survey</w:t>
      </w:r>
      <w:r w:rsidRPr="00390AA7">
        <w:rPr>
          <w:i/>
        </w:rPr>
        <w:t xml:space="preserve"> </w:t>
      </w:r>
      <w:r w:rsidRPr="00390AA7">
        <w:t xml:space="preserve">(Ministry of Health 2016), and for detail on the sample design used prior to 2015/16, see Clark et al (2013) and </w:t>
      </w:r>
      <w:r w:rsidRPr="00390AA7">
        <w:rPr>
          <w:i/>
        </w:rPr>
        <w:t>The New Zealand Health Survey: Sample design, years 1–3 (2011–2013)</w:t>
      </w:r>
      <w:r w:rsidRPr="00390AA7">
        <w:t xml:space="preserve"> (Ministry of Health 2011).</w:t>
      </w:r>
    </w:p>
    <w:p w14:paraId="55D92A48" w14:textId="1323AED9" w:rsidR="004366B7" w:rsidRPr="00390AA7" w:rsidRDefault="004366B7" w:rsidP="004366B7">
      <w:pPr>
        <w:pStyle w:val="Heading3"/>
      </w:pPr>
      <w:bookmarkStart w:id="114" w:name="_Toc199225777"/>
      <w:bookmarkStart w:id="115" w:name="_Toc201042981"/>
      <w:bookmarkStart w:id="116" w:name="_Toc335133107"/>
      <w:bookmarkStart w:id="117" w:name="_Toc339270006"/>
      <w:r w:rsidRPr="00390AA7">
        <w:t>Sample selection</w:t>
      </w:r>
      <w:bookmarkEnd w:id="114"/>
      <w:bookmarkEnd w:id="115"/>
      <w:bookmarkEnd w:id="116"/>
      <w:bookmarkEnd w:id="117"/>
    </w:p>
    <w:p w14:paraId="0737FC54" w14:textId="380A5978" w:rsidR="004366B7" w:rsidRPr="00390AA7" w:rsidRDefault="004366B7" w:rsidP="004366B7">
      <w:pPr>
        <w:keepNext/>
      </w:pPr>
      <w:r w:rsidRPr="00390AA7">
        <w:t xml:space="preserve">The NZHS has a multi-stage, stratified, probability-proportional-to-size (PPS) sampling design. The survey is designed to yield an annual sample size of approximately 14,000 adults and 5,000 children in a normal year (without disruption </w:t>
      </w:r>
      <w:r w:rsidR="00F059C8" w:rsidRPr="00390AA7">
        <w:t xml:space="preserve">to data collection </w:t>
      </w:r>
      <w:r w:rsidRPr="00390AA7">
        <w:t xml:space="preserve">due to </w:t>
      </w:r>
      <w:r w:rsidR="00F059C8" w:rsidRPr="00390AA7">
        <w:t xml:space="preserve">COVID-19 </w:t>
      </w:r>
      <w:r w:rsidRPr="00390AA7">
        <w:t>pandemic).</w:t>
      </w:r>
    </w:p>
    <w:p w14:paraId="09D7D2C6" w14:textId="77777777" w:rsidR="004366B7" w:rsidRPr="00390AA7" w:rsidRDefault="004366B7" w:rsidP="004366B7">
      <w:pPr>
        <w:keepNext/>
      </w:pPr>
    </w:p>
    <w:p w14:paraId="37BDA882" w14:textId="77777777" w:rsidR="004366B7" w:rsidRPr="00390AA7" w:rsidRDefault="004366B7" w:rsidP="004366B7">
      <w:r w:rsidRPr="00390AA7">
        <w:t xml:space="preserve">A dual-frame approach has been used, whereby respondents are selected from an area-based sample and a list-based electoral roll sample. The aim of this approach is to increase the sample sizes for Māori, Pacific </w:t>
      </w:r>
      <w:r w:rsidRPr="00390AA7">
        <w:rPr>
          <w:rFonts w:eastAsia="Cambria"/>
          <w:lang w:eastAsia="en-US"/>
        </w:rPr>
        <w:t>peoples</w:t>
      </w:r>
      <w:r w:rsidRPr="00390AA7">
        <w:t xml:space="preserve"> and Asian ethnic groups.</w:t>
      </w:r>
    </w:p>
    <w:p w14:paraId="611B60D7" w14:textId="77777777" w:rsidR="004366B7" w:rsidRPr="00390AA7" w:rsidRDefault="004366B7" w:rsidP="004366B7">
      <w:pPr>
        <w:pStyle w:val="Heading4"/>
      </w:pPr>
      <w:r w:rsidRPr="00390AA7">
        <w:t>Area-based sample</w:t>
      </w:r>
    </w:p>
    <w:p w14:paraId="725F0833" w14:textId="395944FC" w:rsidR="004366B7" w:rsidRPr="00390AA7" w:rsidRDefault="007A3409" w:rsidP="004366B7">
      <w:r w:rsidRPr="00390AA7">
        <w:t>Stats NZ</w:t>
      </w:r>
      <w:r w:rsidR="004366B7" w:rsidRPr="00390AA7">
        <w:t>’s PSUs form the basis of the area-based sample. The area-based sample is targeted at the ethnic groups of interest by assigning higher probabilities of selection to areas (PSUs) in which these groups are more concentrated.</w:t>
      </w:r>
    </w:p>
    <w:p w14:paraId="42CA732E" w14:textId="77777777" w:rsidR="004366B7" w:rsidRPr="0017099C" w:rsidRDefault="004366B7" w:rsidP="004366B7"/>
    <w:p w14:paraId="6BB17FDA" w14:textId="77777777" w:rsidR="004366B7" w:rsidRPr="00390AA7" w:rsidRDefault="004366B7" w:rsidP="004366B7">
      <w:r w:rsidRPr="00390AA7">
        <w:t>A three-stage selection process is used to achieve the area-based sample.</w:t>
      </w:r>
    </w:p>
    <w:p w14:paraId="1382CDBA" w14:textId="77777777" w:rsidR="004366B7" w:rsidRPr="00390AA7" w:rsidRDefault="004366B7" w:rsidP="004366B7">
      <w:pPr>
        <w:pStyle w:val="Bullet"/>
      </w:pPr>
      <w:r w:rsidRPr="00390AA7">
        <w:t>First, a sample of PSUs is selected within each district health board (DHB) area. The PSUs are selected with PPS, where the size measure is based on the counts of occupied dwellings from the 2018 Census. This means that larger PSUs have a higher chance of being selected in the sample. The size measures are modified using a targeting factor to give higher probabilities of selection to PSUs where more Pacific or Asian people live, also based on the 2018 Census.</w:t>
      </w:r>
    </w:p>
    <w:p w14:paraId="1C1B120B" w14:textId="77777777" w:rsidR="004366B7" w:rsidRPr="00390AA7" w:rsidRDefault="004366B7" w:rsidP="004366B7">
      <w:pPr>
        <w:pStyle w:val="Bullet"/>
      </w:pPr>
      <w:r w:rsidRPr="00390AA7">
        <w:t xml:space="preserve">Second, a list of households is compiled for each selected PSU. A systematic sample of approximately 21 households is selected from this list by choosing a random start point and selecting every </w:t>
      </w:r>
      <w:r w:rsidRPr="00390AA7">
        <w:rPr>
          <w:i/>
        </w:rPr>
        <w:t>k</w:t>
      </w:r>
      <w:r w:rsidRPr="00390AA7">
        <w:rPr>
          <w:vertAlign w:val="superscript"/>
        </w:rPr>
        <w:t>th</w:t>
      </w:r>
      <w:r w:rsidRPr="00390AA7">
        <w:t xml:space="preserve"> household. The skip </w:t>
      </w:r>
      <w:r w:rsidRPr="00390AA7">
        <w:rPr>
          <w:i/>
        </w:rPr>
        <w:t>k</w:t>
      </w:r>
      <w:r w:rsidRPr="00390AA7">
        <w:t xml:space="preserve"> is calculated by the 2018 Census occupied-dwellings count divided by 21.</w:t>
      </w:r>
    </w:p>
    <w:p w14:paraId="558FEFAF" w14:textId="77777777" w:rsidR="004366B7" w:rsidRPr="00390AA7" w:rsidRDefault="004366B7" w:rsidP="004366B7">
      <w:pPr>
        <w:pStyle w:val="Bullet"/>
      </w:pPr>
      <w:r w:rsidRPr="00390AA7">
        <w:t>Third, one adult (aged 15 years or over) and one child (aged from birth to 14 years, if any in the household) are selected at random from each selected household.</w:t>
      </w:r>
    </w:p>
    <w:p w14:paraId="0DEAF58D" w14:textId="77777777" w:rsidR="004366B7" w:rsidRPr="00390AA7" w:rsidRDefault="004366B7" w:rsidP="004366B7"/>
    <w:p w14:paraId="09DAE80F" w14:textId="77777777" w:rsidR="004366B7" w:rsidRPr="00390AA7" w:rsidRDefault="004366B7" w:rsidP="004366B7">
      <w:r w:rsidRPr="00390AA7">
        <w:t>Aged-care facilities in the selected PSUs are included in the area-based sample by first dividing them into ‘accommodation units’, typically consisting of an individual or couple living together in the facility. Accommodation units are then treated as households in the sampling process, although, at most, five accommodation units are selected from a single facility.</w:t>
      </w:r>
    </w:p>
    <w:p w14:paraId="2E054604" w14:textId="77777777" w:rsidR="004366B7" w:rsidRPr="00390AA7" w:rsidRDefault="004366B7" w:rsidP="004366B7"/>
    <w:p w14:paraId="1B5BD4A2" w14:textId="77777777" w:rsidR="004366B7" w:rsidRPr="00390AA7" w:rsidRDefault="004366B7" w:rsidP="004366B7">
      <w:r w:rsidRPr="00390AA7">
        <w:t>Students living away from home in university hostels and boarding schools are eligible to be selected via their family’s house if they still consider this to be their home. If selected, arrangements are made to survey them either when they are next at home or at their student accommodation.</w:t>
      </w:r>
    </w:p>
    <w:p w14:paraId="67C5E83D" w14:textId="77777777" w:rsidR="004366B7" w:rsidRPr="00390AA7" w:rsidRDefault="004366B7" w:rsidP="004366B7">
      <w:pPr>
        <w:pStyle w:val="Heading4"/>
      </w:pPr>
      <w:r w:rsidRPr="00390AA7">
        <w:t>Electoral roll sample</w:t>
      </w:r>
    </w:p>
    <w:p w14:paraId="2E6B47CD" w14:textId="77777777" w:rsidR="004366B7" w:rsidRPr="00390AA7" w:rsidRDefault="004366B7" w:rsidP="004366B7">
      <w:pPr>
        <w:keepNext/>
      </w:pPr>
      <w:r w:rsidRPr="00390AA7">
        <w:t>The electoral roll provides another sampling frame, used to increase the sample size of the Māori ethnic group. The electoral roll is used to select a sample of addresses where a person has self-identified as having Māori ancestry. A copy of the electoral roll is obtained quarterly for this purpose.</w:t>
      </w:r>
    </w:p>
    <w:p w14:paraId="64AE3C91" w14:textId="77777777" w:rsidR="004366B7" w:rsidRPr="00390AA7" w:rsidRDefault="004366B7" w:rsidP="004366B7">
      <w:pPr>
        <w:keepNext/>
      </w:pPr>
    </w:p>
    <w:p w14:paraId="0B567041" w14:textId="77777777" w:rsidR="004366B7" w:rsidRPr="00390AA7" w:rsidRDefault="004366B7" w:rsidP="004366B7">
      <w:r w:rsidRPr="00390AA7">
        <w:t>Stratified three-stage sampling is used to select the sample from the electoral roll.</w:t>
      </w:r>
    </w:p>
    <w:p w14:paraId="0E1D1E78" w14:textId="77777777" w:rsidR="004366B7" w:rsidRPr="00390AA7" w:rsidRDefault="004366B7" w:rsidP="004366B7">
      <w:pPr>
        <w:pStyle w:val="Bullet"/>
      </w:pPr>
      <w:r w:rsidRPr="00390AA7">
        <w:t>The first stage involves selecting a sample of PSUs within each stratum (DHB area), with probability proportional to the number of addresses on the electoral roll containing at least one person who has self-identified as having Māori ancestry. The sample of PSUs is selected so that it does not overlap with the sample of PSUs for the area-based sample.</w:t>
      </w:r>
    </w:p>
    <w:p w14:paraId="0E26A58F" w14:textId="77777777" w:rsidR="004366B7" w:rsidRPr="00390AA7" w:rsidRDefault="004366B7" w:rsidP="004366B7">
      <w:pPr>
        <w:pStyle w:val="Bullet"/>
        <w:rPr>
          <w:spacing w:val="-2"/>
        </w:rPr>
      </w:pPr>
      <w:r w:rsidRPr="00390AA7">
        <w:rPr>
          <w:spacing w:val="-2"/>
        </w:rPr>
        <w:t>The second stage involves selecting a systematic sample of 14 addresses (from the list of households where any person has self-identified as having Māori ancestry) from each selected PSU, or all addresses if there are fewer than 14 addresses in a selected PSU.</w:t>
      </w:r>
    </w:p>
    <w:p w14:paraId="7BAA08C2" w14:textId="77777777" w:rsidR="004366B7" w:rsidRPr="00390AA7" w:rsidRDefault="004366B7" w:rsidP="004366B7">
      <w:pPr>
        <w:pStyle w:val="Bullet"/>
      </w:pPr>
      <w:r w:rsidRPr="00390AA7">
        <w:t>In the third stage, one adult (aged 15 years or over) and one child (aged from birth to 14 years, if there are any children in the household) are selected at random from each selected address.</w:t>
      </w:r>
    </w:p>
    <w:p w14:paraId="451EE1F4" w14:textId="77777777" w:rsidR="004366B7" w:rsidRPr="00390AA7" w:rsidRDefault="004366B7" w:rsidP="004366B7"/>
    <w:p w14:paraId="4CCF21A3" w14:textId="77777777" w:rsidR="004366B7" w:rsidRPr="00390AA7" w:rsidRDefault="004366B7" w:rsidP="004366B7">
      <w:r w:rsidRPr="00390AA7">
        <w:t>The process of contacting households and selecting an adult and child is exactly the same for the electoral roll sample as for the area-based sample. The adult and child (if there are any children in the household) randomly selected into the sample can be Māori or non-Māori. This approach ensures that probabilities of selection can be correctly calculated for all respondents.</w:t>
      </w:r>
    </w:p>
    <w:p w14:paraId="76635EC0" w14:textId="77777777" w:rsidR="004366B7" w:rsidRPr="00390AA7" w:rsidRDefault="004366B7" w:rsidP="004366B7">
      <w:pPr>
        <w:pStyle w:val="Heading1"/>
        <w:sectPr w:rsidR="004366B7" w:rsidRPr="00390AA7" w:rsidSect="00AA6AE7">
          <w:headerReference w:type="default" r:id="rId23"/>
          <w:footerReference w:type="even" r:id="rId24"/>
          <w:footerReference w:type="default" r:id="rId25"/>
          <w:pgSz w:w="11907" w:h="16840" w:code="9"/>
          <w:pgMar w:top="1418" w:right="1701" w:bottom="1134" w:left="1843" w:header="284" w:footer="425" w:gutter="284"/>
          <w:pgNumType w:start="1"/>
          <w:cols w:space="720"/>
        </w:sectPr>
      </w:pPr>
      <w:bookmarkStart w:id="118" w:name="_Toc25224333"/>
      <w:bookmarkStart w:id="119" w:name="_Toc55206834"/>
      <w:bookmarkStart w:id="120" w:name="_Toc88752031"/>
      <w:bookmarkStart w:id="121" w:name="_Toc531762337"/>
      <w:bookmarkStart w:id="122" w:name="_Toc531783694"/>
      <w:bookmarkStart w:id="123" w:name="_Toc22887927"/>
      <w:bookmarkStart w:id="124" w:name="_Toc339270015"/>
      <w:bookmarkStart w:id="125" w:name="_Toc340501937"/>
      <w:bookmarkStart w:id="126" w:name="_Toc372445557"/>
      <w:bookmarkStart w:id="127" w:name="_Toc373486719"/>
      <w:bookmarkStart w:id="128" w:name="_Toc403044012"/>
      <w:bookmarkStart w:id="129" w:name="_Toc199225799"/>
      <w:bookmarkStart w:id="130" w:name="_Toc201043003"/>
      <w:bookmarkEnd w:id="73"/>
    </w:p>
    <w:p w14:paraId="56F117FA" w14:textId="19E4B794" w:rsidR="004366B7" w:rsidRPr="00390AA7" w:rsidRDefault="004366B7" w:rsidP="00B2502A">
      <w:pPr>
        <w:pStyle w:val="Heading1"/>
        <w:spacing w:before="0"/>
      </w:pPr>
      <w:bookmarkStart w:id="131" w:name="_Toc153259079"/>
      <w:r w:rsidRPr="00390AA7">
        <w:t>Data collection</w:t>
      </w:r>
      <w:bookmarkEnd w:id="118"/>
      <w:bookmarkEnd w:id="119"/>
      <w:bookmarkEnd w:id="120"/>
      <w:bookmarkEnd w:id="131"/>
    </w:p>
    <w:p w14:paraId="7A31A92F" w14:textId="65C2DC20" w:rsidR="004366B7" w:rsidRPr="00390AA7" w:rsidRDefault="004366B7" w:rsidP="004366B7">
      <w:r w:rsidRPr="00390AA7">
        <w:t xml:space="preserve">Reach Aotearoa collects data for the NZHS. </w:t>
      </w:r>
      <w:r w:rsidR="00ED1830" w:rsidRPr="0017099C">
        <w:t xml:space="preserve">Approximately </w:t>
      </w:r>
      <w:r w:rsidR="007F6FD7" w:rsidRPr="0017099C">
        <w:t>76</w:t>
      </w:r>
      <w:r w:rsidR="00ED1830" w:rsidRPr="0017099C">
        <w:t xml:space="preserve"> professional interviewers worked on the 2022/23 survey.</w:t>
      </w:r>
      <w:r w:rsidR="00ED1830" w:rsidRPr="00390AA7">
        <w:t xml:space="preserve"> </w:t>
      </w:r>
    </w:p>
    <w:p w14:paraId="5E346855" w14:textId="77777777" w:rsidR="004366B7" w:rsidRPr="00390AA7" w:rsidRDefault="004366B7" w:rsidP="004366B7"/>
    <w:p w14:paraId="02B92716" w14:textId="56AB5656" w:rsidR="004366B7" w:rsidRPr="00390AA7" w:rsidRDefault="004366B7" w:rsidP="004366B7">
      <w:r w:rsidRPr="00390AA7">
        <w:t xml:space="preserve">The NZHS is a household survey with data </w:t>
      </w:r>
      <w:r w:rsidR="00D65728" w:rsidRPr="00390AA7">
        <w:t xml:space="preserve">usually </w:t>
      </w:r>
      <w:r w:rsidRPr="00390AA7">
        <w:t xml:space="preserve">collected </w:t>
      </w:r>
      <w:r w:rsidR="00D65728" w:rsidRPr="00390AA7">
        <w:t xml:space="preserve">face-to-face </w:t>
      </w:r>
      <w:r w:rsidRPr="00390AA7">
        <w:t xml:space="preserve">in the respondents' home, using a combination of interviews and objective measurements (for example, height and weight). </w:t>
      </w:r>
    </w:p>
    <w:p w14:paraId="384FDA03" w14:textId="77777777" w:rsidR="004366B7" w:rsidRPr="00390AA7" w:rsidRDefault="004366B7" w:rsidP="004366B7">
      <w:pPr>
        <w:pStyle w:val="Heading2"/>
      </w:pPr>
      <w:bookmarkStart w:id="132" w:name="_Toc88752032"/>
      <w:bookmarkStart w:id="133" w:name="_Toc153259080"/>
      <w:r w:rsidRPr="00390AA7">
        <w:t>Interviews</w:t>
      </w:r>
      <w:bookmarkEnd w:id="132"/>
      <w:bookmarkEnd w:id="133"/>
    </w:p>
    <w:p w14:paraId="48333AEC" w14:textId="7C9FA87E" w:rsidR="004366B7" w:rsidRPr="00390AA7" w:rsidRDefault="004366B7" w:rsidP="004366B7">
      <w:r w:rsidRPr="0017099C">
        <w:t xml:space="preserve">Over </w:t>
      </w:r>
      <w:r w:rsidR="00CC40C7" w:rsidRPr="0017099C">
        <w:t>97</w:t>
      </w:r>
      <w:r w:rsidRPr="0017099C">
        <w:t>% of adult and child surveys for the 202</w:t>
      </w:r>
      <w:r w:rsidR="00C2457D" w:rsidRPr="0017099C">
        <w:t>2</w:t>
      </w:r>
      <w:r w:rsidRPr="0017099C">
        <w:t>/2</w:t>
      </w:r>
      <w:r w:rsidR="00C2457D" w:rsidRPr="0017099C">
        <w:t>3</w:t>
      </w:r>
      <w:r w:rsidRPr="0017099C">
        <w:t xml:space="preserve"> NZHS were collected </w:t>
      </w:r>
      <w:r w:rsidR="00CE15D1" w:rsidRPr="0017099C">
        <w:t xml:space="preserve">face-to-face </w:t>
      </w:r>
      <w:r w:rsidR="00BF5494" w:rsidRPr="0017099C">
        <w:t xml:space="preserve">or using </w:t>
      </w:r>
      <w:r w:rsidRPr="0017099C">
        <w:t xml:space="preserve">computer-assisted personal interviewing (CAPI). </w:t>
      </w:r>
      <w:r w:rsidRPr="00390AA7">
        <w:t xml:space="preserve">For CAPI, the interviewer enters responses directly into a laptop, using the </w:t>
      </w:r>
      <w:r w:rsidRPr="00390AA7">
        <w:rPr>
          <w:rFonts w:eastAsia="Segoe UI" w:cs="Segoe UI"/>
          <w:szCs w:val="21"/>
        </w:rPr>
        <w:t xml:space="preserve">Askia </w:t>
      </w:r>
      <w:r w:rsidRPr="00390AA7">
        <w:t xml:space="preserve">survey platform. Data for some sensitive questions is collected via computer-assisted self-interviewing (CASI), whereby adult respondents enter their responses directly into a tablet computer. </w:t>
      </w:r>
    </w:p>
    <w:p w14:paraId="72E808D2" w14:textId="77777777" w:rsidR="0044128A" w:rsidRPr="00390AA7" w:rsidRDefault="0044128A" w:rsidP="004366B7"/>
    <w:p w14:paraId="635E596D" w14:textId="7B288C4B" w:rsidR="0044128A" w:rsidRPr="00390AA7" w:rsidRDefault="0044128A" w:rsidP="0044128A">
      <w:r w:rsidRPr="0017099C">
        <w:t>Approximately, 3% of the interviews for the 2022/23 NZHS were conducted via CAVI – see Computer-assisted video interviewing below. Objective health measurements (height, weight and waist) were collected in the 2022/23 NZHS, but blood pressure measurements were not taken</w:t>
      </w:r>
      <w:r w:rsidR="0076237C" w:rsidRPr="0017099C">
        <w:t xml:space="preserve"> due to a lack of time</w:t>
      </w:r>
      <w:r w:rsidRPr="0017099C">
        <w:t>.</w:t>
      </w:r>
      <w:r w:rsidRPr="00390AA7">
        <w:t xml:space="preserve"> </w:t>
      </w:r>
    </w:p>
    <w:p w14:paraId="04697F10" w14:textId="77777777" w:rsidR="0044128A" w:rsidRPr="00390AA7" w:rsidRDefault="0044128A" w:rsidP="004366B7"/>
    <w:p w14:paraId="69B656C6" w14:textId="77777777" w:rsidR="004366B7" w:rsidRPr="00390AA7" w:rsidRDefault="004366B7" w:rsidP="004366B7">
      <w:r w:rsidRPr="00390AA7">
        <w:t xml:space="preserve">'Showcards' with predetermined response options are used to help respondents where appropriate. Since 2017/18, electronic showcards on a tablet computer have been used help improve respondent engagement and the accuracy of their responses. The options displayed on the electronic showcards automatically change as the survey progresses. </w:t>
      </w:r>
    </w:p>
    <w:p w14:paraId="132BD741" w14:textId="1325DA43" w:rsidR="004366B7" w:rsidRPr="00390AA7" w:rsidRDefault="004366B7" w:rsidP="004366B7">
      <w:pPr>
        <w:pStyle w:val="Heading3"/>
      </w:pPr>
      <w:r w:rsidRPr="00390AA7">
        <w:t>Computer-assisted video interviewing</w:t>
      </w:r>
    </w:p>
    <w:p w14:paraId="13ED8C9E" w14:textId="1F441D33" w:rsidR="004366B7" w:rsidRPr="00390AA7" w:rsidRDefault="004366B7" w:rsidP="004366B7">
      <w:bookmarkStart w:id="134" w:name="_Hlk85445911"/>
      <w:r w:rsidRPr="00390AA7">
        <w:t>In response to COVID-19 restrictions</w:t>
      </w:r>
      <w:r w:rsidR="00B366B3" w:rsidRPr="00390AA7">
        <w:t xml:space="preserve"> in 2020</w:t>
      </w:r>
      <w:r w:rsidRPr="00390AA7">
        <w:t xml:space="preserve">, Reach Aotearoa developed a virtual interviewing system, which enables CAVI. The CAVI system provides a secure, private online ‘room’ where an interviewer and respondent can meet to complete the survey together, in a way that closely resembles an in-person interview. The system features an integrated video call component and a large survey window. The respondent can view the showcards on the screen and complete the CASI questions themselves. Video interviewing was offered to respondents who were apprehensive about having an interviewer in their home or where the household did not pass the COVID-19 doorstep screener – see ‘COVID-19 protocols’ to follow. </w:t>
      </w:r>
    </w:p>
    <w:p w14:paraId="1B383F20" w14:textId="77777777" w:rsidR="004366B7" w:rsidRPr="00390AA7" w:rsidRDefault="004366B7" w:rsidP="004366B7"/>
    <w:p w14:paraId="0FBFFB75" w14:textId="77777777" w:rsidR="0094636C" w:rsidRPr="008C3BB4" w:rsidRDefault="0094636C" w:rsidP="0094636C">
      <w:pPr>
        <w:rPr>
          <w:highlight w:val="yellow"/>
        </w:rPr>
      </w:pPr>
      <w:bookmarkStart w:id="135" w:name="_Toc25224341"/>
      <w:bookmarkStart w:id="136" w:name="_Toc55206842"/>
      <w:bookmarkStart w:id="137" w:name="_Toc55915756"/>
      <w:bookmarkEnd w:id="134"/>
      <w:r w:rsidRPr="00370CE2">
        <w:t xml:space="preserve">In the </w:t>
      </w:r>
      <w:r>
        <w:t>2022/23</w:t>
      </w:r>
      <w:r w:rsidRPr="00370CE2">
        <w:t xml:space="preserve"> NZH</w:t>
      </w:r>
      <w:r w:rsidRPr="00E241EF">
        <w:t xml:space="preserve">S, </w:t>
      </w:r>
      <w:r w:rsidRPr="006B1603">
        <w:t>167 (2%) adult interviews and 57 (3%)</w:t>
      </w:r>
      <w:r w:rsidRPr="00E241EF">
        <w:t xml:space="preserve"> child interviews were conducted using CAVI.</w:t>
      </w:r>
      <w:r>
        <w:t xml:space="preserve"> </w:t>
      </w:r>
    </w:p>
    <w:p w14:paraId="714E2177" w14:textId="77777777" w:rsidR="004366B7" w:rsidRPr="00390AA7" w:rsidRDefault="004366B7" w:rsidP="004366B7">
      <w:pPr>
        <w:pStyle w:val="Heading3"/>
      </w:pPr>
      <w:r w:rsidRPr="00390AA7">
        <w:t>Interviewer training</w:t>
      </w:r>
      <w:bookmarkEnd w:id="135"/>
      <w:bookmarkEnd w:id="136"/>
      <w:bookmarkEnd w:id="137"/>
    </w:p>
    <w:p w14:paraId="5D66D20F" w14:textId="002115C4" w:rsidR="004366B7" w:rsidRPr="00390AA7" w:rsidRDefault="004366B7" w:rsidP="004366B7">
      <w:r w:rsidRPr="00390AA7">
        <w:t xml:space="preserve">Interviewers participate in annual training for new </w:t>
      </w:r>
      <w:r w:rsidR="00EC3854" w:rsidRPr="00390AA7">
        <w:t xml:space="preserve">module </w:t>
      </w:r>
      <w:r w:rsidRPr="00390AA7">
        <w:t>content and receive ongoing training and support during the year, in the form of individualised and group learning. In-field assessments are also conducted by field managers at regular intervals during the survey year. Interviewers are retrained annually and must pass a recertification assessment to ensure they maintain the required skill levels.</w:t>
      </w:r>
    </w:p>
    <w:p w14:paraId="5119EADC" w14:textId="5988B1F0" w:rsidR="004366B7" w:rsidRDefault="004366B7" w:rsidP="004366B7">
      <w:pPr>
        <w:pStyle w:val="Heading2"/>
        <w:rPr>
          <w:rFonts w:eastAsia="Segoe UI" w:cs="Segoe UI"/>
          <w:szCs w:val="48"/>
        </w:rPr>
      </w:pPr>
      <w:bookmarkStart w:id="138" w:name="_Toc153259081"/>
      <w:bookmarkStart w:id="139" w:name="_Toc25224334"/>
      <w:bookmarkStart w:id="140" w:name="_Toc55206835"/>
      <w:r w:rsidRPr="3E625A02">
        <w:rPr>
          <w:rFonts w:eastAsia="Segoe UI" w:cs="Segoe UI"/>
          <w:szCs w:val="48"/>
        </w:rPr>
        <w:t>Objective measurements</w:t>
      </w:r>
      <w:bookmarkEnd w:id="138"/>
    </w:p>
    <w:p w14:paraId="70FFB9F6" w14:textId="28294A8F" w:rsidR="48EDEC58" w:rsidRDefault="48EDEC58">
      <w:r w:rsidRPr="3E625A02">
        <w:rPr>
          <w:rFonts w:eastAsia="Segoe UI" w:cs="Segoe UI"/>
          <w:szCs w:val="21"/>
        </w:rPr>
        <w:t xml:space="preserve">Objective measurements are </w:t>
      </w:r>
      <w:r w:rsidR="520059B4" w:rsidRPr="3E625A02">
        <w:rPr>
          <w:rFonts w:eastAsia="Segoe UI" w:cs="Segoe UI"/>
          <w:szCs w:val="21"/>
        </w:rPr>
        <w:t xml:space="preserve">usually </w:t>
      </w:r>
      <w:r w:rsidRPr="3E625A02">
        <w:rPr>
          <w:rFonts w:eastAsia="Segoe UI" w:cs="Segoe UI"/>
          <w:szCs w:val="21"/>
        </w:rPr>
        <w:t>taken at the end of the interview component of the survey. All respondents aged two years and over are invited to have their height and weight measured, respondents aged five years and over are invited to have their waist circumference measured, and adults aged 15 years and over are invited to have their blood pressure measured. Respondents may decline to provide some or all measurements. Pregnant women are excluded from the measurement component of the survey.</w:t>
      </w:r>
    </w:p>
    <w:p w14:paraId="32791215" w14:textId="53A0F2E7" w:rsidR="3E625A02" w:rsidRDefault="3E625A02" w:rsidP="3E625A02">
      <w:pPr>
        <w:rPr>
          <w:rFonts w:eastAsia="Segoe UI" w:cs="Segoe UI"/>
          <w:szCs w:val="21"/>
        </w:rPr>
      </w:pPr>
    </w:p>
    <w:p w14:paraId="24FA2EBD" w14:textId="3B3800FF" w:rsidR="48EDEC58" w:rsidRDefault="48EDEC58">
      <w:r w:rsidRPr="3E625A02">
        <w:rPr>
          <w:rFonts w:eastAsia="Segoe UI" w:cs="Segoe UI"/>
          <w:szCs w:val="21"/>
        </w:rPr>
        <w:t>Respondents are given a measurement card, detailing the readings taken on the day of the survey. The card also includes details about where to go for further information or advice.</w:t>
      </w:r>
    </w:p>
    <w:p w14:paraId="17B81748" w14:textId="018F8A33" w:rsidR="2E3C5D37" w:rsidRDefault="2E3C5D37" w:rsidP="3E625A02">
      <w:pPr>
        <w:pStyle w:val="Heading3"/>
        <w:rPr>
          <w:rFonts w:eastAsia="Segoe UI" w:cs="Segoe UI"/>
          <w:sz w:val="21"/>
          <w:szCs w:val="21"/>
        </w:rPr>
      </w:pPr>
      <w:r w:rsidRPr="3E625A02">
        <w:t>Anthropometric measurements</w:t>
      </w:r>
    </w:p>
    <w:p w14:paraId="6B3A3F04" w14:textId="7B68E746" w:rsidR="2E3C5D37" w:rsidRDefault="2E3C5D37" w:rsidP="3E625A02">
      <w:pPr>
        <w:rPr>
          <w:rFonts w:eastAsia="Segoe UI" w:cs="Segoe UI"/>
          <w:szCs w:val="21"/>
        </w:rPr>
      </w:pPr>
      <w:r w:rsidRPr="3E625A02">
        <w:rPr>
          <w:rFonts w:eastAsia="Segoe UI" w:cs="Segoe UI"/>
          <w:szCs w:val="21"/>
        </w:rPr>
        <w:t>Anthropometric measurements (height, weight and waist circumference</w:t>
      </w:r>
      <w:r w:rsidR="485866D0" w:rsidRPr="3E625A02">
        <w:rPr>
          <w:rFonts w:eastAsia="Segoe UI" w:cs="Segoe UI"/>
          <w:szCs w:val="21"/>
        </w:rPr>
        <w:t>)</w:t>
      </w:r>
      <w:r w:rsidRPr="3E625A02">
        <w:rPr>
          <w:rFonts w:eastAsia="Segoe UI" w:cs="Segoe UI"/>
          <w:szCs w:val="21"/>
        </w:rPr>
        <w:t xml:space="preserve"> are part of the core NZHS</w:t>
      </w:r>
      <w:r w:rsidR="41F1D06C" w:rsidRPr="3E625A02">
        <w:rPr>
          <w:rFonts w:eastAsia="Segoe UI" w:cs="Segoe UI"/>
          <w:szCs w:val="21"/>
        </w:rPr>
        <w:t xml:space="preserve">. These measurements were not </w:t>
      </w:r>
      <w:r w:rsidRPr="3E625A02">
        <w:rPr>
          <w:rFonts w:eastAsia="Segoe UI" w:cs="Segoe UI"/>
          <w:szCs w:val="21"/>
        </w:rPr>
        <w:t>taken in 2021/22 due to COVID-19 restrictions</w:t>
      </w:r>
      <w:r w:rsidR="3F515A5E" w:rsidRPr="3E625A02">
        <w:rPr>
          <w:rFonts w:eastAsia="Segoe UI" w:cs="Segoe UI"/>
          <w:szCs w:val="21"/>
        </w:rPr>
        <w:t xml:space="preserve"> but were reintroduced in 2022/23</w:t>
      </w:r>
      <w:r w:rsidRPr="3E625A02">
        <w:rPr>
          <w:rFonts w:eastAsia="Segoe UI" w:cs="Segoe UI"/>
          <w:szCs w:val="21"/>
        </w:rPr>
        <w:t>.</w:t>
      </w:r>
    </w:p>
    <w:p w14:paraId="290F5A54" w14:textId="66C8EBA3" w:rsidR="3E625A02" w:rsidRDefault="3E625A02" w:rsidP="3E625A02">
      <w:pPr>
        <w:rPr>
          <w:rFonts w:eastAsia="Segoe UI" w:cs="Segoe UI"/>
          <w:szCs w:val="21"/>
        </w:rPr>
      </w:pPr>
    </w:p>
    <w:p w14:paraId="53C553A2" w14:textId="4732A458" w:rsidR="2E3C5D37" w:rsidRDefault="2E3C5D37" w:rsidP="3E625A02">
      <w:pPr>
        <w:rPr>
          <w:rFonts w:eastAsia="Segoe UI" w:cs="Segoe UI"/>
          <w:szCs w:val="21"/>
        </w:rPr>
      </w:pPr>
      <w:r w:rsidRPr="3E625A02">
        <w:rPr>
          <w:rFonts w:eastAsia="Segoe UI" w:cs="Segoe UI"/>
          <w:szCs w:val="21"/>
        </w:rPr>
        <w:t xml:space="preserve">Height, weight and waist circumference measurements are taken at least twice for each respondent. If there is a variation of more than 1 percent between the first and second measurements, a third measurement is taken for accuracy. The final height, weight and waist measurements are calculated for each respondent by taking the mean of the two closest measurements. </w:t>
      </w:r>
    </w:p>
    <w:p w14:paraId="5856938A" w14:textId="5D3DAA7F" w:rsidR="48EDEC58" w:rsidRDefault="48EDEC58" w:rsidP="3E625A02">
      <w:pPr>
        <w:pStyle w:val="Heading4"/>
      </w:pPr>
      <w:r>
        <w:t>Height</w:t>
      </w:r>
    </w:p>
    <w:p w14:paraId="4D17D79D" w14:textId="2146953B" w:rsidR="48EDEC58" w:rsidRDefault="48EDEC58">
      <w:r w:rsidRPr="3E625A02">
        <w:rPr>
          <w:rFonts w:eastAsia="Segoe UI" w:cs="Segoe UI"/>
          <w:szCs w:val="21"/>
        </w:rPr>
        <w:t>Laser height measurement was introduced with the 2012/13 NZHS. The laser design was trialled and refined before being introduced. It replaced the traditional stadiometers used in the 2011/12 NZHS and nutrition surveys. The professional measuring device, a Precaster HANS CX100, consists of a laser meter mounted to a rigid headboard that the interviewer holds against a wall or a closed door. The headboard is lowered until it reaches the respondent’s head, activating the laser to take a measurement to the nearest 0.1 centimetre. Respondents are asked to remove their shoes before their height is measured.</w:t>
      </w:r>
    </w:p>
    <w:p w14:paraId="7A9B1F12" w14:textId="14E3BB6C" w:rsidR="48EDEC58" w:rsidRDefault="48EDEC58" w:rsidP="3E625A02">
      <w:pPr>
        <w:pStyle w:val="Heading4"/>
      </w:pPr>
      <w:r>
        <w:t>Weight</w:t>
      </w:r>
    </w:p>
    <w:p w14:paraId="649FD303" w14:textId="7138E630" w:rsidR="48EDEC58" w:rsidRDefault="48EDEC58">
      <w:r w:rsidRPr="3E625A02">
        <w:rPr>
          <w:rFonts w:eastAsia="Segoe UI" w:cs="Segoe UI"/>
          <w:szCs w:val="21"/>
        </w:rPr>
        <w:t>Weight is measured to the nearest 0.1 kilogram, using professional electronic weighing scales (Tanita HD-351), which can take a maximum of 200 kilograms. Respondents are asked to empty their pockets and remove their shoes and any bulky clothing before their weight is measured.</w:t>
      </w:r>
    </w:p>
    <w:p w14:paraId="7ABEB0B5" w14:textId="2D8E7F8F" w:rsidR="48EDEC58" w:rsidRDefault="48EDEC58" w:rsidP="3E625A02">
      <w:pPr>
        <w:pStyle w:val="Heading4"/>
      </w:pPr>
      <w:r>
        <w:t>Waist circumference</w:t>
      </w:r>
    </w:p>
    <w:p w14:paraId="74868E42" w14:textId="2BACFA06" w:rsidR="48EDEC58" w:rsidRDefault="48EDEC58">
      <w:r w:rsidRPr="3E625A02">
        <w:rPr>
          <w:rFonts w:eastAsia="Segoe UI" w:cs="Segoe UI"/>
          <w:szCs w:val="21"/>
        </w:rPr>
        <w:t>Waist circumference is measured to the nearest 0.1 centimetre, using an anthropometric measuring tape (Lufkin</w:t>
      </w:r>
      <w:r w:rsidRPr="3E625A02">
        <w:rPr>
          <w:rFonts w:eastAsia="Segoe UI" w:cs="Segoe UI"/>
          <w:szCs w:val="21"/>
          <w:vertAlign w:val="superscript"/>
        </w:rPr>
        <w:t>®</w:t>
      </w:r>
      <w:r w:rsidRPr="3E625A02">
        <w:rPr>
          <w:rFonts w:eastAsia="Segoe UI" w:cs="Segoe UI"/>
          <w:szCs w:val="21"/>
        </w:rPr>
        <w:t xml:space="preserve"> W606PM). Measurements are taken over one layer of clothing, at the midpoint between the lowest palpable rib and the top of the hip bone.</w:t>
      </w:r>
    </w:p>
    <w:p w14:paraId="21BE2E86" w14:textId="6B5F5952" w:rsidR="48EDEC58" w:rsidRDefault="48EDEC58" w:rsidP="3E625A02">
      <w:pPr>
        <w:pStyle w:val="Heading3"/>
      </w:pPr>
      <w:r w:rsidRPr="3E625A02">
        <w:rPr>
          <w:rFonts w:eastAsia="Segoe UI" w:cs="Segoe UI"/>
          <w:szCs w:val="36"/>
        </w:rPr>
        <w:t>Blood pressure</w:t>
      </w:r>
    </w:p>
    <w:p w14:paraId="527F7363" w14:textId="5994BBDA" w:rsidR="48EDEC58" w:rsidRDefault="48EDEC58">
      <w:r w:rsidRPr="3E625A02">
        <w:rPr>
          <w:rFonts w:eastAsia="Segoe UI" w:cs="Segoe UI"/>
          <w:szCs w:val="21"/>
        </w:rPr>
        <w:t>Blood pressure measurement for adults was introduced into the NZHS in 2012/13. It has been included most years except the following:</w:t>
      </w:r>
    </w:p>
    <w:p w14:paraId="1235DDED" w14:textId="7BE17DA1" w:rsidR="48EDEC58" w:rsidRDefault="48EDEC58" w:rsidP="3E625A02">
      <w:pPr>
        <w:pStyle w:val="Bullet"/>
        <w:rPr>
          <w:rFonts w:eastAsia="Segoe UI" w:cs="Segoe UI"/>
          <w:szCs w:val="21"/>
        </w:rPr>
      </w:pPr>
      <w:r w:rsidRPr="3E625A02">
        <w:t>2017/18 – to allow more time for the questionnaire portion of the survey</w:t>
      </w:r>
    </w:p>
    <w:p w14:paraId="1B65E679" w14:textId="1EF51017" w:rsidR="48EDEC58" w:rsidRDefault="48EDEC58" w:rsidP="3E625A02">
      <w:pPr>
        <w:pStyle w:val="Bullet"/>
        <w:rPr>
          <w:rFonts w:eastAsia="Segoe UI" w:cs="Segoe UI"/>
          <w:szCs w:val="21"/>
        </w:rPr>
      </w:pPr>
      <w:r w:rsidRPr="3E625A02">
        <w:t xml:space="preserve">2021/22 – no measurements due to COVID-19 restrictions </w:t>
      </w:r>
    </w:p>
    <w:p w14:paraId="3211A235" w14:textId="4CEB0091" w:rsidR="48EDEC58" w:rsidRDefault="48EDEC58" w:rsidP="3E625A02">
      <w:pPr>
        <w:pStyle w:val="Bullet"/>
        <w:rPr>
          <w:rFonts w:eastAsia="Segoe UI" w:cs="Segoe UI"/>
          <w:szCs w:val="21"/>
        </w:rPr>
      </w:pPr>
      <w:r w:rsidRPr="3E625A02">
        <w:t>2022/23 – to allow more time for the questionnaire portion of the survey.</w:t>
      </w:r>
    </w:p>
    <w:p w14:paraId="0D912BB1" w14:textId="22861B96" w:rsidR="3E625A02" w:rsidRDefault="3E625A02" w:rsidP="3E625A02">
      <w:pPr>
        <w:rPr>
          <w:rFonts w:eastAsia="Segoe UI" w:cs="Segoe UI"/>
          <w:szCs w:val="21"/>
        </w:rPr>
      </w:pPr>
    </w:p>
    <w:p w14:paraId="3B1584E7" w14:textId="3AEFE8EE" w:rsidR="48EDEC58" w:rsidRDefault="48EDEC58">
      <w:r w:rsidRPr="3E625A02">
        <w:rPr>
          <w:rFonts w:eastAsia="Segoe UI" w:cs="Segoe UI"/>
          <w:szCs w:val="21"/>
        </w:rPr>
        <w:t xml:space="preserve">If the respondent consents, interviewers obtain a blood pressure measurement, using an OMRON HEM-907, a portable electronic sphygmomanometer with four cuff sizes. A fabric cuff is wrapped around the respondent’s upper left arm, just above the elbow. Within the cuff is a plastic bladder connected by a tube to the main device. As the bladder inflates, the device detects the respondent’s blood pressure. The device is programmed to take three readings, with a 1-minute pause between each. </w:t>
      </w:r>
    </w:p>
    <w:p w14:paraId="1B9CA3BE" w14:textId="156F7F27" w:rsidR="3E625A02" w:rsidRDefault="3E625A02" w:rsidP="3E625A02">
      <w:pPr>
        <w:rPr>
          <w:rFonts w:eastAsia="Segoe UI" w:cs="Segoe UI"/>
          <w:szCs w:val="21"/>
        </w:rPr>
      </w:pPr>
    </w:p>
    <w:p w14:paraId="3CBC4418" w14:textId="198B64FA" w:rsidR="5C39D6DC" w:rsidRDefault="5C39D6DC" w:rsidP="3E625A02">
      <w:pPr>
        <w:rPr>
          <w:rFonts w:eastAsia="Segoe UI" w:cs="Segoe UI"/>
          <w:szCs w:val="21"/>
        </w:rPr>
      </w:pPr>
      <w:r w:rsidRPr="3E625A02">
        <w:rPr>
          <w:rFonts w:eastAsia="Segoe UI" w:cs="Segoe UI"/>
          <w:szCs w:val="21"/>
        </w:rPr>
        <w:t xml:space="preserve">The </w:t>
      </w:r>
      <w:r w:rsidR="48EDEC58" w:rsidRPr="3E625A02">
        <w:rPr>
          <w:rFonts w:eastAsia="Segoe UI" w:cs="Segoe UI"/>
          <w:szCs w:val="21"/>
        </w:rPr>
        <w:t>final systolic and diastolic measurements used for analysis are calculated for each respondent by taking the mean of the second and third measurements. The first reading is not used, to minimise the impact of any increase in blood pressure caused by taking measurements.</w:t>
      </w:r>
    </w:p>
    <w:p w14:paraId="73598B19" w14:textId="2F827BA9" w:rsidR="48EDEC58" w:rsidRDefault="48EDEC58" w:rsidP="3E625A02">
      <w:pPr>
        <w:pStyle w:val="Heading3"/>
      </w:pPr>
      <w:r w:rsidRPr="3E625A02">
        <w:rPr>
          <w:rFonts w:eastAsia="Segoe UI" w:cs="Segoe UI"/>
          <w:szCs w:val="36"/>
        </w:rPr>
        <w:t>Equipment checks</w:t>
      </w:r>
    </w:p>
    <w:p w14:paraId="4B3C38B5" w14:textId="459DBA8F" w:rsidR="48EDEC58" w:rsidRDefault="48EDEC58">
      <w:r w:rsidRPr="3E625A02">
        <w:rPr>
          <w:rFonts w:eastAsia="Segoe UI" w:cs="Segoe UI"/>
          <w:szCs w:val="21"/>
        </w:rPr>
        <w:t>Several techniques are used to ensure the quality of the objective measurement equipment. If interviewers report faulty equipment, replacements are supplied immediately. Reach managers carry out in-field checks of equipment a minimum of once a year. These checks include:</w:t>
      </w:r>
    </w:p>
    <w:p w14:paraId="1D4A6CA1" w14:textId="27D5D200" w:rsidR="48EDEC58" w:rsidRDefault="48EDEC58" w:rsidP="3E625A02">
      <w:pPr>
        <w:pStyle w:val="Bullet"/>
        <w:rPr>
          <w:rFonts w:eastAsia="Segoe UI" w:cs="Segoe UI"/>
          <w:szCs w:val="21"/>
        </w:rPr>
      </w:pPr>
      <w:r w:rsidRPr="3E625A02">
        <w:t>a visual check of equipment for damage/cleanliness (to ensure, for example, that blood pressure cuffs are in good condition, blood pressure tubes and connectors are sound and weighing scales have all four feet)</w:t>
      </w:r>
    </w:p>
    <w:p w14:paraId="4EDF02E7" w14:textId="276DFBF2" w:rsidR="48EDEC58" w:rsidRDefault="48EDEC58" w:rsidP="3E625A02">
      <w:pPr>
        <w:pStyle w:val="Bullet"/>
        <w:rPr>
          <w:rFonts w:eastAsia="Segoe UI" w:cs="Segoe UI"/>
          <w:szCs w:val="21"/>
        </w:rPr>
      </w:pPr>
      <w:r w:rsidRPr="3E625A02">
        <w:t>a check that the laser and blood pressure devices are still programmed with the correct settings.</w:t>
      </w:r>
    </w:p>
    <w:p w14:paraId="14D68B33" w14:textId="1C85DCB1" w:rsidR="48EDEC58" w:rsidRDefault="48EDEC58">
      <w:r w:rsidRPr="3E625A02">
        <w:rPr>
          <w:rFonts w:eastAsia="Segoe UI" w:cs="Segoe UI"/>
          <w:szCs w:val="21"/>
        </w:rPr>
        <w:t xml:space="preserve"> </w:t>
      </w:r>
    </w:p>
    <w:p w14:paraId="05477931" w14:textId="7487F68B" w:rsidR="48EDEC58" w:rsidRDefault="48EDEC58">
      <w:r w:rsidRPr="3E625A02">
        <w:rPr>
          <w:rFonts w:eastAsia="Segoe UI" w:cs="Segoe UI"/>
          <w:szCs w:val="21"/>
        </w:rPr>
        <w:t>At the time of the annual module change, the equipment is checked and recalibrated as follows.</w:t>
      </w:r>
    </w:p>
    <w:p w14:paraId="669EE009" w14:textId="3D9DE4D3" w:rsidR="48EDEC58" w:rsidRDefault="48EDEC58" w:rsidP="3E625A02">
      <w:pPr>
        <w:pStyle w:val="Bullet"/>
        <w:rPr>
          <w:rFonts w:eastAsia="Segoe UI" w:cs="Segoe UI"/>
          <w:szCs w:val="21"/>
        </w:rPr>
      </w:pPr>
      <w:r w:rsidRPr="3E625A02">
        <w:t>The electronic weighting scales and blood pressure monitors are recalibrated by a manufacturer-approved agent.</w:t>
      </w:r>
    </w:p>
    <w:p w14:paraId="4F3F4DBA" w14:textId="1FFC37A4" w:rsidR="48EDEC58" w:rsidRDefault="48EDEC58" w:rsidP="3E625A02">
      <w:pPr>
        <w:pStyle w:val="Bullet"/>
        <w:rPr>
          <w:rFonts w:eastAsia="Segoe UI" w:cs="Segoe UI"/>
          <w:szCs w:val="21"/>
        </w:rPr>
      </w:pPr>
      <w:r w:rsidRPr="3E625A02">
        <w:t>The lasers are checked against a known fixed height to ensure they are measuring correctly and are still programmed to the correct settings.</w:t>
      </w:r>
    </w:p>
    <w:p w14:paraId="5D7DECB5" w14:textId="693523EA" w:rsidR="48EDEC58" w:rsidRDefault="48EDEC58">
      <w:r w:rsidRPr="3E625A02">
        <w:rPr>
          <w:rFonts w:eastAsia="Segoe UI" w:cs="Segoe UI"/>
          <w:szCs w:val="21"/>
        </w:rPr>
        <w:t xml:space="preserve"> </w:t>
      </w:r>
    </w:p>
    <w:p w14:paraId="1D01D5BC" w14:textId="1C0F2F8C" w:rsidR="48EDEC58" w:rsidRDefault="48EDEC58">
      <w:r w:rsidRPr="3E625A02">
        <w:rPr>
          <w:rFonts w:eastAsia="Segoe UI" w:cs="Segoe UI"/>
          <w:szCs w:val="21"/>
        </w:rPr>
        <w:t>Interviewers undergo retraining on the process for collecting measurements at the time of each annual module change. They must pass a certification assessment before being permitted to deliver the survey in the field. The assessment is administered by Reach managers and includes an assessment of the interviewer’s ability to measure children.</w:t>
      </w:r>
    </w:p>
    <w:p w14:paraId="2328A118" w14:textId="77777777" w:rsidR="004366B7" w:rsidRPr="00390AA7" w:rsidRDefault="004366B7" w:rsidP="004366B7">
      <w:pPr>
        <w:pStyle w:val="Heading2"/>
        <w:rPr>
          <w:lang w:eastAsia="en-NZ"/>
        </w:rPr>
      </w:pPr>
      <w:bookmarkStart w:id="141" w:name="_Toc88752034"/>
      <w:bookmarkStart w:id="142" w:name="_Toc153259082"/>
      <w:r w:rsidRPr="00390AA7">
        <w:rPr>
          <w:lang w:eastAsia="en-NZ"/>
        </w:rPr>
        <w:t>Field work</w:t>
      </w:r>
      <w:bookmarkEnd w:id="141"/>
      <w:bookmarkEnd w:id="142"/>
    </w:p>
    <w:p w14:paraId="68B8CA17" w14:textId="77777777" w:rsidR="004366B7" w:rsidRPr="00390AA7" w:rsidRDefault="004366B7" w:rsidP="004366B7">
      <w:pPr>
        <w:pStyle w:val="Heading3"/>
      </w:pPr>
      <w:r w:rsidRPr="00390AA7">
        <w:t>COVID-19 protocols</w:t>
      </w:r>
    </w:p>
    <w:p w14:paraId="142DD349" w14:textId="6E2880EE" w:rsidR="004366B7" w:rsidRPr="00390AA7" w:rsidRDefault="004366B7" w:rsidP="004366B7">
      <w:r w:rsidRPr="00390AA7">
        <w:t>To ensure the safety of respondents and interviewers in relation to COVID-19, the 202</w:t>
      </w:r>
      <w:r w:rsidR="00B3239D" w:rsidRPr="00390AA7">
        <w:t>2</w:t>
      </w:r>
      <w:r w:rsidRPr="00390AA7">
        <w:t>/2</w:t>
      </w:r>
      <w:r w:rsidR="00B3239D" w:rsidRPr="00390AA7">
        <w:t>3</w:t>
      </w:r>
      <w:r w:rsidRPr="00390AA7">
        <w:t xml:space="preserve"> survey included the measures of:</w:t>
      </w:r>
    </w:p>
    <w:p w14:paraId="3D0F65D2" w14:textId="77777777" w:rsidR="004366B7" w:rsidRPr="00390AA7" w:rsidRDefault="004366B7" w:rsidP="004366B7">
      <w:pPr>
        <w:pStyle w:val="Bullet"/>
      </w:pPr>
      <w:r w:rsidRPr="00390AA7">
        <w:t>interviewer training</w:t>
      </w:r>
    </w:p>
    <w:p w14:paraId="12C1FC03" w14:textId="77777777" w:rsidR="004366B7" w:rsidRPr="00390AA7" w:rsidRDefault="004366B7" w:rsidP="004366B7">
      <w:pPr>
        <w:pStyle w:val="Bullet"/>
      </w:pPr>
      <w:r w:rsidRPr="00390AA7">
        <w:t>training on infection control</w:t>
      </w:r>
    </w:p>
    <w:p w14:paraId="36EDC6F2" w14:textId="77777777" w:rsidR="004366B7" w:rsidRPr="00390AA7" w:rsidRDefault="004366B7" w:rsidP="004366B7">
      <w:pPr>
        <w:pStyle w:val="Bullet"/>
      </w:pPr>
      <w:r w:rsidRPr="00390AA7">
        <w:t>physical distancing</w:t>
      </w:r>
    </w:p>
    <w:p w14:paraId="5AF6132B" w14:textId="77777777" w:rsidR="004366B7" w:rsidRPr="00390AA7" w:rsidRDefault="004366B7" w:rsidP="004366B7">
      <w:pPr>
        <w:pStyle w:val="Bullet"/>
      </w:pPr>
      <w:r w:rsidRPr="00390AA7">
        <w:t>cleaning and sanitising of equipment and hands</w:t>
      </w:r>
    </w:p>
    <w:p w14:paraId="2D4A4FFC" w14:textId="77777777" w:rsidR="004366B7" w:rsidRPr="00390AA7" w:rsidRDefault="004366B7" w:rsidP="004366B7">
      <w:pPr>
        <w:pStyle w:val="Bullet"/>
      </w:pPr>
      <w:r w:rsidRPr="00390AA7">
        <w:t>interviewer and household wellbeing checks</w:t>
      </w:r>
    </w:p>
    <w:p w14:paraId="16EB3796" w14:textId="77777777" w:rsidR="004366B7" w:rsidRPr="00390AA7" w:rsidRDefault="004366B7" w:rsidP="004366B7">
      <w:pPr>
        <w:pStyle w:val="Bullet"/>
      </w:pPr>
      <w:r w:rsidRPr="00390AA7">
        <w:t xml:space="preserve">record keeping. </w:t>
      </w:r>
    </w:p>
    <w:p w14:paraId="62C1D7CB" w14:textId="77777777" w:rsidR="004366B7" w:rsidRPr="00390AA7" w:rsidRDefault="004366B7" w:rsidP="004366B7">
      <w:pPr>
        <w:pStyle w:val="Heading4"/>
      </w:pPr>
      <w:r w:rsidRPr="00390AA7">
        <w:t>Interviewer wellbeing checks</w:t>
      </w:r>
    </w:p>
    <w:p w14:paraId="41077815" w14:textId="475DCC60" w:rsidR="00B47E9E" w:rsidRPr="00390AA7" w:rsidRDefault="00B47E9E" w:rsidP="004366B7">
      <w:r w:rsidRPr="00A626D4">
        <w:t xml:space="preserve">For part of the </w:t>
      </w:r>
      <w:r w:rsidR="00D6080D" w:rsidRPr="00A626D4">
        <w:t xml:space="preserve">2022/23 </w:t>
      </w:r>
      <w:r w:rsidRPr="00A626D4">
        <w:t>year, interviewers were required to complete a daily self-assessment</w:t>
      </w:r>
      <w:r w:rsidR="00996E57" w:rsidRPr="00A626D4">
        <w:t xml:space="preserve"> to</w:t>
      </w:r>
      <w:r w:rsidRPr="00A626D4">
        <w:t xml:space="preserve"> check whether they or anyone in their household had any COVID-like symptoms or whether anyone in their household was self-isolating or awaiting a COVID-19 test result. Interviewers also took their temperature daily using an in-ear thermometer. If they failed </w:t>
      </w:r>
      <w:r w:rsidR="003A267D" w:rsidRPr="00A626D4">
        <w:t xml:space="preserve">any part of </w:t>
      </w:r>
      <w:r w:rsidRPr="00A626D4">
        <w:t>this assessment, they were not permitted to go into the field. This measure was phased out in September 2022.</w:t>
      </w:r>
      <w:r w:rsidRPr="00390AA7">
        <w:t xml:space="preserve"> </w:t>
      </w:r>
    </w:p>
    <w:p w14:paraId="0E4F92A1" w14:textId="77777777" w:rsidR="004366B7" w:rsidRPr="00390AA7" w:rsidRDefault="004366B7" w:rsidP="004366B7">
      <w:pPr>
        <w:pStyle w:val="Heading4"/>
      </w:pPr>
      <w:r w:rsidRPr="00390AA7">
        <w:t>On the doorstep</w:t>
      </w:r>
    </w:p>
    <w:p w14:paraId="1DB8DEDE" w14:textId="77777777" w:rsidR="004366B7" w:rsidRPr="00390AA7" w:rsidRDefault="004366B7" w:rsidP="004366B7">
      <w:pPr>
        <w:autoSpaceDE w:val="0"/>
        <w:autoSpaceDN w:val="0"/>
        <w:adjustRightInd w:val="0"/>
      </w:pPr>
      <w:r w:rsidRPr="00390AA7">
        <w:t>Once contact was made at a sampled address, the interviewer ensured they maintained a distance of at least 1 metre during the recruitment process. After a respondent had been selected, a COVID-19 screener was administered to identify whether anyone in the household was at increased risk from contracting COVID-19.</w:t>
      </w:r>
    </w:p>
    <w:p w14:paraId="584A9CD9" w14:textId="77777777" w:rsidR="004366B7" w:rsidRPr="00390AA7" w:rsidRDefault="004366B7" w:rsidP="004366B7">
      <w:pPr>
        <w:pStyle w:val="Bullet"/>
      </w:pPr>
      <w:r w:rsidRPr="00390AA7">
        <w:t>Is anyone in your household currently unwell and have symptoms similar to COVID-19? This includes fever, coughing, sore throat, and sneezing.</w:t>
      </w:r>
    </w:p>
    <w:p w14:paraId="4170257F" w14:textId="77777777" w:rsidR="004366B7" w:rsidRPr="00390AA7" w:rsidRDefault="004366B7" w:rsidP="004366B7">
      <w:pPr>
        <w:pStyle w:val="Bullet"/>
      </w:pPr>
      <w:r w:rsidRPr="00390AA7">
        <w:t>Is anyone in your household self-isolating? For example, because they have travelled back from overseas recently or had been in contact with someone who had COVID-19.</w:t>
      </w:r>
    </w:p>
    <w:p w14:paraId="065B4BDD" w14:textId="77777777" w:rsidR="004366B7" w:rsidRPr="00390AA7" w:rsidRDefault="004366B7" w:rsidP="004366B7">
      <w:pPr>
        <w:pStyle w:val="Bullet"/>
      </w:pPr>
      <w:r w:rsidRPr="00390AA7">
        <w:t>Is anyone in your household currently employed in a role where they may come in contact with COVID-19? For example, working at official quarantine facilities, or employed to work on aircrafts that come from overseas.</w:t>
      </w:r>
    </w:p>
    <w:p w14:paraId="7779FEC6" w14:textId="77777777" w:rsidR="004366B7" w:rsidRPr="00390AA7" w:rsidRDefault="004366B7" w:rsidP="004366B7">
      <w:pPr>
        <w:autoSpaceDE w:val="0"/>
        <w:autoSpaceDN w:val="0"/>
        <w:adjustRightInd w:val="0"/>
        <w:ind w:left="360"/>
      </w:pPr>
      <w:r w:rsidRPr="00390AA7">
        <w:tab/>
      </w:r>
    </w:p>
    <w:p w14:paraId="1E2FF98D" w14:textId="77777777" w:rsidR="004366B7" w:rsidRPr="00390AA7" w:rsidRDefault="004366B7" w:rsidP="004366B7">
      <w:pPr>
        <w:autoSpaceDE w:val="0"/>
        <w:autoSpaceDN w:val="0"/>
        <w:adjustRightInd w:val="0"/>
      </w:pPr>
      <w:r w:rsidRPr="00390AA7">
        <w:t xml:space="preserve">If the respondent screened negative to all three questions, the survey proceeded face-to-face if the respondent was comfortable with the interviewer being in their home, otherwise a video interview was offered. Other precautions included the use of disposable masks if physical distancing was not possible inside the residence. </w:t>
      </w:r>
    </w:p>
    <w:p w14:paraId="3185675F" w14:textId="77777777" w:rsidR="004366B7" w:rsidRPr="00390AA7" w:rsidRDefault="004366B7" w:rsidP="004366B7">
      <w:pPr>
        <w:autoSpaceDE w:val="0"/>
        <w:autoSpaceDN w:val="0"/>
        <w:adjustRightInd w:val="0"/>
      </w:pPr>
    </w:p>
    <w:p w14:paraId="65DB767C" w14:textId="77777777" w:rsidR="004366B7" w:rsidRPr="00390AA7" w:rsidRDefault="004366B7" w:rsidP="004366B7">
      <w:pPr>
        <w:autoSpaceDE w:val="0"/>
        <w:autoSpaceDN w:val="0"/>
        <w:adjustRightInd w:val="0"/>
      </w:pPr>
      <w:r w:rsidRPr="00390AA7">
        <w:t xml:space="preserve">If the respondent screened positive to any of the three screening questions, then a face-to-face interview was not permitted. In this situation, the respondent had the option to reschedule the interview to a later date (at least two weeks in the future) or complete the survey via a video interview. If they opted for a video interview, the interviewer provided a login card with information on how to access the survey, and they agreed a time with the respondent. </w:t>
      </w:r>
    </w:p>
    <w:p w14:paraId="2BF09465" w14:textId="77777777" w:rsidR="004366B7" w:rsidRPr="00390AA7" w:rsidRDefault="004366B7" w:rsidP="004366B7">
      <w:pPr>
        <w:pStyle w:val="Heading3"/>
      </w:pPr>
      <w:r w:rsidRPr="00390AA7">
        <w:t>Pilot study</w:t>
      </w:r>
      <w:bookmarkEnd w:id="139"/>
      <w:bookmarkEnd w:id="140"/>
    </w:p>
    <w:p w14:paraId="4779A4F5" w14:textId="3753049B" w:rsidR="004366B7" w:rsidRPr="00390AA7" w:rsidRDefault="00C17047" w:rsidP="000F7C71">
      <w:r w:rsidRPr="00A626D4">
        <w:t xml:space="preserve">Before the main data collection for the 2022/23 NZHS, a pilot study </w:t>
      </w:r>
      <w:r w:rsidR="00D039D8" w:rsidRPr="00A626D4">
        <w:t xml:space="preserve">involving 100 respondents </w:t>
      </w:r>
      <w:r w:rsidRPr="00A626D4">
        <w:t xml:space="preserve">was carried out from 18 April to 1 May 2022. Due to uncertainty regarding COVID-19 restrictions, interviews for the pilot were conducted exclusively using CAVI. </w:t>
      </w:r>
      <w:r w:rsidRPr="00A626D4">
        <w:rPr>
          <w:rFonts w:cs="Segoe UI"/>
          <w:sz w:val="22"/>
          <w:szCs w:val="22"/>
        </w:rPr>
        <w:t>Participants were recruited from the panel of previous NZHS respondents who had consented to be involved in further research. Quotas were used to ensure the sample contained good representation by age, gender and ethnicity.</w:t>
      </w:r>
      <w:r w:rsidRPr="00A626D4">
        <w:rPr>
          <w:rFonts w:asciiTheme="minorHAnsi" w:hAnsiTheme="minorHAnsi" w:cstheme="minorBidi"/>
          <w:sz w:val="22"/>
          <w:szCs w:val="22"/>
        </w:rPr>
        <w:t xml:space="preserve"> </w:t>
      </w:r>
      <w:r w:rsidRPr="00A626D4">
        <w:t>A total of 72 adult and 28 child interviews were completed in this pilot study.</w:t>
      </w:r>
      <w:r w:rsidRPr="00390AA7">
        <w:t xml:space="preserve"> </w:t>
      </w:r>
      <w:r w:rsidR="004366B7" w:rsidRPr="00A626D4">
        <w:t xml:space="preserve">See the </w:t>
      </w:r>
      <w:r w:rsidR="004366B7" w:rsidRPr="00A626D4">
        <w:rPr>
          <w:i/>
        </w:rPr>
        <w:t>Content Guide 202</w:t>
      </w:r>
      <w:r w:rsidR="00C90DE6" w:rsidRPr="00A626D4">
        <w:rPr>
          <w:i/>
        </w:rPr>
        <w:t>2</w:t>
      </w:r>
      <w:r w:rsidR="004366B7" w:rsidRPr="00A626D4">
        <w:rPr>
          <w:i/>
        </w:rPr>
        <w:t>/2</w:t>
      </w:r>
      <w:r w:rsidR="00C90DE6" w:rsidRPr="00A626D4">
        <w:rPr>
          <w:i/>
        </w:rPr>
        <w:t>3</w:t>
      </w:r>
      <w:r w:rsidR="004366B7" w:rsidRPr="00A626D4">
        <w:t xml:space="preserve"> (Ministry of Health 202</w:t>
      </w:r>
      <w:r w:rsidR="00291E31" w:rsidRPr="00A626D4">
        <w:t>3</w:t>
      </w:r>
      <w:r w:rsidR="004366B7" w:rsidRPr="00A626D4">
        <w:t>b) for more information about the purpose and results of the pilot study.</w:t>
      </w:r>
    </w:p>
    <w:p w14:paraId="1FD0E7E5" w14:textId="77777777" w:rsidR="004366B7" w:rsidRPr="00390AA7" w:rsidRDefault="004366B7" w:rsidP="004366B7">
      <w:pPr>
        <w:pStyle w:val="Heading3"/>
      </w:pPr>
      <w:bookmarkStart w:id="143" w:name="_Toc25224335"/>
      <w:bookmarkStart w:id="144" w:name="_Toc55206836"/>
      <w:r w:rsidRPr="00390AA7">
        <w:t>Enumeration</w:t>
      </w:r>
      <w:bookmarkEnd w:id="143"/>
      <w:bookmarkEnd w:id="144"/>
    </w:p>
    <w:p w14:paraId="2C5CF3A4" w14:textId="5112B3B3" w:rsidR="004366B7" w:rsidRPr="00390AA7" w:rsidRDefault="004366B7" w:rsidP="004366B7">
      <w:r w:rsidRPr="00390AA7">
        <w:t xml:space="preserve">Reach Aotearoa pre-selects households from PSUs selected for the survey using the New Zealand Post address database, obtained quarterly. Each area PSU is re-enumerated by the interviewer when they first visit, to ensure accuracy of both new dwellings and those removed (since the previous </w:t>
      </w:r>
      <w:r w:rsidR="00306E65" w:rsidRPr="00390AA7">
        <w:t>c</w:t>
      </w:r>
      <w:r w:rsidRPr="00390AA7">
        <w:t>ensus). New household details are entered into Reach Aotearoa’s Sample Manager software while the interviewer is in the field, making those households eligible for random selection process within its PSU.</w:t>
      </w:r>
    </w:p>
    <w:p w14:paraId="43E6E557" w14:textId="77777777" w:rsidR="004366B7" w:rsidRPr="00390AA7" w:rsidRDefault="004366B7" w:rsidP="004366B7">
      <w:pPr>
        <w:pStyle w:val="Heading3"/>
      </w:pPr>
      <w:bookmarkStart w:id="145" w:name="_Toc25224336"/>
      <w:bookmarkStart w:id="146" w:name="_Toc55206837"/>
      <w:r w:rsidRPr="00390AA7">
        <w:t>Invitation to participate</w:t>
      </w:r>
      <w:bookmarkEnd w:id="145"/>
      <w:bookmarkEnd w:id="146"/>
    </w:p>
    <w:p w14:paraId="0BF91CB1" w14:textId="77777777" w:rsidR="004366B7" w:rsidRPr="00390AA7" w:rsidRDefault="004366B7" w:rsidP="004366B7">
      <w:pPr>
        <w:keepLines/>
      </w:pPr>
      <w:r w:rsidRPr="00390AA7">
        <w:t>The NZHS is voluntary, relying on the goodwill of respondents, and interviewers obtain consent for participation without coercion or inducement. Reach Aotearoa posts each selected household an invitation letter from the Ministry, along with an information pamphlet. Interviewers take copies of the information pamphlet in 11 different languages when they subsequently visit households seeking people’s agreement to participate in the survey.</w:t>
      </w:r>
    </w:p>
    <w:p w14:paraId="6ECE5CDC" w14:textId="77777777" w:rsidR="004366B7" w:rsidRPr="00390AA7" w:rsidRDefault="004366B7" w:rsidP="004366B7"/>
    <w:p w14:paraId="7DCD445A" w14:textId="77777777" w:rsidR="004366B7" w:rsidRPr="00390AA7" w:rsidRDefault="004366B7" w:rsidP="004366B7">
      <w:r w:rsidRPr="00390AA7">
        <w:t>Using Reach Aotearoa’s Sample Manager software, one adult and one child (if any in the household) are randomly selected from each selected household to take part in the survey. Respondents are asked to sign an electronic consent form and are given a copy to keep. The consent form requires the respondent to confirm they have read and understood the information pamphlet, that they can ask questions at any time and that they can contact Reach Aotearoa or the Ministry for more information.</w:t>
      </w:r>
    </w:p>
    <w:p w14:paraId="6E47484D" w14:textId="77777777" w:rsidR="004366B7" w:rsidRPr="00390AA7" w:rsidRDefault="004366B7" w:rsidP="004366B7">
      <w:bookmarkStart w:id="147" w:name="_Hlk149141655"/>
      <w:r w:rsidRPr="00390AA7">
        <w:t>The consent form also informs respondents:</w:t>
      </w:r>
    </w:p>
    <w:p w14:paraId="3FADA404" w14:textId="77777777" w:rsidR="004366B7" w:rsidRPr="00390AA7" w:rsidRDefault="004366B7" w:rsidP="004366B7">
      <w:pPr>
        <w:pStyle w:val="Bullet"/>
      </w:pPr>
      <w:r w:rsidRPr="00390AA7">
        <w:t>of their right to request an interpreter if required (in a range of 10 different languages)</w:t>
      </w:r>
    </w:p>
    <w:p w14:paraId="0379F29E" w14:textId="77777777" w:rsidR="004366B7" w:rsidRPr="00390AA7" w:rsidRDefault="004366B7" w:rsidP="004366B7">
      <w:pPr>
        <w:pStyle w:val="Bullet"/>
      </w:pPr>
      <w:r w:rsidRPr="00390AA7">
        <w:t>that they can stop the interview at any time</w:t>
      </w:r>
    </w:p>
    <w:p w14:paraId="785D3D9C" w14:textId="77777777" w:rsidR="004366B7" w:rsidRPr="00390AA7" w:rsidRDefault="004366B7" w:rsidP="004366B7">
      <w:pPr>
        <w:pStyle w:val="Bullet"/>
      </w:pPr>
      <w:r w:rsidRPr="00390AA7">
        <w:t>that they do not have to answer every question</w:t>
      </w:r>
    </w:p>
    <w:p w14:paraId="2C117BF0" w14:textId="77777777" w:rsidR="004366B7" w:rsidRPr="00390AA7" w:rsidRDefault="004366B7" w:rsidP="004366B7">
      <w:pPr>
        <w:pStyle w:val="Bullet"/>
      </w:pPr>
      <w:r w:rsidRPr="00390AA7">
        <w:t>that their participation is confidential, and no identifiable information will be used in any reports</w:t>
      </w:r>
    </w:p>
    <w:p w14:paraId="35CC802D" w14:textId="5C260DA6" w:rsidR="004366B7" w:rsidRPr="00390AA7" w:rsidRDefault="004366B7" w:rsidP="004366B7">
      <w:pPr>
        <w:pStyle w:val="Bullet"/>
      </w:pPr>
      <w:r w:rsidRPr="00390AA7">
        <w:t xml:space="preserve">that their answers are protected by the Privacy Act </w:t>
      </w:r>
      <w:r w:rsidR="00432A00" w:rsidRPr="00390AA7">
        <w:t>2020.</w:t>
      </w:r>
    </w:p>
    <w:bookmarkEnd w:id="147"/>
    <w:p w14:paraId="015E1DF6" w14:textId="77777777" w:rsidR="004366B7" w:rsidRPr="00390AA7" w:rsidRDefault="004366B7" w:rsidP="004366B7"/>
    <w:p w14:paraId="12B01128" w14:textId="77777777" w:rsidR="004366B7" w:rsidRPr="00390AA7" w:rsidRDefault="004366B7" w:rsidP="004366B7">
      <w:r w:rsidRPr="00390AA7">
        <w:t>Where a selected adult respondent is unable to provide consent themselves, a welfare guardian, or someone who holds enduring power of attorney for the respondent’s personal care and welfare, is permitted to consent to and complete the survey on the respondent’s behalf.</w:t>
      </w:r>
    </w:p>
    <w:p w14:paraId="078ED426" w14:textId="77777777" w:rsidR="004366B7" w:rsidRPr="00390AA7" w:rsidRDefault="004366B7" w:rsidP="004366B7"/>
    <w:p w14:paraId="0D6D5FA8" w14:textId="77777777" w:rsidR="004366B7" w:rsidRPr="00390AA7" w:rsidRDefault="004366B7" w:rsidP="004366B7">
      <w:r w:rsidRPr="00390AA7">
        <w:t>Child interviews are conducted with a guardian or primary caregiver of the child; that is, a person who has day-to-day responsibility for the care of the child.</w:t>
      </w:r>
    </w:p>
    <w:p w14:paraId="37FB6173" w14:textId="77777777" w:rsidR="004366B7" w:rsidRPr="00390AA7" w:rsidRDefault="004366B7" w:rsidP="004366B7"/>
    <w:p w14:paraId="41D63775" w14:textId="77777777" w:rsidR="004366B7" w:rsidRPr="00390AA7" w:rsidRDefault="004366B7" w:rsidP="004366B7">
      <w:r w:rsidRPr="00390AA7">
        <w:t>All respondents for the NZHS are given a thank you card and a small token of appreciation, such as a pen or fridge magnet, at the conclusion of the interview. A list of health and community organisations is also included should respondents wish to discuss their participation, or if they need advice on a health issue.</w:t>
      </w:r>
    </w:p>
    <w:p w14:paraId="55488F7F" w14:textId="77777777" w:rsidR="004366B7" w:rsidRPr="00390AA7" w:rsidRDefault="004366B7" w:rsidP="004366B7">
      <w:pPr>
        <w:pStyle w:val="Heading3"/>
      </w:pPr>
      <w:bookmarkStart w:id="148" w:name="_Toc25224337"/>
      <w:bookmarkStart w:id="149" w:name="_Toc55206838"/>
      <w:r w:rsidRPr="00390AA7">
        <w:t>Visit pattern</w:t>
      </w:r>
      <w:bookmarkEnd w:id="148"/>
      <w:bookmarkEnd w:id="149"/>
    </w:p>
    <w:p w14:paraId="5BB5EC21" w14:textId="146915CF" w:rsidR="004366B7" w:rsidRPr="00390AA7" w:rsidRDefault="004366B7" w:rsidP="004366B7">
      <w:r w:rsidRPr="00390AA7">
        <w:t xml:space="preserve">In attempting to make contact, interviewers visit each selected household, on different days and at different times of the day. Interviewers can visit as many times as they deem necessary; however, a household will only be recorded as a ‘non-contact’ once </w:t>
      </w:r>
      <w:r w:rsidR="00306E65" w:rsidRPr="00390AA7">
        <w:t>8</w:t>
      </w:r>
      <w:r w:rsidRPr="00390AA7">
        <w:t xml:space="preserve"> unsuccessful visits have been made. Visits are recorded as separate events only if they are made at least two hours apart.</w:t>
      </w:r>
    </w:p>
    <w:p w14:paraId="6D308487" w14:textId="77777777" w:rsidR="004366B7" w:rsidRPr="00390AA7" w:rsidRDefault="004366B7" w:rsidP="004366B7"/>
    <w:p w14:paraId="3787D3A8" w14:textId="604E44A2" w:rsidR="00306E65" w:rsidRPr="00A626D4" w:rsidRDefault="00306E65" w:rsidP="00306E65">
      <w:r w:rsidRPr="00A626D4">
        <w:t xml:space="preserve">Interviewers space their PSU visits over a </w:t>
      </w:r>
      <w:r w:rsidR="00576A11" w:rsidRPr="00A626D4">
        <w:t xml:space="preserve">period of </w:t>
      </w:r>
      <w:r w:rsidRPr="00A626D4">
        <w:t>two to three</w:t>
      </w:r>
      <w:r w:rsidR="002E0836" w:rsidRPr="00A626D4">
        <w:t xml:space="preserve"> </w:t>
      </w:r>
      <w:r w:rsidRPr="00A626D4">
        <w:t>month</w:t>
      </w:r>
      <w:r w:rsidR="002E0836" w:rsidRPr="00A626D4">
        <w:t>s</w:t>
      </w:r>
      <w:r w:rsidRPr="00A626D4">
        <w:t xml:space="preserve"> and are required to complete a call-back regime that meets the following minimum criteria</w:t>
      </w:r>
      <w:r w:rsidR="00F13E37" w:rsidRPr="00A626D4">
        <w:t>.</w:t>
      </w:r>
    </w:p>
    <w:p w14:paraId="70CFA9BF" w14:textId="0262B76D" w:rsidR="00306E65" w:rsidRPr="00A626D4" w:rsidRDefault="00306E65" w:rsidP="00B16B0F">
      <w:pPr>
        <w:pStyle w:val="Bullet"/>
      </w:pPr>
      <w:r w:rsidRPr="00A626D4">
        <w:t xml:space="preserve">Contact attempted on at least </w:t>
      </w:r>
      <w:r w:rsidR="00F13E37" w:rsidRPr="00A626D4">
        <w:t xml:space="preserve">three </w:t>
      </w:r>
      <w:r w:rsidRPr="00A626D4">
        <w:t>different days</w:t>
      </w:r>
    </w:p>
    <w:p w14:paraId="69AFFCCB" w14:textId="77777777" w:rsidR="00306E65" w:rsidRPr="00A626D4" w:rsidRDefault="00306E65" w:rsidP="00B16B0F">
      <w:pPr>
        <w:pStyle w:val="Bullet"/>
      </w:pPr>
      <w:r w:rsidRPr="00A626D4">
        <w:t xml:space="preserve">At least one attempt: </w:t>
      </w:r>
    </w:p>
    <w:p w14:paraId="1F81F40E" w14:textId="77777777" w:rsidR="00306E65" w:rsidRPr="00A626D4" w:rsidRDefault="00306E65" w:rsidP="00B16B0F">
      <w:pPr>
        <w:pStyle w:val="Dash"/>
      </w:pPr>
      <w:r w:rsidRPr="00A626D4">
        <w:t>before noon</w:t>
      </w:r>
    </w:p>
    <w:p w14:paraId="577C7DAC" w14:textId="3051D252" w:rsidR="00306E65" w:rsidRPr="00A626D4" w:rsidRDefault="00306E65" w:rsidP="00B16B0F">
      <w:pPr>
        <w:pStyle w:val="Dash"/>
      </w:pPr>
      <w:r w:rsidRPr="00A626D4">
        <w:t>between noon and 6</w:t>
      </w:r>
      <w:r w:rsidR="00F13E37" w:rsidRPr="00A626D4">
        <w:t xml:space="preserve"> </w:t>
      </w:r>
      <w:r w:rsidRPr="00A626D4">
        <w:t>pm</w:t>
      </w:r>
    </w:p>
    <w:p w14:paraId="5DEE1F5A" w14:textId="2FDF4F57" w:rsidR="00306E65" w:rsidRPr="00A626D4" w:rsidRDefault="00306E65" w:rsidP="00B16B0F">
      <w:pPr>
        <w:pStyle w:val="Dash"/>
      </w:pPr>
      <w:r w:rsidRPr="00A626D4">
        <w:t>after 6</w:t>
      </w:r>
      <w:r w:rsidR="00F13E37" w:rsidRPr="00A626D4">
        <w:t xml:space="preserve"> </w:t>
      </w:r>
      <w:r w:rsidRPr="00A626D4">
        <w:t>pm</w:t>
      </w:r>
    </w:p>
    <w:p w14:paraId="1335A0CE" w14:textId="16FE421F" w:rsidR="00306E65" w:rsidRPr="00A626D4" w:rsidRDefault="00306E65" w:rsidP="00B16B0F">
      <w:pPr>
        <w:pStyle w:val="Dash"/>
      </w:pPr>
      <w:r w:rsidRPr="00A626D4">
        <w:t>on the weekend</w:t>
      </w:r>
      <w:r w:rsidR="00F13E37" w:rsidRPr="00A626D4">
        <w:t>.</w:t>
      </w:r>
    </w:p>
    <w:p w14:paraId="0B66C1E6" w14:textId="77777777" w:rsidR="00306E65" w:rsidRPr="00A626D4" w:rsidRDefault="00306E65" w:rsidP="00306E65"/>
    <w:p w14:paraId="00295DD7" w14:textId="615A55B5" w:rsidR="00306E65" w:rsidRPr="00A626D4" w:rsidRDefault="00306E65" w:rsidP="00306E65">
      <w:r w:rsidRPr="00A626D4">
        <w:t xml:space="preserve">Interviewers will typically stagger their visits across the collection period, which helps </w:t>
      </w:r>
      <w:r w:rsidR="00481879" w:rsidRPr="00A626D4">
        <w:t xml:space="preserve">with </w:t>
      </w:r>
      <w:r w:rsidRPr="00A626D4">
        <w:t>contact</w:t>
      </w:r>
      <w:r w:rsidR="00481879" w:rsidRPr="00A626D4">
        <w:t>ing</w:t>
      </w:r>
      <w:r w:rsidRPr="00A626D4">
        <w:t xml:space="preserve"> people who might be away temporarily or who are otherwise engaged when their household is first approached.</w:t>
      </w:r>
    </w:p>
    <w:p w14:paraId="4E01A6F2" w14:textId="77777777" w:rsidR="00306E65" w:rsidRPr="00A626D4" w:rsidRDefault="00306E65" w:rsidP="00306E65"/>
    <w:p w14:paraId="306E6157" w14:textId="5D74BE6E" w:rsidR="00306E65" w:rsidRPr="00390AA7" w:rsidRDefault="00306E65" w:rsidP="00306E65">
      <w:r w:rsidRPr="00A626D4">
        <w:t>The visit pattern used in the NZHS is an important part of achieving a high response rate. For about 94% of households</w:t>
      </w:r>
      <w:r w:rsidR="00481879" w:rsidRPr="00A626D4">
        <w:t xml:space="preserve"> in the 2022/23 survey</w:t>
      </w:r>
      <w:r w:rsidRPr="00A626D4">
        <w:t>, the first (or only) interview took place within nine visits (</w:t>
      </w:r>
      <w:r w:rsidRPr="00A626D4">
        <w:rPr>
          <w:color w:val="2B579A"/>
          <w:shd w:val="clear" w:color="auto" w:fill="E6E6E6"/>
        </w:rPr>
        <w:fldChar w:fldCharType="begin"/>
      </w:r>
      <w:r w:rsidRPr="00A626D4">
        <w:instrText xml:space="preserve"> REF _Ref119068877 \h </w:instrText>
      </w:r>
      <w:r w:rsidR="00C06A68" w:rsidRPr="00A626D4">
        <w:instrText xml:space="preserve"> \* MERGEFORMAT </w:instrText>
      </w:r>
      <w:r w:rsidRPr="00A626D4">
        <w:rPr>
          <w:color w:val="2B579A"/>
          <w:shd w:val="clear" w:color="auto" w:fill="E6E6E6"/>
        </w:rPr>
      </w:r>
      <w:r w:rsidRPr="00A626D4">
        <w:rPr>
          <w:color w:val="2B579A"/>
          <w:shd w:val="clear" w:color="auto" w:fill="E6E6E6"/>
        </w:rPr>
        <w:fldChar w:fldCharType="separate"/>
      </w:r>
      <w:r w:rsidR="008D278D" w:rsidRPr="00390AA7">
        <w:t xml:space="preserve">Figure </w:t>
      </w:r>
      <w:r w:rsidR="008D278D">
        <w:rPr>
          <w:noProof/>
        </w:rPr>
        <w:t>1</w:t>
      </w:r>
      <w:r w:rsidRPr="00A626D4">
        <w:rPr>
          <w:color w:val="2B579A"/>
          <w:shd w:val="clear" w:color="auto" w:fill="E6E6E6"/>
        </w:rPr>
        <w:fldChar w:fldCharType="end"/>
      </w:r>
      <w:r w:rsidRPr="00A626D4">
        <w:t>).</w:t>
      </w:r>
    </w:p>
    <w:p w14:paraId="708771FF" w14:textId="77777777" w:rsidR="003475D2" w:rsidRPr="003475D2" w:rsidRDefault="003475D2"/>
    <w:p w14:paraId="406FCE8E" w14:textId="0115ED9C" w:rsidR="004366B7" w:rsidRDefault="00716934" w:rsidP="00716934">
      <w:pPr>
        <w:pStyle w:val="Caption"/>
      </w:pPr>
      <w:bookmarkStart w:id="150" w:name="_Ref119068877"/>
      <w:bookmarkStart w:id="151" w:name="_Toc88038751"/>
      <w:bookmarkStart w:id="152" w:name="_Toc153259112"/>
      <w:r w:rsidRPr="00390AA7">
        <w:t xml:space="preserve">Figure </w:t>
      </w:r>
      <w:r>
        <w:fldChar w:fldCharType="begin"/>
      </w:r>
      <w:r>
        <w:instrText>SEQ Figure \* ARABIC</w:instrText>
      </w:r>
      <w:r>
        <w:fldChar w:fldCharType="separate"/>
      </w:r>
      <w:r w:rsidR="008D278D">
        <w:rPr>
          <w:noProof/>
        </w:rPr>
        <w:t>1</w:t>
      </w:r>
      <w:r>
        <w:fldChar w:fldCharType="end"/>
      </w:r>
      <w:bookmarkEnd w:id="150"/>
      <w:r w:rsidR="004366B7" w:rsidRPr="00390AA7">
        <w:t>: Proportion of households agreeing to first interview, by number of visits, 202</w:t>
      </w:r>
      <w:r w:rsidR="00AD43D7" w:rsidRPr="00390AA7">
        <w:t>2</w:t>
      </w:r>
      <w:r w:rsidR="004366B7" w:rsidRPr="00390AA7">
        <w:t>/2</w:t>
      </w:r>
      <w:r w:rsidR="00AD43D7" w:rsidRPr="00390AA7">
        <w:t>3</w:t>
      </w:r>
      <w:bookmarkEnd w:id="151"/>
      <w:bookmarkEnd w:id="152"/>
    </w:p>
    <w:p w14:paraId="5A3E3687" w14:textId="05D6466F" w:rsidR="003B71C4" w:rsidRPr="003B71C4" w:rsidRDefault="00B00837" w:rsidP="003B71C4">
      <w:r>
        <w:rPr>
          <w:noProof/>
        </w:rPr>
        <w:drawing>
          <wp:inline distT="0" distB="0" distL="0" distR="0" wp14:anchorId="02481092" wp14:editId="58C8677C">
            <wp:extent cx="5065200" cy="2919600"/>
            <wp:effectExtent l="0" t="0" r="254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65200" cy="2919600"/>
                    </a:xfrm>
                    <a:prstGeom prst="rect">
                      <a:avLst/>
                    </a:prstGeom>
                    <a:noFill/>
                  </pic:spPr>
                </pic:pic>
              </a:graphicData>
            </a:graphic>
          </wp:inline>
        </w:drawing>
      </w:r>
    </w:p>
    <w:p w14:paraId="06182C3C" w14:textId="57865710" w:rsidR="004366B7" w:rsidRPr="00390AA7" w:rsidRDefault="004366B7" w:rsidP="00367D4D">
      <w:pPr>
        <w:pStyle w:val="Heading3"/>
      </w:pPr>
      <w:bookmarkStart w:id="153" w:name="_Toc25224338"/>
      <w:bookmarkStart w:id="154" w:name="_Toc55206839"/>
      <w:r w:rsidRPr="00390AA7">
        <w:t>Interview duration</w:t>
      </w:r>
      <w:bookmarkEnd w:id="153"/>
      <w:bookmarkEnd w:id="154"/>
    </w:p>
    <w:p w14:paraId="5CE190CA" w14:textId="76911DED" w:rsidR="009476FF" w:rsidRPr="00390AA7" w:rsidRDefault="009476FF" w:rsidP="009476FF">
      <w:r w:rsidRPr="00A626D4">
        <w:t>The mean duration of the adult survey in 2022/23 was 39 minutes, comprising 31 minutes for the core questions and 8 minutes for the modules. The mean duration of the child survey in 2022/23 was 22 minutes, comprising 14 minutes for the core questions and 8 minutes for the modules. Time taken for the interviewer to engage with the household to complete the consent process and pack away at the end of the survey (an average of 10 minutes) is not included in these durations.</w:t>
      </w:r>
    </w:p>
    <w:p w14:paraId="778D22B3" w14:textId="77777777" w:rsidR="004366B7" w:rsidRPr="00390AA7" w:rsidRDefault="004366B7" w:rsidP="00367D4D">
      <w:pPr>
        <w:pStyle w:val="Heading3"/>
      </w:pPr>
      <w:bookmarkStart w:id="155" w:name="_Toc25224339"/>
      <w:bookmarkStart w:id="156" w:name="_Toc55206840"/>
      <w:r w:rsidRPr="00390AA7">
        <w:t>Respondent feedback</w:t>
      </w:r>
      <w:bookmarkEnd w:id="155"/>
      <w:bookmarkEnd w:id="156"/>
    </w:p>
    <w:p w14:paraId="7C792E6D" w14:textId="77777777" w:rsidR="004366B7" w:rsidRPr="00390AA7" w:rsidRDefault="004366B7" w:rsidP="004366B7">
      <w:r w:rsidRPr="00390AA7">
        <w:t>To ensure survey protocols have been followed correctly and to ascertain respondents’ satisfaction with the survey process, Reach Aotearoa conducts audit calls with at least 15% of all respondents and at least two households per PSU. Interviewers leave postcards with respondents, which they can use to send feedback (anonymously if they choose) directly to Reach Aotearoa. Feedback is also encouraged via the survey helpline and email.</w:t>
      </w:r>
    </w:p>
    <w:p w14:paraId="51CC1D65" w14:textId="77777777" w:rsidR="004366B7" w:rsidRPr="00390AA7" w:rsidRDefault="004366B7" w:rsidP="00367D4D">
      <w:pPr>
        <w:pStyle w:val="Heading3"/>
      </w:pPr>
      <w:bookmarkStart w:id="157" w:name="_Toc25224340"/>
      <w:bookmarkStart w:id="158" w:name="_Toc55206841"/>
      <w:r w:rsidRPr="00390AA7">
        <w:t>Audio recording</w:t>
      </w:r>
      <w:bookmarkEnd w:id="157"/>
      <w:bookmarkEnd w:id="158"/>
    </w:p>
    <w:p w14:paraId="1E9082C3" w14:textId="77777777" w:rsidR="004366B7" w:rsidRPr="00390AA7" w:rsidRDefault="004366B7" w:rsidP="004366B7">
      <w:r w:rsidRPr="00390AA7">
        <w:t>Audio recording of interviews was introduced in the 2017/18 NZHS as a part of quality control. Audio recording helps to ensure that interviews are conducted in a consistent and impartial manner. Upon respondent consent, random or pre-determined questions are recorded.</w:t>
      </w:r>
    </w:p>
    <w:p w14:paraId="58DD0DBE" w14:textId="77777777" w:rsidR="00367D4D" w:rsidRPr="00390AA7" w:rsidRDefault="00367D4D" w:rsidP="3E625A02">
      <w:pPr>
        <w:sectPr w:rsidR="00367D4D" w:rsidRPr="00390AA7" w:rsidSect="004366B7">
          <w:pgSz w:w="11907" w:h="16840" w:code="9"/>
          <w:pgMar w:top="1418" w:right="1701" w:bottom="1134" w:left="1843" w:header="284" w:footer="425" w:gutter="284"/>
          <w:cols w:space="720"/>
        </w:sectPr>
      </w:pPr>
      <w:bookmarkStart w:id="159" w:name="_Toc467491529"/>
      <w:bookmarkStart w:id="160" w:name="_Toc531762347"/>
      <w:bookmarkStart w:id="161" w:name="_Toc531783704"/>
      <w:bookmarkStart w:id="162" w:name="_Toc22887937"/>
      <w:bookmarkStart w:id="163" w:name="_Toc55206844"/>
      <w:bookmarkStart w:id="164" w:name="_Toc88752035"/>
      <w:bookmarkEnd w:id="121"/>
      <w:bookmarkEnd w:id="122"/>
      <w:bookmarkEnd w:id="123"/>
    </w:p>
    <w:p w14:paraId="28F528DD" w14:textId="3AFB61A0" w:rsidR="004366B7" w:rsidRPr="00390AA7" w:rsidRDefault="004366B7" w:rsidP="00B2502A">
      <w:pPr>
        <w:pStyle w:val="Heading1"/>
        <w:spacing w:before="0"/>
      </w:pPr>
      <w:bookmarkStart w:id="165" w:name="_Toc153259083"/>
      <w:r w:rsidRPr="00390AA7">
        <w:t>Response and coverage rates</w:t>
      </w:r>
      <w:bookmarkEnd w:id="124"/>
      <w:bookmarkEnd w:id="125"/>
      <w:bookmarkEnd w:id="126"/>
      <w:bookmarkEnd w:id="127"/>
      <w:bookmarkEnd w:id="128"/>
      <w:bookmarkEnd w:id="159"/>
      <w:bookmarkEnd w:id="160"/>
      <w:bookmarkEnd w:id="161"/>
      <w:bookmarkEnd w:id="162"/>
      <w:bookmarkEnd w:id="163"/>
      <w:bookmarkEnd w:id="164"/>
      <w:bookmarkEnd w:id="165"/>
    </w:p>
    <w:p w14:paraId="56EDC059" w14:textId="77777777" w:rsidR="004663E2" w:rsidRDefault="004366B7" w:rsidP="004663E2">
      <w:pPr>
        <w:rPr>
          <w:lang w:eastAsia="en-US"/>
        </w:rPr>
      </w:pPr>
      <w:r w:rsidRPr="00390AA7">
        <w:rPr>
          <w:lang w:eastAsia="en-US"/>
        </w:rPr>
        <w:t xml:space="preserve">The response rate is a measure of how many people who were selected to take part in the survey actually participated. </w:t>
      </w:r>
      <w:r w:rsidRPr="00390AA7">
        <w:t>The higher the response rate, the more representative the survey results are of the New Zealand population</w:t>
      </w:r>
      <w:r w:rsidRPr="00390AA7">
        <w:rPr>
          <w:lang w:eastAsia="en-US"/>
        </w:rPr>
        <w:t>.</w:t>
      </w:r>
      <w:r w:rsidR="004663E2">
        <w:rPr>
          <w:lang w:eastAsia="en-US"/>
        </w:rPr>
        <w:t xml:space="preserve"> Table 2 shows the response rate and sample size for adults and children from 2011/12 to the current survey year, 2022/23.</w:t>
      </w:r>
    </w:p>
    <w:p w14:paraId="4C627FC1" w14:textId="77777777" w:rsidR="004366B7" w:rsidRPr="00390AA7" w:rsidRDefault="004366B7" w:rsidP="004366B7">
      <w:pPr>
        <w:rPr>
          <w:lang w:eastAsia="en-US"/>
        </w:rPr>
      </w:pPr>
    </w:p>
    <w:p w14:paraId="79CBEA13" w14:textId="4A53D0C8" w:rsidR="004366B7" w:rsidRPr="00390AA7" w:rsidRDefault="004366B7" w:rsidP="004366B7">
      <w:pPr>
        <w:pStyle w:val="Box"/>
        <w:rPr>
          <w:lang w:eastAsia="en-US"/>
        </w:rPr>
      </w:pPr>
      <w:r w:rsidRPr="00A626D4">
        <w:rPr>
          <w:lang w:eastAsia="en-US"/>
        </w:rPr>
        <w:t xml:space="preserve">In </w:t>
      </w:r>
      <w:r w:rsidR="00CF2675" w:rsidRPr="00A626D4">
        <w:rPr>
          <w:lang w:eastAsia="en-US"/>
        </w:rPr>
        <w:t xml:space="preserve">the </w:t>
      </w:r>
      <w:r w:rsidRPr="00A626D4">
        <w:t>202</w:t>
      </w:r>
      <w:r w:rsidR="00060F63" w:rsidRPr="00A626D4">
        <w:t>2</w:t>
      </w:r>
      <w:r w:rsidRPr="00A626D4">
        <w:t>/2</w:t>
      </w:r>
      <w:r w:rsidR="00060F63" w:rsidRPr="00A626D4">
        <w:t>3</w:t>
      </w:r>
      <w:r w:rsidR="00CF2675" w:rsidRPr="00A626D4">
        <w:t xml:space="preserve"> NZHS</w:t>
      </w:r>
      <w:r w:rsidRPr="00A626D4">
        <w:rPr>
          <w:lang w:eastAsia="en-US"/>
        </w:rPr>
        <w:t xml:space="preserve">, the final weighted response rate was </w:t>
      </w:r>
      <w:r w:rsidR="00060F63" w:rsidRPr="00BE2643">
        <w:rPr>
          <w:lang w:eastAsia="en-US"/>
        </w:rPr>
        <w:t>71</w:t>
      </w:r>
      <w:r w:rsidRPr="00BE2643">
        <w:rPr>
          <w:lang w:eastAsia="en-US"/>
        </w:rPr>
        <w:t xml:space="preserve">% for adults and </w:t>
      </w:r>
      <w:r w:rsidR="00060F63" w:rsidRPr="00BE2643">
        <w:rPr>
          <w:lang w:eastAsia="en-US"/>
        </w:rPr>
        <w:t>67</w:t>
      </w:r>
      <w:r w:rsidRPr="00BE2643">
        <w:rPr>
          <w:lang w:eastAsia="en-US"/>
        </w:rPr>
        <w:t>% for children</w:t>
      </w:r>
      <w:r w:rsidRPr="00A626D4">
        <w:rPr>
          <w:lang w:eastAsia="en-US"/>
        </w:rPr>
        <w:t>.</w:t>
      </w:r>
    </w:p>
    <w:p w14:paraId="1EDFC860" w14:textId="3D4E8D28" w:rsidR="004366B7" w:rsidRPr="00390AA7" w:rsidRDefault="004366B7" w:rsidP="004366B7">
      <w:pPr>
        <w:pStyle w:val="Box"/>
        <w:rPr>
          <w:lang w:eastAsia="en-US"/>
        </w:rPr>
      </w:pPr>
      <w:r w:rsidRPr="00390AA7">
        <w:rPr>
          <w:lang w:eastAsia="en-US"/>
        </w:rPr>
        <w:t xml:space="preserve">For more details on the response rates for </w:t>
      </w:r>
      <w:r w:rsidRPr="00390AA7">
        <w:t>202</w:t>
      </w:r>
      <w:r w:rsidR="00755FC3" w:rsidRPr="00390AA7">
        <w:t>2</w:t>
      </w:r>
      <w:r w:rsidRPr="00390AA7">
        <w:t>/2</w:t>
      </w:r>
      <w:r w:rsidR="00755FC3" w:rsidRPr="00390AA7">
        <w:t>3</w:t>
      </w:r>
      <w:r w:rsidRPr="00390AA7">
        <w:rPr>
          <w:lang w:eastAsia="en-US"/>
        </w:rPr>
        <w:t xml:space="preserve">, see the ‘New Zealand Health Survey </w:t>
      </w:r>
      <w:r w:rsidRPr="00390AA7">
        <w:t>202</w:t>
      </w:r>
      <w:r w:rsidR="00755FC3" w:rsidRPr="00390AA7">
        <w:t>2</w:t>
      </w:r>
      <w:r w:rsidRPr="00390AA7">
        <w:t>/2</w:t>
      </w:r>
      <w:r w:rsidR="00755FC3" w:rsidRPr="00390AA7">
        <w:t>3</w:t>
      </w:r>
      <w:r w:rsidRPr="00390AA7">
        <w:rPr>
          <w:lang w:eastAsia="en-US"/>
        </w:rPr>
        <w:t>’ section.</w:t>
      </w:r>
    </w:p>
    <w:p w14:paraId="0A16CCE4" w14:textId="77777777" w:rsidR="004366B7" w:rsidRPr="00390AA7" w:rsidRDefault="004366B7" w:rsidP="004366B7"/>
    <w:p w14:paraId="27BEFB48" w14:textId="77777777" w:rsidR="004366B7" w:rsidRPr="00390AA7" w:rsidRDefault="004366B7" w:rsidP="004366B7">
      <w:r w:rsidRPr="00390AA7">
        <w:rPr>
          <w:lang w:eastAsia="en-US"/>
        </w:rPr>
        <w:t xml:space="preserve">Response rate is an important measure of the quality of a survey. </w:t>
      </w:r>
      <w:r w:rsidRPr="00390AA7">
        <w:t>Methods used to maximise response rates in the NZHS include:</w:t>
      </w:r>
    </w:p>
    <w:p w14:paraId="64BAB253" w14:textId="77777777" w:rsidR="004366B7" w:rsidRPr="00390AA7" w:rsidRDefault="004366B7" w:rsidP="004366B7">
      <w:pPr>
        <w:pStyle w:val="Bullet"/>
      </w:pPr>
      <w:r w:rsidRPr="00390AA7">
        <w:t>giving interviewers initial and ongoing training and development</w:t>
      </w:r>
    </w:p>
    <w:p w14:paraId="69580AB1" w14:textId="77777777" w:rsidR="004366B7" w:rsidRPr="00390AA7" w:rsidRDefault="004366B7" w:rsidP="004366B7">
      <w:pPr>
        <w:pStyle w:val="Bullet"/>
      </w:pPr>
      <w:r w:rsidRPr="00390AA7">
        <w:t>supporting and assessing interviewers in the field</w:t>
      </w:r>
    </w:p>
    <w:p w14:paraId="719F21C2" w14:textId="4D75820E" w:rsidR="004366B7" w:rsidRPr="00390AA7" w:rsidRDefault="004366B7" w:rsidP="004366B7">
      <w:pPr>
        <w:pStyle w:val="Bullet"/>
      </w:pPr>
      <w:r w:rsidRPr="00390AA7">
        <w:t xml:space="preserve">using well-designed call pattern processes, allowing for up to </w:t>
      </w:r>
      <w:r w:rsidR="00AD42AD">
        <w:t>8</w:t>
      </w:r>
      <w:r w:rsidRPr="00390AA7">
        <w:t xml:space="preserve"> calls to potential respondents at different times of the week and day</w:t>
      </w:r>
    </w:p>
    <w:p w14:paraId="00DEFA2E" w14:textId="43780BF8" w:rsidR="004366B7" w:rsidRPr="00390AA7" w:rsidRDefault="004366B7" w:rsidP="004366B7">
      <w:pPr>
        <w:pStyle w:val="Bullet"/>
        <w:rPr>
          <w:color w:val="000000" w:themeColor="text1"/>
          <w:szCs w:val="22"/>
        </w:rPr>
      </w:pPr>
      <w:r w:rsidRPr="00390AA7">
        <w:rPr>
          <w:color w:val="000000" w:themeColor="text1"/>
        </w:rPr>
        <w:t xml:space="preserve">revisiting ‘closed’ PSUs at the end of each quarter – </w:t>
      </w:r>
      <w:r w:rsidRPr="00390AA7">
        <w:t>non-contact</w:t>
      </w:r>
      <w:r w:rsidRPr="00390AA7">
        <w:rPr>
          <w:color w:val="000000" w:themeColor="text1"/>
        </w:rPr>
        <w:t xml:space="preserve"> households are revisited (up to </w:t>
      </w:r>
      <w:r w:rsidR="00AD42AD">
        <w:rPr>
          <w:color w:val="000000" w:themeColor="text1"/>
        </w:rPr>
        <w:t>8</w:t>
      </w:r>
      <w:r w:rsidRPr="00390AA7">
        <w:rPr>
          <w:color w:val="000000" w:themeColor="text1"/>
        </w:rPr>
        <w:t xml:space="preserve"> times overall) and attempts made to complete interviews with selected respondents who were unable to take part when they were originally selected.</w:t>
      </w:r>
    </w:p>
    <w:p w14:paraId="4C163D2A" w14:textId="585063CA" w:rsidR="00C76782" w:rsidRPr="00390AA7" w:rsidRDefault="00C76782" w:rsidP="00C76782">
      <w:pPr>
        <w:pStyle w:val="Bullet"/>
        <w:numPr>
          <w:ilvl w:val="0"/>
          <w:numId w:val="0"/>
        </w:numPr>
        <w:ind w:left="284" w:hanging="284"/>
        <w:rPr>
          <w:color w:val="000000" w:themeColor="text1"/>
          <w:szCs w:val="22"/>
        </w:rPr>
      </w:pPr>
    </w:p>
    <w:p w14:paraId="3F8CB4E2" w14:textId="097353F4" w:rsidR="00C76782" w:rsidRPr="00390AA7" w:rsidRDefault="00C76782" w:rsidP="00C76782">
      <w:pPr>
        <w:pStyle w:val="Caption"/>
        <w:rPr>
          <w:color w:val="000000" w:themeColor="text1"/>
          <w:szCs w:val="22"/>
        </w:rPr>
      </w:pPr>
      <w:bookmarkStart w:id="166" w:name="_Toc153259120"/>
      <w:r w:rsidRPr="00390AA7">
        <w:t xml:space="preserve">Table </w:t>
      </w:r>
      <w:r>
        <w:fldChar w:fldCharType="begin"/>
      </w:r>
      <w:r>
        <w:instrText>SEQ Table \* ARABIC</w:instrText>
      </w:r>
      <w:r>
        <w:fldChar w:fldCharType="separate"/>
      </w:r>
      <w:r w:rsidR="008D278D">
        <w:rPr>
          <w:noProof/>
        </w:rPr>
        <w:t>2</w:t>
      </w:r>
      <w:r>
        <w:fldChar w:fldCharType="end"/>
      </w:r>
      <w:r w:rsidR="00D67D8A" w:rsidRPr="00390AA7">
        <w:rPr>
          <w:noProof/>
        </w:rPr>
        <w:t xml:space="preserve">: </w:t>
      </w:r>
      <w:r w:rsidR="002245D5" w:rsidRPr="00390AA7">
        <w:rPr>
          <w:color w:val="000000" w:themeColor="text1"/>
          <w:szCs w:val="22"/>
        </w:rPr>
        <w:t>Sample size and response rates, 2011/12–2022/23</w:t>
      </w:r>
      <w:bookmarkEnd w:id="166"/>
    </w:p>
    <w:tbl>
      <w:tblPr>
        <w:tblW w:w="8079"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1615"/>
        <w:gridCol w:w="1616"/>
        <w:gridCol w:w="1616"/>
        <w:gridCol w:w="1616"/>
        <w:gridCol w:w="1616"/>
      </w:tblGrid>
      <w:tr w:rsidR="00C76782" w:rsidRPr="00390AA7" w14:paraId="6D00EDD7" w14:textId="77777777" w:rsidTr="00B16B0F">
        <w:trPr>
          <w:tblHeader/>
        </w:trPr>
        <w:tc>
          <w:tcPr>
            <w:tcW w:w="1615" w:type="dxa"/>
            <w:tcBorders>
              <w:top w:val="nil"/>
              <w:bottom w:val="nil"/>
            </w:tcBorders>
            <w:shd w:val="clear" w:color="auto" w:fill="D9D9D9" w:themeFill="background1" w:themeFillShade="D9"/>
            <w:tcMar>
              <w:top w:w="75" w:type="dxa"/>
              <w:left w:w="180" w:type="dxa"/>
              <w:bottom w:w="75" w:type="dxa"/>
              <w:right w:w="180" w:type="dxa"/>
            </w:tcMar>
            <w:vAlign w:val="bottom"/>
            <w:hideMark/>
          </w:tcPr>
          <w:p w14:paraId="032AFE78" w14:textId="77777777" w:rsidR="00C76782" w:rsidRPr="00B16B0F" w:rsidRDefault="00C76782" w:rsidP="00B16B0F">
            <w:pPr>
              <w:pStyle w:val="TableText"/>
              <w:spacing w:before="0" w:after="0"/>
              <w:rPr>
                <w:b/>
                <w:bCs/>
                <w:lang w:eastAsia="en-NZ"/>
              </w:rPr>
            </w:pPr>
            <w:r w:rsidRPr="00B16B0F">
              <w:rPr>
                <w:b/>
                <w:bCs/>
                <w:lang w:eastAsia="en-NZ"/>
              </w:rPr>
              <w:t>Year</w:t>
            </w:r>
          </w:p>
        </w:tc>
        <w:tc>
          <w:tcPr>
            <w:tcW w:w="1616" w:type="dxa"/>
            <w:tcBorders>
              <w:top w:val="nil"/>
              <w:bottom w:val="nil"/>
            </w:tcBorders>
            <w:shd w:val="clear" w:color="auto" w:fill="D9D9D9" w:themeFill="background1" w:themeFillShade="D9"/>
            <w:tcMar>
              <w:top w:w="75" w:type="dxa"/>
              <w:left w:w="180" w:type="dxa"/>
              <w:bottom w:w="75" w:type="dxa"/>
              <w:right w:w="180" w:type="dxa"/>
            </w:tcMar>
            <w:vAlign w:val="bottom"/>
            <w:hideMark/>
          </w:tcPr>
          <w:p w14:paraId="2370F034" w14:textId="77777777" w:rsidR="00C76782" w:rsidRPr="00B16B0F" w:rsidRDefault="00C76782" w:rsidP="00B16B0F">
            <w:pPr>
              <w:pStyle w:val="TableText"/>
              <w:spacing w:before="0" w:after="0"/>
              <w:rPr>
                <w:b/>
                <w:bCs/>
                <w:lang w:eastAsia="en-NZ"/>
              </w:rPr>
            </w:pPr>
            <w:r w:rsidRPr="00B16B0F">
              <w:rPr>
                <w:b/>
                <w:bCs/>
                <w:lang w:eastAsia="en-NZ"/>
              </w:rPr>
              <w:t>Adult Sample Size</w:t>
            </w:r>
          </w:p>
        </w:tc>
        <w:tc>
          <w:tcPr>
            <w:tcW w:w="1616" w:type="dxa"/>
            <w:tcBorders>
              <w:top w:val="nil"/>
              <w:bottom w:val="nil"/>
            </w:tcBorders>
            <w:shd w:val="clear" w:color="auto" w:fill="D9D9D9" w:themeFill="background1" w:themeFillShade="D9"/>
            <w:tcMar>
              <w:top w:w="75" w:type="dxa"/>
              <w:left w:w="180" w:type="dxa"/>
              <w:bottom w:w="75" w:type="dxa"/>
              <w:right w:w="180" w:type="dxa"/>
            </w:tcMar>
            <w:vAlign w:val="bottom"/>
            <w:hideMark/>
          </w:tcPr>
          <w:p w14:paraId="3EBBAD9F" w14:textId="77777777" w:rsidR="00C76782" w:rsidRPr="00B16B0F" w:rsidRDefault="00C76782" w:rsidP="00B16B0F">
            <w:pPr>
              <w:pStyle w:val="TableText"/>
              <w:spacing w:before="0" w:after="0"/>
              <w:rPr>
                <w:b/>
                <w:bCs/>
                <w:lang w:eastAsia="en-NZ"/>
              </w:rPr>
            </w:pPr>
            <w:r w:rsidRPr="00B16B0F">
              <w:rPr>
                <w:b/>
                <w:bCs/>
                <w:lang w:eastAsia="en-NZ"/>
              </w:rPr>
              <w:t>Child Sample Size</w:t>
            </w:r>
          </w:p>
        </w:tc>
        <w:tc>
          <w:tcPr>
            <w:tcW w:w="1616" w:type="dxa"/>
            <w:tcBorders>
              <w:top w:val="nil"/>
              <w:bottom w:val="nil"/>
            </w:tcBorders>
            <w:shd w:val="clear" w:color="auto" w:fill="D9D9D9" w:themeFill="background1" w:themeFillShade="D9"/>
            <w:tcMar>
              <w:top w:w="75" w:type="dxa"/>
              <w:left w:w="180" w:type="dxa"/>
              <w:bottom w:w="75" w:type="dxa"/>
              <w:right w:w="180" w:type="dxa"/>
            </w:tcMar>
            <w:vAlign w:val="bottom"/>
            <w:hideMark/>
          </w:tcPr>
          <w:p w14:paraId="4100761E" w14:textId="77777777" w:rsidR="00C76782" w:rsidRPr="00B16B0F" w:rsidRDefault="00C76782" w:rsidP="00B16B0F">
            <w:pPr>
              <w:pStyle w:val="TableText"/>
              <w:spacing w:before="0" w:after="0"/>
              <w:rPr>
                <w:b/>
                <w:bCs/>
                <w:lang w:eastAsia="en-NZ"/>
              </w:rPr>
            </w:pPr>
            <w:r w:rsidRPr="00B16B0F">
              <w:rPr>
                <w:b/>
                <w:bCs/>
                <w:lang w:eastAsia="en-NZ"/>
              </w:rPr>
              <w:t>Adult Response Rate</w:t>
            </w:r>
          </w:p>
        </w:tc>
        <w:tc>
          <w:tcPr>
            <w:tcW w:w="1616" w:type="dxa"/>
            <w:tcBorders>
              <w:top w:val="nil"/>
              <w:bottom w:val="nil"/>
            </w:tcBorders>
            <w:shd w:val="clear" w:color="auto" w:fill="D9D9D9" w:themeFill="background1" w:themeFillShade="D9"/>
            <w:tcMar>
              <w:top w:w="75" w:type="dxa"/>
              <w:left w:w="180" w:type="dxa"/>
              <w:bottom w:w="75" w:type="dxa"/>
              <w:right w:w="180" w:type="dxa"/>
            </w:tcMar>
            <w:vAlign w:val="bottom"/>
            <w:hideMark/>
          </w:tcPr>
          <w:p w14:paraId="49C03012" w14:textId="77777777" w:rsidR="00C76782" w:rsidRPr="00B16B0F" w:rsidRDefault="00C76782" w:rsidP="00B16B0F">
            <w:pPr>
              <w:pStyle w:val="TableText"/>
              <w:spacing w:before="0" w:after="0"/>
              <w:rPr>
                <w:b/>
                <w:bCs/>
                <w:lang w:eastAsia="en-NZ"/>
              </w:rPr>
            </w:pPr>
            <w:r w:rsidRPr="00B16B0F">
              <w:rPr>
                <w:b/>
                <w:bCs/>
                <w:lang w:eastAsia="en-NZ"/>
              </w:rPr>
              <w:t>Child Response Rate</w:t>
            </w:r>
          </w:p>
        </w:tc>
      </w:tr>
      <w:tr w:rsidR="00C76782" w:rsidRPr="00390AA7" w14:paraId="42A5DFC1" w14:textId="77777777" w:rsidTr="00B16B0F">
        <w:tc>
          <w:tcPr>
            <w:tcW w:w="1615" w:type="dxa"/>
            <w:tcBorders>
              <w:top w:val="nil"/>
            </w:tcBorders>
            <w:shd w:val="clear" w:color="auto" w:fill="auto"/>
            <w:tcMar>
              <w:top w:w="75" w:type="dxa"/>
              <w:left w:w="180" w:type="dxa"/>
              <w:bottom w:w="75" w:type="dxa"/>
              <w:right w:w="180" w:type="dxa"/>
            </w:tcMar>
            <w:hideMark/>
          </w:tcPr>
          <w:p w14:paraId="57B14000" w14:textId="77777777" w:rsidR="00C76782" w:rsidRPr="00390AA7" w:rsidRDefault="00C76782" w:rsidP="00B16B0F">
            <w:pPr>
              <w:pStyle w:val="TableText"/>
              <w:spacing w:before="0" w:after="0"/>
            </w:pPr>
            <w:r w:rsidRPr="00390AA7">
              <w:t>2011/12</w:t>
            </w:r>
          </w:p>
        </w:tc>
        <w:tc>
          <w:tcPr>
            <w:tcW w:w="1616" w:type="dxa"/>
            <w:tcBorders>
              <w:top w:val="nil"/>
            </w:tcBorders>
            <w:shd w:val="clear" w:color="auto" w:fill="auto"/>
            <w:tcMar>
              <w:top w:w="75" w:type="dxa"/>
              <w:left w:w="180" w:type="dxa"/>
              <w:bottom w:w="75" w:type="dxa"/>
              <w:right w:w="180" w:type="dxa"/>
            </w:tcMar>
            <w:hideMark/>
          </w:tcPr>
          <w:p w14:paraId="45F1133F" w14:textId="77777777" w:rsidR="00C76782" w:rsidRPr="00390AA7" w:rsidRDefault="00C76782" w:rsidP="00B16B0F">
            <w:pPr>
              <w:pStyle w:val="TableText"/>
              <w:spacing w:before="0" w:after="0"/>
            </w:pPr>
            <w:r w:rsidRPr="00390AA7">
              <w:t>12,370</w:t>
            </w:r>
          </w:p>
        </w:tc>
        <w:tc>
          <w:tcPr>
            <w:tcW w:w="1616" w:type="dxa"/>
            <w:tcBorders>
              <w:top w:val="nil"/>
            </w:tcBorders>
            <w:shd w:val="clear" w:color="auto" w:fill="auto"/>
            <w:tcMar>
              <w:top w:w="75" w:type="dxa"/>
              <w:left w:w="180" w:type="dxa"/>
              <w:bottom w:w="75" w:type="dxa"/>
              <w:right w:w="180" w:type="dxa"/>
            </w:tcMar>
            <w:hideMark/>
          </w:tcPr>
          <w:p w14:paraId="4C7C2A28" w14:textId="77777777" w:rsidR="00C76782" w:rsidRPr="00390AA7" w:rsidRDefault="00C76782" w:rsidP="00B16B0F">
            <w:pPr>
              <w:pStyle w:val="TableText"/>
              <w:spacing w:before="0" w:after="0"/>
            </w:pPr>
            <w:r w:rsidRPr="00390AA7">
              <w:t>4,478</w:t>
            </w:r>
          </w:p>
        </w:tc>
        <w:tc>
          <w:tcPr>
            <w:tcW w:w="1616" w:type="dxa"/>
            <w:tcBorders>
              <w:top w:val="nil"/>
            </w:tcBorders>
            <w:shd w:val="clear" w:color="auto" w:fill="auto"/>
            <w:tcMar>
              <w:top w:w="75" w:type="dxa"/>
              <w:left w:w="180" w:type="dxa"/>
              <w:bottom w:w="75" w:type="dxa"/>
              <w:right w:w="180" w:type="dxa"/>
            </w:tcMar>
            <w:hideMark/>
          </w:tcPr>
          <w:p w14:paraId="526A2B4E" w14:textId="77777777" w:rsidR="00C76782" w:rsidRPr="00390AA7" w:rsidRDefault="00C76782" w:rsidP="00B16B0F">
            <w:pPr>
              <w:pStyle w:val="TableText"/>
              <w:spacing w:before="0" w:after="0"/>
            </w:pPr>
            <w:r w:rsidRPr="00390AA7">
              <w:t>79%</w:t>
            </w:r>
          </w:p>
        </w:tc>
        <w:tc>
          <w:tcPr>
            <w:tcW w:w="1616" w:type="dxa"/>
            <w:tcBorders>
              <w:top w:val="nil"/>
            </w:tcBorders>
            <w:shd w:val="clear" w:color="auto" w:fill="auto"/>
            <w:tcMar>
              <w:top w:w="75" w:type="dxa"/>
              <w:left w:w="180" w:type="dxa"/>
              <w:bottom w:w="75" w:type="dxa"/>
              <w:right w:w="180" w:type="dxa"/>
            </w:tcMar>
            <w:hideMark/>
          </w:tcPr>
          <w:p w14:paraId="4E0C22F5" w14:textId="77777777" w:rsidR="00C76782" w:rsidRPr="00390AA7" w:rsidRDefault="00C76782" w:rsidP="00B16B0F">
            <w:pPr>
              <w:pStyle w:val="TableText"/>
              <w:spacing w:before="0" w:after="0"/>
            </w:pPr>
            <w:r w:rsidRPr="00390AA7">
              <w:t>85%</w:t>
            </w:r>
          </w:p>
        </w:tc>
      </w:tr>
      <w:tr w:rsidR="00C76782" w:rsidRPr="00390AA7" w14:paraId="7A5BB0C1" w14:textId="77777777" w:rsidTr="00B16B0F">
        <w:tc>
          <w:tcPr>
            <w:tcW w:w="1615" w:type="dxa"/>
            <w:shd w:val="clear" w:color="auto" w:fill="auto"/>
            <w:tcMar>
              <w:top w:w="75" w:type="dxa"/>
              <w:left w:w="180" w:type="dxa"/>
              <w:bottom w:w="75" w:type="dxa"/>
              <w:right w:w="180" w:type="dxa"/>
            </w:tcMar>
            <w:hideMark/>
          </w:tcPr>
          <w:p w14:paraId="7085C547" w14:textId="77777777" w:rsidR="00C76782" w:rsidRPr="00390AA7" w:rsidRDefault="00C76782" w:rsidP="00B16B0F">
            <w:pPr>
              <w:pStyle w:val="TableText"/>
              <w:spacing w:before="0" w:after="0"/>
            </w:pPr>
            <w:r w:rsidRPr="00390AA7">
              <w:t>2012/13</w:t>
            </w:r>
          </w:p>
        </w:tc>
        <w:tc>
          <w:tcPr>
            <w:tcW w:w="1616" w:type="dxa"/>
            <w:shd w:val="clear" w:color="auto" w:fill="auto"/>
            <w:tcMar>
              <w:top w:w="75" w:type="dxa"/>
              <w:left w:w="180" w:type="dxa"/>
              <w:bottom w:w="75" w:type="dxa"/>
              <w:right w:w="180" w:type="dxa"/>
            </w:tcMar>
            <w:hideMark/>
          </w:tcPr>
          <w:p w14:paraId="56EE30A6" w14:textId="77777777" w:rsidR="00C76782" w:rsidRPr="00390AA7" w:rsidRDefault="00C76782" w:rsidP="00B16B0F">
            <w:pPr>
              <w:pStyle w:val="TableText"/>
              <w:spacing w:before="0" w:after="0"/>
            </w:pPr>
            <w:r w:rsidRPr="00390AA7">
              <w:t>13,009</w:t>
            </w:r>
          </w:p>
        </w:tc>
        <w:tc>
          <w:tcPr>
            <w:tcW w:w="1616" w:type="dxa"/>
            <w:shd w:val="clear" w:color="auto" w:fill="auto"/>
            <w:tcMar>
              <w:top w:w="75" w:type="dxa"/>
              <w:left w:w="180" w:type="dxa"/>
              <w:bottom w:w="75" w:type="dxa"/>
              <w:right w:w="180" w:type="dxa"/>
            </w:tcMar>
            <w:hideMark/>
          </w:tcPr>
          <w:p w14:paraId="0ACD33E3" w14:textId="77777777" w:rsidR="00C76782" w:rsidRPr="00390AA7" w:rsidRDefault="00C76782" w:rsidP="00B16B0F">
            <w:pPr>
              <w:pStyle w:val="TableText"/>
              <w:spacing w:before="0" w:after="0"/>
            </w:pPr>
            <w:r w:rsidRPr="00390AA7">
              <w:t>4,485</w:t>
            </w:r>
          </w:p>
        </w:tc>
        <w:tc>
          <w:tcPr>
            <w:tcW w:w="1616" w:type="dxa"/>
            <w:shd w:val="clear" w:color="auto" w:fill="auto"/>
            <w:tcMar>
              <w:top w:w="75" w:type="dxa"/>
              <w:left w:w="180" w:type="dxa"/>
              <w:bottom w:w="75" w:type="dxa"/>
              <w:right w:w="180" w:type="dxa"/>
            </w:tcMar>
            <w:hideMark/>
          </w:tcPr>
          <w:p w14:paraId="7D4C4E4C" w14:textId="77777777" w:rsidR="00C76782" w:rsidRPr="00390AA7" w:rsidRDefault="00C76782" w:rsidP="00B16B0F">
            <w:pPr>
              <w:pStyle w:val="TableText"/>
              <w:spacing w:before="0" w:after="0"/>
            </w:pPr>
            <w:r w:rsidRPr="00390AA7">
              <w:t>80%</w:t>
            </w:r>
          </w:p>
        </w:tc>
        <w:tc>
          <w:tcPr>
            <w:tcW w:w="1616" w:type="dxa"/>
            <w:shd w:val="clear" w:color="auto" w:fill="auto"/>
            <w:tcMar>
              <w:top w:w="75" w:type="dxa"/>
              <w:left w:w="180" w:type="dxa"/>
              <w:bottom w:w="75" w:type="dxa"/>
              <w:right w:w="180" w:type="dxa"/>
            </w:tcMar>
            <w:hideMark/>
          </w:tcPr>
          <w:p w14:paraId="7364BAB5" w14:textId="77777777" w:rsidR="00C76782" w:rsidRPr="00390AA7" w:rsidRDefault="00C76782" w:rsidP="00B16B0F">
            <w:pPr>
              <w:pStyle w:val="TableText"/>
              <w:spacing w:before="0" w:after="0"/>
            </w:pPr>
            <w:r w:rsidRPr="00390AA7">
              <w:t>85%</w:t>
            </w:r>
          </w:p>
        </w:tc>
      </w:tr>
      <w:tr w:rsidR="00C76782" w:rsidRPr="00390AA7" w14:paraId="6D6290F9" w14:textId="77777777" w:rsidTr="00B16B0F">
        <w:tc>
          <w:tcPr>
            <w:tcW w:w="1615" w:type="dxa"/>
            <w:shd w:val="clear" w:color="auto" w:fill="auto"/>
            <w:tcMar>
              <w:top w:w="75" w:type="dxa"/>
              <w:left w:w="180" w:type="dxa"/>
              <w:bottom w:w="75" w:type="dxa"/>
              <w:right w:w="180" w:type="dxa"/>
            </w:tcMar>
            <w:hideMark/>
          </w:tcPr>
          <w:p w14:paraId="2A98D7D2" w14:textId="77777777" w:rsidR="00C76782" w:rsidRPr="00390AA7" w:rsidRDefault="00C76782" w:rsidP="00B16B0F">
            <w:pPr>
              <w:pStyle w:val="TableText"/>
              <w:spacing w:before="0" w:after="0"/>
            </w:pPr>
            <w:r w:rsidRPr="00390AA7">
              <w:t>2013/14</w:t>
            </w:r>
          </w:p>
        </w:tc>
        <w:tc>
          <w:tcPr>
            <w:tcW w:w="1616" w:type="dxa"/>
            <w:shd w:val="clear" w:color="auto" w:fill="auto"/>
            <w:tcMar>
              <w:top w:w="75" w:type="dxa"/>
              <w:left w:w="180" w:type="dxa"/>
              <w:bottom w:w="75" w:type="dxa"/>
              <w:right w:w="180" w:type="dxa"/>
            </w:tcMar>
            <w:hideMark/>
          </w:tcPr>
          <w:p w14:paraId="449C68EF" w14:textId="77777777" w:rsidR="00C76782" w:rsidRPr="00390AA7" w:rsidRDefault="00C76782" w:rsidP="00B16B0F">
            <w:pPr>
              <w:pStyle w:val="TableText"/>
              <w:spacing w:before="0" w:after="0"/>
            </w:pPr>
            <w:r w:rsidRPr="00390AA7">
              <w:t>13,309</w:t>
            </w:r>
          </w:p>
        </w:tc>
        <w:tc>
          <w:tcPr>
            <w:tcW w:w="1616" w:type="dxa"/>
            <w:shd w:val="clear" w:color="auto" w:fill="auto"/>
            <w:tcMar>
              <w:top w:w="75" w:type="dxa"/>
              <w:left w:w="180" w:type="dxa"/>
              <w:bottom w:w="75" w:type="dxa"/>
              <w:right w:w="180" w:type="dxa"/>
            </w:tcMar>
            <w:hideMark/>
          </w:tcPr>
          <w:p w14:paraId="3F7263E7" w14:textId="77777777" w:rsidR="00C76782" w:rsidRPr="00390AA7" w:rsidRDefault="00C76782" w:rsidP="00B16B0F">
            <w:pPr>
              <w:pStyle w:val="TableText"/>
              <w:spacing w:before="0" w:after="0"/>
            </w:pPr>
            <w:r w:rsidRPr="00390AA7">
              <w:t>4,699</w:t>
            </w:r>
          </w:p>
        </w:tc>
        <w:tc>
          <w:tcPr>
            <w:tcW w:w="1616" w:type="dxa"/>
            <w:shd w:val="clear" w:color="auto" w:fill="auto"/>
            <w:tcMar>
              <w:top w:w="75" w:type="dxa"/>
              <w:left w:w="180" w:type="dxa"/>
              <w:bottom w:w="75" w:type="dxa"/>
              <w:right w:w="180" w:type="dxa"/>
            </w:tcMar>
            <w:hideMark/>
          </w:tcPr>
          <w:p w14:paraId="226F6EE9" w14:textId="77777777" w:rsidR="00C76782" w:rsidRPr="00390AA7" w:rsidRDefault="00C76782" w:rsidP="00B16B0F">
            <w:pPr>
              <w:pStyle w:val="TableText"/>
              <w:spacing w:before="0" w:after="0"/>
            </w:pPr>
            <w:r w:rsidRPr="00390AA7">
              <w:t>80%</w:t>
            </w:r>
          </w:p>
        </w:tc>
        <w:tc>
          <w:tcPr>
            <w:tcW w:w="1616" w:type="dxa"/>
            <w:shd w:val="clear" w:color="auto" w:fill="auto"/>
            <w:tcMar>
              <w:top w:w="75" w:type="dxa"/>
              <w:left w:w="180" w:type="dxa"/>
              <w:bottom w:w="75" w:type="dxa"/>
              <w:right w:w="180" w:type="dxa"/>
            </w:tcMar>
            <w:hideMark/>
          </w:tcPr>
          <w:p w14:paraId="27FE99E4" w14:textId="77777777" w:rsidR="00C76782" w:rsidRPr="00390AA7" w:rsidRDefault="00C76782" w:rsidP="00B16B0F">
            <w:pPr>
              <w:pStyle w:val="TableText"/>
              <w:spacing w:before="0" w:after="0"/>
            </w:pPr>
            <w:r w:rsidRPr="00390AA7">
              <w:t>85%</w:t>
            </w:r>
          </w:p>
        </w:tc>
      </w:tr>
      <w:tr w:rsidR="00C76782" w:rsidRPr="00390AA7" w14:paraId="5C4CE6F8" w14:textId="77777777" w:rsidTr="00B16B0F">
        <w:tc>
          <w:tcPr>
            <w:tcW w:w="1615" w:type="dxa"/>
            <w:shd w:val="clear" w:color="auto" w:fill="auto"/>
            <w:tcMar>
              <w:top w:w="75" w:type="dxa"/>
              <w:left w:w="180" w:type="dxa"/>
              <w:bottom w:w="75" w:type="dxa"/>
              <w:right w:w="180" w:type="dxa"/>
            </w:tcMar>
            <w:hideMark/>
          </w:tcPr>
          <w:p w14:paraId="796095CB" w14:textId="77777777" w:rsidR="00C76782" w:rsidRPr="00390AA7" w:rsidRDefault="00C76782" w:rsidP="00B16B0F">
            <w:pPr>
              <w:pStyle w:val="TableText"/>
              <w:spacing w:before="0" w:after="0"/>
            </w:pPr>
            <w:r w:rsidRPr="00390AA7">
              <w:t>2014/15</w:t>
            </w:r>
          </w:p>
        </w:tc>
        <w:tc>
          <w:tcPr>
            <w:tcW w:w="1616" w:type="dxa"/>
            <w:shd w:val="clear" w:color="auto" w:fill="auto"/>
            <w:tcMar>
              <w:top w:w="75" w:type="dxa"/>
              <w:left w:w="180" w:type="dxa"/>
              <w:bottom w:w="75" w:type="dxa"/>
              <w:right w:w="180" w:type="dxa"/>
            </w:tcMar>
            <w:hideMark/>
          </w:tcPr>
          <w:p w14:paraId="095F77F9" w14:textId="77777777" w:rsidR="00C76782" w:rsidRPr="00390AA7" w:rsidRDefault="00C76782" w:rsidP="00B16B0F">
            <w:pPr>
              <w:pStyle w:val="TableText"/>
              <w:spacing w:before="0" w:after="0"/>
            </w:pPr>
            <w:r w:rsidRPr="00390AA7">
              <w:t>13,497</w:t>
            </w:r>
          </w:p>
        </w:tc>
        <w:tc>
          <w:tcPr>
            <w:tcW w:w="1616" w:type="dxa"/>
            <w:shd w:val="clear" w:color="auto" w:fill="auto"/>
            <w:tcMar>
              <w:top w:w="75" w:type="dxa"/>
              <w:left w:w="180" w:type="dxa"/>
              <w:bottom w:w="75" w:type="dxa"/>
              <w:right w:w="180" w:type="dxa"/>
            </w:tcMar>
            <w:hideMark/>
          </w:tcPr>
          <w:p w14:paraId="2E8A3C3D" w14:textId="77777777" w:rsidR="00C76782" w:rsidRPr="00390AA7" w:rsidRDefault="00C76782" w:rsidP="00B16B0F">
            <w:pPr>
              <w:pStyle w:val="TableText"/>
              <w:spacing w:before="0" w:after="0"/>
            </w:pPr>
            <w:r w:rsidRPr="00390AA7">
              <w:t>4,754</w:t>
            </w:r>
          </w:p>
        </w:tc>
        <w:tc>
          <w:tcPr>
            <w:tcW w:w="1616" w:type="dxa"/>
            <w:shd w:val="clear" w:color="auto" w:fill="auto"/>
            <w:tcMar>
              <w:top w:w="75" w:type="dxa"/>
              <w:left w:w="180" w:type="dxa"/>
              <w:bottom w:w="75" w:type="dxa"/>
              <w:right w:w="180" w:type="dxa"/>
            </w:tcMar>
            <w:hideMark/>
          </w:tcPr>
          <w:p w14:paraId="0835AD28" w14:textId="77777777" w:rsidR="00C76782" w:rsidRPr="00390AA7" w:rsidRDefault="00C76782" w:rsidP="00B16B0F">
            <w:pPr>
              <w:pStyle w:val="TableText"/>
              <w:spacing w:before="0" w:after="0"/>
            </w:pPr>
            <w:r w:rsidRPr="00390AA7">
              <w:t>79%</w:t>
            </w:r>
          </w:p>
        </w:tc>
        <w:tc>
          <w:tcPr>
            <w:tcW w:w="1616" w:type="dxa"/>
            <w:shd w:val="clear" w:color="auto" w:fill="auto"/>
            <w:tcMar>
              <w:top w:w="75" w:type="dxa"/>
              <w:left w:w="180" w:type="dxa"/>
              <w:bottom w:w="75" w:type="dxa"/>
              <w:right w:w="180" w:type="dxa"/>
            </w:tcMar>
            <w:hideMark/>
          </w:tcPr>
          <w:p w14:paraId="0E408577" w14:textId="77777777" w:rsidR="00C76782" w:rsidRPr="00390AA7" w:rsidRDefault="00C76782" w:rsidP="00B16B0F">
            <w:pPr>
              <w:pStyle w:val="TableText"/>
              <w:spacing w:before="0" w:after="0"/>
            </w:pPr>
            <w:r w:rsidRPr="00390AA7">
              <w:t>83%</w:t>
            </w:r>
          </w:p>
        </w:tc>
      </w:tr>
      <w:tr w:rsidR="00C76782" w:rsidRPr="00390AA7" w14:paraId="10993643" w14:textId="77777777" w:rsidTr="00B16B0F">
        <w:tc>
          <w:tcPr>
            <w:tcW w:w="1615" w:type="dxa"/>
            <w:shd w:val="clear" w:color="auto" w:fill="auto"/>
            <w:tcMar>
              <w:top w:w="75" w:type="dxa"/>
              <w:left w:w="180" w:type="dxa"/>
              <w:bottom w:w="75" w:type="dxa"/>
              <w:right w:w="180" w:type="dxa"/>
            </w:tcMar>
            <w:hideMark/>
          </w:tcPr>
          <w:p w14:paraId="0D458F8A" w14:textId="77777777" w:rsidR="00C76782" w:rsidRPr="00390AA7" w:rsidRDefault="00C76782" w:rsidP="00B16B0F">
            <w:pPr>
              <w:pStyle w:val="TableText"/>
              <w:spacing w:before="0" w:after="0"/>
            </w:pPr>
            <w:r w:rsidRPr="00390AA7">
              <w:t>2015/16</w:t>
            </w:r>
          </w:p>
        </w:tc>
        <w:tc>
          <w:tcPr>
            <w:tcW w:w="1616" w:type="dxa"/>
            <w:shd w:val="clear" w:color="auto" w:fill="auto"/>
            <w:tcMar>
              <w:top w:w="75" w:type="dxa"/>
              <w:left w:w="180" w:type="dxa"/>
              <w:bottom w:w="75" w:type="dxa"/>
              <w:right w:w="180" w:type="dxa"/>
            </w:tcMar>
            <w:hideMark/>
          </w:tcPr>
          <w:p w14:paraId="40A053A3" w14:textId="0C8EF03B" w:rsidR="00C76782" w:rsidRPr="00390AA7" w:rsidRDefault="00575465" w:rsidP="00B16B0F">
            <w:pPr>
              <w:pStyle w:val="TableText"/>
              <w:spacing w:before="0" w:after="0"/>
            </w:pPr>
            <w:r w:rsidRPr="00390AA7">
              <w:t>13</w:t>
            </w:r>
            <w:r w:rsidR="00C76782" w:rsidRPr="00390AA7">
              <w:t>,781</w:t>
            </w:r>
          </w:p>
        </w:tc>
        <w:tc>
          <w:tcPr>
            <w:tcW w:w="1616" w:type="dxa"/>
            <w:shd w:val="clear" w:color="auto" w:fill="auto"/>
            <w:tcMar>
              <w:top w:w="75" w:type="dxa"/>
              <w:left w:w="180" w:type="dxa"/>
              <w:bottom w:w="75" w:type="dxa"/>
              <w:right w:w="180" w:type="dxa"/>
            </w:tcMar>
            <w:hideMark/>
          </w:tcPr>
          <w:p w14:paraId="61B55806" w14:textId="77777777" w:rsidR="00C76782" w:rsidRPr="00390AA7" w:rsidRDefault="00C76782" w:rsidP="00B16B0F">
            <w:pPr>
              <w:pStyle w:val="TableText"/>
              <w:spacing w:before="0" w:after="0"/>
            </w:pPr>
            <w:r w:rsidRPr="00390AA7">
              <w:t>4,721</w:t>
            </w:r>
          </w:p>
        </w:tc>
        <w:tc>
          <w:tcPr>
            <w:tcW w:w="1616" w:type="dxa"/>
            <w:shd w:val="clear" w:color="auto" w:fill="auto"/>
            <w:tcMar>
              <w:top w:w="75" w:type="dxa"/>
              <w:left w:w="180" w:type="dxa"/>
              <w:bottom w:w="75" w:type="dxa"/>
              <w:right w:w="180" w:type="dxa"/>
            </w:tcMar>
            <w:hideMark/>
          </w:tcPr>
          <w:p w14:paraId="04FEC6C9" w14:textId="77777777" w:rsidR="00C76782" w:rsidRPr="00390AA7" w:rsidRDefault="00C76782" w:rsidP="00B16B0F">
            <w:pPr>
              <w:pStyle w:val="TableText"/>
              <w:spacing w:before="0" w:after="0"/>
            </w:pPr>
            <w:r w:rsidRPr="00390AA7">
              <w:t>80%</w:t>
            </w:r>
          </w:p>
        </w:tc>
        <w:tc>
          <w:tcPr>
            <w:tcW w:w="1616" w:type="dxa"/>
            <w:shd w:val="clear" w:color="auto" w:fill="auto"/>
            <w:tcMar>
              <w:top w:w="75" w:type="dxa"/>
              <w:left w:w="180" w:type="dxa"/>
              <w:bottom w:w="75" w:type="dxa"/>
              <w:right w:w="180" w:type="dxa"/>
            </w:tcMar>
            <w:hideMark/>
          </w:tcPr>
          <w:p w14:paraId="3D1CB003" w14:textId="77777777" w:rsidR="00C76782" w:rsidRPr="00390AA7" w:rsidRDefault="00C76782" w:rsidP="00B16B0F">
            <w:pPr>
              <w:pStyle w:val="TableText"/>
              <w:spacing w:before="0" w:after="0"/>
            </w:pPr>
            <w:r w:rsidRPr="00390AA7">
              <w:t>80%</w:t>
            </w:r>
          </w:p>
        </w:tc>
      </w:tr>
      <w:tr w:rsidR="00C76782" w:rsidRPr="00390AA7" w14:paraId="51BA8DD1" w14:textId="77777777" w:rsidTr="00B16B0F">
        <w:tc>
          <w:tcPr>
            <w:tcW w:w="1615" w:type="dxa"/>
            <w:shd w:val="clear" w:color="auto" w:fill="auto"/>
            <w:tcMar>
              <w:top w:w="75" w:type="dxa"/>
              <w:left w:w="180" w:type="dxa"/>
              <w:bottom w:w="75" w:type="dxa"/>
              <w:right w:w="180" w:type="dxa"/>
            </w:tcMar>
            <w:hideMark/>
          </w:tcPr>
          <w:p w14:paraId="60C373A4" w14:textId="77777777" w:rsidR="00C76782" w:rsidRPr="00390AA7" w:rsidRDefault="00C76782" w:rsidP="00B16B0F">
            <w:pPr>
              <w:pStyle w:val="TableText"/>
              <w:spacing w:before="0" w:after="0"/>
            </w:pPr>
            <w:r w:rsidRPr="00390AA7">
              <w:t>2016/17</w:t>
            </w:r>
          </w:p>
        </w:tc>
        <w:tc>
          <w:tcPr>
            <w:tcW w:w="1616" w:type="dxa"/>
            <w:shd w:val="clear" w:color="auto" w:fill="auto"/>
            <w:tcMar>
              <w:top w:w="75" w:type="dxa"/>
              <w:left w:w="180" w:type="dxa"/>
              <w:bottom w:w="75" w:type="dxa"/>
              <w:right w:w="180" w:type="dxa"/>
            </w:tcMar>
            <w:hideMark/>
          </w:tcPr>
          <w:p w14:paraId="45384979" w14:textId="77777777" w:rsidR="00C76782" w:rsidRPr="00390AA7" w:rsidRDefault="00C76782" w:rsidP="00B16B0F">
            <w:pPr>
              <w:pStyle w:val="TableText"/>
              <w:spacing w:before="0" w:after="0"/>
            </w:pPr>
            <w:r w:rsidRPr="00390AA7">
              <w:t>13,598</w:t>
            </w:r>
          </w:p>
        </w:tc>
        <w:tc>
          <w:tcPr>
            <w:tcW w:w="1616" w:type="dxa"/>
            <w:shd w:val="clear" w:color="auto" w:fill="auto"/>
            <w:tcMar>
              <w:top w:w="75" w:type="dxa"/>
              <w:left w:w="180" w:type="dxa"/>
              <w:bottom w:w="75" w:type="dxa"/>
              <w:right w:w="180" w:type="dxa"/>
            </w:tcMar>
            <w:hideMark/>
          </w:tcPr>
          <w:p w14:paraId="1B677A34" w14:textId="77777777" w:rsidR="00C76782" w:rsidRPr="00390AA7" w:rsidRDefault="00C76782" w:rsidP="00B16B0F">
            <w:pPr>
              <w:pStyle w:val="TableText"/>
              <w:spacing w:before="0" w:after="0"/>
            </w:pPr>
            <w:r w:rsidRPr="00390AA7">
              <w:t>4,668</w:t>
            </w:r>
          </w:p>
        </w:tc>
        <w:tc>
          <w:tcPr>
            <w:tcW w:w="1616" w:type="dxa"/>
            <w:shd w:val="clear" w:color="auto" w:fill="auto"/>
            <w:tcMar>
              <w:top w:w="75" w:type="dxa"/>
              <w:left w:w="180" w:type="dxa"/>
              <w:bottom w:w="75" w:type="dxa"/>
              <w:right w:w="180" w:type="dxa"/>
            </w:tcMar>
            <w:hideMark/>
          </w:tcPr>
          <w:p w14:paraId="6BC7EF29" w14:textId="77777777" w:rsidR="00C76782" w:rsidRPr="00390AA7" w:rsidRDefault="00C76782" w:rsidP="00B16B0F">
            <w:pPr>
              <w:pStyle w:val="TableText"/>
              <w:spacing w:before="0" w:after="0"/>
            </w:pPr>
            <w:r w:rsidRPr="00390AA7">
              <w:t>80%</w:t>
            </w:r>
          </w:p>
        </w:tc>
        <w:tc>
          <w:tcPr>
            <w:tcW w:w="1616" w:type="dxa"/>
            <w:shd w:val="clear" w:color="auto" w:fill="auto"/>
            <w:tcMar>
              <w:top w:w="75" w:type="dxa"/>
              <w:left w:w="180" w:type="dxa"/>
              <w:bottom w:w="75" w:type="dxa"/>
              <w:right w:w="180" w:type="dxa"/>
            </w:tcMar>
            <w:hideMark/>
          </w:tcPr>
          <w:p w14:paraId="702EE2AA" w14:textId="77777777" w:rsidR="00C76782" w:rsidRPr="00390AA7" w:rsidRDefault="00C76782" w:rsidP="00B16B0F">
            <w:pPr>
              <w:pStyle w:val="TableText"/>
              <w:spacing w:before="0" w:after="0"/>
            </w:pPr>
            <w:r w:rsidRPr="00390AA7">
              <w:t>80%</w:t>
            </w:r>
          </w:p>
        </w:tc>
      </w:tr>
      <w:tr w:rsidR="00C76782" w:rsidRPr="00390AA7" w14:paraId="01D21184" w14:textId="77777777" w:rsidTr="00B16B0F">
        <w:tc>
          <w:tcPr>
            <w:tcW w:w="1615" w:type="dxa"/>
            <w:shd w:val="clear" w:color="auto" w:fill="auto"/>
            <w:tcMar>
              <w:top w:w="75" w:type="dxa"/>
              <w:left w:w="180" w:type="dxa"/>
              <w:bottom w:w="75" w:type="dxa"/>
              <w:right w:w="180" w:type="dxa"/>
            </w:tcMar>
            <w:hideMark/>
          </w:tcPr>
          <w:p w14:paraId="7CDF60B7" w14:textId="77777777" w:rsidR="00C76782" w:rsidRPr="00390AA7" w:rsidRDefault="00C76782" w:rsidP="00B16B0F">
            <w:pPr>
              <w:pStyle w:val="TableText"/>
              <w:spacing w:before="0" w:after="0"/>
            </w:pPr>
            <w:r w:rsidRPr="00390AA7">
              <w:t>2017/18</w:t>
            </w:r>
          </w:p>
        </w:tc>
        <w:tc>
          <w:tcPr>
            <w:tcW w:w="1616" w:type="dxa"/>
            <w:shd w:val="clear" w:color="auto" w:fill="auto"/>
            <w:tcMar>
              <w:top w:w="75" w:type="dxa"/>
              <w:left w:w="180" w:type="dxa"/>
              <w:bottom w:w="75" w:type="dxa"/>
              <w:right w:w="180" w:type="dxa"/>
            </w:tcMar>
            <w:hideMark/>
          </w:tcPr>
          <w:p w14:paraId="208E4BDC" w14:textId="77777777" w:rsidR="00C76782" w:rsidRPr="00390AA7" w:rsidRDefault="00C76782" w:rsidP="00B16B0F">
            <w:pPr>
              <w:pStyle w:val="TableText"/>
              <w:spacing w:before="0" w:after="0"/>
            </w:pPr>
            <w:r w:rsidRPr="00390AA7">
              <w:t>13,869</w:t>
            </w:r>
          </w:p>
        </w:tc>
        <w:tc>
          <w:tcPr>
            <w:tcW w:w="1616" w:type="dxa"/>
            <w:shd w:val="clear" w:color="auto" w:fill="auto"/>
            <w:tcMar>
              <w:top w:w="75" w:type="dxa"/>
              <w:left w:w="180" w:type="dxa"/>
              <w:bottom w:w="75" w:type="dxa"/>
              <w:right w:w="180" w:type="dxa"/>
            </w:tcMar>
            <w:hideMark/>
          </w:tcPr>
          <w:p w14:paraId="0E0108AC" w14:textId="77777777" w:rsidR="00C76782" w:rsidRPr="00390AA7" w:rsidRDefault="00C76782" w:rsidP="00B16B0F">
            <w:pPr>
              <w:pStyle w:val="TableText"/>
              <w:spacing w:before="0" w:after="0"/>
            </w:pPr>
            <w:r w:rsidRPr="00390AA7">
              <w:t>4,723</w:t>
            </w:r>
          </w:p>
        </w:tc>
        <w:tc>
          <w:tcPr>
            <w:tcW w:w="1616" w:type="dxa"/>
            <w:shd w:val="clear" w:color="auto" w:fill="auto"/>
            <w:tcMar>
              <w:top w:w="75" w:type="dxa"/>
              <w:left w:w="180" w:type="dxa"/>
              <w:bottom w:w="75" w:type="dxa"/>
              <w:right w:w="180" w:type="dxa"/>
            </w:tcMar>
            <w:hideMark/>
          </w:tcPr>
          <w:p w14:paraId="58B6687A" w14:textId="77777777" w:rsidR="00C76782" w:rsidRPr="00390AA7" w:rsidRDefault="00C76782" w:rsidP="00B16B0F">
            <w:pPr>
              <w:pStyle w:val="TableText"/>
              <w:spacing w:before="0" w:after="0"/>
            </w:pPr>
            <w:r w:rsidRPr="00390AA7">
              <w:t>80%</w:t>
            </w:r>
          </w:p>
        </w:tc>
        <w:tc>
          <w:tcPr>
            <w:tcW w:w="1616" w:type="dxa"/>
            <w:shd w:val="clear" w:color="auto" w:fill="auto"/>
            <w:tcMar>
              <w:top w:w="75" w:type="dxa"/>
              <w:left w:w="180" w:type="dxa"/>
              <w:bottom w:w="75" w:type="dxa"/>
              <w:right w:w="180" w:type="dxa"/>
            </w:tcMar>
            <w:hideMark/>
          </w:tcPr>
          <w:p w14:paraId="68D300C9" w14:textId="77777777" w:rsidR="00C76782" w:rsidRPr="00390AA7" w:rsidRDefault="00C76782" w:rsidP="00B16B0F">
            <w:pPr>
              <w:pStyle w:val="TableText"/>
              <w:spacing w:before="0" w:after="0"/>
            </w:pPr>
            <w:r w:rsidRPr="00390AA7">
              <w:t>79%</w:t>
            </w:r>
          </w:p>
        </w:tc>
      </w:tr>
      <w:tr w:rsidR="00C76782" w:rsidRPr="00390AA7" w14:paraId="2194F0E4" w14:textId="77777777" w:rsidTr="00B16B0F">
        <w:tc>
          <w:tcPr>
            <w:tcW w:w="1615" w:type="dxa"/>
            <w:shd w:val="clear" w:color="auto" w:fill="auto"/>
            <w:tcMar>
              <w:top w:w="75" w:type="dxa"/>
              <w:left w:w="180" w:type="dxa"/>
              <w:bottom w:w="75" w:type="dxa"/>
              <w:right w:w="180" w:type="dxa"/>
            </w:tcMar>
            <w:hideMark/>
          </w:tcPr>
          <w:p w14:paraId="72F6970B" w14:textId="77777777" w:rsidR="00C76782" w:rsidRPr="00390AA7" w:rsidRDefault="00C76782" w:rsidP="00B16B0F">
            <w:pPr>
              <w:pStyle w:val="TableText"/>
              <w:spacing w:before="0" w:after="0"/>
            </w:pPr>
            <w:r w:rsidRPr="00390AA7">
              <w:t>2018/19</w:t>
            </w:r>
          </w:p>
        </w:tc>
        <w:tc>
          <w:tcPr>
            <w:tcW w:w="1616" w:type="dxa"/>
            <w:shd w:val="clear" w:color="auto" w:fill="auto"/>
            <w:tcMar>
              <w:top w:w="75" w:type="dxa"/>
              <w:left w:w="180" w:type="dxa"/>
              <w:bottom w:w="75" w:type="dxa"/>
              <w:right w:w="180" w:type="dxa"/>
            </w:tcMar>
            <w:hideMark/>
          </w:tcPr>
          <w:p w14:paraId="790D73A3" w14:textId="3BC68A2F" w:rsidR="00C76782" w:rsidRPr="00390AA7" w:rsidRDefault="00C76782" w:rsidP="00B16B0F">
            <w:pPr>
              <w:pStyle w:val="TableText"/>
              <w:spacing w:before="0" w:after="0"/>
            </w:pPr>
            <w:r w:rsidRPr="00390AA7">
              <w:t>13,</w:t>
            </w:r>
            <w:r w:rsidR="00575465" w:rsidRPr="00390AA7">
              <w:t>572</w:t>
            </w:r>
          </w:p>
        </w:tc>
        <w:tc>
          <w:tcPr>
            <w:tcW w:w="1616" w:type="dxa"/>
            <w:shd w:val="clear" w:color="auto" w:fill="auto"/>
            <w:tcMar>
              <w:top w:w="75" w:type="dxa"/>
              <w:left w:w="180" w:type="dxa"/>
              <w:bottom w:w="75" w:type="dxa"/>
              <w:right w:w="180" w:type="dxa"/>
            </w:tcMar>
            <w:hideMark/>
          </w:tcPr>
          <w:p w14:paraId="141A21B0" w14:textId="77777777" w:rsidR="00C76782" w:rsidRPr="00390AA7" w:rsidRDefault="00C76782" w:rsidP="00B16B0F">
            <w:pPr>
              <w:pStyle w:val="TableText"/>
              <w:spacing w:before="0" w:after="0"/>
            </w:pPr>
            <w:r w:rsidRPr="00390AA7">
              <w:t>4,503</w:t>
            </w:r>
          </w:p>
        </w:tc>
        <w:tc>
          <w:tcPr>
            <w:tcW w:w="1616" w:type="dxa"/>
            <w:shd w:val="clear" w:color="auto" w:fill="auto"/>
            <w:tcMar>
              <w:top w:w="75" w:type="dxa"/>
              <w:left w:w="180" w:type="dxa"/>
              <w:bottom w:w="75" w:type="dxa"/>
              <w:right w:w="180" w:type="dxa"/>
            </w:tcMar>
            <w:hideMark/>
          </w:tcPr>
          <w:p w14:paraId="498B1EF3" w14:textId="77777777" w:rsidR="00C76782" w:rsidRPr="00390AA7" w:rsidRDefault="00C76782" w:rsidP="00B16B0F">
            <w:pPr>
              <w:pStyle w:val="TableText"/>
              <w:spacing w:before="0" w:after="0"/>
            </w:pPr>
            <w:r w:rsidRPr="00390AA7">
              <w:t>80%</w:t>
            </w:r>
          </w:p>
        </w:tc>
        <w:tc>
          <w:tcPr>
            <w:tcW w:w="1616" w:type="dxa"/>
            <w:shd w:val="clear" w:color="auto" w:fill="auto"/>
            <w:tcMar>
              <w:top w:w="75" w:type="dxa"/>
              <w:left w:w="180" w:type="dxa"/>
              <w:bottom w:w="75" w:type="dxa"/>
              <w:right w:w="180" w:type="dxa"/>
            </w:tcMar>
            <w:hideMark/>
          </w:tcPr>
          <w:p w14:paraId="792F2B16" w14:textId="77777777" w:rsidR="00C76782" w:rsidRPr="00390AA7" w:rsidRDefault="00C76782" w:rsidP="00B16B0F">
            <w:pPr>
              <w:pStyle w:val="TableText"/>
              <w:spacing w:before="0" w:after="0"/>
            </w:pPr>
            <w:r w:rsidRPr="00390AA7">
              <w:t>79%</w:t>
            </w:r>
          </w:p>
        </w:tc>
      </w:tr>
      <w:tr w:rsidR="00C76782" w:rsidRPr="00390AA7" w14:paraId="4DFFEEC6" w14:textId="77777777" w:rsidTr="00B16B0F">
        <w:tc>
          <w:tcPr>
            <w:tcW w:w="1615" w:type="dxa"/>
            <w:shd w:val="clear" w:color="auto" w:fill="auto"/>
            <w:tcMar>
              <w:top w:w="75" w:type="dxa"/>
              <w:left w:w="180" w:type="dxa"/>
              <w:bottom w:w="75" w:type="dxa"/>
              <w:right w:w="180" w:type="dxa"/>
            </w:tcMar>
            <w:hideMark/>
          </w:tcPr>
          <w:p w14:paraId="69EA2514" w14:textId="77777777" w:rsidR="00C76782" w:rsidRPr="00390AA7" w:rsidRDefault="00C76782" w:rsidP="00B16B0F">
            <w:pPr>
              <w:pStyle w:val="TableText"/>
              <w:spacing w:before="0" w:after="0"/>
            </w:pPr>
            <w:r w:rsidRPr="00390AA7">
              <w:t>2019/20</w:t>
            </w:r>
          </w:p>
        </w:tc>
        <w:tc>
          <w:tcPr>
            <w:tcW w:w="1616" w:type="dxa"/>
            <w:shd w:val="clear" w:color="auto" w:fill="auto"/>
            <w:tcMar>
              <w:top w:w="75" w:type="dxa"/>
              <w:left w:w="180" w:type="dxa"/>
              <w:bottom w:w="75" w:type="dxa"/>
              <w:right w:w="180" w:type="dxa"/>
            </w:tcMar>
            <w:hideMark/>
          </w:tcPr>
          <w:p w14:paraId="569D70B1" w14:textId="77777777" w:rsidR="00C76782" w:rsidRPr="00390AA7" w:rsidRDefault="00C76782" w:rsidP="00B16B0F">
            <w:pPr>
              <w:pStyle w:val="TableText"/>
              <w:spacing w:before="0" w:after="0"/>
            </w:pPr>
            <w:r w:rsidRPr="00390AA7">
              <w:t>9,699</w:t>
            </w:r>
          </w:p>
        </w:tc>
        <w:tc>
          <w:tcPr>
            <w:tcW w:w="1616" w:type="dxa"/>
            <w:shd w:val="clear" w:color="auto" w:fill="auto"/>
            <w:tcMar>
              <w:top w:w="75" w:type="dxa"/>
              <w:left w:w="180" w:type="dxa"/>
              <w:bottom w:w="75" w:type="dxa"/>
              <w:right w:w="180" w:type="dxa"/>
            </w:tcMar>
            <w:hideMark/>
          </w:tcPr>
          <w:p w14:paraId="70F91CE0" w14:textId="77777777" w:rsidR="00C76782" w:rsidRPr="00390AA7" w:rsidRDefault="00C76782" w:rsidP="00B16B0F">
            <w:pPr>
              <w:pStyle w:val="TableText"/>
              <w:spacing w:before="0" w:after="0"/>
            </w:pPr>
            <w:r w:rsidRPr="00390AA7">
              <w:t>3,290</w:t>
            </w:r>
          </w:p>
        </w:tc>
        <w:tc>
          <w:tcPr>
            <w:tcW w:w="1616" w:type="dxa"/>
            <w:shd w:val="clear" w:color="auto" w:fill="auto"/>
            <w:tcMar>
              <w:top w:w="75" w:type="dxa"/>
              <w:left w:w="180" w:type="dxa"/>
              <w:bottom w:w="75" w:type="dxa"/>
              <w:right w:w="180" w:type="dxa"/>
            </w:tcMar>
            <w:hideMark/>
          </w:tcPr>
          <w:p w14:paraId="1FD5B0C4" w14:textId="77777777" w:rsidR="00C76782" w:rsidRPr="00390AA7" w:rsidRDefault="00C76782" w:rsidP="00B16B0F">
            <w:pPr>
              <w:pStyle w:val="TableText"/>
              <w:spacing w:before="0" w:after="0"/>
            </w:pPr>
            <w:r w:rsidRPr="00390AA7">
              <w:t>75%</w:t>
            </w:r>
          </w:p>
        </w:tc>
        <w:tc>
          <w:tcPr>
            <w:tcW w:w="1616" w:type="dxa"/>
            <w:shd w:val="clear" w:color="auto" w:fill="auto"/>
            <w:tcMar>
              <w:top w:w="75" w:type="dxa"/>
              <w:left w:w="180" w:type="dxa"/>
              <w:bottom w:w="75" w:type="dxa"/>
              <w:right w:w="180" w:type="dxa"/>
            </w:tcMar>
            <w:hideMark/>
          </w:tcPr>
          <w:p w14:paraId="63EB1E8D" w14:textId="77777777" w:rsidR="00C76782" w:rsidRPr="00390AA7" w:rsidRDefault="00C76782" w:rsidP="00B16B0F">
            <w:pPr>
              <w:pStyle w:val="TableText"/>
              <w:spacing w:before="0" w:after="0"/>
            </w:pPr>
            <w:r w:rsidRPr="00390AA7">
              <w:t>74%</w:t>
            </w:r>
          </w:p>
        </w:tc>
      </w:tr>
      <w:tr w:rsidR="00C76782" w:rsidRPr="00390AA7" w14:paraId="59D25F13" w14:textId="77777777" w:rsidTr="00B16B0F">
        <w:tc>
          <w:tcPr>
            <w:tcW w:w="1615" w:type="dxa"/>
            <w:shd w:val="clear" w:color="auto" w:fill="auto"/>
            <w:tcMar>
              <w:top w:w="75" w:type="dxa"/>
              <w:left w:w="180" w:type="dxa"/>
              <w:bottom w:w="75" w:type="dxa"/>
              <w:right w:w="180" w:type="dxa"/>
            </w:tcMar>
            <w:hideMark/>
          </w:tcPr>
          <w:p w14:paraId="6E77FCD1" w14:textId="77777777" w:rsidR="00C76782" w:rsidRPr="00390AA7" w:rsidRDefault="00C76782" w:rsidP="00B16B0F">
            <w:pPr>
              <w:pStyle w:val="TableText"/>
              <w:spacing w:before="0" w:after="0"/>
            </w:pPr>
            <w:r w:rsidRPr="00390AA7">
              <w:t>2020/21</w:t>
            </w:r>
          </w:p>
        </w:tc>
        <w:tc>
          <w:tcPr>
            <w:tcW w:w="1616" w:type="dxa"/>
            <w:shd w:val="clear" w:color="auto" w:fill="auto"/>
            <w:tcMar>
              <w:top w:w="75" w:type="dxa"/>
              <w:left w:w="180" w:type="dxa"/>
              <w:bottom w:w="75" w:type="dxa"/>
              <w:right w:w="180" w:type="dxa"/>
            </w:tcMar>
            <w:hideMark/>
          </w:tcPr>
          <w:p w14:paraId="0C2AC46E" w14:textId="77777777" w:rsidR="00C76782" w:rsidRPr="00390AA7" w:rsidRDefault="00C76782" w:rsidP="00B16B0F">
            <w:pPr>
              <w:pStyle w:val="TableText"/>
              <w:spacing w:before="0" w:after="0"/>
            </w:pPr>
            <w:r w:rsidRPr="00390AA7">
              <w:t>9,709</w:t>
            </w:r>
          </w:p>
        </w:tc>
        <w:tc>
          <w:tcPr>
            <w:tcW w:w="1616" w:type="dxa"/>
            <w:shd w:val="clear" w:color="auto" w:fill="auto"/>
            <w:tcMar>
              <w:top w:w="75" w:type="dxa"/>
              <w:left w:w="180" w:type="dxa"/>
              <w:bottom w:w="75" w:type="dxa"/>
              <w:right w:w="180" w:type="dxa"/>
            </w:tcMar>
            <w:hideMark/>
          </w:tcPr>
          <w:p w14:paraId="5FBE7604" w14:textId="77777777" w:rsidR="00C76782" w:rsidRPr="00390AA7" w:rsidRDefault="00C76782" w:rsidP="00B16B0F">
            <w:pPr>
              <w:pStyle w:val="TableText"/>
              <w:spacing w:before="0" w:after="0"/>
            </w:pPr>
            <w:r w:rsidRPr="00390AA7">
              <w:t>2,954</w:t>
            </w:r>
          </w:p>
        </w:tc>
        <w:tc>
          <w:tcPr>
            <w:tcW w:w="1616" w:type="dxa"/>
            <w:shd w:val="clear" w:color="auto" w:fill="auto"/>
            <w:tcMar>
              <w:top w:w="75" w:type="dxa"/>
              <w:left w:w="180" w:type="dxa"/>
              <w:bottom w:w="75" w:type="dxa"/>
              <w:right w:w="180" w:type="dxa"/>
            </w:tcMar>
            <w:hideMark/>
          </w:tcPr>
          <w:p w14:paraId="28C2714A" w14:textId="77777777" w:rsidR="00C76782" w:rsidRPr="00390AA7" w:rsidRDefault="00C76782" w:rsidP="00B16B0F">
            <w:pPr>
              <w:pStyle w:val="TableText"/>
              <w:spacing w:before="0" w:after="0"/>
            </w:pPr>
            <w:r w:rsidRPr="00390AA7">
              <w:t>77%</w:t>
            </w:r>
          </w:p>
        </w:tc>
        <w:tc>
          <w:tcPr>
            <w:tcW w:w="1616" w:type="dxa"/>
            <w:shd w:val="clear" w:color="auto" w:fill="auto"/>
            <w:tcMar>
              <w:top w:w="75" w:type="dxa"/>
              <w:left w:w="180" w:type="dxa"/>
              <w:bottom w:w="75" w:type="dxa"/>
              <w:right w:w="180" w:type="dxa"/>
            </w:tcMar>
            <w:hideMark/>
          </w:tcPr>
          <w:p w14:paraId="4680E4B2" w14:textId="77777777" w:rsidR="00C76782" w:rsidRPr="00390AA7" w:rsidRDefault="00C76782" w:rsidP="00B16B0F">
            <w:pPr>
              <w:pStyle w:val="TableText"/>
              <w:spacing w:before="0" w:after="0"/>
            </w:pPr>
            <w:r w:rsidRPr="00390AA7">
              <w:t>74%</w:t>
            </w:r>
          </w:p>
        </w:tc>
      </w:tr>
      <w:tr w:rsidR="00C76782" w:rsidRPr="00390AA7" w14:paraId="74BC828F" w14:textId="77777777" w:rsidTr="00B16B0F">
        <w:tc>
          <w:tcPr>
            <w:tcW w:w="1615" w:type="dxa"/>
            <w:shd w:val="clear" w:color="auto" w:fill="auto"/>
            <w:tcMar>
              <w:top w:w="75" w:type="dxa"/>
              <w:left w:w="180" w:type="dxa"/>
              <w:bottom w:w="75" w:type="dxa"/>
              <w:right w:w="180" w:type="dxa"/>
            </w:tcMar>
            <w:hideMark/>
          </w:tcPr>
          <w:p w14:paraId="769630A5" w14:textId="77777777" w:rsidR="00C76782" w:rsidRPr="00390AA7" w:rsidRDefault="00C76782" w:rsidP="00B16B0F">
            <w:pPr>
              <w:pStyle w:val="TableText"/>
              <w:spacing w:before="0" w:after="0"/>
            </w:pPr>
            <w:r w:rsidRPr="00390AA7">
              <w:t>2021/22</w:t>
            </w:r>
          </w:p>
        </w:tc>
        <w:tc>
          <w:tcPr>
            <w:tcW w:w="1616" w:type="dxa"/>
            <w:shd w:val="clear" w:color="auto" w:fill="auto"/>
            <w:tcMar>
              <w:top w:w="75" w:type="dxa"/>
              <w:left w:w="180" w:type="dxa"/>
              <w:bottom w:w="75" w:type="dxa"/>
              <w:right w:w="180" w:type="dxa"/>
            </w:tcMar>
            <w:hideMark/>
          </w:tcPr>
          <w:p w14:paraId="7AD5147C" w14:textId="77777777" w:rsidR="00C76782" w:rsidRPr="00390AA7" w:rsidRDefault="00C76782" w:rsidP="00B16B0F">
            <w:pPr>
              <w:pStyle w:val="TableText"/>
              <w:spacing w:before="0" w:after="0"/>
            </w:pPr>
            <w:r w:rsidRPr="00390AA7">
              <w:t>4,434</w:t>
            </w:r>
          </w:p>
        </w:tc>
        <w:tc>
          <w:tcPr>
            <w:tcW w:w="1616" w:type="dxa"/>
            <w:shd w:val="clear" w:color="auto" w:fill="auto"/>
            <w:tcMar>
              <w:top w:w="75" w:type="dxa"/>
              <w:left w:w="180" w:type="dxa"/>
              <w:bottom w:w="75" w:type="dxa"/>
              <w:right w:w="180" w:type="dxa"/>
            </w:tcMar>
            <w:hideMark/>
          </w:tcPr>
          <w:p w14:paraId="5B7FE4A3" w14:textId="77777777" w:rsidR="00C76782" w:rsidRPr="00390AA7" w:rsidRDefault="00C76782" w:rsidP="00B16B0F">
            <w:pPr>
              <w:pStyle w:val="TableText"/>
              <w:spacing w:before="0" w:after="0"/>
            </w:pPr>
            <w:r w:rsidRPr="00390AA7">
              <w:t>1,323</w:t>
            </w:r>
          </w:p>
        </w:tc>
        <w:tc>
          <w:tcPr>
            <w:tcW w:w="1616" w:type="dxa"/>
            <w:shd w:val="clear" w:color="auto" w:fill="auto"/>
            <w:tcMar>
              <w:top w:w="75" w:type="dxa"/>
              <w:left w:w="180" w:type="dxa"/>
              <w:bottom w:w="75" w:type="dxa"/>
              <w:right w:w="180" w:type="dxa"/>
            </w:tcMar>
            <w:hideMark/>
          </w:tcPr>
          <w:p w14:paraId="54732A57" w14:textId="77777777" w:rsidR="00C76782" w:rsidRPr="000E37A0" w:rsidRDefault="00C76782" w:rsidP="00B16B0F">
            <w:pPr>
              <w:pStyle w:val="TableText"/>
              <w:spacing w:before="0" w:after="0"/>
            </w:pPr>
            <w:r w:rsidRPr="000E37A0">
              <w:t>56%</w:t>
            </w:r>
          </w:p>
        </w:tc>
        <w:tc>
          <w:tcPr>
            <w:tcW w:w="1616" w:type="dxa"/>
            <w:shd w:val="clear" w:color="auto" w:fill="auto"/>
            <w:tcMar>
              <w:top w:w="75" w:type="dxa"/>
              <w:left w:w="180" w:type="dxa"/>
              <w:bottom w:w="75" w:type="dxa"/>
              <w:right w:w="180" w:type="dxa"/>
            </w:tcMar>
            <w:hideMark/>
          </w:tcPr>
          <w:p w14:paraId="612C1F60" w14:textId="77777777" w:rsidR="00C76782" w:rsidRPr="000E37A0" w:rsidRDefault="00C76782" w:rsidP="00B16B0F">
            <w:pPr>
              <w:pStyle w:val="TableText"/>
              <w:spacing w:before="0" w:after="0"/>
            </w:pPr>
            <w:r w:rsidRPr="000E37A0">
              <w:t>53%</w:t>
            </w:r>
          </w:p>
        </w:tc>
      </w:tr>
      <w:tr w:rsidR="00C76782" w:rsidRPr="00390AA7" w14:paraId="30740731" w14:textId="77777777" w:rsidTr="00B16B0F">
        <w:tc>
          <w:tcPr>
            <w:tcW w:w="1615" w:type="dxa"/>
            <w:shd w:val="clear" w:color="auto" w:fill="auto"/>
            <w:tcMar>
              <w:top w:w="75" w:type="dxa"/>
              <w:left w:w="180" w:type="dxa"/>
              <w:bottom w:w="75" w:type="dxa"/>
              <w:right w:w="180" w:type="dxa"/>
            </w:tcMar>
          </w:tcPr>
          <w:p w14:paraId="7EE99C3C" w14:textId="77777777" w:rsidR="00C76782" w:rsidRPr="00390AA7" w:rsidRDefault="00C76782" w:rsidP="00B16B0F">
            <w:pPr>
              <w:pStyle w:val="TableText"/>
              <w:spacing w:before="0" w:after="0"/>
            </w:pPr>
            <w:r w:rsidRPr="00390AA7">
              <w:t>2022/23</w:t>
            </w:r>
          </w:p>
        </w:tc>
        <w:tc>
          <w:tcPr>
            <w:tcW w:w="1616" w:type="dxa"/>
            <w:shd w:val="clear" w:color="auto" w:fill="auto"/>
            <w:tcMar>
              <w:top w:w="75" w:type="dxa"/>
              <w:left w:w="180" w:type="dxa"/>
              <w:bottom w:w="75" w:type="dxa"/>
              <w:right w:w="180" w:type="dxa"/>
            </w:tcMar>
          </w:tcPr>
          <w:p w14:paraId="631BA667" w14:textId="20EB6952" w:rsidR="00C76782" w:rsidRPr="00390AA7" w:rsidRDefault="00FD3AEE" w:rsidP="00B16B0F">
            <w:pPr>
              <w:pStyle w:val="TableText"/>
              <w:spacing w:before="0" w:after="0"/>
            </w:pPr>
            <w:r w:rsidRPr="00390AA7">
              <w:t>6,799</w:t>
            </w:r>
          </w:p>
        </w:tc>
        <w:tc>
          <w:tcPr>
            <w:tcW w:w="1616" w:type="dxa"/>
            <w:shd w:val="clear" w:color="auto" w:fill="auto"/>
            <w:tcMar>
              <w:top w:w="75" w:type="dxa"/>
              <w:left w:w="180" w:type="dxa"/>
              <w:bottom w:w="75" w:type="dxa"/>
              <w:right w:w="180" w:type="dxa"/>
            </w:tcMar>
          </w:tcPr>
          <w:p w14:paraId="36CB99F5" w14:textId="35CE52EF" w:rsidR="00C76782" w:rsidRPr="00065DA4" w:rsidRDefault="00FD3AEE" w:rsidP="00B16B0F">
            <w:pPr>
              <w:pStyle w:val="TableText"/>
              <w:spacing w:before="0" w:after="0"/>
            </w:pPr>
            <w:r w:rsidRPr="00390AA7">
              <w:t>2,029</w:t>
            </w:r>
          </w:p>
        </w:tc>
        <w:tc>
          <w:tcPr>
            <w:tcW w:w="1616" w:type="dxa"/>
            <w:shd w:val="clear" w:color="auto" w:fill="auto"/>
            <w:tcMar>
              <w:top w:w="75" w:type="dxa"/>
              <w:left w:w="180" w:type="dxa"/>
              <w:bottom w:w="75" w:type="dxa"/>
              <w:right w:w="180" w:type="dxa"/>
            </w:tcMar>
          </w:tcPr>
          <w:p w14:paraId="3BDE0BFE" w14:textId="713F0F7E" w:rsidR="00C76782" w:rsidRPr="000E37A0" w:rsidRDefault="00060F63" w:rsidP="00B16B0F">
            <w:pPr>
              <w:pStyle w:val="TableText"/>
              <w:spacing w:before="0" w:after="0"/>
            </w:pPr>
            <w:r w:rsidRPr="000E37A0">
              <w:t>71%</w:t>
            </w:r>
          </w:p>
        </w:tc>
        <w:tc>
          <w:tcPr>
            <w:tcW w:w="1616" w:type="dxa"/>
            <w:shd w:val="clear" w:color="auto" w:fill="auto"/>
            <w:tcMar>
              <w:top w:w="75" w:type="dxa"/>
              <w:left w:w="180" w:type="dxa"/>
              <w:bottom w:w="75" w:type="dxa"/>
              <w:right w:w="180" w:type="dxa"/>
            </w:tcMar>
          </w:tcPr>
          <w:p w14:paraId="507EEDC2" w14:textId="59411FDF" w:rsidR="00C76782" w:rsidRPr="000E37A0" w:rsidRDefault="00060F63" w:rsidP="00B16B0F">
            <w:pPr>
              <w:pStyle w:val="TableText"/>
              <w:spacing w:before="0" w:after="0"/>
            </w:pPr>
            <w:r w:rsidRPr="000E37A0">
              <w:t>67%</w:t>
            </w:r>
          </w:p>
        </w:tc>
      </w:tr>
    </w:tbl>
    <w:p w14:paraId="2B6C9BE0" w14:textId="77777777" w:rsidR="004366B7" w:rsidRPr="00390AA7" w:rsidRDefault="004366B7" w:rsidP="004366B7">
      <w:pPr>
        <w:pStyle w:val="Heading2"/>
      </w:pPr>
      <w:bookmarkStart w:id="167" w:name="_Toc335133112"/>
      <w:bookmarkStart w:id="168" w:name="_Toc339270016"/>
      <w:bookmarkStart w:id="169" w:name="_Toc340501938"/>
      <w:bookmarkStart w:id="170" w:name="_Toc372445558"/>
      <w:bookmarkStart w:id="171" w:name="_Toc373486720"/>
      <w:bookmarkStart w:id="172" w:name="_Toc403044013"/>
      <w:bookmarkStart w:id="173" w:name="_Toc467491530"/>
      <w:bookmarkStart w:id="174" w:name="_Toc531762348"/>
      <w:bookmarkStart w:id="175" w:name="_Toc531783705"/>
      <w:bookmarkStart w:id="176" w:name="_Toc22887938"/>
      <w:bookmarkStart w:id="177" w:name="_Toc55206845"/>
      <w:bookmarkStart w:id="178" w:name="_Toc88752036"/>
      <w:bookmarkStart w:id="179" w:name="_Toc153259084"/>
      <w:r w:rsidRPr="00390AA7">
        <w:t>Calculating the response rate</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00A49B4E" w14:textId="77777777" w:rsidR="004366B7" w:rsidRPr="00390AA7" w:rsidRDefault="004366B7" w:rsidP="004366B7">
      <w:pPr>
        <w:rPr>
          <w:lang w:eastAsia="en-US"/>
        </w:rPr>
      </w:pPr>
      <w:r w:rsidRPr="00390AA7">
        <w:rPr>
          <w:lang w:eastAsia="en-US"/>
        </w:rPr>
        <w:t>The NZHS calculates a weighted response rate. The weight of each household reflects the probability of the household being selected into the sample; the weighted response rate describes the survey’s success in terms of achieving the cooperation of the population being measured.</w:t>
      </w:r>
    </w:p>
    <w:p w14:paraId="45E6B8FE" w14:textId="77777777" w:rsidR="004366B7" w:rsidRPr="00390AA7" w:rsidRDefault="004366B7" w:rsidP="004366B7">
      <w:pPr>
        <w:rPr>
          <w:lang w:eastAsia="en-US"/>
        </w:rPr>
      </w:pPr>
    </w:p>
    <w:p w14:paraId="3F53CC91" w14:textId="77777777" w:rsidR="004366B7" w:rsidRPr="00390AA7" w:rsidRDefault="004366B7" w:rsidP="004366B7">
      <w:pPr>
        <w:rPr>
          <w:lang w:eastAsia="en-US"/>
        </w:rPr>
      </w:pPr>
      <w:r w:rsidRPr="00390AA7">
        <w:rPr>
          <w:lang w:eastAsia="en-US"/>
        </w:rPr>
        <w:t>For adults, the response rate calculation classifies all selected households into the four groups of:</w:t>
      </w:r>
    </w:p>
    <w:p w14:paraId="0CDBADAC" w14:textId="77777777" w:rsidR="004366B7" w:rsidRPr="00390AA7" w:rsidRDefault="004366B7" w:rsidP="004366B7">
      <w:pPr>
        <w:pStyle w:val="ListParagraph"/>
        <w:numPr>
          <w:ilvl w:val="0"/>
          <w:numId w:val="35"/>
        </w:numPr>
        <w:spacing w:before="90"/>
        <w:contextualSpacing w:val="0"/>
      </w:pPr>
      <w:r w:rsidRPr="00390AA7">
        <w:t>ineligible (such as vacant sections, vacant dwellings and non-residential dwellings)</w:t>
      </w:r>
    </w:p>
    <w:p w14:paraId="62A24E8A" w14:textId="77777777" w:rsidR="004366B7" w:rsidRPr="00390AA7" w:rsidRDefault="004366B7" w:rsidP="004366B7">
      <w:pPr>
        <w:pStyle w:val="ListParagraph"/>
        <w:numPr>
          <w:ilvl w:val="0"/>
          <w:numId w:val="35"/>
        </w:numPr>
        <w:spacing w:before="90"/>
        <w:contextualSpacing w:val="0"/>
      </w:pPr>
      <w:r w:rsidRPr="00390AA7">
        <w:t>eligible responding (interview conducted; respondent confirmed to be eligible for the survey)</w:t>
      </w:r>
    </w:p>
    <w:p w14:paraId="07ABE0AC" w14:textId="77777777" w:rsidR="004366B7" w:rsidRPr="00390AA7" w:rsidRDefault="004366B7" w:rsidP="004366B7">
      <w:pPr>
        <w:pStyle w:val="ListParagraph"/>
        <w:numPr>
          <w:ilvl w:val="0"/>
          <w:numId w:val="35"/>
        </w:numPr>
        <w:spacing w:before="90"/>
        <w:contextualSpacing w:val="0"/>
      </w:pPr>
      <w:r w:rsidRPr="00390AA7">
        <w:t>eligible non-responding (interview not conducted but enough information collected to indicate that the household did contain an eligible adult; almost all refusals were in this category)</w:t>
      </w:r>
    </w:p>
    <w:p w14:paraId="67D6E679" w14:textId="77777777" w:rsidR="004366B7" w:rsidRPr="00390AA7" w:rsidRDefault="004366B7" w:rsidP="004366B7">
      <w:pPr>
        <w:pStyle w:val="ListParagraph"/>
        <w:numPr>
          <w:ilvl w:val="0"/>
          <w:numId w:val="35"/>
        </w:numPr>
        <w:spacing w:before="90"/>
        <w:contextualSpacing w:val="0"/>
        <w:rPr>
          <w:lang w:eastAsia="en-US"/>
        </w:rPr>
      </w:pPr>
      <w:r w:rsidRPr="00390AA7">
        <w:t>unknown eligibility (such as non-contacts and refusals who provided insufficient</w:t>
      </w:r>
      <w:r w:rsidRPr="00390AA7">
        <w:rPr>
          <w:lang w:eastAsia="en-US"/>
        </w:rPr>
        <w:t xml:space="preserve"> information to determine eligibility).</w:t>
      </w:r>
    </w:p>
    <w:p w14:paraId="3A548E71" w14:textId="77777777" w:rsidR="004366B7" w:rsidRPr="00390AA7" w:rsidRDefault="004366B7" w:rsidP="004366B7">
      <w:pPr>
        <w:rPr>
          <w:lang w:eastAsia="en-US"/>
        </w:rPr>
      </w:pPr>
    </w:p>
    <w:p w14:paraId="58E960C3" w14:textId="77777777" w:rsidR="004366B7" w:rsidRPr="00390AA7" w:rsidRDefault="004366B7" w:rsidP="004366B7">
      <w:pPr>
        <w:rPr>
          <w:lang w:eastAsia="en-US"/>
        </w:rPr>
      </w:pPr>
      <w:r w:rsidRPr="00390AA7">
        <w:rPr>
          <w:lang w:eastAsia="en-US"/>
        </w:rPr>
        <w:t>The response rate is calculated as follows:</w:t>
      </w:r>
    </w:p>
    <w:p w14:paraId="0C31FF45" w14:textId="77777777" w:rsidR="004366B7" w:rsidRPr="00390AA7" w:rsidRDefault="004366B7" w:rsidP="00367D4D">
      <w:pPr>
        <w:spacing w:before="120"/>
      </w:pPr>
      <w:r w:rsidRPr="00390AA7">
        <w:rPr>
          <w:noProof/>
          <w:color w:val="2B579A"/>
          <w:shd w:val="clear" w:color="auto" w:fill="E6E6E6"/>
          <w:lang w:eastAsia="en-NZ"/>
        </w:rPr>
        <w:drawing>
          <wp:inline distT="0" distB="0" distL="0" distR="0" wp14:anchorId="7DD7E2D9" wp14:editId="5E26A494">
            <wp:extent cx="5145578" cy="631528"/>
            <wp:effectExtent l="0" t="0" r="0" b="0"/>
            <wp:docPr id="95" name="Picture 95" descr="The response rate is the number of eligible people responding divided by the number of eligible people responding plus the number of eligible people not responding and the estimated number of eligible people from the unknowns. That number is multiplied by 100 for the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culation of response rat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43881" cy="631320"/>
                    </a:xfrm>
                    <a:prstGeom prst="rect">
                      <a:avLst/>
                    </a:prstGeom>
                    <a:noFill/>
                    <a:ln>
                      <a:noFill/>
                    </a:ln>
                  </pic:spPr>
                </pic:pic>
              </a:graphicData>
            </a:graphic>
          </wp:inline>
        </w:drawing>
      </w:r>
    </w:p>
    <w:p w14:paraId="751AB927" w14:textId="77777777" w:rsidR="004366B7" w:rsidRPr="00390AA7" w:rsidRDefault="004366B7" w:rsidP="004366B7"/>
    <w:p w14:paraId="1D3E0B20" w14:textId="0CFC637D" w:rsidR="004366B7" w:rsidRDefault="004366B7" w:rsidP="004366B7">
      <w:pPr>
        <w:rPr>
          <w:lang w:eastAsia="en-US"/>
        </w:rPr>
      </w:pPr>
      <w:r w:rsidRPr="00390AA7">
        <w:rPr>
          <w:lang w:eastAsia="en-US"/>
        </w:rPr>
        <w:t>The justification for using this calculation method is that a proportion of the unknowns is likely to have been eligible if contact could have been made. This proportion of the unknowns is therefore treated as eligible non-responding.</w:t>
      </w:r>
    </w:p>
    <w:p w14:paraId="498163B6" w14:textId="03DB2AE4" w:rsidR="00412012" w:rsidRDefault="00412012" w:rsidP="004366B7">
      <w:pPr>
        <w:rPr>
          <w:lang w:eastAsia="en-US"/>
        </w:rPr>
      </w:pPr>
    </w:p>
    <w:p w14:paraId="47FCD874" w14:textId="77777777" w:rsidR="00412012" w:rsidRPr="00390AA7" w:rsidRDefault="00412012" w:rsidP="00412012">
      <w:pPr>
        <w:keepNext/>
        <w:rPr>
          <w:lang w:eastAsia="en-US"/>
        </w:rPr>
      </w:pPr>
      <w:r w:rsidRPr="00390AA7">
        <w:rPr>
          <w:lang w:eastAsia="en-US"/>
        </w:rPr>
        <w:t>The estimated number of unknown eligibles is calculated as follows:</w:t>
      </w:r>
    </w:p>
    <w:p w14:paraId="4A08B9AD" w14:textId="77777777" w:rsidR="00412012" w:rsidRPr="00390AA7" w:rsidRDefault="00412012" w:rsidP="00412012">
      <w:pPr>
        <w:keepNext/>
        <w:spacing w:before="120"/>
      </w:pPr>
      <w:r w:rsidRPr="00390AA7">
        <w:rPr>
          <w:noProof/>
          <w:color w:val="2B579A"/>
          <w:shd w:val="clear" w:color="auto" w:fill="E6E6E6"/>
          <w:lang w:eastAsia="en-NZ"/>
        </w:rPr>
        <w:drawing>
          <wp:inline distT="0" distB="0" distL="0" distR="0" wp14:anchorId="4BC7EC07" wp14:editId="4FB69BA3">
            <wp:extent cx="5145578" cy="794578"/>
            <wp:effectExtent l="0" t="0" r="0" b="5715"/>
            <wp:docPr id="10" name="Picture 10" descr="The estimated number of eligibles from the unknowns is calculated by adding the number of eligible people responding to the number of eligible people not responding, then dividing that number by the total number of eligible responding people, non-responding eligible people and the ineligible people. That number is multiplied by the number of unknowns to yield the estimated number of eligibles from the unknow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imated number of unknown eligibles calculati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47672" cy="794901"/>
                    </a:xfrm>
                    <a:prstGeom prst="rect">
                      <a:avLst/>
                    </a:prstGeom>
                    <a:noFill/>
                    <a:ln>
                      <a:noFill/>
                    </a:ln>
                  </pic:spPr>
                </pic:pic>
              </a:graphicData>
            </a:graphic>
          </wp:inline>
        </w:drawing>
      </w:r>
    </w:p>
    <w:p w14:paraId="0A092447" w14:textId="77777777" w:rsidR="00412012" w:rsidRPr="00390AA7" w:rsidRDefault="00412012" w:rsidP="004366B7">
      <w:pPr>
        <w:rPr>
          <w:lang w:eastAsia="en-US"/>
        </w:rPr>
      </w:pPr>
    </w:p>
    <w:p w14:paraId="41D71A21" w14:textId="77777777" w:rsidR="004366B7" w:rsidRPr="00390AA7" w:rsidRDefault="004366B7" w:rsidP="00CF3316">
      <w:pPr>
        <w:keepNext/>
      </w:pPr>
      <w:r w:rsidRPr="00390AA7">
        <w:t>The response rate for children is calculated using the same approach as for adults, but ‘eligible’ means the household contained at least one child, and the definition of ‘responding’ is that a child interview was conducted.</w:t>
      </w:r>
    </w:p>
    <w:p w14:paraId="7BE8F387" w14:textId="77777777" w:rsidR="004366B7" w:rsidRPr="00390AA7" w:rsidRDefault="004366B7" w:rsidP="004366B7">
      <w:pPr>
        <w:pStyle w:val="Heading2"/>
        <w:rPr>
          <w:lang w:eastAsia="en-US"/>
        </w:rPr>
      </w:pPr>
      <w:bookmarkStart w:id="180" w:name="_Toc339270017"/>
      <w:bookmarkStart w:id="181" w:name="_Toc340501939"/>
      <w:bookmarkStart w:id="182" w:name="_Toc372445559"/>
      <w:bookmarkStart w:id="183" w:name="_Toc403044014"/>
      <w:bookmarkStart w:id="184" w:name="_Toc467491531"/>
      <w:bookmarkStart w:id="185" w:name="_Toc531762349"/>
      <w:bookmarkStart w:id="186" w:name="_Toc531783706"/>
      <w:bookmarkStart w:id="187" w:name="_Toc22887939"/>
      <w:bookmarkStart w:id="188" w:name="_Toc55206846"/>
      <w:bookmarkStart w:id="189" w:name="_Toc88752037"/>
      <w:bookmarkStart w:id="190" w:name="_Toc153259085"/>
      <w:r w:rsidRPr="00390AA7">
        <w:rPr>
          <w:lang w:eastAsia="en-US"/>
        </w:rPr>
        <w:t>Coverage rate</w:t>
      </w:r>
      <w:bookmarkEnd w:id="180"/>
      <w:bookmarkEnd w:id="181"/>
      <w:bookmarkEnd w:id="182"/>
      <w:bookmarkEnd w:id="183"/>
      <w:bookmarkEnd w:id="184"/>
      <w:bookmarkEnd w:id="185"/>
      <w:bookmarkEnd w:id="186"/>
      <w:bookmarkEnd w:id="187"/>
      <w:bookmarkEnd w:id="188"/>
      <w:bookmarkEnd w:id="189"/>
      <w:bookmarkEnd w:id="190"/>
    </w:p>
    <w:p w14:paraId="32D37E0D" w14:textId="77777777" w:rsidR="004366B7" w:rsidRPr="00390AA7" w:rsidRDefault="004366B7" w:rsidP="004366B7">
      <w:pPr>
        <w:keepLines/>
        <w:rPr>
          <w:sz w:val="20"/>
        </w:rPr>
      </w:pPr>
      <w:r w:rsidRPr="00390AA7">
        <w:rPr>
          <w:lang w:eastAsia="en-US"/>
        </w:rPr>
        <w:t xml:space="preserve">The coverage rate is an alternative measure related to survey </w:t>
      </w:r>
      <w:r w:rsidRPr="00390AA7">
        <w:rPr>
          <w:rFonts w:cs="Arial"/>
          <w:lang w:eastAsia="en-US"/>
        </w:rPr>
        <w:t>response and</w:t>
      </w:r>
      <w:r w:rsidRPr="00390AA7">
        <w:rPr>
          <w:rFonts w:cs="Arial"/>
          <w:color w:val="000000"/>
          <w:lang w:eastAsia="en-NZ"/>
        </w:rPr>
        <w:t xml:space="preserve"> shows the extent to which a population has been involved in a survey. It </w:t>
      </w:r>
      <w:r w:rsidRPr="00390AA7">
        <w:rPr>
          <w:rFonts w:cs="Arial"/>
          <w:lang w:eastAsia="en-US"/>
        </w:rPr>
        <w:t>provides information on</w:t>
      </w:r>
      <w:r w:rsidRPr="00390AA7">
        <w:rPr>
          <w:lang w:eastAsia="en-US"/>
        </w:rPr>
        <w:t xml:space="preserve"> the discrepancy between the responding sample (weighted by selection weight) and the population. </w:t>
      </w:r>
      <w:r w:rsidRPr="00390AA7">
        <w:rPr>
          <w:rFonts w:cs="Arial"/>
          <w:color w:val="000000"/>
          <w:lang w:eastAsia="en-NZ"/>
        </w:rPr>
        <w:t xml:space="preserve">It encompasses the impact of non-response rates and also incorporates other factors, such as being excluded or missed from the sample frame. </w:t>
      </w:r>
      <w:r w:rsidRPr="00390AA7">
        <w:rPr>
          <w:lang w:eastAsia="en-US"/>
        </w:rPr>
        <w:t xml:space="preserve">For example, </w:t>
      </w:r>
      <w:r w:rsidRPr="00390AA7">
        <w:rPr>
          <w:color w:val="000000"/>
        </w:rPr>
        <w:t>dwellings that have just been built</w:t>
      </w:r>
      <w:r w:rsidRPr="00390AA7">
        <w:rPr>
          <w:lang w:eastAsia="en-US"/>
        </w:rPr>
        <w:t xml:space="preserve"> </w:t>
      </w:r>
      <w:r w:rsidRPr="00390AA7">
        <w:rPr>
          <w:color w:val="000000"/>
        </w:rPr>
        <w:t>may not be included in the sample frame, in this way contributing to under-coverage</w:t>
      </w:r>
      <w:r w:rsidRPr="00390AA7">
        <w:t>.</w:t>
      </w:r>
    </w:p>
    <w:p w14:paraId="769783DF" w14:textId="77777777" w:rsidR="004366B7" w:rsidRPr="00390AA7" w:rsidRDefault="004366B7" w:rsidP="004366B7"/>
    <w:p w14:paraId="2DAB0955" w14:textId="77777777" w:rsidR="004366B7" w:rsidRPr="00390AA7" w:rsidRDefault="004366B7" w:rsidP="004366B7">
      <w:pPr>
        <w:rPr>
          <w:lang w:eastAsia="en-US"/>
        </w:rPr>
      </w:pPr>
      <w:r w:rsidRPr="00390AA7">
        <w:rPr>
          <w:lang w:eastAsia="en-US"/>
        </w:rPr>
        <w:t>The coverage rate is defined as the ratio of the sum of the selection weights for the survey respondents to the known external population size.</w:t>
      </w:r>
    </w:p>
    <w:p w14:paraId="1591DD85" w14:textId="77777777" w:rsidR="004366B7" w:rsidRPr="00390AA7" w:rsidRDefault="004366B7" w:rsidP="004366B7">
      <w:pPr>
        <w:rPr>
          <w:lang w:eastAsia="en-US"/>
        </w:rPr>
      </w:pPr>
    </w:p>
    <w:p w14:paraId="17EBF06A" w14:textId="77777777" w:rsidR="004366B7" w:rsidRPr="00390AA7" w:rsidRDefault="004366B7" w:rsidP="004366B7">
      <w:pPr>
        <w:rPr>
          <w:lang w:eastAsia="en-US"/>
        </w:rPr>
      </w:pPr>
      <w:r w:rsidRPr="00390AA7">
        <w:rPr>
          <w:lang w:eastAsia="en-US"/>
        </w:rPr>
        <w:t>Unlike the response rate, the coverage rate can be calculated without making any assumption about how many households with unknown eligibility were in fact eligible. Moreover, the coverage rate can usually be broken down in more detail than the response rate, including by individual characteristics. However, definitional or operational differences between the survey scope and the external population size (such as differing definitions of usual residence) will affect the coverage rate. As a result, the response rate is generally used as the primary measure of the survey’s quality. Some information on the coverage rate is included to provide more detail on response, particularly response by ethnicity and age group.</w:t>
      </w:r>
    </w:p>
    <w:p w14:paraId="5172D5B8" w14:textId="77777777" w:rsidR="004366B7" w:rsidRPr="00390AA7" w:rsidRDefault="004366B7" w:rsidP="004366B7">
      <w:pPr>
        <w:rPr>
          <w:lang w:eastAsia="en-US"/>
        </w:rPr>
      </w:pPr>
    </w:p>
    <w:p w14:paraId="3D7DCB10" w14:textId="77777777" w:rsidR="004366B7" w:rsidRPr="00390AA7" w:rsidRDefault="004366B7" w:rsidP="004366B7">
      <w:pPr>
        <w:rPr>
          <w:lang w:eastAsia="en-US"/>
        </w:rPr>
      </w:pPr>
      <w:r w:rsidRPr="00390AA7">
        <w:rPr>
          <w:lang w:eastAsia="en-US"/>
        </w:rPr>
        <w:t>The coverage rate also represents the factor by which the calibrated weighting process adjusts selection weights to force agreement with calibration benchmarks (see the ‘Weighting’ section for more on calibration).</w:t>
      </w:r>
    </w:p>
    <w:p w14:paraId="1DE3E8C6" w14:textId="77777777" w:rsidR="004366B7" w:rsidRPr="00390AA7" w:rsidRDefault="004366B7" w:rsidP="004366B7">
      <w:pPr>
        <w:rPr>
          <w:lang w:eastAsia="en-US"/>
        </w:rPr>
      </w:pPr>
    </w:p>
    <w:p w14:paraId="4B65C41A" w14:textId="640E9865" w:rsidR="004366B7" w:rsidRPr="00390AA7" w:rsidRDefault="004366B7" w:rsidP="004366B7">
      <w:r w:rsidRPr="00390AA7">
        <w:t>For details on the coverage rates in 202</w:t>
      </w:r>
      <w:r w:rsidR="00141ADE" w:rsidRPr="00390AA7">
        <w:t>2</w:t>
      </w:r>
      <w:r w:rsidRPr="00390AA7">
        <w:t>/2</w:t>
      </w:r>
      <w:r w:rsidR="00141ADE" w:rsidRPr="00390AA7">
        <w:t>3</w:t>
      </w:r>
      <w:r w:rsidRPr="00390AA7">
        <w:t>, see the ‘New Zealand Health Survey 202</w:t>
      </w:r>
      <w:r w:rsidR="00141ADE" w:rsidRPr="00390AA7">
        <w:t>2</w:t>
      </w:r>
      <w:r w:rsidRPr="00390AA7">
        <w:t>/2</w:t>
      </w:r>
      <w:r w:rsidR="00141ADE" w:rsidRPr="00390AA7">
        <w:t>3</w:t>
      </w:r>
      <w:r w:rsidRPr="00390AA7">
        <w:t>’ section.</w:t>
      </w:r>
    </w:p>
    <w:p w14:paraId="1A2100ED" w14:textId="77777777" w:rsidR="004366B7" w:rsidRPr="00390AA7" w:rsidRDefault="004366B7" w:rsidP="004366B7"/>
    <w:p w14:paraId="22B82BC6" w14:textId="77777777" w:rsidR="00367D4D" w:rsidRPr="00390AA7" w:rsidRDefault="00367D4D" w:rsidP="3E625A02">
      <w:pPr>
        <w:sectPr w:rsidR="00367D4D" w:rsidRPr="00390AA7" w:rsidSect="004366B7">
          <w:pgSz w:w="11907" w:h="16840" w:code="9"/>
          <w:pgMar w:top="1418" w:right="1701" w:bottom="1134" w:left="1843" w:header="284" w:footer="425" w:gutter="284"/>
          <w:cols w:space="720"/>
        </w:sectPr>
      </w:pPr>
      <w:bookmarkStart w:id="191" w:name="_Toc467491532"/>
      <w:bookmarkStart w:id="192" w:name="_Toc531762350"/>
      <w:bookmarkStart w:id="193" w:name="_Toc531783707"/>
      <w:bookmarkStart w:id="194" w:name="_Toc22887940"/>
      <w:bookmarkStart w:id="195" w:name="_Toc55206847"/>
      <w:bookmarkStart w:id="196" w:name="_Toc88752038"/>
    </w:p>
    <w:p w14:paraId="7F2D31A7" w14:textId="4116CCB6" w:rsidR="004366B7" w:rsidRPr="00390AA7" w:rsidRDefault="004366B7" w:rsidP="00FC2C7B">
      <w:pPr>
        <w:pStyle w:val="Heading1"/>
        <w:spacing w:before="0"/>
      </w:pPr>
      <w:bookmarkStart w:id="197" w:name="_Toc153259086"/>
      <w:r w:rsidRPr="00390AA7">
        <w:t>Data processing</w:t>
      </w:r>
      <w:bookmarkEnd w:id="191"/>
      <w:bookmarkEnd w:id="192"/>
      <w:bookmarkEnd w:id="193"/>
      <w:bookmarkEnd w:id="194"/>
      <w:bookmarkEnd w:id="195"/>
      <w:bookmarkEnd w:id="196"/>
      <w:bookmarkEnd w:id="197"/>
    </w:p>
    <w:p w14:paraId="03D6BE4C" w14:textId="77777777" w:rsidR="004366B7" w:rsidRPr="00A626D4" w:rsidRDefault="004366B7" w:rsidP="004366B7">
      <w:pPr>
        <w:pStyle w:val="Heading2"/>
      </w:pPr>
      <w:bookmarkStart w:id="198" w:name="_Toc467491533"/>
      <w:bookmarkStart w:id="199" w:name="_Toc531762351"/>
      <w:bookmarkStart w:id="200" w:name="_Toc531783708"/>
      <w:bookmarkStart w:id="201" w:name="_Toc22887941"/>
      <w:bookmarkStart w:id="202" w:name="_Toc55206848"/>
      <w:bookmarkStart w:id="203" w:name="_Toc88752039"/>
      <w:bookmarkStart w:id="204" w:name="_Toc153259087"/>
      <w:r w:rsidRPr="00A626D4">
        <w:t>Capturing and coding</w:t>
      </w:r>
      <w:bookmarkEnd w:id="198"/>
      <w:bookmarkEnd w:id="199"/>
      <w:bookmarkEnd w:id="200"/>
      <w:bookmarkEnd w:id="201"/>
      <w:bookmarkEnd w:id="202"/>
      <w:bookmarkEnd w:id="203"/>
      <w:bookmarkEnd w:id="204"/>
    </w:p>
    <w:p w14:paraId="604F0901" w14:textId="1266B837" w:rsidR="004366B7" w:rsidRPr="00A626D4" w:rsidRDefault="004366B7" w:rsidP="004366B7">
      <w:r w:rsidRPr="00A626D4">
        <w:t xml:space="preserve">Questionnaire responses are entered directly on interviewers’ laptops using </w:t>
      </w:r>
      <w:r w:rsidR="003F60EE" w:rsidRPr="00A626D4">
        <w:t>computer assisted</w:t>
      </w:r>
      <w:r w:rsidRPr="00A626D4">
        <w:t xml:space="preserve"> software.</w:t>
      </w:r>
    </w:p>
    <w:p w14:paraId="53194953" w14:textId="77777777" w:rsidR="004366B7" w:rsidRPr="00A626D4" w:rsidRDefault="004366B7" w:rsidP="004366B7"/>
    <w:p w14:paraId="0C1EC674" w14:textId="77777777" w:rsidR="004366B7" w:rsidRPr="00A626D4" w:rsidRDefault="004366B7" w:rsidP="004366B7">
      <w:r w:rsidRPr="00A626D4">
        <w:t>Most questions have single-response options or require discrete numerical responses, such as age at the time of a specific event or the number of visits to a specific medical professional. However, a number of questions allow for multiple responses. For these questions, all responses are retained, with each response shown as a separate variable on the data file.</w:t>
      </w:r>
    </w:p>
    <w:p w14:paraId="13B006B1" w14:textId="77777777" w:rsidR="004366B7" w:rsidRPr="00A626D4" w:rsidRDefault="004366B7" w:rsidP="004366B7"/>
    <w:p w14:paraId="62FD70C4" w14:textId="6025D4AC" w:rsidR="004366B7" w:rsidRPr="00A626D4" w:rsidRDefault="00142137" w:rsidP="004366B7">
      <w:r w:rsidRPr="00A626D4">
        <w:t>A</w:t>
      </w:r>
      <w:r w:rsidR="004366B7" w:rsidRPr="00A626D4">
        <w:t xml:space="preserve"> number of questions offer a category called ‘other’, where respondents can specify non-standard responses. Each ‘other’ category response is recorded (in free text).</w:t>
      </w:r>
    </w:p>
    <w:p w14:paraId="2FDBFF72" w14:textId="77777777" w:rsidR="004366B7" w:rsidRPr="00A626D4" w:rsidRDefault="004366B7" w:rsidP="004366B7"/>
    <w:p w14:paraId="25E39600" w14:textId="7CE83033" w:rsidR="004366B7" w:rsidRPr="00390AA7" w:rsidRDefault="004366B7" w:rsidP="004366B7">
      <w:r w:rsidRPr="00A626D4">
        <w:t xml:space="preserve">Ethnicity is self-defined, and respondents </w:t>
      </w:r>
      <w:r w:rsidR="00142137" w:rsidRPr="00A626D4">
        <w:t>can</w:t>
      </w:r>
      <w:r w:rsidRPr="00A626D4">
        <w:t xml:space="preserve"> report their affiliation with more than one ethnic group</w:t>
      </w:r>
      <w:r w:rsidR="00091365" w:rsidRPr="00A626D4">
        <w:t>,</w:t>
      </w:r>
      <w:r w:rsidRPr="00A626D4">
        <w:t xml:space="preserve"> using the </w:t>
      </w:r>
      <w:r w:rsidR="007A3409" w:rsidRPr="00A626D4">
        <w:t>Stats NZ</w:t>
      </w:r>
      <w:r w:rsidRPr="00A626D4">
        <w:t xml:space="preserve"> standard ethnicity question. Responses to the ethnicity question are coded to level 4 of the </w:t>
      </w:r>
      <w:r w:rsidRPr="00A626D4">
        <w:rPr>
          <w:i/>
          <w:iCs/>
        </w:rPr>
        <w:t xml:space="preserve">Ethnicity New Zealand Standard Classification 2005 </w:t>
      </w:r>
      <w:r w:rsidRPr="00A626D4">
        <w:t>(</w:t>
      </w:r>
      <w:r w:rsidR="007A3409" w:rsidRPr="00A626D4">
        <w:t>Stats NZ</w:t>
      </w:r>
      <w:r w:rsidRPr="00A626D4">
        <w:t xml:space="preserve"> 2005).</w:t>
      </w:r>
    </w:p>
    <w:p w14:paraId="05BC0D72" w14:textId="77777777" w:rsidR="004366B7" w:rsidRPr="00390AA7" w:rsidRDefault="004366B7" w:rsidP="004366B7">
      <w:pPr>
        <w:pStyle w:val="Heading2"/>
      </w:pPr>
      <w:bookmarkStart w:id="205" w:name="_Toc467491534"/>
      <w:bookmarkStart w:id="206" w:name="_Toc531762352"/>
      <w:bookmarkStart w:id="207" w:name="_Toc531783709"/>
      <w:bookmarkStart w:id="208" w:name="_Toc22887942"/>
      <w:bookmarkStart w:id="209" w:name="_Toc55206849"/>
      <w:bookmarkStart w:id="210" w:name="_Toc88752040"/>
      <w:bookmarkStart w:id="211" w:name="_Toc153259088"/>
      <w:r w:rsidRPr="00390AA7">
        <w:t>Securing information</w:t>
      </w:r>
      <w:bookmarkEnd w:id="205"/>
      <w:bookmarkEnd w:id="206"/>
      <w:bookmarkEnd w:id="207"/>
      <w:bookmarkEnd w:id="208"/>
      <w:bookmarkEnd w:id="209"/>
      <w:bookmarkEnd w:id="210"/>
      <w:bookmarkEnd w:id="211"/>
    </w:p>
    <w:p w14:paraId="1A5C8903" w14:textId="77777777" w:rsidR="004366B7" w:rsidRPr="00390AA7" w:rsidRDefault="004366B7" w:rsidP="004366B7">
      <w:r w:rsidRPr="00390AA7">
        <w:t>Any information collected in the survey that could be used to identify individuals is treated as strictly confidential. Data is transferred daily from interviewers’ laptops to Reach Aotearoa by a secure internet upload facility. The Ministry accesses the data through the Reach Aotearoa website using a secure username and password login.</w:t>
      </w:r>
    </w:p>
    <w:p w14:paraId="6B00ED36" w14:textId="77777777" w:rsidR="004366B7" w:rsidRPr="00390AA7" w:rsidRDefault="004366B7" w:rsidP="004366B7"/>
    <w:p w14:paraId="1D992881" w14:textId="77777777" w:rsidR="004366B7" w:rsidRPr="00390AA7" w:rsidRDefault="004366B7" w:rsidP="004366B7">
      <w:r w:rsidRPr="00390AA7">
        <w:t>The names and addresses of people and households that participate in the survey are not stored with response data. Unit record data are stored in a secure area and are only accessible on a restricted basis.</w:t>
      </w:r>
    </w:p>
    <w:p w14:paraId="624D01E4" w14:textId="77777777" w:rsidR="004366B7" w:rsidRPr="00390AA7" w:rsidRDefault="004366B7" w:rsidP="004366B7">
      <w:pPr>
        <w:pStyle w:val="Heading2"/>
      </w:pPr>
      <w:bookmarkStart w:id="212" w:name="_Toc467491535"/>
      <w:bookmarkStart w:id="213" w:name="_Toc531762353"/>
      <w:bookmarkStart w:id="214" w:name="_Toc531783710"/>
      <w:bookmarkStart w:id="215" w:name="_Toc22887943"/>
      <w:bookmarkStart w:id="216" w:name="_Toc55206850"/>
      <w:bookmarkStart w:id="217" w:name="_Toc88752041"/>
      <w:bookmarkStart w:id="218" w:name="_Toc153259089"/>
      <w:r w:rsidRPr="00390AA7">
        <w:t>Checking and editing</w:t>
      </w:r>
      <w:bookmarkEnd w:id="212"/>
      <w:bookmarkEnd w:id="213"/>
      <w:bookmarkEnd w:id="214"/>
      <w:bookmarkEnd w:id="215"/>
      <w:bookmarkEnd w:id="216"/>
      <w:bookmarkEnd w:id="217"/>
      <w:bookmarkEnd w:id="218"/>
    </w:p>
    <w:p w14:paraId="0DD72CA4" w14:textId="475DF33A" w:rsidR="00FF6CD3" w:rsidRPr="00390AA7" w:rsidRDefault="00FF6CD3" w:rsidP="004366B7">
      <w:pPr>
        <w:keepNext/>
      </w:pPr>
      <w:r w:rsidRPr="00A626D4">
        <w:t>The electronic questionnaire contains built-in edit</w:t>
      </w:r>
      <w:r w:rsidR="00581087" w:rsidRPr="00A626D4">
        <w:t>s</w:t>
      </w:r>
      <w:r w:rsidR="00816D1A" w:rsidRPr="00A626D4">
        <w:t>,</w:t>
      </w:r>
      <w:r w:rsidR="00B133BC" w:rsidRPr="00A626D4">
        <w:t xml:space="preserve"> including </w:t>
      </w:r>
      <w:r w:rsidR="002950A3" w:rsidRPr="00A626D4">
        <w:t xml:space="preserve">‘hard’ and ‘soft’ edits. </w:t>
      </w:r>
      <w:r w:rsidR="00435863" w:rsidRPr="00A626D4">
        <w:t>Hard edits prevent</w:t>
      </w:r>
      <w:r w:rsidR="00460A81" w:rsidRPr="00A626D4">
        <w:t xml:space="preserve"> impossible </w:t>
      </w:r>
      <w:r w:rsidR="003A0694" w:rsidRPr="00A626D4">
        <w:t>responses being entered,</w:t>
      </w:r>
      <w:r w:rsidR="00956DFB" w:rsidRPr="00A626D4">
        <w:t xml:space="preserve"> such as </w:t>
      </w:r>
      <w:r w:rsidR="007E317F" w:rsidRPr="00A626D4">
        <w:t xml:space="preserve">the </w:t>
      </w:r>
      <w:r w:rsidR="0B410FE1" w:rsidRPr="00A626D4">
        <w:t xml:space="preserve">year of arrival </w:t>
      </w:r>
      <w:r w:rsidR="00816D1A" w:rsidRPr="00A626D4">
        <w:t xml:space="preserve">in </w:t>
      </w:r>
      <w:r w:rsidR="0B410FE1" w:rsidRPr="00A626D4">
        <w:t xml:space="preserve">New Zealand being earlier than </w:t>
      </w:r>
      <w:r w:rsidR="007E317F" w:rsidRPr="00A626D4">
        <w:t xml:space="preserve">the </w:t>
      </w:r>
      <w:r w:rsidR="0B410FE1" w:rsidRPr="00A626D4">
        <w:t xml:space="preserve">date of </w:t>
      </w:r>
      <w:r w:rsidR="0509BB43" w:rsidRPr="00A626D4">
        <w:t>birth.</w:t>
      </w:r>
      <w:r w:rsidR="00956DFB" w:rsidRPr="00A626D4">
        <w:t xml:space="preserve"> </w:t>
      </w:r>
      <w:r w:rsidR="00C04751" w:rsidRPr="00A626D4">
        <w:t xml:space="preserve">These responses must be changed before the interviewer </w:t>
      </w:r>
      <w:r w:rsidR="0001753A" w:rsidRPr="00A626D4">
        <w:t xml:space="preserve">can </w:t>
      </w:r>
      <w:r w:rsidR="00C04751" w:rsidRPr="00A626D4">
        <w:t xml:space="preserve">proceed to the next question. </w:t>
      </w:r>
      <w:r w:rsidR="00956DFB" w:rsidRPr="00A626D4">
        <w:t xml:space="preserve">Soft edits check for </w:t>
      </w:r>
      <w:r w:rsidR="00C04751" w:rsidRPr="00A626D4">
        <w:t>unlikely responses</w:t>
      </w:r>
      <w:r w:rsidR="00816D1A" w:rsidRPr="00A626D4">
        <w:t>,</w:t>
      </w:r>
      <w:r w:rsidR="00C04751" w:rsidRPr="00A626D4">
        <w:t xml:space="preserve"> such as inconsistency between responses</w:t>
      </w:r>
      <w:r w:rsidR="522E7FAC" w:rsidRPr="00A626D4">
        <w:t xml:space="preserve"> or values that are unusually high or low</w:t>
      </w:r>
      <w:r w:rsidR="5E0F6BD6" w:rsidRPr="00A626D4">
        <w:t>.</w:t>
      </w:r>
      <w:r w:rsidR="0AC6976D" w:rsidRPr="00A626D4">
        <w:t xml:space="preserve"> For example</w:t>
      </w:r>
      <w:r w:rsidR="00731C51" w:rsidRPr="00A626D4">
        <w:t>,</w:t>
      </w:r>
      <w:r w:rsidR="0AC6976D" w:rsidRPr="00A626D4">
        <w:t xml:space="preserve"> if </w:t>
      </w:r>
      <w:r w:rsidR="04044B51" w:rsidRPr="00A626D4">
        <w:t xml:space="preserve">the response to </w:t>
      </w:r>
      <w:r w:rsidR="0AC6976D" w:rsidRPr="00A626D4">
        <w:t>A3.12a</w:t>
      </w:r>
      <w:r w:rsidR="7A01FB36" w:rsidRPr="00A626D4">
        <w:t xml:space="preserve"> (hours of sleep per day) is less than </w:t>
      </w:r>
      <w:r w:rsidR="0AC6976D" w:rsidRPr="00A626D4">
        <w:t xml:space="preserve">4 hours, </w:t>
      </w:r>
      <w:r w:rsidR="0C1E9FCF" w:rsidRPr="00A626D4">
        <w:t xml:space="preserve">the interviewer is </w:t>
      </w:r>
      <w:r w:rsidR="0001753A" w:rsidRPr="00A626D4">
        <w:t xml:space="preserve">prompted </w:t>
      </w:r>
      <w:r w:rsidR="0C1E9FCF" w:rsidRPr="00A626D4">
        <w:t>to v</w:t>
      </w:r>
      <w:r w:rsidR="0AC6976D" w:rsidRPr="00A626D4">
        <w:t xml:space="preserve">erify </w:t>
      </w:r>
      <w:r w:rsidR="6C5E6D78" w:rsidRPr="00A626D4">
        <w:t xml:space="preserve">the </w:t>
      </w:r>
      <w:r w:rsidR="0AC6976D" w:rsidRPr="00A626D4">
        <w:t xml:space="preserve">answer with respondent. </w:t>
      </w:r>
      <w:r w:rsidR="00DA0244" w:rsidRPr="00A626D4">
        <w:t xml:space="preserve">Interviewers may suppress these </w:t>
      </w:r>
      <w:r w:rsidR="00447F1C" w:rsidRPr="00A626D4">
        <w:t xml:space="preserve">soft </w:t>
      </w:r>
      <w:r w:rsidR="00DA0244" w:rsidRPr="00A626D4">
        <w:t xml:space="preserve">edits and proceed </w:t>
      </w:r>
      <w:r w:rsidR="00FF238E" w:rsidRPr="00A626D4">
        <w:t xml:space="preserve">to the next question </w:t>
      </w:r>
      <w:r w:rsidR="00DA0244" w:rsidRPr="00A626D4">
        <w:t>without changing the</w:t>
      </w:r>
      <w:r w:rsidR="00FF238E" w:rsidRPr="00A626D4">
        <w:t xml:space="preserve"> response</w:t>
      </w:r>
      <w:r w:rsidR="00DA0244" w:rsidRPr="00A626D4">
        <w:t>.</w:t>
      </w:r>
      <w:r w:rsidR="00DA0244" w:rsidRPr="00390AA7">
        <w:t xml:space="preserve"> </w:t>
      </w:r>
    </w:p>
    <w:p w14:paraId="0A295647" w14:textId="77777777" w:rsidR="00A077A7" w:rsidRPr="00390AA7" w:rsidRDefault="00A077A7" w:rsidP="004366B7">
      <w:pPr>
        <w:keepNext/>
      </w:pPr>
    </w:p>
    <w:p w14:paraId="3F4E7932" w14:textId="796E0C34" w:rsidR="004366B7" w:rsidRPr="00390AA7" w:rsidRDefault="004366B7" w:rsidP="004366B7">
      <w:pPr>
        <w:keepNext/>
      </w:pPr>
      <w:r w:rsidRPr="00390AA7">
        <w:t>Reach Aotearoa and the Ministry routinely check and edit the data throughout the field period of the NZHS. In addition, the final unit record data sets provided to the Ministry are edited for range and logic. Any inconsistencies found are remedied by returning to the interviewer and, if necessary, the respondent for clarification and correction.</w:t>
      </w:r>
    </w:p>
    <w:p w14:paraId="408C462F" w14:textId="77777777" w:rsidR="004366B7" w:rsidRPr="00390AA7" w:rsidRDefault="004366B7" w:rsidP="004366B7">
      <w:pPr>
        <w:keepNext/>
      </w:pPr>
    </w:p>
    <w:p w14:paraId="606D5CCD" w14:textId="77777777" w:rsidR="004366B7" w:rsidRPr="00390AA7" w:rsidRDefault="004366B7" w:rsidP="004366B7">
      <w:r w:rsidRPr="00390AA7">
        <w:t>In 2018/19, enhanced data cleaning was introduced by Reach Aotearoa. Previously, where a respondent decided to go back in the survey and change their response to an earlier question, any responses that were no longer on a valid logic path were retained in the data set. This resulted in extra cleaning being required at the analysis stage to manually remove these responses. To resolve this issue, Reach Aotearoa worked with the survey software provider to develop on-the-fly automatic cleaning of survey responses that were no longer on a valid logic route.</w:t>
      </w:r>
    </w:p>
    <w:p w14:paraId="0CC6022C" w14:textId="77777777" w:rsidR="004366B7" w:rsidRPr="00390AA7" w:rsidRDefault="004366B7" w:rsidP="004366B7">
      <w:pPr>
        <w:pStyle w:val="Heading2"/>
      </w:pPr>
      <w:bookmarkStart w:id="219" w:name="_Toc467491536"/>
      <w:bookmarkStart w:id="220" w:name="_Toc531762354"/>
      <w:bookmarkStart w:id="221" w:name="_Toc531783711"/>
      <w:bookmarkStart w:id="222" w:name="_Toc22887944"/>
      <w:bookmarkStart w:id="223" w:name="_Toc55206851"/>
      <w:bookmarkStart w:id="224" w:name="_Toc88752042"/>
      <w:bookmarkStart w:id="225" w:name="_Toc153259090"/>
      <w:r w:rsidRPr="00390AA7">
        <w:t>Missing data due to non-response</w:t>
      </w:r>
      <w:bookmarkEnd w:id="219"/>
      <w:bookmarkEnd w:id="220"/>
      <w:bookmarkEnd w:id="221"/>
      <w:bookmarkEnd w:id="222"/>
      <w:bookmarkEnd w:id="223"/>
      <w:bookmarkEnd w:id="224"/>
      <w:bookmarkEnd w:id="225"/>
    </w:p>
    <w:p w14:paraId="234E04F0" w14:textId="77777777" w:rsidR="004366B7" w:rsidRPr="00390AA7" w:rsidRDefault="004366B7" w:rsidP="004366B7">
      <w:pPr>
        <w:rPr>
          <w:lang w:eastAsia="en-NZ"/>
        </w:rPr>
      </w:pPr>
      <w:r w:rsidRPr="00390AA7">
        <w:rPr>
          <w:lang w:eastAsia="en-NZ"/>
        </w:rPr>
        <w:t>The term ‘unit non-response’ refers to the situation in which no response is obtained from the selected household or person; for example, if the household is unable to be contacted or declines to participate. ‘Item non-response’ refers to the situation in which a respondent does not provide an answer to some (but not all) questions asked on the questionnaire, usually because they do not know the answer or refuse to answer.</w:t>
      </w:r>
    </w:p>
    <w:p w14:paraId="03203273" w14:textId="77777777" w:rsidR="004366B7" w:rsidRPr="00390AA7" w:rsidRDefault="004366B7" w:rsidP="004366B7">
      <w:pPr>
        <w:rPr>
          <w:lang w:eastAsia="en-NZ"/>
        </w:rPr>
      </w:pPr>
    </w:p>
    <w:p w14:paraId="053C0F4B" w14:textId="77777777" w:rsidR="004366B7" w:rsidRPr="00390AA7" w:rsidRDefault="004366B7" w:rsidP="004366B7">
      <w:pPr>
        <w:rPr>
          <w:lang w:eastAsia="en-NZ"/>
        </w:rPr>
      </w:pPr>
      <w:r w:rsidRPr="00390AA7">
        <w:rPr>
          <w:lang w:eastAsia="en-NZ"/>
        </w:rPr>
        <w:t>Unit non-response is adjusted for in the calculation of weights, as described in the ‘Weighting’ section. Weighting is also used to adjust for non-response to the measurement phase of the interview.</w:t>
      </w:r>
    </w:p>
    <w:p w14:paraId="6C23557C" w14:textId="77777777" w:rsidR="004366B7" w:rsidRPr="00390AA7" w:rsidRDefault="004366B7" w:rsidP="004366B7">
      <w:pPr>
        <w:rPr>
          <w:lang w:eastAsia="en-NZ"/>
        </w:rPr>
      </w:pPr>
    </w:p>
    <w:p w14:paraId="22937172" w14:textId="318CDAE2" w:rsidR="004366B7" w:rsidRPr="00390AA7" w:rsidRDefault="008721A0" w:rsidP="004366B7">
      <w:pPr>
        <w:rPr>
          <w:lang w:eastAsia="en-NZ"/>
        </w:rPr>
      </w:pPr>
      <w:r>
        <w:rPr>
          <w:lang w:eastAsia="en-NZ"/>
        </w:rPr>
        <w:t xml:space="preserve">Table 3 </w:t>
      </w:r>
      <w:r w:rsidR="00F16321">
        <w:rPr>
          <w:lang w:eastAsia="en-NZ"/>
        </w:rPr>
        <w:t>shows</w:t>
      </w:r>
      <w:r>
        <w:rPr>
          <w:lang w:eastAsia="en-NZ"/>
        </w:rPr>
        <w:t xml:space="preserve"> </w:t>
      </w:r>
      <w:r w:rsidR="000B6D2D">
        <w:rPr>
          <w:lang w:eastAsia="en-NZ"/>
        </w:rPr>
        <w:t>q</w:t>
      </w:r>
      <w:r w:rsidR="006E3CAB">
        <w:rPr>
          <w:lang w:eastAsia="en-NZ"/>
        </w:rPr>
        <w:t>uestions where</w:t>
      </w:r>
      <w:r w:rsidR="007B489A">
        <w:rPr>
          <w:lang w:eastAsia="en-NZ"/>
        </w:rPr>
        <w:t xml:space="preserve"> more than 3% of </w:t>
      </w:r>
      <w:r w:rsidR="00C70648">
        <w:rPr>
          <w:lang w:eastAsia="en-NZ"/>
        </w:rPr>
        <w:t xml:space="preserve">respondents </w:t>
      </w:r>
      <w:r w:rsidR="00705A4D">
        <w:rPr>
          <w:lang w:eastAsia="en-NZ"/>
        </w:rPr>
        <w:t>either didn’t know the answer or refused to answer</w:t>
      </w:r>
      <w:r w:rsidR="007B489A">
        <w:rPr>
          <w:lang w:eastAsia="en-NZ"/>
        </w:rPr>
        <w:t xml:space="preserve"> the question</w:t>
      </w:r>
      <w:r w:rsidR="00245AC5">
        <w:rPr>
          <w:lang w:eastAsia="en-NZ"/>
        </w:rPr>
        <w:t xml:space="preserve"> (item non-response</w:t>
      </w:r>
      <w:r w:rsidR="00680282">
        <w:rPr>
          <w:lang w:eastAsia="en-NZ"/>
        </w:rPr>
        <w:t>)</w:t>
      </w:r>
      <w:r w:rsidR="002B1C79">
        <w:rPr>
          <w:lang w:eastAsia="en-NZ"/>
        </w:rPr>
        <w:t xml:space="preserve">. </w:t>
      </w:r>
      <w:r w:rsidR="00D16872" w:rsidRPr="00A626D4">
        <w:rPr>
          <w:lang w:eastAsia="en-NZ"/>
        </w:rPr>
        <w:t>I</w:t>
      </w:r>
      <w:r w:rsidR="004366B7" w:rsidRPr="00A626D4">
        <w:rPr>
          <w:lang w:eastAsia="en-NZ"/>
        </w:rPr>
        <w:t>n the 202</w:t>
      </w:r>
      <w:r w:rsidR="00574B4F" w:rsidRPr="00A626D4">
        <w:rPr>
          <w:lang w:eastAsia="en-NZ"/>
        </w:rPr>
        <w:t>2</w:t>
      </w:r>
      <w:r w:rsidR="004366B7" w:rsidRPr="00A626D4">
        <w:rPr>
          <w:lang w:eastAsia="en-NZ"/>
        </w:rPr>
        <w:t>/2</w:t>
      </w:r>
      <w:r w:rsidR="00574B4F" w:rsidRPr="00A626D4">
        <w:rPr>
          <w:lang w:eastAsia="en-NZ"/>
        </w:rPr>
        <w:t>3</w:t>
      </w:r>
      <w:r w:rsidR="004366B7" w:rsidRPr="00A626D4">
        <w:rPr>
          <w:lang w:eastAsia="en-NZ"/>
        </w:rPr>
        <w:t xml:space="preserve"> NZHS, </w:t>
      </w:r>
      <w:r w:rsidR="000B61E8" w:rsidRPr="00A626D4">
        <w:rPr>
          <w:lang w:eastAsia="en-NZ"/>
        </w:rPr>
        <w:t>13</w:t>
      </w:r>
      <w:r w:rsidR="004366B7" w:rsidRPr="00A626D4">
        <w:rPr>
          <w:lang w:eastAsia="en-NZ"/>
        </w:rPr>
        <w:t xml:space="preserve"> </w:t>
      </w:r>
      <w:r w:rsidR="00D16872" w:rsidRPr="00A626D4">
        <w:rPr>
          <w:lang w:eastAsia="en-NZ"/>
        </w:rPr>
        <w:t xml:space="preserve">adult </w:t>
      </w:r>
      <w:r w:rsidR="004366B7" w:rsidRPr="00A626D4">
        <w:rPr>
          <w:lang w:eastAsia="en-NZ"/>
        </w:rPr>
        <w:t>questions</w:t>
      </w:r>
      <w:r w:rsidR="001D59D8" w:rsidRPr="00A626D4">
        <w:rPr>
          <w:lang w:eastAsia="en-NZ"/>
        </w:rPr>
        <w:t xml:space="preserve"> had</w:t>
      </w:r>
      <w:r w:rsidR="004366B7" w:rsidRPr="00A626D4">
        <w:rPr>
          <w:lang w:eastAsia="en-NZ"/>
        </w:rPr>
        <w:t xml:space="preserve"> item non-response</w:t>
      </w:r>
      <w:r w:rsidR="0021155A" w:rsidRPr="00A626D4">
        <w:rPr>
          <w:lang w:eastAsia="en-NZ"/>
        </w:rPr>
        <w:t xml:space="preserve"> of 3% or more</w:t>
      </w:r>
      <w:r w:rsidR="004366B7" w:rsidRPr="00A626D4">
        <w:rPr>
          <w:lang w:eastAsia="en-NZ"/>
        </w:rPr>
        <w:t xml:space="preserve">, </w:t>
      </w:r>
      <w:r w:rsidR="002950D6" w:rsidRPr="00A626D4">
        <w:rPr>
          <w:lang w:eastAsia="en-NZ"/>
        </w:rPr>
        <w:t xml:space="preserve">and </w:t>
      </w:r>
      <w:r w:rsidR="004D38E6" w:rsidRPr="00A626D4">
        <w:rPr>
          <w:lang w:eastAsia="en-NZ"/>
        </w:rPr>
        <w:t>8</w:t>
      </w:r>
      <w:r w:rsidR="004366B7" w:rsidRPr="00A626D4">
        <w:rPr>
          <w:lang w:eastAsia="en-NZ"/>
        </w:rPr>
        <w:t xml:space="preserve"> </w:t>
      </w:r>
      <w:r w:rsidR="002950D6" w:rsidRPr="00A626D4">
        <w:rPr>
          <w:lang w:eastAsia="en-NZ"/>
        </w:rPr>
        <w:t xml:space="preserve">child </w:t>
      </w:r>
      <w:r w:rsidR="004366B7" w:rsidRPr="00A626D4">
        <w:rPr>
          <w:lang w:eastAsia="en-NZ"/>
        </w:rPr>
        <w:t>questions had ‘item non-response’</w:t>
      </w:r>
      <w:r w:rsidR="0021155A" w:rsidRPr="00A626D4">
        <w:rPr>
          <w:lang w:eastAsia="en-NZ"/>
        </w:rPr>
        <w:t xml:space="preserve"> of 3% or more</w:t>
      </w:r>
      <w:r w:rsidR="004366B7" w:rsidRPr="00390AA7">
        <w:rPr>
          <w:lang w:eastAsia="en-NZ"/>
        </w:rPr>
        <w:t xml:space="preserve"> </w:t>
      </w:r>
    </w:p>
    <w:p w14:paraId="69B1856D" w14:textId="77777777" w:rsidR="004160D7" w:rsidRPr="00390AA7" w:rsidRDefault="004160D7" w:rsidP="004366B7">
      <w:pPr>
        <w:rPr>
          <w:lang w:eastAsia="en-NZ"/>
        </w:rPr>
      </w:pPr>
    </w:p>
    <w:p w14:paraId="3607B11A" w14:textId="7EB71370" w:rsidR="00F560CA" w:rsidRPr="00390AA7" w:rsidRDefault="003E2735" w:rsidP="004366B7">
      <w:pPr>
        <w:rPr>
          <w:color w:val="000000" w:themeColor="text1"/>
        </w:rPr>
      </w:pPr>
      <w:r w:rsidRPr="00A626D4">
        <w:rPr>
          <w:color w:val="000000" w:themeColor="text1"/>
        </w:rPr>
        <w:t xml:space="preserve">Height </w:t>
      </w:r>
      <w:r w:rsidR="00F82E21" w:rsidRPr="00A626D4">
        <w:rPr>
          <w:color w:val="000000" w:themeColor="text1"/>
        </w:rPr>
        <w:t xml:space="preserve">measurements were obtained from </w:t>
      </w:r>
      <w:r w:rsidRPr="00A626D4">
        <w:rPr>
          <w:color w:val="000000" w:themeColor="text1"/>
        </w:rPr>
        <w:t>8</w:t>
      </w:r>
      <w:r w:rsidR="00043B10" w:rsidRPr="00A626D4">
        <w:rPr>
          <w:color w:val="000000" w:themeColor="text1"/>
        </w:rPr>
        <w:t>7</w:t>
      </w:r>
      <w:r w:rsidR="00601004" w:rsidRPr="00A626D4">
        <w:rPr>
          <w:color w:val="000000" w:themeColor="text1"/>
        </w:rPr>
        <w:t xml:space="preserve">% </w:t>
      </w:r>
      <w:r w:rsidRPr="00A626D4">
        <w:rPr>
          <w:color w:val="000000" w:themeColor="text1"/>
        </w:rPr>
        <w:t xml:space="preserve">of eligible adult and </w:t>
      </w:r>
      <w:r w:rsidR="004610E1" w:rsidRPr="00047C2D">
        <w:rPr>
          <w:color w:val="000000" w:themeColor="text1"/>
        </w:rPr>
        <w:t>76</w:t>
      </w:r>
      <w:r w:rsidR="00601004" w:rsidRPr="00047C2D">
        <w:rPr>
          <w:color w:val="000000" w:themeColor="text1"/>
        </w:rPr>
        <w:t>%</w:t>
      </w:r>
      <w:r w:rsidRPr="00047C2D">
        <w:rPr>
          <w:color w:val="000000" w:themeColor="text1"/>
        </w:rPr>
        <w:t xml:space="preserve"> of </w:t>
      </w:r>
      <w:r w:rsidR="009B39C2" w:rsidRPr="00047C2D">
        <w:rPr>
          <w:color w:val="000000" w:themeColor="text1"/>
        </w:rPr>
        <w:t>eligible</w:t>
      </w:r>
      <w:r w:rsidR="009B39C2">
        <w:rPr>
          <w:color w:val="000000" w:themeColor="text1"/>
        </w:rPr>
        <w:t xml:space="preserve"> </w:t>
      </w:r>
      <w:r w:rsidRPr="00A626D4">
        <w:rPr>
          <w:color w:val="000000" w:themeColor="text1"/>
        </w:rPr>
        <w:t>child respondents.</w:t>
      </w:r>
      <w:r w:rsidR="00296172" w:rsidRPr="00A626D4">
        <w:rPr>
          <w:color w:val="000000" w:themeColor="text1"/>
        </w:rPr>
        <w:t xml:space="preserve"> Weight </w:t>
      </w:r>
      <w:r w:rsidR="00E21E16" w:rsidRPr="00A626D4">
        <w:rPr>
          <w:color w:val="000000" w:themeColor="text1"/>
        </w:rPr>
        <w:t xml:space="preserve">measurements were </w:t>
      </w:r>
      <w:r w:rsidR="00296172" w:rsidRPr="00A626D4">
        <w:rPr>
          <w:color w:val="000000" w:themeColor="text1"/>
        </w:rPr>
        <w:t>obtained from</w:t>
      </w:r>
      <w:r w:rsidR="00E21E16" w:rsidRPr="00A626D4">
        <w:rPr>
          <w:color w:val="000000" w:themeColor="text1"/>
        </w:rPr>
        <w:t xml:space="preserve"> 86</w:t>
      </w:r>
      <w:r w:rsidR="004C5D3C" w:rsidRPr="00A626D4">
        <w:rPr>
          <w:color w:val="000000" w:themeColor="text1"/>
        </w:rPr>
        <w:t>%</w:t>
      </w:r>
      <w:r w:rsidR="00E21E16" w:rsidRPr="00A626D4">
        <w:rPr>
          <w:color w:val="000000" w:themeColor="text1"/>
        </w:rPr>
        <w:t xml:space="preserve"> of</w:t>
      </w:r>
      <w:r w:rsidR="0071311F" w:rsidRPr="00A626D4">
        <w:rPr>
          <w:color w:val="000000" w:themeColor="text1"/>
        </w:rPr>
        <w:t xml:space="preserve"> eligible</w:t>
      </w:r>
      <w:r w:rsidR="00E21E16" w:rsidRPr="00A626D4">
        <w:rPr>
          <w:color w:val="000000" w:themeColor="text1"/>
        </w:rPr>
        <w:t xml:space="preserve"> adult </w:t>
      </w:r>
      <w:r w:rsidR="00980848" w:rsidRPr="00A626D4">
        <w:rPr>
          <w:color w:val="000000" w:themeColor="text1"/>
        </w:rPr>
        <w:t xml:space="preserve">and </w:t>
      </w:r>
      <w:r w:rsidR="004610E1" w:rsidRPr="00047C2D">
        <w:rPr>
          <w:color w:val="000000" w:themeColor="text1"/>
        </w:rPr>
        <w:t>76</w:t>
      </w:r>
      <w:r w:rsidR="004C5D3C" w:rsidRPr="00047C2D">
        <w:rPr>
          <w:color w:val="000000" w:themeColor="text1"/>
        </w:rPr>
        <w:t>%</w:t>
      </w:r>
      <w:r w:rsidR="00D91541" w:rsidRPr="00047C2D">
        <w:rPr>
          <w:color w:val="000000" w:themeColor="text1"/>
        </w:rPr>
        <w:t xml:space="preserve"> of </w:t>
      </w:r>
      <w:r w:rsidR="004610E1" w:rsidRPr="00047C2D">
        <w:rPr>
          <w:color w:val="000000" w:themeColor="text1"/>
        </w:rPr>
        <w:t>eligible</w:t>
      </w:r>
      <w:r w:rsidR="004610E1">
        <w:rPr>
          <w:color w:val="000000" w:themeColor="text1"/>
        </w:rPr>
        <w:t xml:space="preserve"> </w:t>
      </w:r>
      <w:r w:rsidR="00D91541" w:rsidRPr="00A626D4">
        <w:rPr>
          <w:color w:val="000000" w:themeColor="text1"/>
        </w:rPr>
        <w:t xml:space="preserve">child respondents. </w:t>
      </w:r>
      <w:r w:rsidR="00F560CA" w:rsidRPr="00A626D4">
        <w:rPr>
          <w:color w:val="000000" w:themeColor="text1"/>
        </w:rPr>
        <w:t xml:space="preserve">Waist measurements were obtained </w:t>
      </w:r>
      <w:r w:rsidR="00263700" w:rsidRPr="00A626D4">
        <w:rPr>
          <w:color w:val="000000" w:themeColor="text1"/>
        </w:rPr>
        <w:t>from 85</w:t>
      </w:r>
      <w:r w:rsidR="004C5D3C" w:rsidRPr="00A626D4">
        <w:rPr>
          <w:color w:val="000000" w:themeColor="text1"/>
        </w:rPr>
        <w:t>%</w:t>
      </w:r>
      <w:r w:rsidR="00263700" w:rsidRPr="00A626D4">
        <w:rPr>
          <w:color w:val="000000" w:themeColor="text1"/>
        </w:rPr>
        <w:t xml:space="preserve"> </w:t>
      </w:r>
      <w:r w:rsidR="00E66408" w:rsidRPr="00A626D4">
        <w:rPr>
          <w:color w:val="000000" w:themeColor="text1"/>
        </w:rPr>
        <w:t xml:space="preserve">of eligible adult and </w:t>
      </w:r>
      <w:r w:rsidR="009B39C2" w:rsidRPr="00047C2D">
        <w:rPr>
          <w:color w:val="000000" w:themeColor="text1"/>
        </w:rPr>
        <w:t>75</w:t>
      </w:r>
      <w:r w:rsidR="00256329" w:rsidRPr="00047C2D">
        <w:rPr>
          <w:color w:val="000000" w:themeColor="text1"/>
        </w:rPr>
        <w:t>%</w:t>
      </w:r>
      <w:r w:rsidR="000F2204" w:rsidRPr="00047C2D">
        <w:rPr>
          <w:color w:val="000000" w:themeColor="text1"/>
        </w:rPr>
        <w:t xml:space="preserve"> of </w:t>
      </w:r>
      <w:r w:rsidR="009B39C2" w:rsidRPr="00047C2D">
        <w:rPr>
          <w:color w:val="000000" w:themeColor="text1"/>
        </w:rPr>
        <w:t>eligible</w:t>
      </w:r>
      <w:r w:rsidR="009B39C2">
        <w:rPr>
          <w:color w:val="000000" w:themeColor="text1"/>
        </w:rPr>
        <w:t xml:space="preserve"> </w:t>
      </w:r>
      <w:r w:rsidR="000F2204" w:rsidRPr="00A626D4">
        <w:rPr>
          <w:color w:val="000000" w:themeColor="text1"/>
        </w:rPr>
        <w:t>child respondents.</w:t>
      </w:r>
      <w:r w:rsidR="00F560CA" w:rsidRPr="00390AA7">
        <w:rPr>
          <w:color w:val="000000" w:themeColor="text1"/>
        </w:rPr>
        <w:t xml:space="preserve"> </w:t>
      </w:r>
    </w:p>
    <w:p w14:paraId="0D73F344" w14:textId="77777777" w:rsidR="004366B7" w:rsidRPr="00390AA7" w:rsidRDefault="004366B7" w:rsidP="004366B7"/>
    <w:p w14:paraId="598CC544" w14:textId="77777777" w:rsidR="00412012" w:rsidRDefault="00412012" w:rsidP="00B2502A">
      <w:pPr>
        <w:pStyle w:val="Caption"/>
        <w:sectPr w:rsidR="00412012" w:rsidSect="004366B7">
          <w:pgSz w:w="11907" w:h="16840" w:code="9"/>
          <w:pgMar w:top="1418" w:right="1701" w:bottom="1134" w:left="1843" w:header="284" w:footer="425" w:gutter="284"/>
          <w:cols w:space="720"/>
        </w:sectPr>
      </w:pPr>
      <w:bookmarkStart w:id="226" w:name="_Toc88038742"/>
    </w:p>
    <w:p w14:paraId="34482ACE" w14:textId="77FEFBEC" w:rsidR="004366B7" w:rsidRPr="00390AA7" w:rsidRDefault="004366B7" w:rsidP="00B2502A">
      <w:pPr>
        <w:pStyle w:val="Caption"/>
      </w:pPr>
      <w:bookmarkStart w:id="227" w:name="_Toc153259121"/>
      <w:r w:rsidRPr="00390AA7">
        <w:t xml:space="preserve">Table </w:t>
      </w:r>
      <w:r w:rsidRPr="00390AA7">
        <w:rPr>
          <w:color w:val="2B579A"/>
          <w:shd w:val="clear" w:color="auto" w:fill="E6E6E6"/>
        </w:rPr>
        <w:fldChar w:fldCharType="begin"/>
      </w:r>
      <w:r w:rsidRPr="00390AA7">
        <w:instrText>SEQ Table \* ARABIC</w:instrText>
      </w:r>
      <w:r w:rsidRPr="00390AA7">
        <w:rPr>
          <w:color w:val="2B579A"/>
          <w:shd w:val="clear" w:color="auto" w:fill="E6E6E6"/>
        </w:rPr>
        <w:fldChar w:fldCharType="separate"/>
      </w:r>
      <w:r w:rsidR="008D278D">
        <w:rPr>
          <w:noProof/>
        </w:rPr>
        <w:t>3</w:t>
      </w:r>
      <w:r w:rsidRPr="00390AA7">
        <w:rPr>
          <w:color w:val="2B579A"/>
          <w:shd w:val="clear" w:color="auto" w:fill="E6E6E6"/>
        </w:rPr>
        <w:fldChar w:fldCharType="end"/>
      </w:r>
      <w:r w:rsidRPr="00390AA7">
        <w:t xml:space="preserve">: Questions with </w:t>
      </w:r>
      <w:r w:rsidR="00E054C2">
        <w:t>item non-response</w:t>
      </w:r>
      <w:r w:rsidRPr="00390AA7">
        <w:t xml:space="preserve"> for more than </w:t>
      </w:r>
      <w:r w:rsidR="00860256" w:rsidRPr="00390AA7">
        <w:t>3</w:t>
      </w:r>
      <w:r w:rsidRPr="00390AA7">
        <w:t>% of respondents</w:t>
      </w:r>
      <w:bookmarkEnd w:id="226"/>
      <w:r w:rsidR="00E01A6B" w:rsidRPr="00390AA7">
        <w:t>, 2022</w:t>
      </w:r>
      <w:r w:rsidR="00781EB5" w:rsidRPr="00390AA7">
        <w:t>/23</w:t>
      </w:r>
      <w:bookmarkEnd w:id="227"/>
    </w:p>
    <w:tbl>
      <w:tblPr>
        <w:tblW w:w="7655"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4A0" w:firstRow="1" w:lastRow="0" w:firstColumn="1" w:lastColumn="0" w:noHBand="0" w:noVBand="1"/>
      </w:tblPr>
      <w:tblGrid>
        <w:gridCol w:w="6040"/>
        <w:gridCol w:w="1615"/>
      </w:tblGrid>
      <w:tr w:rsidR="002011B5" w:rsidRPr="00AA6AE7" w14:paraId="6CCD92B1" w14:textId="77777777" w:rsidTr="00B16B0F">
        <w:trPr>
          <w:trHeight w:val="255"/>
          <w:tblHeader/>
        </w:trPr>
        <w:tc>
          <w:tcPr>
            <w:tcW w:w="6040" w:type="dxa"/>
            <w:tcBorders>
              <w:top w:val="nil"/>
              <w:bottom w:val="nil"/>
            </w:tcBorders>
            <w:shd w:val="clear" w:color="auto" w:fill="D9D9D9" w:themeFill="background1" w:themeFillShade="D9"/>
            <w:noWrap/>
            <w:vAlign w:val="bottom"/>
            <w:hideMark/>
          </w:tcPr>
          <w:p w14:paraId="10740271" w14:textId="77777777" w:rsidR="002011B5" w:rsidRPr="00B16B0F" w:rsidRDefault="002011B5" w:rsidP="00B16B0F">
            <w:pPr>
              <w:pStyle w:val="TableText"/>
              <w:rPr>
                <w:b/>
                <w:bCs/>
                <w:lang w:eastAsia="en-NZ"/>
              </w:rPr>
            </w:pPr>
            <w:r w:rsidRPr="00B16B0F">
              <w:rPr>
                <w:b/>
                <w:bCs/>
                <w:lang w:eastAsia="en-NZ"/>
              </w:rPr>
              <w:t>Question</w:t>
            </w:r>
          </w:p>
        </w:tc>
        <w:tc>
          <w:tcPr>
            <w:tcW w:w="1615" w:type="dxa"/>
            <w:tcBorders>
              <w:top w:val="nil"/>
              <w:bottom w:val="nil"/>
            </w:tcBorders>
            <w:shd w:val="clear" w:color="auto" w:fill="D9D9D9" w:themeFill="background1" w:themeFillShade="D9"/>
            <w:vAlign w:val="bottom"/>
            <w:hideMark/>
          </w:tcPr>
          <w:p w14:paraId="4D8E728E" w14:textId="2F61DC8F" w:rsidR="002011B5" w:rsidRPr="00B16B0F" w:rsidRDefault="00256329" w:rsidP="00B16B0F">
            <w:pPr>
              <w:pStyle w:val="TableText"/>
              <w:rPr>
                <w:b/>
                <w:bCs/>
                <w:lang w:eastAsia="en-NZ"/>
              </w:rPr>
            </w:pPr>
            <w:r w:rsidRPr="00B16B0F">
              <w:rPr>
                <w:b/>
                <w:bCs/>
                <w:lang w:eastAsia="en-NZ"/>
              </w:rPr>
              <w:t xml:space="preserve">% </w:t>
            </w:r>
            <w:r w:rsidR="002011B5" w:rsidRPr="00B16B0F">
              <w:rPr>
                <w:b/>
                <w:bCs/>
                <w:lang w:eastAsia="en-NZ"/>
              </w:rPr>
              <w:t>non-response</w:t>
            </w:r>
          </w:p>
        </w:tc>
      </w:tr>
      <w:tr w:rsidR="002011B5" w:rsidRPr="00BF5E22" w14:paraId="1ED9B02D" w14:textId="77777777" w:rsidTr="00B16B0F">
        <w:trPr>
          <w:trHeight w:val="255"/>
        </w:trPr>
        <w:tc>
          <w:tcPr>
            <w:tcW w:w="6040" w:type="dxa"/>
            <w:tcBorders>
              <w:top w:val="nil"/>
              <w:bottom w:val="nil"/>
            </w:tcBorders>
            <w:shd w:val="clear" w:color="auto" w:fill="F2F2F2" w:themeFill="background1" w:themeFillShade="F2"/>
            <w:noWrap/>
            <w:vAlign w:val="bottom"/>
            <w:hideMark/>
          </w:tcPr>
          <w:p w14:paraId="74940284" w14:textId="2481B7ED" w:rsidR="002011B5" w:rsidRPr="00B16B0F" w:rsidRDefault="00BF5E22" w:rsidP="00B16B0F">
            <w:pPr>
              <w:pStyle w:val="TableText"/>
              <w:rPr>
                <w:b/>
                <w:bCs/>
                <w:lang w:eastAsia="en-NZ"/>
              </w:rPr>
            </w:pPr>
            <w:r w:rsidRPr="00B16B0F">
              <w:rPr>
                <w:b/>
                <w:bCs/>
                <w:lang w:eastAsia="en-NZ"/>
              </w:rPr>
              <w:t>Adults</w:t>
            </w:r>
          </w:p>
        </w:tc>
        <w:tc>
          <w:tcPr>
            <w:tcW w:w="1615" w:type="dxa"/>
            <w:tcBorders>
              <w:top w:val="nil"/>
              <w:bottom w:val="nil"/>
            </w:tcBorders>
            <w:shd w:val="clear" w:color="auto" w:fill="F2F2F2" w:themeFill="background1" w:themeFillShade="F2"/>
            <w:vAlign w:val="bottom"/>
            <w:hideMark/>
          </w:tcPr>
          <w:p w14:paraId="6D317EC8" w14:textId="77777777" w:rsidR="002011B5" w:rsidRPr="00B16B0F" w:rsidRDefault="002011B5" w:rsidP="00B16B0F">
            <w:pPr>
              <w:pStyle w:val="TableText"/>
              <w:rPr>
                <w:b/>
                <w:bCs/>
                <w:lang w:eastAsia="en-NZ"/>
              </w:rPr>
            </w:pPr>
          </w:p>
        </w:tc>
      </w:tr>
      <w:tr w:rsidR="002011B5" w:rsidRPr="00390AA7" w14:paraId="14B6D80C" w14:textId="77777777" w:rsidTr="00B16B0F">
        <w:trPr>
          <w:trHeight w:val="255"/>
        </w:trPr>
        <w:tc>
          <w:tcPr>
            <w:tcW w:w="6040" w:type="dxa"/>
            <w:tcBorders>
              <w:top w:val="nil"/>
            </w:tcBorders>
            <w:shd w:val="clear" w:color="auto" w:fill="auto"/>
            <w:noWrap/>
            <w:vAlign w:val="bottom"/>
            <w:hideMark/>
          </w:tcPr>
          <w:p w14:paraId="20486905" w14:textId="77777777" w:rsidR="002011B5" w:rsidRPr="00390AA7" w:rsidRDefault="002011B5" w:rsidP="00B16B0F">
            <w:pPr>
              <w:pStyle w:val="TableText"/>
              <w:rPr>
                <w:lang w:eastAsia="en-NZ"/>
              </w:rPr>
            </w:pPr>
            <w:r w:rsidRPr="00390AA7">
              <w:rPr>
                <w:lang w:eastAsia="en-NZ"/>
              </w:rPr>
              <w:t>Household income</w:t>
            </w:r>
          </w:p>
        </w:tc>
        <w:tc>
          <w:tcPr>
            <w:tcW w:w="1615" w:type="dxa"/>
            <w:tcBorders>
              <w:top w:val="nil"/>
            </w:tcBorders>
            <w:shd w:val="clear" w:color="auto" w:fill="auto"/>
            <w:noWrap/>
            <w:vAlign w:val="bottom"/>
            <w:hideMark/>
          </w:tcPr>
          <w:p w14:paraId="14F1A0E9" w14:textId="77777777" w:rsidR="002011B5" w:rsidRPr="00390AA7" w:rsidRDefault="002011B5" w:rsidP="00B16B0F">
            <w:pPr>
              <w:pStyle w:val="TableText"/>
              <w:rPr>
                <w:lang w:eastAsia="en-NZ"/>
              </w:rPr>
            </w:pPr>
            <w:r w:rsidRPr="00390AA7">
              <w:rPr>
                <w:lang w:eastAsia="en-NZ"/>
              </w:rPr>
              <w:t>24%</w:t>
            </w:r>
          </w:p>
        </w:tc>
      </w:tr>
      <w:tr w:rsidR="002011B5" w:rsidRPr="00390AA7" w14:paraId="1EF8905D" w14:textId="77777777" w:rsidTr="00B16B0F">
        <w:trPr>
          <w:trHeight w:val="255"/>
        </w:trPr>
        <w:tc>
          <w:tcPr>
            <w:tcW w:w="6040" w:type="dxa"/>
            <w:shd w:val="clear" w:color="auto" w:fill="auto"/>
            <w:noWrap/>
            <w:vAlign w:val="bottom"/>
            <w:hideMark/>
          </w:tcPr>
          <w:p w14:paraId="458B1030" w14:textId="77777777" w:rsidR="002011B5" w:rsidRPr="00390AA7" w:rsidRDefault="002011B5" w:rsidP="00B16B0F">
            <w:pPr>
              <w:pStyle w:val="TableText"/>
              <w:rPr>
                <w:lang w:eastAsia="en-NZ"/>
              </w:rPr>
            </w:pPr>
            <w:r w:rsidRPr="00390AA7">
              <w:rPr>
                <w:lang w:eastAsia="en-NZ"/>
              </w:rPr>
              <w:t>Personal income</w:t>
            </w:r>
          </w:p>
        </w:tc>
        <w:tc>
          <w:tcPr>
            <w:tcW w:w="1615" w:type="dxa"/>
            <w:shd w:val="clear" w:color="auto" w:fill="auto"/>
            <w:noWrap/>
            <w:vAlign w:val="bottom"/>
            <w:hideMark/>
          </w:tcPr>
          <w:p w14:paraId="02F8D463" w14:textId="77777777" w:rsidR="002011B5" w:rsidRPr="00390AA7" w:rsidRDefault="002011B5" w:rsidP="00B16B0F">
            <w:pPr>
              <w:pStyle w:val="TableText"/>
              <w:rPr>
                <w:lang w:eastAsia="en-NZ"/>
              </w:rPr>
            </w:pPr>
            <w:r w:rsidRPr="00390AA7">
              <w:rPr>
                <w:lang w:eastAsia="en-NZ"/>
              </w:rPr>
              <w:t>18%</w:t>
            </w:r>
          </w:p>
        </w:tc>
      </w:tr>
      <w:tr w:rsidR="002011B5" w:rsidRPr="00390AA7" w14:paraId="03BDF704" w14:textId="77777777" w:rsidTr="00B16B0F">
        <w:trPr>
          <w:trHeight w:val="255"/>
        </w:trPr>
        <w:tc>
          <w:tcPr>
            <w:tcW w:w="6040" w:type="dxa"/>
            <w:shd w:val="clear" w:color="auto" w:fill="auto"/>
            <w:noWrap/>
            <w:vAlign w:val="bottom"/>
            <w:hideMark/>
          </w:tcPr>
          <w:p w14:paraId="40C714AE" w14:textId="77777777" w:rsidR="002011B5" w:rsidRPr="00390AA7" w:rsidRDefault="002011B5" w:rsidP="00B16B0F">
            <w:pPr>
              <w:pStyle w:val="TableText"/>
              <w:rPr>
                <w:lang w:eastAsia="en-NZ"/>
              </w:rPr>
            </w:pPr>
            <w:r w:rsidRPr="00390AA7">
              <w:rPr>
                <w:lang w:eastAsia="en-NZ"/>
              </w:rPr>
              <w:t>Self-reported weight</w:t>
            </w:r>
          </w:p>
        </w:tc>
        <w:tc>
          <w:tcPr>
            <w:tcW w:w="1615" w:type="dxa"/>
            <w:shd w:val="clear" w:color="auto" w:fill="auto"/>
            <w:noWrap/>
            <w:vAlign w:val="bottom"/>
            <w:hideMark/>
          </w:tcPr>
          <w:p w14:paraId="30714056" w14:textId="77777777" w:rsidR="002011B5" w:rsidRPr="00390AA7" w:rsidRDefault="002011B5" w:rsidP="00B16B0F">
            <w:pPr>
              <w:pStyle w:val="TableText"/>
              <w:rPr>
                <w:lang w:eastAsia="en-NZ"/>
              </w:rPr>
            </w:pPr>
            <w:r w:rsidRPr="00390AA7">
              <w:rPr>
                <w:lang w:eastAsia="en-NZ"/>
              </w:rPr>
              <w:t>13%</w:t>
            </w:r>
          </w:p>
        </w:tc>
      </w:tr>
      <w:tr w:rsidR="002011B5" w:rsidRPr="00390AA7" w14:paraId="5FC53496" w14:textId="77777777" w:rsidTr="00B16B0F">
        <w:trPr>
          <w:trHeight w:val="255"/>
        </w:trPr>
        <w:tc>
          <w:tcPr>
            <w:tcW w:w="6040" w:type="dxa"/>
            <w:shd w:val="clear" w:color="auto" w:fill="auto"/>
            <w:noWrap/>
            <w:vAlign w:val="bottom"/>
            <w:hideMark/>
          </w:tcPr>
          <w:p w14:paraId="29BA0AC7" w14:textId="77777777" w:rsidR="002011B5" w:rsidRPr="00390AA7" w:rsidRDefault="002011B5" w:rsidP="00B16B0F">
            <w:pPr>
              <w:pStyle w:val="TableText"/>
              <w:rPr>
                <w:lang w:eastAsia="en-NZ"/>
              </w:rPr>
            </w:pPr>
            <w:r w:rsidRPr="00390AA7">
              <w:rPr>
                <w:lang w:eastAsia="en-NZ"/>
              </w:rPr>
              <w:t>Self-reported height</w:t>
            </w:r>
          </w:p>
        </w:tc>
        <w:tc>
          <w:tcPr>
            <w:tcW w:w="1615" w:type="dxa"/>
            <w:shd w:val="clear" w:color="auto" w:fill="auto"/>
            <w:noWrap/>
            <w:vAlign w:val="bottom"/>
            <w:hideMark/>
          </w:tcPr>
          <w:p w14:paraId="613C4237" w14:textId="77777777" w:rsidR="002011B5" w:rsidRPr="00390AA7" w:rsidRDefault="002011B5" w:rsidP="00B16B0F">
            <w:pPr>
              <w:pStyle w:val="TableText"/>
              <w:rPr>
                <w:lang w:eastAsia="en-NZ"/>
              </w:rPr>
            </w:pPr>
            <w:r w:rsidRPr="00390AA7">
              <w:rPr>
                <w:lang w:eastAsia="en-NZ"/>
              </w:rPr>
              <w:t>12%</w:t>
            </w:r>
          </w:p>
        </w:tc>
      </w:tr>
      <w:tr w:rsidR="002011B5" w:rsidRPr="00390AA7" w14:paraId="2D5A02C9" w14:textId="77777777" w:rsidTr="00B16B0F">
        <w:trPr>
          <w:trHeight w:val="255"/>
        </w:trPr>
        <w:tc>
          <w:tcPr>
            <w:tcW w:w="6040" w:type="dxa"/>
            <w:shd w:val="clear" w:color="auto" w:fill="auto"/>
            <w:noWrap/>
            <w:vAlign w:val="bottom"/>
            <w:hideMark/>
          </w:tcPr>
          <w:p w14:paraId="2B7F3AF5" w14:textId="77777777" w:rsidR="002011B5" w:rsidRPr="00390AA7" w:rsidRDefault="002011B5" w:rsidP="00B16B0F">
            <w:pPr>
              <w:pStyle w:val="TableText"/>
              <w:rPr>
                <w:lang w:eastAsia="en-NZ"/>
              </w:rPr>
            </w:pPr>
            <w:r w:rsidRPr="00390AA7">
              <w:rPr>
                <w:lang w:eastAsia="en-NZ"/>
              </w:rPr>
              <w:t>Type of arthritis</w:t>
            </w:r>
          </w:p>
        </w:tc>
        <w:tc>
          <w:tcPr>
            <w:tcW w:w="1615" w:type="dxa"/>
            <w:shd w:val="clear" w:color="auto" w:fill="auto"/>
            <w:noWrap/>
            <w:vAlign w:val="bottom"/>
            <w:hideMark/>
          </w:tcPr>
          <w:p w14:paraId="4B058206" w14:textId="77777777" w:rsidR="002011B5" w:rsidRPr="00390AA7" w:rsidRDefault="002011B5" w:rsidP="00B16B0F">
            <w:pPr>
              <w:pStyle w:val="TableText"/>
              <w:rPr>
                <w:lang w:eastAsia="en-NZ"/>
              </w:rPr>
            </w:pPr>
            <w:r w:rsidRPr="00390AA7">
              <w:rPr>
                <w:lang w:eastAsia="en-NZ"/>
              </w:rPr>
              <w:t>11%</w:t>
            </w:r>
          </w:p>
        </w:tc>
      </w:tr>
      <w:tr w:rsidR="002011B5" w:rsidRPr="00390AA7" w14:paraId="5442AD92" w14:textId="77777777" w:rsidTr="00B16B0F">
        <w:trPr>
          <w:trHeight w:val="255"/>
        </w:trPr>
        <w:tc>
          <w:tcPr>
            <w:tcW w:w="6040" w:type="dxa"/>
            <w:shd w:val="clear" w:color="auto" w:fill="auto"/>
            <w:noWrap/>
            <w:vAlign w:val="bottom"/>
            <w:hideMark/>
          </w:tcPr>
          <w:p w14:paraId="7129B45B" w14:textId="77777777" w:rsidR="002011B5" w:rsidRPr="00390AA7" w:rsidRDefault="002011B5" w:rsidP="00B16B0F">
            <w:pPr>
              <w:pStyle w:val="TableText"/>
              <w:rPr>
                <w:lang w:eastAsia="en-NZ"/>
              </w:rPr>
            </w:pPr>
            <w:r w:rsidRPr="00390AA7">
              <w:rPr>
                <w:lang w:eastAsia="en-NZ"/>
              </w:rPr>
              <w:t>Type of arthritis affecting respondent the most</w:t>
            </w:r>
          </w:p>
        </w:tc>
        <w:tc>
          <w:tcPr>
            <w:tcW w:w="1615" w:type="dxa"/>
            <w:shd w:val="clear" w:color="auto" w:fill="auto"/>
            <w:noWrap/>
            <w:vAlign w:val="bottom"/>
            <w:hideMark/>
          </w:tcPr>
          <w:p w14:paraId="67F8F101" w14:textId="77777777" w:rsidR="002011B5" w:rsidRPr="00390AA7" w:rsidRDefault="002011B5" w:rsidP="00B16B0F">
            <w:pPr>
              <w:pStyle w:val="TableText"/>
              <w:rPr>
                <w:lang w:eastAsia="en-NZ"/>
              </w:rPr>
            </w:pPr>
            <w:r w:rsidRPr="00390AA7">
              <w:rPr>
                <w:lang w:eastAsia="en-NZ"/>
              </w:rPr>
              <w:t>7%</w:t>
            </w:r>
          </w:p>
        </w:tc>
      </w:tr>
      <w:tr w:rsidR="002011B5" w:rsidRPr="00390AA7" w14:paraId="5C6DF536" w14:textId="77777777" w:rsidTr="00B16B0F">
        <w:trPr>
          <w:trHeight w:val="255"/>
        </w:trPr>
        <w:tc>
          <w:tcPr>
            <w:tcW w:w="6040" w:type="dxa"/>
            <w:shd w:val="clear" w:color="auto" w:fill="auto"/>
            <w:noWrap/>
            <w:vAlign w:val="bottom"/>
            <w:hideMark/>
          </w:tcPr>
          <w:p w14:paraId="1D099DB2" w14:textId="77777777" w:rsidR="002011B5" w:rsidRPr="00390AA7" w:rsidRDefault="002011B5" w:rsidP="00B16B0F">
            <w:pPr>
              <w:pStyle w:val="TableText"/>
              <w:rPr>
                <w:lang w:eastAsia="en-NZ"/>
              </w:rPr>
            </w:pPr>
            <w:r w:rsidRPr="00390AA7">
              <w:rPr>
                <w:lang w:eastAsia="en-NZ"/>
              </w:rPr>
              <w:t>Reason for unmet need for mental health and addiction services</w:t>
            </w:r>
          </w:p>
        </w:tc>
        <w:tc>
          <w:tcPr>
            <w:tcW w:w="1615" w:type="dxa"/>
            <w:shd w:val="clear" w:color="auto" w:fill="auto"/>
            <w:noWrap/>
            <w:vAlign w:val="bottom"/>
            <w:hideMark/>
          </w:tcPr>
          <w:p w14:paraId="14F37F79" w14:textId="77777777" w:rsidR="002011B5" w:rsidRPr="00390AA7" w:rsidRDefault="002011B5" w:rsidP="00B16B0F">
            <w:pPr>
              <w:pStyle w:val="TableText"/>
              <w:rPr>
                <w:lang w:eastAsia="en-NZ"/>
              </w:rPr>
            </w:pPr>
            <w:r w:rsidRPr="00390AA7">
              <w:rPr>
                <w:lang w:eastAsia="en-NZ"/>
              </w:rPr>
              <w:t>6%</w:t>
            </w:r>
          </w:p>
        </w:tc>
      </w:tr>
      <w:tr w:rsidR="002011B5" w:rsidRPr="00390AA7" w14:paraId="7815550C" w14:textId="77777777" w:rsidTr="00B16B0F">
        <w:trPr>
          <w:trHeight w:val="255"/>
        </w:trPr>
        <w:tc>
          <w:tcPr>
            <w:tcW w:w="6040" w:type="dxa"/>
            <w:shd w:val="clear" w:color="auto" w:fill="auto"/>
            <w:noWrap/>
            <w:vAlign w:val="bottom"/>
            <w:hideMark/>
          </w:tcPr>
          <w:p w14:paraId="0164F190" w14:textId="77777777" w:rsidR="002011B5" w:rsidRPr="00390AA7" w:rsidRDefault="002011B5" w:rsidP="00B16B0F">
            <w:pPr>
              <w:pStyle w:val="TableText"/>
              <w:rPr>
                <w:lang w:eastAsia="en-NZ"/>
              </w:rPr>
            </w:pPr>
            <w:r w:rsidRPr="00390AA7">
              <w:rPr>
                <w:lang w:eastAsia="en-NZ"/>
              </w:rPr>
              <w:t>Amount charged for last GP visit</w:t>
            </w:r>
          </w:p>
        </w:tc>
        <w:tc>
          <w:tcPr>
            <w:tcW w:w="1615" w:type="dxa"/>
            <w:shd w:val="clear" w:color="auto" w:fill="auto"/>
            <w:noWrap/>
            <w:vAlign w:val="bottom"/>
            <w:hideMark/>
          </w:tcPr>
          <w:p w14:paraId="1893C5BB" w14:textId="77777777" w:rsidR="002011B5" w:rsidRPr="00390AA7" w:rsidRDefault="002011B5" w:rsidP="00B16B0F">
            <w:pPr>
              <w:pStyle w:val="TableText"/>
              <w:rPr>
                <w:lang w:eastAsia="en-NZ"/>
              </w:rPr>
            </w:pPr>
            <w:r w:rsidRPr="00390AA7">
              <w:rPr>
                <w:lang w:eastAsia="en-NZ"/>
              </w:rPr>
              <w:t>6%</w:t>
            </w:r>
          </w:p>
        </w:tc>
      </w:tr>
      <w:tr w:rsidR="002011B5" w:rsidRPr="00390AA7" w14:paraId="04D3229A" w14:textId="77777777" w:rsidTr="00B16B0F">
        <w:trPr>
          <w:trHeight w:val="255"/>
        </w:trPr>
        <w:tc>
          <w:tcPr>
            <w:tcW w:w="6040" w:type="dxa"/>
            <w:shd w:val="clear" w:color="auto" w:fill="auto"/>
            <w:noWrap/>
            <w:vAlign w:val="bottom"/>
            <w:hideMark/>
          </w:tcPr>
          <w:p w14:paraId="656CA8F4" w14:textId="77777777" w:rsidR="002011B5" w:rsidRPr="00390AA7" w:rsidRDefault="002011B5" w:rsidP="00B16B0F">
            <w:pPr>
              <w:pStyle w:val="TableText"/>
              <w:rPr>
                <w:lang w:eastAsia="en-NZ"/>
              </w:rPr>
            </w:pPr>
            <w:r w:rsidRPr="00390AA7">
              <w:rPr>
                <w:lang w:eastAsia="en-NZ"/>
              </w:rPr>
              <w:t>House ownership</w:t>
            </w:r>
          </w:p>
        </w:tc>
        <w:tc>
          <w:tcPr>
            <w:tcW w:w="1615" w:type="dxa"/>
            <w:shd w:val="clear" w:color="auto" w:fill="auto"/>
            <w:noWrap/>
            <w:vAlign w:val="bottom"/>
            <w:hideMark/>
          </w:tcPr>
          <w:p w14:paraId="149A76FA" w14:textId="77777777" w:rsidR="002011B5" w:rsidRPr="00390AA7" w:rsidRDefault="002011B5" w:rsidP="00B16B0F">
            <w:pPr>
              <w:pStyle w:val="TableText"/>
              <w:rPr>
                <w:lang w:eastAsia="en-NZ"/>
              </w:rPr>
            </w:pPr>
            <w:r w:rsidRPr="00390AA7">
              <w:rPr>
                <w:lang w:eastAsia="en-NZ"/>
              </w:rPr>
              <w:t>5%</w:t>
            </w:r>
          </w:p>
        </w:tc>
      </w:tr>
      <w:tr w:rsidR="002011B5" w:rsidRPr="00390AA7" w14:paraId="390DBC42" w14:textId="77777777" w:rsidTr="00B16B0F">
        <w:trPr>
          <w:trHeight w:val="255"/>
        </w:trPr>
        <w:tc>
          <w:tcPr>
            <w:tcW w:w="6040" w:type="dxa"/>
            <w:shd w:val="clear" w:color="auto" w:fill="auto"/>
            <w:noWrap/>
            <w:vAlign w:val="bottom"/>
            <w:hideMark/>
          </w:tcPr>
          <w:p w14:paraId="32E30FE4" w14:textId="77777777" w:rsidR="002011B5" w:rsidRPr="00390AA7" w:rsidRDefault="002011B5" w:rsidP="00B16B0F">
            <w:pPr>
              <w:pStyle w:val="TableText"/>
              <w:rPr>
                <w:lang w:eastAsia="en-NZ"/>
              </w:rPr>
            </w:pPr>
            <w:r w:rsidRPr="00390AA7">
              <w:rPr>
                <w:lang w:eastAsia="en-NZ"/>
              </w:rPr>
              <w:t>Age in years</w:t>
            </w:r>
          </w:p>
        </w:tc>
        <w:tc>
          <w:tcPr>
            <w:tcW w:w="1615" w:type="dxa"/>
            <w:shd w:val="clear" w:color="auto" w:fill="auto"/>
            <w:noWrap/>
            <w:vAlign w:val="bottom"/>
            <w:hideMark/>
          </w:tcPr>
          <w:p w14:paraId="4BE55C2B" w14:textId="77777777" w:rsidR="002011B5" w:rsidRPr="00390AA7" w:rsidRDefault="002011B5" w:rsidP="00B16B0F">
            <w:pPr>
              <w:pStyle w:val="TableText"/>
              <w:rPr>
                <w:lang w:eastAsia="en-NZ"/>
              </w:rPr>
            </w:pPr>
            <w:r w:rsidRPr="00390AA7">
              <w:rPr>
                <w:lang w:eastAsia="en-NZ"/>
              </w:rPr>
              <w:t>5%</w:t>
            </w:r>
          </w:p>
        </w:tc>
      </w:tr>
      <w:tr w:rsidR="002011B5" w:rsidRPr="00390AA7" w14:paraId="3C1C0DE2" w14:textId="77777777" w:rsidTr="00B16B0F">
        <w:trPr>
          <w:trHeight w:val="255"/>
        </w:trPr>
        <w:tc>
          <w:tcPr>
            <w:tcW w:w="6040" w:type="dxa"/>
            <w:shd w:val="clear" w:color="auto" w:fill="auto"/>
            <w:noWrap/>
            <w:vAlign w:val="bottom"/>
            <w:hideMark/>
          </w:tcPr>
          <w:p w14:paraId="5EFBF343" w14:textId="77777777" w:rsidR="002011B5" w:rsidRPr="00390AA7" w:rsidRDefault="002011B5" w:rsidP="00B16B0F">
            <w:pPr>
              <w:pStyle w:val="TableText"/>
              <w:rPr>
                <w:lang w:eastAsia="en-NZ"/>
              </w:rPr>
            </w:pPr>
            <w:r w:rsidRPr="00390AA7">
              <w:rPr>
                <w:lang w:eastAsia="en-NZ"/>
              </w:rPr>
              <w:t>Medical insurance type</w:t>
            </w:r>
          </w:p>
        </w:tc>
        <w:tc>
          <w:tcPr>
            <w:tcW w:w="1615" w:type="dxa"/>
            <w:shd w:val="clear" w:color="auto" w:fill="auto"/>
            <w:noWrap/>
            <w:vAlign w:val="bottom"/>
            <w:hideMark/>
          </w:tcPr>
          <w:p w14:paraId="02B02F87" w14:textId="77777777" w:rsidR="002011B5" w:rsidRPr="00390AA7" w:rsidRDefault="002011B5" w:rsidP="00B16B0F">
            <w:pPr>
              <w:pStyle w:val="TableText"/>
              <w:rPr>
                <w:lang w:eastAsia="en-NZ"/>
              </w:rPr>
            </w:pPr>
            <w:r w:rsidRPr="00390AA7">
              <w:rPr>
                <w:lang w:eastAsia="en-NZ"/>
              </w:rPr>
              <w:t>5%</w:t>
            </w:r>
          </w:p>
        </w:tc>
      </w:tr>
      <w:tr w:rsidR="002011B5" w:rsidRPr="00390AA7" w14:paraId="042A54F5" w14:textId="77777777" w:rsidTr="00B16B0F">
        <w:trPr>
          <w:trHeight w:val="255"/>
        </w:trPr>
        <w:tc>
          <w:tcPr>
            <w:tcW w:w="6040" w:type="dxa"/>
            <w:shd w:val="clear" w:color="auto" w:fill="auto"/>
            <w:noWrap/>
            <w:vAlign w:val="bottom"/>
            <w:hideMark/>
          </w:tcPr>
          <w:p w14:paraId="1B4D67A8" w14:textId="77777777" w:rsidR="002011B5" w:rsidRPr="00390AA7" w:rsidRDefault="002011B5" w:rsidP="00B16B0F">
            <w:pPr>
              <w:pStyle w:val="TableText"/>
              <w:rPr>
                <w:lang w:eastAsia="en-NZ"/>
              </w:rPr>
            </w:pPr>
            <w:r w:rsidRPr="00390AA7">
              <w:rPr>
                <w:lang w:eastAsia="en-NZ"/>
              </w:rPr>
              <w:t>Highest qualification</w:t>
            </w:r>
          </w:p>
        </w:tc>
        <w:tc>
          <w:tcPr>
            <w:tcW w:w="1615" w:type="dxa"/>
            <w:shd w:val="clear" w:color="auto" w:fill="auto"/>
            <w:noWrap/>
            <w:vAlign w:val="bottom"/>
            <w:hideMark/>
          </w:tcPr>
          <w:p w14:paraId="038E4644" w14:textId="77777777" w:rsidR="002011B5" w:rsidRPr="00390AA7" w:rsidRDefault="002011B5" w:rsidP="00B16B0F">
            <w:pPr>
              <w:pStyle w:val="TableText"/>
              <w:rPr>
                <w:lang w:eastAsia="en-NZ"/>
              </w:rPr>
            </w:pPr>
            <w:r w:rsidRPr="00390AA7">
              <w:rPr>
                <w:lang w:eastAsia="en-NZ"/>
              </w:rPr>
              <w:t>4%</w:t>
            </w:r>
          </w:p>
        </w:tc>
      </w:tr>
      <w:tr w:rsidR="002011B5" w:rsidRPr="00390AA7" w14:paraId="59265E00" w14:textId="77777777" w:rsidTr="00B16B0F">
        <w:trPr>
          <w:trHeight w:val="255"/>
        </w:trPr>
        <w:tc>
          <w:tcPr>
            <w:tcW w:w="6040" w:type="dxa"/>
            <w:shd w:val="clear" w:color="auto" w:fill="auto"/>
            <w:noWrap/>
            <w:vAlign w:val="bottom"/>
            <w:hideMark/>
          </w:tcPr>
          <w:p w14:paraId="6709DB98" w14:textId="77777777" w:rsidR="002011B5" w:rsidRPr="00390AA7" w:rsidRDefault="002011B5" w:rsidP="00B16B0F">
            <w:pPr>
              <w:pStyle w:val="TableText"/>
              <w:rPr>
                <w:lang w:eastAsia="en-NZ"/>
              </w:rPr>
            </w:pPr>
            <w:r w:rsidRPr="00390AA7">
              <w:rPr>
                <w:lang w:eastAsia="en-NZ"/>
              </w:rPr>
              <w:t>House in family trust</w:t>
            </w:r>
          </w:p>
        </w:tc>
        <w:tc>
          <w:tcPr>
            <w:tcW w:w="1615" w:type="dxa"/>
            <w:shd w:val="clear" w:color="auto" w:fill="auto"/>
            <w:noWrap/>
            <w:vAlign w:val="bottom"/>
            <w:hideMark/>
          </w:tcPr>
          <w:p w14:paraId="003A56F3" w14:textId="77777777" w:rsidR="002011B5" w:rsidRPr="00390AA7" w:rsidRDefault="002011B5" w:rsidP="00B16B0F">
            <w:pPr>
              <w:pStyle w:val="TableText"/>
              <w:rPr>
                <w:lang w:eastAsia="en-NZ"/>
              </w:rPr>
            </w:pPr>
            <w:r w:rsidRPr="00390AA7">
              <w:rPr>
                <w:lang w:eastAsia="en-NZ"/>
              </w:rPr>
              <w:t>4%</w:t>
            </w:r>
          </w:p>
        </w:tc>
      </w:tr>
      <w:tr w:rsidR="002011B5" w:rsidRPr="00AA6AE7" w14:paraId="36E2616A" w14:textId="77777777" w:rsidTr="00B16B0F">
        <w:trPr>
          <w:trHeight w:val="255"/>
        </w:trPr>
        <w:tc>
          <w:tcPr>
            <w:tcW w:w="6040" w:type="dxa"/>
            <w:tcBorders>
              <w:top w:val="nil"/>
              <w:bottom w:val="nil"/>
            </w:tcBorders>
            <w:shd w:val="clear" w:color="auto" w:fill="F2F2F2" w:themeFill="background1" w:themeFillShade="F2"/>
            <w:noWrap/>
            <w:vAlign w:val="bottom"/>
            <w:hideMark/>
          </w:tcPr>
          <w:p w14:paraId="626EB4F7" w14:textId="1D0C08D3" w:rsidR="002011B5" w:rsidRPr="00B16B0F" w:rsidRDefault="00BF5E22" w:rsidP="00B16B0F">
            <w:pPr>
              <w:pStyle w:val="TableText"/>
              <w:rPr>
                <w:b/>
                <w:bCs/>
                <w:lang w:eastAsia="en-NZ"/>
              </w:rPr>
            </w:pPr>
            <w:r w:rsidRPr="006260CA">
              <w:rPr>
                <w:b/>
                <w:bCs/>
                <w:lang w:eastAsia="en-NZ"/>
              </w:rPr>
              <w:t>Children</w:t>
            </w:r>
          </w:p>
        </w:tc>
        <w:tc>
          <w:tcPr>
            <w:tcW w:w="1615" w:type="dxa"/>
            <w:tcBorders>
              <w:top w:val="nil"/>
              <w:bottom w:val="nil"/>
            </w:tcBorders>
            <w:shd w:val="clear" w:color="auto" w:fill="F2F2F2" w:themeFill="background1" w:themeFillShade="F2"/>
            <w:noWrap/>
            <w:vAlign w:val="bottom"/>
            <w:hideMark/>
          </w:tcPr>
          <w:p w14:paraId="4C215C65" w14:textId="77777777" w:rsidR="002011B5" w:rsidRPr="00B16B0F" w:rsidRDefault="002011B5" w:rsidP="00B16B0F">
            <w:pPr>
              <w:pStyle w:val="TableText"/>
              <w:rPr>
                <w:b/>
                <w:bCs/>
                <w:lang w:eastAsia="en-NZ"/>
              </w:rPr>
            </w:pPr>
          </w:p>
        </w:tc>
      </w:tr>
      <w:tr w:rsidR="002011B5" w:rsidRPr="00390AA7" w14:paraId="1909C2FF" w14:textId="77777777" w:rsidTr="00B16B0F">
        <w:trPr>
          <w:trHeight w:val="255"/>
        </w:trPr>
        <w:tc>
          <w:tcPr>
            <w:tcW w:w="6040" w:type="dxa"/>
            <w:tcBorders>
              <w:top w:val="nil"/>
            </w:tcBorders>
            <w:shd w:val="clear" w:color="auto" w:fill="auto"/>
            <w:noWrap/>
            <w:vAlign w:val="bottom"/>
            <w:hideMark/>
          </w:tcPr>
          <w:p w14:paraId="25BFE75E" w14:textId="77777777" w:rsidR="002011B5" w:rsidRPr="00390AA7" w:rsidRDefault="002011B5" w:rsidP="00B16B0F">
            <w:pPr>
              <w:pStyle w:val="TableText"/>
              <w:rPr>
                <w:lang w:eastAsia="en-NZ"/>
              </w:rPr>
            </w:pPr>
            <w:r w:rsidRPr="00390AA7">
              <w:rPr>
                <w:lang w:eastAsia="en-NZ"/>
              </w:rPr>
              <w:t>Household income</w:t>
            </w:r>
          </w:p>
        </w:tc>
        <w:tc>
          <w:tcPr>
            <w:tcW w:w="1615" w:type="dxa"/>
            <w:tcBorders>
              <w:top w:val="nil"/>
            </w:tcBorders>
            <w:shd w:val="clear" w:color="auto" w:fill="auto"/>
            <w:noWrap/>
            <w:vAlign w:val="bottom"/>
            <w:hideMark/>
          </w:tcPr>
          <w:p w14:paraId="4E1BBC0B" w14:textId="77777777" w:rsidR="002011B5" w:rsidRPr="00390AA7" w:rsidRDefault="002011B5" w:rsidP="00B16B0F">
            <w:pPr>
              <w:pStyle w:val="TableText"/>
              <w:rPr>
                <w:lang w:eastAsia="en-NZ"/>
              </w:rPr>
            </w:pPr>
            <w:r w:rsidRPr="00390AA7">
              <w:rPr>
                <w:lang w:eastAsia="en-NZ"/>
              </w:rPr>
              <w:t>23%</w:t>
            </w:r>
          </w:p>
        </w:tc>
      </w:tr>
      <w:tr w:rsidR="002011B5" w:rsidRPr="00390AA7" w14:paraId="7ED26EDA" w14:textId="77777777" w:rsidTr="00B16B0F">
        <w:trPr>
          <w:trHeight w:val="255"/>
        </w:trPr>
        <w:tc>
          <w:tcPr>
            <w:tcW w:w="6040" w:type="dxa"/>
            <w:shd w:val="clear" w:color="auto" w:fill="auto"/>
            <w:noWrap/>
            <w:vAlign w:val="bottom"/>
            <w:hideMark/>
          </w:tcPr>
          <w:p w14:paraId="268A71AD" w14:textId="77777777" w:rsidR="002011B5" w:rsidRPr="00390AA7" w:rsidRDefault="002011B5" w:rsidP="00B16B0F">
            <w:pPr>
              <w:pStyle w:val="TableText"/>
              <w:rPr>
                <w:lang w:eastAsia="en-NZ"/>
              </w:rPr>
            </w:pPr>
            <w:r w:rsidRPr="00390AA7">
              <w:rPr>
                <w:lang w:eastAsia="en-NZ"/>
              </w:rPr>
              <w:t>Reason for unmet need for mental health and addiction services</w:t>
            </w:r>
          </w:p>
        </w:tc>
        <w:tc>
          <w:tcPr>
            <w:tcW w:w="1615" w:type="dxa"/>
            <w:shd w:val="clear" w:color="auto" w:fill="auto"/>
            <w:noWrap/>
            <w:vAlign w:val="bottom"/>
            <w:hideMark/>
          </w:tcPr>
          <w:p w14:paraId="2837C6CD" w14:textId="77777777" w:rsidR="002011B5" w:rsidRPr="00390AA7" w:rsidRDefault="002011B5" w:rsidP="00B16B0F">
            <w:pPr>
              <w:pStyle w:val="TableText"/>
              <w:rPr>
                <w:lang w:eastAsia="en-NZ"/>
              </w:rPr>
            </w:pPr>
            <w:r w:rsidRPr="00390AA7">
              <w:rPr>
                <w:lang w:eastAsia="en-NZ"/>
              </w:rPr>
              <w:t>10%</w:t>
            </w:r>
          </w:p>
        </w:tc>
      </w:tr>
      <w:tr w:rsidR="002011B5" w:rsidRPr="00390AA7" w14:paraId="46061DCA" w14:textId="77777777" w:rsidTr="00B16B0F">
        <w:trPr>
          <w:trHeight w:val="255"/>
        </w:trPr>
        <w:tc>
          <w:tcPr>
            <w:tcW w:w="6040" w:type="dxa"/>
            <w:shd w:val="clear" w:color="auto" w:fill="auto"/>
            <w:noWrap/>
            <w:vAlign w:val="bottom"/>
            <w:hideMark/>
          </w:tcPr>
          <w:p w14:paraId="69F38CDD" w14:textId="77777777" w:rsidR="002011B5" w:rsidRPr="00390AA7" w:rsidRDefault="002011B5" w:rsidP="00B16B0F">
            <w:pPr>
              <w:pStyle w:val="TableText"/>
              <w:rPr>
                <w:lang w:eastAsia="en-NZ"/>
              </w:rPr>
            </w:pPr>
            <w:r w:rsidRPr="00390AA7">
              <w:rPr>
                <w:lang w:eastAsia="en-NZ"/>
              </w:rPr>
              <w:t>House ownership</w:t>
            </w:r>
          </w:p>
        </w:tc>
        <w:tc>
          <w:tcPr>
            <w:tcW w:w="1615" w:type="dxa"/>
            <w:shd w:val="clear" w:color="auto" w:fill="auto"/>
            <w:noWrap/>
            <w:vAlign w:val="bottom"/>
            <w:hideMark/>
          </w:tcPr>
          <w:p w14:paraId="3F6FFB3D" w14:textId="77777777" w:rsidR="002011B5" w:rsidRPr="00390AA7" w:rsidRDefault="002011B5" w:rsidP="00B16B0F">
            <w:pPr>
              <w:pStyle w:val="TableText"/>
              <w:rPr>
                <w:lang w:eastAsia="en-NZ"/>
              </w:rPr>
            </w:pPr>
            <w:r w:rsidRPr="00390AA7">
              <w:rPr>
                <w:lang w:eastAsia="en-NZ"/>
              </w:rPr>
              <w:t>6%</w:t>
            </w:r>
          </w:p>
        </w:tc>
      </w:tr>
      <w:tr w:rsidR="002011B5" w:rsidRPr="00390AA7" w14:paraId="00F08398" w14:textId="77777777" w:rsidTr="00B16B0F">
        <w:trPr>
          <w:trHeight w:val="255"/>
        </w:trPr>
        <w:tc>
          <w:tcPr>
            <w:tcW w:w="6040" w:type="dxa"/>
            <w:shd w:val="clear" w:color="auto" w:fill="auto"/>
            <w:noWrap/>
            <w:vAlign w:val="bottom"/>
            <w:hideMark/>
          </w:tcPr>
          <w:p w14:paraId="73B1A4EC" w14:textId="77777777" w:rsidR="002011B5" w:rsidRPr="00390AA7" w:rsidRDefault="002011B5" w:rsidP="00B16B0F">
            <w:pPr>
              <w:pStyle w:val="TableText"/>
              <w:rPr>
                <w:lang w:eastAsia="en-NZ"/>
              </w:rPr>
            </w:pPr>
            <w:r w:rsidRPr="00390AA7">
              <w:rPr>
                <w:lang w:eastAsia="en-NZ"/>
              </w:rPr>
              <w:t>Age when child given drink/food other than breast milk</w:t>
            </w:r>
          </w:p>
        </w:tc>
        <w:tc>
          <w:tcPr>
            <w:tcW w:w="1615" w:type="dxa"/>
            <w:shd w:val="clear" w:color="auto" w:fill="auto"/>
            <w:noWrap/>
            <w:vAlign w:val="bottom"/>
            <w:hideMark/>
          </w:tcPr>
          <w:p w14:paraId="0110EA13" w14:textId="77777777" w:rsidR="002011B5" w:rsidRPr="00390AA7" w:rsidRDefault="002011B5" w:rsidP="00B16B0F">
            <w:pPr>
              <w:pStyle w:val="TableText"/>
              <w:rPr>
                <w:lang w:eastAsia="en-NZ"/>
              </w:rPr>
            </w:pPr>
            <w:r w:rsidRPr="00390AA7">
              <w:rPr>
                <w:lang w:eastAsia="en-NZ"/>
              </w:rPr>
              <w:t>5%</w:t>
            </w:r>
          </w:p>
        </w:tc>
      </w:tr>
      <w:tr w:rsidR="002011B5" w:rsidRPr="00390AA7" w14:paraId="56DAD371" w14:textId="77777777" w:rsidTr="00B16B0F">
        <w:trPr>
          <w:trHeight w:val="255"/>
        </w:trPr>
        <w:tc>
          <w:tcPr>
            <w:tcW w:w="6040" w:type="dxa"/>
            <w:shd w:val="clear" w:color="auto" w:fill="auto"/>
            <w:noWrap/>
            <w:vAlign w:val="bottom"/>
            <w:hideMark/>
          </w:tcPr>
          <w:p w14:paraId="25F50389" w14:textId="77777777" w:rsidR="002011B5" w:rsidRPr="00390AA7" w:rsidRDefault="002011B5" w:rsidP="00B16B0F">
            <w:pPr>
              <w:pStyle w:val="TableText"/>
              <w:rPr>
                <w:lang w:eastAsia="en-NZ"/>
              </w:rPr>
            </w:pPr>
            <w:r w:rsidRPr="00390AA7">
              <w:rPr>
                <w:lang w:eastAsia="en-NZ"/>
              </w:rPr>
              <w:t>Treatment for autism spectrum disorder</w:t>
            </w:r>
          </w:p>
        </w:tc>
        <w:tc>
          <w:tcPr>
            <w:tcW w:w="1615" w:type="dxa"/>
            <w:shd w:val="clear" w:color="auto" w:fill="auto"/>
            <w:noWrap/>
            <w:vAlign w:val="bottom"/>
            <w:hideMark/>
          </w:tcPr>
          <w:p w14:paraId="43956F47" w14:textId="77777777" w:rsidR="002011B5" w:rsidRPr="00390AA7" w:rsidRDefault="002011B5" w:rsidP="00B16B0F">
            <w:pPr>
              <w:pStyle w:val="TableText"/>
              <w:rPr>
                <w:lang w:eastAsia="en-NZ"/>
              </w:rPr>
            </w:pPr>
            <w:r w:rsidRPr="00390AA7">
              <w:rPr>
                <w:lang w:eastAsia="en-NZ"/>
              </w:rPr>
              <w:t>5%</w:t>
            </w:r>
          </w:p>
        </w:tc>
      </w:tr>
      <w:tr w:rsidR="002011B5" w:rsidRPr="00390AA7" w14:paraId="7BC8D34F" w14:textId="77777777" w:rsidTr="00B16B0F">
        <w:trPr>
          <w:trHeight w:val="255"/>
        </w:trPr>
        <w:tc>
          <w:tcPr>
            <w:tcW w:w="6040" w:type="dxa"/>
            <w:shd w:val="clear" w:color="auto" w:fill="auto"/>
            <w:noWrap/>
            <w:vAlign w:val="bottom"/>
            <w:hideMark/>
          </w:tcPr>
          <w:p w14:paraId="23EE73B7" w14:textId="77777777" w:rsidR="002011B5" w:rsidRPr="00390AA7" w:rsidRDefault="002011B5" w:rsidP="00B16B0F">
            <w:pPr>
              <w:pStyle w:val="TableText"/>
              <w:rPr>
                <w:lang w:eastAsia="en-NZ"/>
              </w:rPr>
            </w:pPr>
            <w:r w:rsidRPr="00390AA7">
              <w:rPr>
                <w:lang w:eastAsia="en-NZ"/>
              </w:rPr>
              <w:t>Age when child stopped being breastfed</w:t>
            </w:r>
          </w:p>
        </w:tc>
        <w:tc>
          <w:tcPr>
            <w:tcW w:w="1615" w:type="dxa"/>
            <w:shd w:val="clear" w:color="auto" w:fill="auto"/>
            <w:noWrap/>
            <w:vAlign w:val="bottom"/>
            <w:hideMark/>
          </w:tcPr>
          <w:p w14:paraId="0DD9E8E8" w14:textId="77777777" w:rsidR="002011B5" w:rsidRPr="00390AA7" w:rsidRDefault="002011B5" w:rsidP="00B16B0F">
            <w:pPr>
              <w:pStyle w:val="TableText"/>
              <w:rPr>
                <w:lang w:eastAsia="en-NZ"/>
              </w:rPr>
            </w:pPr>
            <w:r w:rsidRPr="00390AA7">
              <w:rPr>
                <w:lang w:eastAsia="en-NZ"/>
              </w:rPr>
              <w:t>4%</w:t>
            </w:r>
          </w:p>
        </w:tc>
      </w:tr>
      <w:tr w:rsidR="002011B5" w:rsidRPr="00390AA7" w14:paraId="189F2F2F" w14:textId="77777777" w:rsidTr="00B16B0F">
        <w:trPr>
          <w:trHeight w:val="255"/>
        </w:trPr>
        <w:tc>
          <w:tcPr>
            <w:tcW w:w="6040" w:type="dxa"/>
            <w:shd w:val="clear" w:color="auto" w:fill="auto"/>
            <w:noWrap/>
            <w:vAlign w:val="bottom"/>
            <w:hideMark/>
          </w:tcPr>
          <w:p w14:paraId="625F8565" w14:textId="77777777" w:rsidR="002011B5" w:rsidRPr="00390AA7" w:rsidRDefault="002011B5" w:rsidP="00B16B0F">
            <w:pPr>
              <w:pStyle w:val="TableText"/>
              <w:rPr>
                <w:lang w:eastAsia="en-NZ"/>
              </w:rPr>
            </w:pPr>
            <w:r w:rsidRPr="00390AA7">
              <w:rPr>
                <w:lang w:eastAsia="en-NZ"/>
              </w:rPr>
              <w:t>Highest qualification of primary caregiver</w:t>
            </w:r>
          </w:p>
        </w:tc>
        <w:tc>
          <w:tcPr>
            <w:tcW w:w="1615" w:type="dxa"/>
            <w:shd w:val="clear" w:color="auto" w:fill="auto"/>
            <w:noWrap/>
            <w:vAlign w:val="bottom"/>
            <w:hideMark/>
          </w:tcPr>
          <w:p w14:paraId="058D4BBC" w14:textId="77777777" w:rsidR="002011B5" w:rsidRPr="00390AA7" w:rsidRDefault="002011B5" w:rsidP="00B16B0F">
            <w:pPr>
              <w:pStyle w:val="TableText"/>
              <w:rPr>
                <w:lang w:eastAsia="en-NZ"/>
              </w:rPr>
            </w:pPr>
            <w:r w:rsidRPr="00390AA7">
              <w:rPr>
                <w:lang w:eastAsia="en-NZ"/>
              </w:rPr>
              <w:t>4%</w:t>
            </w:r>
          </w:p>
        </w:tc>
      </w:tr>
      <w:tr w:rsidR="002011B5" w:rsidRPr="00390AA7" w14:paraId="18CE21E0" w14:textId="77777777" w:rsidTr="00B16B0F">
        <w:trPr>
          <w:trHeight w:val="255"/>
        </w:trPr>
        <w:tc>
          <w:tcPr>
            <w:tcW w:w="6040" w:type="dxa"/>
            <w:shd w:val="clear" w:color="auto" w:fill="auto"/>
            <w:noWrap/>
            <w:vAlign w:val="bottom"/>
            <w:hideMark/>
          </w:tcPr>
          <w:p w14:paraId="2DE1E748" w14:textId="77777777" w:rsidR="002011B5" w:rsidRPr="00390AA7" w:rsidRDefault="002011B5" w:rsidP="00B16B0F">
            <w:pPr>
              <w:pStyle w:val="TableText"/>
              <w:rPr>
                <w:lang w:eastAsia="en-NZ"/>
              </w:rPr>
            </w:pPr>
            <w:r w:rsidRPr="00390AA7">
              <w:rPr>
                <w:lang w:eastAsia="en-NZ"/>
              </w:rPr>
              <w:t>Use of online resources to get information on mental health support</w:t>
            </w:r>
          </w:p>
        </w:tc>
        <w:tc>
          <w:tcPr>
            <w:tcW w:w="1615" w:type="dxa"/>
            <w:shd w:val="clear" w:color="auto" w:fill="auto"/>
            <w:noWrap/>
            <w:vAlign w:val="bottom"/>
            <w:hideMark/>
          </w:tcPr>
          <w:p w14:paraId="4E727A64" w14:textId="77777777" w:rsidR="002011B5" w:rsidRPr="00390AA7" w:rsidRDefault="002011B5" w:rsidP="00B16B0F">
            <w:pPr>
              <w:pStyle w:val="TableText"/>
              <w:rPr>
                <w:lang w:eastAsia="en-NZ"/>
              </w:rPr>
            </w:pPr>
            <w:r w:rsidRPr="00390AA7">
              <w:rPr>
                <w:lang w:eastAsia="en-NZ"/>
              </w:rPr>
              <w:t>3%</w:t>
            </w:r>
          </w:p>
        </w:tc>
      </w:tr>
    </w:tbl>
    <w:p w14:paraId="062374BC" w14:textId="77777777" w:rsidR="00197ED1" w:rsidRPr="00390AA7" w:rsidRDefault="00197ED1" w:rsidP="005B0404">
      <w:pPr>
        <w:ind w:right="-143"/>
        <w:rPr>
          <w:rFonts w:ascii="Albany AMT" w:hAnsi="Albany AMT" w:cs="Albany AMT"/>
          <w:color w:val="000000"/>
          <w:sz w:val="19"/>
          <w:szCs w:val="19"/>
          <w:lang w:eastAsia="en-NZ"/>
        </w:rPr>
      </w:pPr>
    </w:p>
    <w:p w14:paraId="2101854B" w14:textId="7F01E10C" w:rsidR="004366B7" w:rsidRPr="00390AA7" w:rsidRDefault="004366B7" w:rsidP="005B0404">
      <w:pPr>
        <w:ind w:right="-143"/>
      </w:pPr>
      <w:r w:rsidRPr="00390AA7">
        <w:t>Where a respondent does not provide their date of birth or their age in years, age is imputed as the midpoint of the age group they have provided. No other imputation is used to deal with item non-responses.</w:t>
      </w:r>
    </w:p>
    <w:p w14:paraId="1D6FB7FB" w14:textId="2404BA88" w:rsidR="004366B7" w:rsidRPr="00390AA7" w:rsidRDefault="004366B7" w:rsidP="005B0404">
      <w:pPr>
        <w:pStyle w:val="Heading2"/>
        <w:spacing w:before="440"/>
        <w:ind w:right="-143"/>
      </w:pPr>
      <w:bookmarkStart w:id="228" w:name="_Toc467491537"/>
      <w:bookmarkStart w:id="229" w:name="_Toc531762355"/>
      <w:bookmarkStart w:id="230" w:name="_Toc531783712"/>
      <w:bookmarkStart w:id="231" w:name="_Toc22887945"/>
      <w:bookmarkStart w:id="232" w:name="_Toc55206852"/>
      <w:bookmarkStart w:id="233" w:name="_Toc88752043"/>
      <w:bookmarkStart w:id="234" w:name="_Toc153259091"/>
      <w:r w:rsidRPr="00390AA7">
        <w:t>Creating derived variables</w:t>
      </w:r>
      <w:bookmarkEnd w:id="228"/>
      <w:bookmarkEnd w:id="229"/>
      <w:bookmarkEnd w:id="230"/>
      <w:bookmarkEnd w:id="231"/>
      <w:bookmarkEnd w:id="232"/>
      <w:bookmarkEnd w:id="233"/>
      <w:bookmarkEnd w:id="234"/>
    </w:p>
    <w:p w14:paraId="61F1C9EF" w14:textId="2BBF4D44" w:rsidR="004366B7" w:rsidRPr="00390AA7" w:rsidRDefault="004366B7" w:rsidP="005B0404">
      <w:pPr>
        <w:ind w:right="-143"/>
      </w:pPr>
      <w:r w:rsidRPr="00390AA7">
        <w:t xml:space="preserve">A number of derived variables are created on the NZHS data set. Many of these, such as Alcohol Use Disorders Identification Test (AUDIT), </w:t>
      </w:r>
      <w:r w:rsidR="003A7F2A">
        <w:t xml:space="preserve">and </w:t>
      </w:r>
      <w:r w:rsidRPr="00390AA7">
        <w:t xml:space="preserve">level of psychological distress (K10), are based on commonly used or standard definitions to enable comparison with other data sources and countries. </w:t>
      </w:r>
    </w:p>
    <w:p w14:paraId="13DCC70B" w14:textId="27A99BC1" w:rsidR="004366B7" w:rsidRPr="00390AA7" w:rsidRDefault="004366B7" w:rsidP="005B0404">
      <w:pPr>
        <w:spacing w:before="200"/>
        <w:ind w:right="-143"/>
        <w:rPr>
          <w:rFonts w:eastAsia="Calibri"/>
          <w:lang w:eastAsia="en-US"/>
        </w:rPr>
      </w:pPr>
      <w:r w:rsidRPr="00390AA7">
        <w:t xml:space="preserve">See the </w:t>
      </w:r>
      <w:r w:rsidRPr="00390AA7">
        <w:rPr>
          <w:i/>
          <w:iCs/>
        </w:rPr>
        <w:t>Annual Data Explorer</w:t>
      </w:r>
      <w:r w:rsidR="00C8422D" w:rsidRPr="00390AA7">
        <w:rPr>
          <w:i/>
          <w:iCs/>
        </w:rPr>
        <w:t xml:space="preserve"> 2022/23</w:t>
      </w:r>
      <w:r w:rsidRPr="00390AA7">
        <w:t xml:space="preserve"> </w:t>
      </w:r>
      <w:r w:rsidRPr="00390AA7">
        <w:rPr>
          <w:rFonts w:eastAsia="Calibri"/>
          <w:lang w:eastAsia="en-US"/>
        </w:rPr>
        <w:t>for more detailed information on all the indicators used in the NZHS (</w:t>
      </w:r>
      <w:r w:rsidR="001C09BB" w:rsidRPr="0008576E">
        <w:rPr>
          <w:rStyle w:val="Hyperlink"/>
          <w:rFonts w:cs="Segoe UI"/>
          <w:b w:val="0"/>
          <w:color w:val="auto"/>
          <w:szCs w:val="21"/>
          <w:shd w:val="clear" w:color="auto" w:fill="FFFFFF"/>
        </w:rPr>
        <w:t>Ministry of Health 2023a</w:t>
      </w:r>
      <w:r w:rsidRPr="00390AA7">
        <w:rPr>
          <w:rFonts w:eastAsia="Calibri"/>
          <w:lang w:eastAsia="en-US"/>
        </w:rPr>
        <w:t>).</w:t>
      </w:r>
    </w:p>
    <w:p w14:paraId="68D9392E" w14:textId="77777777" w:rsidR="004366B7" w:rsidRPr="00390AA7" w:rsidRDefault="004366B7" w:rsidP="005B0404">
      <w:pPr>
        <w:pStyle w:val="Heading3"/>
        <w:ind w:right="-143"/>
        <w:rPr>
          <w:rFonts w:eastAsia="Cambria"/>
          <w:lang w:eastAsia="en-US"/>
        </w:rPr>
      </w:pPr>
      <w:r w:rsidRPr="00390AA7">
        <w:rPr>
          <w:rFonts w:eastAsia="Cambria"/>
          <w:lang w:eastAsia="en-US"/>
        </w:rPr>
        <w:t>Ethnicity</w:t>
      </w:r>
    </w:p>
    <w:p w14:paraId="7073999C" w14:textId="680659E2" w:rsidR="004366B7" w:rsidRPr="00390AA7" w:rsidRDefault="004366B7" w:rsidP="005B0404">
      <w:pPr>
        <w:ind w:right="-143"/>
      </w:pPr>
      <w:r w:rsidRPr="00390AA7">
        <w:t xml:space="preserve">Ethnic group variables are derived using the concept of </w:t>
      </w:r>
      <w:r w:rsidRPr="00390AA7">
        <w:rPr>
          <w:b/>
        </w:rPr>
        <w:t>total response ethnicity</w:t>
      </w:r>
      <w:r w:rsidRPr="00390AA7">
        <w:t xml:space="preserve"> (</w:t>
      </w:r>
      <w:r w:rsidR="007A3409" w:rsidRPr="00390AA7">
        <w:t>Stats NZ</w:t>
      </w:r>
      <w:r w:rsidRPr="00390AA7">
        <w:t xml:space="preserve"> 2005). This means that respondents can appear in, and contribute to, the published statistics for more than one ethnic group.</w:t>
      </w:r>
    </w:p>
    <w:p w14:paraId="1DD8F833" w14:textId="0DCD82EC" w:rsidR="004366B7" w:rsidRPr="00390AA7" w:rsidRDefault="004366B7" w:rsidP="005B0404">
      <w:pPr>
        <w:spacing w:before="200"/>
        <w:ind w:right="-143"/>
      </w:pPr>
      <w:r w:rsidRPr="00390AA7">
        <w:t>NZHS reports generally provide statistics for the following four groups: Māori, Pacific</w:t>
      </w:r>
      <w:r w:rsidRPr="00390AA7">
        <w:rPr>
          <w:rFonts w:eastAsia="Cambria"/>
          <w:lang w:eastAsia="en-US"/>
        </w:rPr>
        <w:t xml:space="preserve"> peoples</w:t>
      </w:r>
      <w:r w:rsidRPr="00390AA7">
        <w:t xml:space="preserve">, Asian and European/Other. The group </w:t>
      </w:r>
      <w:r w:rsidR="003A7F2A">
        <w:t>‘</w:t>
      </w:r>
      <w:r w:rsidRPr="00390AA7">
        <w:t>Other</w:t>
      </w:r>
      <w:r w:rsidR="003A7F2A">
        <w:t>’</w:t>
      </w:r>
      <w:r w:rsidRPr="00390AA7">
        <w:t xml:space="preserve"> (comprising mainly Middle-Eastern, Latin-American and African ethnicities) has been combined with European to avoid problems with small sample sizes.</w:t>
      </w:r>
    </w:p>
    <w:p w14:paraId="27B68030" w14:textId="77777777" w:rsidR="004366B7" w:rsidRPr="00390AA7" w:rsidRDefault="004366B7" w:rsidP="005B0404">
      <w:pPr>
        <w:spacing w:before="200"/>
        <w:ind w:right="-143"/>
      </w:pPr>
      <w:r w:rsidRPr="00390AA7">
        <w:t>Respondents who do not know or refuse to state their ethnicity are included as European/Other, as are those who identify themselves as ‘New Zealander’.</w:t>
      </w:r>
    </w:p>
    <w:p w14:paraId="1F608C1A" w14:textId="5D48AC39" w:rsidR="004366B7" w:rsidRPr="00390AA7" w:rsidRDefault="004366B7" w:rsidP="005B0404">
      <w:pPr>
        <w:spacing w:before="200"/>
        <w:ind w:right="-143"/>
      </w:pPr>
      <w:r w:rsidRPr="00390AA7">
        <w:t xml:space="preserve">The ethnicity data is collected using a standard </w:t>
      </w:r>
      <w:r w:rsidR="007A3409" w:rsidRPr="00390AA7">
        <w:t>Stats NZ</w:t>
      </w:r>
      <w:r w:rsidRPr="00390AA7">
        <w:t xml:space="preserve"> ethnicity question that provides eight checkboxes for the most common ethnic groups in New Zealand, and up to three text responses for other ethnic group options. The ethnicity coding was improved in 201</w:t>
      </w:r>
      <w:r w:rsidR="00841707">
        <w:t>4</w:t>
      </w:r>
      <w:r w:rsidRPr="00390AA7">
        <w:t>/1</w:t>
      </w:r>
      <w:r w:rsidR="00841707">
        <w:t>5</w:t>
      </w:r>
      <w:r w:rsidRPr="00390AA7">
        <w:t xml:space="preserve">. The Other ethnicity text response options have been coded to level 4 of the </w:t>
      </w:r>
      <w:r w:rsidRPr="00390AA7">
        <w:rPr>
          <w:i/>
          <w:iCs/>
        </w:rPr>
        <w:t>Ethnicity New Zealand Standard Classification 2005</w:t>
      </w:r>
      <w:r w:rsidRPr="00390AA7">
        <w:t xml:space="preserve"> (</w:t>
      </w:r>
      <w:r w:rsidR="007A3409" w:rsidRPr="00390AA7">
        <w:t>Stats NZ</w:t>
      </w:r>
      <w:r w:rsidRPr="00390AA7">
        <w:t xml:space="preserve"> 2005) since 201</w:t>
      </w:r>
      <w:r w:rsidR="00746D3B">
        <w:t>7</w:t>
      </w:r>
      <w:r w:rsidRPr="00390AA7">
        <w:t>/1</w:t>
      </w:r>
      <w:r w:rsidR="00746D3B">
        <w:t>8</w:t>
      </w:r>
      <w:r w:rsidRPr="00390AA7">
        <w:t>. This is likely to have had a small effect on the time series; for example, increasing the size of the Asian ethnic group. It is unlikely to have affected responses relating to Māori ethnicity, because Māori is listed as an ethnicity in the eight checkboxes for the most common ethnic groups</w:t>
      </w:r>
      <w:r w:rsidRPr="00390AA7">
        <w:rPr>
          <w:rFonts w:ascii="Arial Mäori" w:hAnsi="Arial Mäori" w:cs="Arial Mäori"/>
          <w:color w:val="000000"/>
          <w:szCs w:val="22"/>
          <w:lang w:eastAsia="en-NZ"/>
        </w:rPr>
        <w:t>.</w:t>
      </w:r>
    </w:p>
    <w:p w14:paraId="55EB930B" w14:textId="77777777" w:rsidR="004366B7" w:rsidRPr="00390AA7" w:rsidRDefault="004366B7" w:rsidP="005B0404">
      <w:pPr>
        <w:pStyle w:val="Heading3"/>
        <w:ind w:right="-143"/>
      </w:pPr>
      <w:r w:rsidRPr="00390AA7">
        <w:t>Neighbourhood deprivation</w:t>
      </w:r>
    </w:p>
    <w:p w14:paraId="4974DF6B" w14:textId="64EEE10F" w:rsidR="004366B7" w:rsidRPr="00390AA7" w:rsidRDefault="004366B7" w:rsidP="005B0404">
      <w:pPr>
        <w:ind w:right="-143"/>
      </w:pPr>
      <w:r w:rsidRPr="00390AA7">
        <w:t>Neighbourhood deprivation refers to the New Zealand Index of Deprivation 2018 (</w:t>
      </w:r>
      <w:bookmarkStart w:id="235" w:name="_Hlk52887053"/>
      <w:r w:rsidRPr="00390AA7">
        <w:t>NZDep2018</w:t>
      </w:r>
      <w:bookmarkEnd w:id="235"/>
      <w:r w:rsidRPr="00390AA7">
        <w:t xml:space="preserve">), developed by researchers at the University of Otago (Atkinson et al 2019). </w:t>
      </w:r>
      <w:r w:rsidRPr="00A626D4">
        <w:t>NZDep2018 measures the level of socioeconomic deprivation for each neighbourhood (</w:t>
      </w:r>
      <w:r w:rsidR="00FA7BD0" w:rsidRPr="00A626D4">
        <w:t>Statistical Area 1</w:t>
      </w:r>
      <w:r w:rsidR="00D331B2" w:rsidRPr="00A626D4">
        <w:t>, SA1</w:t>
      </w:r>
      <w:r w:rsidRPr="00A626D4">
        <w:t xml:space="preserve">) according to a combination of the following </w:t>
      </w:r>
      <w:r w:rsidR="00B23149" w:rsidRPr="00A626D4">
        <w:t>2018</w:t>
      </w:r>
      <w:r w:rsidRPr="00A626D4">
        <w:t xml:space="preserve"> Census variables: </w:t>
      </w:r>
      <w:bookmarkStart w:id="236" w:name="_Hlk149142563"/>
      <w:r w:rsidR="00AE5F43" w:rsidRPr="00A626D4">
        <w:t xml:space="preserve">household </w:t>
      </w:r>
      <w:r w:rsidRPr="00A626D4">
        <w:t xml:space="preserve">income, benefit receipt, household crowding, home ownership, employment status, qualifications, </w:t>
      </w:r>
      <w:r w:rsidR="00AE5F43" w:rsidRPr="00A626D4">
        <w:t>single</w:t>
      </w:r>
      <w:r w:rsidR="00D331B2" w:rsidRPr="00A626D4">
        <w:t>-</w:t>
      </w:r>
      <w:r w:rsidRPr="00A626D4">
        <w:t>parent families</w:t>
      </w:r>
      <w:r w:rsidR="00AE5F43" w:rsidRPr="00A626D4">
        <w:t>,</w:t>
      </w:r>
      <w:r w:rsidRPr="00A626D4">
        <w:t xml:space="preserve"> </w:t>
      </w:r>
      <w:r w:rsidR="00AE5F43" w:rsidRPr="00A626D4">
        <w:t xml:space="preserve">living in </w:t>
      </w:r>
      <w:r w:rsidR="00E4512E" w:rsidRPr="00A626D4">
        <w:t xml:space="preserve">a </w:t>
      </w:r>
      <w:r w:rsidR="00AE5F43" w:rsidRPr="00A626D4">
        <w:t xml:space="preserve">home with dampness/mould </w:t>
      </w:r>
      <w:r w:rsidRPr="00A626D4">
        <w:t>and access to the internet</w:t>
      </w:r>
      <w:bookmarkEnd w:id="236"/>
      <w:r w:rsidRPr="00A626D4">
        <w:t xml:space="preserve">. </w:t>
      </w:r>
      <w:r w:rsidR="00FE2CE6" w:rsidRPr="00A626D4">
        <w:t xml:space="preserve">An earlier </w:t>
      </w:r>
      <w:r w:rsidRPr="00A626D4">
        <w:t xml:space="preserve">version of NZDep (NZDep2013) was used between NZHS years 2014/15 and 2018/19, and NZDep2006 was used </w:t>
      </w:r>
      <w:r w:rsidR="00D331B2" w:rsidRPr="00A626D4">
        <w:t>before</w:t>
      </w:r>
      <w:r w:rsidRPr="00A626D4">
        <w:t xml:space="preserve"> NZHS 2014/15.</w:t>
      </w:r>
    </w:p>
    <w:p w14:paraId="23ABDE38" w14:textId="77777777" w:rsidR="004366B7" w:rsidRPr="00390AA7" w:rsidRDefault="004366B7" w:rsidP="005B0404">
      <w:pPr>
        <w:ind w:right="-143"/>
      </w:pPr>
    </w:p>
    <w:p w14:paraId="1378D5BA" w14:textId="77777777" w:rsidR="004366B7" w:rsidRPr="00390AA7" w:rsidRDefault="004366B7" w:rsidP="005B0404">
      <w:pPr>
        <w:ind w:right="-143"/>
      </w:pPr>
      <w:r w:rsidRPr="00390AA7">
        <w:t>NZHS reports generally use NZDep2018 quintiles, where quintile 1 represents the 20% of small areas with the lowest levels of deprivation (the least deprived areas) and quintile 5 represents the 20% of small areas with the highest level of deprivation (the most deprived areas).</w:t>
      </w:r>
    </w:p>
    <w:p w14:paraId="1DABE9B5" w14:textId="77777777" w:rsidR="004366B7" w:rsidRPr="00390AA7" w:rsidRDefault="004366B7" w:rsidP="005B0404">
      <w:pPr>
        <w:ind w:right="-143"/>
      </w:pPr>
    </w:p>
    <w:p w14:paraId="673193E0" w14:textId="6CFCAB1A" w:rsidR="004366B7" w:rsidRPr="00390AA7" w:rsidRDefault="004366B7" w:rsidP="005B0404">
      <w:pPr>
        <w:ind w:right="-143"/>
      </w:pPr>
      <w:r w:rsidRPr="00A626D4">
        <w:t xml:space="preserve">A small number of </w:t>
      </w:r>
      <w:r w:rsidR="00D0161D" w:rsidRPr="00A626D4">
        <w:t xml:space="preserve">areas </w:t>
      </w:r>
      <w:r w:rsidRPr="00A626D4">
        <w:t xml:space="preserve">do not have a value for NZDep2018. If any of these </w:t>
      </w:r>
      <w:r w:rsidR="00D0161D" w:rsidRPr="00A626D4">
        <w:t xml:space="preserve">areas </w:t>
      </w:r>
      <w:r w:rsidRPr="00A626D4">
        <w:t>are selected in the NZHS, the respondents are assigned to quintile 3 (the middle quintile) for weighting and analysis purposes.</w:t>
      </w:r>
    </w:p>
    <w:p w14:paraId="2FF323DB" w14:textId="67FFEF16" w:rsidR="004366B7" w:rsidRPr="00390AA7" w:rsidRDefault="004366B7" w:rsidP="005B0404">
      <w:pPr>
        <w:pStyle w:val="Heading3"/>
        <w:ind w:right="-143"/>
      </w:pPr>
      <w:r w:rsidRPr="00390AA7">
        <w:t>Disability status</w:t>
      </w:r>
    </w:p>
    <w:p w14:paraId="68EB488F" w14:textId="20244152" w:rsidR="00CF4425" w:rsidRPr="00390AA7" w:rsidRDefault="00CF4425" w:rsidP="005B0404">
      <w:pPr>
        <w:ind w:right="-143"/>
      </w:pPr>
      <w:r w:rsidRPr="00A626D4">
        <w:t>The 2022/23 NZHS results are presented by disability status for both adults</w:t>
      </w:r>
      <w:r w:rsidR="00D331B2" w:rsidRPr="00A626D4">
        <w:t xml:space="preserve"> and children</w:t>
      </w:r>
      <w:r w:rsidRPr="00A626D4">
        <w:t>. Different question sets are used for adults</w:t>
      </w:r>
      <w:r w:rsidR="00D331B2" w:rsidRPr="00A626D4">
        <w:t xml:space="preserve"> and children</w:t>
      </w:r>
      <w:r w:rsidR="00375DB9" w:rsidRPr="00A626D4">
        <w:t xml:space="preserve"> to identify disability status</w:t>
      </w:r>
      <w:r w:rsidRPr="00A626D4">
        <w:t>.</w:t>
      </w:r>
      <w:r w:rsidR="00375DB9" w:rsidRPr="00A626D4">
        <w:t xml:space="preserve"> </w:t>
      </w:r>
      <w:r w:rsidR="004366B7" w:rsidRPr="00A626D4">
        <w:t xml:space="preserve">The question set used to identify disabled </w:t>
      </w:r>
      <w:r w:rsidRPr="00A626D4">
        <w:t>adults</w:t>
      </w:r>
      <w:r w:rsidR="004366B7" w:rsidRPr="00A626D4">
        <w:t xml:space="preserve"> in the NZHS </w:t>
      </w:r>
      <w:r w:rsidRPr="00A626D4">
        <w:t xml:space="preserve">Annual Data Explorer </w:t>
      </w:r>
      <w:r w:rsidR="004366B7" w:rsidRPr="00A626D4">
        <w:t>is known as the Washington Group Short Set (WG</w:t>
      </w:r>
      <w:r w:rsidR="00864960" w:rsidRPr="00A626D4">
        <w:t>-</w:t>
      </w:r>
      <w:r w:rsidR="004366B7" w:rsidRPr="00A626D4">
        <w:t>SS)</w:t>
      </w:r>
      <w:r w:rsidRPr="00A626D4">
        <w:t xml:space="preserve">. This question set </w:t>
      </w:r>
      <w:r w:rsidR="004366B7" w:rsidRPr="00A626D4">
        <w:t xml:space="preserve">has been included in the NZHS since 2018/19. </w:t>
      </w:r>
    </w:p>
    <w:p w14:paraId="5D100B73" w14:textId="77777777" w:rsidR="00CF4425" w:rsidRPr="00390AA7" w:rsidRDefault="00CF4425" w:rsidP="005B0404">
      <w:pPr>
        <w:ind w:right="-143"/>
      </w:pPr>
    </w:p>
    <w:p w14:paraId="1DB347BA" w14:textId="79F1110F" w:rsidR="004366B7" w:rsidRPr="00390AA7" w:rsidRDefault="004366B7" w:rsidP="005B0404">
      <w:pPr>
        <w:ind w:right="-143"/>
      </w:pPr>
      <w:r w:rsidRPr="00390AA7">
        <w:t>Using the WG</w:t>
      </w:r>
      <w:r w:rsidR="003E5120" w:rsidRPr="00390AA7">
        <w:t>-</w:t>
      </w:r>
      <w:r w:rsidRPr="00390AA7">
        <w:t xml:space="preserve">SS, disabled </w:t>
      </w:r>
      <w:r w:rsidR="00AD063F" w:rsidRPr="00390AA7">
        <w:t>adults</w:t>
      </w:r>
      <w:r w:rsidRPr="00390AA7">
        <w:t xml:space="preserve"> are those who have at least a lot of difficulty seeing or hearing (even with glasses or hearing aids), walking or climbing stairs, remembering or concentrating, self-care, or communicating. The six domains included in the WG</w:t>
      </w:r>
      <w:r w:rsidR="003E5120" w:rsidRPr="00390AA7">
        <w:t>-</w:t>
      </w:r>
      <w:r w:rsidRPr="00390AA7">
        <w:t>SS were chosen because they were found to be the ones that identified a majority of people at risk of being restricted in their independent participation in society.</w:t>
      </w:r>
    </w:p>
    <w:p w14:paraId="01D362C5" w14:textId="77777777" w:rsidR="004366B7" w:rsidRPr="00390AA7" w:rsidRDefault="004366B7" w:rsidP="005B0404">
      <w:pPr>
        <w:ind w:right="-143"/>
      </w:pPr>
    </w:p>
    <w:p w14:paraId="2580DBE3" w14:textId="591B2056" w:rsidR="004366B7" w:rsidRPr="00390AA7" w:rsidRDefault="004366B7" w:rsidP="005B0404">
      <w:pPr>
        <w:ind w:right="-143"/>
      </w:pPr>
      <w:r w:rsidRPr="00390AA7">
        <w:t>The WG</w:t>
      </w:r>
      <w:r w:rsidR="003E5120" w:rsidRPr="00390AA7">
        <w:t>-</w:t>
      </w:r>
      <w:r w:rsidRPr="00390AA7">
        <w:t>SS should not be used to produce estimates of disability prevalence or to investigate levels of need for services or environmental change. To meet these and other data needs, a disability-specific survey, with a more extensive question set, would be required. The population identified as disabled using the WG</w:t>
      </w:r>
      <w:r w:rsidR="003E5120" w:rsidRPr="00390AA7">
        <w:t>-</w:t>
      </w:r>
      <w:r w:rsidRPr="00390AA7">
        <w:t>SS is considerably smaller than the population identified by disability-specific surveys. One of the limitations is that no WG</w:t>
      </w:r>
      <w:r w:rsidR="003E5120" w:rsidRPr="00390AA7">
        <w:t>-</w:t>
      </w:r>
      <w:r w:rsidRPr="00390AA7">
        <w:t>SS question fully captures mental health impairments.</w:t>
      </w:r>
    </w:p>
    <w:p w14:paraId="0C32D198" w14:textId="77777777" w:rsidR="00E510DA" w:rsidRPr="00390AA7" w:rsidRDefault="00E510DA" w:rsidP="005B0404">
      <w:pPr>
        <w:ind w:right="-143"/>
      </w:pPr>
    </w:p>
    <w:p w14:paraId="5B804F69" w14:textId="0F97B944" w:rsidR="004366B7" w:rsidRPr="00390AA7" w:rsidRDefault="00CF4425" w:rsidP="005B0404">
      <w:pPr>
        <w:ind w:right="-143"/>
      </w:pPr>
      <w:r w:rsidRPr="00A626D4">
        <w:t xml:space="preserve">The question set used to identify disabled </w:t>
      </w:r>
      <w:r w:rsidR="33634AFE" w:rsidRPr="00A626D4">
        <w:t>children (aged 5</w:t>
      </w:r>
      <w:r w:rsidR="007B0FCB" w:rsidRPr="00A626D4">
        <w:t>–</w:t>
      </w:r>
      <w:r w:rsidR="33634AFE" w:rsidRPr="00A626D4">
        <w:t>14 years)</w:t>
      </w:r>
      <w:r w:rsidRPr="00A626D4">
        <w:t xml:space="preserve"> in the NZHS is known as the </w:t>
      </w:r>
      <w:r w:rsidR="00E460A0" w:rsidRPr="00A626D4">
        <w:t>Washington Group</w:t>
      </w:r>
      <w:r w:rsidR="00D54107" w:rsidRPr="00A626D4">
        <w:t xml:space="preserve"> </w:t>
      </w:r>
      <w:r w:rsidR="00E460A0" w:rsidRPr="00A626D4">
        <w:t>/</w:t>
      </w:r>
      <w:r w:rsidR="00D54107" w:rsidRPr="00A626D4">
        <w:t xml:space="preserve"> </w:t>
      </w:r>
      <w:r w:rsidR="00EA2A73" w:rsidRPr="00A626D4">
        <w:t>UNICEF</w:t>
      </w:r>
      <w:r w:rsidR="00EA2A73" w:rsidRPr="00A626D4" w:rsidDel="00E460A0">
        <w:t xml:space="preserve"> </w:t>
      </w:r>
      <w:r w:rsidRPr="00A626D4">
        <w:t xml:space="preserve">Child Functioning Module (CFM). This question set </w:t>
      </w:r>
      <w:r w:rsidR="00DF2904" w:rsidRPr="00A626D4">
        <w:t>was</w:t>
      </w:r>
      <w:r w:rsidRPr="00A626D4">
        <w:t xml:space="preserve"> included in the NZHS for the first time in 2022/23.</w:t>
      </w:r>
    </w:p>
    <w:p w14:paraId="796A86CA" w14:textId="77777777" w:rsidR="00EC3C88" w:rsidRPr="00390AA7" w:rsidRDefault="00EC3C88" w:rsidP="005B0404">
      <w:pPr>
        <w:ind w:right="-143"/>
      </w:pPr>
    </w:p>
    <w:p w14:paraId="45B51298" w14:textId="5FCFB7AF" w:rsidR="002951A6" w:rsidRPr="00390AA7" w:rsidRDefault="0052283C" w:rsidP="002951A6">
      <w:pPr>
        <w:rPr>
          <w:color w:val="000000" w:themeColor="text1"/>
        </w:rPr>
      </w:pPr>
      <w:r w:rsidRPr="00390AA7">
        <w:rPr>
          <w:color w:val="000000" w:themeColor="text1"/>
        </w:rPr>
        <w:t xml:space="preserve">Using the </w:t>
      </w:r>
      <w:r w:rsidR="00B77EA1" w:rsidRPr="00390AA7">
        <w:rPr>
          <w:color w:val="000000" w:themeColor="text1"/>
        </w:rPr>
        <w:t>CFM, d</w:t>
      </w:r>
      <w:r w:rsidR="002951A6" w:rsidRPr="00390AA7">
        <w:rPr>
          <w:color w:val="000000" w:themeColor="text1"/>
        </w:rPr>
        <w:t>isabled children (aged 5 to 14 years) are those who have at least a lot of difficulty with seeing or hearing (even with glasses or hearing aids), walking, self-care, communicating, learning, remembering, concentrating, accepting change, controlling their own behaviour or making friends, or if they have anxiety, or depression</w:t>
      </w:r>
      <w:r w:rsidR="00B77EA1" w:rsidRPr="00390AA7">
        <w:rPr>
          <w:color w:val="000000" w:themeColor="text1"/>
        </w:rPr>
        <w:t>.</w:t>
      </w:r>
    </w:p>
    <w:p w14:paraId="344BA980" w14:textId="77777777" w:rsidR="00EC3C88" w:rsidRPr="00390AA7" w:rsidRDefault="00EC3C88" w:rsidP="005B0404">
      <w:pPr>
        <w:ind w:right="-143"/>
      </w:pPr>
    </w:p>
    <w:p w14:paraId="339A7289" w14:textId="7F491FB0" w:rsidR="008778BC" w:rsidRPr="00A626D4" w:rsidRDefault="004366B7" w:rsidP="008778BC">
      <w:pPr>
        <w:ind w:right="-143"/>
      </w:pPr>
      <w:r w:rsidRPr="00A626D4">
        <w:t>For more information</w:t>
      </w:r>
      <w:r w:rsidR="00CF4425" w:rsidRPr="00A626D4">
        <w:t xml:space="preserve"> on the WG</w:t>
      </w:r>
      <w:r w:rsidR="003E5120" w:rsidRPr="00A626D4">
        <w:t>-</w:t>
      </w:r>
      <w:r w:rsidR="00CF4425" w:rsidRPr="00A626D4">
        <w:t>SS, WG</w:t>
      </w:r>
      <w:r w:rsidR="003E5120" w:rsidRPr="00A626D4">
        <w:t>-</w:t>
      </w:r>
      <w:r w:rsidR="00CF4425" w:rsidRPr="00A626D4">
        <w:t>SS Enhanced and CFM</w:t>
      </w:r>
      <w:r w:rsidRPr="00A626D4">
        <w:t>, please see</w:t>
      </w:r>
      <w:r w:rsidR="00F10FD1" w:rsidRPr="00A626D4">
        <w:t xml:space="preserve"> </w:t>
      </w:r>
      <w:r w:rsidR="00F839EE" w:rsidRPr="00A626D4">
        <w:t xml:space="preserve">the Washington Group on Disability Statistics website at: </w:t>
      </w:r>
      <w:hyperlink r:id="rId29" w:history="1">
        <w:r w:rsidR="00F839EE" w:rsidRPr="00A626D4">
          <w:rPr>
            <w:rStyle w:val="Hyperlink"/>
            <w:bCs/>
          </w:rPr>
          <w:t>www.washingtongroup-disability.com</w:t>
        </w:r>
      </w:hyperlink>
    </w:p>
    <w:p w14:paraId="653EE4F5" w14:textId="77777777" w:rsidR="008778BC" w:rsidRPr="00A626D4" w:rsidRDefault="008778BC" w:rsidP="008778BC">
      <w:pPr>
        <w:ind w:right="-143"/>
      </w:pPr>
    </w:p>
    <w:p w14:paraId="1DC097D1" w14:textId="77777777" w:rsidR="00FC2C7B" w:rsidRDefault="0061759B" w:rsidP="008778BC">
      <w:pPr>
        <w:ind w:right="-143"/>
        <w:rPr>
          <w:bCs/>
        </w:rPr>
      </w:pPr>
      <w:r w:rsidRPr="00A626D4">
        <w:rPr>
          <w:bCs/>
        </w:rPr>
        <w:t xml:space="preserve">A small number of </w:t>
      </w:r>
      <w:r w:rsidR="002806E7" w:rsidRPr="00A626D4">
        <w:rPr>
          <w:bCs/>
        </w:rPr>
        <w:t>people</w:t>
      </w:r>
      <w:r w:rsidRPr="00A626D4">
        <w:rPr>
          <w:bCs/>
        </w:rPr>
        <w:t xml:space="preserve"> have</w:t>
      </w:r>
      <w:r w:rsidR="002806E7" w:rsidRPr="00A626D4">
        <w:rPr>
          <w:bCs/>
        </w:rPr>
        <w:t xml:space="preserve"> not been assigned a disability status due to </w:t>
      </w:r>
      <w:r w:rsidR="008A13FE" w:rsidRPr="00A626D4">
        <w:rPr>
          <w:bCs/>
        </w:rPr>
        <w:t xml:space="preserve">responses of </w:t>
      </w:r>
      <w:r w:rsidR="00FD29D5" w:rsidRPr="00A626D4">
        <w:rPr>
          <w:bCs/>
        </w:rPr>
        <w:t>‘</w:t>
      </w:r>
      <w:r w:rsidR="00CA575D" w:rsidRPr="00A626D4">
        <w:rPr>
          <w:bCs/>
        </w:rPr>
        <w:t>don’t know</w:t>
      </w:r>
      <w:r w:rsidR="00FD29D5" w:rsidRPr="00A626D4">
        <w:rPr>
          <w:bCs/>
        </w:rPr>
        <w:t>’</w:t>
      </w:r>
      <w:r w:rsidR="00CA575D" w:rsidRPr="00A626D4">
        <w:rPr>
          <w:bCs/>
        </w:rPr>
        <w:t xml:space="preserve"> or </w:t>
      </w:r>
      <w:r w:rsidR="00FD29D5" w:rsidRPr="00A626D4">
        <w:rPr>
          <w:bCs/>
        </w:rPr>
        <w:t>‘</w:t>
      </w:r>
      <w:r w:rsidR="00CA575D" w:rsidRPr="00A626D4">
        <w:rPr>
          <w:bCs/>
        </w:rPr>
        <w:t>refused</w:t>
      </w:r>
      <w:r w:rsidR="00FD29D5" w:rsidRPr="00A626D4">
        <w:rPr>
          <w:bCs/>
        </w:rPr>
        <w:t>’</w:t>
      </w:r>
      <w:r w:rsidR="00CA575D" w:rsidRPr="00A626D4">
        <w:rPr>
          <w:bCs/>
        </w:rPr>
        <w:t xml:space="preserve"> to the disability questions</w:t>
      </w:r>
      <w:r w:rsidR="00883273" w:rsidRPr="00A626D4">
        <w:rPr>
          <w:bCs/>
        </w:rPr>
        <w:t xml:space="preserve">. </w:t>
      </w:r>
      <w:r w:rsidR="00060442" w:rsidRPr="00A626D4">
        <w:rPr>
          <w:bCs/>
        </w:rPr>
        <w:t xml:space="preserve">As a result, </w:t>
      </w:r>
      <w:r w:rsidR="00DD1973" w:rsidRPr="00A626D4">
        <w:rPr>
          <w:bCs/>
        </w:rPr>
        <w:t xml:space="preserve">the </w:t>
      </w:r>
      <w:r w:rsidR="00E809D2" w:rsidRPr="00A626D4">
        <w:rPr>
          <w:bCs/>
        </w:rPr>
        <w:t>estimated</w:t>
      </w:r>
      <w:r w:rsidR="00EA2B7B" w:rsidRPr="00A626D4">
        <w:rPr>
          <w:bCs/>
        </w:rPr>
        <w:t xml:space="preserve"> number of</w:t>
      </w:r>
      <w:r w:rsidR="00E809D2" w:rsidRPr="00A626D4">
        <w:rPr>
          <w:bCs/>
        </w:rPr>
        <w:t xml:space="preserve"> disabled and non-disabled </w:t>
      </w:r>
      <w:r w:rsidR="00EA2B7B" w:rsidRPr="00A626D4">
        <w:rPr>
          <w:bCs/>
        </w:rPr>
        <w:t>people shown in the Annual Data Explorer may not add to the total population</w:t>
      </w:r>
      <w:r w:rsidR="006972A4" w:rsidRPr="00A626D4">
        <w:rPr>
          <w:bCs/>
        </w:rPr>
        <w:t xml:space="preserve"> count</w:t>
      </w:r>
      <w:r w:rsidR="007A6BD6" w:rsidRPr="00A626D4">
        <w:rPr>
          <w:bCs/>
        </w:rPr>
        <w:t>.</w:t>
      </w:r>
      <w:bookmarkStart w:id="237" w:name="_Toc339270018"/>
      <w:bookmarkStart w:id="238" w:name="_Toc340501940"/>
      <w:bookmarkStart w:id="239" w:name="_Toc372445560"/>
      <w:bookmarkStart w:id="240" w:name="_Toc467491538"/>
      <w:bookmarkStart w:id="241" w:name="_Toc531762356"/>
      <w:bookmarkStart w:id="242" w:name="_Toc531783713"/>
      <w:bookmarkStart w:id="243" w:name="_Toc22887946"/>
      <w:bookmarkStart w:id="244" w:name="_Toc55206853"/>
      <w:bookmarkStart w:id="245" w:name="_Toc88752044"/>
    </w:p>
    <w:p w14:paraId="2FB0DED8" w14:textId="77777777" w:rsidR="008D7978" w:rsidRDefault="008D7978" w:rsidP="008778BC">
      <w:pPr>
        <w:ind w:right="-143"/>
        <w:rPr>
          <w:bCs/>
        </w:rPr>
      </w:pPr>
    </w:p>
    <w:p w14:paraId="393D9B1D" w14:textId="77777777" w:rsidR="008D7978" w:rsidRDefault="008D7978" w:rsidP="008778BC">
      <w:pPr>
        <w:ind w:right="-143"/>
        <w:rPr>
          <w:bCs/>
        </w:rPr>
      </w:pPr>
    </w:p>
    <w:p w14:paraId="1109C0BD" w14:textId="77777777" w:rsidR="008D7978" w:rsidRDefault="008D7978" w:rsidP="008778BC">
      <w:pPr>
        <w:ind w:right="-143"/>
        <w:rPr>
          <w:bCs/>
        </w:rPr>
      </w:pPr>
    </w:p>
    <w:p w14:paraId="142A5BC3" w14:textId="0B748B1E" w:rsidR="008D7978" w:rsidRPr="00390AA7" w:rsidDel="00CF4425" w:rsidRDefault="008D7978" w:rsidP="008778BC">
      <w:pPr>
        <w:ind w:right="-143"/>
        <w:rPr>
          <w:bCs/>
        </w:rPr>
        <w:sectPr w:rsidR="008D7978" w:rsidRPr="00390AA7" w:rsidDel="00CF4425" w:rsidSect="004366B7">
          <w:pgSz w:w="11907" w:h="16840" w:code="9"/>
          <w:pgMar w:top="1418" w:right="1701" w:bottom="1134" w:left="1843" w:header="284" w:footer="425" w:gutter="284"/>
          <w:cols w:space="720"/>
        </w:sectPr>
      </w:pPr>
    </w:p>
    <w:p w14:paraId="40BC6F66" w14:textId="13072530" w:rsidR="004366B7" w:rsidRPr="00390AA7" w:rsidRDefault="004366B7" w:rsidP="00B2502A">
      <w:pPr>
        <w:pStyle w:val="Heading1"/>
        <w:spacing w:before="0"/>
      </w:pPr>
      <w:bookmarkStart w:id="246" w:name="_Toc153259092"/>
      <w:r w:rsidRPr="00390AA7">
        <w:t>Weighting</w:t>
      </w:r>
      <w:bookmarkEnd w:id="237"/>
      <w:bookmarkEnd w:id="238"/>
      <w:bookmarkEnd w:id="239"/>
      <w:bookmarkEnd w:id="240"/>
      <w:bookmarkEnd w:id="241"/>
      <w:bookmarkEnd w:id="242"/>
      <w:bookmarkEnd w:id="243"/>
      <w:bookmarkEnd w:id="244"/>
      <w:bookmarkEnd w:id="245"/>
      <w:bookmarkEnd w:id="246"/>
    </w:p>
    <w:p w14:paraId="180A6CD5" w14:textId="77777777" w:rsidR="004366B7" w:rsidRPr="00390AA7" w:rsidRDefault="004366B7" w:rsidP="004366B7">
      <w:pPr>
        <w:rPr>
          <w:rFonts w:eastAsia="Cambria"/>
          <w:lang w:eastAsia="en-US"/>
        </w:rPr>
      </w:pPr>
      <w:r w:rsidRPr="00390AA7">
        <w:t>Weighting of survey data ensures the estimates calculated from this data are representative of the target population.</w:t>
      </w:r>
    </w:p>
    <w:p w14:paraId="62FDD383" w14:textId="77777777" w:rsidR="004366B7" w:rsidRPr="00390AA7" w:rsidRDefault="004366B7" w:rsidP="004366B7">
      <w:pPr>
        <w:rPr>
          <w:rFonts w:eastAsia="Cambria"/>
          <w:lang w:eastAsia="en-US"/>
        </w:rPr>
      </w:pPr>
    </w:p>
    <w:p w14:paraId="3EA821E8" w14:textId="77777777" w:rsidR="004366B7" w:rsidRPr="00390AA7" w:rsidRDefault="004366B7" w:rsidP="004366B7">
      <w:pPr>
        <w:rPr>
          <w:rFonts w:eastAsia="Cambria"/>
          <w:lang w:eastAsia="en-US"/>
        </w:rPr>
      </w:pPr>
      <w:r w:rsidRPr="00390AA7">
        <w:rPr>
          <w:rFonts w:eastAsia="Cambria"/>
          <w:lang w:eastAsia="en-US"/>
        </w:rPr>
        <w:t>Most national surveys have complex sample designs whereby different groups have different chances of being selected in the survey. These complex designs are used for a variety of purposes; in particular, to:</w:t>
      </w:r>
    </w:p>
    <w:p w14:paraId="5329888A" w14:textId="77777777" w:rsidR="004366B7" w:rsidRPr="00390AA7" w:rsidRDefault="004366B7" w:rsidP="004366B7">
      <w:pPr>
        <w:pStyle w:val="Bullet"/>
        <w:rPr>
          <w:rFonts w:eastAsia="Cambria"/>
          <w:lang w:eastAsia="en-US"/>
        </w:rPr>
      </w:pPr>
      <w:r w:rsidRPr="00390AA7">
        <w:rPr>
          <w:rFonts w:eastAsia="Cambria"/>
          <w:lang w:eastAsia="en-US"/>
        </w:rPr>
        <w:t>reduce interviewer travel costs by ensuring the sample is geographically clustered</w:t>
      </w:r>
    </w:p>
    <w:p w14:paraId="7B67E601" w14:textId="77777777" w:rsidR="004366B7" w:rsidRPr="00390AA7" w:rsidRDefault="004366B7" w:rsidP="004366B7">
      <w:pPr>
        <w:pStyle w:val="Bullet"/>
        <w:rPr>
          <w:rFonts w:eastAsia="Cambria"/>
          <w:lang w:eastAsia="en-US"/>
        </w:rPr>
      </w:pPr>
      <w:r w:rsidRPr="00390AA7">
        <w:rPr>
          <w:rFonts w:eastAsia="Cambria"/>
          <w:lang w:eastAsia="en-US"/>
        </w:rPr>
        <w:t>ensure all regions of interest, including small regions, have a sufficient sample size for adequate estimates to be made</w:t>
      </w:r>
    </w:p>
    <w:p w14:paraId="5BEFA654" w14:textId="77777777" w:rsidR="004366B7" w:rsidRPr="00390AA7" w:rsidRDefault="004366B7" w:rsidP="004366B7">
      <w:pPr>
        <w:pStyle w:val="Bullet"/>
        <w:rPr>
          <w:rFonts w:eastAsia="Cambria"/>
          <w:lang w:eastAsia="en-US"/>
        </w:rPr>
      </w:pPr>
      <w:r w:rsidRPr="00390AA7">
        <w:rPr>
          <w:rFonts w:eastAsia="Cambria"/>
          <w:lang w:eastAsia="en-US"/>
        </w:rPr>
        <w:t>ensure important sub-populations – in particular, Māori, Pacific peoples and Asian ethnic groups – have a sufficient sample size for adequate estimates to be made.</w:t>
      </w:r>
    </w:p>
    <w:p w14:paraId="13CCC8FF" w14:textId="77777777" w:rsidR="004366B7" w:rsidRPr="00390AA7" w:rsidRDefault="004366B7" w:rsidP="004366B7">
      <w:pPr>
        <w:rPr>
          <w:rFonts w:eastAsia="Cambria"/>
          <w:lang w:eastAsia="en-US"/>
        </w:rPr>
      </w:pPr>
    </w:p>
    <w:p w14:paraId="3247A85E" w14:textId="77777777" w:rsidR="004366B7" w:rsidRPr="00390AA7" w:rsidRDefault="004366B7" w:rsidP="004366B7">
      <w:pPr>
        <w:rPr>
          <w:rFonts w:eastAsia="Cambria"/>
          <w:lang w:eastAsia="en-US"/>
        </w:rPr>
      </w:pPr>
      <w:r w:rsidRPr="00390AA7">
        <w:rPr>
          <w:rFonts w:eastAsia="Cambria"/>
          <w:lang w:eastAsia="en-US"/>
        </w:rPr>
        <w:t>To ensure no group is under- or over-represented in estimates from a survey, a method of calculating estimates that reflects the sample design must be used. Estimation weights are used to achieve this aim.</w:t>
      </w:r>
    </w:p>
    <w:p w14:paraId="0212EDCD" w14:textId="77777777" w:rsidR="004366B7" w:rsidRPr="00390AA7" w:rsidRDefault="004366B7" w:rsidP="004366B7">
      <w:pPr>
        <w:rPr>
          <w:rFonts w:eastAsia="Cambria"/>
          <w:lang w:eastAsia="en-US"/>
        </w:rPr>
      </w:pPr>
    </w:p>
    <w:p w14:paraId="2B39882C" w14:textId="77777777" w:rsidR="004366B7" w:rsidRPr="00390AA7" w:rsidRDefault="004366B7" w:rsidP="004366B7">
      <w:pPr>
        <w:rPr>
          <w:rFonts w:eastAsia="Cambria"/>
          <w:lang w:eastAsia="en-US"/>
        </w:rPr>
      </w:pPr>
      <w:r w:rsidRPr="00390AA7">
        <w:rPr>
          <w:rFonts w:eastAsia="Cambria"/>
          <w:lang w:eastAsia="en-US"/>
        </w:rPr>
        <w:t>A weight is calculated for every respondent, and these weights are used in calculating estimates of population totals (counts), averages and proportions. Typically, members of groups that have a lower chance of selection are assigned a higher weight so that these groups are not under-represented in estimates. Conversely, groups with a higher chance of selection receive lower weights. Also, groups that have a lower response rate (such as young men) are usually assigned a higher weight so that these groups are correctly represented in all estimates from the survey.</w:t>
      </w:r>
    </w:p>
    <w:p w14:paraId="5929CA64" w14:textId="77777777" w:rsidR="004366B7" w:rsidRPr="00390AA7" w:rsidRDefault="004366B7" w:rsidP="004366B7">
      <w:pPr>
        <w:rPr>
          <w:rFonts w:eastAsia="Cambria"/>
          <w:lang w:eastAsia="en-US"/>
        </w:rPr>
      </w:pPr>
    </w:p>
    <w:p w14:paraId="334636F8" w14:textId="77777777" w:rsidR="004366B7" w:rsidRPr="00390AA7" w:rsidRDefault="004366B7" w:rsidP="004366B7">
      <w:pPr>
        <w:rPr>
          <w:rFonts w:eastAsia="Cambria"/>
          <w:lang w:eastAsia="en-US"/>
        </w:rPr>
      </w:pPr>
      <w:r w:rsidRPr="00390AA7">
        <w:rPr>
          <w:rFonts w:eastAsia="Cambria"/>
          <w:lang w:eastAsia="en-US"/>
        </w:rPr>
        <w:t>The NZHS uses the calibrated weighting method to:</w:t>
      </w:r>
    </w:p>
    <w:p w14:paraId="27B79D5D" w14:textId="77777777" w:rsidR="004366B7" w:rsidRPr="00390AA7" w:rsidRDefault="004366B7" w:rsidP="004366B7">
      <w:pPr>
        <w:pStyle w:val="Bullet"/>
        <w:rPr>
          <w:rFonts w:eastAsia="Cambria"/>
          <w:lang w:eastAsia="en-US"/>
        </w:rPr>
      </w:pPr>
      <w:r w:rsidRPr="00390AA7">
        <w:rPr>
          <w:rFonts w:eastAsia="Cambria"/>
          <w:lang w:eastAsia="en-US"/>
        </w:rPr>
        <w:t>reflect the probabilities of selecting each respondent</w:t>
      </w:r>
    </w:p>
    <w:p w14:paraId="4A1CC762" w14:textId="77777777" w:rsidR="004366B7" w:rsidRPr="00390AA7" w:rsidRDefault="004366B7" w:rsidP="004366B7">
      <w:pPr>
        <w:pStyle w:val="Bullet"/>
        <w:rPr>
          <w:rFonts w:eastAsia="Cambria"/>
          <w:lang w:eastAsia="en-US"/>
        </w:rPr>
      </w:pPr>
      <w:r w:rsidRPr="00390AA7">
        <w:rPr>
          <w:rFonts w:eastAsia="Cambria"/>
          <w:lang w:eastAsia="en-US"/>
        </w:rPr>
        <w:t>make use of external population benchmarks (typically based on the population census) to correct any discrepancies between the sample and the population benchmarks; this improves the precision of estimates and reduces bias due to non-response.</w:t>
      </w:r>
    </w:p>
    <w:p w14:paraId="4D19E932" w14:textId="67C2DE06" w:rsidR="004366B7" w:rsidRPr="00390AA7" w:rsidRDefault="004366B7" w:rsidP="004366B7">
      <w:pPr>
        <w:rPr>
          <w:rFonts w:eastAsia="Cambria"/>
          <w:lang w:eastAsia="en-US"/>
        </w:rPr>
      </w:pPr>
    </w:p>
    <w:p w14:paraId="3D73037B" w14:textId="53556EC2" w:rsidR="000024F9" w:rsidRPr="00A626D4" w:rsidRDefault="000024F9" w:rsidP="000024F9">
      <w:pPr>
        <w:rPr>
          <w:rFonts w:cs="Segoe UI"/>
          <w:color w:val="000000" w:themeColor="text1"/>
          <w:sz w:val="22"/>
          <w:szCs w:val="22"/>
        </w:rPr>
      </w:pPr>
      <w:r w:rsidRPr="00A626D4">
        <w:rPr>
          <w:rFonts w:cs="Segoe UI"/>
          <w:color w:val="000000" w:themeColor="text1"/>
          <w:sz w:val="22"/>
          <w:szCs w:val="22"/>
        </w:rPr>
        <w:t>NZHS weights are</w:t>
      </w:r>
      <w:r w:rsidR="001855B4" w:rsidRPr="00A626D4">
        <w:rPr>
          <w:rFonts w:cs="Segoe UI"/>
          <w:color w:val="000000" w:themeColor="text1"/>
          <w:sz w:val="22"/>
          <w:szCs w:val="22"/>
        </w:rPr>
        <w:t xml:space="preserve"> usually</w:t>
      </w:r>
      <w:r w:rsidRPr="00A626D4">
        <w:rPr>
          <w:rFonts w:cs="Segoe UI"/>
          <w:color w:val="000000" w:themeColor="text1"/>
          <w:sz w:val="22"/>
          <w:szCs w:val="22"/>
        </w:rPr>
        <w:t xml:space="preserve"> calculated for respondents in each survey quarter separately</w:t>
      </w:r>
      <w:r w:rsidR="00BD3CDD" w:rsidRPr="00A626D4">
        <w:rPr>
          <w:rFonts w:cs="Segoe UI"/>
          <w:color w:val="000000" w:themeColor="text1"/>
          <w:sz w:val="22"/>
          <w:szCs w:val="22"/>
        </w:rPr>
        <w:t xml:space="preserve"> and </w:t>
      </w:r>
      <w:r w:rsidR="00551D42" w:rsidRPr="00A626D4">
        <w:rPr>
          <w:rFonts w:cs="Segoe UI"/>
          <w:color w:val="000000" w:themeColor="text1"/>
          <w:sz w:val="22"/>
          <w:szCs w:val="22"/>
        </w:rPr>
        <w:t xml:space="preserve">are </w:t>
      </w:r>
      <w:r w:rsidR="00BD3CDD" w:rsidRPr="00A626D4">
        <w:rPr>
          <w:rFonts w:cs="Segoe UI"/>
          <w:color w:val="000000" w:themeColor="text1"/>
          <w:sz w:val="22"/>
          <w:szCs w:val="22"/>
        </w:rPr>
        <w:t>calibrated</w:t>
      </w:r>
      <w:r w:rsidRPr="00A626D4">
        <w:rPr>
          <w:rFonts w:cs="Segoe UI"/>
          <w:color w:val="000000" w:themeColor="text1"/>
          <w:sz w:val="22"/>
          <w:szCs w:val="22"/>
        </w:rPr>
        <w:t xml:space="preserve"> to population benchmarks for the corresponding calendar quarter. </w:t>
      </w:r>
      <w:r w:rsidR="00D31CA4" w:rsidRPr="00A626D4">
        <w:rPr>
          <w:rFonts w:cs="Segoe UI"/>
          <w:color w:val="000000" w:themeColor="text1"/>
          <w:sz w:val="22"/>
          <w:szCs w:val="22"/>
        </w:rPr>
        <w:t xml:space="preserve">Data for </w:t>
      </w:r>
      <w:r w:rsidRPr="00A626D4">
        <w:rPr>
          <w:rFonts w:cs="Segoe UI"/>
          <w:color w:val="000000" w:themeColor="text1"/>
          <w:sz w:val="22"/>
          <w:szCs w:val="22"/>
        </w:rPr>
        <w:t xml:space="preserve">the four quarters of the survey year </w:t>
      </w:r>
      <w:r w:rsidR="00887D19" w:rsidRPr="00A626D4">
        <w:rPr>
          <w:rFonts w:cs="Segoe UI"/>
          <w:color w:val="000000" w:themeColor="text1"/>
          <w:sz w:val="22"/>
          <w:szCs w:val="22"/>
        </w:rPr>
        <w:t>is</w:t>
      </w:r>
      <w:r w:rsidRPr="00A626D4">
        <w:rPr>
          <w:rFonts w:cs="Segoe UI"/>
          <w:color w:val="000000" w:themeColor="text1"/>
          <w:sz w:val="22"/>
          <w:szCs w:val="22"/>
        </w:rPr>
        <w:t xml:space="preserve"> combined </w:t>
      </w:r>
      <w:r w:rsidR="00551D42" w:rsidRPr="00A626D4">
        <w:rPr>
          <w:rFonts w:cs="Segoe UI"/>
          <w:color w:val="000000" w:themeColor="text1"/>
          <w:sz w:val="22"/>
          <w:szCs w:val="22"/>
        </w:rPr>
        <w:t>to</w:t>
      </w:r>
      <w:r w:rsidRPr="00A626D4">
        <w:rPr>
          <w:rFonts w:cs="Segoe UI"/>
          <w:color w:val="000000" w:themeColor="text1"/>
          <w:sz w:val="22"/>
          <w:szCs w:val="22"/>
        </w:rPr>
        <w:t xml:space="preserve"> </w:t>
      </w:r>
      <w:r w:rsidR="00551D42" w:rsidRPr="00A626D4">
        <w:rPr>
          <w:rFonts w:cs="Segoe UI"/>
          <w:color w:val="000000" w:themeColor="text1"/>
          <w:sz w:val="22"/>
          <w:szCs w:val="22"/>
        </w:rPr>
        <w:t xml:space="preserve">produce </w:t>
      </w:r>
      <w:r w:rsidRPr="00A626D4">
        <w:rPr>
          <w:rFonts w:cs="Segoe UI"/>
          <w:color w:val="000000" w:themeColor="text1"/>
          <w:sz w:val="22"/>
          <w:szCs w:val="22"/>
        </w:rPr>
        <w:t>annual survey statistics, and the weights are divided by four so that the combined annual sample represents the target population.</w:t>
      </w:r>
    </w:p>
    <w:p w14:paraId="005947D9" w14:textId="77777777" w:rsidR="000024F9" w:rsidRPr="00A626D4" w:rsidRDefault="000024F9" w:rsidP="000024F9">
      <w:pPr>
        <w:rPr>
          <w:rFonts w:cs="Segoe UI"/>
          <w:color w:val="000000" w:themeColor="text1"/>
          <w:sz w:val="22"/>
          <w:szCs w:val="22"/>
        </w:rPr>
      </w:pPr>
    </w:p>
    <w:p w14:paraId="7C261237" w14:textId="764B7882" w:rsidR="000024F9" w:rsidRPr="00A626D4" w:rsidRDefault="000024F9" w:rsidP="000024F9">
      <w:pPr>
        <w:rPr>
          <w:rFonts w:cs="Segoe UI"/>
          <w:color w:val="000000" w:themeColor="text1"/>
          <w:sz w:val="22"/>
          <w:szCs w:val="22"/>
        </w:rPr>
      </w:pPr>
      <w:r w:rsidRPr="00A626D4">
        <w:rPr>
          <w:rFonts w:cs="Segoe UI"/>
          <w:color w:val="000000" w:themeColor="text1"/>
          <w:sz w:val="22"/>
          <w:szCs w:val="22"/>
        </w:rPr>
        <w:t xml:space="preserve">In 2022/23, data collection was attempted for the sample of households selected in the first two quarters of the survey year and part of the sample of households selected in the third quarter. The proportion of the sample attempted in the third quarter varied by DHB, and this has been taken into account in the calculation of the selection weights. Due to smaller achieved sample sizes this year, the respondents from all three quarters have been combined for weighting </w:t>
      </w:r>
      <w:r w:rsidR="00D8036F" w:rsidRPr="00A626D4">
        <w:rPr>
          <w:rFonts w:cs="Segoe UI"/>
          <w:color w:val="000000" w:themeColor="text1"/>
          <w:sz w:val="22"/>
          <w:szCs w:val="22"/>
        </w:rPr>
        <w:t xml:space="preserve">purposes </w:t>
      </w:r>
      <w:r w:rsidRPr="00A626D4">
        <w:rPr>
          <w:rFonts w:cs="Segoe UI"/>
          <w:color w:val="000000" w:themeColor="text1"/>
          <w:sz w:val="22"/>
          <w:szCs w:val="22"/>
        </w:rPr>
        <w:t xml:space="preserve">and calibrated to </w:t>
      </w:r>
      <w:r w:rsidR="00E84372" w:rsidRPr="00A626D4">
        <w:rPr>
          <w:rFonts w:cs="Segoe UI"/>
          <w:color w:val="000000" w:themeColor="text1"/>
          <w:sz w:val="22"/>
          <w:szCs w:val="22"/>
        </w:rPr>
        <w:t xml:space="preserve">the </w:t>
      </w:r>
      <w:r w:rsidRPr="00A626D4">
        <w:rPr>
          <w:rFonts w:cs="Segoe UI"/>
          <w:color w:val="000000" w:themeColor="text1"/>
          <w:sz w:val="22"/>
          <w:szCs w:val="22"/>
        </w:rPr>
        <w:t>averages of the quarterly population benchmarks.</w:t>
      </w:r>
    </w:p>
    <w:p w14:paraId="7C5C721F" w14:textId="77777777" w:rsidR="004366B7" w:rsidRPr="00390AA7" w:rsidRDefault="004366B7" w:rsidP="004366B7">
      <w:pPr>
        <w:pStyle w:val="Heading2"/>
        <w:rPr>
          <w:lang w:eastAsia="en-US"/>
        </w:rPr>
      </w:pPr>
      <w:bookmarkStart w:id="247" w:name="_Toc339270019"/>
      <w:bookmarkStart w:id="248" w:name="_Toc340501941"/>
      <w:bookmarkStart w:id="249" w:name="_Toc372445561"/>
      <w:bookmarkStart w:id="250" w:name="_Toc467491539"/>
      <w:bookmarkStart w:id="251" w:name="_Toc531762357"/>
      <w:bookmarkStart w:id="252" w:name="_Toc531783714"/>
      <w:bookmarkStart w:id="253" w:name="_Toc22887947"/>
      <w:bookmarkStart w:id="254" w:name="_Toc55206854"/>
      <w:bookmarkStart w:id="255" w:name="_Toc88752045"/>
      <w:bookmarkStart w:id="256" w:name="_Toc153259093"/>
      <w:r w:rsidRPr="00390AA7">
        <w:rPr>
          <w:lang w:eastAsia="en-US"/>
        </w:rPr>
        <w:t>Calculating selection weights</w:t>
      </w:r>
      <w:bookmarkEnd w:id="247"/>
      <w:bookmarkEnd w:id="248"/>
      <w:bookmarkEnd w:id="249"/>
      <w:bookmarkEnd w:id="250"/>
      <w:bookmarkEnd w:id="251"/>
      <w:bookmarkEnd w:id="252"/>
      <w:bookmarkEnd w:id="253"/>
      <w:bookmarkEnd w:id="254"/>
      <w:bookmarkEnd w:id="255"/>
      <w:bookmarkEnd w:id="256"/>
    </w:p>
    <w:p w14:paraId="0192FEFC" w14:textId="77777777" w:rsidR="004366B7" w:rsidRPr="00390AA7" w:rsidRDefault="004366B7" w:rsidP="004366B7">
      <w:pPr>
        <w:keepNext/>
        <w:rPr>
          <w:rFonts w:eastAsia="Cambria"/>
          <w:lang w:eastAsia="en-US"/>
        </w:rPr>
      </w:pPr>
      <w:r w:rsidRPr="00390AA7">
        <w:rPr>
          <w:rFonts w:eastAsia="Cambria"/>
          <w:lang w:eastAsia="en-US"/>
        </w:rPr>
        <w:t>The first step in producing calibrated weights is to calculate a selection probability (and hence selection weight) for each respondent. It is crucial to calculate selection weights correctly to avoid bias in the final calibrated estimators.</w:t>
      </w:r>
    </w:p>
    <w:p w14:paraId="7F4CB66D" w14:textId="77777777" w:rsidR="004366B7" w:rsidRPr="00390AA7" w:rsidRDefault="004366B7" w:rsidP="004366B7">
      <w:pPr>
        <w:keepNext/>
        <w:rPr>
          <w:rFonts w:eastAsia="Cambria"/>
          <w:lang w:eastAsia="en-US"/>
        </w:rPr>
      </w:pPr>
    </w:p>
    <w:p w14:paraId="3CFF6C3C" w14:textId="77777777" w:rsidR="004366B7" w:rsidRPr="00390AA7" w:rsidRDefault="004366B7" w:rsidP="004366B7">
      <w:pPr>
        <w:rPr>
          <w:rFonts w:eastAsia="Cambria"/>
          <w:lang w:eastAsia="en-US"/>
        </w:rPr>
      </w:pPr>
      <w:r w:rsidRPr="00390AA7">
        <w:rPr>
          <w:rFonts w:eastAsia="Cambria"/>
          <w:lang w:eastAsia="en-US"/>
        </w:rPr>
        <w:t>Selection weights for the area-based sample and the electoral roll sample are calculated in different ways, as follows.</w:t>
      </w:r>
    </w:p>
    <w:p w14:paraId="39CAB6F5" w14:textId="77777777" w:rsidR="004366B7" w:rsidRPr="00390AA7" w:rsidRDefault="004366B7" w:rsidP="00FC2C7B">
      <w:pPr>
        <w:pStyle w:val="Heading3"/>
        <w:rPr>
          <w:rFonts w:eastAsia="Cambria"/>
        </w:rPr>
      </w:pPr>
      <w:r w:rsidRPr="00390AA7">
        <w:rPr>
          <w:rFonts w:eastAsia="Cambria"/>
        </w:rPr>
        <w:t>Area-based sample</w:t>
      </w:r>
    </w:p>
    <w:p w14:paraId="30D9B54A" w14:textId="77777777" w:rsidR="004366B7" w:rsidRPr="00390AA7" w:rsidRDefault="004366B7" w:rsidP="004366B7">
      <w:pPr>
        <w:pStyle w:val="Bullet"/>
        <w:rPr>
          <w:rFonts w:eastAsia="Cambria"/>
          <w:lang w:eastAsia="en-US"/>
        </w:rPr>
      </w:pPr>
      <w:r w:rsidRPr="00390AA7">
        <w:rPr>
          <w:rFonts w:eastAsia="Cambria"/>
          <w:lang w:eastAsia="en-US"/>
        </w:rPr>
        <w:t xml:space="preserve">The probability of a PSU </w:t>
      </w:r>
      <w:r w:rsidRPr="00390AA7">
        <w:rPr>
          <w:rFonts w:eastAsia="Cambria"/>
          <w:i/>
          <w:lang w:eastAsia="en-US"/>
        </w:rPr>
        <w:t>i</w:t>
      </w:r>
      <w:r w:rsidRPr="00390AA7">
        <w:rPr>
          <w:rFonts w:eastAsia="Cambria"/>
          <w:lang w:eastAsia="en-US"/>
        </w:rPr>
        <w:t xml:space="preserve"> being selected in the area-based sample (A) is written as </w:t>
      </w:r>
      <w:r w:rsidRPr="00390AA7">
        <w:rPr>
          <w:rFonts w:ascii="Symbol" w:hAnsi="Symbol"/>
          <w:i/>
        </w:rPr>
        <w:t></w:t>
      </w:r>
      <w:r w:rsidRPr="00390AA7">
        <w:rPr>
          <w:i/>
          <w:vertAlign w:val="subscript"/>
        </w:rPr>
        <w:t>Ai</w:t>
      </w:r>
      <w:r w:rsidRPr="00390AA7">
        <w:rPr>
          <w:rFonts w:eastAsia="Cambria"/>
          <w:lang w:eastAsia="en-US"/>
        </w:rPr>
        <w:t xml:space="preserve">. The values of </w:t>
      </w:r>
      <w:r w:rsidRPr="00390AA7">
        <w:rPr>
          <w:rFonts w:ascii="Symbol" w:hAnsi="Symbol"/>
          <w:i/>
        </w:rPr>
        <w:t></w:t>
      </w:r>
      <w:r w:rsidRPr="00390AA7">
        <w:rPr>
          <w:i/>
          <w:vertAlign w:val="subscript"/>
        </w:rPr>
        <w:t>Ai</w:t>
      </w:r>
      <w:r w:rsidRPr="00390AA7">
        <w:rPr>
          <w:rFonts w:eastAsia="Cambria"/>
          <w:i/>
          <w:lang w:eastAsia="en-US"/>
        </w:rPr>
        <w:t xml:space="preserve"> </w:t>
      </w:r>
      <w:r w:rsidRPr="00390AA7">
        <w:rPr>
          <w:rFonts w:eastAsia="Cambria"/>
          <w:lang w:eastAsia="en-US"/>
        </w:rPr>
        <w:t>are greater than 0 for all PSUs in the survey population.</w:t>
      </w:r>
    </w:p>
    <w:p w14:paraId="2B0C9B05" w14:textId="77777777" w:rsidR="004366B7" w:rsidRPr="00390AA7" w:rsidRDefault="004366B7" w:rsidP="004366B7">
      <w:pPr>
        <w:pStyle w:val="Bullet"/>
        <w:rPr>
          <w:rFonts w:eastAsia="Cambria"/>
          <w:lang w:eastAsia="en-US"/>
        </w:rPr>
      </w:pPr>
      <w:r w:rsidRPr="00390AA7">
        <w:rPr>
          <w:rFonts w:eastAsia="Cambria"/>
          <w:lang w:eastAsia="en-US"/>
        </w:rPr>
        <w:t xml:space="preserve">The probability of a dwelling being selected from a selected PSU </w:t>
      </w:r>
      <w:r w:rsidRPr="00390AA7">
        <w:rPr>
          <w:rFonts w:eastAsia="Cambria"/>
          <w:i/>
          <w:lang w:eastAsia="en-US"/>
        </w:rPr>
        <w:t>i</w:t>
      </w:r>
      <w:r w:rsidRPr="00390AA7">
        <w:rPr>
          <w:rFonts w:eastAsia="Cambria"/>
          <w:lang w:eastAsia="en-US"/>
        </w:rPr>
        <w:t xml:space="preserve"> in the area sample is 1/</w:t>
      </w:r>
      <w:r w:rsidRPr="00390AA7">
        <w:rPr>
          <w:rFonts w:eastAsia="Cambria"/>
          <w:i/>
          <w:lang w:eastAsia="en-US"/>
        </w:rPr>
        <w:t>k</w:t>
      </w:r>
      <w:r w:rsidRPr="00390AA7">
        <w:rPr>
          <w:rFonts w:eastAsia="Cambria"/>
          <w:i/>
          <w:vertAlign w:val="subscript"/>
          <w:lang w:eastAsia="en-US"/>
        </w:rPr>
        <w:t>Ai</w:t>
      </w:r>
      <w:r w:rsidRPr="00390AA7">
        <w:rPr>
          <w:rFonts w:eastAsia="Cambria"/>
          <w:lang w:eastAsia="en-US"/>
        </w:rPr>
        <w:t xml:space="preserve">, where </w:t>
      </w:r>
      <w:r w:rsidRPr="00390AA7">
        <w:rPr>
          <w:rFonts w:eastAsia="Cambria"/>
          <w:i/>
          <w:lang w:eastAsia="en-US"/>
        </w:rPr>
        <w:t>k</w:t>
      </w:r>
      <w:r w:rsidRPr="00390AA7">
        <w:rPr>
          <w:rFonts w:eastAsia="Cambria"/>
          <w:i/>
          <w:vertAlign w:val="subscript"/>
          <w:lang w:eastAsia="en-US"/>
        </w:rPr>
        <w:t>Ai</w:t>
      </w:r>
      <w:r w:rsidRPr="00390AA7">
        <w:rPr>
          <w:rFonts w:eastAsia="Cambria"/>
          <w:lang w:eastAsia="en-US"/>
        </w:rPr>
        <w:t xml:space="preserve"> is a skip assigned to each PSU on the frame.</w:t>
      </w:r>
    </w:p>
    <w:p w14:paraId="1DA3DF11" w14:textId="77777777" w:rsidR="004366B7" w:rsidRPr="00390AA7" w:rsidRDefault="004366B7" w:rsidP="004366B7">
      <w:pPr>
        <w:pStyle w:val="Bullet"/>
        <w:rPr>
          <w:rFonts w:eastAsia="Cambria"/>
          <w:lang w:eastAsia="en-US"/>
        </w:rPr>
      </w:pPr>
      <w:r w:rsidRPr="00390AA7">
        <w:rPr>
          <w:rFonts w:eastAsia="Cambria"/>
          <w:lang w:eastAsia="en-US"/>
        </w:rPr>
        <w:t xml:space="preserve">The probability of any particular adult being selected from a selected dwelling </w:t>
      </w:r>
      <w:r w:rsidRPr="00390AA7">
        <w:rPr>
          <w:rFonts w:eastAsia="Cambria"/>
          <w:i/>
          <w:lang w:eastAsia="en-US"/>
        </w:rPr>
        <w:t>j</w:t>
      </w:r>
      <w:r w:rsidRPr="00390AA7">
        <w:rPr>
          <w:rFonts w:eastAsia="Cambria"/>
          <w:lang w:eastAsia="en-US"/>
        </w:rPr>
        <w:t xml:space="preserve"> in a selected PSU </w:t>
      </w:r>
      <w:r w:rsidRPr="00390AA7">
        <w:rPr>
          <w:rFonts w:eastAsia="Cambria"/>
          <w:i/>
          <w:lang w:eastAsia="en-US"/>
        </w:rPr>
        <w:t>i</w:t>
      </w:r>
      <w:r w:rsidRPr="00390AA7">
        <w:rPr>
          <w:rFonts w:eastAsia="Cambria"/>
          <w:lang w:eastAsia="en-US"/>
        </w:rPr>
        <w:t xml:space="preserve"> is then 1/</w:t>
      </w:r>
      <w:r w:rsidRPr="00390AA7">
        <w:rPr>
          <w:rFonts w:eastAsia="Cambria"/>
          <w:i/>
          <w:lang w:eastAsia="en-US"/>
        </w:rPr>
        <w:t>N</w:t>
      </w:r>
      <w:r w:rsidRPr="00390AA7">
        <w:rPr>
          <w:rFonts w:eastAsia="Cambria"/>
          <w:i/>
          <w:vertAlign w:val="subscript"/>
          <w:lang w:eastAsia="en-US"/>
        </w:rPr>
        <w:t>ij</w:t>
      </w:r>
      <w:r w:rsidRPr="00390AA7">
        <w:rPr>
          <w:rFonts w:eastAsia="Cambria"/>
          <w:vertAlign w:val="subscript"/>
          <w:lang w:eastAsia="en-US"/>
        </w:rPr>
        <w:t>(adult)</w:t>
      </w:r>
      <w:r w:rsidRPr="00390AA7">
        <w:rPr>
          <w:rFonts w:eastAsia="Cambria"/>
          <w:lang w:eastAsia="en-US"/>
        </w:rPr>
        <w:t xml:space="preserve">, where </w:t>
      </w:r>
      <w:r w:rsidRPr="00390AA7">
        <w:rPr>
          <w:rFonts w:eastAsia="Cambria"/>
          <w:i/>
          <w:lang w:eastAsia="en-US"/>
        </w:rPr>
        <w:t>N</w:t>
      </w:r>
      <w:r w:rsidRPr="00390AA7">
        <w:rPr>
          <w:rFonts w:eastAsia="Cambria"/>
          <w:i/>
          <w:vertAlign w:val="subscript"/>
          <w:lang w:eastAsia="en-US"/>
        </w:rPr>
        <w:t>ij</w:t>
      </w:r>
      <w:r w:rsidRPr="00390AA7">
        <w:rPr>
          <w:rFonts w:eastAsia="Cambria"/>
          <w:vertAlign w:val="subscript"/>
          <w:lang w:eastAsia="en-US"/>
        </w:rPr>
        <w:t>(adult)</w:t>
      </w:r>
      <w:r w:rsidRPr="00390AA7">
        <w:rPr>
          <w:rFonts w:eastAsia="Cambria"/>
          <w:lang w:eastAsia="en-US"/>
        </w:rPr>
        <w:t xml:space="preserve"> is the number of adults in the dwelling. Similarly, the probability of any particular child (if any in the household) being selected is 1/</w:t>
      </w:r>
      <w:r w:rsidRPr="00390AA7">
        <w:rPr>
          <w:rFonts w:eastAsia="Cambria"/>
          <w:i/>
          <w:lang w:eastAsia="en-US"/>
        </w:rPr>
        <w:t>N</w:t>
      </w:r>
      <w:r w:rsidRPr="00390AA7">
        <w:rPr>
          <w:rFonts w:eastAsia="Cambria"/>
          <w:i/>
          <w:vertAlign w:val="subscript"/>
          <w:lang w:eastAsia="en-US"/>
        </w:rPr>
        <w:t>ij</w:t>
      </w:r>
      <w:r w:rsidRPr="00390AA7">
        <w:rPr>
          <w:rFonts w:eastAsia="Cambria"/>
          <w:vertAlign w:val="subscript"/>
          <w:lang w:eastAsia="en-US"/>
        </w:rPr>
        <w:t>(child)</w:t>
      </w:r>
      <w:r w:rsidRPr="00390AA7">
        <w:rPr>
          <w:rFonts w:eastAsia="Cambria"/>
          <w:lang w:eastAsia="en-US"/>
        </w:rPr>
        <w:t xml:space="preserve">, where </w:t>
      </w:r>
      <w:r w:rsidRPr="00390AA7">
        <w:rPr>
          <w:rFonts w:eastAsia="Cambria"/>
          <w:i/>
          <w:lang w:eastAsia="en-US"/>
        </w:rPr>
        <w:t>N</w:t>
      </w:r>
      <w:r w:rsidRPr="00390AA7">
        <w:rPr>
          <w:rFonts w:eastAsia="Cambria"/>
          <w:i/>
          <w:vertAlign w:val="subscript"/>
          <w:lang w:eastAsia="en-US"/>
        </w:rPr>
        <w:t>ij</w:t>
      </w:r>
      <w:r w:rsidRPr="00390AA7">
        <w:rPr>
          <w:rFonts w:eastAsia="Cambria"/>
          <w:vertAlign w:val="subscript"/>
          <w:lang w:eastAsia="en-US"/>
        </w:rPr>
        <w:t>(child)</w:t>
      </w:r>
      <w:r w:rsidRPr="00390AA7">
        <w:rPr>
          <w:rFonts w:eastAsia="Cambria"/>
          <w:lang w:eastAsia="en-US"/>
        </w:rPr>
        <w:t xml:space="preserve"> is the number of children in the dwelling.</w:t>
      </w:r>
    </w:p>
    <w:p w14:paraId="586D4EC6" w14:textId="77777777" w:rsidR="004366B7" w:rsidRPr="00390AA7" w:rsidRDefault="004366B7" w:rsidP="00FC2C7B">
      <w:pPr>
        <w:pStyle w:val="Heading3"/>
        <w:rPr>
          <w:rFonts w:eastAsia="Cambria"/>
        </w:rPr>
      </w:pPr>
      <w:r w:rsidRPr="00390AA7">
        <w:rPr>
          <w:rFonts w:eastAsia="Cambria"/>
        </w:rPr>
        <w:t>Electoral roll sample</w:t>
      </w:r>
    </w:p>
    <w:p w14:paraId="7473ECED" w14:textId="77777777" w:rsidR="004366B7" w:rsidRPr="00390AA7" w:rsidRDefault="004366B7" w:rsidP="004366B7">
      <w:pPr>
        <w:pStyle w:val="Bullet"/>
        <w:rPr>
          <w:rFonts w:eastAsia="Cambria"/>
          <w:lang w:eastAsia="en-US"/>
        </w:rPr>
      </w:pPr>
      <w:r w:rsidRPr="00390AA7">
        <w:rPr>
          <w:rFonts w:eastAsia="Cambria"/>
          <w:lang w:eastAsia="en-US"/>
        </w:rPr>
        <w:t xml:space="preserve">The probability of a PSU </w:t>
      </w:r>
      <w:r w:rsidRPr="00390AA7">
        <w:rPr>
          <w:rFonts w:eastAsia="Cambria"/>
          <w:i/>
          <w:lang w:eastAsia="en-US"/>
        </w:rPr>
        <w:t>i</w:t>
      </w:r>
      <w:r w:rsidRPr="00390AA7">
        <w:rPr>
          <w:rFonts w:eastAsia="Cambria"/>
          <w:lang w:eastAsia="en-US"/>
        </w:rPr>
        <w:t xml:space="preserve"> being selected in the electoral roll sample (R) is written as </w:t>
      </w:r>
      <w:r w:rsidRPr="00390AA7">
        <w:rPr>
          <w:rFonts w:ascii="Symbol" w:hAnsi="Symbol"/>
          <w:i/>
        </w:rPr>
        <w:t></w:t>
      </w:r>
      <w:r w:rsidRPr="00390AA7">
        <w:rPr>
          <w:i/>
          <w:vertAlign w:val="subscript"/>
        </w:rPr>
        <w:t>Ri</w:t>
      </w:r>
      <w:r w:rsidRPr="00390AA7">
        <w:rPr>
          <w:rFonts w:eastAsia="Cambria"/>
          <w:lang w:eastAsia="en-US"/>
        </w:rPr>
        <w:t xml:space="preserve">. The values of </w:t>
      </w:r>
      <w:r w:rsidRPr="00390AA7">
        <w:rPr>
          <w:rFonts w:ascii="Symbol" w:hAnsi="Symbol"/>
          <w:i/>
        </w:rPr>
        <w:t></w:t>
      </w:r>
      <w:r w:rsidRPr="00390AA7">
        <w:rPr>
          <w:i/>
          <w:vertAlign w:val="subscript"/>
        </w:rPr>
        <w:t>Ri</w:t>
      </w:r>
      <w:r w:rsidRPr="00390AA7">
        <w:rPr>
          <w:rFonts w:eastAsia="Cambria"/>
          <w:lang w:eastAsia="en-US"/>
        </w:rPr>
        <w:t xml:space="preserve"> are 0 for some PSUs (those with fewer than five households with residents who registered M</w:t>
      </w:r>
      <w:r w:rsidRPr="00390AA7">
        <w:rPr>
          <w:rFonts w:eastAsia="Cambria" w:cs="Arial"/>
          <w:lang w:eastAsia="en-US"/>
        </w:rPr>
        <w:t>ā</w:t>
      </w:r>
      <w:r w:rsidRPr="00390AA7">
        <w:rPr>
          <w:rFonts w:eastAsia="Cambria"/>
          <w:lang w:eastAsia="en-US"/>
        </w:rPr>
        <w:t>ori descent on the electoral roll snapshot used in the sample design for that year).</w:t>
      </w:r>
    </w:p>
    <w:p w14:paraId="1E5528A0" w14:textId="77777777" w:rsidR="004366B7" w:rsidRPr="00390AA7" w:rsidRDefault="004366B7" w:rsidP="004366B7">
      <w:pPr>
        <w:pStyle w:val="Bullet"/>
        <w:rPr>
          <w:rFonts w:eastAsia="Cambria"/>
          <w:lang w:eastAsia="en-US"/>
        </w:rPr>
      </w:pPr>
      <w:r w:rsidRPr="00390AA7">
        <w:rPr>
          <w:rFonts w:eastAsia="Cambria"/>
          <w:lang w:eastAsia="en-US"/>
        </w:rPr>
        <w:t>Dwellings are eligible for selection in the electoral roll sample if they have at least one adult registered as being of M</w:t>
      </w:r>
      <w:r w:rsidRPr="00390AA7">
        <w:rPr>
          <w:rFonts w:eastAsia="Cambria" w:cs="Arial"/>
          <w:lang w:eastAsia="en-US"/>
        </w:rPr>
        <w:t>ā</w:t>
      </w:r>
      <w:r w:rsidRPr="00390AA7">
        <w:rPr>
          <w:rFonts w:eastAsia="Cambria"/>
          <w:lang w:eastAsia="en-US"/>
        </w:rPr>
        <w:t>ori descent in the electoral roll snapshot extracted for the enumeration quarter. (</w:t>
      </w:r>
      <w:r w:rsidRPr="00390AA7">
        <w:rPr>
          <w:rFonts w:eastAsia="Cambria"/>
          <w:i/>
          <w:lang w:eastAsia="en-US"/>
        </w:rPr>
        <w:t>E</w:t>
      </w:r>
      <w:r w:rsidRPr="00390AA7">
        <w:rPr>
          <w:rFonts w:eastAsia="Cambria"/>
          <w:i/>
          <w:vertAlign w:val="subscript"/>
          <w:lang w:eastAsia="en-US"/>
        </w:rPr>
        <w:t>ij</w:t>
      </w:r>
      <w:r w:rsidRPr="00390AA7">
        <w:rPr>
          <w:rFonts w:eastAsia="Cambria"/>
          <w:vertAlign w:val="subscript"/>
          <w:lang w:eastAsia="en-US"/>
        </w:rPr>
        <w:t xml:space="preserve"> </w:t>
      </w:r>
      <w:r w:rsidRPr="00390AA7">
        <w:rPr>
          <w:rFonts w:eastAsia="Cambria"/>
          <w:lang w:eastAsia="en-US"/>
        </w:rPr>
        <w:t xml:space="preserve">= 1 if PSU </w:t>
      </w:r>
      <w:r w:rsidRPr="00390AA7">
        <w:rPr>
          <w:rFonts w:eastAsia="Cambria"/>
          <w:i/>
          <w:lang w:eastAsia="en-US"/>
        </w:rPr>
        <w:t>i</w:t>
      </w:r>
      <w:r w:rsidRPr="00390AA7">
        <w:rPr>
          <w:rFonts w:eastAsia="Cambria"/>
          <w:lang w:eastAsia="en-US"/>
        </w:rPr>
        <w:t xml:space="preserve"> has </w:t>
      </w:r>
      <w:r w:rsidRPr="00390AA7">
        <w:rPr>
          <w:rFonts w:ascii="Symbol" w:hAnsi="Symbol"/>
          <w:bCs/>
          <w:i/>
        </w:rPr>
        <w:t></w:t>
      </w:r>
      <w:r w:rsidRPr="00390AA7">
        <w:rPr>
          <w:bCs/>
          <w:i/>
          <w:vertAlign w:val="subscript"/>
        </w:rPr>
        <w:t>Ri</w:t>
      </w:r>
      <w:r w:rsidRPr="00390AA7">
        <w:rPr>
          <w:rFonts w:eastAsia="Cambria"/>
          <w:i/>
          <w:lang w:eastAsia="en-US"/>
        </w:rPr>
        <w:t xml:space="preserve"> </w:t>
      </w:r>
      <w:r w:rsidRPr="00390AA7">
        <w:rPr>
          <w:rFonts w:eastAsia="Cambria"/>
          <w:lang w:eastAsia="en-US"/>
        </w:rPr>
        <w:t xml:space="preserve">&gt; 0 and dwelling </w:t>
      </w:r>
      <w:r w:rsidRPr="00390AA7">
        <w:rPr>
          <w:rFonts w:eastAsia="Cambria"/>
          <w:i/>
          <w:lang w:eastAsia="en-US"/>
        </w:rPr>
        <w:t>j</w:t>
      </w:r>
      <w:r w:rsidRPr="00390AA7">
        <w:rPr>
          <w:rFonts w:eastAsia="Cambria"/>
          <w:lang w:eastAsia="en-US"/>
        </w:rPr>
        <w:t xml:space="preserve"> in this PSU is eligible; </w:t>
      </w:r>
      <w:r w:rsidRPr="00390AA7">
        <w:rPr>
          <w:rFonts w:eastAsia="Cambria"/>
          <w:i/>
          <w:lang w:eastAsia="en-US"/>
        </w:rPr>
        <w:t>E</w:t>
      </w:r>
      <w:r w:rsidRPr="00390AA7">
        <w:rPr>
          <w:rFonts w:eastAsia="Cambria"/>
          <w:i/>
          <w:vertAlign w:val="subscript"/>
          <w:lang w:eastAsia="en-US"/>
        </w:rPr>
        <w:t>ij</w:t>
      </w:r>
      <w:r w:rsidRPr="00390AA7">
        <w:rPr>
          <w:rFonts w:eastAsia="Cambria"/>
          <w:vertAlign w:val="subscript"/>
          <w:lang w:eastAsia="en-US"/>
        </w:rPr>
        <w:t xml:space="preserve"> </w:t>
      </w:r>
      <w:r w:rsidRPr="00390AA7">
        <w:rPr>
          <w:rFonts w:eastAsia="Cambria"/>
          <w:lang w:eastAsia="en-US"/>
        </w:rPr>
        <w:t>= 0 otherwise.)</w:t>
      </w:r>
    </w:p>
    <w:p w14:paraId="44044496" w14:textId="77777777" w:rsidR="004366B7" w:rsidRPr="00390AA7" w:rsidRDefault="004366B7" w:rsidP="004366B7">
      <w:pPr>
        <w:pStyle w:val="Bullet"/>
        <w:rPr>
          <w:rFonts w:eastAsia="Cambria"/>
          <w:lang w:eastAsia="en-US"/>
        </w:rPr>
      </w:pPr>
      <w:r w:rsidRPr="00390AA7">
        <w:rPr>
          <w:rFonts w:eastAsia="Cambria"/>
          <w:lang w:eastAsia="en-US"/>
        </w:rPr>
        <w:t xml:space="preserve">A skip </w:t>
      </w:r>
      <w:r w:rsidRPr="00390AA7">
        <w:rPr>
          <w:rFonts w:eastAsia="Cambria"/>
          <w:i/>
          <w:lang w:eastAsia="en-US"/>
        </w:rPr>
        <w:t>k</w:t>
      </w:r>
      <w:r w:rsidRPr="00390AA7">
        <w:rPr>
          <w:rFonts w:eastAsia="Cambria"/>
          <w:i/>
          <w:vertAlign w:val="subscript"/>
          <w:lang w:eastAsia="en-US"/>
        </w:rPr>
        <w:t>Ri</w:t>
      </w:r>
      <w:r w:rsidRPr="00390AA7">
        <w:rPr>
          <w:rFonts w:eastAsia="Cambria"/>
          <w:lang w:eastAsia="en-US"/>
        </w:rPr>
        <w:t xml:space="preserve"> is assigned to each PSU and applied to eligible dwellings. The probability of an eligible dwelling being selected from PSU </w:t>
      </w:r>
      <w:r w:rsidRPr="00390AA7">
        <w:rPr>
          <w:rFonts w:eastAsia="Cambria"/>
          <w:i/>
          <w:lang w:eastAsia="en-US"/>
        </w:rPr>
        <w:t>i</w:t>
      </w:r>
      <w:r w:rsidRPr="00390AA7">
        <w:rPr>
          <w:rFonts w:eastAsia="Cambria"/>
          <w:lang w:eastAsia="en-US"/>
        </w:rPr>
        <w:t xml:space="preserve"> in the electoral roll sample is 1/</w:t>
      </w:r>
      <w:r w:rsidRPr="00390AA7">
        <w:rPr>
          <w:rFonts w:eastAsia="Cambria"/>
          <w:i/>
          <w:lang w:eastAsia="en-US"/>
        </w:rPr>
        <w:t>k</w:t>
      </w:r>
      <w:r w:rsidRPr="00390AA7">
        <w:rPr>
          <w:rFonts w:eastAsia="Cambria"/>
          <w:i/>
          <w:vertAlign w:val="subscript"/>
          <w:lang w:eastAsia="en-US"/>
        </w:rPr>
        <w:t>Ri</w:t>
      </w:r>
      <w:r w:rsidRPr="00390AA7">
        <w:rPr>
          <w:rFonts w:eastAsia="Cambria"/>
          <w:lang w:eastAsia="en-US"/>
        </w:rPr>
        <w:t xml:space="preserve">, where </w:t>
      </w:r>
      <w:r w:rsidRPr="00390AA7">
        <w:rPr>
          <w:rFonts w:eastAsia="Cambria"/>
          <w:i/>
          <w:lang w:eastAsia="en-US"/>
        </w:rPr>
        <w:t>k</w:t>
      </w:r>
      <w:r w:rsidRPr="00390AA7">
        <w:rPr>
          <w:rFonts w:eastAsia="Cambria"/>
          <w:i/>
          <w:vertAlign w:val="subscript"/>
          <w:lang w:eastAsia="en-US"/>
        </w:rPr>
        <w:t>Ri</w:t>
      </w:r>
      <w:r w:rsidRPr="00390AA7">
        <w:rPr>
          <w:rFonts w:eastAsia="Cambria"/>
          <w:lang w:eastAsia="en-US"/>
        </w:rPr>
        <w:t xml:space="preserve"> is a skip assigned to each PSU on the frame.</w:t>
      </w:r>
    </w:p>
    <w:p w14:paraId="72C80CC0" w14:textId="77777777" w:rsidR="004366B7" w:rsidRPr="00390AA7" w:rsidRDefault="004366B7" w:rsidP="004366B7">
      <w:pPr>
        <w:pStyle w:val="Bullet"/>
        <w:rPr>
          <w:rFonts w:eastAsia="Cambria"/>
          <w:lang w:eastAsia="en-US"/>
        </w:rPr>
      </w:pPr>
      <w:r w:rsidRPr="00390AA7">
        <w:rPr>
          <w:rFonts w:eastAsia="Cambria"/>
          <w:lang w:eastAsia="en-US"/>
        </w:rPr>
        <w:t xml:space="preserve">The probability of any particular adult being selected in the electoral roll sample from a selected dwelling </w:t>
      </w:r>
      <w:r w:rsidRPr="00390AA7">
        <w:rPr>
          <w:rFonts w:eastAsia="Cambria"/>
          <w:i/>
          <w:lang w:eastAsia="en-US"/>
        </w:rPr>
        <w:t>j</w:t>
      </w:r>
      <w:r w:rsidRPr="00390AA7">
        <w:rPr>
          <w:rFonts w:eastAsia="Cambria"/>
          <w:lang w:eastAsia="en-US"/>
        </w:rPr>
        <w:t xml:space="preserve"> in a selected PSU </w:t>
      </w:r>
      <w:r w:rsidRPr="00390AA7">
        <w:rPr>
          <w:rFonts w:eastAsia="Cambria"/>
          <w:i/>
          <w:lang w:eastAsia="en-US"/>
        </w:rPr>
        <w:t>i</w:t>
      </w:r>
      <w:r w:rsidRPr="00390AA7">
        <w:rPr>
          <w:rFonts w:eastAsia="Cambria"/>
          <w:lang w:eastAsia="en-US"/>
        </w:rPr>
        <w:t xml:space="preserve"> is then 1/</w:t>
      </w:r>
      <w:r w:rsidRPr="00390AA7">
        <w:rPr>
          <w:rFonts w:eastAsia="Cambria"/>
          <w:i/>
          <w:lang w:eastAsia="en-US"/>
        </w:rPr>
        <w:t>N</w:t>
      </w:r>
      <w:r w:rsidRPr="00390AA7">
        <w:rPr>
          <w:rFonts w:eastAsia="Cambria"/>
          <w:i/>
          <w:vertAlign w:val="subscript"/>
          <w:lang w:eastAsia="en-US"/>
        </w:rPr>
        <w:t>ij</w:t>
      </w:r>
      <w:r w:rsidRPr="00390AA7">
        <w:rPr>
          <w:rFonts w:eastAsia="Cambria"/>
          <w:vertAlign w:val="subscript"/>
          <w:lang w:eastAsia="en-US"/>
        </w:rPr>
        <w:t>(adult)</w:t>
      </w:r>
      <w:r w:rsidRPr="00390AA7">
        <w:rPr>
          <w:rFonts w:eastAsia="Cambria"/>
          <w:lang w:eastAsia="en-US"/>
        </w:rPr>
        <w:t>, and the probability of any particular child (if any in the household) being selected is 1/</w:t>
      </w:r>
      <w:r w:rsidRPr="00390AA7">
        <w:rPr>
          <w:rFonts w:eastAsia="Cambria"/>
          <w:i/>
          <w:lang w:eastAsia="en-US"/>
        </w:rPr>
        <w:t>N</w:t>
      </w:r>
      <w:r w:rsidRPr="00390AA7">
        <w:rPr>
          <w:rFonts w:eastAsia="Cambria"/>
          <w:i/>
          <w:vertAlign w:val="subscript"/>
          <w:lang w:eastAsia="en-US"/>
        </w:rPr>
        <w:t>ij</w:t>
      </w:r>
      <w:r w:rsidRPr="00390AA7">
        <w:rPr>
          <w:rFonts w:eastAsia="Cambria"/>
          <w:vertAlign w:val="subscript"/>
          <w:lang w:eastAsia="en-US"/>
        </w:rPr>
        <w:t>(child)</w:t>
      </w:r>
      <w:r w:rsidRPr="00390AA7">
        <w:rPr>
          <w:rFonts w:eastAsia="Cambria"/>
          <w:lang w:eastAsia="en-US"/>
        </w:rPr>
        <w:t>.</w:t>
      </w:r>
    </w:p>
    <w:p w14:paraId="6DAF403C" w14:textId="77777777" w:rsidR="004366B7" w:rsidRPr="00390AA7" w:rsidRDefault="004366B7" w:rsidP="00FC2C7B">
      <w:pPr>
        <w:pStyle w:val="Heading3"/>
        <w:rPr>
          <w:rFonts w:eastAsia="Cambria"/>
        </w:rPr>
      </w:pPr>
      <w:r w:rsidRPr="00390AA7">
        <w:rPr>
          <w:rFonts w:eastAsia="Cambria"/>
        </w:rPr>
        <w:t>Combined sample</w:t>
      </w:r>
    </w:p>
    <w:p w14:paraId="7740292B" w14:textId="77777777" w:rsidR="004366B7" w:rsidRPr="00390AA7" w:rsidRDefault="004366B7" w:rsidP="004366B7">
      <w:pPr>
        <w:keepNext/>
        <w:keepLines/>
        <w:rPr>
          <w:rFonts w:eastAsia="Cambria"/>
          <w:lang w:eastAsia="en-US"/>
        </w:rPr>
      </w:pPr>
      <w:r w:rsidRPr="00390AA7">
        <w:rPr>
          <w:rFonts w:eastAsia="Cambria"/>
          <w:lang w:eastAsia="en-US"/>
        </w:rPr>
        <w:t xml:space="preserve">The electoral roll sample and the area-based sample are selected according to the probabilities calculated using the above methods. The two samples of PSUs do not overlap. The complete NZHS sample is defined as the union of the two samples. The probability of selecting any adult in dwelling </w:t>
      </w:r>
      <w:r w:rsidRPr="00390AA7">
        <w:rPr>
          <w:rFonts w:eastAsia="Cambria"/>
          <w:i/>
          <w:lang w:eastAsia="en-US"/>
        </w:rPr>
        <w:t>j</w:t>
      </w:r>
      <w:r w:rsidRPr="00390AA7">
        <w:rPr>
          <w:rFonts w:eastAsia="Cambria"/>
          <w:lang w:eastAsia="en-US"/>
        </w:rPr>
        <w:t xml:space="preserve"> in PSU </w:t>
      </w:r>
      <w:r w:rsidRPr="00390AA7">
        <w:rPr>
          <w:rFonts w:eastAsia="Cambria"/>
          <w:i/>
          <w:lang w:eastAsia="en-US"/>
        </w:rPr>
        <w:t>i</w:t>
      </w:r>
      <w:r w:rsidRPr="00390AA7">
        <w:rPr>
          <w:rFonts w:eastAsia="Cambria"/>
          <w:lang w:eastAsia="en-US"/>
        </w:rPr>
        <w:t xml:space="preserve"> in the combined sample is therefore:</w:t>
      </w:r>
    </w:p>
    <w:p w14:paraId="73783BB2" w14:textId="77777777" w:rsidR="004366B7" w:rsidRPr="00390AA7" w:rsidRDefault="004366B7" w:rsidP="004366B7">
      <w:pPr>
        <w:spacing w:before="60"/>
        <w:ind w:left="567" w:hanging="567"/>
        <w:rPr>
          <w:rFonts w:eastAsia="Cambria"/>
          <w:lang w:eastAsia="en-US"/>
        </w:rPr>
      </w:pPr>
      <w:r w:rsidRPr="00390AA7">
        <w:rPr>
          <w:rFonts w:eastAsia="Cambria"/>
          <w:lang w:eastAsia="en-US"/>
        </w:rPr>
        <w:t>(1)</w:t>
      </w:r>
      <w:r w:rsidRPr="00390AA7">
        <w:rPr>
          <w:rFonts w:eastAsia="Cambria"/>
          <w:lang w:eastAsia="en-US"/>
        </w:rPr>
        <w:tab/>
      </w:r>
      <w:r w:rsidR="008D278D">
        <w:rPr>
          <w:color w:val="2B579A"/>
          <w:position w:val="-14"/>
          <w:shd w:val="clear" w:color="auto" w:fill="E6E6E6"/>
        </w:rPr>
        <w:pict w14:anchorId="43794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ormula for the probability of selecting any adult in a dwelling in New Zealand." style="width:345.75pt;height:21.75pt">
            <v:imagedata r:id="rId30" o:title=""/>
          </v:shape>
        </w:pict>
      </w:r>
    </w:p>
    <w:p w14:paraId="66971D37" w14:textId="77777777" w:rsidR="004366B7" w:rsidRPr="00390AA7" w:rsidRDefault="004366B7" w:rsidP="004366B7">
      <w:pPr>
        <w:rPr>
          <w:rFonts w:eastAsia="Cambria"/>
          <w:lang w:eastAsia="en-US"/>
        </w:rPr>
      </w:pPr>
    </w:p>
    <w:p w14:paraId="4E48A311" w14:textId="77777777" w:rsidR="004366B7" w:rsidRPr="00390AA7" w:rsidRDefault="004366B7" w:rsidP="004366B7">
      <w:pPr>
        <w:rPr>
          <w:rFonts w:eastAsia="Cambria"/>
          <w:lang w:eastAsia="en-US"/>
        </w:rPr>
      </w:pPr>
      <w:r w:rsidRPr="00390AA7">
        <w:rPr>
          <w:rFonts w:eastAsia="Cambria"/>
          <w:lang w:eastAsia="en-US"/>
        </w:rPr>
        <w:t xml:space="preserve">Similarly, the probability of selecting any child in dwelling </w:t>
      </w:r>
      <w:r w:rsidRPr="00390AA7">
        <w:rPr>
          <w:rFonts w:eastAsia="Cambria"/>
          <w:i/>
          <w:lang w:eastAsia="en-US"/>
        </w:rPr>
        <w:t>j</w:t>
      </w:r>
      <w:r w:rsidRPr="00390AA7">
        <w:rPr>
          <w:rFonts w:eastAsia="Cambria"/>
          <w:lang w:eastAsia="en-US"/>
        </w:rPr>
        <w:t xml:space="preserve"> in PSU </w:t>
      </w:r>
      <w:r w:rsidRPr="00390AA7">
        <w:rPr>
          <w:rFonts w:eastAsia="Cambria"/>
          <w:i/>
          <w:lang w:eastAsia="en-US"/>
        </w:rPr>
        <w:t>i</w:t>
      </w:r>
      <w:r w:rsidRPr="00390AA7">
        <w:rPr>
          <w:rFonts w:eastAsia="Cambria"/>
          <w:lang w:eastAsia="en-US"/>
        </w:rPr>
        <w:t xml:space="preserve"> in the combined sample is:</w:t>
      </w:r>
    </w:p>
    <w:p w14:paraId="53A4A615" w14:textId="77777777" w:rsidR="004366B7" w:rsidRPr="00390AA7" w:rsidRDefault="004366B7" w:rsidP="004366B7">
      <w:pPr>
        <w:spacing w:before="60"/>
        <w:ind w:left="567" w:hanging="567"/>
        <w:rPr>
          <w:rFonts w:eastAsia="Cambria"/>
          <w:lang w:eastAsia="en-US"/>
        </w:rPr>
      </w:pPr>
      <w:r w:rsidRPr="00390AA7">
        <w:rPr>
          <w:rFonts w:eastAsia="Cambria"/>
          <w:lang w:eastAsia="en-US"/>
        </w:rPr>
        <w:t>(2)</w:t>
      </w:r>
      <w:r w:rsidRPr="00390AA7">
        <w:rPr>
          <w:rFonts w:eastAsia="Cambria"/>
          <w:lang w:eastAsia="en-US"/>
        </w:rPr>
        <w:tab/>
      </w:r>
      <w:r w:rsidR="008D278D">
        <w:rPr>
          <w:color w:val="2B579A"/>
          <w:position w:val="-14"/>
          <w:shd w:val="clear" w:color="auto" w:fill="E6E6E6"/>
        </w:rPr>
        <w:pict w14:anchorId="1DD05EB3">
          <v:shape id="_x0000_i1026" type="#_x0000_t75" alt="Formula for the probability of selecting a child in a dwelling." style="width:338.25pt;height:21.75pt">
            <v:imagedata r:id="rId31" o:title=""/>
          </v:shape>
        </w:pict>
      </w:r>
    </w:p>
    <w:p w14:paraId="6E844479" w14:textId="77777777" w:rsidR="004366B7" w:rsidRPr="00390AA7" w:rsidRDefault="004366B7" w:rsidP="004366B7">
      <w:pPr>
        <w:rPr>
          <w:rFonts w:eastAsia="Cambria"/>
          <w:lang w:eastAsia="en-US"/>
        </w:rPr>
      </w:pPr>
    </w:p>
    <w:p w14:paraId="5BC83473" w14:textId="64C54B97" w:rsidR="00E510DA" w:rsidRPr="00390AA7" w:rsidRDefault="004366B7" w:rsidP="004366B7">
      <w:pPr>
        <w:rPr>
          <w:rFonts w:eastAsia="Cambria"/>
          <w:lang w:eastAsia="en-US"/>
        </w:rPr>
      </w:pPr>
      <w:r w:rsidRPr="00390AA7">
        <w:rPr>
          <w:rFonts w:eastAsia="Cambria"/>
          <w:lang w:eastAsia="en-US"/>
        </w:rPr>
        <w:t>The selection weights for adults and children are given by the reciprocal (inverse) of the above:</w:t>
      </w:r>
    </w:p>
    <w:p w14:paraId="3C6D555D" w14:textId="77777777" w:rsidR="004366B7" w:rsidRPr="00390AA7" w:rsidRDefault="004366B7" w:rsidP="004366B7">
      <w:pPr>
        <w:spacing w:before="60"/>
        <w:ind w:left="567" w:hanging="567"/>
        <w:rPr>
          <w:rFonts w:eastAsia="Cambria"/>
          <w:lang w:eastAsia="en-US"/>
        </w:rPr>
      </w:pPr>
      <w:r w:rsidRPr="00390AA7">
        <w:rPr>
          <w:rFonts w:eastAsia="Cambria"/>
          <w:lang w:eastAsia="en-US"/>
        </w:rPr>
        <w:t>(3)</w:t>
      </w:r>
      <w:r w:rsidRPr="00390AA7">
        <w:rPr>
          <w:rFonts w:eastAsia="Cambria"/>
          <w:lang w:eastAsia="en-US"/>
        </w:rPr>
        <w:tab/>
      </w:r>
      <w:r w:rsidR="008D278D">
        <w:rPr>
          <w:color w:val="2B579A"/>
          <w:position w:val="-14"/>
          <w:shd w:val="clear" w:color="auto" w:fill="E6E6E6"/>
        </w:rPr>
        <w:pict w14:anchorId="5DCDB9EA">
          <v:shape id="_x0000_i1027" type="#_x0000_t75" alt="Formula for selection weights for adults." style="width:223.5pt;height:21.75pt">
            <v:imagedata r:id="rId32" o:title=""/>
          </v:shape>
        </w:pict>
      </w:r>
    </w:p>
    <w:p w14:paraId="4970A65A" w14:textId="77777777" w:rsidR="004366B7" w:rsidRPr="00390AA7" w:rsidRDefault="004366B7" w:rsidP="004366B7">
      <w:pPr>
        <w:spacing w:before="60"/>
        <w:ind w:left="567" w:hanging="567"/>
        <w:rPr>
          <w:rFonts w:eastAsia="Cambria"/>
          <w:lang w:eastAsia="en-US"/>
        </w:rPr>
      </w:pPr>
      <w:r w:rsidRPr="00390AA7">
        <w:rPr>
          <w:rFonts w:eastAsia="Cambria"/>
          <w:lang w:eastAsia="en-US"/>
        </w:rPr>
        <w:t>(4)</w:t>
      </w:r>
      <w:r w:rsidRPr="00390AA7">
        <w:rPr>
          <w:rFonts w:eastAsia="Cambria"/>
          <w:lang w:eastAsia="en-US"/>
        </w:rPr>
        <w:tab/>
      </w:r>
      <w:bookmarkStart w:id="257" w:name="_Hlk54686399"/>
      <w:r w:rsidR="008D278D">
        <w:rPr>
          <w:color w:val="2B579A"/>
          <w:position w:val="-14"/>
          <w:shd w:val="clear" w:color="auto" w:fill="E6E6E6"/>
        </w:rPr>
        <w:pict w14:anchorId="38622B63">
          <v:shape id="_x0000_i1028" type="#_x0000_t75" alt="Formula for the selection weight for children." style="width:223.5pt;height:21.75pt">
            <v:imagedata r:id="rId33" o:title=""/>
          </v:shape>
        </w:pict>
      </w:r>
      <w:bookmarkEnd w:id="257"/>
    </w:p>
    <w:p w14:paraId="01AAB52C" w14:textId="77777777" w:rsidR="004366B7" w:rsidRPr="00390AA7" w:rsidRDefault="004366B7" w:rsidP="004366B7">
      <w:pPr>
        <w:rPr>
          <w:rFonts w:eastAsia="Cambria"/>
          <w:lang w:eastAsia="en-US"/>
        </w:rPr>
      </w:pPr>
    </w:p>
    <w:p w14:paraId="0CF510BC" w14:textId="77777777" w:rsidR="004366B7" w:rsidRPr="00390AA7" w:rsidRDefault="004366B7" w:rsidP="004366B7">
      <w:pPr>
        <w:rPr>
          <w:rFonts w:eastAsia="Cambria"/>
          <w:lang w:eastAsia="en-US"/>
        </w:rPr>
      </w:pPr>
      <w:r w:rsidRPr="00390AA7">
        <w:rPr>
          <w:rFonts w:eastAsia="Cambria"/>
          <w:lang w:eastAsia="en-US"/>
        </w:rPr>
        <w:t xml:space="preserve">For the purposes of calculating weights, values of </w:t>
      </w:r>
      <w:r w:rsidRPr="00390AA7">
        <w:rPr>
          <w:rFonts w:eastAsia="Cambria"/>
          <w:i/>
          <w:lang w:eastAsia="en-US"/>
        </w:rPr>
        <w:t>N</w:t>
      </w:r>
      <w:r w:rsidRPr="00390AA7">
        <w:rPr>
          <w:rFonts w:eastAsia="Cambria"/>
          <w:i/>
          <w:vertAlign w:val="subscript"/>
          <w:lang w:eastAsia="en-US"/>
        </w:rPr>
        <w:t>ij(adult</w:t>
      </w:r>
      <w:r w:rsidRPr="00390AA7">
        <w:rPr>
          <w:rFonts w:eastAsia="Cambria"/>
          <w:vertAlign w:val="subscript"/>
          <w:lang w:eastAsia="en-US"/>
        </w:rPr>
        <w:t>)</w:t>
      </w:r>
      <w:r w:rsidRPr="00390AA7">
        <w:rPr>
          <w:rFonts w:eastAsia="Cambria"/>
          <w:lang w:eastAsia="en-US"/>
        </w:rPr>
        <w:t xml:space="preserve"> or </w:t>
      </w:r>
      <w:r w:rsidRPr="00390AA7">
        <w:rPr>
          <w:rFonts w:eastAsia="Cambria"/>
          <w:i/>
          <w:lang w:eastAsia="en-US"/>
        </w:rPr>
        <w:t>N</w:t>
      </w:r>
      <w:r w:rsidRPr="00390AA7">
        <w:rPr>
          <w:rFonts w:eastAsia="Cambria"/>
          <w:i/>
          <w:vertAlign w:val="subscript"/>
          <w:lang w:eastAsia="en-US"/>
        </w:rPr>
        <w:t>ij(child)</w:t>
      </w:r>
      <w:r w:rsidRPr="00390AA7">
        <w:rPr>
          <w:rFonts w:eastAsia="Cambria"/>
          <w:lang w:eastAsia="en-US"/>
        </w:rPr>
        <w:t xml:space="preserve"> greater than five are truncated to five. This affects only a small proportion of households (approximately 1%) and is designed to reduce the variability of weights to avoid instability in weighted statistics.</w:t>
      </w:r>
    </w:p>
    <w:p w14:paraId="14261E49" w14:textId="77777777" w:rsidR="004366B7" w:rsidRPr="00390AA7" w:rsidRDefault="004366B7" w:rsidP="004366B7">
      <w:pPr>
        <w:pStyle w:val="Heading2"/>
        <w:rPr>
          <w:rFonts w:eastAsia="Cambria"/>
          <w:lang w:eastAsia="en-US"/>
        </w:rPr>
      </w:pPr>
      <w:bookmarkStart w:id="258" w:name="_Toc339270020"/>
      <w:bookmarkStart w:id="259" w:name="_Toc340501942"/>
      <w:bookmarkStart w:id="260" w:name="_Toc372445562"/>
      <w:bookmarkStart w:id="261" w:name="_Toc403044017"/>
      <w:bookmarkStart w:id="262" w:name="_Toc467491540"/>
      <w:bookmarkStart w:id="263" w:name="_Toc531762358"/>
      <w:bookmarkStart w:id="264" w:name="_Toc531783715"/>
      <w:bookmarkStart w:id="265" w:name="_Toc22887948"/>
      <w:bookmarkStart w:id="266" w:name="_Toc55206855"/>
      <w:bookmarkStart w:id="267" w:name="_Toc88752046"/>
      <w:bookmarkStart w:id="268" w:name="_Toc153259094"/>
      <w:r w:rsidRPr="00390AA7">
        <w:rPr>
          <w:rFonts w:eastAsia="Cambria"/>
          <w:lang w:eastAsia="en-US"/>
        </w:rPr>
        <w:t>Calibration of selection weights</w:t>
      </w:r>
      <w:bookmarkEnd w:id="258"/>
      <w:bookmarkEnd w:id="259"/>
      <w:bookmarkEnd w:id="260"/>
      <w:bookmarkEnd w:id="261"/>
      <w:bookmarkEnd w:id="262"/>
      <w:bookmarkEnd w:id="263"/>
      <w:bookmarkEnd w:id="264"/>
      <w:bookmarkEnd w:id="265"/>
      <w:bookmarkEnd w:id="266"/>
      <w:bookmarkEnd w:id="267"/>
      <w:bookmarkEnd w:id="268"/>
    </w:p>
    <w:p w14:paraId="1564A1CA" w14:textId="14E34289" w:rsidR="004366B7" w:rsidRPr="00390AA7" w:rsidRDefault="004366B7" w:rsidP="004366B7">
      <w:pPr>
        <w:ind w:right="-142"/>
        <w:rPr>
          <w:rFonts w:eastAsia="Cambria"/>
          <w:spacing w:val="-2"/>
          <w:lang w:eastAsia="en-US"/>
        </w:rPr>
      </w:pPr>
      <w:r w:rsidRPr="00390AA7">
        <w:rPr>
          <w:rFonts w:eastAsia="Cambria"/>
          <w:spacing w:val="-2"/>
          <w:lang w:eastAsia="en-US"/>
        </w:rPr>
        <w:t xml:space="preserve">Calibrated weights are calculated by combining the selection weights and population benchmark information obtained externally from the survey. The NZHS uses counts from </w:t>
      </w:r>
      <w:r w:rsidR="007A3409" w:rsidRPr="00390AA7">
        <w:rPr>
          <w:rFonts w:eastAsia="Cambria"/>
          <w:spacing w:val="-2"/>
          <w:lang w:eastAsia="en-US"/>
        </w:rPr>
        <w:t>Stats NZ</w:t>
      </w:r>
      <w:r w:rsidRPr="00390AA7">
        <w:rPr>
          <w:rFonts w:eastAsia="Cambria"/>
          <w:spacing w:val="-2"/>
          <w:lang w:eastAsia="en-US"/>
        </w:rPr>
        <w:t xml:space="preserve">’s estimated resident population for each calendar quarter, broken down by age, </w:t>
      </w:r>
      <w:r w:rsidR="00636958" w:rsidRPr="00390AA7">
        <w:rPr>
          <w:rFonts w:eastAsia="Cambria"/>
          <w:spacing w:val="-2"/>
          <w:lang w:eastAsia="en-US"/>
        </w:rPr>
        <w:t>sex</w:t>
      </w:r>
      <w:r w:rsidRPr="00390AA7">
        <w:rPr>
          <w:rFonts w:eastAsia="Cambria"/>
          <w:spacing w:val="-2"/>
          <w:lang w:eastAsia="en-US"/>
        </w:rPr>
        <w:t>, ethnicity and socioeconomic position, as its benchmark population.</w:t>
      </w:r>
    </w:p>
    <w:p w14:paraId="509F743F" w14:textId="77777777" w:rsidR="004366B7" w:rsidRPr="00390AA7" w:rsidRDefault="004366B7" w:rsidP="004366B7">
      <w:pPr>
        <w:rPr>
          <w:rFonts w:eastAsia="Cambria"/>
          <w:lang w:eastAsia="en-US"/>
        </w:rPr>
      </w:pPr>
    </w:p>
    <w:p w14:paraId="103B7D61" w14:textId="77777777" w:rsidR="004366B7" w:rsidRPr="00390AA7" w:rsidRDefault="004366B7" w:rsidP="004366B7">
      <w:pPr>
        <w:rPr>
          <w:rFonts w:eastAsia="Cambria"/>
          <w:lang w:eastAsia="en-US"/>
        </w:rPr>
      </w:pPr>
      <w:r w:rsidRPr="00390AA7">
        <w:rPr>
          <w:rFonts w:eastAsia="Cambria"/>
          <w:lang w:eastAsia="en-US"/>
        </w:rPr>
        <w:t>Calibrated weights are calculated to achieve two specific requirements.</w:t>
      </w:r>
    </w:p>
    <w:p w14:paraId="55459DFF" w14:textId="77777777" w:rsidR="004366B7" w:rsidRPr="00390AA7" w:rsidRDefault="004366B7" w:rsidP="004366B7">
      <w:pPr>
        <w:spacing w:before="90"/>
        <w:ind w:left="567" w:hanging="567"/>
        <w:rPr>
          <w:rFonts w:eastAsia="Cambria"/>
          <w:lang w:eastAsia="en-US"/>
        </w:rPr>
      </w:pPr>
      <w:r w:rsidRPr="00390AA7">
        <w:rPr>
          <w:rFonts w:eastAsia="Cambria"/>
          <w:lang w:eastAsia="en-US"/>
        </w:rPr>
        <w:t>A.</w:t>
      </w:r>
      <w:r w:rsidRPr="00390AA7">
        <w:rPr>
          <w:rFonts w:eastAsia="Cambria"/>
          <w:lang w:eastAsia="en-US"/>
        </w:rPr>
        <w:tab/>
        <w:t>The weights should be close to the inverse of the probability of selecting each respondent.</w:t>
      </w:r>
    </w:p>
    <w:p w14:paraId="6ACB1C78" w14:textId="59D84D84" w:rsidR="004366B7" w:rsidRPr="00390AA7" w:rsidRDefault="004366B7" w:rsidP="004366B7">
      <w:pPr>
        <w:spacing w:before="90"/>
        <w:ind w:left="567" w:hanging="567"/>
        <w:rPr>
          <w:rFonts w:eastAsia="Cambria"/>
          <w:lang w:eastAsia="en-US"/>
        </w:rPr>
      </w:pPr>
      <w:r w:rsidRPr="00390AA7">
        <w:rPr>
          <w:rFonts w:eastAsia="Cambria"/>
          <w:lang w:eastAsia="en-US"/>
        </w:rPr>
        <w:t>B.</w:t>
      </w:r>
      <w:r w:rsidRPr="00390AA7">
        <w:rPr>
          <w:rFonts w:eastAsia="Cambria"/>
        </w:rPr>
        <w:tab/>
      </w:r>
      <w:r w:rsidRPr="00390AA7">
        <w:rPr>
          <w:rFonts w:eastAsia="Cambria"/>
          <w:lang w:eastAsia="en-US"/>
        </w:rPr>
        <w:t>The weights are calibrated to the known population counts for a range of sub-populations (such as age-by-</w:t>
      </w:r>
      <w:r w:rsidR="004073B0" w:rsidRPr="00390AA7">
        <w:rPr>
          <w:rFonts w:eastAsia="Cambria"/>
          <w:lang w:eastAsia="en-US"/>
        </w:rPr>
        <w:t>sex</w:t>
      </w:r>
      <w:r w:rsidRPr="00390AA7">
        <w:rPr>
          <w:rFonts w:eastAsia="Cambria"/>
          <w:lang w:eastAsia="en-US"/>
        </w:rPr>
        <w:t>-by-ethnicity categories). This means that the sum of the weights for respondents in the sub-population must equal exactly the known benchmark for the sub-population size.</w:t>
      </w:r>
    </w:p>
    <w:p w14:paraId="0D1029D3" w14:textId="77777777" w:rsidR="004366B7" w:rsidRPr="00390AA7" w:rsidRDefault="004366B7" w:rsidP="004366B7">
      <w:pPr>
        <w:rPr>
          <w:rFonts w:eastAsia="Cambria"/>
          <w:lang w:eastAsia="en-US"/>
        </w:rPr>
      </w:pPr>
    </w:p>
    <w:p w14:paraId="40212B71" w14:textId="5262E337" w:rsidR="004366B7" w:rsidRDefault="004366B7" w:rsidP="004366B7">
      <w:pPr>
        <w:rPr>
          <w:rFonts w:eastAsia="Cambria"/>
          <w:lang w:eastAsia="en-US"/>
        </w:rPr>
      </w:pPr>
      <w:r w:rsidRPr="00390AA7">
        <w:rPr>
          <w:rFonts w:eastAsia="Cambria"/>
          <w:lang w:eastAsia="en-US"/>
        </w:rPr>
        <w:t>Requirement A ensures that estimates have low bias; requirement B improves the precision of estimates and achieves consistency between the survey estimates and external benchmark information. The calibrated weights are calculated in such a way as to minimise a measure of the distance between the calibrated weights and the inverse selection probabilities, provided that requirement B above is satisfied.</w:t>
      </w:r>
    </w:p>
    <w:p w14:paraId="36B3A646" w14:textId="77777777" w:rsidR="006260CA" w:rsidRPr="00390AA7" w:rsidRDefault="006260CA" w:rsidP="004366B7">
      <w:pPr>
        <w:rPr>
          <w:rFonts w:eastAsia="Cambria"/>
          <w:lang w:eastAsia="en-US"/>
        </w:rPr>
      </w:pPr>
    </w:p>
    <w:p w14:paraId="538C52D6" w14:textId="7523A5A8" w:rsidR="004366B7" w:rsidRPr="00390AA7" w:rsidRDefault="004366B7" w:rsidP="004366B7">
      <w:r w:rsidRPr="00390AA7">
        <w:rPr>
          <w:rFonts w:eastAsia="Cambria"/>
          <w:lang w:eastAsia="en-US"/>
        </w:rPr>
        <w:t xml:space="preserve">A number of distance measures are in common use. A chi-square distance function (case 1 in </w:t>
      </w:r>
      <w:r w:rsidRPr="00390AA7">
        <w:rPr>
          <w:rFonts w:eastAsia="Cambria"/>
        </w:rPr>
        <w:t>Deville and Särndal 1992) is used for calibrating the NZHS weights, which correspon</w:t>
      </w:r>
      <w:r w:rsidRPr="00390AA7">
        <w:rPr>
          <w:rFonts w:eastAsia="Cambria"/>
          <w:lang w:eastAsia="en-US"/>
        </w:rPr>
        <w:t xml:space="preserve">ds to generalised regression estimation (also known as GREG). This distance function is slightly modified to force weights to lie within certain bounds, with the aim of avoiding extreme weights. </w:t>
      </w:r>
      <w:r w:rsidRPr="00390AA7">
        <w:t>For details on the weighting in 202</w:t>
      </w:r>
      <w:r w:rsidR="001B4491" w:rsidRPr="00390AA7">
        <w:t>2</w:t>
      </w:r>
      <w:r w:rsidRPr="00390AA7">
        <w:t>/2</w:t>
      </w:r>
      <w:r w:rsidR="001B4491" w:rsidRPr="00390AA7">
        <w:t>3</w:t>
      </w:r>
      <w:r w:rsidRPr="00390AA7">
        <w:t>, see the ‘New Zealand Health Survey 202</w:t>
      </w:r>
      <w:r w:rsidR="001B4491" w:rsidRPr="00390AA7">
        <w:t>2</w:t>
      </w:r>
      <w:r w:rsidRPr="00390AA7">
        <w:t>/2</w:t>
      </w:r>
      <w:r w:rsidR="001B4491" w:rsidRPr="00390AA7">
        <w:t>3</w:t>
      </w:r>
      <w:r w:rsidRPr="00390AA7">
        <w:t>’ section.</w:t>
      </w:r>
    </w:p>
    <w:p w14:paraId="4952ABD7" w14:textId="77777777" w:rsidR="004366B7" w:rsidRPr="00390AA7" w:rsidRDefault="004366B7" w:rsidP="004366B7">
      <w:pPr>
        <w:rPr>
          <w:rFonts w:eastAsia="Cambria"/>
          <w:lang w:eastAsia="en-US"/>
        </w:rPr>
      </w:pPr>
    </w:p>
    <w:p w14:paraId="2F8F8284" w14:textId="0A80812E" w:rsidR="00132CE4" w:rsidRPr="00390AA7" w:rsidRDefault="004366B7" w:rsidP="00CD1F09">
      <w:pPr>
        <w:rPr>
          <w:rFonts w:eastAsia="Cambria"/>
          <w:lang w:eastAsia="en-US"/>
        </w:rPr>
      </w:pPr>
      <w:r w:rsidRPr="00390AA7">
        <w:rPr>
          <w:rFonts w:eastAsia="Cambria"/>
          <w:lang w:eastAsia="en-US"/>
        </w:rPr>
        <w:t>The inverse selection probability is sometimes called the initial weight. The final, calibrated weights are sometimes expressed as: final weight = initial weight * g-weight. The ‘g-weight’ indicates the factor by which calibration has changed the initial weight.</w:t>
      </w:r>
    </w:p>
    <w:p w14:paraId="5BB57526" w14:textId="722A8730" w:rsidR="004366B7" w:rsidRPr="00390AA7" w:rsidRDefault="004366B7" w:rsidP="00CD1F09">
      <w:pPr>
        <w:pStyle w:val="Heading3"/>
        <w:rPr>
          <w:rFonts w:eastAsia="Cambria"/>
        </w:rPr>
      </w:pPr>
      <w:bookmarkStart w:id="269" w:name="_Toc340501944"/>
      <w:bookmarkStart w:id="270" w:name="_Toc372445564"/>
      <w:bookmarkStart w:id="271" w:name="_Toc403044019"/>
      <w:r w:rsidRPr="00390AA7">
        <w:rPr>
          <w:rFonts w:eastAsia="Cambria"/>
          <w:lang w:eastAsia="en-US"/>
        </w:rPr>
        <w:t>Population</w:t>
      </w:r>
      <w:r w:rsidRPr="00390AA7">
        <w:rPr>
          <w:rFonts w:eastAsia="Cambria"/>
        </w:rPr>
        <w:t xml:space="preserve"> benchmarks</w:t>
      </w:r>
      <w:bookmarkEnd w:id="269"/>
      <w:bookmarkEnd w:id="270"/>
      <w:bookmarkEnd w:id="271"/>
    </w:p>
    <w:p w14:paraId="5B5C225F" w14:textId="77777777" w:rsidR="004366B7" w:rsidRPr="00390AA7" w:rsidRDefault="004366B7" w:rsidP="004366B7">
      <w:pPr>
        <w:rPr>
          <w:rFonts w:eastAsia="Cambria"/>
          <w:lang w:eastAsia="en-US"/>
        </w:rPr>
      </w:pPr>
      <w:r w:rsidRPr="00390AA7">
        <w:rPr>
          <w:rFonts w:eastAsia="Cambria"/>
          <w:lang w:eastAsia="en-US"/>
        </w:rPr>
        <w:t>The following population benchmarks are used in the NZHS weighting.</w:t>
      </w:r>
    </w:p>
    <w:p w14:paraId="789F821B" w14:textId="4A7DED48" w:rsidR="004366B7" w:rsidRPr="00390AA7" w:rsidRDefault="004366B7" w:rsidP="004366B7">
      <w:pPr>
        <w:pStyle w:val="Bullet"/>
      </w:pPr>
      <w:bookmarkStart w:id="272" w:name="_Hlk22892020"/>
      <w:r w:rsidRPr="00390AA7">
        <w:t>Age group (0–4, 5–9, 10–14, 15–19, 20–24, 25–29, 30–34, 35–39, 40–44, 45–49,</w:t>
      </w:r>
      <w:r w:rsidRPr="00390AA7">
        <w:br/>
        <w:t xml:space="preserve">50–54, 55–59, 60–64, 65–74, 75+ years) by </w:t>
      </w:r>
      <w:r w:rsidR="00DF08AD" w:rsidRPr="00390AA7">
        <w:t>sex</w:t>
      </w:r>
      <w:r w:rsidRPr="00390AA7">
        <w:t xml:space="preserve"> (male, female) </w:t>
      </w:r>
      <w:r w:rsidRPr="00A626D4">
        <w:t>for all people</w:t>
      </w:r>
      <w:r w:rsidR="004E65A9" w:rsidRPr="00A626D4">
        <w:t xml:space="preserve"> in the target population</w:t>
      </w:r>
    </w:p>
    <w:p w14:paraId="1A4F3FB8" w14:textId="7B04C944" w:rsidR="004366B7" w:rsidRPr="00390AA7" w:rsidRDefault="004366B7" w:rsidP="004366B7">
      <w:pPr>
        <w:pStyle w:val="Bullet"/>
      </w:pPr>
      <w:r w:rsidRPr="00390AA7">
        <w:t>Age group (0–4, 5–9, 10–14, 15–29, 30–34, 35–39, 40–44, 45–49, 50–54, 55–64, 65+ years) by</w:t>
      </w:r>
      <w:r w:rsidRPr="00390AA7">
        <w:rPr>
          <w:i/>
        </w:rPr>
        <w:t xml:space="preserve"> </w:t>
      </w:r>
      <w:r w:rsidR="00DF08AD" w:rsidRPr="00390AA7">
        <w:rPr>
          <w:iCs/>
        </w:rPr>
        <w:t>sex</w:t>
      </w:r>
      <w:r w:rsidRPr="00390AA7">
        <w:t xml:space="preserve"> (male, female) for all Māori</w:t>
      </w:r>
    </w:p>
    <w:bookmarkEnd w:id="272"/>
    <w:p w14:paraId="6D4C3DB3" w14:textId="77777777" w:rsidR="004366B7" w:rsidRPr="00390AA7" w:rsidRDefault="004366B7" w:rsidP="004366B7">
      <w:pPr>
        <w:pStyle w:val="Bullet"/>
      </w:pPr>
      <w:r w:rsidRPr="00390AA7">
        <w:t xml:space="preserve">Adult population by Pacific </w:t>
      </w:r>
      <w:r w:rsidRPr="00390AA7">
        <w:rPr>
          <w:rFonts w:eastAsia="Cambria"/>
          <w:lang w:eastAsia="en-US"/>
        </w:rPr>
        <w:t>peoples</w:t>
      </w:r>
      <w:r w:rsidRPr="00390AA7">
        <w:t xml:space="preserve"> and non-Pacific</w:t>
      </w:r>
      <w:r w:rsidRPr="00390AA7">
        <w:rPr>
          <w:rFonts w:eastAsia="Cambria"/>
          <w:lang w:eastAsia="en-US"/>
        </w:rPr>
        <w:t xml:space="preserve"> peoples</w:t>
      </w:r>
    </w:p>
    <w:p w14:paraId="20E7DD49" w14:textId="77777777" w:rsidR="004366B7" w:rsidRPr="00390AA7" w:rsidRDefault="004366B7" w:rsidP="004366B7">
      <w:pPr>
        <w:pStyle w:val="Bullet"/>
      </w:pPr>
      <w:r w:rsidRPr="00390AA7">
        <w:t>Adult population by Asian and non-Asian</w:t>
      </w:r>
    </w:p>
    <w:p w14:paraId="7A210AAA" w14:textId="77777777" w:rsidR="004366B7" w:rsidRPr="00390AA7" w:rsidRDefault="004366B7" w:rsidP="004366B7">
      <w:pPr>
        <w:pStyle w:val="Bullet"/>
      </w:pPr>
      <w:r w:rsidRPr="00390AA7">
        <w:t>Total population by NZDep2018 quintile.</w:t>
      </w:r>
    </w:p>
    <w:p w14:paraId="60A31118" w14:textId="77777777" w:rsidR="004366B7" w:rsidRPr="00390AA7" w:rsidRDefault="004366B7" w:rsidP="004366B7">
      <w:pPr>
        <w:rPr>
          <w:rFonts w:eastAsia="Cambria"/>
          <w:lang w:eastAsia="en-US"/>
        </w:rPr>
      </w:pPr>
    </w:p>
    <w:p w14:paraId="6AD3B0F0" w14:textId="2720DBD4" w:rsidR="004366B7" w:rsidRPr="00390AA7" w:rsidRDefault="004366B7" w:rsidP="004366B7">
      <w:pPr>
        <w:rPr>
          <w:rFonts w:eastAsia="Cambria"/>
          <w:lang w:eastAsia="en-US"/>
        </w:rPr>
      </w:pPr>
      <w:r w:rsidRPr="00390AA7">
        <w:rPr>
          <w:rFonts w:eastAsia="Cambria"/>
          <w:lang w:eastAsia="en-US"/>
        </w:rPr>
        <w:t xml:space="preserve">Age, </w:t>
      </w:r>
      <w:r w:rsidR="00DF08AD" w:rsidRPr="00C36E56">
        <w:rPr>
          <w:rFonts w:eastAsia="Cambria"/>
          <w:lang w:eastAsia="en-US"/>
        </w:rPr>
        <w:t>sex</w:t>
      </w:r>
      <w:r w:rsidRPr="00390AA7">
        <w:rPr>
          <w:rFonts w:eastAsia="Cambria"/>
          <w:lang w:eastAsia="en-US"/>
        </w:rPr>
        <w:t>, ethnicity (M</w:t>
      </w:r>
      <w:r w:rsidRPr="00390AA7">
        <w:t>ā</w:t>
      </w:r>
      <w:r w:rsidRPr="00390AA7">
        <w:rPr>
          <w:rFonts w:eastAsia="Cambria"/>
          <w:lang w:eastAsia="en-US"/>
        </w:rPr>
        <w:t>ori, Pacific peoples, Asian, using self-identified total ethnicity) and socioeconomic position (NZDep2018) are included because these variables are related to many health conditions and to non-response, and they are a key output classification for the survey.</w:t>
      </w:r>
    </w:p>
    <w:p w14:paraId="5D1A3C87" w14:textId="77777777" w:rsidR="00FC6906" w:rsidRPr="00A626D4" w:rsidRDefault="00FC6906" w:rsidP="00FC6906">
      <w:pPr>
        <w:pStyle w:val="Heading3"/>
        <w:rPr>
          <w:rFonts w:eastAsia="Cambria"/>
          <w:lang w:eastAsia="en-US"/>
        </w:rPr>
      </w:pPr>
      <w:r w:rsidRPr="00A626D4">
        <w:rPr>
          <w:rFonts w:eastAsia="Cambria"/>
          <w:lang w:eastAsia="en-US"/>
        </w:rPr>
        <w:t>Benchmarks for the total population</w:t>
      </w:r>
    </w:p>
    <w:p w14:paraId="2DF84544" w14:textId="1EFF4D1A" w:rsidR="004E65A9" w:rsidRPr="00390AA7" w:rsidRDefault="00FC6906" w:rsidP="004366B7">
      <w:pPr>
        <w:rPr>
          <w:rFonts w:eastAsia="Cambria"/>
          <w:lang w:eastAsia="en-US"/>
        </w:rPr>
      </w:pPr>
      <w:r w:rsidRPr="00A626D4">
        <w:rPr>
          <w:rFonts w:eastAsia="Cambria"/>
          <w:lang w:eastAsia="en-US"/>
        </w:rPr>
        <w:t>Quarterly benchmarks for the total population are Stats NZ’s population estimates as at the end of each calendar quarter.</w:t>
      </w:r>
    </w:p>
    <w:p w14:paraId="5637E49E" w14:textId="77777777" w:rsidR="004366B7" w:rsidRPr="00390AA7" w:rsidRDefault="004366B7" w:rsidP="004366B7">
      <w:pPr>
        <w:rPr>
          <w:rFonts w:eastAsia="Cambria"/>
          <w:lang w:eastAsia="en-US"/>
        </w:rPr>
      </w:pPr>
    </w:p>
    <w:p w14:paraId="7BFC1CD4" w14:textId="77777777" w:rsidR="004366B7" w:rsidRPr="00390AA7" w:rsidRDefault="004366B7" w:rsidP="00DF08AD">
      <w:pPr>
        <w:pStyle w:val="Heading3"/>
        <w:spacing w:before="0"/>
        <w:rPr>
          <w:rFonts w:eastAsia="Cambria"/>
        </w:rPr>
      </w:pPr>
      <w:r w:rsidRPr="00390AA7">
        <w:rPr>
          <w:rFonts w:eastAsia="Cambria"/>
        </w:rPr>
        <w:t>Benchmarks for the Māori population</w:t>
      </w:r>
    </w:p>
    <w:p w14:paraId="11EAF32B" w14:textId="6898B8BC" w:rsidR="004366B7" w:rsidRPr="00390AA7" w:rsidRDefault="004366B7" w:rsidP="004366B7">
      <w:pPr>
        <w:rPr>
          <w:rFonts w:eastAsia="Cambria"/>
          <w:lang w:eastAsia="en-US"/>
        </w:rPr>
      </w:pPr>
      <w:r w:rsidRPr="00390AA7">
        <w:rPr>
          <w:rFonts w:eastAsia="Cambria"/>
          <w:lang w:eastAsia="en-US"/>
        </w:rPr>
        <w:t>Quarterly benchmarks for the M</w:t>
      </w:r>
      <w:r w:rsidRPr="00390AA7">
        <w:t>ā</w:t>
      </w:r>
      <w:r w:rsidRPr="00390AA7">
        <w:rPr>
          <w:rFonts w:eastAsia="Cambria"/>
          <w:lang w:eastAsia="en-US"/>
        </w:rPr>
        <w:t>ori population are constructed for the NZHS by projecting forward the annual (mid-year) population estimates for M</w:t>
      </w:r>
      <w:r w:rsidRPr="00390AA7">
        <w:t>ā</w:t>
      </w:r>
      <w:r w:rsidRPr="00390AA7">
        <w:rPr>
          <w:rFonts w:eastAsia="Cambria"/>
          <w:lang w:eastAsia="en-US"/>
        </w:rPr>
        <w:t xml:space="preserve">ori released by </w:t>
      </w:r>
      <w:r w:rsidR="007A3409" w:rsidRPr="00390AA7">
        <w:rPr>
          <w:rFonts w:eastAsia="Cambria"/>
          <w:lang w:eastAsia="en-US"/>
        </w:rPr>
        <w:t>Stats NZ</w:t>
      </w:r>
      <w:r w:rsidRPr="00390AA7">
        <w:rPr>
          <w:rFonts w:eastAsia="Cambria"/>
          <w:lang w:eastAsia="en-US"/>
        </w:rPr>
        <w:t>.</w:t>
      </w:r>
    </w:p>
    <w:p w14:paraId="7D7F7FBA" w14:textId="77777777" w:rsidR="004366B7" w:rsidRPr="00390AA7" w:rsidRDefault="004366B7" w:rsidP="004366B7">
      <w:pPr>
        <w:rPr>
          <w:rFonts w:eastAsia="Cambria"/>
          <w:lang w:eastAsia="en-US"/>
        </w:rPr>
      </w:pPr>
    </w:p>
    <w:p w14:paraId="1F53EADF" w14:textId="00E57F15" w:rsidR="004366B7" w:rsidRPr="00390AA7" w:rsidRDefault="004366B7" w:rsidP="004366B7">
      <w:pPr>
        <w:rPr>
          <w:rFonts w:eastAsia="Cambria"/>
          <w:lang w:eastAsia="en-US"/>
        </w:rPr>
      </w:pPr>
      <w:r w:rsidRPr="00390AA7">
        <w:rPr>
          <w:rFonts w:eastAsia="Cambria"/>
          <w:lang w:eastAsia="en-US"/>
        </w:rPr>
        <w:t>Using the M</w:t>
      </w:r>
      <w:r w:rsidRPr="00390AA7">
        <w:t>ā</w:t>
      </w:r>
      <w:r w:rsidRPr="00390AA7">
        <w:rPr>
          <w:rFonts w:eastAsia="Cambria"/>
          <w:lang w:eastAsia="en-US"/>
        </w:rPr>
        <w:t xml:space="preserve">ori population estimates and total population estimates as at </w:t>
      </w:r>
      <w:r w:rsidRPr="006E6581">
        <w:rPr>
          <w:rFonts w:eastAsia="Cambria"/>
          <w:lang w:eastAsia="en-US"/>
        </w:rPr>
        <w:t>30 June</w:t>
      </w:r>
      <w:r w:rsidRPr="00390AA7">
        <w:rPr>
          <w:rFonts w:eastAsia="Cambria"/>
          <w:lang w:eastAsia="en-US"/>
        </w:rPr>
        <w:t>, the proportion of the total population who are M</w:t>
      </w:r>
      <w:r w:rsidRPr="00390AA7">
        <w:t>ā</w:t>
      </w:r>
      <w:r w:rsidRPr="00390AA7">
        <w:rPr>
          <w:rFonts w:eastAsia="Cambria"/>
          <w:lang w:eastAsia="en-US"/>
        </w:rPr>
        <w:t>ori is calculated for each five-year age-by-</w:t>
      </w:r>
      <w:r w:rsidR="000C3505" w:rsidRPr="006E6581">
        <w:rPr>
          <w:rFonts w:eastAsia="Cambria"/>
          <w:lang w:eastAsia="en-US"/>
        </w:rPr>
        <w:t>sex</w:t>
      </w:r>
      <w:r w:rsidRPr="00390AA7">
        <w:rPr>
          <w:rFonts w:eastAsia="Cambria"/>
          <w:lang w:eastAsia="en-US"/>
        </w:rPr>
        <w:t xml:space="preserve"> group. Then these proportions are applied to quarterly total population estimates, by age and </w:t>
      </w:r>
      <w:r w:rsidR="000C3505" w:rsidRPr="006E6581">
        <w:rPr>
          <w:rFonts w:eastAsia="Cambria"/>
          <w:lang w:eastAsia="en-US"/>
        </w:rPr>
        <w:t>sex</w:t>
      </w:r>
      <w:r w:rsidRPr="00390AA7">
        <w:rPr>
          <w:rFonts w:eastAsia="Cambria"/>
          <w:lang w:eastAsia="en-US"/>
        </w:rPr>
        <w:t>, for the subsequent four quarters. For example, the proportion of each age-by-</w:t>
      </w:r>
      <w:r w:rsidR="00CF4671" w:rsidRPr="006E6581">
        <w:rPr>
          <w:rFonts w:eastAsia="Cambria"/>
          <w:lang w:eastAsia="en-US"/>
        </w:rPr>
        <w:t>sex</w:t>
      </w:r>
      <w:r w:rsidR="00CF4671" w:rsidRPr="00390AA7">
        <w:rPr>
          <w:rFonts w:eastAsia="Cambria"/>
          <w:lang w:eastAsia="en-US"/>
        </w:rPr>
        <w:t xml:space="preserve"> </w:t>
      </w:r>
      <w:r w:rsidRPr="00390AA7">
        <w:rPr>
          <w:rFonts w:eastAsia="Cambria"/>
          <w:lang w:eastAsia="en-US"/>
        </w:rPr>
        <w:t>group who are M</w:t>
      </w:r>
      <w:r w:rsidRPr="00390AA7">
        <w:t>ā</w:t>
      </w:r>
      <w:r w:rsidRPr="00390AA7">
        <w:rPr>
          <w:rFonts w:eastAsia="Cambria"/>
          <w:lang w:eastAsia="en-US"/>
        </w:rPr>
        <w:t>ori as at 30 June 202</w:t>
      </w:r>
      <w:r w:rsidR="00410631" w:rsidRPr="00390AA7">
        <w:rPr>
          <w:rFonts w:eastAsia="Cambria"/>
          <w:lang w:eastAsia="en-US"/>
        </w:rPr>
        <w:t>2</w:t>
      </w:r>
      <w:r w:rsidRPr="00390AA7">
        <w:rPr>
          <w:rFonts w:eastAsia="Cambria"/>
          <w:lang w:eastAsia="en-US"/>
        </w:rPr>
        <w:t xml:space="preserve"> is used to construct estimates of the M</w:t>
      </w:r>
      <w:r w:rsidRPr="00390AA7">
        <w:t>ā</w:t>
      </w:r>
      <w:r w:rsidRPr="00390AA7">
        <w:rPr>
          <w:rFonts w:eastAsia="Cambria"/>
          <w:lang w:eastAsia="en-US"/>
        </w:rPr>
        <w:t xml:space="preserve">ori population by age and </w:t>
      </w:r>
      <w:r w:rsidR="00B701D0" w:rsidRPr="00390AA7">
        <w:rPr>
          <w:rFonts w:eastAsia="Cambria"/>
          <w:lang w:eastAsia="en-US"/>
        </w:rPr>
        <w:t>sex</w:t>
      </w:r>
      <w:r w:rsidRPr="00390AA7">
        <w:rPr>
          <w:rFonts w:eastAsia="Cambria"/>
          <w:lang w:eastAsia="en-US"/>
        </w:rPr>
        <w:t xml:space="preserve"> in each of the quarters ending 30 September 202</w:t>
      </w:r>
      <w:r w:rsidR="00410631" w:rsidRPr="00390AA7">
        <w:rPr>
          <w:rFonts w:eastAsia="Cambria"/>
          <w:lang w:eastAsia="en-US"/>
        </w:rPr>
        <w:t>2</w:t>
      </w:r>
      <w:r w:rsidRPr="00390AA7">
        <w:rPr>
          <w:rFonts w:eastAsia="Cambria"/>
          <w:lang w:eastAsia="en-US"/>
        </w:rPr>
        <w:t>, 31 December 202</w:t>
      </w:r>
      <w:r w:rsidR="00410631" w:rsidRPr="00390AA7">
        <w:rPr>
          <w:rFonts w:eastAsia="Cambria"/>
          <w:lang w:eastAsia="en-US"/>
        </w:rPr>
        <w:t xml:space="preserve">2 and </w:t>
      </w:r>
      <w:r w:rsidRPr="00390AA7">
        <w:rPr>
          <w:rFonts w:eastAsia="Cambria"/>
          <w:lang w:eastAsia="en-US"/>
        </w:rPr>
        <w:t>31 March 202</w:t>
      </w:r>
      <w:r w:rsidR="00410631" w:rsidRPr="00390AA7">
        <w:rPr>
          <w:rFonts w:eastAsia="Cambria"/>
          <w:lang w:eastAsia="en-US"/>
        </w:rPr>
        <w:t>3</w:t>
      </w:r>
      <w:r w:rsidRPr="00390AA7">
        <w:rPr>
          <w:rFonts w:eastAsia="Cambria"/>
          <w:lang w:eastAsia="en-US"/>
        </w:rPr>
        <w:t>.</w:t>
      </w:r>
    </w:p>
    <w:p w14:paraId="5CC72667" w14:textId="77777777" w:rsidR="00ED5BE4" w:rsidRPr="00390AA7" w:rsidRDefault="00ED5BE4" w:rsidP="004366B7">
      <w:pPr>
        <w:rPr>
          <w:rFonts w:eastAsia="Cambria"/>
          <w:lang w:eastAsia="en-US"/>
        </w:rPr>
      </w:pPr>
    </w:p>
    <w:p w14:paraId="7AD2F536" w14:textId="77777777" w:rsidR="004366B7" w:rsidRPr="00390AA7" w:rsidRDefault="004366B7" w:rsidP="00A0262E">
      <w:pPr>
        <w:pStyle w:val="Heading3"/>
        <w:spacing w:before="0"/>
        <w:rPr>
          <w:rFonts w:eastAsia="Cambria"/>
        </w:rPr>
      </w:pPr>
      <w:r w:rsidRPr="00390AA7">
        <w:rPr>
          <w:rFonts w:eastAsia="Cambria"/>
        </w:rPr>
        <w:t>Benchmarks for the Pacific and Asian populations</w:t>
      </w:r>
    </w:p>
    <w:p w14:paraId="0A1608F0" w14:textId="5AA352C7" w:rsidR="004366B7" w:rsidRPr="00390AA7" w:rsidRDefault="00A937CB" w:rsidP="004366B7">
      <w:pPr>
        <w:rPr>
          <w:rFonts w:eastAsia="Cambria"/>
          <w:lang w:eastAsia="en-US"/>
        </w:rPr>
      </w:pPr>
      <w:r w:rsidRPr="006650CB">
        <w:rPr>
          <w:rFonts w:eastAsia="Cambria"/>
          <w:lang w:eastAsia="en-US"/>
        </w:rPr>
        <w:t>Annual population estimates are not available for the Pacific and Asian population</w:t>
      </w:r>
      <w:r w:rsidR="00E84372" w:rsidRPr="006650CB">
        <w:rPr>
          <w:rFonts w:eastAsia="Cambria"/>
          <w:lang w:eastAsia="en-US"/>
        </w:rPr>
        <w:t>s</w:t>
      </w:r>
      <w:r w:rsidR="00C31641" w:rsidRPr="006650CB">
        <w:rPr>
          <w:rFonts w:eastAsia="Cambria"/>
          <w:lang w:eastAsia="en-US"/>
        </w:rPr>
        <w:t xml:space="preserve"> in New Zealand</w:t>
      </w:r>
      <w:r w:rsidR="009F50CA" w:rsidRPr="006650CB">
        <w:rPr>
          <w:rFonts w:eastAsia="Cambria"/>
          <w:lang w:eastAsia="en-US"/>
        </w:rPr>
        <w:t>, and so q</w:t>
      </w:r>
      <w:r w:rsidR="004366B7" w:rsidRPr="006650CB">
        <w:rPr>
          <w:rFonts w:eastAsia="Cambria"/>
          <w:lang w:eastAsia="en-US"/>
        </w:rPr>
        <w:t xml:space="preserve">uarterly benchmarks for the adult Pacific and Asian populations are derived from </w:t>
      </w:r>
      <w:r w:rsidR="007A3409" w:rsidRPr="006650CB">
        <w:rPr>
          <w:rFonts w:eastAsia="Cambria"/>
          <w:lang w:eastAsia="en-US"/>
        </w:rPr>
        <w:t>Stats NZ</w:t>
      </w:r>
      <w:r w:rsidR="004366B7" w:rsidRPr="006650CB">
        <w:rPr>
          <w:rFonts w:eastAsia="Cambria"/>
          <w:lang w:eastAsia="en-US"/>
        </w:rPr>
        <w:t>’s Household Labour Force Survey.</w:t>
      </w:r>
      <w:r w:rsidR="004366B7" w:rsidRPr="00390AA7">
        <w:rPr>
          <w:rFonts w:eastAsia="Cambria"/>
        </w:rPr>
        <w:t xml:space="preserve"> </w:t>
      </w:r>
      <w:r w:rsidR="004366B7" w:rsidRPr="006650CB">
        <w:rPr>
          <w:rFonts w:eastAsia="Cambria"/>
        </w:rPr>
        <w:t>T</w:t>
      </w:r>
      <w:r w:rsidR="004366B7" w:rsidRPr="006650CB">
        <w:rPr>
          <w:rFonts w:eastAsia="Cambria"/>
          <w:lang w:eastAsia="en-US"/>
        </w:rPr>
        <w:t xml:space="preserve">his large national survey of </w:t>
      </w:r>
      <w:r w:rsidR="004137F3" w:rsidRPr="006650CB">
        <w:rPr>
          <w:rFonts w:eastAsia="Cambria"/>
          <w:lang w:eastAsia="en-US"/>
        </w:rPr>
        <w:t xml:space="preserve">around </w:t>
      </w:r>
      <w:r w:rsidR="004366B7" w:rsidRPr="006650CB">
        <w:rPr>
          <w:rFonts w:eastAsia="Cambria"/>
          <w:lang w:eastAsia="en-US"/>
        </w:rPr>
        <w:t>15,000 households per quarter achieves a high response rate</w:t>
      </w:r>
      <w:r w:rsidR="0042647A" w:rsidRPr="006650CB">
        <w:rPr>
          <w:rFonts w:eastAsia="Cambria"/>
          <w:lang w:eastAsia="en-US"/>
        </w:rPr>
        <w:t>,</w:t>
      </w:r>
      <w:r w:rsidR="004366B7" w:rsidRPr="006650CB">
        <w:rPr>
          <w:rFonts w:eastAsia="Cambria"/>
          <w:lang w:eastAsia="en-US"/>
        </w:rPr>
        <w:t xml:space="preserve"> </w:t>
      </w:r>
      <w:r w:rsidR="0042647A" w:rsidRPr="006650CB">
        <w:rPr>
          <w:rFonts w:eastAsia="Cambria"/>
          <w:lang w:eastAsia="en-US"/>
        </w:rPr>
        <w:t xml:space="preserve">with a target of </w:t>
      </w:r>
      <w:r w:rsidR="004366B7" w:rsidRPr="006650CB">
        <w:rPr>
          <w:rFonts w:eastAsia="Cambria"/>
          <w:lang w:eastAsia="en-US"/>
        </w:rPr>
        <w:t>90%.</w:t>
      </w:r>
      <w:r w:rsidR="005C7938" w:rsidRPr="00390AA7">
        <w:rPr>
          <w:rFonts w:eastAsia="Cambria"/>
          <w:lang w:eastAsia="en-US"/>
        </w:rPr>
        <w:t xml:space="preserve"> </w:t>
      </w:r>
    </w:p>
    <w:p w14:paraId="0A619D75" w14:textId="77777777" w:rsidR="004366B7" w:rsidRPr="00390AA7" w:rsidRDefault="004366B7" w:rsidP="004366B7">
      <w:pPr>
        <w:rPr>
          <w:rFonts w:eastAsia="Cambria"/>
          <w:lang w:eastAsia="en-US"/>
        </w:rPr>
      </w:pPr>
    </w:p>
    <w:p w14:paraId="5DE242CE" w14:textId="77777777" w:rsidR="004366B7" w:rsidRPr="00390AA7" w:rsidRDefault="004366B7" w:rsidP="004366B7">
      <w:pPr>
        <w:rPr>
          <w:rFonts w:eastAsia="Cambria"/>
          <w:lang w:eastAsia="en-US"/>
        </w:rPr>
      </w:pPr>
      <w:r w:rsidRPr="00390AA7">
        <w:rPr>
          <w:rFonts w:eastAsia="Cambria"/>
          <w:lang w:eastAsia="en-US"/>
        </w:rPr>
        <w:t>The Household Labour Force Survey publishes quarterly estimates of the working-age (ag</w:t>
      </w:r>
      <w:r w:rsidRPr="00390AA7">
        <w:rPr>
          <w:rFonts w:eastAsia="Cambria"/>
        </w:rPr>
        <w:t>e</w:t>
      </w:r>
      <w:r w:rsidRPr="00390AA7">
        <w:rPr>
          <w:rFonts w:eastAsia="Cambria"/>
          <w:lang w:eastAsia="en-US"/>
        </w:rPr>
        <w:t>d 15 years and over) Pacific and Asian populations. From these estimates, the proportions of the adult population who are Pacific peoples and Asian are obtained for each quarter. Some of the quarter-to-quarter variation in these proportions is smoothed out by applying a moving average over the quarterly figures. The final smoothed proportions are applied to the total adult benchmark for the corresponding quarter to give quarterly benchmarks for Pacific and Asian adults.</w:t>
      </w:r>
    </w:p>
    <w:p w14:paraId="0D5F33FC" w14:textId="77777777" w:rsidR="004F23C1" w:rsidRPr="00390AA7" w:rsidRDefault="004F23C1" w:rsidP="004366B7">
      <w:pPr>
        <w:rPr>
          <w:rFonts w:eastAsia="Cambria"/>
          <w:lang w:eastAsia="en-US"/>
        </w:rPr>
      </w:pPr>
    </w:p>
    <w:p w14:paraId="79B5061E" w14:textId="25A8E36C" w:rsidR="004366B7" w:rsidRPr="00390AA7" w:rsidRDefault="004366B7" w:rsidP="007353E5">
      <w:pPr>
        <w:pStyle w:val="Heading3"/>
        <w:spacing w:before="0"/>
        <w:rPr>
          <w:rFonts w:eastAsia="Cambria"/>
        </w:rPr>
      </w:pPr>
      <w:r w:rsidRPr="00390AA7">
        <w:rPr>
          <w:rFonts w:eastAsia="Cambria"/>
        </w:rPr>
        <w:t>Benchmarks for the NZDep2018 quintiles</w:t>
      </w:r>
    </w:p>
    <w:p w14:paraId="30B896A0" w14:textId="77777777" w:rsidR="004366B7" w:rsidRPr="00390AA7" w:rsidRDefault="004366B7" w:rsidP="004366B7">
      <w:pPr>
        <w:rPr>
          <w:rFonts w:eastAsia="Cambria"/>
          <w:lang w:eastAsia="en-US"/>
        </w:rPr>
      </w:pPr>
      <w:r w:rsidRPr="00390AA7">
        <w:rPr>
          <w:rFonts w:eastAsia="Cambria"/>
          <w:lang w:eastAsia="en-US"/>
        </w:rPr>
        <w:t>Benchmarks for the quintiles of NZDep2018 are derived by dividing the latest total population figures (of all age groups) into five groups of equal size.</w:t>
      </w:r>
    </w:p>
    <w:p w14:paraId="347736FE" w14:textId="77777777" w:rsidR="004366B7" w:rsidRPr="00390AA7" w:rsidRDefault="004366B7" w:rsidP="004366B7">
      <w:pPr>
        <w:rPr>
          <w:rFonts w:eastAsia="Cambria"/>
          <w:lang w:eastAsia="en-US"/>
        </w:rPr>
      </w:pPr>
    </w:p>
    <w:p w14:paraId="5C8570F5" w14:textId="2D5E1295" w:rsidR="004366B7" w:rsidRPr="00390AA7" w:rsidRDefault="004366B7" w:rsidP="004366B7">
      <w:pPr>
        <w:rPr>
          <w:rFonts w:eastAsia="Cambria"/>
          <w:lang w:eastAsia="en-US"/>
        </w:rPr>
      </w:pPr>
      <w:r w:rsidRPr="00390AA7">
        <w:rPr>
          <w:rFonts w:eastAsia="Cambria"/>
          <w:lang w:eastAsia="en-US"/>
        </w:rPr>
        <w:t xml:space="preserve">The calibration for the 2011/12 and 2012/13 surveys used benchmarks from the New Zealand Index of Deprivation 2006 (NZDep2006) based on 2006 Census data. The surveys conducted between 2013/14 and 2018/19 used NZDep2013 based on 2013 Census data, while </w:t>
      </w:r>
      <w:r w:rsidR="00530D69" w:rsidRPr="00390AA7">
        <w:rPr>
          <w:rFonts w:eastAsia="Cambria"/>
          <w:lang w:eastAsia="en-US"/>
        </w:rPr>
        <w:t xml:space="preserve">NZDep2018 was used for surveys from </w:t>
      </w:r>
      <w:r w:rsidRPr="00390AA7">
        <w:rPr>
          <w:rFonts w:eastAsia="Cambria"/>
          <w:lang w:eastAsia="en-US"/>
        </w:rPr>
        <w:t xml:space="preserve">2019/20 </w:t>
      </w:r>
      <w:r w:rsidR="00530D69" w:rsidRPr="00390AA7">
        <w:rPr>
          <w:rFonts w:eastAsia="Cambria"/>
          <w:lang w:eastAsia="en-US"/>
        </w:rPr>
        <w:t xml:space="preserve">to </w:t>
      </w:r>
      <w:r w:rsidRPr="00390AA7">
        <w:rPr>
          <w:rFonts w:eastAsia="Cambria"/>
          <w:lang w:eastAsia="en-US"/>
        </w:rPr>
        <w:t>202</w:t>
      </w:r>
      <w:r w:rsidR="00530D69" w:rsidRPr="00390AA7">
        <w:rPr>
          <w:rFonts w:eastAsia="Cambria"/>
          <w:lang w:eastAsia="en-US"/>
        </w:rPr>
        <w:t>2</w:t>
      </w:r>
      <w:r w:rsidRPr="00390AA7">
        <w:rPr>
          <w:rFonts w:eastAsia="Cambria"/>
          <w:lang w:eastAsia="en-US"/>
        </w:rPr>
        <w:t>/2</w:t>
      </w:r>
      <w:r w:rsidR="00530D69" w:rsidRPr="00390AA7">
        <w:rPr>
          <w:rFonts w:eastAsia="Cambria"/>
          <w:lang w:eastAsia="en-US"/>
        </w:rPr>
        <w:t>3</w:t>
      </w:r>
      <w:r w:rsidRPr="00390AA7">
        <w:rPr>
          <w:rFonts w:eastAsia="Cambria"/>
          <w:lang w:eastAsia="en-US"/>
        </w:rPr>
        <w:t>.</w:t>
      </w:r>
    </w:p>
    <w:p w14:paraId="51AEAA99" w14:textId="77777777" w:rsidR="00C444E1" w:rsidRPr="00390AA7" w:rsidRDefault="00C444E1" w:rsidP="004366B7">
      <w:pPr>
        <w:rPr>
          <w:rFonts w:eastAsia="Cambria"/>
          <w:lang w:eastAsia="en-US"/>
        </w:rPr>
      </w:pPr>
    </w:p>
    <w:p w14:paraId="06B1B270" w14:textId="77777777" w:rsidR="00C444E1" w:rsidRPr="00390AA7" w:rsidRDefault="00C444E1" w:rsidP="00C444E1">
      <w:pPr>
        <w:pStyle w:val="Heading3"/>
        <w:spacing w:before="0"/>
        <w:rPr>
          <w:rFonts w:eastAsia="Cambria"/>
        </w:rPr>
      </w:pPr>
      <w:r w:rsidRPr="00390AA7">
        <w:rPr>
          <w:rFonts w:eastAsia="Cambria"/>
        </w:rPr>
        <w:t>Calibration by sex</w:t>
      </w:r>
    </w:p>
    <w:p w14:paraId="0DE8E490" w14:textId="2145D3FB" w:rsidR="00FE0447" w:rsidRPr="006650CB" w:rsidRDefault="00FE0447" w:rsidP="00FE0447">
      <w:pPr>
        <w:rPr>
          <w:rFonts w:eastAsia="Cambria"/>
          <w:lang w:eastAsia="en-US"/>
        </w:rPr>
      </w:pPr>
      <w:r w:rsidRPr="006650CB">
        <w:rPr>
          <w:rFonts w:eastAsia="Cambria"/>
          <w:lang w:eastAsia="en-US"/>
        </w:rPr>
        <w:t>For the first time</w:t>
      </w:r>
      <w:r w:rsidR="00E84372" w:rsidRPr="006650CB">
        <w:rPr>
          <w:rFonts w:eastAsia="Cambria"/>
          <w:lang w:eastAsia="en-US"/>
        </w:rPr>
        <w:t>,</w:t>
      </w:r>
      <w:r w:rsidRPr="006650CB">
        <w:rPr>
          <w:rFonts w:eastAsia="Cambria"/>
          <w:lang w:eastAsia="en-US"/>
        </w:rPr>
        <w:t xml:space="preserve"> in 2022/23, the NZHS include</w:t>
      </w:r>
      <w:r w:rsidR="00E84372" w:rsidRPr="006650CB">
        <w:rPr>
          <w:rFonts w:eastAsia="Cambria"/>
          <w:lang w:eastAsia="en-US"/>
        </w:rPr>
        <w:t>d</w:t>
      </w:r>
      <w:r w:rsidRPr="006650CB">
        <w:rPr>
          <w:rFonts w:eastAsia="Cambria"/>
          <w:lang w:eastAsia="en-US"/>
        </w:rPr>
        <w:t xml:space="preserve"> </w:t>
      </w:r>
      <w:r w:rsidR="00BC340A" w:rsidRPr="006650CB">
        <w:rPr>
          <w:rFonts w:eastAsia="Cambria"/>
          <w:lang w:eastAsia="en-US"/>
        </w:rPr>
        <w:t>three</w:t>
      </w:r>
      <w:r w:rsidRPr="006650CB">
        <w:rPr>
          <w:rFonts w:eastAsia="Cambria"/>
          <w:lang w:eastAsia="en-US"/>
        </w:rPr>
        <w:t xml:space="preserve"> response options for sex and gender. The adult questionnaire ask</w:t>
      </w:r>
      <w:r w:rsidR="00E84372" w:rsidRPr="006650CB">
        <w:rPr>
          <w:rFonts w:eastAsia="Cambria"/>
          <w:lang w:eastAsia="en-US"/>
        </w:rPr>
        <w:t>ed</w:t>
      </w:r>
      <w:r w:rsidRPr="006650CB">
        <w:rPr>
          <w:rFonts w:eastAsia="Cambria"/>
          <w:lang w:eastAsia="en-US"/>
        </w:rPr>
        <w:t xml:space="preserve"> about the respondent’s sex at birth (‘male’, ‘female’, ‘another term’) and gender (‘male’, ‘female’, ‘another gender’). The child questionnaire ask</w:t>
      </w:r>
      <w:r w:rsidR="00E84372" w:rsidRPr="006650CB">
        <w:rPr>
          <w:rFonts w:eastAsia="Cambria"/>
          <w:lang w:eastAsia="en-US"/>
        </w:rPr>
        <w:t>ed</w:t>
      </w:r>
      <w:r w:rsidRPr="006650CB">
        <w:rPr>
          <w:rFonts w:eastAsia="Cambria"/>
          <w:lang w:eastAsia="en-US"/>
        </w:rPr>
        <w:t xml:space="preserve"> about the child’s gender (‘male’, ‘female’, ‘another gender’).</w:t>
      </w:r>
    </w:p>
    <w:p w14:paraId="3A9521C8" w14:textId="77777777" w:rsidR="00FE0447" w:rsidRPr="006650CB" w:rsidRDefault="00FE0447" w:rsidP="00FE0447">
      <w:pPr>
        <w:rPr>
          <w:rFonts w:eastAsia="Cambria"/>
          <w:lang w:eastAsia="en-US"/>
        </w:rPr>
      </w:pPr>
    </w:p>
    <w:p w14:paraId="063DDBB6" w14:textId="77777777" w:rsidR="00FE0447" w:rsidRPr="006650CB" w:rsidRDefault="00FE0447" w:rsidP="00FE0447">
      <w:pPr>
        <w:rPr>
          <w:rFonts w:eastAsia="Cambria"/>
          <w:lang w:eastAsia="en-US"/>
        </w:rPr>
      </w:pPr>
      <w:r w:rsidRPr="006650CB">
        <w:rPr>
          <w:rFonts w:eastAsia="Cambria"/>
          <w:lang w:eastAsia="en-US"/>
        </w:rPr>
        <w:t>However, Stats NZ population statistics are only available for the binary sex categories ‘male’ and ‘female’.</w:t>
      </w:r>
    </w:p>
    <w:p w14:paraId="0E2297BB" w14:textId="77777777" w:rsidR="00FE0447" w:rsidRPr="006650CB" w:rsidRDefault="00FE0447" w:rsidP="00FE0447">
      <w:pPr>
        <w:rPr>
          <w:rFonts w:eastAsia="Cambria"/>
          <w:lang w:eastAsia="en-US"/>
        </w:rPr>
      </w:pPr>
    </w:p>
    <w:p w14:paraId="6023A6C4" w14:textId="2517D39A" w:rsidR="00FE0447" w:rsidRPr="006650CB" w:rsidRDefault="002C5A48" w:rsidP="00FE0447">
      <w:pPr>
        <w:rPr>
          <w:rFonts w:eastAsia="Cambria"/>
          <w:lang w:eastAsia="en-US"/>
        </w:rPr>
      </w:pPr>
      <w:r w:rsidRPr="006650CB">
        <w:rPr>
          <w:rFonts w:eastAsia="Cambria"/>
          <w:lang w:eastAsia="en-US"/>
        </w:rPr>
        <w:t>Following advice from Stats NZ, c</w:t>
      </w:r>
      <w:r w:rsidR="00FE0447" w:rsidRPr="006650CB">
        <w:rPr>
          <w:rFonts w:eastAsia="Cambria"/>
          <w:lang w:eastAsia="en-US"/>
        </w:rPr>
        <w:t>alibration of the NZHS weights has been carried out using respondent data on sex at birth for adults and gender for children, where non-binary responses have been replaced with imputed binary</w:t>
      </w:r>
      <w:r w:rsidR="00AD3250" w:rsidRPr="006650CB">
        <w:rPr>
          <w:rFonts w:eastAsia="Cambria"/>
          <w:lang w:eastAsia="en-US"/>
        </w:rPr>
        <w:t xml:space="preserve"> values of</w:t>
      </w:r>
      <w:r w:rsidR="00FE0447" w:rsidRPr="006650CB">
        <w:rPr>
          <w:rFonts w:eastAsia="Cambria"/>
          <w:lang w:eastAsia="en-US"/>
        </w:rPr>
        <w:t xml:space="preserve"> ‘male’ or ‘female’. This imputation </w:t>
      </w:r>
      <w:r w:rsidR="00B0445C" w:rsidRPr="006650CB">
        <w:rPr>
          <w:rFonts w:eastAsia="Cambria"/>
          <w:lang w:eastAsia="en-US"/>
        </w:rPr>
        <w:t xml:space="preserve">was </w:t>
      </w:r>
      <w:r w:rsidR="00FE0447" w:rsidRPr="006650CB">
        <w:rPr>
          <w:rFonts w:eastAsia="Cambria"/>
          <w:lang w:eastAsia="en-US"/>
        </w:rPr>
        <w:t>only done for the purposes of calibrating the survey weights. All outputs in the Annual Data Explorer are presented by gender as specified by the respondent or their parent/caregiver.</w:t>
      </w:r>
    </w:p>
    <w:p w14:paraId="461E4B50" w14:textId="77777777" w:rsidR="00D962C1" w:rsidRPr="006650CB" w:rsidRDefault="00D962C1" w:rsidP="006A701A">
      <w:pPr>
        <w:rPr>
          <w:rFonts w:eastAsia="Cambria"/>
          <w:lang w:eastAsia="en-US"/>
        </w:rPr>
      </w:pPr>
    </w:p>
    <w:p w14:paraId="7E004F2E" w14:textId="55EAE1F7" w:rsidR="00281772" w:rsidRPr="006650CB" w:rsidRDefault="00035AD1" w:rsidP="006A701A">
      <w:pPr>
        <w:rPr>
          <w:rFonts w:eastAsia="Cambria"/>
          <w:lang w:eastAsia="en-US"/>
        </w:rPr>
      </w:pPr>
      <w:r w:rsidRPr="006650CB">
        <w:rPr>
          <w:rFonts w:eastAsia="Cambria"/>
          <w:lang w:eastAsia="en-US"/>
        </w:rPr>
        <w:t xml:space="preserve">The following </w:t>
      </w:r>
      <w:r w:rsidR="00115383" w:rsidRPr="006650CB">
        <w:rPr>
          <w:rFonts w:eastAsia="Cambria"/>
          <w:lang w:eastAsia="en-US"/>
        </w:rPr>
        <w:t xml:space="preserve">imputation </w:t>
      </w:r>
      <w:r w:rsidRPr="006650CB">
        <w:rPr>
          <w:rFonts w:eastAsia="Cambria"/>
          <w:lang w:eastAsia="en-US"/>
        </w:rPr>
        <w:t>method</w:t>
      </w:r>
      <w:r w:rsidR="00B90AA1" w:rsidRPr="006650CB">
        <w:rPr>
          <w:rFonts w:eastAsia="Cambria"/>
          <w:lang w:eastAsia="en-US"/>
        </w:rPr>
        <w:t>s were</w:t>
      </w:r>
      <w:r w:rsidRPr="006650CB">
        <w:rPr>
          <w:rFonts w:eastAsia="Cambria"/>
          <w:lang w:eastAsia="en-US"/>
        </w:rPr>
        <w:t xml:space="preserve"> used</w:t>
      </w:r>
      <w:r w:rsidR="00B0445C" w:rsidRPr="006650CB">
        <w:rPr>
          <w:rFonts w:eastAsia="Cambria"/>
          <w:lang w:eastAsia="en-US"/>
        </w:rPr>
        <w:t xml:space="preserve">. </w:t>
      </w:r>
    </w:p>
    <w:p w14:paraId="4C4CEF14" w14:textId="320FCABA" w:rsidR="00035AD1" w:rsidRPr="006650CB" w:rsidRDefault="00035AD1" w:rsidP="00B16B0F">
      <w:pPr>
        <w:pStyle w:val="Bullet"/>
      </w:pPr>
      <w:r w:rsidRPr="006650CB">
        <w:t xml:space="preserve">For children with another gender, </w:t>
      </w:r>
      <w:r w:rsidR="00957FC0" w:rsidRPr="006650CB">
        <w:t>randomly assign to male or female</w:t>
      </w:r>
      <w:r w:rsidR="001479F8" w:rsidRPr="006650CB">
        <w:t xml:space="preserve"> </w:t>
      </w:r>
      <w:r w:rsidR="00504703" w:rsidRPr="006650CB">
        <w:t>for weighting purposes.</w:t>
      </w:r>
    </w:p>
    <w:p w14:paraId="0875ABBC" w14:textId="65E25200" w:rsidR="00BD13AF" w:rsidRPr="006650CB" w:rsidRDefault="00504703" w:rsidP="00B16B0F">
      <w:pPr>
        <w:pStyle w:val="Bullet"/>
      </w:pPr>
      <w:r w:rsidRPr="006650CB">
        <w:t xml:space="preserve">For adults </w:t>
      </w:r>
      <w:r w:rsidR="001479F8" w:rsidRPr="006650CB">
        <w:t>w</w:t>
      </w:r>
      <w:r w:rsidR="00FC3029" w:rsidRPr="006650CB">
        <w:t>ith sex at birth specified as ‘another term’</w:t>
      </w:r>
      <w:r w:rsidR="00796B40" w:rsidRPr="006650CB">
        <w:t xml:space="preserve"> and gender of male or female, </w:t>
      </w:r>
      <w:r w:rsidR="00A83EF7" w:rsidRPr="006650CB">
        <w:t xml:space="preserve">assign to male or female </w:t>
      </w:r>
      <w:r w:rsidR="00733304" w:rsidRPr="006650CB">
        <w:t>based on gender for weighting purposes.</w:t>
      </w:r>
    </w:p>
    <w:p w14:paraId="4EB9A0B9" w14:textId="622EEF2B" w:rsidR="00D7622C" w:rsidRPr="00B16B0F" w:rsidRDefault="00BD13AF" w:rsidP="00B16B0F">
      <w:pPr>
        <w:pStyle w:val="Bullet"/>
        <w:rPr>
          <w:rFonts w:asciiTheme="minorHAnsi" w:hAnsiTheme="minorHAnsi" w:cstheme="minorHAnsi"/>
        </w:rPr>
      </w:pPr>
      <w:r w:rsidRPr="006650CB">
        <w:t xml:space="preserve">For adults with sex at birth specified as ‘another term’ and gender specified as ‘another gender’, randomly assign </w:t>
      </w:r>
      <w:r w:rsidR="00693D06" w:rsidRPr="006650CB">
        <w:t xml:space="preserve">to male or female for weighting purposes. </w:t>
      </w:r>
      <w:r w:rsidR="00E00BE0" w:rsidRPr="006650CB">
        <w:t xml:space="preserve"> </w:t>
      </w:r>
    </w:p>
    <w:p w14:paraId="13CF046E" w14:textId="4388EA5B" w:rsidR="004366B7" w:rsidRPr="006260CA" w:rsidRDefault="004366B7" w:rsidP="00B16B0F">
      <w:pPr>
        <w:pStyle w:val="Heading3"/>
        <w:rPr>
          <w:rFonts w:eastAsia="Cambria"/>
        </w:rPr>
      </w:pPr>
      <w:bookmarkStart w:id="273" w:name="_Toc339270021"/>
      <w:bookmarkStart w:id="274" w:name="_Toc340501945"/>
      <w:bookmarkStart w:id="275" w:name="_Toc372445565"/>
      <w:bookmarkStart w:id="276" w:name="_Toc403044020"/>
      <w:r w:rsidRPr="006260CA">
        <w:rPr>
          <w:rFonts w:eastAsia="Cambria"/>
        </w:rPr>
        <w:t>Calibrating software and bounding of weights</w:t>
      </w:r>
      <w:bookmarkEnd w:id="273"/>
      <w:bookmarkEnd w:id="274"/>
      <w:bookmarkEnd w:id="275"/>
      <w:bookmarkEnd w:id="276"/>
    </w:p>
    <w:p w14:paraId="07E9BD84" w14:textId="2710841E" w:rsidR="004366B7" w:rsidRPr="00390AA7" w:rsidRDefault="00E934E3" w:rsidP="004366B7">
      <w:pPr>
        <w:rPr>
          <w:rFonts w:eastAsia="Cambria"/>
          <w:lang w:eastAsia="en-US"/>
        </w:rPr>
      </w:pPr>
      <w:r w:rsidRPr="00390AA7">
        <w:rPr>
          <w:rFonts w:eastAsia="Cambria"/>
          <w:lang w:eastAsia="en-US"/>
        </w:rPr>
        <w:t>Calibrated weights were calculated in R using the ‘survey’ package developed by Thomas Lumley</w:t>
      </w:r>
      <w:r w:rsidR="00D7265D" w:rsidRPr="00390AA7">
        <w:rPr>
          <w:rFonts w:eastAsia="Cambria"/>
          <w:lang w:eastAsia="en-US"/>
        </w:rPr>
        <w:t>.</w:t>
      </w:r>
      <w:r w:rsidR="008B35BE" w:rsidRPr="00390AA7">
        <w:rPr>
          <w:rStyle w:val="FootnoteReference"/>
          <w:rFonts w:eastAsia="Cambria"/>
          <w:lang w:eastAsia="en-US"/>
        </w:rPr>
        <w:footnoteReference w:id="3"/>
      </w:r>
      <w:r w:rsidRPr="00390AA7">
        <w:rPr>
          <w:rFonts w:eastAsia="Cambria"/>
          <w:lang w:eastAsia="en-US"/>
        </w:rPr>
        <w:t xml:space="preserve"> </w:t>
      </w:r>
      <w:r w:rsidR="004366B7" w:rsidRPr="00390AA7">
        <w:rPr>
          <w:rFonts w:eastAsia="Cambria"/>
          <w:lang w:eastAsia="en-US"/>
        </w:rPr>
        <w:t>The input weights are the selection weights, first rescaled to sum to the overall population benchmark. Final weights are constrained to be less than or equal to 2.5 times the input weight</w:t>
      </w:r>
      <w:r w:rsidR="00B177F0" w:rsidRPr="00390AA7">
        <w:rPr>
          <w:rFonts w:eastAsia="Cambria"/>
          <w:lang w:eastAsia="en-US"/>
        </w:rPr>
        <w:t>.</w:t>
      </w:r>
    </w:p>
    <w:p w14:paraId="123781C4" w14:textId="77777777" w:rsidR="004366B7" w:rsidRPr="00B16B0F" w:rsidRDefault="004366B7">
      <w:pPr>
        <w:pStyle w:val="Heading2"/>
        <w:rPr>
          <w:rFonts w:eastAsia="Cambria"/>
        </w:rPr>
      </w:pPr>
      <w:bookmarkStart w:id="277" w:name="_Toc467491541"/>
      <w:bookmarkStart w:id="278" w:name="_Toc531762359"/>
      <w:bookmarkStart w:id="279" w:name="_Toc531783716"/>
      <w:bookmarkStart w:id="280" w:name="_Toc22887949"/>
      <w:bookmarkStart w:id="281" w:name="_Toc55206856"/>
      <w:bookmarkStart w:id="282" w:name="_Toc88752047"/>
      <w:bookmarkStart w:id="283" w:name="_Toc153259095"/>
      <w:r w:rsidRPr="00B16B0F">
        <w:rPr>
          <w:rFonts w:eastAsia="Cambria"/>
        </w:rPr>
        <w:t>Jackknife replicate weights</w:t>
      </w:r>
      <w:bookmarkEnd w:id="277"/>
      <w:bookmarkEnd w:id="278"/>
      <w:bookmarkEnd w:id="279"/>
      <w:bookmarkEnd w:id="280"/>
      <w:bookmarkEnd w:id="281"/>
      <w:bookmarkEnd w:id="282"/>
      <w:bookmarkEnd w:id="283"/>
    </w:p>
    <w:p w14:paraId="7679F359" w14:textId="77777777" w:rsidR="004366B7" w:rsidRPr="00390AA7" w:rsidRDefault="004366B7" w:rsidP="004366B7">
      <w:pPr>
        <w:rPr>
          <w:rFonts w:eastAsia="Cambria"/>
          <w:lang w:eastAsia="en-US"/>
        </w:rPr>
      </w:pPr>
      <w:r w:rsidRPr="00390AA7">
        <w:rPr>
          <w:rFonts w:eastAsia="Cambria"/>
          <w:lang w:eastAsia="en-US"/>
        </w:rPr>
        <w:t>The NZHS uses the delete-a-group jackknife method (Kott 2001) to calculate standard errors for survey estimates.</w:t>
      </w:r>
    </w:p>
    <w:p w14:paraId="3F79918C" w14:textId="77777777" w:rsidR="004366B7" w:rsidRPr="00390AA7" w:rsidRDefault="004366B7" w:rsidP="004366B7">
      <w:pPr>
        <w:rPr>
          <w:rFonts w:eastAsia="Cambria"/>
          <w:lang w:eastAsia="en-US"/>
        </w:rPr>
      </w:pPr>
    </w:p>
    <w:p w14:paraId="35D17736" w14:textId="77777777" w:rsidR="004366B7" w:rsidRPr="00390AA7" w:rsidRDefault="004366B7" w:rsidP="004366B7">
      <w:pPr>
        <w:rPr>
          <w:rFonts w:eastAsia="Cambria"/>
          <w:lang w:eastAsia="en-US"/>
        </w:rPr>
      </w:pPr>
      <w:r w:rsidRPr="00390AA7">
        <w:rPr>
          <w:rFonts w:eastAsia="Cambria"/>
          <w:lang w:eastAsia="en-US"/>
        </w:rPr>
        <w:t>One hundred jackknife replicate weights are produced for every respondent in the survey, in addition to the final calibrated weight. Each replicate weight corresponds to removing a group of PSUs from the sample and reweighting the remaining sample. This is achieved using exactly the same approach that was used to construct the weights for the full sample, including calibration to the same population benchmarks.</w:t>
      </w:r>
    </w:p>
    <w:p w14:paraId="3FD713CE" w14:textId="77777777" w:rsidR="004366B7" w:rsidRPr="00390AA7" w:rsidRDefault="004366B7" w:rsidP="004366B7">
      <w:pPr>
        <w:rPr>
          <w:rFonts w:eastAsia="Cambria"/>
          <w:lang w:eastAsia="en-US"/>
        </w:rPr>
      </w:pPr>
    </w:p>
    <w:p w14:paraId="391FA0BA" w14:textId="77777777" w:rsidR="004366B7" w:rsidRPr="00390AA7" w:rsidRDefault="004366B7" w:rsidP="004366B7">
      <w:pPr>
        <w:rPr>
          <w:rFonts w:eastAsia="Cambria"/>
          <w:lang w:eastAsia="en-US"/>
        </w:rPr>
      </w:pPr>
      <w:r w:rsidRPr="00390AA7">
        <w:rPr>
          <w:rFonts w:eastAsia="Cambria"/>
          <w:lang w:eastAsia="en-US"/>
        </w:rPr>
        <w:t>For any weighted estimate calculated from the survey, 100 jackknife replicate estimates can also be calculated using the 100 jackknife weights. The standard error of the full sample estimate is based on the variation in the replicate estimates.</w:t>
      </w:r>
    </w:p>
    <w:p w14:paraId="0D65BFB6" w14:textId="77777777" w:rsidR="004366B7" w:rsidRPr="00390AA7" w:rsidRDefault="004366B7" w:rsidP="004366B7">
      <w:pPr>
        <w:rPr>
          <w:rFonts w:eastAsia="Cambria"/>
          <w:lang w:eastAsia="en-US"/>
        </w:rPr>
      </w:pPr>
    </w:p>
    <w:p w14:paraId="13786F2E" w14:textId="4BFB114F" w:rsidR="004366B7" w:rsidRPr="00390AA7" w:rsidRDefault="004366B7" w:rsidP="004366B7">
      <w:r w:rsidRPr="00390AA7">
        <w:rPr>
          <w:rFonts w:eastAsia="Cambria"/>
          <w:lang w:eastAsia="en-US"/>
        </w:rPr>
        <w:t xml:space="preserve">Prior to 2015/16, the assignment of meshblocks to jackknife replicate groups was done independently in separate survey years. With the introduction of PSUs in </w:t>
      </w:r>
      <w:r w:rsidR="00F5239F">
        <w:rPr>
          <w:rFonts w:eastAsia="Cambria"/>
          <w:lang w:eastAsia="en-US"/>
        </w:rPr>
        <w:t xml:space="preserve">the </w:t>
      </w:r>
      <w:r w:rsidRPr="00390AA7">
        <w:rPr>
          <w:rFonts w:eastAsia="Cambria"/>
          <w:lang w:eastAsia="en-US"/>
        </w:rPr>
        <w:t xml:space="preserve">2015/16 </w:t>
      </w:r>
      <w:r w:rsidR="00F5239F">
        <w:rPr>
          <w:rFonts w:eastAsia="Cambria"/>
          <w:lang w:eastAsia="en-US"/>
        </w:rPr>
        <w:t>sample</w:t>
      </w:r>
      <w:r w:rsidR="00F5239F" w:rsidRPr="00390AA7">
        <w:rPr>
          <w:rFonts w:eastAsia="Cambria"/>
          <w:lang w:eastAsia="en-US"/>
        </w:rPr>
        <w:t xml:space="preserve"> </w:t>
      </w:r>
      <w:r w:rsidRPr="00390AA7">
        <w:rPr>
          <w:rFonts w:eastAsia="Cambria"/>
          <w:lang w:eastAsia="en-US"/>
        </w:rPr>
        <w:t xml:space="preserve">design, PSUs in the area sample of one survey year </w:t>
      </w:r>
      <w:r w:rsidR="00F5239F">
        <w:rPr>
          <w:rFonts w:eastAsia="Cambria"/>
          <w:lang w:eastAsia="en-US"/>
        </w:rPr>
        <w:t>are usually</w:t>
      </w:r>
      <w:r w:rsidR="00F5239F" w:rsidRPr="00390AA7">
        <w:rPr>
          <w:rFonts w:eastAsia="Cambria"/>
          <w:lang w:eastAsia="en-US"/>
        </w:rPr>
        <w:t xml:space="preserve"> </w:t>
      </w:r>
      <w:r w:rsidRPr="00390AA7">
        <w:rPr>
          <w:rFonts w:eastAsia="Cambria"/>
          <w:lang w:eastAsia="en-US"/>
        </w:rPr>
        <w:t xml:space="preserve">reused in the following survey year as well </w:t>
      </w:r>
      <w:r w:rsidRPr="00390AA7">
        <w:t xml:space="preserve">(see also ‘Sample design’ in the ‘Survey population and sample design’ section). Therefore, a given PSU is assigned to the same jackknife replicate group in each of the two consecutive years </w:t>
      </w:r>
      <w:r w:rsidR="00C377BC">
        <w:t xml:space="preserve">that </w:t>
      </w:r>
      <w:r w:rsidR="00F5239F">
        <w:t>it is used in</w:t>
      </w:r>
      <w:r w:rsidRPr="00390AA7">
        <w:t>. This ensures that the resulting jackknife weights appropriately take into account the clustering of the sample when calculating jackknife variances for:</w:t>
      </w:r>
    </w:p>
    <w:p w14:paraId="0E4DE4D2" w14:textId="77777777" w:rsidR="004366B7" w:rsidRPr="00390AA7" w:rsidRDefault="004366B7" w:rsidP="004366B7">
      <w:pPr>
        <w:pStyle w:val="Bullet"/>
        <w:rPr>
          <w:rFonts w:eastAsia="Cambria"/>
          <w:lang w:eastAsia="en-US"/>
        </w:rPr>
      </w:pPr>
      <w:r w:rsidRPr="00390AA7">
        <w:t>differences of estimates between consecutive years (with repeat PSUs)</w:t>
      </w:r>
    </w:p>
    <w:p w14:paraId="5D500D1A" w14:textId="77777777" w:rsidR="004366B7" w:rsidRPr="00390AA7" w:rsidRDefault="004366B7" w:rsidP="004366B7">
      <w:pPr>
        <w:pStyle w:val="Bullet"/>
        <w:rPr>
          <w:rFonts w:eastAsia="Cambria"/>
          <w:lang w:eastAsia="en-US"/>
        </w:rPr>
      </w:pPr>
      <w:r w:rsidRPr="00390AA7">
        <w:t>estimates from pooled data across years.</w:t>
      </w:r>
    </w:p>
    <w:p w14:paraId="63137CDA" w14:textId="77777777" w:rsidR="004366B7" w:rsidRPr="00390AA7" w:rsidRDefault="004366B7" w:rsidP="004366B7">
      <w:pPr>
        <w:rPr>
          <w:rFonts w:eastAsia="Cambria"/>
          <w:lang w:eastAsia="en-US"/>
        </w:rPr>
      </w:pPr>
    </w:p>
    <w:p w14:paraId="722A1E85" w14:textId="37B04D48" w:rsidR="004366B7" w:rsidRPr="00390AA7" w:rsidRDefault="004366B7" w:rsidP="004366B7">
      <w:pPr>
        <w:rPr>
          <w:rFonts w:eastAsia="Cambria"/>
          <w:lang w:eastAsia="en-US"/>
        </w:rPr>
      </w:pPr>
      <w:r w:rsidRPr="00390AA7">
        <w:rPr>
          <w:rFonts w:eastAsia="Cambria"/>
          <w:lang w:eastAsia="en-US"/>
        </w:rPr>
        <w:t>A number of statistical analysis packages, including SAS, Stata and R, can calculate standard errors using jackknife weights.</w:t>
      </w:r>
    </w:p>
    <w:p w14:paraId="33706FB0" w14:textId="77777777" w:rsidR="00D3227F" w:rsidRPr="00390AA7" w:rsidRDefault="00D3227F" w:rsidP="00D3227F">
      <w:pPr>
        <w:pStyle w:val="Heading2"/>
        <w:rPr>
          <w:lang w:eastAsia="en-NZ"/>
        </w:rPr>
      </w:pPr>
      <w:bookmarkStart w:id="284" w:name="_Toc467491542"/>
      <w:bookmarkStart w:id="285" w:name="_Toc531762360"/>
      <w:bookmarkStart w:id="286" w:name="_Toc531783717"/>
      <w:bookmarkStart w:id="287" w:name="_Toc22887950"/>
      <w:bookmarkStart w:id="288" w:name="_Toc55206857"/>
      <w:bookmarkStart w:id="289" w:name="_Toc55915771"/>
      <w:bookmarkStart w:id="290" w:name="_Toc153259096"/>
      <w:bookmarkStart w:id="291" w:name="_Toc339270022"/>
      <w:bookmarkStart w:id="292" w:name="_Toc340501946"/>
      <w:bookmarkStart w:id="293" w:name="_Toc372445566"/>
      <w:bookmarkStart w:id="294" w:name="_Toc403044021"/>
      <w:bookmarkStart w:id="295" w:name="_Toc467491544"/>
      <w:bookmarkStart w:id="296" w:name="_Toc531762361"/>
      <w:bookmarkStart w:id="297" w:name="_Toc531783718"/>
      <w:bookmarkStart w:id="298" w:name="_Toc22887951"/>
      <w:bookmarkStart w:id="299" w:name="_Toc55206858"/>
      <w:bookmarkStart w:id="300" w:name="_Ref55463449"/>
      <w:bookmarkStart w:id="301" w:name="_Toc88752049"/>
      <w:bookmarkStart w:id="302" w:name="_Toc196280178"/>
      <w:bookmarkEnd w:id="129"/>
      <w:bookmarkEnd w:id="130"/>
      <w:r w:rsidRPr="00390AA7">
        <w:rPr>
          <w:lang w:eastAsia="en-NZ"/>
        </w:rPr>
        <w:t>Weights for measurement data</w:t>
      </w:r>
      <w:bookmarkEnd w:id="284"/>
      <w:bookmarkEnd w:id="285"/>
      <w:bookmarkEnd w:id="286"/>
      <w:bookmarkEnd w:id="287"/>
      <w:bookmarkEnd w:id="288"/>
      <w:bookmarkEnd w:id="289"/>
      <w:bookmarkEnd w:id="290"/>
    </w:p>
    <w:p w14:paraId="7B797133" w14:textId="7974B015" w:rsidR="00D3227F" w:rsidRPr="00390AA7" w:rsidRDefault="00D3227F" w:rsidP="00D3227F">
      <w:r w:rsidRPr="00390AA7">
        <w:t xml:space="preserve">An additional set of estimation weights (and corresponding jackknife replicate weights) has been created specifically for analysing the measurements collected from respondents as part of the core NZHS interview. </w:t>
      </w:r>
      <w:bookmarkStart w:id="303" w:name="_Hlk55565319"/>
      <w:r w:rsidRPr="00390AA7">
        <w:rPr>
          <w:color w:val="000000" w:themeColor="text1"/>
        </w:rPr>
        <w:t xml:space="preserve">Height and weight measurements are obtained from around </w:t>
      </w:r>
      <w:r w:rsidR="00E00993" w:rsidRPr="00390AA7">
        <w:rPr>
          <w:color w:val="000000" w:themeColor="text1"/>
        </w:rPr>
        <w:t>86</w:t>
      </w:r>
      <w:r w:rsidR="00256329" w:rsidRPr="00390AA7">
        <w:rPr>
          <w:color w:val="000000" w:themeColor="text1"/>
        </w:rPr>
        <w:t>%</w:t>
      </w:r>
      <w:r w:rsidRPr="00390AA7">
        <w:rPr>
          <w:color w:val="000000" w:themeColor="text1"/>
        </w:rPr>
        <w:t xml:space="preserve"> of eligible adult and </w:t>
      </w:r>
      <w:r w:rsidR="00CB3E3C" w:rsidRPr="008B0B0B">
        <w:rPr>
          <w:color w:val="000000" w:themeColor="text1"/>
        </w:rPr>
        <w:t>76</w:t>
      </w:r>
      <w:r w:rsidR="00256329" w:rsidRPr="008B0B0B">
        <w:rPr>
          <w:color w:val="000000" w:themeColor="text1"/>
        </w:rPr>
        <w:t>%</w:t>
      </w:r>
      <w:r w:rsidRPr="00390AA7">
        <w:rPr>
          <w:color w:val="000000" w:themeColor="text1"/>
        </w:rPr>
        <w:t xml:space="preserve"> of eligible child respondents.</w:t>
      </w:r>
      <w:bookmarkEnd w:id="303"/>
      <w:r w:rsidRPr="00390AA7">
        <w:rPr>
          <w:color w:val="000000" w:themeColor="text1"/>
        </w:rPr>
        <w:t xml:space="preserve"> </w:t>
      </w:r>
      <w:r w:rsidRPr="00390AA7">
        <w:t>Because variables derived from height and weight are key outputs from the survey, it is useful to have this additional set of estimation weights to compensate for the non-response to these items.</w:t>
      </w:r>
    </w:p>
    <w:p w14:paraId="7CF8AF8E" w14:textId="77777777" w:rsidR="00D3227F" w:rsidRPr="00390AA7" w:rsidRDefault="00D3227F" w:rsidP="00D3227F"/>
    <w:p w14:paraId="6B73C881" w14:textId="5DB46F99" w:rsidR="00D3227F" w:rsidRPr="00390AA7" w:rsidRDefault="00D3227F" w:rsidP="00D3227F">
      <w:pPr>
        <w:rPr>
          <w:lang w:eastAsia="en-NZ"/>
        </w:rPr>
      </w:pPr>
      <w:r w:rsidRPr="00390AA7">
        <w:rPr>
          <w:lang w:eastAsia="en-NZ"/>
        </w:rPr>
        <w:t xml:space="preserve">The extra set of weights is calculated for the subset of </w:t>
      </w:r>
      <w:r w:rsidRPr="00390AA7">
        <w:t>respondents</w:t>
      </w:r>
      <w:r w:rsidRPr="00390AA7">
        <w:rPr>
          <w:lang w:eastAsia="en-NZ"/>
        </w:rPr>
        <w:t xml:space="preserve"> who have their height and weight measured. Creating these estimation weights follows the same process as for the full sample. This consistent approach ensures that any bias due to lower participation in the measurement phase of the survey for particular demographic subgroups (such as age groups or ethnic groups) is accounted for in the final estimates for the survey.</w:t>
      </w:r>
    </w:p>
    <w:p w14:paraId="53DFE8AF" w14:textId="77777777" w:rsidR="00D3227F" w:rsidRPr="00390AA7" w:rsidRDefault="00D3227F" w:rsidP="00D3227F">
      <w:pPr>
        <w:rPr>
          <w:lang w:eastAsia="en-NZ"/>
        </w:rPr>
      </w:pPr>
    </w:p>
    <w:p w14:paraId="4FEE6A19" w14:textId="528CB4F0" w:rsidR="00D3227F" w:rsidRPr="00390AA7" w:rsidRDefault="00D3227F" w:rsidP="00D3227F">
      <w:pPr>
        <w:rPr>
          <w:lang w:eastAsia="en-NZ"/>
        </w:rPr>
      </w:pPr>
      <w:r w:rsidRPr="00390AA7">
        <w:rPr>
          <w:lang w:eastAsia="en-NZ"/>
        </w:rPr>
        <w:t xml:space="preserve">These estimation weights are also used for analysis involving waist measurements. </w:t>
      </w:r>
      <w:r w:rsidRPr="00390AA7">
        <w:rPr>
          <w:color w:val="000000" w:themeColor="text1"/>
          <w:lang w:eastAsia="en-NZ"/>
        </w:rPr>
        <w:t xml:space="preserve">Waist measurements are obtained from </w:t>
      </w:r>
      <w:r w:rsidR="00E3403D" w:rsidRPr="008B0B0B">
        <w:rPr>
          <w:color w:val="000000" w:themeColor="text1"/>
          <w:lang w:eastAsia="en-NZ"/>
        </w:rPr>
        <w:t>nearly all</w:t>
      </w:r>
      <w:r w:rsidR="00E3403D">
        <w:rPr>
          <w:color w:val="000000" w:themeColor="text1"/>
          <w:lang w:eastAsia="en-NZ"/>
        </w:rPr>
        <w:t xml:space="preserve"> </w:t>
      </w:r>
      <w:r w:rsidRPr="00390AA7">
        <w:rPr>
          <w:color w:val="000000" w:themeColor="text1"/>
          <w:lang w:eastAsia="en-NZ"/>
        </w:rPr>
        <w:t>respondents who have had their height and weight measured.</w:t>
      </w:r>
    </w:p>
    <w:p w14:paraId="13200FD3" w14:textId="77777777" w:rsidR="00FC2C7B" w:rsidRPr="00390AA7" w:rsidRDefault="00FC2C7B" w:rsidP="004366B7">
      <w:pPr>
        <w:pStyle w:val="Heading1"/>
      </w:pPr>
    </w:p>
    <w:p w14:paraId="46B73785" w14:textId="64D9D07C" w:rsidR="00DF3FA1" w:rsidRPr="00390AA7" w:rsidRDefault="00DF3FA1" w:rsidP="00FD29D5">
      <w:pPr>
        <w:rPr>
          <w:b/>
        </w:rPr>
        <w:sectPr w:rsidR="00DF3FA1" w:rsidRPr="00390AA7" w:rsidSect="004366B7">
          <w:pgSz w:w="11907" w:h="16840" w:code="9"/>
          <w:pgMar w:top="1418" w:right="1701" w:bottom="1134" w:left="1843" w:header="284" w:footer="425" w:gutter="284"/>
          <w:cols w:space="720"/>
        </w:sectPr>
      </w:pPr>
    </w:p>
    <w:p w14:paraId="54E1B98B" w14:textId="173E28FD" w:rsidR="004366B7" w:rsidRPr="00390AA7" w:rsidRDefault="004366B7" w:rsidP="00B2502A">
      <w:pPr>
        <w:pStyle w:val="Heading1"/>
        <w:spacing w:before="0"/>
      </w:pPr>
      <w:bookmarkStart w:id="304" w:name="_Ref118737259"/>
      <w:bookmarkStart w:id="305" w:name="_Toc153259097"/>
      <w:r w:rsidRPr="00390AA7">
        <w:t>Analysis</w:t>
      </w:r>
      <w:bookmarkEnd w:id="291"/>
      <w:bookmarkEnd w:id="292"/>
      <w:bookmarkEnd w:id="293"/>
      <w:bookmarkEnd w:id="294"/>
      <w:r w:rsidRPr="00390AA7">
        <w:t xml:space="preserve"> methods</w:t>
      </w:r>
      <w:bookmarkEnd w:id="295"/>
      <w:bookmarkEnd w:id="296"/>
      <w:bookmarkEnd w:id="297"/>
      <w:bookmarkEnd w:id="298"/>
      <w:bookmarkEnd w:id="299"/>
      <w:bookmarkEnd w:id="300"/>
      <w:bookmarkEnd w:id="301"/>
      <w:bookmarkEnd w:id="304"/>
      <w:bookmarkEnd w:id="305"/>
    </w:p>
    <w:p w14:paraId="7297F29E" w14:textId="77777777" w:rsidR="004366B7" w:rsidRPr="00390AA7" w:rsidRDefault="004366B7" w:rsidP="004366B7">
      <w:pPr>
        <w:pStyle w:val="Heading2"/>
      </w:pPr>
      <w:bookmarkStart w:id="306" w:name="_Toc467491545"/>
      <w:bookmarkStart w:id="307" w:name="_Toc531762362"/>
      <w:bookmarkStart w:id="308" w:name="_Toc531783719"/>
      <w:bookmarkStart w:id="309" w:name="_Toc22887952"/>
      <w:bookmarkStart w:id="310" w:name="_Toc55206859"/>
      <w:bookmarkStart w:id="311" w:name="_Toc88752050"/>
      <w:bookmarkStart w:id="312" w:name="_Toc153259098"/>
      <w:r w:rsidRPr="00390AA7">
        <w:t>Estimating proportions, totals and means</w:t>
      </w:r>
      <w:bookmarkEnd w:id="306"/>
      <w:bookmarkEnd w:id="307"/>
      <w:bookmarkEnd w:id="308"/>
      <w:bookmarkEnd w:id="309"/>
      <w:bookmarkEnd w:id="310"/>
      <w:bookmarkEnd w:id="311"/>
      <w:bookmarkEnd w:id="312"/>
    </w:p>
    <w:p w14:paraId="4A439188" w14:textId="77777777" w:rsidR="004366B7" w:rsidRPr="00390AA7" w:rsidRDefault="004366B7" w:rsidP="004366B7">
      <w:r w:rsidRPr="00390AA7">
        <w:t>Most statistics published in NZHS reports are proportions, totals or means; that is, survey estimates of:</w:t>
      </w:r>
    </w:p>
    <w:p w14:paraId="1D32EB3F" w14:textId="77777777" w:rsidR="004366B7" w:rsidRPr="00390AA7" w:rsidRDefault="004366B7" w:rsidP="004366B7">
      <w:pPr>
        <w:pStyle w:val="Bullet"/>
      </w:pPr>
      <w:r w:rsidRPr="00390AA7">
        <w:t>the proportion (or percentage) of people with a particular characteristic, such as a specific health condition, behaviour or outcome</w:t>
      </w:r>
    </w:p>
    <w:p w14:paraId="45778563" w14:textId="77777777" w:rsidR="004366B7" w:rsidRPr="00390AA7" w:rsidRDefault="004366B7" w:rsidP="004366B7">
      <w:pPr>
        <w:pStyle w:val="Bullet"/>
      </w:pPr>
      <w:r w:rsidRPr="00390AA7">
        <w:t>the total number of people with a particular characteristic</w:t>
      </w:r>
    </w:p>
    <w:p w14:paraId="1544F4F8" w14:textId="77777777" w:rsidR="004366B7" w:rsidRPr="00390AA7" w:rsidRDefault="004366B7" w:rsidP="004366B7">
      <w:pPr>
        <w:pStyle w:val="Bullet"/>
      </w:pPr>
      <w:r w:rsidRPr="00390AA7">
        <w:t>the mean per person of some numeric quantity.</w:t>
      </w:r>
    </w:p>
    <w:p w14:paraId="117684F2" w14:textId="77777777" w:rsidR="004366B7" w:rsidRPr="00390AA7" w:rsidRDefault="004366B7" w:rsidP="004366B7"/>
    <w:p w14:paraId="0AD6E9E5" w14:textId="77777777" w:rsidR="004366B7" w:rsidRPr="00390AA7" w:rsidRDefault="004366B7" w:rsidP="004366B7">
      <w:r w:rsidRPr="00390AA7">
        <w:t>A description of the calculation method for each of these types of statistics follows. References to weights mean the final calibrated weights discussed in the ‘Weighting’ section.</w:t>
      </w:r>
    </w:p>
    <w:p w14:paraId="7A77EC93" w14:textId="77777777" w:rsidR="004366B7" w:rsidRPr="00390AA7" w:rsidRDefault="004366B7" w:rsidP="00FC2C7B">
      <w:pPr>
        <w:pStyle w:val="Heading3"/>
        <w:rPr>
          <w:rFonts w:eastAsia="Cambria"/>
        </w:rPr>
      </w:pPr>
      <w:r w:rsidRPr="00390AA7">
        <w:rPr>
          <w:rFonts w:eastAsia="Cambria"/>
        </w:rPr>
        <w:t>Adjusting for item non-response</w:t>
      </w:r>
    </w:p>
    <w:p w14:paraId="65BBB092" w14:textId="77777777" w:rsidR="004366B7" w:rsidRPr="00390AA7" w:rsidRDefault="004366B7" w:rsidP="004366B7">
      <w:r w:rsidRPr="00390AA7">
        <w:t>Before calculating proportions, totals or means for a particular variable, an adjustment is made to the final weights to account for respondents who answered with ‘don’t know’ or ‘refused’ to the relevant question or questions.</w:t>
      </w:r>
    </w:p>
    <w:p w14:paraId="6C71C3E7" w14:textId="77777777" w:rsidR="004366B7" w:rsidRPr="00390AA7" w:rsidRDefault="004366B7" w:rsidP="004366B7"/>
    <w:p w14:paraId="63756037" w14:textId="77777777" w:rsidR="004366B7" w:rsidRPr="00390AA7" w:rsidRDefault="004366B7" w:rsidP="004366B7">
      <w:r w:rsidRPr="00390AA7">
        <w:t>The adjustment increases the final weights of the respondents who answered the question, to represent the final weights of the respondents who answered ‘don’t know’ or ‘refused’. This is carried out within cells defined by gender and age group (10-year age groups for adults and five-year age groups for children), therefore making use of some information on what type of respondents are more likely to be item non-respondents to the variable. Then the item non-respondents can be safely left out of the calculation of proportions, totals or means for the variable.</w:t>
      </w:r>
    </w:p>
    <w:p w14:paraId="28F8FC04" w14:textId="77777777" w:rsidR="004366B7" w:rsidRPr="00390AA7" w:rsidRDefault="004366B7" w:rsidP="004366B7"/>
    <w:p w14:paraId="72E8FDB7" w14:textId="77777777" w:rsidR="004366B7" w:rsidRPr="00390AA7" w:rsidRDefault="004366B7" w:rsidP="004366B7">
      <w:r w:rsidRPr="00390AA7">
        <w:t>The adjustment is most important for totals to ensure that item non-response does not lead to underestimating the number of people who have a particular condition or behaviour. The effect will usually be very small for proportions and means; that is, proportions and means using the adjusted weights will be very similar to those using the final calibrated weights.</w:t>
      </w:r>
    </w:p>
    <w:p w14:paraId="6F5A54A2" w14:textId="77777777" w:rsidR="004366B7" w:rsidRPr="00390AA7" w:rsidRDefault="004366B7" w:rsidP="004366B7"/>
    <w:p w14:paraId="776DAE21" w14:textId="77777777" w:rsidR="004366B7" w:rsidRPr="00390AA7" w:rsidRDefault="004366B7" w:rsidP="004366B7">
      <w:r w:rsidRPr="00390AA7">
        <w:t>The adjustment is done ‘on the fly’ in the sense that the item-specific weights are created and used for estimating but are not kept on the survey data set.</w:t>
      </w:r>
    </w:p>
    <w:p w14:paraId="45BE1BC1" w14:textId="77777777" w:rsidR="004366B7" w:rsidRPr="00390AA7" w:rsidRDefault="004366B7" w:rsidP="004366B7">
      <w:pPr>
        <w:rPr>
          <w:rFonts w:eastAsia="Cambria"/>
          <w:lang w:eastAsia="en-US"/>
        </w:rPr>
      </w:pPr>
    </w:p>
    <w:p w14:paraId="293B8704" w14:textId="77777777" w:rsidR="004366B7" w:rsidRPr="00390AA7" w:rsidRDefault="004366B7" w:rsidP="00FC2C7B">
      <w:pPr>
        <w:pStyle w:val="Heading3"/>
        <w:rPr>
          <w:rFonts w:eastAsia="Cambria"/>
        </w:rPr>
      </w:pPr>
      <w:bookmarkStart w:id="313" w:name="_Toc339270029"/>
      <w:r w:rsidRPr="00390AA7">
        <w:rPr>
          <w:rFonts w:eastAsia="Cambria"/>
        </w:rPr>
        <w:t>Calculating proportions</w:t>
      </w:r>
      <w:bookmarkEnd w:id="313"/>
    </w:p>
    <w:p w14:paraId="6BB77E5D" w14:textId="77777777" w:rsidR="004366B7" w:rsidRPr="00390AA7" w:rsidRDefault="004366B7" w:rsidP="004366B7">
      <w:pPr>
        <w:rPr>
          <w:rFonts w:eastAsia="Cambria"/>
          <w:lang w:eastAsia="en-US"/>
        </w:rPr>
      </w:pPr>
      <w:r w:rsidRPr="00390AA7">
        <w:rPr>
          <w:rFonts w:eastAsia="Cambria"/>
          <w:lang w:eastAsia="en-US"/>
        </w:rPr>
        <w:t>The proportion of the population who belong to a particular group (such as the proportion of the population who have diabetes) is estimated by calculating the sum of the weights of the respondents in the group divided by the sum of the weights of all respondents.</w:t>
      </w:r>
    </w:p>
    <w:p w14:paraId="7977B4C9" w14:textId="77777777" w:rsidR="004366B7" w:rsidRPr="00390AA7" w:rsidRDefault="004366B7" w:rsidP="004366B7">
      <w:pPr>
        <w:rPr>
          <w:rFonts w:eastAsia="Cambria"/>
          <w:lang w:eastAsia="en-US"/>
        </w:rPr>
      </w:pPr>
    </w:p>
    <w:p w14:paraId="005F7EBB" w14:textId="77777777" w:rsidR="004366B7" w:rsidRPr="00390AA7" w:rsidRDefault="004366B7" w:rsidP="004366B7">
      <w:pPr>
        <w:rPr>
          <w:rFonts w:eastAsia="Cambria"/>
          <w:lang w:eastAsia="en-US"/>
        </w:rPr>
      </w:pPr>
      <w:r w:rsidRPr="00390AA7">
        <w:rPr>
          <w:rFonts w:eastAsia="Cambria"/>
          <w:lang w:eastAsia="en-US"/>
        </w:rPr>
        <w:t>The proportion of people in a population group who belong to a subgroup (such as the proportion of Māor</w:t>
      </w:r>
      <w:r w:rsidRPr="00390AA7">
        <w:rPr>
          <w:rFonts w:eastAsia="Cambria"/>
        </w:rPr>
        <w:t>i</w:t>
      </w:r>
      <w:r w:rsidRPr="00390AA7">
        <w:rPr>
          <w:rFonts w:eastAsia="Cambria"/>
          <w:lang w:eastAsia="en-US"/>
        </w:rPr>
        <w:t xml:space="preserve"> who have diabetes) is estimated by calculating the sum of the weights of the respondents in the subgroup (Māori who have diabetes) divided by the sum of the weights of the respondents in the population group (Māori).</w:t>
      </w:r>
    </w:p>
    <w:p w14:paraId="50BCB80F" w14:textId="77777777" w:rsidR="004366B7" w:rsidRPr="00390AA7" w:rsidRDefault="004366B7" w:rsidP="00FC2C7B">
      <w:pPr>
        <w:pStyle w:val="Heading3"/>
        <w:rPr>
          <w:rFonts w:eastAsia="Cambria"/>
        </w:rPr>
      </w:pPr>
      <w:bookmarkStart w:id="314" w:name="_Toc339270030"/>
      <w:r w:rsidRPr="00390AA7">
        <w:rPr>
          <w:rFonts w:eastAsia="Cambria"/>
        </w:rPr>
        <w:t>Calculating totals</w:t>
      </w:r>
      <w:bookmarkEnd w:id="314"/>
    </w:p>
    <w:p w14:paraId="72EDFFD2" w14:textId="77777777" w:rsidR="004366B7" w:rsidRPr="00390AA7" w:rsidRDefault="004366B7" w:rsidP="004366B7">
      <w:pPr>
        <w:rPr>
          <w:rFonts w:eastAsia="Cambria"/>
          <w:lang w:eastAsia="en-US"/>
        </w:rPr>
      </w:pPr>
      <w:r w:rsidRPr="00390AA7">
        <w:rPr>
          <w:rFonts w:eastAsia="Cambria"/>
          <w:lang w:eastAsia="en-US"/>
        </w:rPr>
        <w:t>Estimates of totals are given by calculating the sum, over all the respondents, of the weight multiplied by the variable of interest. For example, the estimate of the total number of people with diabetes in the whole population would be given by the sum, over all respondents, of the weight multiplied by a binary variable indicating which respondents have diabetes. This is equivalent to the sum of the weights of the respondents who have diabetes in the population.</w:t>
      </w:r>
    </w:p>
    <w:p w14:paraId="475CE0C4" w14:textId="77777777" w:rsidR="004366B7" w:rsidRPr="00390AA7" w:rsidRDefault="004366B7" w:rsidP="00FC2C7B">
      <w:pPr>
        <w:pStyle w:val="Heading3"/>
        <w:rPr>
          <w:rFonts w:eastAsia="Cambria"/>
        </w:rPr>
      </w:pPr>
      <w:bookmarkStart w:id="315" w:name="_Toc339270031"/>
      <w:r w:rsidRPr="00390AA7">
        <w:rPr>
          <w:rFonts w:eastAsia="Cambria"/>
        </w:rPr>
        <w:t>Calculating means</w:t>
      </w:r>
      <w:bookmarkEnd w:id="315"/>
    </w:p>
    <w:p w14:paraId="51278962" w14:textId="77777777" w:rsidR="004366B7" w:rsidRPr="00390AA7" w:rsidRDefault="004366B7" w:rsidP="004366B7">
      <w:pPr>
        <w:rPr>
          <w:rFonts w:eastAsia="Cambria"/>
          <w:lang w:eastAsia="en-US"/>
        </w:rPr>
      </w:pPr>
      <w:r w:rsidRPr="00390AA7">
        <w:rPr>
          <w:rFonts w:eastAsia="Cambria"/>
          <w:lang w:eastAsia="en-US"/>
        </w:rPr>
        <w:t>Estimates of population averages are determined by calculating the sum, over all respondents, of the weight multiplied by the variable of interest divided by the sum of the weights. For example, the average number of males visiting a GP. The estimate is given by calculating the sum, over respondents in the group, of the weight multiplied by the variable of interest, divided by the sum of the weights of the respondents in the group.</w:t>
      </w:r>
    </w:p>
    <w:p w14:paraId="28A1625D" w14:textId="77777777" w:rsidR="004366B7" w:rsidRPr="00390AA7" w:rsidRDefault="004366B7" w:rsidP="00FC2C7B">
      <w:pPr>
        <w:pStyle w:val="Heading3"/>
        <w:rPr>
          <w:rFonts w:eastAsia="Cambria"/>
          <w:lang w:eastAsia="en-US"/>
        </w:rPr>
      </w:pPr>
      <w:bookmarkStart w:id="316" w:name="_Ref55463429"/>
      <w:r w:rsidRPr="00390AA7">
        <w:rPr>
          <w:rFonts w:eastAsia="Cambria"/>
          <w:lang w:eastAsia="en-US"/>
        </w:rPr>
        <w:t>Suppression of small sample sizes</w:t>
      </w:r>
      <w:bookmarkEnd w:id="316"/>
    </w:p>
    <w:p w14:paraId="52475670" w14:textId="77777777" w:rsidR="004366B7" w:rsidRPr="00390AA7" w:rsidRDefault="004366B7" w:rsidP="004366B7">
      <w:r w:rsidRPr="00390AA7">
        <w:t>Small samples can affect both the reliability and the confidentiality of results. Problems with reliability arise when the sample becomes too small to adequately represent the population from which it has been drawn. Problems with confidentiality can arise when it becomes possible to identify an individual; usually someone in a subgroup of the population within a small geographical area.</w:t>
      </w:r>
    </w:p>
    <w:p w14:paraId="15CBD990" w14:textId="77777777" w:rsidR="004366B7" w:rsidRPr="00390AA7" w:rsidRDefault="004366B7" w:rsidP="004366B7"/>
    <w:p w14:paraId="486618BE" w14:textId="77777777" w:rsidR="004366B7" w:rsidRPr="00390AA7" w:rsidRDefault="004366B7" w:rsidP="004366B7">
      <w:r w:rsidRPr="00390AA7">
        <w:t xml:space="preserve">To ensure the survey data presented is reliable and the respondents’ confidentiality is protected, proportions have only been estimated when there are at least 30 people in the denominator (the population group being analysed). </w:t>
      </w:r>
    </w:p>
    <w:p w14:paraId="0FD00A0B" w14:textId="77777777" w:rsidR="004366B7" w:rsidRPr="00390AA7" w:rsidRDefault="004366B7" w:rsidP="004366B7"/>
    <w:p w14:paraId="3B1DF361" w14:textId="23F7FE39" w:rsidR="004366B7" w:rsidRPr="00390AA7" w:rsidRDefault="004366B7" w:rsidP="004366B7">
      <w:r w:rsidRPr="00390AA7">
        <w:t>The relative standard error (the standard error expressed as a proportion of the estimate, or RSE) is another indicator of data quality. Data was suppressed when the RSE was over 100</w:t>
      </w:r>
      <w:r w:rsidRPr="00390AA7">
        <w:rPr>
          <w:rStyle w:val="CommentReference"/>
        </w:rPr>
        <w:t>%</w:t>
      </w:r>
      <w:r w:rsidR="00FA05A3" w:rsidRPr="00390AA7">
        <w:rPr>
          <w:rStyle w:val="CommentReference"/>
        </w:rPr>
        <w:t xml:space="preserve"> </w:t>
      </w:r>
      <w:r w:rsidRPr="00390AA7">
        <w:t>which indicates very poor-quality data. Estimates with an RSE of over 30% are moderate quality and have been flagged to indicate that they should be interpreted with caution.</w:t>
      </w:r>
    </w:p>
    <w:p w14:paraId="070EB09A" w14:textId="77777777" w:rsidR="004366B7" w:rsidRPr="00390AA7" w:rsidRDefault="004366B7" w:rsidP="004366B7"/>
    <w:p w14:paraId="5999A7AF" w14:textId="77777777" w:rsidR="004366B7" w:rsidRPr="006260CA" w:rsidRDefault="004366B7">
      <w:pPr>
        <w:pStyle w:val="Heading2"/>
      </w:pPr>
      <w:bookmarkStart w:id="317" w:name="_Toc467491546"/>
      <w:bookmarkStart w:id="318" w:name="_Toc531762363"/>
      <w:bookmarkStart w:id="319" w:name="_Toc531783720"/>
      <w:bookmarkStart w:id="320" w:name="_Toc22887953"/>
      <w:bookmarkStart w:id="321" w:name="_Toc55206860"/>
      <w:bookmarkStart w:id="322" w:name="_Toc88752051"/>
      <w:bookmarkStart w:id="323" w:name="_Toc153259099"/>
      <w:r w:rsidRPr="006260CA">
        <w:t>Comparing population groups</w:t>
      </w:r>
      <w:bookmarkEnd w:id="317"/>
      <w:bookmarkEnd w:id="318"/>
      <w:bookmarkEnd w:id="319"/>
      <w:bookmarkEnd w:id="320"/>
      <w:bookmarkEnd w:id="321"/>
      <w:bookmarkEnd w:id="322"/>
      <w:bookmarkEnd w:id="323"/>
    </w:p>
    <w:p w14:paraId="76C2D710" w14:textId="77777777" w:rsidR="004366B7" w:rsidRPr="00390AA7" w:rsidRDefault="004366B7" w:rsidP="00FC2C7B">
      <w:pPr>
        <w:pStyle w:val="Heading3"/>
      </w:pPr>
      <w:bookmarkStart w:id="324" w:name="_Toc335133123"/>
      <w:bookmarkStart w:id="325" w:name="_Toc339270033"/>
      <w:r w:rsidRPr="00390AA7">
        <w:t>Age standardisation</w:t>
      </w:r>
      <w:bookmarkEnd w:id="324"/>
      <w:bookmarkEnd w:id="325"/>
    </w:p>
    <w:p w14:paraId="2BC16FA2" w14:textId="77777777" w:rsidR="004366B7" w:rsidRPr="00390AA7" w:rsidRDefault="004366B7" w:rsidP="004366B7">
      <w:r w:rsidRPr="00390AA7">
        <w:t>NZHS reports mainly focus on presenting crude (unadjusted) estimates of the proportion or mean in the total population by age group (age-specific rates or means). However, age is an important determinant of health, so population groups with different age structures (such as men and women, whose age structures differ due to women’s longer life expectancy) may have different rates or means due to these age differences. This means that comparisons of crude rates or means over time and between groups may be misleading if the age structure differs between the groups being compared.</w:t>
      </w:r>
    </w:p>
    <w:p w14:paraId="36E46634" w14:textId="77777777" w:rsidR="004366B7" w:rsidRPr="00390AA7" w:rsidRDefault="004366B7" w:rsidP="004366B7"/>
    <w:p w14:paraId="7331B640" w14:textId="77777777" w:rsidR="004366B7" w:rsidRPr="00390AA7" w:rsidRDefault="004366B7" w:rsidP="004366B7">
      <w:r w:rsidRPr="00390AA7">
        <w:t xml:space="preserve">One approach to making more meaningful comparisons between groups is to compare age-specific rates or means. Alternatively, it can be useful to summarise a set of age-specific rates or means for a group into a single age-independent measure. This is achieved by a process called </w:t>
      </w:r>
      <w:r w:rsidRPr="00390AA7">
        <w:rPr>
          <w:b/>
        </w:rPr>
        <w:t>age standardisation</w:t>
      </w:r>
      <w:r w:rsidRPr="00390AA7">
        <w:t>.</w:t>
      </w:r>
    </w:p>
    <w:p w14:paraId="55299B87" w14:textId="77777777" w:rsidR="004366B7" w:rsidRPr="00390AA7" w:rsidRDefault="004366B7" w:rsidP="004366B7"/>
    <w:p w14:paraId="384061A3" w14:textId="77777777" w:rsidR="004366B7" w:rsidRPr="00390AA7" w:rsidRDefault="004366B7" w:rsidP="004366B7">
      <w:r w:rsidRPr="00390AA7">
        <w:t>Age standardisation in NZHS reports is performed by</w:t>
      </w:r>
      <w:r w:rsidRPr="00390AA7">
        <w:rPr>
          <w:b/>
        </w:rPr>
        <w:t xml:space="preserve"> direct standardisation</w:t>
      </w:r>
      <w:r w:rsidRPr="00390AA7">
        <w:t xml:space="preserve"> using the World Health Organization (WHO) world population age distribution: </w:t>
      </w:r>
      <w:r w:rsidRPr="00390AA7">
        <w:rPr>
          <w:i/>
        </w:rPr>
        <w:t>Age</w:t>
      </w:r>
      <w:r w:rsidRPr="00390AA7">
        <w:rPr>
          <w:i/>
        </w:rPr>
        <w:noBreakHyphen/>
        <w:t>standardization of Rates: A new WHO standard</w:t>
      </w:r>
      <w:r w:rsidRPr="00390AA7">
        <w:t xml:space="preserve"> (Ahmad et al 2000). The direct method calculates an age-standardised rate (ASR), which is a weighted average of the age-specific rates, for each of the population groups to be compared. The weights applied represent the relative age distribution of the WHO population. This provides a single summary rate for each of the population groups being compared that reflects the rate that would have been expected if the group had had an age distribution identical to the WHO population.</w:t>
      </w:r>
    </w:p>
    <w:p w14:paraId="18EE6AA8" w14:textId="77777777" w:rsidR="004366B7" w:rsidRPr="006650CB" w:rsidRDefault="004366B7" w:rsidP="004366B7"/>
    <w:p w14:paraId="0D7E6A9A" w14:textId="77777777" w:rsidR="004366B7" w:rsidRPr="00390AA7" w:rsidRDefault="004366B7" w:rsidP="004366B7">
      <w:r w:rsidRPr="00390AA7">
        <w:t>The ASR is given by:</w:t>
      </w:r>
    </w:p>
    <w:p w14:paraId="45CC58EE" w14:textId="77777777" w:rsidR="004366B7" w:rsidRPr="00390AA7" w:rsidRDefault="004366B7" w:rsidP="004366B7">
      <w:pPr>
        <w:spacing w:before="60"/>
        <w:ind w:left="567"/>
      </w:pPr>
      <w:r w:rsidRPr="00390AA7">
        <w:t xml:space="preserve">ASR = </w:t>
      </w:r>
      <w:r w:rsidRPr="00390AA7">
        <w:rPr>
          <w:rFonts w:ascii="Symbol" w:eastAsia="Symbol" w:hAnsi="Symbol" w:cs="Symbol"/>
        </w:rPr>
        <w:t>å</w:t>
      </w:r>
      <w:r w:rsidRPr="00390AA7">
        <w:t>r</w:t>
      </w:r>
      <w:r w:rsidRPr="00390AA7">
        <w:rPr>
          <w:vertAlign w:val="subscript"/>
        </w:rPr>
        <w:t>i</w:t>
      </w:r>
      <w:r w:rsidRPr="00390AA7">
        <w:t xml:space="preserve"> (n</w:t>
      </w:r>
      <w:r w:rsidRPr="00390AA7">
        <w:rPr>
          <w:vertAlign w:val="subscript"/>
        </w:rPr>
        <w:t>i</w:t>
      </w:r>
      <w:r w:rsidRPr="00390AA7">
        <w:t>/</w:t>
      </w:r>
      <w:r w:rsidRPr="00390AA7">
        <w:rPr>
          <w:rFonts w:ascii="Symbol" w:eastAsia="Symbol" w:hAnsi="Symbol" w:cs="Symbol"/>
        </w:rPr>
        <w:t>å</w:t>
      </w:r>
      <w:r w:rsidRPr="00390AA7">
        <w:t xml:space="preserve"> n</w:t>
      </w:r>
      <w:r w:rsidRPr="00390AA7">
        <w:rPr>
          <w:vertAlign w:val="subscript"/>
        </w:rPr>
        <w:t>i</w:t>
      </w:r>
      <w:r w:rsidRPr="00390AA7">
        <w:t>),</w:t>
      </w:r>
    </w:p>
    <w:p w14:paraId="4B7C8B23" w14:textId="77777777" w:rsidR="004366B7" w:rsidRPr="00390AA7" w:rsidRDefault="004366B7" w:rsidP="004366B7">
      <w:pPr>
        <w:spacing w:before="60"/>
      </w:pPr>
      <w:r w:rsidRPr="00390AA7">
        <w:t xml:space="preserve">where </w:t>
      </w:r>
      <w:r w:rsidRPr="00390AA7">
        <w:rPr>
          <w:i/>
        </w:rPr>
        <w:t>n</w:t>
      </w:r>
      <w:r w:rsidRPr="00390AA7">
        <w:rPr>
          <w:i/>
          <w:vertAlign w:val="subscript"/>
        </w:rPr>
        <w:t>i</w:t>
      </w:r>
      <w:r w:rsidRPr="00390AA7">
        <w:rPr>
          <w:i/>
        </w:rPr>
        <w:t xml:space="preserve"> </w:t>
      </w:r>
      <w:r w:rsidRPr="00390AA7">
        <w:t xml:space="preserve">is the population in the </w:t>
      </w:r>
      <w:r w:rsidRPr="00390AA7">
        <w:rPr>
          <w:i/>
        </w:rPr>
        <w:t>i</w:t>
      </w:r>
      <w:r w:rsidRPr="00390AA7">
        <w:rPr>
          <w:vertAlign w:val="superscript"/>
        </w:rPr>
        <w:t>th</w:t>
      </w:r>
      <w:r w:rsidRPr="00390AA7">
        <w:t xml:space="preserve"> age group of the standard population and </w:t>
      </w:r>
      <w:r w:rsidRPr="00390AA7">
        <w:rPr>
          <w:i/>
        </w:rPr>
        <w:t>r</w:t>
      </w:r>
      <w:r w:rsidRPr="00390AA7">
        <w:rPr>
          <w:i/>
          <w:vertAlign w:val="subscript"/>
        </w:rPr>
        <w:t>i</w:t>
      </w:r>
      <w:r w:rsidRPr="00390AA7">
        <w:t xml:space="preserve"> is the rate in the </w:t>
      </w:r>
      <w:r w:rsidRPr="00390AA7">
        <w:rPr>
          <w:i/>
        </w:rPr>
        <w:t>i</w:t>
      </w:r>
      <w:r w:rsidRPr="00390AA7">
        <w:rPr>
          <w:vertAlign w:val="superscript"/>
        </w:rPr>
        <w:t>th</w:t>
      </w:r>
      <w:r w:rsidRPr="00390AA7">
        <w:t xml:space="preserve"> age group from the survey.</w:t>
      </w:r>
    </w:p>
    <w:p w14:paraId="03F28E0B" w14:textId="77777777" w:rsidR="004366B7" w:rsidRPr="00390AA7" w:rsidRDefault="004366B7" w:rsidP="004366B7"/>
    <w:p w14:paraId="0B3FE4B0" w14:textId="77777777" w:rsidR="004366B7" w:rsidRPr="00390AA7" w:rsidRDefault="004366B7" w:rsidP="004366B7">
      <w:r w:rsidRPr="00390AA7">
        <w:t>Age-standardised rates are provided in some tables to help make comparisons by gender, ethnic group and neighbourhood deprivation and between survey years.</w:t>
      </w:r>
    </w:p>
    <w:p w14:paraId="2D34D941" w14:textId="77777777" w:rsidR="004366B7" w:rsidRPr="00390AA7" w:rsidRDefault="004366B7" w:rsidP="004366B7"/>
    <w:p w14:paraId="5F7F579F" w14:textId="77777777" w:rsidR="004366B7" w:rsidRPr="00390AA7" w:rsidRDefault="004366B7" w:rsidP="004366B7">
      <w:r w:rsidRPr="00390AA7">
        <w:t>Results for children are age-standardised to the population younger than 15 years, and results for adults are age-standardised to the population aged 15 years and over.</w:t>
      </w:r>
    </w:p>
    <w:p w14:paraId="335153C4" w14:textId="77777777" w:rsidR="004366B7" w:rsidRPr="00390AA7" w:rsidRDefault="004366B7" w:rsidP="004366B7"/>
    <w:p w14:paraId="52075A59" w14:textId="77777777" w:rsidR="004366B7" w:rsidRPr="00390AA7" w:rsidRDefault="004366B7" w:rsidP="004366B7">
      <w:r w:rsidRPr="00390AA7">
        <w:t>The same approach is used to age-standardised estimates of means.</w:t>
      </w:r>
    </w:p>
    <w:p w14:paraId="7F21E17E" w14:textId="77777777" w:rsidR="004366B7" w:rsidRPr="00390AA7" w:rsidRDefault="004366B7" w:rsidP="004366B7"/>
    <w:p w14:paraId="51D4A4D2" w14:textId="77777777" w:rsidR="004366B7" w:rsidRPr="00390AA7" w:rsidRDefault="004366B7" w:rsidP="004366B7">
      <w:pPr>
        <w:pStyle w:val="Heading4"/>
      </w:pPr>
      <w:r w:rsidRPr="00390AA7">
        <w:t>Adjusted rate ratios</w:t>
      </w:r>
    </w:p>
    <w:p w14:paraId="65C3E47A" w14:textId="77777777" w:rsidR="004366B7" w:rsidRPr="00390AA7" w:rsidRDefault="004366B7" w:rsidP="004366B7">
      <w:pPr>
        <w:keepNext/>
      </w:pPr>
      <w:r w:rsidRPr="00390AA7">
        <w:t xml:space="preserve">NZHS reports also present comparisons between population groups as </w:t>
      </w:r>
      <w:r w:rsidRPr="00390AA7">
        <w:rPr>
          <w:b/>
        </w:rPr>
        <w:t>rate ratios</w:t>
      </w:r>
      <w:r w:rsidRPr="00390AA7">
        <w:t>; that is, as the ratio of the estimated proportions having the characteristic of interest in the two groups.</w:t>
      </w:r>
    </w:p>
    <w:p w14:paraId="27211482" w14:textId="77777777" w:rsidR="004366B7" w:rsidRPr="00390AA7" w:rsidRDefault="004366B7" w:rsidP="004366B7">
      <w:pPr>
        <w:keepNext/>
      </w:pPr>
    </w:p>
    <w:p w14:paraId="3B1C8031" w14:textId="77777777" w:rsidR="004366B7" w:rsidRPr="00390AA7" w:rsidRDefault="004366B7" w:rsidP="004366B7">
      <w:pPr>
        <w:keepNext/>
      </w:pPr>
      <w:r w:rsidRPr="00390AA7">
        <w:t>Rate ratios are used for comparing:</w:t>
      </w:r>
    </w:p>
    <w:p w14:paraId="4F6E9DC8" w14:textId="77777777" w:rsidR="004366B7" w:rsidRPr="00390AA7" w:rsidRDefault="004366B7" w:rsidP="004366B7">
      <w:pPr>
        <w:pStyle w:val="Bullet"/>
      </w:pPr>
      <w:r w:rsidRPr="00390AA7">
        <w:t>men and women</w:t>
      </w:r>
    </w:p>
    <w:p w14:paraId="61A7F485" w14:textId="77777777" w:rsidR="004366B7" w:rsidRPr="00390AA7" w:rsidRDefault="004366B7" w:rsidP="004366B7">
      <w:pPr>
        <w:pStyle w:val="Bullet"/>
      </w:pPr>
      <w:r w:rsidRPr="00390AA7">
        <w:t>Māori and non-Māori (for the total population, men and women)</w:t>
      </w:r>
    </w:p>
    <w:p w14:paraId="035C7D9E" w14:textId="77777777" w:rsidR="004366B7" w:rsidRPr="00390AA7" w:rsidRDefault="004366B7" w:rsidP="004366B7">
      <w:pPr>
        <w:pStyle w:val="Bullet"/>
      </w:pPr>
      <w:r w:rsidRPr="00390AA7">
        <w:t xml:space="preserve">Pacific </w:t>
      </w:r>
      <w:r w:rsidRPr="00390AA7">
        <w:rPr>
          <w:rFonts w:eastAsia="Cambria"/>
          <w:lang w:eastAsia="en-US"/>
        </w:rPr>
        <w:t>peoples</w:t>
      </w:r>
      <w:r w:rsidRPr="00390AA7">
        <w:t xml:space="preserve"> and non-Pacific </w:t>
      </w:r>
      <w:r w:rsidRPr="00390AA7">
        <w:rPr>
          <w:rFonts w:eastAsia="Cambria"/>
          <w:lang w:eastAsia="en-US"/>
        </w:rPr>
        <w:t>peoples</w:t>
      </w:r>
      <w:r w:rsidRPr="00390AA7">
        <w:t xml:space="preserve"> (for the total population, men and women)</w:t>
      </w:r>
    </w:p>
    <w:p w14:paraId="0E4BCE13" w14:textId="77777777" w:rsidR="004366B7" w:rsidRPr="00390AA7" w:rsidRDefault="004366B7" w:rsidP="004366B7">
      <w:pPr>
        <w:pStyle w:val="Bullet"/>
      </w:pPr>
      <w:r w:rsidRPr="00390AA7">
        <w:t xml:space="preserve">Asian and non-Asian </w:t>
      </w:r>
      <w:bookmarkStart w:id="326" w:name="_Hlk55200519"/>
      <w:r w:rsidRPr="00390AA7">
        <w:t>(for the total population</w:t>
      </w:r>
      <w:bookmarkEnd w:id="326"/>
      <w:r w:rsidRPr="00390AA7">
        <w:t>, men and women)</w:t>
      </w:r>
    </w:p>
    <w:p w14:paraId="0D2D60CF" w14:textId="77777777" w:rsidR="004366B7" w:rsidRPr="00390AA7" w:rsidRDefault="004366B7" w:rsidP="004366B7">
      <w:pPr>
        <w:pStyle w:val="Bullet"/>
      </w:pPr>
      <w:r w:rsidRPr="00390AA7">
        <w:t>people living in the most and least socioeconomically deprived areas</w:t>
      </w:r>
    </w:p>
    <w:p w14:paraId="20E797A1" w14:textId="77777777" w:rsidR="004366B7" w:rsidRPr="00390AA7" w:rsidRDefault="004366B7" w:rsidP="004366B7">
      <w:pPr>
        <w:pStyle w:val="Bullet"/>
      </w:pPr>
      <w:r w:rsidRPr="00390AA7">
        <w:t>disabled and non-disabled (for the total population).</w:t>
      </w:r>
    </w:p>
    <w:p w14:paraId="6FB0B854" w14:textId="77777777" w:rsidR="004366B7" w:rsidRPr="00390AA7" w:rsidRDefault="004366B7" w:rsidP="004366B7"/>
    <w:p w14:paraId="699C5B3C" w14:textId="77777777" w:rsidR="004366B7" w:rsidRPr="00390AA7" w:rsidRDefault="004366B7" w:rsidP="004366B7">
      <w:r w:rsidRPr="00390AA7">
        <w:rPr>
          <w:rFonts w:eastAsia="Cambria"/>
          <w:lang w:eastAsia="en-US"/>
        </w:rPr>
        <w:t xml:space="preserve">In keeping with the use of total response ethnicity to present statistics by ethnic group, </w:t>
      </w:r>
      <w:r w:rsidRPr="00390AA7">
        <w:t xml:space="preserve">ethnic comparisons are presented such that Māori are compared with non-Māori, Pacific </w:t>
      </w:r>
      <w:r w:rsidRPr="00390AA7">
        <w:rPr>
          <w:rFonts w:eastAsia="Cambria"/>
          <w:lang w:eastAsia="en-US"/>
        </w:rPr>
        <w:t>peoples</w:t>
      </w:r>
      <w:r w:rsidRPr="00390AA7">
        <w:t xml:space="preserve"> with non-Pacific </w:t>
      </w:r>
      <w:r w:rsidRPr="00390AA7">
        <w:rPr>
          <w:rFonts w:eastAsia="Cambria"/>
          <w:lang w:eastAsia="en-US"/>
        </w:rPr>
        <w:t>peoples</w:t>
      </w:r>
      <w:r w:rsidRPr="00390AA7">
        <w:t xml:space="preserve"> and Asian with non-Asian. For this purpose, all respondents who identified as Māori are included in the Māori group; all other respondents are included in the non-Māori group. Similar groups are formed for Pacific </w:t>
      </w:r>
      <w:r w:rsidRPr="00390AA7">
        <w:rPr>
          <w:rFonts w:eastAsia="Cambria"/>
          <w:lang w:eastAsia="en-US"/>
        </w:rPr>
        <w:t>peoples</w:t>
      </w:r>
      <w:r w:rsidRPr="00390AA7">
        <w:t xml:space="preserve"> and Asian ethnic groups.</w:t>
      </w:r>
    </w:p>
    <w:p w14:paraId="2E64FC37" w14:textId="77777777" w:rsidR="004366B7" w:rsidRPr="00390AA7" w:rsidRDefault="004366B7" w:rsidP="004366B7"/>
    <w:p w14:paraId="732CA7A3" w14:textId="77777777" w:rsidR="004366B7" w:rsidRPr="00390AA7" w:rsidRDefault="004366B7" w:rsidP="004366B7">
      <w:r w:rsidRPr="00390AA7">
        <w:t>Rate ratios can be interpreted in the following ways.</w:t>
      </w:r>
    </w:p>
    <w:p w14:paraId="13281A5E" w14:textId="77777777" w:rsidR="004366B7" w:rsidRPr="00390AA7" w:rsidRDefault="004366B7" w:rsidP="004366B7">
      <w:pPr>
        <w:pStyle w:val="Bullet"/>
      </w:pPr>
      <w:r w:rsidRPr="00390AA7">
        <w:t>A value of 1 shows that there is no difference between the group of interest (for example, women) and the reference group (for example, men).</w:t>
      </w:r>
    </w:p>
    <w:p w14:paraId="04884F42" w14:textId="77777777" w:rsidR="004366B7" w:rsidRPr="00390AA7" w:rsidRDefault="004366B7" w:rsidP="004366B7">
      <w:pPr>
        <w:pStyle w:val="Bullet"/>
      </w:pPr>
      <w:r w:rsidRPr="00390AA7">
        <w:t>A value higher than 1 shows that the proportion is higher for the group of interest than for the reference group.</w:t>
      </w:r>
    </w:p>
    <w:p w14:paraId="7C5558E9" w14:textId="77777777" w:rsidR="004366B7" w:rsidRPr="00390AA7" w:rsidRDefault="004366B7" w:rsidP="004366B7">
      <w:pPr>
        <w:pStyle w:val="Bullet"/>
      </w:pPr>
      <w:r w:rsidRPr="00390AA7">
        <w:t>A value lower than 1 shows that the proportion is lower for the group of interest than for the reference group.</w:t>
      </w:r>
    </w:p>
    <w:p w14:paraId="7140DCDA" w14:textId="77777777" w:rsidR="004366B7" w:rsidRPr="00390AA7" w:rsidRDefault="004366B7" w:rsidP="004366B7"/>
    <w:p w14:paraId="60657AEC" w14:textId="77777777" w:rsidR="004366B7" w:rsidRPr="00390AA7" w:rsidRDefault="004366B7" w:rsidP="004366B7">
      <w:pPr>
        <w:rPr>
          <w:rFonts w:eastAsia="Calibri"/>
          <w:lang w:eastAsia="en-US"/>
        </w:rPr>
      </w:pPr>
      <w:r w:rsidRPr="00390AA7">
        <w:rPr>
          <w:rFonts w:eastAsia="Calibri"/>
          <w:lang w:eastAsia="en-US"/>
        </w:rPr>
        <w:t>The rate ratios presented in NZHS reports are adjusted for differences in demographic factors between the groups being compared that may be influencing (confounding) the comparison. The adjustments are as follows.</w:t>
      </w:r>
    </w:p>
    <w:p w14:paraId="3029A6F2" w14:textId="77777777" w:rsidR="004366B7" w:rsidRPr="00390AA7" w:rsidRDefault="004366B7" w:rsidP="004366B7">
      <w:pPr>
        <w:pStyle w:val="Bullet"/>
        <w:rPr>
          <w:rFonts w:eastAsia="Calibri"/>
          <w:lang w:eastAsia="en-US"/>
        </w:rPr>
      </w:pPr>
      <w:r w:rsidRPr="00390AA7">
        <w:rPr>
          <w:rFonts w:eastAsia="Calibri"/>
          <w:lang w:eastAsia="en-US"/>
        </w:rPr>
        <w:t>The gender comparison is adjusted for age.</w:t>
      </w:r>
    </w:p>
    <w:p w14:paraId="48F66B61" w14:textId="77777777" w:rsidR="004366B7" w:rsidRPr="00390AA7" w:rsidRDefault="004366B7" w:rsidP="004366B7">
      <w:pPr>
        <w:pStyle w:val="Bullet"/>
        <w:rPr>
          <w:rFonts w:eastAsia="Calibri"/>
          <w:lang w:eastAsia="en-US"/>
        </w:rPr>
      </w:pPr>
      <w:r w:rsidRPr="00390AA7">
        <w:rPr>
          <w:rFonts w:eastAsia="Calibri"/>
          <w:lang w:eastAsia="en-US"/>
        </w:rPr>
        <w:t>The ethnic comparisons are adjusted for age and gender.</w:t>
      </w:r>
    </w:p>
    <w:p w14:paraId="30823D6F" w14:textId="77777777" w:rsidR="004366B7" w:rsidRPr="00390AA7" w:rsidRDefault="004366B7" w:rsidP="004366B7">
      <w:pPr>
        <w:pStyle w:val="Bullet"/>
        <w:rPr>
          <w:rFonts w:eastAsia="Calibri"/>
          <w:lang w:eastAsia="en-US"/>
        </w:rPr>
      </w:pPr>
      <w:r w:rsidRPr="00390AA7">
        <w:rPr>
          <w:rFonts w:eastAsia="Calibri"/>
          <w:lang w:eastAsia="en-US"/>
        </w:rPr>
        <w:t>The deprivation comparison is adjusted for age, gender and ethnic group.</w:t>
      </w:r>
    </w:p>
    <w:p w14:paraId="0F7B92F5" w14:textId="77777777" w:rsidR="004366B7" w:rsidRPr="00390AA7" w:rsidRDefault="004366B7" w:rsidP="004366B7">
      <w:pPr>
        <w:rPr>
          <w:rFonts w:eastAsia="Calibri"/>
          <w:lang w:eastAsia="en-US"/>
        </w:rPr>
      </w:pPr>
    </w:p>
    <w:p w14:paraId="12C18D5C" w14:textId="0EC42B69" w:rsidR="004366B7" w:rsidRPr="00390AA7" w:rsidRDefault="004366B7" w:rsidP="004366B7">
      <w:pPr>
        <w:rPr>
          <w:rFonts w:eastAsia="Calibri"/>
          <w:lang w:eastAsia="en-US"/>
        </w:rPr>
      </w:pPr>
      <w:r w:rsidRPr="00390AA7">
        <w:rPr>
          <w:rFonts w:eastAsia="Calibri"/>
          <w:lang w:eastAsia="en-US"/>
        </w:rPr>
        <w:t>Adjusting for potential confounding factors makes comparisons more accurate and meaningful because the adjustment removes the effect of these confounding factors.</w:t>
      </w:r>
    </w:p>
    <w:p w14:paraId="16C20721" w14:textId="77777777" w:rsidR="00E037C8" w:rsidRPr="00390AA7" w:rsidRDefault="00E037C8" w:rsidP="004366B7">
      <w:pPr>
        <w:rPr>
          <w:rFonts w:eastAsia="Calibri"/>
          <w:lang w:eastAsia="en-US"/>
        </w:rPr>
      </w:pPr>
    </w:p>
    <w:p w14:paraId="34CE2426" w14:textId="77777777" w:rsidR="004366B7" w:rsidRPr="00390AA7" w:rsidRDefault="004366B7" w:rsidP="00E037C8">
      <w:pPr>
        <w:rPr>
          <w:rFonts w:eastAsia="Calibri"/>
          <w:lang w:eastAsia="en-US"/>
        </w:rPr>
      </w:pPr>
      <w:r w:rsidRPr="00390AA7">
        <w:rPr>
          <w:rFonts w:eastAsia="Calibri"/>
          <w:lang w:eastAsia="en-US"/>
        </w:rPr>
        <w:t>In the above comparisons, the comparison across neighbourhood deprivation is adjusted for ethnicity as well as age and gender. However, ethnicity comparisons are adjusted for age and gender but not for neighbourhood deprivation. This approach is used because ethnicity confounds the association between deprivation and health outcomes. By contrast, deprivation is only a mediator, not a confounder, of the association between ethnicity and health outcomes; that is, deprivation is on the path that links ethnicity to health outcomes. So, if ethnic comparisons were adjusted for deprivation, the analyses would not reflect the full independent effect of ethnicity but only that portion of the ethnicity effect that is not mediated by the socioeconomic position of deprivation.</w:t>
      </w:r>
    </w:p>
    <w:p w14:paraId="634D9D52" w14:textId="77777777" w:rsidR="004366B7" w:rsidRPr="00390AA7" w:rsidRDefault="004366B7" w:rsidP="004366B7">
      <w:pPr>
        <w:rPr>
          <w:rFonts w:eastAsia="Calibri"/>
          <w:lang w:eastAsia="en-US"/>
        </w:rPr>
      </w:pPr>
    </w:p>
    <w:p w14:paraId="339932A0" w14:textId="77777777" w:rsidR="004366B7" w:rsidRPr="00390AA7" w:rsidRDefault="004366B7" w:rsidP="004366B7">
      <w:pPr>
        <w:rPr>
          <w:rFonts w:eastAsia="Calibri"/>
          <w:lang w:eastAsia="en-US"/>
        </w:rPr>
      </w:pPr>
      <w:r w:rsidRPr="00390AA7">
        <w:rPr>
          <w:rFonts w:eastAsia="Calibri"/>
          <w:lang w:eastAsia="en-US"/>
        </w:rPr>
        <w:t>Adjusted rate ratios are calculated using the</w:t>
      </w:r>
      <w:r w:rsidRPr="00390AA7">
        <w:rPr>
          <w:rFonts w:eastAsia="Calibri"/>
          <w:b/>
        </w:rPr>
        <w:t xml:space="preserve"> predictive margins</w:t>
      </w:r>
      <w:r w:rsidRPr="00390AA7">
        <w:rPr>
          <w:rFonts w:eastAsia="Calibri"/>
          <w:lang w:eastAsia="en-US"/>
        </w:rPr>
        <w:t xml:space="preserve"> approach of Korn and Graubard (1999), which Bieler et al (2010) call </w:t>
      </w:r>
      <w:r w:rsidRPr="00390AA7">
        <w:rPr>
          <w:rFonts w:eastAsia="Calibri"/>
          <w:b/>
        </w:rPr>
        <w:t>model-adjusted risk ratios</w:t>
      </w:r>
      <w:r w:rsidRPr="00390AA7">
        <w:rPr>
          <w:rFonts w:eastAsia="Calibri"/>
          <w:lang w:eastAsia="en-US"/>
        </w:rPr>
        <w:t>. In this method:</w:t>
      </w:r>
    </w:p>
    <w:p w14:paraId="1737E3D1" w14:textId="77777777" w:rsidR="004366B7" w:rsidRPr="00390AA7" w:rsidRDefault="004366B7" w:rsidP="004366B7">
      <w:pPr>
        <w:pStyle w:val="Bullet"/>
        <w:rPr>
          <w:rFonts w:eastAsia="Calibri"/>
          <w:lang w:eastAsia="en-US"/>
        </w:rPr>
      </w:pPr>
      <w:r w:rsidRPr="00390AA7">
        <w:rPr>
          <w:rFonts w:eastAsia="Calibri"/>
          <w:lang w:eastAsia="en-US"/>
        </w:rPr>
        <w:t>a logistic regression model is fitted to the data. The variable defining the groups to be compared, and the adjustment variables, are explanatory variables in the model</w:t>
      </w:r>
    </w:p>
    <w:p w14:paraId="562B8B89" w14:textId="77777777" w:rsidR="004366B7" w:rsidRPr="00390AA7" w:rsidRDefault="004366B7" w:rsidP="004366B7">
      <w:pPr>
        <w:pStyle w:val="Bullet"/>
        <w:rPr>
          <w:rFonts w:eastAsia="Calibri"/>
          <w:lang w:eastAsia="en-US"/>
        </w:rPr>
      </w:pPr>
      <w:r w:rsidRPr="00390AA7">
        <w:rPr>
          <w:rFonts w:eastAsia="Calibri"/>
          <w:lang w:eastAsia="en-US"/>
        </w:rPr>
        <w:t>the parameters of the fitted model are used to estimate the proportion with the characteristic of interest as if all the respondents belong to the group of interest (such as all male), but otherwise each respondent keeps their own values for the adjustment variables in the model (such as age). That is, the proportion being estimated is for a hypothetical population of men who have the same age distribution as the full sample</w:t>
      </w:r>
    </w:p>
    <w:p w14:paraId="5F94F2F7" w14:textId="77777777" w:rsidR="004366B7" w:rsidRPr="00390AA7" w:rsidRDefault="004366B7" w:rsidP="004366B7">
      <w:pPr>
        <w:pStyle w:val="Bullet"/>
        <w:rPr>
          <w:rFonts w:eastAsia="Calibri"/>
          <w:lang w:eastAsia="en-US"/>
        </w:rPr>
      </w:pPr>
      <w:r w:rsidRPr="00390AA7">
        <w:rPr>
          <w:rFonts w:eastAsia="Calibri"/>
          <w:lang w:eastAsia="en-US"/>
        </w:rPr>
        <w:t>in the same way, the parameters of the fitted model are used to estimate the proportion with the characteristic of interest as if all the respondents belong to the comparison group of interest (such as total females), but otherwise each respondent keeps their own values for the adjustment variables in the model (such as age). That is, the proportion being estimated is for a hypothetical population of women who have the same age distribution as the full sample</w:t>
      </w:r>
    </w:p>
    <w:p w14:paraId="7039D2A8" w14:textId="77777777" w:rsidR="004366B7" w:rsidRPr="00390AA7" w:rsidRDefault="004366B7" w:rsidP="004366B7">
      <w:pPr>
        <w:pStyle w:val="Bullet"/>
        <w:rPr>
          <w:rFonts w:eastAsia="Calibri"/>
          <w:lang w:eastAsia="en-US"/>
        </w:rPr>
      </w:pPr>
      <w:r w:rsidRPr="00390AA7">
        <w:rPr>
          <w:rFonts w:eastAsia="Calibri"/>
          <w:lang w:eastAsia="en-US"/>
        </w:rPr>
        <w:t>once the model-adjusted proportions for the group of interest (men) and the comparison group (women) have been estimated in this way, their ratio can be calculated.</w:t>
      </w:r>
    </w:p>
    <w:p w14:paraId="75536A91" w14:textId="77777777" w:rsidR="004366B7" w:rsidRPr="00390AA7" w:rsidRDefault="004366B7" w:rsidP="004366B7">
      <w:pPr>
        <w:rPr>
          <w:rFonts w:eastAsia="Calibri"/>
          <w:lang w:eastAsia="en-US"/>
        </w:rPr>
      </w:pPr>
    </w:p>
    <w:p w14:paraId="1C2C407A" w14:textId="77777777" w:rsidR="004366B7" w:rsidRPr="00390AA7" w:rsidRDefault="004366B7" w:rsidP="004366B7">
      <w:r w:rsidRPr="00390AA7">
        <w:t xml:space="preserve">In the neighbourhood deprivation comparisons, the rate ratio refers to the </w:t>
      </w:r>
      <w:r w:rsidRPr="00390AA7">
        <w:rPr>
          <w:b/>
        </w:rPr>
        <w:t>relative index of inequality</w:t>
      </w:r>
      <w:r w:rsidRPr="00390AA7">
        <w:t xml:space="preserve"> (Hayes and Barry 2002). This measure is used instead of simply comparing the most deprived quintile with the least deprived quintile. It is calculated by first using data from all quintiles to calculate a line of best fit (linear regression line), adjusted for age group, gender and ethnic group. The</w:t>
      </w:r>
      <w:r w:rsidRPr="00390AA7">
        <w:rPr>
          <w:rFonts w:cs="Arial"/>
          <w:szCs w:val="24"/>
        </w:rPr>
        <w:t xml:space="preserve"> points on the </w:t>
      </w:r>
      <w:r w:rsidRPr="00390AA7">
        <w:t>regression line corresponding to the most and least deprived areas are used to calculate the rate ratio that is presented in the reports. This method has the advantage of using data from all the NZDep2018 quintiles to give an overall test for trend (gradient) by neighbourhood deprivation rather than only using the data from quintiles 1 and 5.</w:t>
      </w:r>
    </w:p>
    <w:p w14:paraId="68B24F46" w14:textId="77777777" w:rsidR="004366B7" w:rsidRPr="00390AA7" w:rsidRDefault="004366B7" w:rsidP="004366B7"/>
    <w:p w14:paraId="1B983129" w14:textId="77777777" w:rsidR="004366B7" w:rsidRPr="00390AA7" w:rsidRDefault="004366B7" w:rsidP="004366B7">
      <w:r w:rsidRPr="00390AA7">
        <w:rPr>
          <w:rFonts w:eastAsia="Calibri"/>
          <w:lang w:eastAsia="en-US"/>
        </w:rPr>
        <w:t xml:space="preserve">While total response ethnicity is used to report ethnic group statistics in the NZHS reports, a prioritised ethnicity variable is used when adjusting for ethnicity in the regression model underlying the relative index of inequality. </w:t>
      </w:r>
      <w:r w:rsidRPr="00390AA7">
        <w:t>Using prioritised ethnicity in the model simplifies the modelling process and gives results similar to including total response ethnicity variables in the model.</w:t>
      </w:r>
      <w:r w:rsidRPr="00390AA7">
        <w:rPr>
          <w:rFonts w:eastAsia="Calibri"/>
          <w:lang w:eastAsia="en-US"/>
        </w:rPr>
        <w:t xml:space="preserve"> The priority ordering of ethnic groups used is as follows: </w:t>
      </w:r>
      <w:r w:rsidRPr="00390AA7">
        <w:t>Māori, Pacific peoples, Asian, European/Other.</w:t>
      </w:r>
    </w:p>
    <w:p w14:paraId="02D609D9" w14:textId="77777777" w:rsidR="00940407" w:rsidRPr="00390AA7" w:rsidRDefault="00940407" w:rsidP="004366B7">
      <w:pPr>
        <w:pStyle w:val="Heading2"/>
        <w:spacing w:before="720"/>
        <w:sectPr w:rsidR="00940407" w:rsidRPr="00390AA7" w:rsidSect="004366B7">
          <w:pgSz w:w="11907" w:h="16840" w:code="9"/>
          <w:pgMar w:top="1418" w:right="1701" w:bottom="1134" w:left="1843" w:header="284" w:footer="425" w:gutter="284"/>
          <w:cols w:space="720"/>
        </w:sectPr>
      </w:pPr>
      <w:bookmarkStart w:id="327" w:name="_Toc335133124"/>
      <w:bookmarkStart w:id="328" w:name="_Toc339270034"/>
      <w:bookmarkStart w:id="329" w:name="_Toc467491547"/>
      <w:bookmarkStart w:id="330" w:name="_Toc531762364"/>
      <w:bookmarkStart w:id="331" w:name="_Toc531783721"/>
      <w:bookmarkStart w:id="332" w:name="_Toc22887954"/>
      <w:bookmarkStart w:id="333" w:name="_Toc55206861"/>
      <w:bookmarkStart w:id="334" w:name="_Toc88752052"/>
    </w:p>
    <w:p w14:paraId="38A2A79E" w14:textId="076683AC" w:rsidR="004366B7" w:rsidRPr="00390AA7" w:rsidRDefault="004366B7" w:rsidP="00940407">
      <w:pPr>
        <w:pStyle w:val="Heading2"/>
        <w:spacing w:before="0"/>
      </w:pPr>
      <w:bookmarkStart w:id="335" w:name="_Toc153259100"/>
      <w:r w:rsidRPr="00390AA7">
        <w:t>Confidence intervals</w:t>
      </w:r>
      <w:bookmarkEnd w:id="327"/>
      <w:bookmarkEnd w:id="328"/>
      <w:r w:rsidRPr="00390AA7">
        <w:t xml:space="preserve"> and statistical tests</w:t>
      </w:r>
      <w:bookmarkEnd w:id="329"/>
      <w:bookmarkEnd w:id="330"/>
      <w:bookmarkEnd w:id="331"/>
      <w:bookmarkEnd w:id="332"/>
      <w:bookmarkEnd w:id="333"/>
      <w:bookmarkEnd w:id="334"/>
      <w:bookmarkEnd w:id="335"/>
    </w:p>
    <w:p w14:paraId="53053B4E" w14:textId="77777777" w:rsidR="004366B7" w:rsidRPr="00390AA7" w:rsidRDefault="004366B7" w:rsidP="004366B7">
      <w:r w:rsidRPr="00390AA7">
        <w:t>Ninety-five percent confidence intervals are used in NZHS reports to represent the sampling error associated with the statistics; that is, the uncertainty due to selecting a sample to estimate values for the entire population. A 95% confidence interval for a statistic is constructed in such a way that, under a hypothetical scenario where selecting the sample could be repeated many times, 95% of the confidence intervals constructed in this way would contain the true population value.</w:t>
      </w:r>
    </w:p>
    <w:p w14:paraId="26CB148A" w14:textId="2FBAC305" w:rsidR="004366B7" w:rsidRPr="00390AA7" w:rsidRDefault="004366B7" w:rsidP="00E037C8">
      <w:pPr>
        <w:pStyle w:val="Heading3"/>
      </w:pPr>
      <w:r w:rsidRPr="00390AA7">
        <w:t>Calculating confidence intervals</w:t>
      </w:r>
    </w:p>
    <w:p w14:paraId="57DFC753" w14:textId="59713A4C" w:rsidR="004366B7" w:rsidRPr="00390AA7" w:rsidRDefault="00792BAA" w:rsidP="004366B7">
      <w:pPr>
        <w:rPr>
          <w:rFonts w:eastAsia="Cambria"/>
          <w:lang w:eastAsia="en-US"/>
        </w:rPr>
      </w:pPr>
      <w:r>
        <w:rPr>
          <w:rFonts w:eastAsia="Cambria"/>
          <w:lang w:eastAsia="en-US"/>
        </w:rPr>
        <w:t>NZHS statistics that are estimates of mean</w:t>
      </w:r>
      <w:r w:rsidR="001669BC">
        <w:rPr>
          <w:rFonts w:eastAsia="Cambria"/>
          <w:lang w:eastAsia="en-US"/>
        </w:rPr>
        <w:t>s</w:t>
      </w:r>
      <w:r>
        <w:rPr>
          <w:rFonts w:eastAsia="Cambria"/>
          <w:lang w:eastAsia="en-US"/>
        </w:rPr>
        <w:t xml:space="preserve"> </w:t>
      </w:r>
      <w:r w:rsidR="009D0D3B">
        <w:rPr>
          <w:rFonts w:eastAsia="Cambria"/>
          <w:lang w:eastAsia="en-US"/>
        </w:rPr>
        <w:t xml:space="preserve">or </w:t>
      </w:r>
      <w:r w:rsidR="003B5791">
        <w:rPr>
          <w:rFonts w:eastAsia="Cambria"/>
          <w:lang w:eastAsia="en-US"/>
        </w:rPr>
        <w:t xml:space="preserve">totals (population counts) </w:t>
      </w:r>
      <w:r>
        <w:rPr>
          <w:rFonts w:eastAsia="Cambria"/>
          <w:lang w:eastAsia="en-US"/>
        </w:rPr>
        <w:t xml:space="preserve">are calculated using the usual normal approximation. </w:t>
      </w:r>
      <w:r w:rsidR="004366B7" w:rsidRPr="00390AA7">
        <w:rPr>
          <w:rFonts w:eastAsia="Cambria"/>
          <w:lang w:eastAsia="en-US"/>
        </w:rPr>
        <w:t>The upper and lower limits of the 95% confidence interval are found by:</w:t>
      </w:r>
    </w:p>
    <w:p w14:paraId="3EEEA926" w14:textId="77777777" w:rsidR="004366B7" w:rsidRPr="00390AA7" w:rsidRDefault="004366B7" w:rsidP="004366B7">
      <w:pPr>
        <w:spacing w:before="60"/>
        <w:ind w:left="567"/>
        <w:rPr>
          <w:rFonts w:eastAsia="Cambria"/>
          <w:lang w:eastAsia="en-US"/>
        </w:rPr>
      </w:pPr>
      <w:r w:rsidRPr="00390AA7">
        <w:rPr>
          <w:rFonts w:eastAsia="Cambria"/>
          <w:lang w:eastAsia="en-US"/>
        </w:rPr>
        <w:t>estimate ± 1.96 x standard error of the estimate</w:t>
      </w:r>
    </w:p>
    <w:p w14:paraId="64DBE328" w14:textId="77777777" w:rsidR="004366B7" w:rsidRPr="00390AA7" w:rsidRDefault="004366B7" w:rsidP="004366B7">
      <w:pPr>
        <w:rPr>
          <w:rFonts w:eastAsia="Cambria"/>
          <w:lang w:eastAsia="en-US"/>
        </w:rPr>
      </w:pPr>
    </w:p>
    <w:p w14:paraId="62A652E4" w14:textId="1EB10EC5" w:rsidR="004366B7" w:rsidRPr="00390AA7" w:rsidRDefault="004366B7" w:rsidP="004366B7">
      <w:pPr>
        <w:rPr>
          <w:rFonts w:eastAsia="Cambria"/>
          <w:lang w:eastAsia="en-US"/>
        </w:rPr>
      </w:pPr>
      <w:r w:rsidRPr="00390AA7">
        <w:rPr>
          <w:rFonts w:eastAsia="Cambria"/>
          <w:lang w:eastAsia="en-US"/>
        </w:rPr>
        <w:t xml:space="preserve">However, </w:t>
      </w:r>
      <w:r w:rsidR="00792BAA">
        <w:rPr>
          <w:rFonts w:eastAsia="Cambria"/>
          <w:lang w:eastAsia="en-US"/>
        </w:rPr>
        <w:t xml:space="preserve">most NZHS </w:t>
      </w:r>
      <w:r w:rsidR="00292F5B">
        <w:rPr>
          <w:rFonts w:eastAsia="Cambria"/>
          <w:lang w:eastAsia="en-US"/>
        </w:rPr>
        <w:t xml:space="preserve">statistics </w:t>
      </w:r>
      <w:r w:rsidR="00792BAA">
        <w:rPr>
          <w:rFonts w:eastAsia="Cambria"/>
          <w:lang w:eastAsia="en-US"/>
        </w:rPr>
        <w:t xml:space="preserve">are estimates of </w:t>
      </w:r>
      <w:r w:rsidR="00D45505">
        <w:rPr>
          <w:rFonts w:eastAsia="Cambria"/>
          <w:lang w:eastAsia="en-US"/>
        </w:rPr>
        <w:t>proportions</w:t>
      </w:r>
      <w:r w:rsidR="00792BAA">
        <w:rPr>
          <w:rFonts w:eastAsia="Cambria"/>
          <w:lang w:eastAsia="en-US"/>
        </w:rPr>
        <w:t>. C</w:t>
      </w:r>
      <w:r w:rsidR="00792BAA" w:rsidRPr="00390AA7">
        <w:rPr>
          <w:rFonts w:eastAsia="Cambria"/>
          <w:lang w:eastAsia="en-US"/>
        </w:rPr>
        <w:t xml:space="preserve">onfidence </w:t>
      </w:r>
      <w:r w:rsidRPr="00390AA7">
        <w:rPr>
          <w:rFonts w:eastAsia="Cambria"/>
          <w:lang w:eastAsia="en-US"/>
        </w:rPr>
        <w:t>intervals based on the normal approximation sometimes do not work well</w:t>
      </w:r>
      <w:r w:rsidR="00914B6B">
        <w:rPr>
          <w:rFonts w:eastAsia="Cambria"/>
          <w:lang w:eastAsia="en-US"/>
        </w:rPr>
        <w:t xml:space="preserve"> for these statistics</w:t>
      </w:r>
      <w:r w:rsidR="00792BAA">
        <w:rPr>
          <w:rFonts w:eastAsia="Cambria"/>
          <w:lang w:eastAsia="en-US"/>
        </w:rPr>
        <w:t>. For example,</w:t>
      </w:r>
      <w:r w:rsidRPr="00390AA7">
        <w:rPr>
          <w:rFonts w:eastAsia="Cambria"/>
          <w:lang w:eastAsia="en-US"/>
        </w:rPr>
        <w:t xml:space="preserve"> when estimating </w:t>
      </w:r>
      <w:r w:rsidR="00D73BA8">
        <w:rPr>
          <w:rFonts w:eastAsia="Cambria"/>
          <w:lang w:eastAsia="en-US"/>
        </w:rPr>
        <w:t xml:space="preserve">very </w:t>
      </w:r>
      <w:r w:rsidRPr="00390AA7">
        <w:rPr>
          <w:rFonts w:eastAsia="Cambria"/>
          <w:lang w:eastAsia="en-US"/>
        </w:rPr>
        <w:t xml:space="preserve">small </w:t>
      </w:r>
      <w:r w:rsidR="00033411">
        <w:rPr>
          <w:rFonts w:eastAsia="Cambria"/>
          <w:lang w:eastAsia="en-US"/>
        </w:rPr>
        <w:t>(</w:t>
      </w:r>
      <w:r w:rsidR="00792BAA">
        <w:rPr>
          <w:rFonts w:eastAsia="Cambria"/>
          <w:lang w:eastAsia="en-US"/>
        </w:rPr>
        <w:t>close to 0%</w:t>
      </w:r>
      <w:r w:rsidR="00033411">
        <w:rPr>
          <w:rFonts w:eastAsia="Cambria"/>
          <w:lang w:eastAsia="en-US"/>
        </w:rPr>
        <w:t xml:space="preserve">) or </w:t>
      </w:r>
      <w:r w:rsidR="00C77EF4">
        <w:rPr>
          <w:rFonts w:eastAsia="Cambria"/>
          <w:lang w:eastAsia="en-US"/>
        </w:rPr>
        <w:t xml:space="preserve">very </w:t>
      </w:r>
      <w:r w:rsidR="00033411">
        <w:rPr>
          <w:rFonts w:eastAsia="Cambria"/>
          <w:lang w:eastAsia="en-US"/>
        </w:rPr>
        <w:t xml:space="preserve">large </w:t>
      </w:r>
      <w:r w:rsidR="00C77EF4">
        <w:rPr>
          <w:rFonts w:eastAsia="Cambria"/>
          <w:lang w:eastAsia="en-US"/>
        </w:rPr>
        <w:t>(close to 100%)</w:t>
      </w:r>
      <w:r w:rsidR="00033411">
        <w:rPr>
          <w:rFonts w:eastAsia="Cambria"/>
          <w:lang w:eastAsia="en-US"/>
        </w:rPr>
        <w:t xml:space="preserve"> proportions</w:t>
      </w:r>
      <w:r w:rsidR="00792BAA">
        <w:rPr>
          <w:rFonts w:eastAsia="Cambria"/>
          <w:lang w:eastAsia="en-US"/>
        </w:rPr>
        <w:t xml:space="preserve">, </w:t>
      </w:r>
      <w:r w:rsidRPr="00390AA7">
        <w:rPr>
          <w:rFonts w:eastAsia="Cambria"/>
          <w:lang w:eastAsia="en-US"/>
        </w:rPr>
        <w:t>the symmetric behaviour of normal confidence intervals can be unrealistic and can even lead to confidence intervals containing negative values</w:t>
      </w:r>
      <w:r w:rsidR="00033411">
        <w:rPr>
          <w:rFonts w:eastAsia="Cambria"/>
          <w:lang w:eastAsia="en-US"/>
        </w:rPr>
        <w:t xml:space="preserve"> or values greater than 100%</w:t>
      </w:r>
      <w:r w:rsidRPr="00390AA7">
        <w:rPr>
          <w:rFonts w:eastAsia="Cambria"/>
          <w:lang w:eastAsia="en-US"/>
        </w:rPr>
        <w:t>.</w:t>
      </w:r>
    </w:p>
    <w:p w14:paraId="21C6DB1B" w14:textId="77777777" w:rsidR="004366B7" w:rsidRPr="00390AA7" w:rsidRDefault="004366B7" w:rsidP="004366B7">
      <w:pPr>
        <w:rPr>
          <w:rFonts w:eastAsia="Cambria"/>
          <w:lang w:eastAsia="en-US"/>
        </w:rPr>
      </w:pPr>
    </w:p>
    <w:p w14:paraId="7273C095" w14:textId="786EFDFC" w:rsidR="004366B7" w:rsidRPr="00390AA7" w:rsidRDefault="00A56B2A" w:rsidP="004366B7">
      <w:r>
        <w:rPr>
          <w:rFonts w:eastAsia="Cambria"/>
          <w:lang w:eastAsia="en-US"/>
        </w:rPr>
        <w:t>Instead, t</w:t>
      </w:r>
      <w:r w:rsidR="004366B7" w:rsidRPr="00390AA7">
        <w:rPr>
          <w:rFonts w:eastAsia="Cambria"/>
          <w:lang w:eastAsia="en-US"/>
        </w:rPr>
        <w:t xml:space="preserve">he Korn and Graubard (1998) method is used to calculate </w:t>
      </w:r>
      <w:r w:rsidR="00090F3A">
        <w:rPr>
          <w:rFonts w:eastAsia="Cambria"/>
          <w:lang w:eastAsia="en-US"/>
        </w:rPr>
        <w:t>better</w:t>
      </w:r>
      <w:r w:rsidR="004366B7" w:rsidRPr="00390AA7">
        <w:rPr>
          <w:rFonts w:eastAsia="Cambria"/>
          <w:lang w:eastAsia="en-US"/>
        </w:rPr>
        <w:t xml:space="preserve"> confidence intervals </w:t>
      </w:r>
      <w:r w:rsidR="00033411">
        <w:rPr>
          <w:rFonts w:eastAsia="Cambria"/>
          <w:lang w:eastAsia="en-US"/>
        </w:rPr>
        <w:t xml:space="preserve">for proportions. For </w:t>
      </w:r>
      <w:r w:rsidR="009159C9">
        <w:rPr>
          <w:rFonts w:eastAsia="Cambria"/>
          <w:lang w:eastAsia="en-US"/>
        </w:rPr>
        <w:t xml:space="preserve">very </w:t>
      </w:r>
      <w:r w:rsidR="007B4A45">
        <w:rPr>
          <w:rFonts w:eastAsia="Cambria"/>
          <w:lang w:eastAsia="en-US"/>
        </w:rPr>
        <w:t>sm</w:t>
      </w:r>
      <w:r w:rsidR="00815FCB">
        <w:rPr>
          <w:rFonts w:eastAsia="Cambria"/>
          <w:lang w:eastAsia="en-US"/>
        </w:rPr>
        <w:t xml:space="preserve">all or </w:t>
      </w:r>
      <w:r w:rsidR="009159C9">
        <w:rPr>
          <w:rFonts w:eastAsia="Cambria"/>
          <w:lang w:eastAsia="en-US"/>
        </w:rPr>
        <w:t>very</w:t>
      </w:r>
      <w:r w:rsidR="00815FCB">
        <w:rPr>
          <w:rFonts w:eastAsia="Cambria"/>
          <w:lang w:eastAsia="en-US"/>
        </w:rPr>
        <w:t xml:space="preserve"> large </w:t>
      </w:r>
      <w:r w:rsidR="00033411">
        <w:rPr>
          <w:rFonts w:eastAsia="Cambria"/>
          <w:lang w:eastAsia="en-US"/>
        </w:rPr>
        <w:t xml:space="preserve">proportions, this method produces asymmetric confidence intervals </w:t>
      </w:r>
      <w:r w:rsidR="00865F28">
        <w:rPr>
          <w:rFonts w:eastAsia="Cambria"/>
          <w:lang w:eastAsia="en-US"/>
        </w:rPr>
        <w:t>which</w:t>
      </w:r>
      <w:r w:rsidR="00033411">
        <w:rPr>
          <w:rFonts w:eastAsia="Cambria"/>
          <w:lang w:eastAsia="en-US"/>
        </w:rPr>
        <w:t xml:space="preserve"> </w:t>
      </w:r>
      <w:r w:rsidR="00C1262F">
        <w:rPr>
          <w:rFonts w:eastAsia="Cambria"/>
          <w:lang w:eastAsia="en-US"/>
        </w:rPr>
        <w:t>still</w:t>
      </w:r>
      <w:r w:rsidR="00F21529">
        <w:rPr>
          <w:rFonts w:eastAsia="Cambria"/>
          <w:lang w:eastAsia="en-US"/>
        </w:rPr>
        <w:t xml:space="preserve"> </w:t>
      </w:r>
      <w:r w:rsidR="00205F36">
        <w:rPr>
          <w:rFonts w:eastAsia="Cambria"/>
          <w:lang w:eastAsia="en-US"/>
        </w:rPr>
        <w:t xml:space="preserve">have </w:t>
      </w:r>
      <w:r w:rsidR="00F21529">
        <w:rPr>
          <w:rFonts w:eastAsia="Cambria"/>
          <w:lang w:eastAsia="en-US"/>
        </w:rPr>
        <w:t xml:space="preserve">appropriate statistical properties </w:t>
      </w:r>
      <w:r w:rsidR="00C1262F">
        <w:rPr>
          <w:rFonts w:eastAsia="Cambria"/>
          <w:lang w:eastAsia="en-US"/>
        </w:rPr>
        <w:t xml:space="preserve">but </w:t>
      </w:r>
      <w:r w:rsidR="00511A72">
        <w:rPr>
          <w:rFonts w:eastAsia="Cambria"/>
          <w:lang w:eastAsia="en-US"/>
        </w:rPr>
        <w:t>stay within</w:t>
      </w:r>
      <w:r w:rsidR="00033411">
        <w:rPr>
          <w:rFonts w:eastAsia="Cambria"/>
          <w:lang w:eastAsia="en-US"/>
        </w:rPr>
        <w:t xml:space="preserve"> </w:t>
      </w:r>
      <w:r w:rsidR="00BF7102">
        <w:rPr>
          <w:rFonts w:eastAsia="Cambria"/>
          <w:lang w:eastAsia="en-US"/>
        </w:rPr>
        <w:t>the limits of 0</w:t>
      </w:r>
      <w:r w:rsidR="00D37777">
        <w:rPr>
          <w:rFonts w:eastAsia="Cambria"/>
          <w:lang w:eastAsia="en-US"/>
        </w:rPr>
        <w:t>% and 100%</w:t>
      </w:r>
      <w:r w:rsidR="00033411">
        <w:rPr>
          <w:rFonts w:eastAsia="Cambria"/>
          <w:lang w:eastAsia="en-US"/>
        </w:rPr>
        <w:t xml:space="preserve">. For proportions further away from 0% or 100%, the method will produce confidence intervals almost identical to the normal </w:t>
      </w:r>
      <w:r w:rsidR="00F856C5">
        <w:rPr>
          <w:rFonts w:eastAsia="Cambria"/>
          <w:lang w:eastAsia="en-US"/>
        </w:rPr>
        <w:t xml:space="preserve">approximation </w:t>
      </w:r>
      <w:r w:rsidR="00033411">
        <w:rPr>
          <w:rFonts w:eastAsia="Cambria"/>
          <w:lang w:eastAsia="en-US"/>
        </w:rPr>
        <w:t>method.</w:t>
      </w:r>
    </w:p>
    <w:p w14:paraId="5DB007BE" w14:textId="77777777" w:rsidR="004366B7" w:rsidRPr="00390AA7" w:rsidRDefault="004366B7" w:rsidP="004366B7"/>
    <w:p w14:paraId="4525E85A" w14:textId="77777777" w:rsidR="004366B7" w:rsidRPr="00390AA7" w:rsidRDefault="004366B7" w:rsidP="004366B7">
      <w:r w:rsidRPr="00390AA7">
        <w:t>Confidence intervals for percentiles such as medians are calculated using the Woodruff (1952) method.</w:t>
      </w:r>
    </w:p>
    <w:p w14:paraId="3CC0D116" w14:textId="77777777" w:rsidR="004366B7" w:rsidRPr="00390AA7" w:rsidRDefault="004366B7" w:rsidP="00E037C8">
      <w:pPr>
        <w:pStyle w:val="Heading3"/>
      </w:pPr>
      <w:r w:rsidRPr="00390AA7">
        <w:t>Tests for statistically significant differences</w:t>
      </w:r>
    </w:p>
    <w:p w14:paraId="4C22154E" w14:textId="61036DAF" w:rsidR="004366B7" w:rsidRPr="00390AA7" w:rsidRDefault="004366B7" w:rsidP="004366B7">
      <w:pPr>
        <w:keepNext/>
      </w:pPr>
      <w:r w:rsidRPr="00390AA7">
        <w:t>Some analysts assess whether two estimates differ significantly by seeing whether their confidence intervals overlap or not. This procedure is known to be overly conservative, resulting in a substantial degrading of statistical power, with some significant differences incorrectly assessed as insignificant.</w:t>
      </w:r>
    </w:p>
    <w:p w14:paraId="529822C8" w14:textId="77777777" w:rsidR="004366B7" w:rsidRPr="00390AA7" w:rsidRDefault="004366B7" w:rsidP="004366B7">
      <w:pPr>
        <w:keepNext/>
      </w:pPr>
    </w:p>
    <w:p w14:paraId="317B3D81" w14:textId="77777777" w:rsidR="004366B7" w:rsidRPr="00390AA7" w:rsidRDefault="004366B7" w:rsidP="004366B7">
      <w:r w:rsidRPr="00390AA7">
        <w:t xml:space="preserve">When confidence intervals do not overlap, it can be concluded that the estimates differ significantly. However, when they do overlap, it is still possible that there is a significant difference. In this case, a </w:t>
      </w:r>
      <w:r w:rsidRPr="00390AA7">
        <w:rPr>
          <w:i/>
          <w:iCs/>
        </w:rPr>
        <w:t>t</w:t>
      </w:r>
      <w:r w:rsidRPr="00390AA7">
        <w:t>-test is used to correctly test the statistical significance of differences between NZHS estimates.</w:t>
      </w:r>
    </w:p>
    <w:p w14:paraId="159524C6" w14:textId="77777777" w:rsidR="004366B7" w:rsidRPr="00390AA7" w:rsidRDefault="004366B7" w:rsidP="004366B7">
      <w:pPr>
        <w:pStyle w:val="Heading2"/>
        <w:rPr>
          <w:lang w:eastAsia="en-US"/>
        </w:rPr>
      </w:pPr>
      <w:bookmarkStart w:id="336" w:name="_Toc467491548"/>
      <w:bookmarkStart w:id="337" w:name="_Toc531762365"/>
      <w:bookmarkStart w:id="338" w:name="_Toc531783722"/>
      <w:bookmarkStart w:id="339" w:name="_Toc22887955"/>
      <w:bookmarkStart w:id="340" w:name="_Toc55206862"/>
      <w:bookmarkStart w:id="341" w:name="_Toc88752053"/>
      <w:bookmarkStart w:id="342" w:name="_Toc153259101"/>
      <w:bookmarkStart w:id="343" w:name="_Hlk53478560"/>
      <w:r w:rsidRPr="00390AA7">
        <w:rPr>
          <w:lang w:eastAsia="en-US"/>
        </w:rPr>
        <w:t>Time trends</w:t>
      </w:r>
      <w:bookmarkEnd w:id="336"/>
      <w:bookmarkEnd w:id="337"/>
      <w:bookmarkEnd w:id="338"/>
      <w:bookmarkEnd w:id="339"/>
      <w:bookmarkEnd w:id="340"/>
      <w:bookmarkEnd w:id="341"/>
      <w:bookmarkEnd w:id="342"/>
    </w:p>
    <w:p w14:paraId="15B0701D" w14:textId="16748414" w:rsidR="004366B7" w:rsidRPr="00390AA7" w:rsidRDefault="004366B7" w:rsidP="004366B7">
      <w:pPr>
        <w:rPr>
          <w:rFonts w:eastAsia="Calibri"/>
          <w:lang w:eastAsia="en-US"/>
        </w:rPr>
      </w:pPr>
      <w:r w:rsidRPr="00390AA7">
        <w:rPr>
          <w:rFonts w:eastAsia="Calibri"/>
          <w:lang w:eastAsia="en-US"/>
        </w:rPr>
        <w:t xml:space="preserve">Where possible, the results of indicators presented in the </w:t>
      </w:r>
      <w:r w:rsidR="00B1684A">
        <w:rPr>
          <w:rFonts w:eastAsia="Calibri"/>
          <w:lang w:eastAsia="en-US"/>
        </w:rPr>
        <w:t>Annual Data Explorer</w:t>
      </w:r>
      <w:r w:rsidRPr="00390AA7">
        <w:rPr>
          <w:rFonts w:eastAsia="Calibri"/>
          <w:lang w:eastAsia="en-US"/>
        </w:rPr>
        <w:t xml:space="preserve"> are compared with the corresponding results </w:t>
      </w:r>
      <w:bookmarkEnd w:id="343"/>
      <w:r w:rsidRPr="00390AA7">
        <w:rPr>
          <w:rFonts w:eastAsia="Calibri"/>
          <w:lang w:eastAsia="en-US"/>
        </w:rPr>
        <w:t>from the previous years of the continuous NZHS (from 2011/12 onwards). This is referred to as ‘time trends’.</w:t>
      </w:r>
    </w:p>
    <w:p w14:paraId="2CC9B425" w14:textId="77777777" w:rsidR="004366B7" w:rsidRPr="00390AA7" w:rsidRDefault="004366B7" w:rsidP="004366B7">
      <w:pPr>
        <w:rPr>
          <w:rFonts w:eastAsia="Calibri"/>
          <w:lang w:eastAsia="en-US"/>
        </w:rPr>
      </w:pPr>
    </w:p>
    <w:p w14:paraId="5110BE57" w14:textId="2704F6FF" w:rsidR="004366B7" w:rsidRPr="00390AA7" w:rsidRDefault="004366B7" w:rsidP="004366B7">
      <w:pPr>
        <w:rPr>
          <w:rFonts w:eastAsia="Calibri"/>
          <w:lang w:eastAsia="en-US"/>
        </w:rPr>
      </w:pPr>
      <w:r w:rsidRPr="00390AA7">
        <w:rPr>
          <w:rFonts w:eastAsia="Calibri"/>
          <w:lang w:eastAsia="en-US"/>
        </w:rPr>
        <w:t xml:space="preserve">Testing the statistical significance of changes over time is based on age-standardised statistics to </w:t>
      </w:r>
      <w:r w:rsidR="005E400F" w:rsidRPr="00390AA7">
        <w:rPr>
          <w:rFonts w:eastAsia="Calibri"/>
          <w:lang w:eastAsia="en-US"/>
        </w:rPr>
        <w:t xml:space="preserve">adjust for changes in the </w:t>
      </w:r>
      <w:r w:rsidRPr="00390AA7">
        <w:rPr>
          <w:rFonts w:eastAsia="Calibri"/>
          <w:lang w:eastAsia="en-US"/>
        </w:rPr>
        <w:t xml:space="preserve">age structure of the population over time. </w:t>
      </w:r>
    </w:p>
    <w:p w14:paraId="691D0DA5" w14:textId="77777777" w:rsidR="00E037C8" w:rsidRPr="00390AA7" w:rsidRDefault="00E037C8" w:rsidP="004366B7">
      <w:pPr>
        <w:pStyle w:val="Heading1"/>
        <w:sectPr w:rsidR="00E037C8" w:rsidRPr="00390AA7" w:rsidSect="004366B7">
          <w:pgSz w:w="11907" w:h="16840" w:code="9"/>
          <w:pgMar w:top="1418" w:right="1701" w:bottom="1134" w:left="1843" w:header="284" w:footer="425" w:gutter="284"/>
          <w:cols w:space="720"/>
        </w:sectPr>
      </w:pPr>
      <w:bookmarkStart w:id="344" w:name="_Toc339270038"/>
      <w:bookmarkStart w:id="345" w:name="_Toc340501953"/>
      <w:bookmarkStart w:id="346" w:name="_Toc372445573"/>
      <w:bookmarkStart w:id="347" w:name="_Toc403044028"/>
      <w:bookmarkStart w:id="348" w:name="_Toc467491549"/>
      <w:bookmarkStart w:id="349" w:name="_Toc531762366"/>
      <w:bookmarkStart w:id="350" w:name="_Toc531783723"/>
      <w:bookmarkStart w:id="351" w:name="_Toc22887956"/>
      <w:bookmarkStart w:id="352" w:name="_Toc55206863"/>
      <w:bookmarkStart w:id="353" w:name="_Toc88752054"/>
      <w:bookmarkEnd w:id="302"/>
    </w:p>
    <w:p w14:paraId="112C5A5F" w14:textId="3B76E4D6" w:rsidR="004366B7" w:rsidRPr="00390AA7" w:rsidRDefault="004366B7" w:rsidP="00B2502A">
      <w:pPr>
        <w:pStyle w:val="Heading1"/>
        <w:spacing w:before="0"/>
      </w:pPr>
      <w:bookmarkStart w:id="354" w:name="_Toc153259102"/>
      <w:r w:rsidRPr="00390AA7">
        <w:t>New Zealand Health Survey</w:t>
      </w:r>
      <w:bookmarkEnd w:id="344"/>
      <w:r w:rsidRPr="00390AA7">
        <w:t xml:space="preserve"> </w:t>
      </w:r>
      <w:bookmarkEnd w:id="345"/>
      <w:bookmarkEnd w:id="346"/>
      <w:bookmarkEnd w:id="347"/>
      <w:bookmarkEnd w:id="348"/>
      <w:bookmarkEnd w:id="349"/>
      <w:bookmarkEnd w:id="350"/>
      <w:bookmarkEnd w:id="351"/>
      <w:bookmarkEnd w:id="352"/>
      <w:r w:rsidRPr="00390AA7">
        <w:t>202</w:t>
      </w:r>
      <w:r w:rsidR="00547FF3" w:rsidRPr="00390AA7">
        <w:t>2</w:t>
      </w:r>
      <w:r w:rsidRPr="00390AA7">
        <w:t>/2</w:t>
      </w:r>
      <w:r w:rsidR="00547FF3" w:rsidRPr="00390AA7">
        <w:t>3</w:t>
      </w:r>
      <w:bookmarkEnd w:id="353"/>
      <w:bookmarkEnd w:id="354"/>
    </w:p>
    <w:p w14:paraId="6D93AC66" w14:textId="70E66FAB" w:rsidR="004366B7" w:rsidRPr="00390AA7" w:rsidRDefault="004366B7" w:rsidP="004366B7">
      <w:r w:rsidRPr="00390AA7">
        <w:t>This section provides some field-related information specific to the data collection and analysis of the 202</w:t>
      </w:r>
      <w:r w:rsidR="00547FF3" w:rsidRPr="00390AA7">
        <w:t>2</w:t>
      </w:r>
      <w:r w:rsidRPr="00390AA7">
        <w:t>/2</w:t>
      </w:r>
      <w:r w:rsidR="00547FF3" w:rsidRPr="00390AA7">
        <w:t>3</w:t>
      </w:r>
      <w:r w:rsidRPr="00390AA7">
        <w:t xml:space="preserve"> NZHS. </w:t>
      </w:r>
    </w:p>
    <w:p w14:paraId="5549C69B" w14:textId="0E081243" w:rsidR="004366B7" w:rsidRPr="00390AA7" w:rsidRDefault="004366B7" w:rsidP="004366B7">
      <w:pPr>
        <w:pStyle w:val="Heading2"/>
      </w:pPr>
      <w:bookmarkStart w:id="355" w:name="_Toc340501954"/>
      <w:bookmarkStart w:id="356" w:name="_Toc372445574"/>
      <w:bookmarkStart w:id="357" w:name="_Toc403044029"/>
      <w:bookmarkStart w:id="358" w:name="_Toc467491550"/>
      <w:bookmarkStart w:id="359" w:name="_Toc531762367"/>
      <w:bookmarkStart w:id="360" w:name="_Toc531783724"/>
      <w:bookmarkStart w:id="361" w:name="_Toc55206864"/>
      <w:bookmarkStart w:id="362" w:name="_Toc88752055"/>
      <w:bookmarkStart w:id="363" w:name="_Toc153259103"/>
      <w:r w:rsidRPr="00390AA7">
        <w:t>202</w:t>
      </w:r>
      <w:r w:rsidR="00163D9F" w:rsidRPr="00390AA7">
        <w:t>2</w:t>
      </w:r>
      <w:r w:rsidRPr="00390AA7">
        <w:t>/2</w:t>
      </w:r>
      <w:r w:rsidR="00163D9F" w:rsidRPr="00390AA7">
        <w:t>3</w:t>
      </w:r>
      <w:r w:rsidRPr="00390AA7">
        <w:t xml:space="preserve"> module</w:t>
      </w:r>
      <w:bookmarkEnd w:id="355"/>
      <w:bookmarkEnd w:id="356"/>
      <w:bookmarkEnd w:id="357"/>
      <w:bookmarkEnd w:id="358"/>
      <w:r w:rsidRPr="00390AA7">
        <w:t xml:space="preserve"> topics</w:t>
      </w:r>
      <w:bookmarkEnd w:id="359"/>
      <w:bookmarkEnd w:id="360"/>
      <w:bookmarkEnd w:id="361"/>
      <w:bookmarkEnd w:id="362"/>
      <w:bookmarkEnd w:id="363"/>
    </w:p>
    <w:p w14:paraId="0A550466" w14:textId="383DC4D7" w:rsidR="004366B7" w:rsidRPr="00390AA7" w:rsidRDefault="004366B7" w:rsidP="004366B7">
      <w:r w:rsidRPr="00390AA7">
        <w:rPr>
          <w:color w:val="2B579A"/>
          <w:szCs w:val="21"/>
          <w:shd w:val="clear" w:color="auto" w:fill="E6E6E6"/>
        </w:rPr>
        <w:fldChar w:fldCharType="begin"/>
      </w:r>
      <w:r w:rsidRPr="00390AA7">
        <w:rPr>
          <w:szCs w:val="21"/>
        </w:rPr>
        <w:instrText xml:space="preserve"> REF _Ref339287554 \h  \* MERGEFORMAT </w:instrText>
      </w:r>
      <w:r w:rsidRPr="00390AA7">
        <w:rPr>
          <w:color w:val="2B579A"/>
          <w:szCs w:val="21"/>
          <w:shd w:val="clear" w:color="auto" w:fill="E6E6E6"/>
        </w:rPr>
      </w:r>
      <w:r w:rsidRPr="00390AA7">
        <w:rPr>
          <w:color w:val="2B579A"/>
          <w:szCs w:val="21"/>
          <w:shd w:val="clear" w:color="auto" w:fill="E6E6E6"/>
        </w:rPr>
        <w:fldChar w:fldCharType="separate"/>
      </w:r>
      <w:r w:rsidR="008D278D" w:rsidRPr="008D278D">
        <w:rPr>
          <w:bCs/>
          <w:szCs w:val="21"/>
        </w:rPr>
        <w:t>Table 4</w:t>
      </w:r>
      <w:r w:rsidRPr="00390AA7">
        <w:rPr>
          <w:color w:val="2B579A"/>
          <w:szCs w:val="21"/>
          <w:shd w:val="clear" w:color="auto" w:fill="E6E6E6"/>
        </w:rPr>
        <w:fldChar w:fldCharType="end"/>
      </w:r>
      <w:r w:rsidRPr="00390AA7">
        <w:rPr>
          <w:szCs w:val="21"/>
        </w:rPr>
        <w:t xml:space="preserve"> </w:t>
      </w:r>
      <w:r w:rsidRPr="00390AA7">
        <w:t>outlines the NZHS 202</w:t>
      </w:r>
      <w:r w:rsidR="00DB1D49" w:rsidRPr="00390AA7">
        <w:t>2</w:t>
      </w:r>
      <w:r w:rsidRPr="00390AA7">
        <w:t>/2</w:t>
      </w:r>
      <w:r w:rsidR="00DB1D49" w:rsidRPr="00390AA7">
        <w:t>3</w:t>
      </w:r>
      <w:r w:rsidRPr="00390AA7">
        <w:t xml:space="preserve"> module topics.</w:t>
      </w:r>
    </w:p>
    <w:p w14:paraId="7A967998" w14:textId="77777777" w:rsidR="004366B7" w:rsidRPr="00390AA7" w:rsidRDefault="004366B7" w:rsidP="004366B7"/>
    <w:p w14:paraId="79C3B36D" w14:textId="027F8EAB" w:rsidR="004366B7" w:rsidRPr="00390AA7" w:rsidRDefault="004366B7" w:rsidP="004563A6">
      <w:pPr>
        <w:pStyle w:val="Caption"/>
      </w:pPr>
      <w:bookmarkStart w:id="364" w:name="_Ref339287554"/>
      <w:bookmarkStart w:id="365" w:name="_Toc339878414"/>
      <w:bookmarkStart w:id="366" w:name="_Toc372445584"/>
      <w:bookmarkStart w:id="367" w:name="_Toc403044039"/>
      <w:bookmarkStart w:id="368" w:name="_Toc467491566"/>
      <w:bookmarkStart w:id="369" w:name="_Toc531762383"/>
      <w:bookmarkStart w:id="370" w:name="_Toc531766767"/>
      <w:bookmarkStart w:id="371" w:name="_Toc23857688"/>
      <w:bookmarkStart w:id="372" w:name="_Toc54962247"/>
      <w:bookmarkStart w:id="373" w:name="_Toc88038743"/>
      <w:bookmarkStart w:id="374" w:name="_Toc153259122"/>
      <w:bookmarkStart w:id="375" w:name="_Hlk84594594"/>
      <w:r w:rsidRPr="00390AA7">
        <w:t xml:space="preserve">Table </w:t>
      </w:r>
      <w:r w:rsidRPr="00390AA7">
        <w:rPr>
          <w:color w:val="2B579A"/>
          <w:shd w:val="clear" w:color="auto" w:fill="E6E6E6"/>
        </w:rPr>
        <w:fldChar w:fldCharType="begin"/>
      </w:r>
      <w:r w:rsidRPr="00390AA7">
        <w:instrText>SEQ Table \* ARABIC</w:instrText>
      </w:r>
      <w:r w:rsidRPr="00390AA7">
        <w:rPr>
          <w:color w:val="2B579A"/>
          <w:shd w:val="clear" w:color="auto" w:fill="E6E6E6"/>
        </w:rPr>
        <w:fldChar w:fldCharType="separate"/>
      </w:r>
      <w:r w:rsidR="008D278D">
        <w:rPr>
          <w:noProof/>
        </w:rPr>
        <w:t>4</w:t>
      </w:r>
      <w:r w:rsidRPr="00390AA7">
        <w:rPr>
          <w:color w:val="2B579A"/>
          <w:shd w:val="clear" w:color="auto" w:fill="E6E6E6"/>
        </w:rPr>
        <w:fldChar w:fldCharType="end"/>
      </w:r>
      <w:bookmarkEnd w:id="364"/>
      <w:r w:rsidRPr="00390AA7">
        <w:t>: New Zealand Health Survey 202</w:t>
      </w:r>
      <w:r w:rsidR="00163D9F" w:rsidRPr="00390AA7">
        <w:t>2</w:t>
      </w:r>
      <w:r w:rsidRPr="00390AA7">
        <w:t>/2</w:t>
      </w:r>
      <w:r w:rsidR="00163D9F" w:rsidRPr="00390AA7">
        <w:t>3</w:t>
      </w:r>
      <w:r w:rsidRPr="00390AA7">
        <w:t xml:space="preserve"> module topics</w:t>
      </w:r>
      <w:bookmarkEnd w:id="365"/>
      <w:bookmarkEnd w:id="366"/>
      <w:bookmarkEnd w:id="367"/>
      <w:bookmarkEnd w:id="368"/>
      <w:bookmarkEnd w:id="369"/>
      <w:bookmarkEnd w:id="370"/>
      <w:bookmarkEnd w:id="371"/>
      <w:bookmarkEnd w:id="372"/>
      <w:bookmarkEnd w:id="373"/>
      <w:bookmarkEnd w:id="374"/>
    </w:p>
    <w:tbl>
      <w:tblPr>
        <w:tblW w:w="8080" w:type="dxa"/>
        <w:tblInd w:w="57" w:type="dxa"/>
        <w:tblBorders>
          <w:top w:val="single" w:sz="4" w:space="0" w:color="A6A6A6"/>
          <w:bottom w:val="single" w:sz="4" w:space="0" w:color="A6A6A6"/>
          <w:insideH w:val="single" w:sz="4" w:space="0" w:color="A6A6A6"/>
        </w:tblBorders>
        <w:tblLayout w:type="fixed"/>
        <w:tblCellMar>
          <w:left w:w="57" w:type="dxa"/>
          <w:right w:w="57" w:type="dxa"/>
        </w:tblCellMar>
        <w:tblLook w:val="04A0" w:firstRow="1" w:lastRow="0" w:firstColumn="1" w:lastColumn="0" w:noHBand="0" w:noVBand="1"/>
      </w:tblPr>
      <w:tblGrid>
        <w:gridCol w:w="4111"/>
        <w:gridCol w:w="3969"/>
      </w:tblGrid>
      <w:tr w:rsidR="004366B7" w:rsidRPr="00390AA7" w14:paraId="61BBFB23" w14:textId="77777777" w:rsidTr="005C04CA">
        <w:trPr>
          <w:cantSplit/>
        </w:trPr>
        <w:tc>
          <w:tcPr>
            <w:tcW w:w="4111" w:type="dxa"/>
            <w:tcBorders>
              <w:top w:val="nil"/>
              <w:bottom w:val="nil"/>
            </w:tcBorders>
            <w:shd w:val="clear" w:color="auto" w:fill="D9D9D9"/>
          </w:tcPr>
          <w:p w14:paraId="63C75C80" w14:textId="2956CBCD" w:rsidR="004366B7" w:rsidRPr="00390AA7" w:rsidRDefault="007C3C03" w:rsidP="00E037C8">
            <w:pPr>
              <w:pStyle w:val="TableText"/>
              <w:rPr>
                <w:b/>
                <w:bCs/>
              </w:rPr>
            </w:pPr>
            <w:r>
              <w:rPr>
                <w:b/>
                <w:bCs/>
              </w:rPr>
              <w:t xml:space="preserve">Child </w:t>
            </w:r>
            <w:r w:rsidR="004366B7" w:rsidRPr="00390AA7">
              <w:rPr>
                <w:b/>
                <w:bCs/>
              </w:rPr>
              <w:t>module topics</w:t>
            </w:r>
          </w:p>
        </w:tc>
        <w:tc>
          <w:tcPr>
            <w:tcW w:w="3969" w:type="dxa"/>
            <w:tcBorders>
              <w:top w:val="nil"/>
              <w:bottom w:val="nil"/>
            </w:tcBorders>
            <w:shd w:val="clear" w:color="auto" w:fill="D9D9D9"/>
          </w:tcPr>
          <w:p w14:paraId="723476BC" w14:textId="5682A1E4" w:rsidR="004366B7" w:rsidRPr="00390AA7" w:rsidRDefault="007C3C03" w:rsidP="00E037C8">
            <w:pPr>
              <w:pStyle w:val="TableText"/>
              <w:rPr>
                <w:b/>
                <w:bCs/>
              </w:rPr>
            </w:pPr>
            <w:r>
              <w:rPr>
                <w:b/>
                <w:bCs/>
              </w:rPr>
              <w:t>Adult</w:t>
            </w:r>
            <w:r w:rsidR="004366B7" w:rsidRPr="00390AA7">
              <w:rPr>
                <w:b/>
                <w:bCs/>
              </w:rPr>
              <w:t xml:space="preserve"> module topics</w:t>
            </w:r>
          </w:p>
        </w:tc>
      </w:tr>
      <w:tr w:rsidR="005C04CA" w:rsidRPr="00390AA7" w14:paraId="2688A84B" w14:textId="77777777" w:rsidTr="005C04CA">
        <w:trPr>
          <w:cantSplit/>
        </w:trPr>
        <w:tc>
          <w:tcPr>
            <w:tcW w:w="4111" w:type="dxa"/>
            <w:tcBorders>
              <w:top w:val="nil"/>
            </w:tcBorders>
            <w:shd w:val="clear" w:color="auto" w:fill="auto"/>
          </w:tcPr>
          <w:p w14:paraId="228DAD46" w14:textId="77777777" w:rsidR="005C04CA" w:rsidRPr="00390AA7" w:rsidRDefault="005C04CA" w:rsidP="005C04CA">
            <w:pPr>
              <w:pStyle w:val="TableText"/>
              <w:rPr>
                <w:lang w:eastAsia="en-US"/>
              </w:rPr>
            </w:pPr>
            <w:r w:rsidRPr="00390AA7">
              <w:rPr>
                <w:lang w:eastAsia="en-US"/>
              </w:rPr>
              <w:t>Behavioural and developmental problems</w:t>
            </w:r>
          </w:p>
          <w:p w14:paraId="06FE0A51" w14:textId="303D24BB" w:rsidR="005C04CA" w:rsidRPr="00390AA7" w:rsidRDefault="005C04CA" w:rsidP="005C04CA">
            <w:pPr>
              <w:pStyle w:val="TableText"/>
            </w:pPr>
            <w:r w:rsidRPr="00390AA7">
              <w:rPr>
                <w:lang w:eastAsia="en-US"/>
              </w:rPr>
              <w:t>Functional difficulties (CFM)</w:t>
            </w:r>
            <w:r w:rsidRPr="00390AA7">
              <w:rPr>
                <w:rStyle w:val="FootnoteReference"/>
                <w:lang w:eastAsia="en-US"/>
              </w:rPr>
              <w:footnoteReference w:id="4"/>
            </w:r>
          </w:p>
        </w:tc>
        <w:tc>
          <w:tcPr>
            <w:tcW w:w="3969" w:type="dxa"/>
            <w:tcBorders>
              <w:top w:val="nil"/>
            </w:tcBorders>
            <w:shd w:val="clear" w:color="auto" w:fill="auto"/>
          </w:tcPr>
          <w:p w14:paraId="3BD6114B" w14:textId="77777777" w:rsidR="005C04CA" w:rsidRPr="00390AA7" w:rsidRDefault="005C04CA" w:rsidP="005C04CA">
            <w:pPr>
              <w:pStyle w:val="TableText"/>
              <w:rPr>
                <w:lang w:eastAsia="en-US"/>
              </w:rPr>
            </w:pPr>
            <w:r w:rsidRPr="00390AA7">
              <w:rPr>
                <w:lang w:eastAsia="en-US"/>
              </w:rPr>
              <w:t>Mental health and substance use</w:t>
            </w:r>
          </w:p>
          <w:p w14:paraId="5ADE8B08" w14:textId="1E623733" w:rsidR="005C04CA" w:rsidRPr="00390AA7" w:rsidRDefault="005C04CA" w:rsidP="005C04CA">
            <w:pPr>
              <w:pStyle w:val="TableText"/>
            </w:pPr>
            <w:r w:rsidRPr="00390AA7">
              <w:rPr>
                <w:lang w:eastAsia="en-US"/>
              </w:rPr>
              <w:t>Extra questions on functional difficulties (WG-SS Enhanced)</w:t>
            </w:r>
          </w:p>
        </w:tc>
      </w:tr>
    </w:tbl>
    <w:p w14:paraId="63AD1EC9" w14:textId="77777777" w:rsidR="004366B7" w:rsidRPr="00390AA7" w:rsidRDefault="004366B7" w:rsidP="004366B7"/>
    <w:bookmarkEnd w:id="375"/>
    <w:p w14:paraId="0382E12F" w14:textId="41E543B5" w:rsidR="004366B7" w:rsidRPr="00390AA7" w:rsidRDefault="004366B7" w:rsidP="004366B7">
      <w:r w:rsidRPr="00390AA7">
        <w:t>For details about the questionnaires used in the 202</w:t>
      </w:r>
      <w:r w:rsidR="00EB57F8" w:rsidRPr="00390AA7">
        <w:t>2</w:t>
      </w:r>
      <w:r w:rsidRPr="00390AA7">
        <w:t>/2</w:t>
      </w:r>
      <w:r w:rsidR="00EB57F8" w:rsidRPr="00390AA7">
        <w:t>3</w:t>
      </w:r>
      <w:r w:rsidRPr="00390AA7">
        <w:t xml:space="preserve"> NZHS, see </w:t>
      </w:r>
      <w:r w:rsidRPr="00390AA7">
        <w:rPr>
          <w:i/>
          <w:iCs/>
        </w:rPr>
        <w:t>Content Guide 202</w:t>
      </w:r>
      <w:r w:rsidR="00EB57F8" w:rsidRPr="00390AA7">
        <w:rPr>
          <w:i/>
          <w:iCs/>
        </w:rPr>
        <w:t>2</w:t>
      </w:r>
      <w:r w:rsidRPr="00390AA7">
        <w:rPr>
          <w:i/>
          <w:iCs/>
        </w:rPr>
        <w:t>/2</w:t>
      </w:r>
      <w:r w:rsidR="00EB57F8" w:rsidRPr="00390AA7">
        <w:rPr>
          <w:i/>
          <w:iCs/>
        </w:rPr>
        <w:t>3</w:t>
      </w:r>
      <w:r w:rsidRPr="00390AA7">
        <w:rPr>
          <w:i/>
          <w:iCs/>
        </w:rPr>
        <w:t>: New Zealand Health Survey</w:t>
      </w:r>
      <w:r w:rsidRPr="00390AA7">
        <w:t xml:space="preserve"> (Ministry of Health 202</w:t>
      </w:r>
      <w:r w:rsidR="00E979CD" w:rsidRPr="00390AA7">
        <w:t>3</w:t>
      </w:r>
      <w:r w:rsidRPr="00390AA7">
        <w:t>b).</w:t>
      </w:r>
    </w:p>
    <w:p w14:paraId="4F058B96" w14:textId="77777777" w:rsidR="004366B7" w:rsidRPr="00390AA7" w:rsidRDefault="004366B7" w:rsidP="004366B7">
      <w:pPr>
        <w:pStyle w:val="Heading2"/>
      </w:pPr>
      <w:bookmarkStart w:id="376" w:name="_Toc339270039"/>
      <w:bookmarkStart w:id="377" w:name="_Toc340501955"/>
      <w:bookmarkStart w:id="378" w:name="_Toc372445575"/>
      <w:bookmarkStart w:id="379" w:name="_Toc403044030"/>
      <w:bookmarkStart w:id="380" w:name="_Toc467491551"/>
      <w:bookmarkStart w:id="381" w:name="_Toc531762368"/>
      <w:bookmarkStart w:id="382" w:name="_Toc531783725"/>
      <w:bookmarkStart w:id="383" w:name="_Toc22887957"/>
      <w:bookmarkStart w:id="384" w:name="_Toc55206865"/>
      <w:bookmarkStart w:id="385" w:name="_Toc88752056"/>
      <w:bookmarkStart w:id="386" w:name="_Toc153259104"/>
      <w:r w:rsidRPr="00390AA7">
        <w:t>Data collection</w:t>
      </w:r>
      <w:bookmarkEnd w:id="376"/>
      <w:bookmarkEnd w:id="377"/>
      <w:bookmarkEnd w:id="378"/>
      <w:bookmarkEnd w:id="379"/>
      <w:bookmarkEnd w:id="380"/>
      <w:bookmarkEnd w:id="381"/>
      <w:bookmarkEnd w:id="382"/>
      <w:bookmarkEnd w:id="383"/>
      <w:bookmarkEnd w:id="384"/>
      <w:bookmarkEnd w:id="385"/>
      <w:bookmarkEnd w:id="386"/>
    </w:p>
    <w:p w14:paraId="22C8C639" w14:textId="77777777" w:rsidR="004366B7" w:rsidRPr="00390AA7" w:rsidRDefault="004366B7" w:rsidP="004366B7">
      <w:r w:rsidRPr="00390AA7">
        <w:t>A NZHS survey year usually refers to the sample drawn from July to June, in four calendar quarters (that is, July to September, October to December, January to March and April to June). Data collection for each quarter usually occurs during the calendar quarter, with some 'mop-up' at the end of the quarter.</w:t>
      </w:r>
    </w:p>
    <w:p w14:paraId="0B692C30" w14:textId="77777777" w:rsidR="004366B7" w:rsidRPr="00390AA7" w:rsidRDefault="004366B7" w:rsidP="004366B7"/>
    <w:p w14:paraId="7780539B" w14:textId="3D2F714D" w:rsidR="00247752" w:rsidRPr="006650CB" w:rsidRDefault="00132519" w:rsidP="00132519">
      <w:r w:rsidRPr="006650CB">
        <w:t xml:space="preserve">Ongoing disruptions </w:t>
      </w:r>
      <w:r w:rsidR="008954BF" w:rsidRPr="006650CB">
        <w:t>from</w:t>
      </w:r>
      <w:r w:rsidRPr="006650CB">
        <w:t xml:space="preserve"> the COVID-19 pandemic and Cyclone Gabrielle had a significant impact on data collection by quarter for the 2022/23 survey as only three quarters were opened</w:t>
      </w:r>
      <w:r w:rsidR="0012183F" w:rsidRPr="006650CB">
        <w:t>, and there was a</w:t>
      </w:r>
      <w:r w:rsidR="0012183F" w:rsidRPr="006650CB" w:rsidDel="00F94401">
        <w:t xml:space="preserve"> </w:t>
      </w:r>
      <w:r w:rsidR="0012183F" w:rsidRPr="006650CB">
        <w:t>slightly lower response rate</w:t>
      </w:r>
      <w:r w:rsidRPr="006650CB">
        <w:t>. Data collection continued to be slower than a normal year (see ‘Impact of data collection disruptions</w:t>
      </w:r>
      <w:r w:rsidRPr="006650CB">
        <w:rPr>
          <w:i/>
          <w:iCs/>
        </w:rPr>
        <w:t>’</w:t>
      </w:r>
      <w:r w:rsidRPr="006650CB">
        <w:t xml:space="preserve"> below). </w:t>
      </w:r>
    </w:p>
    <w:p w14:paraId="2C218DFF" w14:textId="77777777" w:rsidR="00247752" w:rsidRPr="006650CB" w:rsidRDefault="00247752" w:rsidP="00132519"/>
    <w:p w14:paraId="609997C7" w14:textId="3CAA3671" w:rsidR="00132519" w:rsidRPr="00390AA7" w:rsidRDefault="00132519" w:rsidP="00132519">
      <w:r w:rsidRPr="006650CB">
        <w:t xml:space="preserve">As a result of </w:t>
      </w:r>
      <w:r w:rsidR="00BD65F5" w:rsidRPr="006650CB">
        <w:t xml:space="preserve">partial data collection in the third quarter and </w:t>
      </w:r>
      <w:r w:rsidRPr="006650CB">
        <w:t xml:space="preserve">not collecting data </w:t>
      </w:r>
      <w:r w:rsidR="00FD29D5" w:rsidRPr="006650CB">
        <w:t xml:space="preserve">for the sample for </w:t>
      </w:r>
      <w:r w:rsidRPr="006650CB">
        <w:t xml:space="preserve">in the fourth quarter, the sample size for the 2022/23 NZHS is smaller than usual, with a total of </w:t>
      </w:r>
      <w:bookmarkStart w:id="387" w:name="_Hlk149150243"/>
      <w:r w:rsidRPr="006650CB">
        <w:t>6,799 adults and 2,029 children</w:t>
      </w:r>
      <w:r w:rsidR="00262B4F" w:rsidRPr="006650CB">
        <w:t xml:space="preserve"> – about half the size and less than half the size respectively of </w:t>
      </w:r>
      <w:r w:rsidR="009C2FFE" w:rsidRPr="006650CB">
        <w:t xml:space="preserve">the samples sizes for the </w:t>
      </w:r>
      <w:r w:rsidR="00262B4F" w:rsidRPr="006650CB">
        <w:t>surveys conducted before COVID-19</w:t>
      </w:r>
      <w:r w:rsidRPr="006650CB">
        <w:t>.</w:t>
      </w:r>
      <w:r w:rsidRPr="00390AA7">
        <w:t xml:space="preserve"> </w:t>
      </w:r>
      <w:bookmarkEnd w:id="387"/>
    </w:p>
    <w:p w14:paraId="247866DE" w14:textId="77777777" w:rsidR="00132519" w:rsidRPr="00390AA7" w:rsidRDefault="00132519" w:rsidP="004366B7"/>
    <w:p w14:paraId="615EFE48" w14:textId="2AE850D7" w:rsidR="00B2502A" w:rsidRPr="00390AA7" w:rsidRDefault="009423FC" w:rsidP="00B2502A">
      <w:r w:rsidRPr="00390AA7">
        <w:rPr>
          <w:color w:val="2B579A"/>
          <w:shd w:val="clear" w:color="auto" w:fill="E6E6E6"/>
        </w:rPr>
        <w:fldChar w:fldCharType="begin"/>
      </w:r>
      <w:r w:rsidRPr="00390AA7">
        <w:instrText xml:space="preserve"> REF _Ref118738498 \h </w:instrText>
      </w:r>
      <w:r w:rsidR="00390AA7">
        <w:rPr>
          <w:color w:val="2B579A"/>
          <w:shd w:val="clear" w:color="auto" w:fill="E6E6E6"/>
        </w:rPr>
        <w:instrText xml:space="preserve"> \* MERGEFORMAT </w:instrText>
      </w:r>
      <w:r w:rsidRPr="00390AA7">
        <w:rPr>
          <w:color w:val="2B579A"/>
          <w:shd w:val="clear" w:color="auto" w:fill="E6E6E6"/>
        </w:rPr>
      </w:r>
      <w:r w:rsidRPr="00390AA7">
        <w:rPr>
          <w:color w:val="2B579A"/>
          <w:shd w:val="clear" w:color="auto" w:fill="E6E6E6"/>
        </w:rPr>
        <w:fldChar w:fldCharType="separate"/>
      </w:r>
      <w:r w:rsidR="008D278D" w:rsidRPr="00390AA7">
        <w:t xml:space="preserve">Table </w:t>
      </w:r>
      <w:r w:rsidR="008D278D">
        <w:t>5</w:t>
      </w:r>
      <w:r w:rsidRPr="00390AA7">
        <w:rPr>
          <w:color w:val="2B579A"/>
          <w:shd w:val="clear" w:color="auto" w:fill="E6E6E6"/>
        </w:rPr>
        <w:fldChar w:fldCharType="end"/>
      </w:r>
      <w:r w:rsidRPr="00390AA7">
        <w:t xml:space="preserve"> </w:t>
      </w:r>
      <w:r w:rsidR="00B2502A" w:rsidRPr="00390AA7">
        <w:t>shows the number of respondents in each calendar quarter, as well as the data collection dates.</w:t>
      </w:r>
    </w:p>
    <w:p w14:paraId="6C914F61" w14:textId="4FCAD018" w:rsidR="00C00DFB" w:rsidRPr="00390AA7" w:rsidRDefault="00C00DFB" w:rsidP="00B2502A"/>
    <w:p w14:paraId="47584A12" w14:textId="24F37F71" w:rsidR="004366B7" w:rsidRPr="00390AA7" w:rsidRDefault="004366B7" w:rsidP="004563A6">
      <w:pPr>
        <w:pStyle w:val="Caption"/>
      </w:pPr>
      <w:bookmarkStart w:id="388" w:name="_Ref339268569"/>
      <w:bookmarkStart w:id="389" w:name="_Ref118738498"/>
      <w:bookmarkStart w:id="390" w:name="_Toc339878415"/>
      <w:bookmarkStart w:id="391" w:name="_Toc372445585"/>
      <w:bookmarkStart w:id="392" w:name="_Toc403044040"/>
      <w:bookmarkStart w:id="393" w:name="_Toc467491567"/>
      <w:bookmarkStart w:id="394" w:name="_Toc531762384"/>
      <w:bookmarkStart w:id="395" w:name="_Toc531766768"/>
      <w:bookmarkStart w:id="396" w:name="_Toc23857689"/>
      <w:bookmarkStart w:id="397" w:name="_Toc54962248"/>
      <w:bookmarkStart w:id="398" w:name="_Toc88038744"/>
      <w:bookmarkStart w:id="399" w:name="_Toc153259123"/>
      <w:r w:rsidRPr="00390AA7">
        <w:t xml:space="preserve">Table </w:t>
      </w:r>
      <w:r w:rsidRPr="00390AA7">
        <w:rPr>
          <w:color w:val="2B579A"/>
          <w:shd w:val="clear" w:color="auto" w:fill="E6E6E6"/>
        </w:rPr>
        <w:fldChar w:fldCharType="begin"/>
      </w:r>
      <w:r w:rsidRPr="00390AA7">
        <w:instrText>SEQ Table \* ARABIC</w:instrText>
      </w:r>
      <w:r w:rsidRPr="00390AA7">
        <w:rPr>
          <w:color w:val="2B579A"/>
          <w:shd w:val="clear" w:color="auto" w:fill="E6E6E6"/>
        </w:rPr>
        <w:fldChar w:fldCharType="separate"/>
      </w:r>
      <w:r w:rsidR="008D278D">
        <w:rPr>
          <w:noProof/>
        </w:rPr>
        <w:t>5</w:t>
      </w:r>
      <w:r w:rsidRPr="00390AA7">
        <w:rPr>
          <w:color w:val="2B579A"/>
          <w:shd w:val="clear" w:color="auto" w:fill="E6E6E6"/>
        </w:rPr>
        <w:fldChar w:fldCharType="end"/>
      </w:r>
      <w:bookmarkStart w:id="400" w:name="_Hlk84922027"/>
      <w:bookmarkEnd w:id="388"/>
      <w:bookmarkEnd w:id="389"/>
      <w:r w:rsidRPr="00390AA7">
        <w:t>: Number of survey respondents by quarter, 202</w:t>
      </w:r>
      <w:r w:rsidR="00237F7B" w:rsidRPr="00390AA7">
        <w:t>2</w:t>
      </w:r>
      <w:r w:rsidRPr="00390AA7">
        <w:t>/2</w:t>
      </w:r>
      <w:r w:rsidR="00237F7B" w:rsidRPr="00390AA7">
        <w:t>3</w:t>
      </w:r>
      <w:bookmarkEnd w:id="390"/>
      <w:bookmarkEnd w:id="391"/>
      <w:bookmarkEnd w:id="392"/>
      <w:bookmarkEnd w:id="393"/>
      <w:bookmarkEnd w:id="394"/>
      <w:bookmarkEnd w:id="395"/>
      <w:bookmarkEnd w:id="396"/>
      <w:bookmarkEnd w:id="397"/>
      <w:bookmarkEnd w:id="398"/>
      <w:bookmarkEnd w:id="399"/>
    </w:p>
    <w:tbl>
      <w:tblPr>
        <w:tblW w:w="8080" w:type="dxa"/>
        <w:tblInd w:w="57" w:type="dxa"/>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61"/>
        <w:gridCol w:w="1086"/>
        <w:gridCol w:w="1323"/>
        <w:gridCol w:w="142"/>
        <w:gridCol w:w="992"/>
        <w:gridCol w:w="1276"/>
      </w:tblGrid>
      <w:tr w:rsidR="00C00DFB" w:rsidRPr="00390AA7" w14:paraId="6AC523EC" w14:textId="77777777" w:rsidTr="0059498F">
        <w:trPr>
          <w:cantSplit/>
        </w:trPr>
        <w:tc>
          <w:tcPr>
            <w:tcW w:w="3261" w:type="dxa"/>
            <w:vMerge w:val="restart"/>
            <w:tcBorders>
              <w:top w:val="nil"/>
              <w:left w:val="nil"/>
              <w:bottom w:val="nil"/>
              <w:right w:val="nil"/>
            </w:tcBorders>
            <w:shd w:val="clear" w:color="auto" w:fill="D9D9D9" w:themeFill="background1" w:themeFillShade="D9"/>
          </w:tcPr>
          <w:p w14:paraId="43753498" w14:textId="77777777" w:rsidR="00C00DFB" w:rsidRPr="00390AA7" w:rsidRDefault="00C00DFB" w:rsidP="0059498F">
            <w:pPr>
              <w:pStyle w:val="TableText"/>
              <w:keepNext/>
            </w:pPr>
          </w:p>
        </w:tc>
        <w:tc>
          <w:tcPr>
            <w:tcW w:w="2409" w:type="dxa"/>
            <w:gridSpan w:val="2"/>
            <w:tcBorders>
              <w:top w:val="nil"/>
              <w:left w:val="nil"/>
              <w:bottom w:val="nil"/>
              <w:right w:val="nil"/>
            </w:tcBorders>
            <w:shd w:val="clear" w:color="auto" w:fill="D9D9D9" w:themeFill="background1" w:themeFillShade="D9"/>
          </w:tcPr>
          <w:p w14:paraId="026F90E7" w14:textId="77777777" w:rsidR="00C00DFB" w:rsidRPr="00390AA7" w:rsidRDefault="00C00DFB" w:rsidP="0059498F">
            <w:pPr>
              <w:pStyle w:val="TableText"/>
              <w:keepNext/>
              <w:jc w:val="center"/>
              <w:rPr>
                <w:b/>
              </w:rPr>
            </w:pPr>
            <w:r w:rsidRPr="00390AA7">
              <w:rPr>
                <w:b/>
              </w:rPr>
              <w:t>Adults</w:t>
            </w:r>
          </w:p>
        </w:tc>
        <w:tc>
          <w:tcPr>
            <w:tcW w:w="142" w:type="dxa"/>
            <w:tcBorders>
              <w:top w:val="nil"/>
              <w:left w:val="nil"/>
              <w:bottom w:val="nil"/>
              <w:right w:val="nil"/>
            </w:tcBorders>
            <w:shd w:val="clear" w:color="auto" w:fill="D9D9D9" w:themeFill="background1" w:themeFillShade="D9"/>
          </w:tcPr>
          <w:p w14:paraId="0D168DB1" w14:textId="77777777" w:rsidR="00C00DFB" w:rsidRPr="00390AA7" w:rsidRDefault="00C00DFB" w:rsidP="0059498F">
            <w:pPr>
              <w:pStyle w:val="TableText"/>
              <w:keepNext/>
              <w:jc w:val="center"/>
              <w:rPr>
                <w:b/>
              </w:rPr>
            </w:pPr>
          </w:p>
        </w:tc>
        <w:tc>
          <w:tcPr>
            <w:tcW w:w="2268" w:type="dxa"/>
            <w:gridSpan w:val="2"/>
            <w:tcBorders>
              <w:top w:val="nil"/>
              <w:left w:val="nil"/>
              <w:bottom w:val="nil"/>
              <w:right w:val="nil"/>
            </w:tcBorders>
            <w:shd w:val="clear" w:color="auto" w:fill="D9D9D9" w:themeFill="background1" w:themeFillShade="D9"/>
          </w:tcPr>
          <w:p w14:paraId="35467361" w14:textId="77777777" w:rsidR="00C00DFB" w:rsidRPr="00390AA7" w:rsidRDefault="00C00DFB" w:rsidP="0059498F">
            <w:pPr>
              <w:pStyle w:val="TableText"/>
              <w:keepNext/>
              <w:jc w:val="center"/>
              <w:rPr>
                <w:b/>
              </w:rPr>
            </w:pPr>
            <w:r w:rsidRPr="00390AA7">
              <w:rPr>
                <w:b/>
              </w:rPr>
              <w:t>Children</w:t>
            </w:r>
          </w:p>
        </w:tc>
      </w:tr>
      <w:tr w:rsidR="00C00DFB" w:rsidRPr="00390AA7" w14:paraId="69AD7030" w14:textId="77777777" w:rsidTr="0059498F">
        <w:trPr>
          <w:cantSplit/>
        </w:trPr>
        <w:tc>
          <w:tcPr>
            <w:tcW w:w="3261" w:type="dxa"/>
            <w:vMerge/>
            <w:tcBorders>
              <w:top w:val="nil"/>
              <w:bottom w:val="nil"/>
              <w:right w:val="nil"/>
            </w:tcBorders>
          </w:tcPr>
          <w:p w14:paraId="28000192" w14:textId="77777777" w:rsidR="00C00DFB" w:rsidRPr="00390AA7" w:rsidRDefault="00C00DFB" w:rsidP="0059498F">
            <w:pPr>
              <w:pStyle w:val="TableText"/>
              <w:keepNext/>
            </w:pPr>
          </w:p>
        </w:tc>
        <w:tc>
          <w:tcPr>
            <w:tcW w:w="1086" w:type="dxa"/>
            <w:tcBorders>
              <w:top w:val="nil"/>
              <w:left w:val="nil"/>
              <w:bottom w:val="nil"/>
              <w:right w:val="nil"/>
            </w:tcBorders>
            <w:shd w:val="clear" w:color="auto" w:fill="D9D9D9" w:themeFill="background1" w:themeFillShade="D9"/>
          </w:tcPr>
          <w:p w14:paraId="2348FE68" w14:textId="77777777" w:rsidR="00C00DFB" w:rsidRPr="00390AA7" w:rsidRDefault="00C00DFB" w:rsidP="00A1778B">
            <w:pPr>
              <w:pStyle w:val="TableText"/>
              <w:keepNext/>
              <w:jc w:val="right"/>
              <w:rPr>
                <w:b/>
              </w:rPr>
            </w:pPr>
            <w:r w:rsidRPr="00390AA7">
              <w:rPr>
                <w:b/>
              </w:rPr>
              <w:t>Number</w:t>
            </w:r>
          </w:p>
        </w:tc>
        <w:tc>
          <w:tcPr>
            <w:tcW w:w="1323" w:type="dxa"/>
            <w:tcBorders>
              <w:top w:val="nil"/>
              <w:left w:val="nil"/>
              <w:bottom w:val="nil"/>
              <w:right w:val="nil"/>
            </w:tcBorders>
            <w:shd w:val="clear" w:color="auto" w:fill="D9D9D9" w:themeFill="background1" w:themeFillShade="D9"/>
          </w:tcPr>
          <w:p w14:paraId="42549062" w14:textId="77777777" w:rsidR="00C00DFB" w:rsidRPr="00390AA7" w:rsidRDefault="00C00DFB" w:rsidP="00A1778B">
            <w:pPr>
              <w:pStyle w:val="TableText"/>
              <w:keepNext/>
              <w:jc w:val="right"/>
              <w:rPr>
                <w:b/>
              </w:rPr>
            </w:pPr>
            <w:r w:rsidRPr="00390AA7">
              <w:rPr>
                <w:b/>
              </w:rPr>
              <w:t>Percentage of total respondents</w:t>
            </w:r>
          </w:p>
        </w:tc>
        <w:tc>
          <w:tcPr>
            <w:tcW w:w="142" w:type="dxa"/>
            <w:tcBorders>
              <w:top w:val="nil"/>
              <w:left w:val="nil"/>
              <w:bottom w:val="nil"/>
              <w:right w:val="nil"/>
            </w:tcBorders>
            <w:shd w:val="clear" w:color="auto" w:fill="D9D9D9" w:themeFill="background1" w:themeFillShade="D9"/>
          </w:tcPr>
          <w:p w14:paraId="4133C6B5" w14:textId="77777777" w:rsidR="00C00DFB" w:rsidRPr="00390AA7" w:rsidRDefault="00C00DFB" w:rsidP="00A1778B">
            <w:pPr>
              <w:pStyle w:val="TableText"/>
              <w:keepNext/>
              <w:jc w:val="right"/>
              <w:rPr>
                <w:b/>
              </w:rPr>
            </w:pPr>
          </w:p>
        </w:tc>
        <w:tc>
          <w:tcPr>
            <w:tcW w:w="992" w:type="dxa"/>
            <w:tcBorders>
              <w:top w:val="nil"/>
              <w:left w:val="nil"/>
              <w:bottom w:val="nil"/>
              <w:right w:val="nil"/>
            </w:tcBorders>
            <w:shd w:val="clear" w:color="auto" w:fill="D9D9D9" w:themeFill="background1" w:themeFillShade="D9"/>
          </w:tcPr>
          <w:p w14:paraId="7A5AF60D" w14:textId="77777777" w:rsidR="00C00DFB" w:rsidRPr="00390AA7" w:rsidRDefault="00C00DFB" w:rsidP="00A1778B">
            <w:pPr>
              <w:pStyle w:val="TableText"/>
              <w:keepNext/>
              <w:jc w:val="right"/>
              <w:rPr>
                <w:b/>
              </w:rPr>
            </w:pPr>
            <w:r w:rsidRPr="00390AA7">
              <w:rPr>
                <w:b/>
              </w:rPr>
              <w:t>Number</w:t>
            </w:r>
          </w:p>
        </w:tc>
        <w:tc>
          <w:tcPr>
            <w:tcW w:w="1276" w:type="dxa"/>
            <w:tcBorders>
              <w:top w:val="nil"/>
              <w:left w:val="nil"/>
              <w:bottom w:val="nil"/>
              <w:right w:val="nil"/>
            </w:tcBorders>
            <w:shd w:val="clear" w:color="auto" w:fill="D9D9D9" w:themeFill="background1" w:themeFillShade="D9"/>
          </w:tcPr>
          <w:p w14:paraId="0E9E4AEF" w14:textId="77777777" w:rsidR="00C00DFB" w:rsidRPr="00390AA7" w:rsidRDefault="00C00DFB" w:rsidP="00A1778B">
            <w:pPr>
              <w:pStyle w:val="TableText"/>
              <w:keepNext/>
              <w:jc w:val="right"/>
              <w:rPr>
                <w:b/>
              </w:rPr>
            </w:pPr>
            <w:r w:rsidRPr="00390AA7">
              <w:rPr>
                <w:b/>
              </w:rPr>
              <w:t>Percentage of total respondents</w:t>
            </w:r>
          </w:p>
        </w:tc>
      </w:tr>
      <w:tr w:rsidR="00C00DFB" w:rsidRPr="00390AA7" w14:paraId="2966A01C" w14:textId="77777777" w:rsidTr="0059498F">
        <w:trPr>
          <w:cantSplit/>
        </w:trPr>
        <w:tc>
          <w:tcPr>
            <w:tcW w:w="3261" w:type="dxa"/>
            <w:tcBorders>
              <w:top w:val="nil"/>
              <w:left w:val="nil"/>
              <w:bottom w:val="single" w:sz="4" w:space="0" w:color="A6A6A6" w:themeColor="background1" w:themeShade="A6"/>
              <w:right w:val="nil"/>
            </w:tcBorders>
            <w:shd w:val="clear" w:color="auto" w:fill="auto"/>
          </w:tcPr>
          <w:p w14:paraId="3DB5D893" w14:textId="77777777" w:rsidR="00C00DFB" w:rsidRPr="00390AA7" w:rsidRDefault="00C00DFB" w:rsidP="0059498F">
            <w:pPr>
              <w:pStyle w:val="TableText"/>
              <w:keepNext/>
            </w:pPr>
            <w:r w:rsidRPr="00390AA7">
              <w:t xml:space="preserve">Quarter 1 </w:t>
            </w:r>
          </w:p>
          <w:p w14:paraId="044251E7" w14:textId="77777777" w:rsidR="00C00DFB" w:rsidRPr="00390AA7" w:rsidRDefault="00C00DFB" w:rsidP="0059498F">
            <w:pPr>
              <w:pStyle w:val="TableText"/>
              <w:keepNext/>
            </w:pPr>
            <w:r w:rsidRPr="00390AA7">
              <w:t>(11 July 2022–26 May 2023)</w:t>
            </w:r>
          </w:p>
        </w:tc>
        <w:tc>
          <w:tcPr>
            <w:tcW w:w="1086" w:type="dxa"/>
            <w:tcBorders>
              <w:top w:val="nil"/>
              <w:left w:val="nil"/>
              <w:bottom w:val="single" w:sz="4" w:space="0" w:color="A6A6A6" w:themeColor="background1" w:themeShade="A6"/>
              <w:right w:val="nil"/>
            </w:tcBorders>
            <w:shd w:val="clear" w:color="auto" w:fill="auto"/>
          </w:tcPr>
          <w:p w14:paraId="7F4CBDDE" w14:textId="77777777" w:rsidR="00C00DFB" w:rsidRPr="00390AA7" w:rsidRDefault="00C00DFB" w:rsidP="00A1778B">
            <w:pPr>
              <w:pStyle w:val="TableText"/>
              <w:keepNext/>
              <w:tabs>
                <w:tab w:val="decimal" w:pos="793"/>
              </w:tabs>
              <w:jc w:val="right"/>
            </w:pPr>
            <w:r w:rsidRPr="00390AA7">
              <w:t>2,943</w:t>
            </w:r>
          </w:p>
        </w:tc>
        <w:tc>
          <w:tcPr>
            <w:tcW w:w="1323" w:type="dxa"/>
            <w:tcBorders>
              <w:top w:val="nil"/>
              <w:left w:val="nil"/>
              <w:bottom w:val="single" w:sz="4" w:space="0" w:color="A6A6A6" w:themeColor="background1" w:themeShade="A6"/>
              <w:right w:val="nil"/>
            </w:tcBorders>
            <w:shd w:val="clear" w:color="auto" w:fill="auto"/>
          </w:tcPr>
          <w:p w14:paraId="3E1CDB45" w14:textId="77777777" w:rsidR="00C00DFB" w:rsidRPr="00390AA7" w:rsidRDefault="00C00DFB" w:rsidP="00A1778B">
            <w:pPr>
              <w:pStyle w:val="TableText"/>
              <w:keepNext/>
              <w:jc w:val="right"/>
            </w:pPr>
            <w:r w:rsidRPr="00390AA7">
              <w:t>43</w:t>
            </w:r>
          </w:p>
        </w:tc>
        <w:tc>
          <w:tcPr>
            <w:tcW w:w="142" w:type="dxa"/>
            <w:tcBorders>
              <w:top w:val="nil"/>
              <w:left w:val="nil"/>
              <w:bottom w:val="single" w:sz="4" w:space="0" w:color="A6A6A6" w:themeColor="background1" w:themeShade="A6"/>
              <w:right w:val="nil"/>
            </w:tcBorders>
            <w:shd w:val="clear" w:color="auto" w:fill="auto"/>
          </w:tcPr>
          <w:p w14:paraId="7414B603" w14:textId="77777777" w:rsidR="00C00DFB" w:rsidRPr="00390AA7" w:rsidRDefault="00C00DFB" w:rsidP="00A1778B">
            <w:pPr>
              <w:pStyle w:val="TableText"/>
              <w:keepNext/>
              <w:jc w:val="right"/>
            </w:pPr>
          </w:p>
        </w:tc>
        <w:tc>
          <w:tcPr>
            <w:tcW w:w="992" w:type="dxa"/>
            <w:tcBorders>
              <w:top w:val="nil"/>
              <w:left w:val="nil"/>
              <w:bottom w:val="single" w:sz="4" w:space="0" w:color="A6A6A6" w:themeColor="background1" w:themeShade="A6"/>
              <w:right w:val="nil"/>
            </w:tcBorders>
            <w:shd w:val="clear" w:color="auto" w:fill="auto"/>
          </w:tcPr>
          <w:p w14:paraId="59978A06" w14:textId="77777777" w:rsidR="00C00DFB" w:rsidRPr="00390AA7" w:rsidRDefault="00C00DFB" w:rsidP="00A1778B">
            <w:pPr>
              <w:pStyle w:val="TableText"/>
              <w:keepNext/>
              <w:jc w:val="right"/>
            </w:pPr>
            <w:r w:rsidRPr="00390AA7">
              <w:t>853</w:t>
            </w:r>
          </w:p>
        </w:tc>
        <w:tc>
          <w:tcPr>
            <w:tcW w:w="1276" w:type="dxa"/>
            <w:tcBorders>
              <w:top w:val="nil"/>
              <w:left w:val="nil"/>
              <w:bottom w:val="single" w:sz="4" w:space="0" w:color="A6A6A6" w:themeColor="background1" w:themeShade="A6"/>
              <w:right w:val="nil"/>
            </w:tcBorders>
            <w:shd w:val="clear" w:color="auto" w:fill="auto"/>
          </w:tcPr>
          <w:p w14:paraId="2596E89D" w14:textId="77777777" w:rsidR="00C00DFB" w:rsidRPr="00390AA7" w:rsidRDefault="00C00DFB" w:rsidP="00A1778B">
            <w:pPr>
              <w:pStyle w:val="TableText"/>
              <w:keepNext/>
              <w:jc w:val="right"/>
            </w:pPr>
            <w:r w:rsidRPr="00390AA7">
              <w:t>42</w:t>
            </w:r>
          </w:p>
        </w:tc>
      </w:tr>
      <w:tr w:rsidR="00C00DFB" w:rsidRPr="00390AA7" w14:paraId="4982F2F4" w14:textId="77777777" w:rsidTr="0059498F">
        <w:trPr>
          <w:cantSplit/>
        </w:trPr>
        <w:tc>
          <w:tcPr>
            <w:tcW w:w="3261" w:type="dxa"/>
            <w:tcBorders>
              <w:top w:val="single" w:sz="4" w:space="0" w:color="A6A6A6" w:themeColor="background1" w:themeShade="A6"/>
              <w:left w:val="nil"/>
              <w:bottom w:val="single" w:sz="4" w:space="0" w:color="A6A6A6" w:themeColor="background1" w:themeShade="A6"/>
              <w:right w:val="nil"/>
            </w:tcBorders>
            <w:shd w:val="clear" w:color="auto" w:fill="auto"/>
          </w:tcPr>
          <w:p w14:paraId="61191A2D" w14:textId="77777777" w:rsidR="00C00DFB" w:rsidRPr="00390AA7" w:rsidRDefault="00C00DFB" w:rsidP="0059498F">
            <w:pPr>
              <w:pStyle w:val="TableText"/>
              <w:keepNext/>
            </w:pPr>
            <w:r w:rsidRPr="00390AA7">
              <w:t xml:space="preserve">Quarter 2 </w:t>
            </w:r>
          </w:p>
          <w:p w14:paraId="1B0E1F8B" w14:textId="77777777" w:rsidR="00C00DFB" w:rsidRPr="00390AA7" w:rsidRDefault="00C00DFB" w:rsidP="0059498F">
            <w:pPr>
              <w:pStyle w:val="TableText"/>
              <w:keepNext/>
            </w:pPr>
            <w:r w:rsidRPr="00390AA7">
              <w:t>(14 November 2022–17 July 2023)</w:t>
            </w:r>
          </w:p>
        </w:tc>
        <w:tc>
          <w:tcPr>
            <w:tcW w:w="1086" w:type="dxa"/>
            <w:tcBorders>
              <w:top w:val="single" w:sz="4" w:space="0" w:color="A6A6A6" w:themeColor="background1" w:themeShade="A6"/>
              <w:left w:val="nil"/>
              <w:bottom w:val="single" w:sz="4" w:space="0" w:color="A6A6A6" w:themeColor="background1" w:themeShade="A6"/>
              <w:right w:val="nil"/>
            </w:tcBorders>
            <w:shd w:val="clear" w:color="auto" w:fill="auto"/>
          </w:tcPr>
          <w:p w14:paraId="07DCE041" w14:textId="77777777" w:rsidR="00C00DFB" w:rsidRPr="00390AA7" w:rsidRDefault="00C00DFB" w:rsidP="00A1778B">
            <w:pPr>
              <w:pStyle w:val="TableText"/>
              <w:keepNext/>
              <w:tabs>
                <w:tab w:val="decimal" w:pos="793"/>
              </w:tabs>
              <w:jc w:val="right"/>
            </w:pPr>
            <w:r w:rsidRPr="00390AA7">
              <w:t>2,972</w:t>
            </w:r>
          </w:p>
        </w:tc>
        <w:tc>
          <w:tcPr>
            <w:tcW w:w="1323" w:type="dxa"/>
            <w:tcBorders>
              <w:top w:val="single" w:sz="4" w:space="0" w:color="A6A6A6" w:themeColor="background1" w:themeShade="A6"/>
              <w:left w:val="nil"/>
              <w:bottom w:val="single" w:sz="4" w:space="0" w:color="A6A6A6" w:themeColor="background1" w:themeShade="A6"/>
              <w:right w:val="nil"/>
            </w:tcBorders>
            <w:shd w:val="clear" w:color="auto" w:fill="auto"/>
          </w:tcPr>
          <w:p w14:paraId="3F93DF67" w14:textId="77777777" w:rsidR="00C00DFB" w:rsidRPr="00390AA7" w:rsidRDefault="00C00DFB" w:rsidP="00A1778B">
            <w:pPr>
              <w:pStyle w:val="TableText"/>
              <w:keepNext/>
              <w:jc w:val="right"/>
            </w:pPr>
            <w:r w:rsidRPr="00390AA7">
              <w:t>44</w:t>
            </w:r>
          </w:p>
        </w:tc>
        <w:tc>
          <w:tcPr>
            <w:tcW w:w="142" w:type="dxa"/>
            <w:tcBorders>
              <w:top w:val="single" w:sz="4" w:space="0" w:color="A6A6A6" w:themeColor="background1" w:themeShade="A6"/>
              <w:left w:val="nil"/>
              <w:bottom w:val="single" w:sz="4" w:space="0" w:color="A6A6A6" w:themeColor="background1" w:themeShade="A6"/>
              <w:right w:val="nil"/>
            </w:tcBorders>
            <w:shd w:val="clear" w:color="auto" w:fill="auto"/>
          </w:tcPr>
          <w:p w14:paraId="26EE3854" w14:textId="77777777" w:rsidR="00C00DFB" w:rsidRPr="00390AA7" w:rsidRDefault="00C00DFB" w:rsidP="00A1778B">
            <w:pPr>
              <w:pStyle w:val="TableText"/>
              <w:keepNext/>
              <w:jc w:val="right"/>
            </w:pPr>
          </w:p>
        </w:tc>
        <w:tc>
          <w:tcPr>
            <w:tcW w:w="992" w:type="dxa"/>
            <w:tcBorders>
              <w:top w:val="single" w:sz="4" w:space="0" w:color="A6A6A6" w:themeColor="background1" w:themeShade="A6"/>
              <w:left w:val="nil"/>
              <w:bottom w:val="single" w:sz="4" w:space="0" w:color="A6A6A6" w:themeColor="background1" w:themeShade="A6"/>
              <w:right w:val="nil"/>
            </w:tcBorders>
            <w:shd w:val="clear" w:color="auto" w:fill="auto"/>
          </w:tcPr>
          <w:p w14:paraId="1BF3B40D" w14:textId="77777777" w:rsidR="00C00DFB" w:rsidRPr="00390AA7" w:rsidRDefault="00C00DFB" w:rsidP="00A1778B">
            <w:pPr>
              <w:pStyle w:val="TableText"/>
              <w:keepNext/>
              <w:jc w:val="right"/>
            </w:pPr>
            <w:r w:rsidRPr="00390AA7">
              <w:t>908</w:t>
            </w:r>
          </w:p>
        </w:tc>
        <w:tc>
          <w:tcPr>
            <w:tcW w:w="1276" w:type="dxa"/>
            <w:tcBorders>
              <w:top w:val="single" w:sz="4" w:space="0" w:color="A6A6A6" w:themeColor="background1" w:themeShade="A6"/>
              <w:left w:val="nil"/>
              <w:bottom w:val="single" w:sz="4" w:space="0" w:color="A6A6A6" w:themeColor="background1" w:themeShade="A6"/>
              <w:right w:val="nil"/>
            </w:tcBorders>
            <w:shd w:val="clear" w:color="auto" w:fill="auto"/>
          </w:tcPr>
          <w:p w14:paraId="6F4F1FC6" w14:textId="77777777" w:rsidR="00C00DFB" w:rsidRPr="00390AA7" w:rsidRDefault="00C00DFB" w:rsidP="00A1778B">
            <w:pPr>
              <w:pStyle w:val="TableText"/>
              <w:keepNext/>
              <w:jc w:val="right"/>
            </w:pPr>
            <w:r w:rsidRPr="00390AA7">
              <w:t>45</w:t>
            </w:r>
          </w:p>
        </w:tc>
      </w:tr>
      <w:tr w:rsidR="00C00DFB" w:rsidRPr="00390AA7" w14:paraId="549AFA57" w14:textId="77777777" w:rsidTr="0059498F">
        <w:trPr>
          <w:cantSplit/>
        </w:trPr>
        <w:tc>
          <w:tcPr>
            <w:tcW w:w="3261" w:type="dxa"/>
            <w:tcBorders>
              <w:top w:val="single" w:sz="4" w:space="0" w:color="A6A6A6" w:themeColor="background1" w:themeShade="A6"/>
              <w:left w:val="nil"/>
              <w:bottom w:val="single" w:sz="4" w:space="0" w:color="A6A6A6" w:themeColor="background1" w:themeShade="A6"/>
              <w:right w:val="nil"/>
            </w:tcBorders>
            <w:shd w:val="clear" w:color="auto" w:fill="auto"/>
          </w:tcPr>
          <w:p w14:paraId="3FAF5694" w14:textId="77777777" w:rsidR="00C00DFB" w:rsidRPr="00390AA7" w:rsidRDefault="00C00DFB" w:rsidP="0059498F">
            <w:pPr>
              <w:pStyle w:val="TableText"/>
            </w:pPr>
            <w:r w:rsidRPr="00390AA7">
              <w:t xml:space="preserve">Quarter 3 </w:t>
            </w:r>
          </w:p>
          <w:p w14:paraId="449940BC" w14:textId="77777777" w:rsidR="00C00DFB" w:rsidRPr="00390AA7" w:rsidRDefault="00C00DFB" w:rsidP="0059498F">
            <w:pPr>
              <w:pStyle w:val="TableText"/>
            </w:pPr>
            <w:r w:rsidRPr="00390AA7">
              <w:t>(19 April 2023–19 July 2023)</w:t>
            </w:r>
          </w:p>
        </w:tc>
        <w:tc>
          <w:tcPr>
            <w:tcW w:w="1086" w:type="dxa"/>
            <w:tcBorders>
              <w:top w:val="single" w:sz="4" w:space="0" w:color="A6A6A6" w:themeColor="background1" w:themeShade="A6"/>
              <w:left w:val="nil"/>
              <w:bottom w:val="single" w:sz="4" w:space="0" w:color="A6A6A6" w:themeColor="background1" w:themeShade="A6"/>
              <w:right w:val="nil"/>
            </w:tcBorders>
            <w:shd w:val="clear" w:color="auto" w:fill="auto"/>
          </w:tcPr>
          <w:p w14:paraId="46554563" w14:textId="77777777" w:rsidR="00C00DFB" w:rsidRPr="00390AA7" w:rsidRDefault="00C00DFB" w:rsidP="00A1778B">
            <w:pPr>
              <w:pStyle w:val="TableText"/>
              <w:tabs>
                <w:tab w:val="decimal" w:pos="793"/>
              </w:tabs>
              <w:jc w:val="right"/>
            </w:pPr>
            <w:r w:rsidRPr="00390AA7">
              <w:t>884</w:t>
            </w:r>
          </w:p>
        </w:tc>
        <w:tc>
          <w:tcPr>
            <w:tcW w:w="1323" w:type="dxa"/>
            <w:tcBorders>
              <w:top w:val="single" w:sz="4" w:space="0" w:color="A6A6A6" w:themeColor="background1" w:themeShade="A6"/>
              <w:left w:val="nil"/>
              <w:bottom w:val="single" w:sz="4" w:space="0" w:color="A6A6A6" w:themeColor="background1" w:themeShade="A6"/>
              <w:right w:val="nil"/>
            </w:tcBorders>
            <w:shd w:val="clear" w:color="auto" w:fill="auto"/>
          </w:tcPr>
          <w:p w14:paraId="5053BFAE" w14:textId="77777777" w:rsidR="00C00DFB" w:rsidRPr="00390AA7" w:rsidRDefault="00C00DFB" w:rsidP="00A1778B">
            <w:pPr>
              <w:pStyle w:val="TableText"/>
              <w:jc w:val="right"/>
            </w:pPr>
            <w:r w:rsidRPr="00390AA7">
              <w:t>13</w:t>
            </w:r>
          </w:p>
        </w:tc>
        <w:tc>
          <w:tcPr>
            <w:tcW w:w="142" w:type="dxa"/>
            <w:tcBorders>
              <w:top w:val="single" w:sz="4" w:space="0" w:color="A6A6A6" w:themeColor="background1" w:themeShade="A6"/>
              <w:left w:val="nil"/>
              <w:bottom w:val="single" w:sz="4" w:space="0" w:color="A6A6A6" w:themeColor="background1" w:themeShade="A6"/>
              <w:right w:val="nil"/>
            </w:tcBorders>
            <w:shd w:val="clear" w:color="auto" w:fill="auto"/>
          </w:tcPr>
          <w:p w14:paraId="37ED5273" w14:textId="77777777" w:rsidR="00C00DFB" w:rsidRPr="00390AA7" w:rsidRDefault="00C00DFB" w:rsidP="00A1778B">
            <w:pPr>
              <w:pStyle w:val="TableText"/>
              <w:jc w:val="right"/>
            </w:pPr>
          </w:p>
        </w:tc>
        <w:tc>
          <w:tcPr>
            <w:tcW w:w="992" w:type="dxa"/>
            <w:tcBorders>
              <w:top w:val="single" w:sz="4" w:space="0" w:color="A6A6A6" w:themeColor="background1" w:themeShade="A6"/>
              <w:left w:val="nil"/>
              <w:bottom w:val="single" w:sz="4" w:space="0" w:color="A6A6A6" w:themeColor="background1" w:themeShade="A6"/>
              <w:right w:val="nil"/>
            </w:tcBorders>
            <w:shd w:val="clear" w:color="auto" w:fill="auto"/>
          </w:tcPr>
          <w:p w14:paraId="2680D042" w14:textId="77777777" w:rsidR="00C00DFB" w:rsidRPr="00390AA7" w:rsidRDefault="00C00DFB" w:rsidP="00A1778B">
            <w:pPr>
              <w:pStyle w:val="TableText"/>
              <w:jc w:val="right"/>
            </w:pPr>
            <w:r w:rsidRPr="00390AA7">
              <w:t>268</w:t>
            </w:r>
          </w:p>
        </w:tc>
        <w:tc>
          <w:tcPr>
            <w:tcW w:w="1276" w:type="dxa"/>
            <w:tcBorders>
              <w:top w:val="single" w:sz="4" w:space="0" w:color="A6A6A6" w:themeColor="background1" w:themeShade="A6"/>
              <w:left w:val="nil"/>
              <w:bottom w:val="single" w:sz="4" w:space="0" w:color="A6A6A6" w:themeColor="background1" w:themeShade="A6"/>
              <w:right w:val="nil"/>
            </w:tcBorders>
            <w:shd w:val="clear" w:color="auto" w:fill="auto"/>
          </w:tcPr>
          <w:p w14:paraId="36C23C95" w14:textId="77777777" w:rsidR="00C00DFB" w:rsidRPr="00390AA7" w:rsidRDefault="00C00DFB" w:rsidP="00A1778B">
            <w:pPr>
              <w:pStyle w:val="TableText"/>
              <w:jc w:val="right"/>
            </w:pPr>
            <w:r w:rsidRPr="00390AA7">
              <w:t>13</w:t>
            </w:r>
          </w:p>
        </w:tc>
      </w:tr>
      <w:tr w:rsidR="00C00DFB" w:rsidRPr="00390AA7" w14:paraId="4F73B662" w14:textId="77777777" w:rsidTr="0059498F">
        <w:trPr>
          <w:cantSplit/>
        </w:trPr>
        <w:tc>
          <w:tcPr>
            <w:tcW w:w="3261" w:type="dxa"/>
            <w:tcBorders>
              <w:top w:val="single" w:sz="4" w:space="0" w:color="A6A6A6" w:themeColor="background1" w:themeShade="A6"/>
              <w:left w:val="nil"/>
              <w:bottom w:val="single" w:sz="4" w:space="0" w:color="A6A6A6" w:themeColor="background1" w:themeShade="A6"/>
              <w:right w:val="nil"/>
            </w:tcBorders>
            <w:shd w:val="clear" w:color="auto" w:fill="auto"/>
          </w:tcPr>
          <w:p w14:paraId="5882D01E" w14:textId="77777777" w:rsidR="00C00DFB" w:rsidRPr="00390AA7" w:rsidRDefault="00C00DFB" w:rsidP="0059498F">
            <w:pPr>
              <w:pStyle w:val="TableText"/>
            </w:pPr>
            <w:r w:rsidRPr="00390AA7">
              <w:t xml:space="preserve">Quarter 4 </w:t>
            </w:r>
          </w:p>
          <w:p w14:paraId="2D76FA0C" w14:textId="77777777" w:rsidR="00C00DFB" w:rsidRPr="00390AA7" w:rsidRDefault="00C00DFB" w:rsidP="0059498F">
            <w:pPr>
              <w:pStyle w:val="TableText"/>
            </w:pPr>
            <w:r w:rsidRPr="00390AA7">
              <w:t>(not started due to COVID-19 and Cycle Gabrielle related disruptions)</w:t>
            </w:r>
          </w:p>
        </w:tc>
        <w:tc>
          <w:tcPr>
            <w:tcW w:w="1086" w:type="dxa"/>
            <w:tcBorders>
              <w:top w:val="single" w:sz="4" w:space="0" w:color="A6A6A6" w:themeColor="background1" w:themeShade="A6"/>
              <w:left w:val="nil"/>
              <w:bottom w:val="single" w:sz="4" w:space="0" w:color="A6A6A6" w:themeColor="background1" w:themeShade="A6"/>
              <w:right w:val="nil"/>
            </w:tcBorders>
            <w:shd w:val="clear" w:color="auto" w:fill="auto"/>
          </w:tcPr>
          <w:p w14:paraId="48636E75" w14:textId="77777777" w:rsidR="00C00DFB" w:rsidRPr="00390AA7" w:rsidRDefault="00C00DFB" w:rsidP="00A1778B">
            <w:pPr>
              <w:pStyle w:val="TableText"/>
              <w:tabs>
                <w:tab w:val="decimal" w:pos="793"/>
              </w:tabs>
              <w:jc w:val="right"/>
            </w:pPr>
            <w:r w:rsidRPr="00390AA7">
              <w:t>–</w:t>
            </w:r>
          </w:p>
        </w:tc>
        <w:tc>
          <w:tcPr>
            <w:tcW w:w="1323" w:type="dxa"/>
            <w:tcBorders>
              <w:top w:val="single" w:sz="4" w:space="0" w:color="A6A6A6" w:themeColor="background1" w:themeShade="A6"/>
              <w:left w:val="nil"/>
              <w:bottom w:val="single" w:sz="4" w:space="0" w:color="A6A6A6" w:themeColor="background1" w:themeShade="A6"/>
              <w:right w:val="nil"/>
            </w:tcBorders>
            <w:shd w:val="clear" w:color="auto" w:fill="auto"/>
          </w:tcPr>
          <w:p w14:paraId="29915F03" w14:textId="77777777" w:rsidR="00C00DFB" w:rsidRPr="00390AA7" w:rsidRDefault="00C00DFB" w:rsidP="00A1778B">
            <w:pPr>
              <w:pStyle w:val="TableText"/>
              <w:jc w:val="right"/>
            </w:pPr>
            <w:r w:rsidRPr="00390AA7">
              <w:t>–</w:t>
            </w:r>
          </w:p>
        </w:tc>
        <w:tc>
          <w:tcPr>
            <w:tcW w:w="142" w:type="dxa"/>
            <w:tcBorders>
              <w:top w:val="single" w:sz="4" w:space="0" w:color="A6A6A6" w:themeColor="background1" w:themeShade="A6"/>
              <w:left w:val="nil"/>
              <w:bottom w:val="single" w:sz="4" w:space="0" w:color="A6A6A6" w:themeColor="background1" w:themeShade="A6"/>
              <w:right w:val="nil"/>
            </w:tcBorders>
            <w:shd w:val="clear" w:color="auto" w:fill="auto"/>
          </w:tcPr>
          <w:p w14:paraId="48F6CE21" w14:textId="77777777" w:rsidR="00C00DFB" w:rsidRPr="00390AA7" w:rsidRDefault="00C00DFB" w:rsidP="00A1778B">
            <w:pPr>
              <w:pStyle w:val="TableText"/>
              <w:jc w:val="right"/>
            </w:pPr>
          </w:p>
        </w:tc>
        <w:tc>
          <w:tcPr>
            <w:tcW w:w="992" w:type="dxa"/>
            <w:tcBorders>
              <w:top w:val="single" w:sz="4" w:space="0" w:color="A6A6A6" w:themeColor="background1" w:themeShade="A6"/>
              <w:left w:val="nil"/>
              <w:bottom w:val="single" w:sz="4" w:space="0" w:color="A6A6A6" w:themeColor="background1" w:themeShade="A6"/>
              <w:right w:val="nil"/>
            </w:tcBorders>
            <w:shd w:val="clear" w:color="auto" w:fill="auto"/>
          </w:tcPr>
          <w:p w14:paraId="3F4EB23D" w14:textId="77777777" w:rsidR="00C00DFB" w:rsidRPr="00390AA7" w:rsidRDefault="00C00DFB" w:rsidP="00A1778B">
            <w:pPr>
              <w:pStyle w:val="TableText"/>
              <w:jc w:val="right"/>
            </w:pPr>
            <w:r w:rsidRPr="00390AA7">
              <w:t>–</w:t>
            </w:r>
          </w:p>
        </w:tc>
        <w:tc>
          <w:tcPr>
            <w:tcW w:w="1276" w:type="dxa"/>
            <w:tcBorders>
              <w:top w:val="single" w:sz="4" w:space="0" w:color="A6A6A6" w:themeColor="background1" w:themeShade="A6"/>
              <w:left w:val="nil"/>
              <w:bottom w:val="single" w:sz="4" w:space="0" w:color="A6A6A6" w:themeColor="background1" w:themeShade="A6"/>
              <w:right w:val="nil"/>
            </w:tcBorders>
            <w:shd w:val="clear" w:color="auto" w:fill="auto"/>
          </w:tcPr>
          <w:p w14:paraId="4918975D" w14:textId="77777777" w:rsidR="00C00DFB" w:rsidRPr="00390AA7" w:rsidRDefault="00C00DFB" w:rsidP="00A1778B">
            <w:pPr>
              <w:pStyle w:val="TableText"/>
              <w:jc w:val="right"/>
            </w:pPr>
            <w:r w:rsidRPr="00390AA7">
              <w:t>–</w:t>
            </w:r>
          </w:p>
        </w:tc>
      </w:tr>
      <w:tr w:rsidR="00C00DFB" w:rsidRPr="00390AA7" w14:paraId="7BBD254E" w14:textId="77777777" w:rsidTr="0059498F">
        <w:trPr>
          <w:cantSplit/>
        </w:trPr>
        <w:tc>
          <w:tcPr>
            <w:tcW w:w="3261" w:type="dxa"/>
            <w:tcBorders>
              <w:top w:val="single" w:sz="4" w:space="0" w:color="A6A6A6" w:themeColor="background1" w:themeShade="A6"/>
              <w:left w:val="nil"/>
              <w:bottom w:val="single" w:sz="4" w:space="0" w:color="A6A6A6" w:themeColor="background1" w:themeShade="A6"/>
              <w:right w:val="nil"/>
            </w:tcBorders>
            <w:shd w:val="clear" w:color="auto" w:fill="auto"/>
          </w:tcPr>
          <w:p w14:paraId="2528A126" w14:textId="77777777" w:rsidR="00C00DFB" w:rsidRPr="00390AA7" w:rsidRDefault="00C00DFB" w:rsidP="0059498F">
            <w:pPr>
              <w:pStyle w:val="TableText"/>
              <w:rPr>
                <w:b/>
              </w:rPr>
            </w:pPr>
            <w:r w:rsidRPr="00390AA7">
              <w:rPr>
                <w:b/>
              </w:rPr>
              <w:t>Total (July 2022–July 2023)</w:t>
            </w:r>
          </w:p>
        </w:tc>
        <w:tc>
          <w:tcPr>
            <w:tcW w:w="1086" w:type="dxa"/>
            <w:tcBorders>
              <w:top w:val="single" w:sz="4" w:space="0" w:color="A6A6A6" w:themeColor="background1" w:themeShade="A6"/>
              <w:left w:val="nil"/>
              <w:bottom w:val="single" w:sz="4" w:space="0" w:color="A6A6A6" w:themeColor="background1" w:themeShade="A6"/>
              <w:right w:val="nil"/>
            </w:tcBorders>
            <w:shd w:val="clear" w:color="auto" w:fill="auto"/>
          </w:tcPr>
          <w:p w14:paraId="22BAF697" w14:textId="77777777" w:rsidR="00C00DFB" w:rsidRPr="00390AA7" w:rsidRDefault="00C00DFB" w:rsidP="00A1778B">
            <w:pPr>
              <w:pStyle w:val="TableText"/>
              <w:tabs>
                <w:tab w:val="decimal" w:pos="793"/>
              </w:tabs>
              <w:jc w:val="right"/>
              <w:rPr>
                <w:b/>
                <w:bCs/>
              </w:rPr>
            </w:pPr>
            <w:r w:rsidRPr="00390AA7">
              <w:rPr>
                <w:b/>
                <w:bCs/>
              </w:rPr>
              <w:t>6,799</w:t>
            </w:r>
          </w:p>
        </w:tc>
        <w:tc>
          <w:tcPr>
            <w:tcW w:w="1323" w:type="dxa"/>
            <w:tcBorders>
              <w:top w:val="single" w:sz="4" w:space="0" w:color="A6A6A6" w:themeColor="background1" w:themeShade="A6"/>
              <w:left w:val="nil"/>
              <w:bottom w:val="single" w:sz="4" w:space="0" w:color="A6A6A6" w:themeColor="background1" w:themeShade="A6"/>
              <w:right w:val="nil"/>
            </w:tcBorders>
            <w:shd w:val="clear" w:color="auto" w:fill="auto"/>
          </w:tcPr>
          <w:p w14:paraId="7992B2C7" w14:textId="77777777" w:rsidR="00C00DFB" w:rsidRPr="00390AA7" w:rsidRDefault="00C00DFB" w:rsidP="00A1778B">
            <w:pPr>
              <w:pStyle w:val="TableText"/>
              <w:jc w:val="right"/>
              <w:rPr>
                <w:b/>
                <w:bCs/>
              </w:rPr>
            </w:pPr>
            <w:r w:rsidRPr="00390AA7">
              <w:rPr>
                <w:b/>
                <w:bCs/>
              </w:rPr>
              <w:t>100</w:t>
            </w:r>
          </w:p>
        </w:tc>
        <w:tc>
          <w:tcPr>
            <w:tcW w:w="142" w:type="dxa"/>
            <w:tcBorders>
              <w:top w:val="single" w:sz="4" w:space="0" w:color="A6A6A6" w:themeColor="background1" w:themeShade="A6"/>
              <w:left w:val="nil"/>
              <w:bottom w:val="single" w:sz="4" w:space="0" w:color="A6A6A6" w:themeColor="background1" w:themeShade="A6"/>
              <w:right w:val="nil"/>
            </w:tcBorders>
            <w:shd w:val="clear" w:color="auto" w:fill="auto"/>
          </w:tcPr>
          <w:p w14:paraId="0BE177C7" w14:textId="77777777" w:rsidR="00C00DFB" w:rsidRPr="00390AA7" w:rsidRDefault="00C00DFB" w:rsidP="00A1778B">
            <w:pPr>
              <w:pStyle w:val="TableText"/>
              <w:jc w:val="right"/>
              <w:rPr>
                <w:b/>
                <w:bCs/>
              </w:rPr>
            </w:pPr>
          </w:p>
        </w:tc>
        <w:tc>
          <w:tcPr>
            <w:tcW w:w="992" w:type="dxa"/>
            <w:tcBorders>
              <w:top w:val="single" w:sz="4" w:space="0" w:color="A6A6A6" w:themeColor="background1" w:themeShade="A6"/>
              <w:left w:val="nil"/>
              <w:bottom w:val="single" w:sz="4" w:space="0" w:color="A6A6A6" w:themeColor="background1" w:themeShade="A6"/>
              <w:right w:val="nil"/>
            </w:tcBorders>
            <w:shd w:val="clear" w:color="auto" w:fill="auto"/>
          </w:tcPr>
          <w:p w14:paraId="63BCCDF4" w14:textId="77777777" w:rsidR="00C00DFB" w:rsidRPr="00390AA7" w:rsidRDefault="00C00DFB" w:rsidP="00A1778B">
            <w:pPr>
              <w:pStyle w:val="TableText"/>
              <w:jc w:val="right"/>
              <w:rPr>
                <w:b/>
                <w:bCs/>
              </w:rPr>
            </w:pPr>
            <w:r w:rsidRPr="00390AA7">
              <w:rPr>
                <w:b/>
                <w:bCs/>
              </w:rPr>
              <w:t>2,029</w:t>
            </w:r>
          </w:p>
        </w:tc>
        <w:tc>
          <w:tcPr>
            <w:tcW w:w="1276" w:type="dxa"/>
            <w:tcBorders>
              <w:top w:val="single" w:sz="4" w:space="0" w:color="A6A6A6" w:themeColor="background1" w:themeShade="A6"/>
              <w:left w:val="nil"/>
              <w:bottom w:val="single" w:sz="4" w:space="0" w:color="A6A6A6" w:themeColor="background1" w:themeShade="A6"/>
              <w:right w:val="nil"/>
            </w:tcBorders>
            <w:shd w:val="clear" w:color="auto" w:fill="auto"/>
          </w:tcPr>
          <w:p w14:paraId="5D36007A" w14:textId="77777777" w:rsidR="00C00DFB" w:rsidRPr="00390AA7" w:rsidRDefault="00C00DFB" w:rsidP="00A1778B">
            <w:pPr>
              <w:pStyle w:val="TableText"/>
              <w:jc w:val="right"/>
              <w:rPr>
                <w:b/>
                <w:bCs/>
              </w:rPr>
            </w:pPr>
            <w:r w:rsidRPr="00390AA7">
              <w:rPr>
                <w:b/>
                <w:bCs/>
              </w:rPr>
              <w:t>100</w:t>
            </w:r>
          </w:p>
        </w:tc>
      </w:tr>
    </w:tbl>
    <w:p w14:paraId="2AAB0070" w14:textId="04B5A4CD" w:rsidR="004366B7" w:rsidRPr="00390AA7" w:rsidRDefault="004366B7" w:rsidP="004366B7">
      <w:pPr>
        <w:pStyle w:val="Heading2"/>
        <w:rPr>
          <w:lang w:eastAsia="en-US"/>
        </w:rPr>
      </w:pPr>
      <w:bookmarkStart w:id="401" w:name="_Hlk55564166"/>
      <w:bookmarkStart w:id="402" w:name="_Toc55206866"/>
      <w:bookmarkStart w:id="403" w:name="_Toc88752057"/>
      <w:bookmarkStart w:id="404" w:name="_Toc153259105"/>
      <w:bookmarkStart w:id="405" w:name="_Hlk55564641"/>
      <w:bookmarkEnd w:id="400"/>
      <w:r w:rsidRPr="00390AA7">
        <w:rPr>
          <w:lang w:eastAsia="en-US"/>
        </w:rPr>
        <w:t xml:space="preserve">Impact of </w:t>
      </w:r>
      <w:bookmarkEnd w:id="401"/>
      <w:r w:rsidR="002E7A95" w:rsidRPr="00390AA7">
        <w:rPr>
          <w:lang w:eastAsia="en-US"/>
        </w:rPr>
        <w:t xml:space="preserve">data collection </w:t>
      </w:r>
      <w:r w:rsidRPr="00390AA7">
        <w:rPr>
          <w:lang w:eastAsia="en-US"/>
        </w:rPr>
        <w:t>disruptions</w:t>
      </w:r>
      <w:bookmarkEnd w:id="402"/>
      <w:bookmarkEnd w:id="403"/>
      <w:bookmarkEnd w:id="404"/>
    </w:p>
    <w:p w14:paraId="105C03E2" w14:textId="77777777" w:rsidR="002E7A95" w:rsidRPr="006650CB" w:rsidRDefault="002E7A95" w:rsidP="002E7A95">
      <w:pPr>
        <w:rPr>
          <w:rFonts w:cs="Segoe UI"/>
          <w:color w:val="808080" w:themeColor="background1" w:themeShade="80"/>
          <w:lang w:eastAsia="en-US"/>
        </w:rPr>
      </w:pPr>
      <w:r w:rsidRPr="006650CB">
        <w:rPr>
          <w:rFonts w:eastAsia="Calibri"/>
          <w:color w:val="000000" w:themeColor="text1"/>
          <w:lang w:eastAsia="en-US"/>
        </w:rPr>
        <w:t xml:space="preserve">The 2022/23 NZHS data collection began at the usual time of year but suffered </w:t>
      </w:r>
      <w:r w:rsidRPr="006650CB">
        <w:t>ongoing disruptions, related to the COVID-19 pandemic and Cyclone Gabrielle.</w:t>
      </w:r>
    </w:p>
    <w:p w14:paraId="350DA043" w14:textId="77777777" w:rsidR="002E7A95" w:rsidRPr="006650CB" w:rsidRDefault="002E7A95" w:rsidP="002E7A95">
      <w:pPr>
        <w:rPr>
          <w:rFonts w:eastAsia="Calibri"/>
          <w:color w:val="000000" w:themeColor="text1"/>
          <w:lang w:eastAsia="en-US"/>
        </w:rPr>
      </w:pPr>
    </w:p>
    <w:p w14:paraId="66C9F5CA" w14:textId="4B6DD5B6" w:rsidR="002E7A95" w:rsidRPr="006650CB" w:rsidRDefault="002E7A95" w:rsidP="002E7A95">
      <w:pPr>
        <w:rPr>
          <w:rFonts w:eastAsia="Calibri"/>
          <w:color w:val="000000" w:themeColor="text1"/>
          <w:lang w:eastAsia="en-US"/>
        </w:rPr>
      </w:pPr>
      <w:r w:rsidRPr="006650CB">
        <w:rPr>
          <w:rFonts w:eastAsia="Calibri"/>
          <w:color w:val="000000" w:themeColor="text1"/>
          <w:lang w:eastAsia="en-US"/>
        </w:rPr>
        <w:t xml:space="preserve">One result of these disruptions for the 2022/23 survey year is a smaller sample size. The adult sample for 2022/23 is </w:t>
      </w:r>
      <w:r w:rsidR="001A2337" w:rsidRPr="006650CB">
        <w:rPr>
          <w:rFonts w:eastAsia="Calibri"/>
          <w:color w:val="000000" w:themeColor="text1"/>
          <w:lang w:eastAsia="en-US"/>
        </w:rPr>
        <w:t>around half</w:t>
      </w:r>
      <w:r w:rsidRPr="006650CB">
        <w:rPr>
          <w:rFonts w:eastAsia="Calibri"/>
          <w:color w:val="000000" w:themeColor="text1"/>
          <w:lang w:eastAsia="en-US"/>
        </w:rPr>
        <w:t xml:space="preserve"> the size of the usual sample, and the child sample is </w:t>
      </w:r>
      <w:r w:rsidR="001A2337" w:rsidRPr="006650CB">
        <w:rPr>
          <w:rFonts w:eastAsia="Calibri"/>
          <w:color w:val="000000" w:themeColor="text1"/>
          <w:lang w:eastAsia="en-US"/>
        </w:rPr>
        <w:t>less than half</w:t>
      </w:r>
      <w:r w:rsidRPr="006650CB">
        <w:rPr>
          <w:rFonts w:eastAsia="Calibri"/>
          <w:color w:val="000000" w:themeColor="text1"/>
          <w:lang w:eastAsia="en-US"/>
        </w:rPr>
        <w:t xml:space="preserve"> the size of the usual sample (compared with pre-COVID-19 years from 2011/12 to 2018/19). As a result of the smaller sample sizes, the confidence intervals around point estimates are wider than usual. </w:t>
      </w:r>
    </w:p>
    <w:p w14:paraId="6CE74336" w14:textId="77777777" w:rsidR="002E7A95" w:rsidRPr="006650CB" w:rsidRDefault="002E7A95" w:rsidP="002E7A95">
      <w:pPr>
        <w:rPr>
          <w:rFonts w:eastAsia="Calibri"/>
          <w:color w:val="000000" w:themeColor="text1"/>
          <w:lang w:eastAsia="en-US"/>
        </w:rPr>
      </w:pPr>
    </w:p>
    <w:p w14:paraId="7F0A5FFB" w14:textId="4D35C30E" w:rsidR="002E7A95" w:rsidRPr="006650CB" w:rsidRDefault="002E7A95" w:rsidP="002E7A95">
      <w:pPr>
        <w:rPr>
          <w:rFonts w:eastAsia="Calibri"/>
          <w:color w:val="000000" w:themeColor="text1"/>
          <w:lang w:eastAsia="en-US"/>
        </w:rPr>
      </w:pPr>
      <w:r w:rsidRPr="006650CB">
        <w:rPr>
          <w:rFonts w:eastAsia="Calibri"/>
          <w:color w:val="000000" w:themeColor="text1"/>
          <w:lang w:eastAsia="en-US"/>
        </w:rPr>
        <w:t xml:space="preserve">The smaller sample size means that </w:t>
      </w:r>
      <w:r w:rsidR="00640751" w:rsidRPr="006650CB">
        <w:rPr>
          <w:rFonts w:eastAsia="Calibri"/>
          <w:color w:val="000000" w:themeColor="text1"/>
          <w:lang w:eastAsia="en-US"/>
        </w:rPr>
        <w:t xml:space="preserve">some </w:t>
      </w:r>
      <w:r w:rsidRPr="006650CB">
        <w:rPr>
          <w:rFonts w:eastAsia="Calibri"/>
          <w:color w:val="000000" w:themeColor="text1"/>
          <w:lang w:eastAsia="en-US"/>
        </w:rPr>
        <w:t xml:space="preserve">subgroup statistics were suppressed because </w:t>
      </w:r>
      <w:r w:rsidR="00760927" w:rsidRPr="006650CB">
        <w:rPr>
          <w:rFonts w:eastAsia="Calibri"/>
          <w:color w:val="000000" w:themeColor="text1"/>
          <w:lang w:eastAsia="en-US"/>
        </w:rPr>
        <w:t xml:space="preserve">the </w:t>
      </w:r>
      <w:r w:rsidRPr="006650CB">
        <w:rPr>
          <w:rFonts w:eastAsia="Calibri"/>
          <w:color w:val="000000" w:themeColor="text1"/>
          <w:lang w:eastAsia="en-US"/>
        </w:rPr>
        <w:t xml:space="preserve">subgroups had fewer than 30 respondents or the </w:t>
      </w:r>
      <w:r w:rsidR="001022D6" w:rsidRPr="006650CB">
        <w:rPr>
          <w:rFonts w:eastAsia="Calibri"/>
          <w:color w:val="000000" w:themeColor="text1"/>
          <w:lang w:eastAsia="en-US"/>
        </w:rPr>
        <w:t>relative standard error (</w:t>
      </w:r>
      <w:r w:rsidRPr="006650CB">
        <w:rPr>
          <w:rFonts w:eastAsia="Calibri"/>
          <w:color w:val="000000" w:themeColor="text1"/>
          <w:lang w:eastAsia="en-US"/>
        </w:rPr>
        <w:t>RSE</w:t>
      </w:r>
      <w:r w:rsidR="001022D6" w:rsidRPr="006650CB">
        <w:rPr>
          <w:rFonts w:eastAsia="Calibri"/>
          <w:color w:val="000000" w:themeColor="text1"/>
          <w:lang w:eastAsia="en-US"/>
        </w:rPr>
        <w:t>)</w:t>
      </w:r>
      <w:r w:rsidRPr="006650CB">
        <w:rPr>
          <w:rFonts w:eastAsia="Calibri"/>
          <w:color w:val="000000" w:themeColor="text1"/>
          <w:lang w:eastAsia="en-US"/>
        </w:rPr>
        <w:t xml:space="preserve"> was more than 100% (see ‘</w:t>
      </w:r>
      <w:r w:rsidRPr="00531EF6">
        <w:rPr>
          <w:rFonts w:eastAsia="Calibri"/>
          <w:color w:val="000000" w:themeColor="text1"/>
          <w:lang w:eastAsia="en-US"/>
        </w:rPr>
        <w:fldChar w:fldCharType="begin"/>
      </w:r>
      <w:r w:rsidRPr="006650CB">
        <w:rPr>
          <w:rFonts w:eastAsia="Calibri"/>
          <w:color w:val="000000" w:themeColor="text1"/>
          <w:lang w:eastAsia="en-US"/>
        </w:rPr>
        <w:instrText xml:space="preserve"> REF _Ref55463429 \h  \* MERGEFORMAT </w:instrText>
      </w:r>
      <w:r w:rsidRPr="00531EF6">
        <w:rPr>
          <w:rFonts w:eastAsia="Calibri"/>
          <w:color w:val="000000" w:themeColor="text1"/>
          <w:lang w:eastAsia="en-US"/>
        </w:rPr>
      </w:r>
      <w:r w:rsidRPr="00531EF6">
        <w:rPr>
          <w:rFonts w:eastAsia="Calibri"/>
          <w:color w:val="000000" w:themeColor="text1"/>
          <w:lang w:eastAsia="en-US"/>
        </w:rPr>
        <w:fldChar w:fldCharType="separate"/>
      </w:r>
      <w:r w:rsidR="008D278D" w:rsidRPr="008D278D">
        <w:rPr>
          <w:rFonts w:eastAsia="Calibri"/>
          <w:color w:val="000000" w:themeColor="text1"/>
          <w:lang w:eastAsia="en-US"/>
        </w:rPr>
        <w:t>Suppression of small sample sizes</w:t>
      </w:r>
      <w:r w:rsidRPr="00531EF6">
        <w:rPr>
          <w:rFonts w:eastAsia="Calibri"/>
          <w:color w:val="000000" w:themeColor="text1"/>
          <w:lang w:eastAsia="en-US"/>
        </w:rPr>
        <w:fldChar w:fldCharType="end"/>
      </w:r>
      <w:r w:rsidRPr="006650CB">
        <w:rPr>
          <w:rFonts w:eastAsia="Calibri"/>
          <w:color w:val="000000" w:themeColor="text1"/>
          <w:lang w:eastAsia="en-US"/>
        </w:rPr>
        <w:t>’ in ‘</w:t>
      </w:r>
      <w:r w:rsidRPr="006650CB">
        <w:rPr>
          <w:rFonts w:eastAsia="Calibri"/>
          <w:color w:val="000000" w:themeColor="text1"/>
          <w:shd w:val="clear" w:color="auto" w:fill="E6E6E6"/>
          <w:lang w:eastAsia="en-US"/>
        </w:rPr>
        <w:fldChar w:fldCharType="begin"/>
      </w:r>
      <w:r w:rsidRPr="006650CB">
        <w:rPr>
          <w:rFonts w:eastAsia="Calibri"/>
          <w:color w:val="000000" w:themeColor="text1"/>
          <w:lang w:eastAsia="en-US"/>
        </w:rPr>
        <w:instrText xml:space="preserve"> REF _Ref118737259 \h </w:instrText>
      </w:r>
      <w:r w:rsidR="006C4CD6" w:rsidRPr="006650CB">
        <w:rPr>
          <w:rFonts w:eastAsia="Calibri"/>
          <w:color w:val="000000" w:themeColor="text1"/>
          <w:lang w:eastAsia="en-US"/>
        </w:rPr>
        <w:instrText xml:space="preserve"> \* MERGEFORMAT </w:instrText>
      </w:r>
      <w:r w:rsidRPr="006650CB">
        <w:rPr>
          <w:rFonts w:eastAsia="Calibri"/>
          <w:color w:val="000000" w:themeColor="text1"/>
          <w:shd w:val="clear" w:color="auto" w:fill="E6E6E6"/>
          <w:lang w:eastAsia="en-US"/>
        </w:rPr>
      </w:r>
      <w:r w:rsidRPr="006650CB">
        <w:rPr>
          <w:rFonts w:eastAsia="Calibri"/>
          <w:color w:val="000000" w:themeColor="text1"/>
          <w:shd w:val="clear" w:color="auto" w:fill="E6E6E6"/>
          <w:lang w:eastAsia="en-US"/>
        </w:rPr>
        <w:fldChar w:fldCharType="separate"/>
      </w:r>
      <w:r w:rsidR="008D278D" w:rsidRPr="008D278D">
        <w:rPr>
          <w:color w:val="000000" w:themeColor="text1"/>
        </w:rPr>
        <w:t>Analysis methods</w:t>
      </w:r>
      <w:r w:rsidRPr="006650CB">
        <w:rPr>
          <w:rFonts w:eastAsia="Calibri"/>
          <w:color w:val="000000" w:themeColor="text1"/>
          <w:shd w:val="clear" w:color="auto" w:fill="E6E6E6"/>
          <w:lang w:eastAsia="en-US"/>
        </w:rPr>
        <w:fldChar w:fldCharType="end"/>
      </w:r>
      <w:r w:rsidRPr="006650CB">
        <w:rPr>
          <w:rFonts w:eastAsia="Calibri"/>
          <w:color w:val="000000" w:themeColor="text1"/>
          <w:lang w:eastAsia="en-US"/>
        </w:rPr>
        <w:t>’ above). Also, some results</w:t>
      </w:r>
      <w:r w:rsidR="006A3987" w:rsidRPr="006650CB">
        <w:rPr>
          <w:rFonts w:eastAsia="Calibri"/>
          <w:color w:val="000000" w:themeColor="text1"/>
          <w:lang w:eastAsia="en-US"/>
        </w:rPr>
        <w:t xml:space="preserve"> in the Annual Data Explorer</w:t>
      </w:r>
      <w:r w:rsidRPr="006650CB">
        <w:rPr>
          <w:rFonts w:eastAsia="Calibri"/>
          <w:color w:val="000000" w:themeColor="text1"/>
          <w:lang w:eastAsia="en-US"/>
        </w:rPr>
        <w:t xml:space="preserve"> are flagged as 'e’ because the RSE is 31–100%, indicating that the estimates are less precise and should be interpreted with caution.</w:t>
      </w:r>
    </w:p>
    <w:p w14:paraId="4C1119A4" w14:textId="77777777" w:rsidR="002E7A95" w:rsidRPr="006650CB" w:rsidRDefault="002E7A95" w:rsidP="002E7A95">
      <w:pPr>
        <w:rPr>
          <w:rFonts w:eastAsia="Calibri"/>
          <w:color w:val="000000" w:themeColor="text1"/>
          <w:lang w:eastAsia="en-US"/>
        </w:rPr>
      </w:pPr>
    </w:p>
    <w:p w14:paraId="1C433FD4" w14:textId="391D1CEF" w:rsidR="002E7A95" w:rsidRPr="006650CB" w:rsidRDefault="002E7A95" w:rsidP="002E7A95">
      <w:pPr>
        <w:rPr>
          <w:rFonts w:eastAsia="Calibri"/>
          <w:color w:val="000000" w:themeColor="text1"/>
        </w:rPr>
      </w:pPr>
      <w:r w:rsidRPr="006650CB">
        <w:rPr>
          <w:rFonts w:eastAsia="Calibri"/>
          <w:color w:val="000000" w:themeColor="text1"/>
        </w:rPr>
        <w:t xml:space="preserve">The desired mode of data collection for the NZHS is a face-to-face interview in the respondent’s home. In the 2022/23 NZHS, about 3% of the survey respondents were interviewed via CAVI instead of a face-to-face survey. These CAVI interviews were done when a specific household preferred not to have the interviewer in the house because of COVID-19 risks. The method replicated the in-person experience as much as possible and included a video call with the interviewer that involved all the same showcards and visual guides as the in-person version. </w:t>
      </w:r>
    </w:p>
    <w:p w14:paraId="5AF45B1E" w14:textId="77777777" w:rsidR="002E7A95" w:rsidRPr="006650CB" w:rsidRDefault="002E7A95" w:rsidP="002E7A95">
      <w:pPr>
        <w:pStyle w:val="PlainText"/>
        <w:rPr>
          <w:rFonts w:ascii="Segoe UI" w:eastAsia="Calibri" w:hAnsi="Segoe UI" w:cs="Segoe UI"/>
          <w:color w:val="000000" w:themeColor="text1"/>
          <w:sz w:val="21"/>
        </w:rPr>
      </w:pPr>
    </w:p>
    <w:p w14:paraId="6B586317" w14:textId="64711CBA" w:rsidR="002E7A95" w:rsidRPr="00390AA7" w:rsidRDefault="002E7A95" w:rsidP="002E7A95">
      <w:pPr>
        <w:pStyle w:val="PlainText"/>
        <w:rPr>
          <w:rFonts w:ascii="Segoe UI" w:eastAsia="Calibri" w:hAnsi="Segoe UI" w:cs="Segoe UI"/>
          <w:color w:val="000000" w:themeColor="text1"/>
          <w:sz w:val="21"/>
        </w:rPr>
      </w:pPr>
      <w:r w:rsidRPr="006650CB">
        <w:rPr>
          <w:rFonts w:ascii="Segoe UI" w:eastAsia="Calibri" w:hAnsi="Segoe UI" w:cs="Segoe UI"/>
          <w:color w:val="000000" w:themeColor="text1"/>
          <w:sz w:val="21"/>
        </w:rPr>
        <w:t xml:space="preserve">For more information </w:t>
      </w:r>
      <w:r w:rsidR="001E4988" w:rsidRPr="006650CB">
        <w:rPr>
          <w:rFonts w:ascii="Segoe UI" w:eastAsia="Calibri" w:hAnsi="Segoe UI" w:cs="Segoe UI"/>
          <w:color w:val="000000" w:themeColor="text1"/>
          <w:sz w:val="21"/>
        </w:rPr>
        <w:t>about how</w:t>
      </w:r>
      <w:r w:rsidRPr="006650CB">
        <w:rPr>
          <w:rFonts w:ascii="Segoe UI" w:eastAsia="Calibri" w:hAnsi="Segoe UI" w:cs="Segoe UI"/>
          <w:color w:val="000000" w:themeColor="text1"/>
          <w:sz w:val="21"/>
        </w:rPr>
        <w:t xml:space="preserve"> CAVI interviewing </w:t>
      </w:r>
      <w:r w:rsidR="001E4988" w:rsidRPr="006650CB">
        <w:rPr>
          <w:rFonts w:ascii="Segoe UI" w:eastAsia="Calibri" w:hAnsi="Segoe UI" w:cs="Segoe UI"/>
          <w:color w:val="000000" w:themeColor="text1"/>
          <w:sz w:val="21"/>
        </w:rPr>
        <w:t xml:space="preserve">has been used </w:t>
      </w:r>
      <w:r w:rsidRPr="006650CB">
        <w:rPr>
          <w:rFonts w:ascii="Segoe UI" w:eastAsia="Calibri" w:hAnsi="Segoe UI" w:cs="Segoe UI"/>
          <w:color w:val="000000" w:themeColor="text1"/>
          <w:sz w:val="21"/>
        </w:rPr>
        <w:t xml:space="preserve">in the NZHS, see </w:t>
      </w:r>
      <w:r w:rsidRPr="006650CB">
        <w:rPr>
          <w:rFonts w:ascii="Segoe UI" w:eastAsia="Calibri" w:hAnsi="Segoe UI" w:cs="Segoe UI"/>
          <w:i/>
          <w:iCs/>
          <w:color w:val="000000" w:themeColor="text1"/>
          <w:sz w:val="21"/>
        </w:rPr>
        <w:t>Methodology Report</w:t>
      </w:r>
      <w:r w:rsidR="004A3A5D" w:rsidRPr="006650CB">
        <w:rPr>
          <w:rFonts w:ascii="Segoe UI" w:eastAsia="Calibri" w:hAnsi="Segoe UI" w:cs="Segoe UI"/>
          <w:i/>
          <w:iCs/>
          <w:color w:val="000000" w:themeColor="text1"/>
          <w:sz w:val="21"/>
        </w:rPr>
        <w:t xml:space="preserve"> 2021/22</w:t>
      </w:r>
      <w:r w:rsidR="004D6E9F" w:rsidRPr="006650CB">
        <w:rPr>
          <w:rFonts w:ascii="Segoe UI" w:eastAsia="Calibri" w:hAnsi="Segoe UI" w:cs="Segoe UI"/>
          <w:color w:val="000000" w:themeColor="text1"/>
          <w:sz w:val="21"/>
        </w:rPr>
        <w:t xml:space="preserve"> (Ministry of Health 2022)</w:t>
      </w:r>
      <w:r w:rsidRPr="006650CB">
        <w:rPr>
          <w:rFonts w:ascii="Segoe UI" w:eastAsia="Calibri" w:hAnsi="Segoe UI" w:cs="Segoe UI"/>
          <w:color w:val="000000" w:themeColor="text1"/>
          <w:sz w:val="21"/>
        </w:rPr>
        <w:t>.</w:t>
      </w:r>
    </w:p>
    <w:p w14:paraId="4104FC86" w14:textId="2A7C3F0F" w:rsidR="002E7A95" w:rsidRPr="00390AA7" w:rsidRDefault="002E7A95" w:rsidP="004366B7">
      <w:pPr>
        <w:rPr>
          <w:rFonts w:cs="Segoe UI"/>
          <w:lang w:eastAsia="en-US"/>
        </w:rPr>
      </w:pPr>
    </w:p>
    <w:p w14:paraId="1BDCD0C5" w14:textId="77777777" w:rsidR="002E7A95" w:rsidRPr="00390AA7" w:rsidRDefault="002E7A95" w:rsidP="002E7A95">
      <w:pPr>
        <w:rPr>
          <w:rFonts w:eastAsia="Segoe UI" w:cs="Segoe UI"/>
          <w:color w:val="000000" w:themeColor="text1"/>
          <w:szCs w:val="21"/>
        </w:rPr>
      </w:pPr>
      <w:r w:rsidRPr="00390AA7">
        <w:rPr>
          <w:rFonts w:cs="Segoe UI"/>
          <w:color w:val="000000" w:themeColor="text1"/>
        </w:rPr>
        <w:t xml:space="preserve">Another impact of the ongoing data collection disruptions was the lower response rates (weighted) for </w:t>
      </w:r>
      <w:r w:rsidRPr="00390AA7">
        <w:rPr>
          <w:rFonts w:eastAsia="Calibri" w:cs="Segoe UI"/>
          <w:color w:val="000000" w:themeColor="text1"/>
          <w:lang w:eastAsia="en-US"/>
        </w:rPr>
        <w:t xml:space="preserve">2022/23 </w:t>
      </w:r>
      <w:r w:rsidRPr="00390AA7">
        <w:rPr>
          <w:rFonts w:cs="Segoe UI"/>
          <w:color w:val="000000" w:themeColor="text1"/>
        </w:rPr>
        <w:t>compared with pre-COVID years (See the ‘Response rates’ section below), however response rates for 2022/23 recovered significantly compared with 2021/22. The main factors underpinning the lower response rate</w:t>
      </w:r>
      <w:r w:rsidRPr="00390AA7">
        <w:rPr>
          <w:rFonts w:eastAsia="Segoe UI" w:cs="Segoe UI"/>
          <w:color w:val="000000" w:themeColor="text1"/>
          <w:szCs w:val="21"/>
        </w:rPr>
        <w:t xml:space="preserve"> in 2022/23 included:</w:t>
      </w:r>
    </w:p>
    <w:p w14:paraId="0141E4D8" w14:textId="77777777" w:rsidR="002E7A95" w:rsidRPr="00390AA7" w:rsidRDefault="002E7A95" w:rsidP="00B16B0F">
      <w:pPr>
        <w:pStyle w:val="Bullet"/>
      </w:pPr>
      <w:r w:rsidRPr="00390AA7">
        <w:rPr>
          <w:rFonts w:eastAsia="Segoe UI"/>
        </w:rPr>
        <w:t>difficulty in making contact with respondents,</w:t>
      </w:r>
      <w:r w:rsidRPr="00390AA7">
        <w:t xml:space="preserve"> </w:t>
      </w:r>
    </w:p>
    <w:p w14:paraId="57F4ECB0" w14:textId="77777777" w:rsidR="002E7A95" w:rsidRPr="00390AA7" w:rsidRDefault="002E7A95" w:rsidP="00B16B0F">
      <w:pPr>
        <w:pStyle w:val="Bullet"/>
      </w:pPr>
      <w:r w:rsidRPr="00390AA7">
        <w:t>interviewer workforce shortages,</w:t>
      </w:r>
    </w:p>
    <w:p w14:paraId="6A28FAF2" w14:textId="2D884CD6" w:rsidR="002E7A95" w:rsidRPr="00390AA7" w:rsidRDefault="002E7A95" w:rsidP="00B16B0F">
      <w:pPr>
        <w:pStyle w:val="Bullet"/>
      </w:pPr>
      <w:r w:rsidRPr="00390AA7">
        <w:t xml:space="preserve">reluctance from the general public to participate in the survey, </w:t>
      </w:r>
    </w:p>
    <w:p w14:paraId="41300781" w14:textId="0CCC5EC5" w:rsidR="002E7A95" w:rsidRPr="00390AA7" w:rsidRDefault="002E7A95" w:rsidP="00B16B0F">
      <w:pPr>
        <w:pStyle w:val="Bullet"/>
      </w:pPr>
      <w:r w:rsidRPr="00390AA7">
        <w:t>inability to access certain areas due to Cyclone Gabrielle.</w:t>
      </w:r>
    </w:p>
    <w:p w14:paraId="10F4582D" w14:textId="77777777" w:rsidR="004366B7" w:rsidRPr="00390AA7" w:rsidRDefault="004366B7" w:rsidP="004366B7">
      <w:pPr>
        <w:pStyle w:val="Heading2"/>
      </w:pPr>
      <w:bookmarkStart w:id="406" w:name="_Toc467491552"/>
      <w:bookmarkStart w:id="407" w:name="_Toc531762369"/>
      <w:bookmarkStart w:id="408" w:name="_Toc531783726"/>
      <w:bookmarkStart w:id="409" w:name="_Toc22887958"/>
      <w:bookmarkStart w:id="410" w:name="_Toc55206867"/>
      <w:bookmarkStart w:id="411" w:name="_Toc88752058"/>
      <w:bookmarkStart w:id="412" w:name="_Toc153259106"/>
      <w:bookmarkStart w:id="413" w:name="_Toc339270041"/>
      <w:bookmarkStart w:id="414" w:name="_Toc340501956"/>
      <w:bookmarkStart w:id="415" w:name="_Toc372445576"/>
      <w:bookmarkStart w:id="416" w:name="_Toc403044031"/>
      <w:r w:rsidRPr="00390AA7">
        <w:t>Response rates</w:t>
      </w:r>
      <w:bookmarkEnd w:id="406"/>
      <w:bookmarkEnd w:id="407"/>
      <w:bookmarkEnd w:id="408"/>
      <w:bookmarkEnd w:id="409"/>
      <w:bookmarkEnd w:id="410"/>
      <w:bookmarkEnd w:id="411"/>
      <w:bookmarkEnd w:id="412"/>
    </w:p>
    <w:p w14:paraId="08E77D29" w14:textId="5D7DF921" w:rsidR="004366B7" w:rsidRPr="00390AA7" w:rsidRDefault="004366B7" w:rsidP="004366B7">
      <w:bookmarkStart w:id="417" w:name="_Hlk22820264"/>
      <w:r w:rsidRPr="00390AA7">
        <w:t xml:space="preserve">The </w:t>
      </w:r>
      <w:r w:rsidRPr="00390AA7">
        <w:rPr>
          <w:rFonts w:eastAsia="Calibri"/>
          <w:lang w:eastAsia="en-US"/>
        </w:rPr>
        <w:t>202</w:t>
      </w:r>
      <w:r w:rsidR="00B4489A" w:rsidRPr="00390AA7">
        <w:rPr>
          <w:rFonts w:eastAsia="Calibri"/>
          <w:lang w:eastAsia="en-US"/>
        </w:rPr>
        <w:t>2</w:t>
      </w:r>
      <w:r w:rsidRPr="00390AA7">
        <w:rPr>
          <w:rFonts w:eastAsia="Calibri"/>
          <w:lang w:eastAsia="en-US"/>
        </w:rPr>
        <w:t>/2</w:t>
      </w:r>
      <w:r w:rsidR="00B4489A" w:rsidRPr="00390AA7">
        <w:rPr>
          <w:rFonts w:eastAsia="Calibri"/>
          <w:lang w:eastAsia="en-US"/>
        </w:rPr>
        <w:t>3</w:t>
      </w:r>
      <w:r w:rsidRPr="00390AA7">
        <w:rPr>
          <w:rFonts w:eastAsia="Calibri"/>
          <w:lang w:eastAsia="en-US"/>
        </w:rPr>
        <w:t xml:space="preserve"> </w:t>
      </w:r>
      <w:r w:rsidRPr="00390AA7">
        <w:t xml:space="preserve">weighted response rate was </w:t>
      </w:r>
      <w:r w:rsidR="00B4489A" w:rsidRPr="00A56E07">
        <w:t>71</w:t>
      </w:r>
      <w:r w:rsidRPr="00A56E07">
        <w:t xml:space="preserve">% for adults and </w:t>
      </w:r>
      <w:r w:rsidR="00B4489A" w:rsidRPr="00A56E07">
        <w:t>67</w:t>
      </w:r>
      <w:r w:rsidRPr="00A56E07">
        <w:t>%</w:t>
      </w:r>
      <w:r w:rsidRPr="00A56E07" w:rsidDel="00EB512E">
        <w:t xml:space="preserve"> </w:t>
      </w:r>
      <w:r w:rsidRPr="00A56E07">
        <w:t>for children</w:t>
      </w:r>
      <w:r w:rsidRPr="00390AA7">
        <w:t xml:space="preserve">. </w:t>
      </w:r>
    </w:p>
    <w:p w14:paraId="16AC83C4" w14:textId="77777777" w:rsidR="004563A6" w:rsidRPr="00390AA7" w:rsidRDefault="004563A6" w:rsidP="004366B7"/>
    <w:p w14:paraId="33B933F6" w14:textId="04CEE14B" w:rsidR="004366B7" w:rsidRPr="00390AA7" w:rsidRDefault="004366B7" w:rsidP="004366B7">
      <w:pPr>
        <w:rPr>
          <w:rFonts w:eastAsia="Calibri"/>
          <w:lang w:eastAsia="en-US"/>
        </w:rPr>
      </w:pPr>
      <w:r w:rsidRPr="00390AA7">
        <w:rPr>
          <w:color w:val="2B579A"/>
          <w:shd w:val="clear" w:color="auto" w:fill="E6E6E6"/>
        </w:rPr>
        <w:fldChar w:fldCharType="begin"/>
      </w:r>
      <w:r w:rsidRPr="00390AA7">
        <w:instrText xml:space="preserve"> REF _Ref55463551 \h  \* MERGEFORMAT </w:instrText>
      </w:r>
      <w:r w:rsidRPr="00390AA7">
        <w:rPr>
          <w:color w:val="2B579A"/>
          <w:shd w:val="clear" w:color="auto" w:fill="E6E6E6"/>
        </w:rPr>
      </w:r>
      <w:r w:rsidRPr="00390AA7">
        <w:rPr>
          <w:color w:val="2B579A"/>
          <w:shd w:val="clear" w:color="auto" w:fill="E6E6E6"/>
        </w:rPr>
        <w:fldChar w:fldCharType="separate"/>
      </w:r>
      <w:r w:rsidR="008D278D" w:rsidRPr="00390AA7">
        <w:t xml:space="preserve">Figure </w:t>
      </w:r>
      <w:r w:rsidR="008D278D">
        <w:rPr>
          <w:noProof/>
        </w:rPr>
        <w:t>2</w:t>
      </w:r>
      <w:r w:rsidRPr="00390AA7">
        <w:rPr>
          <w:color w:val="2B579A"/>
          <w:shd w:val="clear" w:color="auto" w:fill="E6E6E6"/>
        </w:rPr>
        <w:fldChar w:fldCharType="end"/>
      </w:r>
      <w:r w:rsidRPr="00390AA7">
        <w:rPr>
          <w:lang w:eastAsia="en-US"/>
        </w:rPr>
        <w:t xml:space="preserve"> shows the time trend of response rates of adults and children from 2011/12 to the current survey year, </w:t>
      </w:r>
      <w:r w:rsidRPr="00390AA7">
        <w:rPr>
          <w:rFonts w:eastAsia="Calibri"/>
          <w:lang w:eastAsia="en-US"/>
        </w:rPr>
        <w:t>202</w:t>
      </w:r>
      <w:r w:rsidR="00FA6621" w:rsidRPr="00390AA7">
        <w:rPr>
          <w:rFonts w:eastAsia="Calibri"/>
          <w:lang w:eastAsia="en-US"/>
        </w:rPr>
        <w:t>2</w:t>
      </w:r>
      <w:r w:rsidRPr="00390AA7">
        <w:rPr>
          <w:rFonts w:eastAsia="Calibri"/>
          <w:lang w:eastAsia="en-US"/>
        </w:rPr>
        <w:t>/2</w:t>
      </w:r>
      <w:r w:rsidR="00FA6621" w:rsidRPr="00390AA7">
        <w:rPr>
          <w:rFonts w:eastAsia="Calibri"/>
          <w:lang w:eastAsia="en-US"/>
        </w:rPr>
        <w:t>3</w:t>
      </w:r>
      <w:bookmarkStart w:id="418" w:name="_Toc339270042"/>
      <w:bookmarkStart w:id="419" w:name="_Toc340501957"/>
      <w:bookmarkStart w:id="420" w:name="_Toc372445577"/>
      <w:bookmarkStart w:id="421" w:name="_Toc403044032"/>
      <w:bookmarkEnd w:id="405"/>
      <w:bookmarkEnd w:id="413"/>
      <w:bookmarkEnd w:id="414"/>
      <w:bookmarkEnd w:id="415"/>
      <w:bookmarkEnd w:id="416"/>
      <w:bookmarkEnd w:id="417"/>
      <w:r w:rsidRPr="00390AA7">
        <w:rPr>
          <w:rFonts w:eastAsia="Calibri"/>
          <w:lang w:eastAsia="en-US"/>
        </w:rPr>
        <w:t>.</w:t>
      </w:r>
    </w:p>
    <w:p w14:paraId="24BB4AC4" w14:textId="77777777" w:rsidR="004563A6" w:rsidRPr="00390AA7" w:rsidRDefault="004563A6" w:rsidP="004366B7">
      <w:pPr>
        <w:rPr>
          <w:lang w:eastAsia="en-US"/>
        </w:rPr>
      </w:pPr>
    </w:p>
    <w:p w14:paraId="630B2255" w14:textId="1A5E27F6" w:rsidR="004366B7" w:rsidRDefault="004366B7" w:rsidP="004563A6">
      <w:pPr>
        <w:pStyle w:val="Caption"/>
      </w:pPr>
      <w:bookmarkStart w:id="422" w:name="_Ref55463551"/>
      <w:bookmarkStart w:id="423" w:name="_Toc467491574"/>
      <w:bookmarkStart w:id="424" w:name="_Toc500050393"/>
      <w:bookmarkStart w:id="425" w:name="_Toc531762397"/>
      <w:bookmarkStart w:id="426" w:name="_Toc531766775"/>
      <w:bookmarkStart w:id="427" w:name="_Toc23857673"/>
      <w:bookmarkStart w:id="428" w:name="_Toc54962256"/>
      <w:bookmarkStart w:id="429" w:name="_Toc88038752"/>
      <w:bookmarkStart w:id="430" w:name="_Toc153259113"/>
      <w:r w:rsidRPr="00390AA7">
        <w:t xml:space="preserve">Figure </w:t>
      </w:r>
      <w:r>
        <w:fldChar w:fldCharType="begin"/>
      </w:r>
      <w:r>
        <w:instrText>SEQ Figure \* ARABIC</w:instrText>
      </w:r>
      <w:r>
        <w:fldChar w:fldCharType="separate"/>
      </w:r>
      <w:r w:rsidR="008D278D">
        <w:rPr>
          <w:noProof/>
        </w:rPr>
        <w:t>2</w:t>
      </w:r>
      <w:r>
        <w:fldChar w:fldCharType="end"/>
      </w:r>
      <w:bookmarkEnd w:id="422"/>
      <w:r w:rsidRPr="00390AA7">
        <w:t xml:space="preserve">: </w:t>
      </w:r>
      <w:r w:rsidRPr="00A56E07">
        <w:t>Response rates for adults and children, 2011/12 to 202</w:t>
      </w:r>
      <w:r w:rsidR="00050C9E" w:rsidRPr="00A56E07">
        <w:t>2</w:t>
      </w:r>
      <w:r w:rsidRPr="00A56E07">
        <w:t>/2</w:t>
      </w:r>
      <w:r w:rsidR="00050C9E" w:rsidRPr="00A56E07">
        <w:t>3</w:t>
      </w:r>
      <w:bookmarkEnd w:id="423"/>
      <w:bookmarkEnd w:id="424"/>
      <w:bookmarkEnd w:id="425"/>
      <w:bookmarkEnd w:id="426"/>
      <w:bookmarkEnd w:id="427"/>
      <w:bookmarkEnd w:id="428"/>
      <w:bookmarkEnd w:id="429"/>
      <w:bookmarkEnd w:id="430"/>
    </w:p>
    <w:p w14:paraId="01FA85EB" w14:textId="58229387" w:rsidR="00EE7AC4" w:rsidRPr="00EE7AC4" w:rsidRDefault="005B3225" w:rsidP="00EE7AC4">
      <w:pPr>
        <w:rPr>
          <w:rFonts w:eastAsia="Calibri"/>
        </w:rPr>
      </w:pPr>
      <w:r>
        <w:rPr>
          <w:noProof/>
        </w:rPr>
        <w:drawing>
          <wp:inline distT="0" distB="0" distL="0" distR="0" wp14:anchorId="2255F1CB" wp14:editId="0CD45734">
            <wp:extent cx="5133464" cy="2464904"/>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rotWithShape="1">
                    <a:blip r:embed="rId34">
                      <a:extLst>
                        <a:ext uri="{28A0092B-C50C-407E-A947-70E740481C1C}">
                          <a14:useLocalDpi xmlns:a14="http://schemas.microsoft.com/office/drawing/2010/main" val="0"/>
                        </a:ext>
                      </a:extLst>
                    </a:blip>
                    <a:srcRect l="5024" t="5222"/>
                    <a:stretch/>
                  </pic:blipFill>
                  <pic:spPr bwMode="auto">
                    <a:xfrm>
                      <a:off x="0" y="0"/>
                      <a:ext cx="5152728" cy="2474154"/>
                    </a:xfrm>
                    <a:prstGeom prst="rect">
                      <a:avLst/>
                    </a:prstGeom>
                    <a:noFill/>
                    <a:ln>
                      <a:noFill/>
                    </a:ln>
                    <a:extLst>
                      <a:ext uri="{53640926-AAD7-44D8-BBD7-CCE9431645EC}">
                        <a14:shadowObscured xmlns:a14="http://schemas.microsoft.com/office/drawing/2010/main"/>
                      </a:ext>
                    </a:extLst>
                  </pic:spPr>
                </pic:pic>
              </a:graphicData>
            </a:graphic>
          </wp:inline>
        </w:drawing>
      </w:r>
    </w:p>
    <w:p w14:paraId="1ACEA62A" w14:textId="176C850B" w:rsidR="004366B7" w:rsidRPr="00390AA7" w:rsidRDefault="004366B7" w:rsidP="004366B7">
      <w:pPr>
        <w:pStyle w:val="Heading2"/>
        <w:rPr>
          <w:lang w:eastAsia="en-NZ"/>
        </w:rPr>
      </w:pPr>
      <w:bookmarkStart w:id="431" w:name="_Toc467491553"/>
      <w:bookmarkStart w:id="432" w:name="_Toc531762370"/>
      <w:bookmarkStart w:id="433" w:name="_Toc531783727"/>
      <w:bookmarkStart w:id="434" w:name="_Toc22887959"/>
      <w:bookmarkStart w:id="435" w:name="_Toc55206868"/>
      <w:bookmarkStart w:id="436" w:name="_Toc88752059"/>
      <w:bookmarkStart w:id="437" w:name="_Toc153259107"/>
      <w:r w:rsidRPr="00390AA7">
        <w:t>Coverage rates</w:t>
      </w:r>
      <w:bookmarkEnd w:id="418"/>
      <w:bookmarkEnd w:id="419"/>
      <w:bookmarkEnd w:id="420"/>
      <w:bookmarkEnd w:id="421"/>
      <w:bookmarkEnd w:id="431"/>
      <w:bookmarkEnd w:id="432"/>
      <w:bookmarkEnd w:id="433"/>
      <w:bookmarkEnd w:id="434"/>
      <w:bookmarkEnd w:id="435"/>
      <w:bookmarkEnd w:id="436"/>
      <w:bookmarkEnd w:id="437"/>
    </w:p>
    <w:p w14:paraId="04C94F36" w14:textId="77777777" w:rsidR="004366B7" w:rsidRPr="00390AA7" w:rsidRDefault="004366B7" w:rsidP="004366B7">
      <w:pPr>
        <w:rPr>
          <w:lang w:eastAsia="en-US"/>
        </w:rPr>
      </w:pPr>
      <w:r w:rsidRPr="00390AA7">
        <w:rPr>
          <w:lang w:eastAsia="en-US"/>
        </w:rPr>
        <w:t xml:space="preserve">A coverage rate </w:t>
      </w:r>
      <w:r w:rsidRPr="00390AA7">
        <w:rPr>
          <w:rFonts w:cs="Arial"/>
          <w:color w:val="000000" w:themeColor="text1"/>
          <w:lang w:eastAsia="en-NZ"/>
        </w:rPr>
        <w:t xml:space="preserve">records the extent to which a population has been involved in a survey. It </w:t>
      </w:r>
      <w:r w:rsidRPr="00390AA7">
        <w:rPr>
          <w:rFonts w:cs="Arial"/>
          <w:lang w:eastAsia="en-US"/>
        </w:rPr>
        <w:t>provides information on</w:t>
      </w:r>
      <w:r w:rsidRPr="00390AA7">
        <w:rPr>
          <w:lang w:eastAsia="en-US"/>
        </w:rPr>
        <w:t xml:space="preserve"> the discrepancy between the responding sample (weighted by selection weight) and the population. The coverage rate is defined as the ratio of the sum of the selection weights for the survey respondents to the known external population size.</w:t>
      </w:r>
    </w:p>
    <w:p w14:paraId="39F075B4" w14:textId="77777777" w:rsidR="004366B7" w:rsidRPr="00390AA7" w:rsidRDefault="004366B7" w:rsidP="004366B7">
      <w:pPr>
        <w:rPr>
          <w:lang w:eastAsia="en-US"/>
        </w:rPr>
      </w:pPr>
    </w:p>
    <w:p w14:paraId="2DD8F1F7" w14:textId="459ADD29" w:rsidR="004366B7" w:rsidRPr="00390AA7" w:rsidRDefault="004366B7" w:rsidP="004366B7">
      <w:pPr>
        <w:rPr>
          <w:lang w:eastAsia="en-NZ"/>
        </w:rPr>
      </w:pPr>
      <w:r w:rsidRPr="00390AA7">
        <w:rPr>
          <w:lang w:eastAsia="en-US"/>
        </w:rPr>
        <w:t xml:space="preserve">In </w:t>
      </w:r>
      <w:r w:rsidRPr="00390AA7">
        <w:rPr>
          <w:rFonts w:eastAsia="Calibri"/>
          <w:lang w:eastAsia="en-US"/>
        </w:rPr>
        <w:t>202</w:t>
      </w:r>
      <w:r w:rsidR="00E0672C" w:rsidRPr="00390AA7">
        <w:rPr>
          <w:rFonts w:eastAsia="Calibri"/>
          <w:lang w:eastAsia="en-US"/>
        </w:rPr>
        <w:t>2</w:t>
      </w:r>
      <w:r w:rsidRPr="00390AA7">
        <w:rPr>
          <w:rFonts w:eastAsia="Calibri"/>
          <w:lang w:eastAsia="en-US"/>
        </w:rPr>
        <w:t>/2</w:t>
      </w:r>
      <w:r w:rsidR="00E0672C" w:rsidRPr="00390AA7">
        <w:rPr>
          <w:rFonts w:eastAsia="Calibri"/>
          <w:lang w:eastAsia="en-US"/>
        </w:rPr>
        <w:t>3</w:t>
      </w:r>
      <w:r w:rsidRPr="00390AA7">
        <w:rPr>
          <w:lang w:eastAsia="en-US"/>
        </w:rPr>
        <w:t xml:space="preserve">, the coverage rates were </w:t>
      </w:r>
      <w:r w:rsidR="00E0672C" w:rsidRPr="00531EF6">
        <w:rPr>
          <w:lang w:eastAsia="en-US"/>
        </w:rPr>
        <w:t>52</w:t>
      </w:r>
      <w:r w:rsidRPr="00531EF6">
        <w:rPr>
          <w:lang w:eastAsia="en-US"/>
        </w:rPr>
        <w:t xml:space="preserve">% for adults and </w:t>
      </w:r>
      <w:r w:rsidR="00E0672C" w:rsidRPr="00531EF6">
        <w:rPr>
          <w:lang w:eastAsia="en-US"/>
        </w:rPr>
        <w:t>56%</w:t>
      </w:r>
      <w:r w:rsidRPr="00531EF6">
        <w:rPr>
          <w:lang w:eastAsia="en-US"/>
        </w:rPr>
        <w:t xml:space="preserve"> for children</w:t>
      </w:r>
      <w:r w:rsidRPr="00390AA7">
        <w:rPr>
          <w:lang w:eastAsia="en-US"/>
        </w:rPr>
        <w:t xml:space="preserve">. </w:t>
      </w:r>
      <w:r w:rsidR="00430447" w:rsidRPr="00390AA7">
        <w:rPr>
          <w:color w:val="2B579A"/>
          <w:shd w:val="clear" w:color="auto" w:fill="E6E6E6"/>
        </w:rPr>
        <w:fldChar w:fldCharType="begin"/>
      </w:r>
      <w:r w:rsidR="00430447" w:rsidRPr="00390AA7">
        <w:instrText xml:space="preserve"> REF _Ref118738546 \h </w:instrText>
      </w:r>
      <w:r w:rsidR="00390AA7">
        <w:rPr>
          <w:color w:val="2B579A"/>
          <w:shd w:val="clear" w:color="auto" w:fill="E6E6E6"/>
        </w:rPr>
        <w:instrText xml:space="preserve"> \* MERGEFORMAT </w:instrText>
      </w:r>
      <w:r w:rsidR="00430447" w:rsidRPr="00390AA7">
        <w:rPr>
          <w:color w:val="2B579A"/>
          <w:shd w:val="clear" w:color="auto" w:fill="E6E6E6"/>
        </w:rPr>
      </w:r>
      <w:r w:rsidR="00430447" w:rsidRPr="00390AA7">
        <w:rPr>
          <w:color w:val="2B579A"/>
          <w:shd w:val="clear" w:color="auto" w:fill="E6E6E6"/>
        </w:rPr>
        <w:fldChar w:fldCharType="separate"/>
      </w:r>
      <w:r w:rsidR="008D278D" w:rsidRPr="00390AA7">
        <w:t xml:space="preserve">Figure </w:t>
      </w:r>
      <w:r w:rsidR="008D278D">
        <w:rPr>
          <w:noProof/>
        </w:rPr>
        <w:t>3</w:t>
      </w:r>
      <w:r w:rsidR="00430447" w:rsidRPr="00390AA7">
        <w:rPr>
          <w:color w:val="2B579A"/>
          <w:shd w:val="clear" w:color="auto" w:fill="E6E6E6"/>
        </w:rPr>
        <w:fldChar w:fldCharType="end"/>
      </w:r>
      <w:r w:rsidR="00430447" w:rsidRPr="00390AA7">
        <w:t xml:space="preserve"> </w:t>
      </w:r>
      <w:r w:rsidRPr="00390AA7">
        <w:rPr>
          <w:lang w:eastAsia="en-US"/>
        </w:rPr>
        <w:t xml:space="preserve">shows the time trend of coverage rates of adults and children from 2011/12 to the current survey year, </w:t>
      </w:r>
      <w:r w:rsidRPr="00390AA7">
        <w:rPr>
          <w:rFonts w:eastAsia="Calibri"/>
          <w:lang w:eastAsia="en-US"/>
        </w:rPr>
        <w:t>202</w:t>
      </w:r>
      <w:r w:rsidR="00FA6621" w:rsidRPr="00390AA7">
        <w:rPr>
          <w:rFonts w:eastAsia="Calibri"/>
          <w:lang w:eastAsia="en-US"/>
        </w:rPr>
        <w:t>2</w:t>
      </w:r>
      <w:r w:rsidRPr="00390AA7">
        <w:rPr>
          <w:rFonts w:eastAsia="Calibri"/>
          <w:lang w:eastAsia="en-US"/>
        </w:rPr>
        <w:t>/2</w:t>
      </w:r>
      <w:r w:rsidR="00FA6621" w:rsidRPr="00390AA7">
        <w:rPr>
          <w:rFonts w:eastAsia="Calibri"/>
          <w:lang w:eastAsia="en-US"/>
        </w:rPr>
        <w:t>3</w:t>
      </w:r>
      <w:r w:rsidRPr="00390AA7">
        <w:rPr>
          <w:lang w:eastAsia="en-US"/>
        </w:rPr>
        <w:t>.</w:t>
      </w:r>
    </w:p>
    <w:p w14:paraId="7DE52278" w14:textId="77777777" w:rsidR="00940407" w:rsidRPr="00390AA7" w:rsidRDefault="00940407" w:rsidP="005B0404">
      <w:bookmarkStart w:id="438" w:name="_Ref55463586"/>
      <w:bookmarkStart w:id="439" w:name="_Toc467491575"/>
      <w:bookmarkStart w:id="440" w:name="_Toc531762398"/>
      <w:bookmarkStart w:id="441" w:name="_Toc531766776"/>
      <w:bookmarkStart w:id="442" w:name="_Toc23857674"/>
      <w:bookmarkStart w:id="443" w:name="_Toc54962257"/>
      <w:bookmarkStart w:id="444" w:name="_Toc88038753"/>
    </w:p>
    <w:p w14:paraId="5908AEF6" w14:textId="1976197A" w:rsidR="004366B7" w:rsidRDefault="004366B7" w:rsidP="004563A6">
      <w:pPr>
        <w:pStyle w:val="Caption"/>
        <w:rPr>
          <w:lang w:eastAsia="en-US"/>
        </w:rPr>
      </w:pPr>
      <w:bookmarkStart w:id="445" w:name="_Ref118738546"/>
      <w:bookmarkStart w:id="446" w:name="_Toc153259114"/>
      <w:r w:rsidRPr="00390AA7">
        <w:t xml:space="preserve">Figure </w:t>
      </w:r>
      <w:r w:rsidRPr="00390AA7">
        <w:rPr>
          <w:color w:val="2B579A"/>
          <w:shd w:val="clear" w:color="auto" w:fill="E6E6E6"/>
        </w:rPr>
        <w:fldChar w:fldCharType="begin"/>
      </w:r>
      <w:r w:rsidRPr="00390AA7">
        <w:instrText>SEQ Figure \* ARABIC</w:instrText>
      </w:r>
      <w:r w:rsidRPr="00390AA7">
        <w:rPr>
          <w:color w:val="2B579A"/>
          <w:shd w:val="clear" w:color="auto" w:fill="E6E6E6"/>
        </w:rPr>
        <w:fldChar w:fldCharType="separate"/>
      </w:r>
      <w:r w:rsidR="008D278D">
        <w:rPr>
          <w:noProof/>
        </w:rPr>
        <w:t>3</w:t>
      </w:r>
      <w:r w:rsidRPr="00390AA7">
        <w:rPr>
          <w:color w:val="2B579A"/>
          <w:shd w:val="clear" w:color="auto" w:fill="E6E6E6"/>
        </w:rPr>
        <w:fldChar w:fldCharType="end"/>
      </w:r>
      <w:bookmarkEnd w:id="438"/>
      <w:bookmarkEnd w:id="445"/>
      <w:r w:rsidRPr="00390AA7">
        <w:rPr>
          <w:lang w:eastAsia="en-US"/>
        </w:rPr>
        <w:t xml:space="preserve">: </w:t>
      </w:r>
      <w:r w:rsidRPr="00BA28A1">
        <w:rPr>
          <w:lang w:eastAsia="en-US"/>
        </w:rPr>
        <w:t xml:space="preserve">Coverage rates for adults and children, 2011/12 to </w:t>
      </w:r>
      <w:bookmarkEnd w:id="439"/>
      <w:bookmarkEnd w:id="440"/>
      <w:bookmarkEnd w:id="441"/>
      <w:bookmarkEnd w:id="442"/>
      <w:bookmarkEnd w:id="443"/>
      <w:r w:rsidRPr="00BA28A1">
        <w:rPr>
          <w:lang w:eastAsia="en-US"/>
        </w:rPr>
        <w:t>202</w:t>
      </w:r>
      <w:r w:rsidR="00676B97" w:rsidRPr="00BA28A1">
        <w:rPr>
          <w:lang w:eastAsia="en-US"/>
        </w:rPr>
        <w:t>2</w:t>
      </w:r>
      <w:r w:rsidRPr="00BA28A1">
        <w:rPr>
          <w:lang w:eastAsia="en-US"/>
        </w:rPr>
        <w:t>/2</w:t>
      </w:r>
      <w:r w:rsidR="00676B97" w:rsidRPr="00BA28A1">
        <w:rPr>
          <w:lang w:eastAsia="en-US"/>
        </w:rPr>
        <w:t>3</w:t>
      </w:r>
      <w:bookmarkEnd w:id="444"/>
      <w:bookmarkEnd w:id="446"/>
    </w:p>
    <w:p w14:paraId="75D1C1EB" w14:textId="30372303" w:rsidR="00B37F8A" w:rsidRPr="00B37F8A" w:rsidRDefault="00830F53" w:rsidP="00B37F8A">
      <w:pPr>
        <w:rPr>
          <w:lang w:eastAsia="en-US"/>
        </w:rPr>
      </w:pPr>
      <w:r>
        <w:rPr>
          <w:noProof/>
          <w:lang w:eastAsia="en-US"/>
        </w:rPr>
        <w:drawing>
          <wp:inline distT="0" distB="0" distL="0" distR="0" wp14:anchorId="22CD7046" wp14:editId="49221146">
            <wp:extent cx="5121697" cy="2560320"/>
            <wp:effectExtent l="0" t="0" r="317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rotWithShape="1">
                    <a:blip r:embed="rId35">
                      <a:extLst>
                        <a:ext uri="{28A0092B-C50C-407E-A947-70E740481C1C}">
                          <a14:useLocalDpi xmlns:a14="http://schemas.microsoft.com/office/drawing/2010/main" val="0"/>
                        </a:ext>
                      </a:extLst>
                    </a:blip>
                    <a:srcRect l="2041"/>
                    <a:stretch/>
                  </pic:blipFill>
                  <pic:spPr bwMode="auto">
                    <a:xfrm>
                      <a:off x="0" y="0"/>
                      <a:ext cx="5128109" cy="2563525"/>
                    </a:xfrm>
                    <a:prstGeom prst="rect">
                      <a:avLst/>
                    </a:prstGeom>
                    <a:noFill/>
                    <a:ln>
                      <a:noFill/>
                    </a:ln>
                    <a:extLst>
                      <a:ext uri="{53640926-AAD7-44D8-BBD7-CCE9431645EC}">
                        <a14:shadowObscured xmlns:a14="http://schemas.microsoft.com/office/drawing/2010/main"/>
                      </a:ext>
                    </a:extLst>
                  </pic:spPr>
                </pic:pic>
              </a:graphicData>
            </a:graphic>
          </wp:inline>
        </w:drawing>
      </w:r>
    </w:p>
    <w:p w14:paraId="1D48008E" w14:textId="5EA7780F" w:rsidR="007245B7" w:rsidRPr="007245B7" w:rsidRDefault="007245B7" w:rsidP="007245B7">
      <w:pPr>
        <w:rPr>
          <w:lang w:eastAsia="en-US"/>
        </w:rPr>
      </w:pPr>
    </w:p>
    <w:p w14:paraId="4CFEAFE1" w14:textId="07466369" w:rsidR="004366B7" w:rsidRPr="00390AA7" w:rsidRDefault="00430447" w:rsidP="004366B7">
      <w:pPr>
        <w:keepNext/>
        <w:rPr>
          <w:lang w:eastAsia="en-US"/>
        </w:rPr>
      </w:pPr>
      <w:r w:rsidRPr="00390AA7">
        <w:rPr>
          <w:color w:val="2B579A"/>
          <w:shd w:val="clear" w:color="auto" w:fill="E6E6E6"/>
          <w:lang w:eastAsia="en-US"/>
        </w:rPr>
        <w:fldChar w:fldCharType="begin"/>
      </w:r>
      <w:r w:rsidRPr="00390AA7">
        <w:rPr>
          <w:lang w:eastAsia="en-US"/>
        </w:rPr>
        <w:instrText xml:space="preserve"> REF _Ref118738546 \h </w:instrText>
      </w:r>
      <w:r w:rsidR="00390AA7">
        <w:rPr>
          <w:color w:val="2B579A"/>
          <w:shd w:val="clear" w:color="auto" w:fill="E6E6E6"/>
          <w:lang w:eastAsia="en-US"/>
        </w:rPr>
        <w:instrText xml:space="preserve"> \* MERGEFORMAT </w:instrText>
      </w:r>
      <w:r w:rsidRPr="00390AA7">
        <w:rPr>
          <w:color w:val="2B579A"/>
          <w:shd w:val="clear" w:color="auto" w:fill="E6E6E6"/>
          <w:lang w:eastAsia="en-US"/>
        </w:rPr>
      </w:r>
      <w:r w:rsidRPr="00390AA7">
        <w:rPr>
          <w:color w:val="2B579A"/>
          <w:shd w:val="clear" w:color="auto" w:fill="E6E6E6"/>
          <w:lang w:eastAsia="en-US"/>
        </w:rPr>
        <w:fldChar w:fldCharType="separate"/>
      </w:r>
      <w:r w:rsidR="008D278D" w:rsidRPr="00390AA7">
        <w:t xml:space="preserve">Figure </w:t>
      </w:r>
      <w:r w:rsidR="008D278D">
        <w:rPr>
          <w:noProof/>
        </w:rPr>
        <w:t>3</w:t>
      </w:r>
      <w:r w:rsidRPr="00390AA7">
        <w:rPr>
          <w:color w:val="2B579A"/>
          <w:shd w:val="clear" w:color="auto" w:fill="E6E6E6"/>
          <w:lang w:eastAsia="en-US"/>
        </w:rPr>
        <w:fldChar w:fldCharType="end"/>
      </w:r>
      <w:r w:rsidRPr="00390AA7">
        <w:rPr>
          <w:lang w:eastAsia="en-US"/>
        </w:rPr>
        <w:t xml:space="preserve"> </w:t>
      </w:r>
      <w:r w:rsidR="004366B7" w:rsidRPr="00390AA7">
        <w:rPr>
          <w:lang w:eastAsia="en-US"/>
        </w:rPr>
        <w:t>shows that coverage rates for children have been higher compared to adults across all years since 2011/12, although the gap has closed in recent years.</w:t>
      </w:r>
    </w:p>
    <w:p w14:paraId="61AE185D" w14:textId="77777777" w:rsidR="004366B7" w:rsidRPr="00390AA7" w:rsidRDefault="004366B7" w:rsidP="004366B7">
      <w:pPr>
        <w:keepNext/>
        <w:rPr>
          <w:lang w:eastAsia="en-US"/>
        </w:rPr>
      </w:pPr>
    </w:p>
    <w:p w14:paraId="6EE98884" w14:textId="53B08F39" w:rsidR="004366B7" w:rsidRPr="00390AA7" w:rsidRDefault="004366B7" w:rsidP="004366B7">
      <w:pPr>
        <w:rPr>
          <w:lang w:eastAsia="en-US"/>
        </w:rPr>
      </w:pPr>
      <w:r w:rsidRPr="00390AA7">
        <w:rPr>
          <w:lang w:eastAsia="en-US"/>
        </w:rPr>
        <w:t xml:space="preserve">In </w:t>
      </w:r>
      <w:r w:rsidRPr="00390AA7">
        <w:rPr>
          <w:rFonts w:eastAsia="Calibri"/>
          <w:lang w:eastAsia="en-US"/>
        </w:rPr>
        <w:t>202</w:t>
      </w:r>
      <w:r w:rsidR="00FB089C" w:rsidRPr="00390AA7">
        <w:rPr>
          <w:rFonts w:eastAsia="Calibri"/>
          <w:lang w:eastAsia="en-US"/>
        </w:rPr>
        <w:t>2</w:t>
      </w:r>
      <w:r w:rsidRPr="00390AA7">
        <w:rPr>
          <w:rFonts w:eastAsia="Calibri"/>
          <w:lang w:eastAsia="en-US"/>
        </w:rPr>
        <w:t>/2</w:t>
      </w:r>
      <w:r w:rsidR="00FB089C" w:rsidRPr="00390AA7">
        <w:rPr>
          <w:rFonts w:eastAsia="Calibri"/>
          <w:lang w:eastAsia="en-US"/>
        </w:rPr>
        <w:t>3</w:t>
      </w:r>
      <w:r w:rsidRPr="00390AA7">
        <w:rPr>
          <w:lang w:eastAsia="en-US"/>
        </w:rPr>
        <w:t xml:space="preserve">, the coverage rates were </w:t>
      </w:r>
      <w:r w:rsidR="00FB089C" w:rsidRPr="00BC0022">
        <w:rPr>
          <w:lang w:eastAsia="en-US"/>
        </w:rPr>
        <w:t>44</w:t>
      </w:r>
      <w:r w:rsidRPr="00BC0022">
        <w:rPr>
          <w:lang w:eastAsia="en-US"/>
        </w:rPr>
        <w:t xml:space="preserve">% for Māori, </w:t>
      </w:r>
      <w:r w:rsidR="00FB089C" w:rsidRPr="00BC0022">
        <w:rPr>
          <w:lang w:eastAsia="en-US"/>
        </w:rPr>
        <w:t>5</w:t>
      </w:r>
      <w:r w:rsidR="00D42B23" w:rsidRPr="00BC0022">
        <w:rPr>
          <w:lang w:eastAsia="en-US"/>
        </w:rPr>
        <w:t>5</w:t>
      </w:r>
      <w:r w:rsidRPr="00BC0022">
        <w:rPr>
          <w:lang w:eastAsia="en-US"/>
        </w:rPr>
        <w:t>%</w:t>
      </w:r>
      <w:r w:rsidRPr="00BC0022" w:rsidDel="00C05C3A">
        <w:rPr>
          <w:lang w:eastAsia="en-US"/>
        </w:rPr>
        <w:t xml:space="preserve"> </w:t>
      </w:r>
      <w:r w:rsidRPr="00BC0022">
        <w:rPr>
          <w:lang w:eastAsia="en-US"/>
        </w:rPr>
        <w:t xml:space="preserve">for Pacific peoples and </w:t>
      </w:r>
      <w:r w:rsidR="00FB089C" w:rsidRPr="00BC0022">
        <w:rPr>
          <w:lang w:eastAsia="en-US"/>
        </w:rPr>
        <w:t>60</w:t>
      </w:r>
      <w:r w:rsidRPr="00BC0022">
        <w:rPr>
          <w:lang w:eastAsia="en-US"/>
        </w:rPr>
        <w:t>%</w:t>
      </w:r>
      <w:r w:rsidRPr="00BC0022" w:rsidDel="00C05C3A">
        <w:rPr>
          <w:lang w:eastAsia="en-US"/>
        </w:rPr>
        <w:t xml:space="preserve"> </w:t>
      </w:r>
      <w:r w:rsidRPr="00BC0022">
        <w:rPr>
          <w:lang w:eastAsia="en-US"/>
        </w:rPr>
        <w:t>for Asian people</w:t>
      </w:r>
      <w:r w:rsidRPr="00390AA7">
        <w:rPr>
          <w:lang w:eastAsia="en-US"/>
        </w:rPr>
        <w:t xml:space="preserve">. </w:t>
      </w:r>
      <w:r w:rsidRPr="00BC0022">
        <w:rPr>
          <w:lang w:eastAsia="en-US"/>
        </w:rPr>
        <w:fldChar w:fldCharType="begin"/>
      </w:r>
      <w:r w:rsidRPr="00390AA7">
        <w:rPr>
          <w:lang w:eastAsia="en-US"/>
        </w:rPr>
        <w:instrText xml:space="preserve"> REF _Ref55463618 \h  \* MERGEFORMAT </w:instrText>
      </w:r>
      <w:r w:rsidRPr="00BC0022">
        <w:rPr>
          <w:lang w:eastAsia="en-US"/>
        </w:rPr>
      </w:r>
      <w:r w:rsidRPr="00BC0022">
        <w:rPr>
          <w:lang w:eastAsia="en-US"/>
        </w:rPr>
        <w:fldChar w:fldCharType="separate"/>
      </w:r>
      <w:r w:rsidR="008D278D" w:rsidRPr="00390AA7">
        <w:rPr>
          <w:lang w:eastAsia="en-US"/>
        </w:rPr>
        <w:t xml:space="preserve">Figure </w:t>
      </w:r>
      <w:r w:rsidR="008D278D">
        <w:rPr>
          <w:lang w:eastAsia="en-US"/>
        </w:rPr>
        <w:t>4</w:t>
      </w:r>
      <w:r w:rsidRPr="00BC0022">
        <w:rPr>
          <w:lang w:eastAsia="en-US"/>
        </w:rPr>
        <w:fldChar w:fldCharType="end"/>
      </w:r>
      <w:r w:rsidRPr="00390AA7">
        <w:rPr>
          <w:lang w:eastAsia="en-US"/>
        </w:rPr>
        <w:t xml:space="preserve"> shows the time trend of coverage rates for the Māori, Pacific peoples and Asian ethnic groups from 2011/12 to the current survey year, </w:t>
      </w:r>
      <w:r w:rsidRPr="00390AA7">
        <w:rPr>
          <w:rFonts w:eastAsia="Calibri"/>
          <w:lang w:eastAsia="en-US"/>
        </w:rPr>
        <w:t>202</w:t>
      </w:r>
      <w:r w:rsidR="00C1135B" w:rsidRPr="00390AA7">
        <w:rPr>
          <w:rFonts w:eastAsia="Calibri"/>
          <w:lang w:eastAsia="en-US"/>
        </w:rPr>
        <w:t>2</w:t>
      </w:r>
      <w:r w:rsidRPr="00390AA7">
        <w:rPr>
          <w:rFonts w:eastAsia="Calibri"/>
          <w:lang w:eastAsia="en-US"/>
        </w:rPr>
        <w:t>/2</w:t>
      </w:r>
      <w:r w:rsidR="00C1135B" w:rsidRPr="00390AA7">
        <w:rPr>
          <w:rFonts w:eastAsia="Calibri"/>
          <w:lang w:eastAsia="en-US"/>
        </w:rPr>
        <w:t>3</w:t>
      </w:r>
      <w:r w:rsidRPr="00390AA7">
        <w:rPr>
          <w:lang w:eastAsia="en-US"/>
        </w:rPr>
        <w:t>.</w:t>
      </w:r>
    </w:p>
    <w:p w14:paraId="10271CE7" w14:textId="77777777" w:rsidR="004366B7" w:rsidRPr="00390AA7" w:rsidRDefault="004366B7" w:rsidP="004366B7">
      <w:pPr>
        <w:rPr>
          <w:lang w:eastAsia="en-US"/>
        </w:rPr>
      </w:pPr>
    </w:p>
    <w:p w14:paraId="478C8197" w14:textId="7517C8FB" w:rsidR="004366B7" w:rsidRDefault="004366B7" w:rsidP="004563A6">
      <w:pPr>
        <w:pStyle w:val="Caption"/>
        <w:rPr>
          <w:rFonts w:eastAsia="Calibri"/>
          <w:lang w:eastAsia="en-US"/>
        </w:rPr>
      </w:pPr>
      <w:bookmarkStart w:id="447" w:name="_Ref55463618"/>
      <w:bookmarkStart w:id="448" w:name="_Toc467491576"/>
      <w:bookmarkStart w:id="449" w:name="_Toc531762399"/>
      <w:bookmarkStart w:id="450" w:name="_Toc531766777"/>
      <w:bookmarkStart w:id="451" w:name="_Toc23857675"/>
      <w:bookmarkStart w:id="452" w:name="_Toc54962258"/>
      <w:bookmarkStart w:id="453" w:name="_Toc88038754"/>
      <w:bookmarkStart w:id="454" w:name="_Toc153259115"/>
      <w:r w:rsidRPr="00390AA7">
        <w:t xml:space="preserve">Figure </w:t>
      </w:r>
      <w:r w:rsidRPr="00390AA7">
        <w:rPr>
          <w:color w:val="2B579A"/>
          <w:shd w:val="clear" w:color="auto" w:fill="E6E6E6"/>
        </w:rPr>
        <w:fldChar w:fldCharType="begin"/>
      </w:r>
      <w:r w:rsidRPr="00390AA7">
        <w:instrText>SEQ Figure \* ARABIC</w:instrText>
      </w:r>
      <w:r w:rsidRPr="00390AA7">
        <w:rPr>
          <w:color w:val="2B579A"/>
          <w:shd w:val="clear" w:color="auto" w:fill="E6E6E6"/>
        </w:rPr>
        <w:fldChar w:fldCharType="separate"/>
      </w:r>
      <w:r w:rsidR="008D278D">
        <w:rPr>
          <w:noProof/>
        </w:rPr>
        <w:t>4</w:t>
      </w:r>
      <w:r w:rsidRPr="00390AA7">
        <w:rPr>
          <w:color w:val="2B579A"/>
          <w:shd w:val="clear" w:color="auto" w:fill="E6E6E6"/>
        </w:rPr>
        <w:fldChar w:fldCharType="end"/>
      </w:r>
      <w:bookmarkEnd w:id="447"/>
      <w:r w:rsidRPr="00390AA7">
        <w:rPr>
          <w:lang w:eastAsia="en-US"/>
        </w:rPr>
        <w:t xml:space="preserve">: </w:t>
      </w:r>
      <w:r w:rsidRPr="00BC0022">
        <w:rPr>
          <w:lang w:eastAsia="en-US"/>
        </w:rPr>
        <w:t xml:space="preserve">Coverage rates for Māori, Pacific peoples and Asian ethnic groups, 2011/12 to </w:t>
      </w:r>
      <w:r w:rsidRPr="00BC0022">
        <w:rPr>
          <w:rFonts w:eastAsia="Calibri"/>
          <w:lang w:eastAsia="en-US"/>
        </w:rPr>
        <w:t>202</w:t>
      </w:r>
      <w:r w:rsidR="004E5A0D" w:rsidRPr="00BC0022">
        <w:rPr>
          <w:rFonts w:eastAsia="Calibri"/>
          <w:lang w:eastAsia="en-US"/>
        </w:rPr>
        <w:t>2</w:t>
      </w:r>
      <w:r w:rsidRPr="00BC0022">
        <w:rPr>
          <w:rFonts w:eastAsia="Calibri"/>
          <w:lang w:eastAsia="en-US"/>
        </w:rPr>
        <w:t>/2</w:t>
      </w:r>
      <w:r w:rsidR="004E5A0D" w:rsidRPr="00BC0022">
        <w:rPr>
          <w:rFonts w:eastAsia="Calibri"/>
          <w:lang w:eastAsia="en-US"/>
        </w:rPr>
        <w:t>3</w:t>
      </w:r>
      <w:bookmarkEnd w:id="448"/>
      <w:bookmarkEnd w:id="449"/>
      <w:bookmarkEnd w:id="450"/>
      <w:bookmarkEnd w:id="451"/>
      <w:bookmarkEnd w:id="452"/>
      <w:bookmarkEnd w:id="453"/>
      <w:bookmarkEnd w:id="454"/>
    </w:p>
    <w:p w14:paraId="26E24262" w14:textId="047ED1AF" w:rsidR="00415EAC" w:rsidRPr="00415EAC" w:rsidRDefault="00415EAC" w:rsidP="00415EAC">
      <w:pPr>
        <w:rPr>
          <w:rFonts w:eastAsia="Calibri"/>
          <w:lang w:eastAsia="en-US"/>
        </w:rPr>
      </w:pPr>
      <w:r>
        <w:rPr>
          <w:rFonts w:eastAsia="Calibri"/>
          <w:noProof/>
          <w:lang w:eastAsia="en-US"/>
        </w:rPr>
        <w:drawing>
          <wp:inline distT="0" distB="0" distL="0" distR="0" wp14:anchorId="288B67F6" wp14:editId="3AFD8ACA">
            <wp:extent cx="5107180" cy="2456953"/>
            <wp:effectExtent l="0" t="0" r="0" b="63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rotWithShape="1">
                    <a:blip r:embed="rId36">
                      <a:extLst>
                        <a:ext uri="{28A0092B-C50C-407E-A947-70E740481C1C}">
                          <a14:useLocalDpi xmlns:a14="http://schemas.microsoft.com/office/drawing/2010/main" val="0"/>
                        </a:ext>
                      </a:extLst>
                    </a:blip>
                    <a:srcRect l="2198"/>
                    <a:stretch/>
                  </pic:blipFill>
                  <pic:spPr bwMode="auto">
                    <a:xfrm>
                      <a:off x="0" y="0"/>
                      <a:ext cx="5114388" cy="2460420"/>
                    </a:xfrm>
                    <a:prstGeom prst="rect">
                      <a:avLst/>
                    </a:prstGeom>
                    <a:noFill/>
                    <a:ln>
                      <a:noFill/>
                    </a:ln>
                    <a:extLst>
                      <a:ext uri="{53640926-AAD7-44D8-BBD7-CCE9431645EC}">
                        <a14:shadowObscured xmlns:a14="http://schemas.microsoft.com/office/drawing/2010/main"/>
                      </a:ext>
                    </a:extLst>
                  </pic:spPr>
                </pic:pic>
              </a:graphicData>
            </a:graphic>
          </wp:inline>
        </w:drawing>
      </w:r>
    </w:p>
    <w:p w14:paraId="2B61479E" w14:textId="407E354C" w:rsidR="007205BE" w:rsidRDefault="007205BE" w:rsidP="004366B7">
      <w:pPr>
        <w:rPr>
          <w:lang w:eastAsia="en-US"/>
        </w:rPr>
      </w:pPr>
    </w:p>
    <w:p w14:paraId="4CD32201" w14:textId="3DF93EA7" w:rsidR="004366B7" w:rsidRPr="00BC0022" w:rsidRDefault="004366B7" w:rsidP="004366B7">
      <w:pPr>
        <w:rPr>
          <w:color w:val="000000" w:themeColor="text1"/>
          <w:lang w:eastAsia="en-US"/>
        </w:rPr>
      </w:pPr>
      <w:r w:rsidRPr="00BC0022">
        <w:rPr>
          <w:lang w:eastAsia="en-US"/>
        </w:rPr>
        <w:t xml:space="preserve">In </w:t>
      </w:r>
      <w:r w:rsidRPr="00BC0022">
        <w:rPr>
          <w:rFonts w:eastAsia="Calibri"/>
          <w:lang w:eastAsia="en-US"/>
        </w:rPr>
        <w:t>202</w:t>
      </w:r>
      <w:r w:rsidR="00777629" w:rsidRPr="00BC0022">
        <w:rPr>
          <w:rFonts w:eastAsia="Calibri"/>
          <w:lang w:eastAsia="en-US"/>
        </w:rPr>
        <w:t>2</w:t>
      </w:r>
      <w:r w:rsidRPr="00BC0022">
        <w:rPr>
          <w:rFonts w:eastAsia="Calibri"/>
          <w:lang w:eastAsia="en-US"/>
        </w:rPr>
        <w:t>/2</w:t>
      </w:r>
      <w:r w:rsidR="00777629" w:rsidRPr="00BC0022">
        <w:rPr>
          <w:rFonts w:eastAsia="Calibri"/>
          <w:lang w:eastAsia="en-US"/>
        </w:rPr>
        <w:t>3</w:t>
      </w:r>
      <w:r w:rsidRPr="00BC0022">
        <w:rPr>
          <w:lang w:eastAsia="en-US"/>
        </w:rPr>
        <w:t xml:space="preserve">, the coverage rates for quintiles of neighbourhood deprivation were: </w:t>
      </w:r>
      <w:r w:rsidR="00F77026" w:rsidRPr="00BC0022">
        <w:rPr>
          <w:lang w:eastAsia="en-US"/>
        </w:rPr>
        <w:t>58</w:t>
      </w:r>
      <w:r w:rsidRPr="00BC0022">
        <w:rPr>
          <w:lang w:eastAsia="en-US"/>
        </w:rPr>
        <w:t>% (</w:t>
      </w:r>
      <w:bookmarkStart w:id="455" w:name="_Hlk54953424"/>
      <w:r w:rsidRPr="00BC0022">
        <w:rPr>
          <w:lang w:eastAsia="en-US"/>
        </w:rPr>
        <w:t xml:space="preserve">NZDep quintile </w:t>
      </w:r>
      <w:bookmarkEnd w:id="455"/>
      <w:r w:rsidRPr="00BC0022">
        <w:rPr>
          <w:lang w:eastAsia="en-US"/>
        </w:rPr>
        <w:t xml:space="preserve">1), </w:t>
      </w:r>
      <w:r w:rsidR="007E54BA" w:rsidRPr="00BC0022">
        <w:rPr>
          <w:lang w:eastAsia="en-US"/>
        </w:rPr>
        <w:t>57</w:t>
      </w:r>
      <w:r w:rsidRPr="00BC0022">
        <w:rPr>
          <w:lang w:eastAsia="en-US"/>
        </w:rPr>
        <w:t xml:space="preserve">% (NZDep quintile 2), </w:t>
      </w:r>
      <w:r w:rsidR="00777629" w:rsidRPr="00BC0022">
        <w:rPr>
          <w:lang w:eastAsia="en-US"/>
        </w:rPr>
        <w:t>53</w:t>
      </w:r>
      <w:r w:rsidRPr="00BC0022">
        <w:rPr>
          <w:lang w:eastAsia="en-US"/>
        </w:rPr>
        <w:t>% (NZDep quintile 3)</w:t>
      </w:r>
      <w:r w:rsidR="00777629" w:rsidRPr="00BC0022">
        <w:rPr>
          <w:lang w:eastAsia="en-US"/>
        </w:rPr>
        <w:t xml:space="preserve">, </w:t>
      </w:r>
      <w:r w:rsidR="007E54BA" w:rsidRPr="00BC0022">
        <w:rPr>
          <w:lang w:eastAsia="en-US"/>
        </w:rPr>
        <w:t>48</w:t>
      </w:r>
      <w:r w:rsidRPr="00BC0022">
        <w:rPr>
          <w:lang w:eastAsia="en-US"/>
        </w:rPr>
        <w:t xml:space="preserve">% (NZDep quintile 4) and </w:t>
      </w:r>
      <w:r w:rsidR="00437C24" w:rsidRPr="00BC0022">
        <w:rPr>
          <w:lang w:eastAsia="en-US"/>
        </w:rPr>
        <w:t>49</w:t>
      </w:r>
      <w:r w:rsidRPr="00BC0022">
        <w:rPr>
          <w:lang w:eastAsia="en-US"/>
        </w:rPr>
        <w:t xml:space="preserve">% (NZDep quintile 5). </w:t>
      </w:r>
      <w:r w:rsidR="00995119" w:rsidRPr="00BC0022">
        <w:rPr>
          <w:color w:val="2B579A"/>
          <w:shd w:val="clear" w:color="auto" w:fill="E6E6E6"/>
          <w:lang w:eastAsia="en-US"/>
        </w:rPr>
        <w:fldChar w:fldCharType="begin"/>
      </w:r>
      <w:r w:rsidR="00995119" w:rsidRPr="00BC0022">
        <w:rPr>
          <w:lang w:eastAsia="en-US"/>
        </w:rPr>
        <w:instrText xml:space="preserve"> REF _Ref118738255 \h </w:instrText>
      </w:r>
      <w:r w:rsidR="00BC0022">
        <w:rPr>
          <w:color w:val="2B579A"/>
          <w:shd w:val="clear" w:color="auto" w:fill="E6E6E6"/>
          <w:lang w:eastAsia="en-US"/>
        </w:rPr>
        <w:instrText xml:space="preserve"> \* MERGEFORMAT </w:instrText>
      </w:r>
      <w:r w:rsidR="00995119" w:rsidRPr="00BC0022">
        <w:rPr>
          <w:color w:val="2B579A"/>
          <w:shd w:val="clear" w:color="auto" w:fill="E6E6E6"/>
          <w:lang w:eastAsia="en-US"/>
        </w:rPr>
      </w:r>
      <w:r w:rsidR="00995119" w:rsidRPr="00BC0022">
        <w:rPr>
          <w:color w:val="2B579A"/>
          <w:shd w:val="clear" w:color="auto" w:fill="E6E6E6"/>
          <w:lang w:eastAsia="en-US"/>
        </w:rPr>
        <w:fldChar w:fldCharType="separate"/>
      </w:r>
      <w:r w:rsidR="008D278D" w:rsidRPr="00BC0022">
        <w:t xml:space="preserve">Figure </w:t>
      </w:r>
      <w:r w:rsidR="008D278D">
        <w:rPr>
          <w:noProof/>
        </w:rPr>
        <w:t>5</w:t>
      </w:r>
      <w:r w:rsidR="00995119" w:rsidRPr="00BC0022">
        <w:rPr>
          <w:color w:val="2B579A"/>
          <w:shd w:val="clear" w:color="auto" w:fill="E6E6E6"/>
          <w:lang w:eastAsia="en-US"/>
        </w:rPr>
        <w:fldChar w:fldCharType="end"/>
      </w:r>
      <w:r w:rsidR="00995119" w:rsidRPr="00BC0022">
        <w:rPr>
          <w:lang w:eastAsia="en-US"/>
        </w:rPr>
        <w:t xml:space="preserve"> </w:t>
      </w:r>
      <w:r w:rsidRPr="00BC0022">
        <w:rPr>
          <w:lang w:eastAsia="en-US"/>
        </w:rPr>
        <w:t xml:space="preserve">shows the time trend figures for NZDep quintile 1 to NZDep quintile 5 from 2011/12 to the current survey year, </w:t>
      </w:r>
      <w:r w:rsidRPr="00BC0022">
        <w:rPr>
          <w:rFonts w:eastAsia="Calibri"/>
          <w:color w:val="000000" w:themeColor="text1"/>
          <w:lang w:eastAsia="en-US"/>
        </w:rPr>
        <w:t>202</w:t>
      </w:r>
      <w:r w:rsidR="00C1135B" w:rsidRPr="00BC0022">
        <w:rPr>
          <w:rFonts w:eastAsia="Calibri"/>
          <w:color w:val="000000" w:themeColor="text1"/>
          <w:lang w:eastAsia="en-US"/>
        </w:rPr>
        <w:t>2</w:t>
      </w:r>
      <w:r w:rsidRPr="00BC0022">
        <w:rPr>
          <w:rFonts w:eastAsia="Calibri"/>
          <w:color w:val="000000" w:themeColor="text1"/>
          <w:lang w:eastAsia="en-US"/>
        </w:rPr>
        <w:t>/2</w:t>
      </w:r>
      <w:r w:rsidR="00C1135B" w:rsidRPr="00BC0022">
        <w:rPr>
          <w:rFonts w:eastAsia="Calibri"/>
          <w:color w:val="000000" w:themeColor="text1"/>
          <w:lang w:eastAsia="en-US"/>
        </w:rPr>
        <w:t>3</w:t>
      </w:r>
      <w:r w:rsidRPr="00BC0022">
        <w:rPr>
          <w:color w:val="000000" w:themeColor="text1"/>
          <w:lang w:eastAsia="en-US"/>
        </w:rPr>
        <w:t>.</w:t>
      </w:r>
    </w:p>
    <w:p w14:paraId="6ACD4428" w14:textId="5DC9F74F" w:rsidR="004366B7" w:rsidRDefault="004366B7" w:rsidP="004563A6">
      <w:pPr>
        <w:pStyle w:val="Caption"/>
        <w:rPr>
          <w:rFonts w:eastAsia="Calibri"/>
          <w:lang w:eastAsia="en-US"/>
        </w:rPr>
      </w:pPr>
      <w:bookmarkStart w:id="456" w:name="_Ref55463656"/>
      <w:bookmarkStart w:id="457" w:name="_Ref118738255"/>
      <w:bookmarkStart w:id="458" w:name="_Toc467491577"/>
      <w:bookmarkStart w:id="459" w:name="_Toc531762400"/>
      <w:bookmarkStart w:id="460" w:name="_Toc531766778"/>
      <w:bookmarkStart w:id="461" w:name="_Toc23857676"/>
      <w:bookmarkStart w:id="462" w:name="_Toc54962259"/>
      <w:bookmarkStart w:id="463" w:name="_Toc88038755"/>
      <w:bookmarkStart w:id="464" w:name="_Toc153259116"/>
      <w:r w:rsidRPr="00BC0022">
        <w:t xml:space="preserve">Figure </w:t>
      </w:r>
      <w:r w:rsidRPr="00BC0022">
        <w:rPr>
          <w:color w:val="2B579A"/>
          <w:shd w:val="clear" w:color="auto" w:fill="E6E6E6"/>
        </w:rPr>
        <w:fldChar w:fldCharType="begin"/>
      </w:r>
      <w:r w:rsidRPr="00BC0022">
        <w:instrText>SEQ Figure \* ARABIC</w:instrText>
      </w:r>
      <w:r w:rsidRPr="00BC0022">
        <w:rPr>
          <w:color w:val="2B579A"/>
          <w:shd w:val="clear" w:color="auto" w:fill="E6E6E6"/>
        </w:rPr>
        <w:fldChar w:fldCharType="separate"/>
      </w:r>
      <w:r w:rsidR="008D278D">
        <w:rPr>
          <w:noProof/>
        </w:rPr>
        <w:t>5</w:t>
      </w:r>
      <w:r w:rsidRPr="00BC0022">
        <w:rPr>
          <w:color w:val="2B579A"/>
          <w:shd w:val="clear" w:color="auto" w:fill="E6E6E6"/>
        </w:rPr>
        <w:fldChar w:fldCharType="end"/>
      </w:r>
      <w:bookmarkEnd w:id="456"/>
      <w:bookmarkEnd w:id="457"/>
      <w:r w:rsidRPr="00BC0022">
        <w:rPr>
          <w:lang w:eastAsia="en-US"/>
        </w:rPr>
        <w:t xml:space="preserve">: Coverage rates by </w:t>
      </w:r>
      <w:r w:rsidRPr="00BC0022">
        <w:t>New Zealand Index of Deprivation</w:t>
      </w:r>
      <w:r w:rsidRPr="00BC0022">
        <w:rPr>
          <w:lang w:eastAsia="en-US"/>
        </w:rPr>
        <w:t xml:space="preserve"> quintiles, 2011/12 to </w:t>
      </w:r>
      <w:r w:rsidRPr="00BC0022">
        <w:rPr>
          <w:rFonts w:eastAsia="Calibri"/>
          <w:lang w:eastAsia="en-US"/>
        </w:rPr>
        <w:t>202</w:t>
      </w:r>
      <w:r w:rsidR="00D71A7B" w:rsidRPr="00BC0022">
        <w:rPr>
          <w:rFonts w:eastAsia="Calibri"/>
          <w:lang w:eastAsia="en-US"/>
        </w:rPr>
        <w:t>2</w:t>
      </w:r>
      <w:r w:rsidRPr="00BC0022">
        <w:rPr>
          <w:rFonts w:eastAsia="Calibri"/>
          <w:lang w:eastAsia="en-US"/>
        </w:rPr>
        <w:t>/2</w:t>
      </w:r>
      <w:r w:rsidR="00D71A7B" w:rsidRPr="00BC0022">
        <w:rPr>
          <w:rFonts w:eastAsia="Calibri"/>
          <w:lang w:eastAsia="en-US"/>
        </w:rPr>
        <w:t>3</w:t>
      </w:r>
      <w:bookmarkEnd w:id="458"/>
      <w:bookmarkEnd w:id="459"/>
      <w:bookmarkEnd w:id="460"/>
      <w:bookmarkEnd w:id="461"/>
      <w:bookmarkEnd w:id="462"/>
      <w:bookmarkEnd w:id="463"/>
      <w:bookmarkEnd w:id="464"/>
    </w:p>
    <w:p w14:paraId="55F70DCF" w14:textId="54FFF95B" w:rsidR="00BC78E4" w:rsidRPr="00BC78E4" w:rsidRDefault="002D61A1" w:rsidP="00BC78E4">
      <w:pPr>
        <w:rPr>
          <w:rFonts w:eastAsia="Calibri"/>
          <w:lang w:eastAsia="en-US"/>
        </w:rPr>
      </w:pPr>
      <w:r>
        <w:rPr>
          <w:rFonts w:eastAsia="Calibri"/>
          <w:noProof/>
          <w:lang w:eastAsia="en-US"/>
        </w:rPr>
        <w:drawing>
          <wp:inline distT="0" distB="0" distL="0" distR="0" wp14:anchorId="7281E2D6" wp14:editId="1F6E3365">
            <wp:extent cx="5101951" cy="2425148"/>
            <wp:effectExtent l="0" t="0" r="381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rotWithShape="1">
                    <a:blip r:embed="rId37">
                      <a:extLst>
                        <a:ext uri="{28A0092B-C50C-407E-A947-70E740481C1C}">
                          <a14:useLocalDpi xmlns:a14="http://schemas.microsoft.com/office/drawing/2010/main" val="0"/>
                        </a:ext>
                      </a:extLst>
                    </a:blip>
                    <a:srcRect l="2512"/>
                    <a:stretch/>
                  </pic:blipFill>
                  <pic:spPr bwMode="auto">
                    <a:xfrm>
                      <a:off x="0" y="0"/>
                      <a:ext cx="5117923" cy="2432740"/>
                    </a:xfrm>
                    <a:prstGeom prst="rect">
                      <a:avLst/>
                    </a:prstGeom>
                    <a:noFill/>
                    <a:ln>
                      <a:noFill/>
                    </a:ln>
                    <a:extLst>
                      <a:ext uri="{53640926-AAD7-44D8-BBD7-CCE9431645EC}">
                        <a14:shadowObscured xmlns:a14="http://schemas.microsoft.com/office/drawing/2010/main"/>
                      </a:ext>
                    </a:extLst>
                  </pic:spPr>
                </pic:pic>
              </a:graphicData>
            </a:graphic>
          </wp:inline>
        </w:drawing>
      </w:r>
    </w:p>
    <w:p w14:paraId="3C8D9544" w14:textId="718BC191" w:rsidR="00B701F9" w:rsidRPr="00B701F9" w:rsidRDefault="00B701F9" w:rsidP="00B701F9">
      <w:pPr>
        <w:rPr>
          <w:rFonts w:eastAsia="Calibri"/>
          <w:lang w:eastAsia="en-US"/>
        </w:rPr>
      </w:pPr>
    </w:p>
    <w:p w14:paraId="670E2045" w14:textId="1931D967" w:rsidR="004366B7" w:rsidRPr="00390AA7" w:rsidRDefault="004366B7" w:rsidP="004366B7">
      <w:pPr>
        <w:rPr>
          <w:lang w:eastAsia="en-US"/>
        </w:rPr>
      </w:pPr>
      <w:r w:rsidRPr="00390AA7">
        <w:rPr>
          <w:color w:val="2B579A"/>
          <w:shd w:val="clear" w:color="auto" w:fill="E6E6E6"/>
          <w:lang w:eastAsia="en-US"/>
        </w:rPr>
        <w:fldChar w:fldCharType="begin"/>
      </w:r>
      <w:r w:rsidRPr="00390AA7">
        <w:rPr>
          <w:lang w:eastAsia="en-US"/>
        </w:rPr>
        <w:instrText xml:space="preserve"> REF _Ref339269048 \h  \* MERGEFORMAT </w:instrText>
      </w:r>
      <w:r w:rsidRPr="00390AA7">
        <w:rPr>
          <w:color w:val="2B579A"/>
          <w:shd w:val="clear" w:color="auto" w:fill="E6E6E6"/>
          <w:lang w:eastAsia="en-US"/>
        </w:rPr>
      </w:r>
      <w:r w:rsidRPr="00390AA7">
        <w:rPr>
          <w:color w:val="2B579A"/>
          <w:shd w:val="clear" w:color="auto" w:fill="E6E6E6"/>
          <w:lang w:eastAsia="en-US"/>
        </w:rPr>
        <w:fldChar w:fldCharType="separate"/>
      </w:r>
      <w:r w:rsidR="008D278D" w:rsidRPr="00390AA7">
        <w:t xml:space="preserve">Figure </w:t>
      </w:r>
      <w:r w:rsidR="008D278D">
        <w:rPr>
          <w:noProof/>
        </w:rPr>
        <w:t>6</w:t>
      </w:r>
      <w:r w:rsidRPr="00390AA7">
        <w:rPr>
          <w:color w:val="2B579A"/>
          <w:shd w:val="clear" w:color="auto" w:fill="E6E6E6"/>
          <w:lang w:eastAsia="en-US"/>
        </w:rPr>
        <w:fldChar w:fldCharType="end"/>
      </w:r>
      <w:r w:rsidRPr="00390AA7">
        <w:rPr>
          <w:lang w:eastAsia="en-US"/>
        </w:rPr>
        <w:t xml:space="preserve"> and</w:t>
      </w:r>
      <w:r w:rsidR="00995119" w:rsidRPr="00390AA7">
        <w:rPr>
          <w:lang w:eastAsia="en-US"/>
        </w:rPr>
        <w:t xml:space="preserve"> </w:t>
      </w:r>
      <w:r w:rsidR="00995119" w:rsidRPr="00390AA7">
        <w:rPr>
          <w:color w:val="2B579A"/>
          <w:shd w:val="clear" w:color="auto" w:fill="E6E6E6"/>
          <w:lang w:eastAsia="en-US"/>
        </w:rPr>
        <w:fldChar w:fldCharType="begin"/>
      </w:r>
      <w:r w:rsidR="00995119" w:rsidRPr="00390AA7">
        <w:rPr>
          <w:lang w:eastAsia="en-US"/>
        </w:rPr>
        <w:instrText xml:space="preserve"> REF _Ref118738275 \h </w:instrText>
      </w:r>
      <w:r w:rsidR="00995119" w:rsidRPr="00390AA7">
        <w:rPr>
          <w:color w:val="2B579A"/>
          <w:shd w:val="clear" w:color="auto" w:fill="E6E6E6"/>
          <w:lang w:eastAsia="en-US"/>
        </w:rPr>
      </w:r>
      <w:r w:rsidR="00995119" w:rsidRPr="00390AA7">
        <w:rPr>
          <w:color w:val="2B579A"/>
          <w:shd w:val="clear" w:color="auto" w:fill="E6E6E6"/>
          <w:lang w:eastAsia="en-US"/>
        </w:rPr>
        <w:fldChar w:fldCharType="separate"/>
      </w:r>
      <w:r w:rsidR="008D278D" w:rsidRPr="00390AA7">
        <w:t xml:space="preserve">Figure </w:t>
      </w:r>
      <w:r w:rsidR="008D278D">
        <w:rPr>
          <w:noProof/>
        </w:rPr>
        <w:t>7</w:t>
      </w:r>
      <w:r w:rsidR="00995119" w:rsidRPr="00390AA7">
        <w:rPr>
          <w:color w:val="2B579A"/>
          <w:shd w:val="clear" w:color="auto" w:fill="E6E6E6"/>
          <w:lang w:eastAsia="en-US"/>
        </w:rPr>
        <w:fldChar w:fldCharType="end"/>
      </w:r>
      <w:r w:rsidRPr="00390AA7">
        <w:rPr>
          <w:lang w:eastAsia="en-US"/>
        </w:rPr>
        <w:t xml:space="preserve"> show the coverage rates by age group and gender for </w:t>
      </w:r>
      <w:r w:rsidRPr="00390AA7">
        <w:rPr>
          <w:rFonts w:eastAsia="Calibri"/>
          <w:lang w:eastAsia="en-US"/>
        </w:rPr>
        <w:t>202</w:t>
      </w:r>
      <w:r w:rsidR="00AB68C5" w:rsidRPr="00390AA7">
        <w:rPr>
          <w:rFonts w:eastAsia="Calibri"/>
          <w:lang w:eastAsia="en-US"/>
        </w:rPr>
        <w:t>2</w:t>
      </w:r>
      <w:r w:rsidRPr="00390AA7">
        <w:rPr>
          <w:rFonts w:eastAsia="Calibri"/>
          <w:lang w:eastAsia="en-US"/>
        </w:rPr>
        <w:t>/2</w:t>
      </w:r>
      <w:r w:rsidR="00AB68C5" w:rsidRPr="00390AA7">
        <w:rPr>
          <w:rFonts w:eastAsia="Calibri"/>
          <w:lang w:eastAsia="en-US"/>
        </w:rPr>
        <w:t>3</w:t>
      </w:r>
      <w:r w:rsidRPr="00390AA7">
        <w:rPr>
          <w:rFonts w:eastAsia="Calibri"/>
          <w:lang w:eastAsia="en-US"/>
        </w:rPr>
        <w:t xml:space="preserve"> </w:t>
      </w:r>
      <w:r w:rsidRPr="00390AA7">
        <w:rPr>
          <w:lang w:eastAsia="en-US"/>
        </w:rPr>
        <w:t>for the total population and Māori respectively.</w:t>
      </w:r>
    </w:p>
    <w:p w14:paraId="23F8D58E" w14:textId="77777777" w:rsidR="004366B7" w:rsidRPr="00390AA7" w:rsidRDefault="004366B7" w:rsidP="004366B7">
      <w:pPr>
        <w:rPr>
          <w:lang w:eastAsia="en-US"/>
        </w:rPr>
      </w:pPr>
    </w:p>
    <w:p w14:paraId="1C255DF0" w14:textId="72C39122" w:rsidR="00776962" w:rsidRDefault="004366B7" w:rsidP="004563A6">
      <w:pPr>
        <w:pStyle w:val="Caption"/>
        <w:rPr>
          <w:rFonts w:eastAsia="Calibri"/>
          <w:lang w:eastAsia="en-US"/>
        </w:rPr>
      </w:pPr>
      <w:bookmarkStart w:id="465" w:name="_Ref339269048"/>
      <w:bookmarkStart w:id="466" w:name="_Ref339597124"/>
      <w:bookmarkStart w:id="467" w:name="_Toc339878406"/>
      <w:bookmarkStart w:id="468" w:name="_Toc372445593"/>
      <w:bookmarkStart w:id="469" w:name="_Toc403044053"/>
      <w:bookmarkStart w:id="470" w:name="_Toc467491578"/>
      <w:bookmarkStart w:id="471" w:name="_Toc531762401"/>
      <w:bookmarkStart w:id="472" w:name="_Toc531766779"/>
      <w:bookmarkStart w:id="473" w:name="_Toc23857677"/>
      <w:bookmarkStart w:id="474" w:name="_Toc54962260"/>
      <w:bookmarkStart w:id="475" w:name="_Toc88038756"/>
      <w:bookmarkStart w:id="476" w:name="_Toc153259117"/>
      <w:r w:rsidRPr="00390AA7">
        <w:t xml:space="preserve">Figure </w:t>
      </w:r>
      <w:r w:rsidRPr="00390AA7">
        <w:rPr>
          <w:color w:val="2B579A"/>
          <w:shd w:val="clear" w:color="auto" w:fill="E6E6E6"/>
        </w:rPr>
        <w:fldChar w:fldCharType="begin"/>
      </w:r>
      <w:r w:rsidRPr="00390AA7">
        <w:instrText>SEQ Figure \* ARABIC</w:instrText>
      </w:r>
      <w:r w:rsidRPr="00390AA7">
        <w:rPr>
          <w:color w:val="2B579A"/>
          <w:shd w:val="clear" w:color="auto" w:fill="E6E6E6"/>
        </w:rPr>
        <w:fldChar w:fldCharType="separate"/>
      </w:r>
      <w:r w:rsidR="008D278D">
        <w:rPr>
          <w:noProof/>
        </w:rPr>
        <w:t>6</w:t>
      </w:r>
      <w:r w:rsidRPr="00390AA7">
        <w:rPr>
          <w:color w:val="2B579A"/>
          <w:shd w:val="clear" w:color="auto" w:fill="E6E6E6"/>
        </w:rPr>
        <w:fldChar w:fldCharType="end"/>
      </w:r>
      <w:bookmarkEnd w:id="465"/>
      <w:bookmarkEnd w:id="466"/>
      <w:r w:rsidRPr="00390AA7">
        <w:t xml:space="preserve">: </w:t>
      </w:r>
      <w:r w:rsidRPr="0032500C">
        <w:t xml:space="preserve">Coverage rates for total population, by age group and gender, </w:t>
      </w:r>
      <w:r w:rsidRPr="0032500C">
        <w:rPr>
          <w:rFonts w:eastAsia="Calibri"/>
          <w:lang w:eastAsia="en-US"/>
        </w:rPr>
        <w:t>202</w:t>
      </w:r>
      <w:r w:rsidR="00CF2F93" w:rsidRPr="0032500C">
        <w:rPr>
          <w:rFonts w:eastAsia="Calibri"/>
          <w:lang w:eastAsia="en-US"/>
        </w:rPr>
        <w:t>2</w:t>
      </w:r>
      <w:r w:rsidRPr="0032500C">
        <w:rPr>
          <w:rFonts w:eastAsia="Calibri"/>
          <w:lang w:eastAsia="en-US"/>
        </w:rPr>
        <w:t>/2</w:t>
      </w:r>
      <w:r w:rsidR="00CF2F93" w:rsidRPr="0032500C">
        <w:rPr>
          <w:rFonts w:eastAsia="Calibri"/>
          <w:lang w:eastAsia="en-US"/>
        </w:rPr>
        <w:t>3</w:t>
      </w:r>
      <w:bookmarkEnd w:id="467"/>
      <w:bookmarkEnd w:id="468"/>
      <w:bookmarkEnd w:id="469"/>
      <w:bookmarkEnd w:id="470"/>
      <w:bookmarkEnd w:id="471"/>
      <w:bookmarkEnd w:id="472"/>
      <w:bookmarkEnd w:id="473"/>
      <w:bookmarkEnd w:id="474"/>
      <w:bookmarkEnd w:id="475"/>
      <w:bookmarkEnd w:id="476"/>
    </w:p>
    <w:p w14:paraId="789CE1E3" w14:textId="4B4DE6A3" w:rsidR="00A57885" w:rsidRPr="00A57885" w:rsidRDefault="00A0445E" w:rsidP="00A57885">
      <w:pPr>
        <w:rPr>
          <w:rFonts w:eastAsia="Calibri"/>
          <w:lang w:eastAsia="en-US"/>
        </w:rPr>
      </w:pPr>
      <w:r>
        <w:rPr>
          <w:rFonts w:eastAsia="Calibri"/>
          <w:noProof/>
          <w:lang w:eastAsia="en-US"/>
        </w:rPr>
        <w:drawing>
          <wp:inline distT="0" distB="0" distL="0" distR="0" wp14:anchorId="241F80ED" wp14:editId="60BDF267">
            <wp:extent cx="5142383" cy="2775005"/>
            <wp:effectExtent l="0" t="0" r="1270" b="6350"/>
            <wp:docPr id="12" name="Picture 12" descr="Coverage rates are higher for females than males for most age grou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verage rates are higher for females than males for most age groups.">
                      <a:extLst>
                        <a:ext uri="{C183D7F6-B498-43B3-948B-1728B52AA6E4}">
                          <adec:decorative xmlns:adec="http://schemas.microsoft.com/office/drawing/2017/decorative" val="0"/>
                        </a:ext>
                      </a:extLst>
                    </pic:cNvPr>
                    <pic:cNvPicPr>
                      <a:picLocks noChangeAspect="1" noChangeArrowheads="1"/>
                    </pic:cNvPicPr>
                  </pic:nvPicPr>
                  <pic:blipFill rotWithShape="1">
                    <a:blip r:embed="rId38">
                      <a:extLst>
                        <a:ext uri="{28A0092B-C50C-407E-A947-70E740481C1C}">
                          <a14:useLocalDpi xmlns:a14="http://schemas.microsoft.com/office/drawing/2010/main" val="0"/>
                        </a:ext>
                      </a:extLst>
                    </a:blip>
                    <a:srcRect l="2669"/>
                    <a:stretch/>
                  </pic:blipFill>
                  <pic:spPr bwMode="auto">
                    <a:xfrm>
                      <a:off x="0" y="0"/>
                      <a:ext cx="5152250" cy="2780330"/>
                    </a:xfrm>
                    <a:prstGeom prst="rect">
                      <a:avLst/>
                    </a:prstGeom>
                    <a:noFill/>
                    <a:ln>
                      <a:noFill/>
                    </a:ln>
                    <a:extLst>
                      <a:ext uri="{53640926-AAD7-44D8-BBD7-CCE9431645EC}">
                        <a14:shadowObscured xmlns:a14="http://schemas.microsoft.com/office/drawing/2010/main"/>
                      </a:ext>
                    </a:extLst>
                  </pic:spPr>
                </pic:pic>
              </a:graphicData>
            </a:graphic>
          </wp:inline>
        </w:drawing>
      </w:r>
    </w:p>
    <w:p w14:paraId="06785CFC" w14:textId="1648D780" w:rsidR="004366B7" w:rsidRDefault="004366B7" w:rsidP="004366B7">
      <w:pPr>
        <w:pStyle w:val="Figure"/>
        <w:rPr>
          <w:rFonts w:eastAsia="Calibri"/>
          <w:lang w:eastAsia="en-US"/>
        </w:rPr>
      </w:pPr>
      <w:bookmarkStart w:id="477" w:name="_Ref55463726"/>
      <w:bookmarkStart w:id="478" w:name="_Ref118738275"/>
      <w:bookmarkStart w:id="479" w:name="_Toc403044054"/>
      <w:bookmarkStart w:id="480" w:name="_Toc467491579"/>
      <w:bookmarkStart w:id="481" w:name="_Toc531762402"/>
      <w:bookmarkStart w:id="482" w:name="_Toc531766780"/>
      <w:bookmarkStart w:id="483" w:name="_Toc23857678"/>
      <w:bookmarkStart w:id="484" w:name="_Toc54962261"/>
      <w:bookmarkStart w:id="485" w:name="_Toc88038757"/>
      <w:bookmarkStart w:id="486" w:name="_Toc118735483"/>
      <w:bookmarkStart w:id="487" w:name="_Toc153259118"/>
      <w:bookmarkStart w:id="488" w:name="_Toc339270043"/>
      <w:bookmarkStart w:id="489" w:name="_Toc340501958"/>
      <w:r w:rsidRPr="00390AA7">
        <w:t xml:space="preserve">Figure </w:t>
      </w:r>
      <w:r w:rsidRPr="00390AA7">
        <w:rPr>
          <w:color w:val="2B579A"/>
          <w:shd w:val="clear" w:color="auto" w:fill="E6E6E6"/>
        </w:rPr>
        <w:fldChar w:fldCharType="begin"/>
      </w:r>
      <w:r w:rsidRPr="00390AA7">
        <w:instrText>SEQ Figure \* ARABIC</w:instrText>
      </w:r>
      <w:r w:rsidRPr="00390AA7">
        <w:rPr>
          <w:color w:val="2B579A"/>
          <w:shd w:val="clear" w:color="auto" w:fill="E6E6E6"/>
        </w:rPr>
        <w:fldChar w:fldCharType="separate"/>
      </w:r>
      <w:r w:rsidR="008D278D">
        <w:rPr>
          <w:noProof/>
        </w:rPr>
        <w:t>7</w:t>
      </w:r>
      <w:r w:rsidRPr="00390AA7">
        <w:rPr>
          <w:color w:val="2B579A"/>
          <w:shd w:val="clear" w:color="auto" w:fill="E6E6E6"/>
        </w:rPr>
        <w:fldChar w:fldCharType="end"/>
      </w:r>
      <w:bookmarkEnd w:id="477"/>
      <w:bookmarkEnd w:id="478"/>
      <w:r w:rsidRPr="00390AA7">
        <w:t xml:space="preserve">: </w:t>
      </w:r>
      <w:r w:rsidRPr="00BC0022">
        <w:t xml:space="preserve">Coverage rates for Māori, by age group and gender, </w:t>
      </w:r>
      <w:r w:rsidRPr="00BC0022">
        <w:rPr>
          <w:rFonts w:eastAsia="Calibri"/>
          <w:lang w:eastAsia="en-US"/>
        </w:rPr>
        <w:t>202</w:t>
      </w:r>
      <w:r w:rsidR="00E30E09" w:rsidRPr="00BC0022">
        <w:rPr>
          <w:rFonts w:eastAsia="Calibri"/>
          <w:lang w:eastAsia="en-US"/>
        </w:rPr>
        <w:t>2</w:t>
      </w:r>
      <w:r w:rsidRPr="00BC0022">
        <w:rPr>
          <w:rFonts w:eastAsia="Calibri"/>
          <w:lang w:eastAsia="en-US"/>
        </w:rPr>
        <w:t>/2</w:t>
      </w:r>
      <w:r w:rsidR="00E30E09" w:rsidRPr="00BC0022">
        <w:rPr>
          <w:rFonts w:eastAsia="Calibri"/>
          <w:lang w:eastAsia="en-US"/>
        </w:rPr>
        <w:t>3</w:t>
      </w:r>
      <w:bookmarkEnd w:id="479"/>
      <w:bookmarkEnd w:id="480"/>
      <w:bookmarkEnd w:id="481"/>
      <w:bookmarkEnd w:id="482"/>
      <w:bookmarkEnd w:id="483"/>
      <w:bookmarkEnd w:id="484"/>
      <w:bookmarkEnd w:id="485"/>
      <w:bookmarkEnd w:id="486"/>
      <w:bookmarkEnd w:id="487"/>
    </w:p>
    <w:p w14:paraId="3D78225B" w14:textId="2DC4684F" w:rsidR="00027580" w:rsidRPr="00027580" w:rsidRDefault="00C640BB" w:rsidP="00027580">
      <w:pPr>
        <w:rPr>
          <w:rFonts w:eastAsia="Calibri"/>
          <w:lang w:eastAsia="en-US"/>
        </w:rPr>
      </w:pPr>
      <w:r>
        <w:rPr>
          <w:rFonts w:eastAsia="Calibri"/>
          <w:noProof/>
          <w:lang w:eastAsia="en-US"/>
        </w:rPr>
        <w:drawing>
          <wp:inline distT="0" distB="0" distL="0" distR="0" wp14:anchorId="10C0C80A" wp14:editId="07CE5363">
            <wp:extent cx="5129189" cy="2695492"/>
            <wp:effectExtent l="0" t="0" r="0" b="0"/>
            <wp:docPr id="13" name="Picture 13" descr="Coverage rates are higher for Māori females than Māori males in most age grou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overage rates are higher for Māori females than Māori males in most age groups.">
                      <a:extLst>
                        <a:ext uri="{C183D7F6-B498-43B3-948B-1728B52AA6E4}">
                          <adec:decorative xmlns:adec="http://schemas.microsoft.com/office/drawing/2017/decorative" val="0"/>
                        </a:ext>
                      </a:extLst>
                    </pic:cNvPr>
                    <pic:cNvPicPr>
                      <a:picLocks noChangeAspect="1" noChangeArrowheads="1"/>
                    </pic:cNvPicPr>
                  </pic:nvPicPr>
                  <pic:blipFill rotWithShape="1">
                    <a:blip r:embed="rId39">
                      <a:extLst>
                        <a:ext uri="{28A0092B-C50C-407E-A947-70E740481C1C}">
                          <a14:useLocalDpi xmlns:a14="http://schemas.microsoft.com/office/drawing/2010/main" val="0"/>
                        </a:ext>
                      </a:extLst>
                    </a:blip>
                    <a:srcRect l="3297" t="5545"/>
                    <a:stretch/>
                  </pic:blipFill>
                  <pic:spPr bwMode="auto">
                    <a:xfrm>
                      <a:off x="0" y="0"/>
                      <a:ext cx="5138151" cy="2700202"/>
                    </a:xfrm>
                    <a:prstGeom prst="rect">
                      <a:avLst/>
                    </a:prstGeom>
                    <a:noFill/>
                    <a:ln>
                      <a:noFill/>
                    </a:ln>
                    <a:extLst>
                      <a:ext uri="{53640926-AAD7-44D8-BBD7-CCE9431645EC}">
                        <a14:shadowObscured xmlns:a14="http://schemas.microsoft.com/office/drawing/2010/main"/>
                      </a:ext>
                    </a:extLst>
                  </pic:spPr>
                </pic:pic>
              </a:graphicData>
            </a:graphic>
          </wp:inline>
        </w:drawing>
      </w:r>
    </w:p>
    <w:p w14:paraId="5F9CC9AB" w14:textId="77777777" w:rsidR="004366B7" w:rsidRPr="00390AA7" w:rsidRDefault="004366B7" w:rsidP="004366B7">
      <w:pPr>
        <w:pStyle w:val="Heading2"/>
        <w:rPr>
          <w:rFonts w:eastAsia="Cambria"/>
          <w:lang w:eastAsia="en-US"/>
        </w:rPr>
      </w:pPr>
      <w:bookmarkStart w:id="490" w:name="_Toc372445578"/>
      <w:bookmarkStart w:id="491" w:name="_Toc403044033"/>
      <w:bookmarkStart w:id="492" w:name="_Toc467491554"/>
      <w:bookmarkStart w:id="493" w:name="_Toc531762371"/>
      <w:bookmarkStart w:id="494" w:name="_Toc531783728"/>
      <w:bookmarkStart w:id="495" w:name="_Toc22887960"/>
      <w:bookmarkStart w:id="496" w:name="_Toc55206869"/>
      <w:bookmarkStart w:id="497" w:name="_Toc88752060"/>
      <w:bookmarkStart w:id="498" w:name="_Toc153259108"/>
      <w:r w:rsidRPr="00390AA7">
        <w:rPr>
          <w:rFonts w:eastAsia="Cambria"/>
          <w:lang w:eastAsia="en-US"/>
        </w:rPr>
        <w:t>Final weights</w:t>
      </w:r>
      <w:bookmarkEnd w:id="488"/>
      <w:bookmarkEnd w:id="489"/>
      <w:bookmarkEnd w:id="490"/>
      <w:bookmarkEnd w:id="491"/>
      <w:bookmarkEnd w:id="492"/>
      <w:bookmarkEnd w:id="493"/>
      <w:bookmarkEnd w:id="494"/>
      <w:bookmarkEnd w:id="495"/>
      <w:bookmarkEnd w:id="496"/>
      <w:bookmarkEnd w:id="497"/>
      <w:bookmarkEnd w:id="498"/>
    </w:p>
    <w:p w14:paraId="1CF18DCC" w14:textId="20B277BD" w:rsidR="004366B7" w:rsidRPr="00390AA7" w:rsidRDefault="004366B7" w:rsidP="004366B7">
      <w:pPr>
        <w:rPr>
          <w:rFonts w:eastAsia="Cambria"/>
          <w:lang w:eastAsia="en-US"/>
        </w:rPr>
      </w:pPr>
      <w:r w:rsidRPr="00390AA7">
        <w:rPr>
          <w:rFonts w:eastAsia="Cambria"/>
          <w:lang w:eastAsia="en-US"/>
        </w:rPr>
        <w:t xml:space="preserve">The section on weighting has explained how the calibrated weights were calculated. </w:t>
      </w:r>
      <w:r w:rsidRPr="00390AA7">
        <w:rPr>
          <w:rFonts w:eastAsia="Cambria"/>
          <w:color w:val="2B579A"/>
          <w:shd w:val="clear" w:color="auto" w:fill="E6E6E6"/>
          <w:lang w:eastAsia="en-US"/>
        </w:rPr>
        <w:fldChar w:fldCharType="begin"/>
      </w:r>
      <w:r w:rsidRPr="00390AA7">
        <w:rPr>
          <w:rFonts w:eastAsia="Cambria"/>
          <w:lang w:eastAsia="en-US"/>
        </w:rPr>
        <w:instrText xml:space="preserve"> REF _Ref339269124 \h </w:instrText>
      </w:r>
      <w:r w:rsidRPr="00390AA7">
        <w:rPr>
          <w:rFonts w:eastAsia="Cambria"/>
          <w:color w:val="2B579A"/>
          <w:shd w:val="clear" w:color="auto" w:fill="E6E6E6"/>
          <w:lang w:eastAsia="en-US"/>
        </w:rPr>
      </w:r>
      <w:r w:rsidRPr="00390AA7">
        <w:rPr>
          <w:rFonts w:eastAsia="Cambria"/>
          <w:color w:val="2B579A"/>
          <w:shd w:val="clear" w:color="auto" w:fill="E6E6E6"/>
          <w:lang w:eastAsia="en-US"/>
        </w:rPr>
        <w:fldChar w:fldCharType="separate"/>
      </w:r>
      <w:r w:rsidR="008D278D" w:rsidRPr="00390AA7">
        <w:t xml:space="preserve">Table </w:t>
      </w:r>
      <w:r w:rsidR="008D278D">
        <w:rPr>
          <w:noProof/>
        </w:rPr>
        <w:t>6</w:t>
      </w:r>
      <w:r w:rsidRPr="00390AA7">
        <w:rPr>
          <w:rFonts w:eastAsia="Cambria"/>
          <w:color w:val="2B579A"/>
          <w:shd w:val="clear" w:color="auto" w:fill="E6E6E6"/>
          <w:lang w:eastAsia="en-US"/>
        </w:rPr>
        <w:fldChar w:fldCharType="end"/>
      </w:r>
      <w:r w:rsidRPr="00390AA7">
        <w:rPr>
          <w:rFonts w:eastAsia="Cambria"/>
          <w:lang w:eastAsia="en-US"/>
        </w:rPr>
        <w:t xml:space="preserve"> gives basic descriptive information on the final weights calculated for the </w:t>
      </w:r>
      <w:r w:rsidRPr="00390AA7">
        <w:rPr>
          <w:rFonts w:eastAsia="Calibri"/>
          <w:lang w:eastAsia="en-US"/>
        </w:rPr>
        <w:t>202</w:t>
      </w:r>
      <w:r w:rsidR="00A94502" w:rsidRPr="00390AA7">
        <w:rPr>
          <w:rFonts w:eastAsia="Calibri"/>
          <w:lang w:eastAsia="en-US"/>
        </w:rPr>
        <w:t>2</w:t>
      </w:r>
      <w:r w:rsidRPr="00390AA7">
        <w:rPr>
          <w:rFonts w:eastAsia="Calibri"/>
          <w:lang w:eastAsia="en-US"/>
        </w:rPr>
        <w:t>/2</w:t>
      </w:r>
      <w:r w:rsidR="00A94502" w:rsidRPr="00390AA7">
        <w:rPr>
          <w:rFonts w:eastAsia="Calibri"/>
          <w:lang w:eastAsia="en-US"/>
        </w:rPr>
        <w:t>3</w:t>
      </w:r>
      <w:r w:rsidRPr="00390AA7">
        <w:rPr>
          <w:rFonts w:eastAsia="Calibri"/>
          <w:lang w:eastAsia="en-US"/>
        </w:rPr>
        <w:t xml:space="preserve"> </w:t>
      </w:r>
      <w:r w:rsidRPr="00390AA7">
        <w:rPr>
          <w:rFonts w:eastAsia="Cambria"/>
          <w:lang w:eastAsia="en-US"/>
        </w:rPr>
        <w:t xml:space="preserve">survey. </w:t>
      </w:r>
    </w:p>
    <w:p w14:paraId="79D99B6E" w14:textId="77777777" w:rsidR="004366B7" w:rsidRPr="00390AA7" w:rsidRDefault="004366B7" w:rsidP="004366B7">
      <w:pPr>
        <w:rPr>
          <w:rFonts w:eastAsia="Cambria"/>
          <w:lang w:eastAsia="en-US"/>
        </w:rPr>
      </w:pPr>
    </w:p>
    <w:p w14:paraId="2C2CC060" w14:textId="1DA2FB1C" w:rsidR="004366B7" w:rsidRPr="00390AA7" w:rsidRDefault="004366B7" w:rsidP="004366B7">
      <w:pPr>
        <w:rPr>
          <w:rFonts w:eastAsia="Cambria"/>
          <w:lang w:eastAsia="en-US"/>
        </w:rPr>
      </w:pPr>
      <w:bookmarkStart w:id="499" w:name="_Hlk149041256"/>
      <w:r w:rsidRPr="00390AA7">
        <w:rPr>
          <w:rFonts w:eastAsia="Cambria"/>
          <w:lang w:eastAsia="en-US"/>
        </w:rPr>
        <w:t xml:space="preserve">The g-weights are the ratios of the final weights to the initial selection weights. The mean g-weight </w:t>
      </w:r>
      <w:r w:rsidRPr="009B0EB2">
        <w:rPr>
          <w:rFonts w:eastAsia="Cambria"/>
          <w:lang w:eastAsia="en-US"/>
        </w:rPr>
        <w:t xml:space="preserve">is </w:t>
      </w:r>
      <w:r w:rsidR="00E83C66" w:rsidRPr="009B0EB2">
        <w:rPr>
          <w:rFonts w:eastAsia="Cambria"/>
          <w:lang w:eastAsia="en-US"/>
        </w:rPr>
        <w:t>2.0</w:t>
      </w:r>
      <w:r w:rsidRPr="009B0EB2">
        <w:rPr>
          <w:rFonts w:eastAsia="Cambria"/>
          <w:lang w:eastAsia="en-US"/>
        </w:rPr>
        <w:t xml:space="preserve">, which can be considered as reasonable. This means the calibrated weights, which were calculated using population benchmark information, have changed the initial selection weight by an average factor of </w:t>
      </w:r>
      <w:r w:rsidR="00E83C66" w:rsidRPr="009B0EB2">
        <w:rPr>
          <w:rFonts w:eastAsia="Cambria"/>
          <w:lang w:eastAsia="en-US"/>
        </w:rPr>
        <w:t>2.0</w:t>
      </w:r>
      <w:r w:rsidRPr="009B0EB2">
        <w:rPr>
          <w:rFonts w:eastAsia="Cambria"/>
          <w:lang w:eastAsia="en-US"/>
        </w:rPr>
        <w:t>.</w:t>
      </w:r>
    </w:p>
    <w:bookmarkEnd w:id="499"/>
    <w:p w14:paraId="4BDCEEA1" w14:textId="77777777" w:rsidR="004366B7" w:rsidRPr="00390AA7" w:rsidRDefault="004366B7" w:rsidP="004366B7">
      <w:pPr>
        <w:rPr>
          <w:rFonts w:eastAsia="Cambria"/>
          <w:lang w:eastAsia="en-US"/>
        </w:rPr>
      </w:pPr>
    </w:p>
    <w:p w14:paraId="75BB6276" w14:textId="755AA278" w:rsidR="004366B7" w:rsidRDefault="004366B7" w:rsidP="004563A6">
      <w:pPr>
        <w:pStyle w:val="Caption"/>
      </w:pPr>
      <w:bookmarkStart w:id="500" w:name="_Ref339269124"/>
      <w:bookmarkStart w:id="501" w:name="_Toc339878417"/>
      <w:bookmarkStart w:id="502" w:name="_Toc372445587"/>
      <w:bookmarkStart w:id="503" w:name="_Toc403044042"/>
      <w:bookmarkStart w:id="504" w:name="_Toc467491568"/>
      <w:bookmarkStart w:id="505" w:name="_Toc531762385"/>
      <w:bookmarkStart w:id="506" w:name="_Toc531766769"/>
      <w:bookmarkStart w:id="507" w:name="_Toc23857690"/>
      <w:bookmarkStart w:id="508" w:name="_Toc54962249"/>
      <w:bookmarkStart w:id="509" w:name="_Toc88038745"/>
      <w:bookmarkStart w:id="510" w:name="_Toc153259124"/>
      <w:r w:rsidRPr="00390AA7">
        <w:t xml:space="preserve">Table </w:t>
      </w:r>
      <w:r w:rsidRPr="00390AA7">
        <w:rPr>
          <w:color w:val="2B579A"/>
          <w:shd w:val="clear" w:color="auto" w:fill="E6E6E6"/>
        </w:rPr>
        <w:fldChar w:fldCharType="begin"/>
      </w:r>
      <w:r w:rsidRPr="00390AA7">
        <w:instrText>SEQ Table \* ARABIC</w:instrText>
      </w:r>
      <w:r w:rsidRPr="00390AA7">
        <w:rPr>
          <w:color w:val="2B579A"/>
          <w:shd w:val="clear" w:color="auto" w:fill="E6E6E6"/>
        </w:rPr>
        <w:fldChar w:fldCharType="separate"/>
      </w:r>
      <w:r w:rsidR="008D278D">
        <w:rPr>
          <w:noProof/>
        </w:rPr>
        <w:t>6</w:t>
      </w:r>
      <w:r w:rsidRPr="00390AA7">
        <w:rPr>
          <w:color w:val="2B579A"/>
          <w:shd w:val="clear" w:color="auto" w:fill="E6E6E6"/>
        </w:rPr>
        <w:fldChar w:fldCharType="end"/>
      </w:r>
      <w:bookmarkEnd w:id="500"/>
      <w:r w:rsidRPr="00390AA7">
        <w:t>: Final weights 202</w:t>
      </w:r>
      <w:r w:rsidR="003E77C4" w:rsidRPr="00390AA7">
        <w:t>2</w:t>
      </w:r>
      <w:r w:rsidRPr="00390AA7">
        <w:t>/2</w:t>
      </w:r>
      <w:r w:rsidR="003E77C4" w:rsidRPr="00390AA7">
        <w:t>3</w:t>
      </w:r>
      <w:bookmarkEnd w:id="501"/>
      <w:bookmarkEnd w:id="502"/>
      <w:bookmarkEnd w:id="503"/>
      <w:bookmarkEnd w:id="504"/>
      <w:bookmarkEnd w:id="505"/>
      <w:bookmarkEnd w:id="506"/>
      <w:bookmarkEnd w:id="507"/>
      <w:bookmarkEnd w:id="508"/>
      <w:bookmarkEnd w:id="509"/>
      <w:bookmarkEnd w:id="510"/>
    </w:p>
    <w:tbl>
      <w:tblPr>
        <w:tblW w:w="4931" w:type="pct"/>
        <w:tblInd w:w="57"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CellMar>
          <w:left w:w="57" w:type="dxa"/>
          <w:right w:w="57" w:type="dxa"/>
        </w:tblCellMar>
        <w:tblLook w:val="00A0" w:firstRow="1" w:lastRow="0" w:firstColumn="1" w:lastColumn="0" w:noHBand="0" w:noVBand="0"/>
      </w:tblPr>
      <w:tblGrid>
        <w:gridCol w:w="5952"/>
        <w:gridCol w:w="2016"/>
      </w:tblGrid>
      <w:tr w:rsidR="00B72AB9" w:rsidRPr="00390AA7" w14:paraId="0C0FC338" w14:textId="77777777" w:rsidTr="00B16B0F">
        <w:trPr>
          <w:cantSplit/>
        </w:trPr>
        <w:tc>
          <w:tcPr>
            <w:tcW w:w="5952" w:type="dxa"/>
            <w:tcBorders>
              <w:top w:val="nil"/>
              <w:bottom w:val="nil"/>
            </w:tcBorders>
            <w:shd w:val="clear" w:color="auto" w:fill="D9D9D9" w:themeFill="background1" w:themeFillShade="D9"/>
          </w:tcPr>
          <w:p w14:paraId="69E48892" w14:textId="77777777" w:rsidR="00B72AB9" w:rsidRPr="00390AA7" w:rsidRDefault="00B72AB9" w:rsidP="00B72AB9">
            <w:pPr>
              <w:pStyle w:val="TableText"/>
              <w:rPr>
                <w:rFonts w:eastAsia="Cambria"/>
                <w:b/>
                <w:bCs/>
              </w:rPr>
            </w:pPr>
            <w:r w:rsidRPr="00390AA7">
              <w:rPr>
                <w:rFonts w:eastAsia="Cambria"/>
                <w:b/>
                <w:bCs/>
              </w:rPr>
              <w:t> </w:t>
            </w:r>
          </w:p>
        </w:tc>
        <w:tc>
          <w:tcPr>
            <w:tcW w:w="2016" w:type="dxa"/>
            <w:tcBorders>
              <w:top w:val="nil"/>
              <w:bottom w:val="nil"/>
            </w:tcBorders>
            <w:shd w:val="clear" w:color="auto" w:fill="D9D9D9" w:themeFill="background1" w:themeFillShade="D9"/>
          </w:tcPr>
          <w:p w14:paraId="7F582B44" w14:textId="77777777" w:rsidR="00B72AB9" w:rsidRPr="00390AA7" w:rsidRDefault="00B72AB9" w:rsidP="00B16B0F">
            <w:pPr>
              <w:pStyle w:val="TableText"/>
              <w:jc w:val="right"/>
              <w:rPr>
                <w:rFonts w:eastAsia="Cambria"/>
                <w:b/>
                <w:bCs/>
              </w:rPr>
            </w:pPr>
            <w:r w:rsidRPr="00390AA7">
              <w:rPr>
                <w:rFonts w:eastAsia="Cambria"/>
                <w:b/>
                <w:bCs/>
              </w:rPr>
              <w:t>Final weight</w:t>
            </w:r>
          </w:p>
        </w:tc>
      </w:tr>
      <w:tr w:rsidR="00B72AB9" w:rsidRPr="00390AA7" w14:paraId="59480155" w14:textId="77777777" w:rsidTr="00B16B0F">
        <w:trPr>
          <w:cantSplit/>
        </w:trPr>
        <w:tc>
          <w:tcPr>
            <w:tcW w:w="5952" w:type="dxa"/>
            <w:tcBorders>
              <w:top w:val="nil"/>
            </w:tcBorders>
            <w:shd w:val="clear" w:color="auto" w:fill="auto"/>
          </w:tcPr>
          <w:p w14:paraId="0D756071" w14:textId="77777777" w:rsidR="00B72AB9" w:rsidRPr="00390AA7" w:rsidRDefault="00B72AB9" w:rsidP="00B72AB9">
            <w:pPr>
              <w:pStyle w:val="TableText"/>
              <w:rPr>
                <w:rFonts w:eastAsia="Cambria"/>
              </w:rPr>
            </w:pPr>
            <w:r w:rsidRPr="00390AA7">
              <w:rPr>
                <w:rFonts w:eastAsia="Cambria"/>
              </w:rPr>
              <w:t>Minimum</w:t>
            </w:r>
          </w:p>
        </w:tc>
        <w:tc>
          <w:tcPr>
            <w:tcW w:w="2016" w:type="dxa"/>
            <w:tcBorders>
              <w:top w:val="nil"/>
            </w:tcBorders>
            <w:shd w:val="clear" w:color="auto" w:fill="auto"/>
          </w:tcPr>
          <w:p w14:paraId="6B018885" w14:textId="121CA571" w:rsidR="00B72AB9" w:rsidRPr="009B0EB2" w:rsidRDefault="008A213B">
            <w:pPr>
              <w:pStyle w:val="TableText"/>
              <w:jc w:val="right"/>
              <w:rPr>
                <w:rFonts w:eastAsia="Cambria"/>
              </w:rPr>
            </w:pPr>
            <w:r w:rsidRPr="009B0EB2">
              <w:rPr>
                <w:rFonts w:eastAsia="Cambria"/>
              </w:rPr>
              <w:t>56</w:t>
            </w:r>
          </w:p>
        </w:tc>
      </w:tr>
      <w:tr w:rsidR="00B72AB9" w:rsidRPr="00390AA7" w14:paraId="4EB7F131" w14:textId="77777777" w:rsidTr="00B16B0F">
        <w:trPr>
          <w:cantSplit/>
        </w:trPr>
        <w:tc>
          <w:tcPr>
            <w:tcW w:w="5952" w:type="dxa"/>
            <w:shd w:val="clear" w:color="auto" w:fill="auto"/>
          </w:tcPr>
          <w:p w14:paraId="731BCB45" w14:textId="77777777" w:rsidR="00B72AB9" w:rsidRPr="00390AA7" w:rsidRDefault="00B72AB9" w:rsidP="00B72AB9">
            <w:pPr>
              <w:pStyle w:val="TableText"/>
              <w:rPr>
                <w:rFonts w:eastAsia="Cambria"/>
              </w:rPr>
            </w:pPr>
            <w:r w:rsidRPr="00390AA7">
              <w:rPr>
                <w:rFonts w:eastAsia="Cambria"/>
              </w:rPr>
              <w:t>Median</w:t>
            </w:r>
          </w:p>
        </w:tc>
        <w:tc>
          <w:tcPr>
            <w:tcW w:w="2016" w:type="dxa"/>
            <w:shd w:val="clear" w:color="auto" w:fill="auto"/>
          </w:tcPr>
          <w:p w14:paraId="0C521034" w14:textId="66B40941" w:rsidR="00B72AB9" w:rsidRPr="009B0EB2" w:rsidRDefault="00176F20">
            <w:pPr>
              <w:pStyle w:val="TableText"/>
              <w:jc w:val="right"/>
              <w:rPr>
                <w:rFonts w:eastAsia="Cambria"/>
              </w:rPr>
            </w:pPr>
            <w:r w:rsidRPr="009B0EB2">
              <w:rPr>
                <w:rFonts w:eastAsia="Cambria"/>
              </w:rPr>
              <w:t>426</w:t>
            </w:r>
          </w:p>
        </w:tc>
      </w:tr>
      <w:tr w:rsidR="00B72AB9" w:rsidRPr="00390AA7" w14:paraId="7E625ECE" w14:textId="77777777" w:rsidTr="00B16B0F">
        <w:trPr>
          <w:cantSplit/>
        </w:trPr>
        <w:tc>
          <w:tcPr>
            <w:tcW w:w="5952" w:type="dxa"/>
            <w:shd w:val="clear" w:color="auto" w:fill="auto"/>
          </w:tcPr>
          <w:p w14:paraId="2EF238A6" w14:textId="77777777" w:rsidR="00B72AB9" w:rsidRPr="00390AA7" w:rsidRDefault="00B72AB9" w:rsidP="00B72AB9">
            <w:pPr>
              <w:pStyle w:val="TableText"/>
              <w:rPr>
                <w:rFonts w:eastAsia="Cambria"/>
              </w:rPr>
            </w:pPr>
            <w:r w:rsidRPr="00390AA7">
              <w:rPr>
                <w:rFonts w:eastAsia="Cambria"/>
              </w:rPr>
              <w:t>90th percentile</w:t>
            </w:r>
          </w:p>
        </w:tc>
        <w:tc>
          <w:tcPr>
            <w:tcW w:w="2016" w:type="dxa"/>
            <w:shd w:val="clear" w:color="auto" w:fill="auto"/>
          </w:tcPr>
          <w:p w14:paraId="1D74064F" w14:textId="7F207B11" w:rsidR="00B72AB9" w:rsidRPr="009B0EB2" w:rsidRDefault="00EB045E">
            <w:pPr>
              <w:pStyle w:val="TableText"/>
              <w:jc w:val="right"/>
              <w:rPr>
                <w:rFonts w:eastAsia="Cambria"/>
              </w:rPr>
            </w:pPr>
            <w:r w:rsidRPr="009B0EB2">
              <w:rPr>
                <w:rFonts w:eastAsia="Cambria"/>
              </w:rPr>
              <w:t>1</w:t>
            </w:r>
            <w:r w:rsidR="00FC740F" w:rsidRPr="009B0EB2">
              <w:rPr>
                <w:rFonts w:eastAsia="Cambria"/>
              </w:rPr>
              <w:t>,</w:t>
            </w:r>
            <w:r w:rsidRPr="009B0EB2">
              <w:rPr>
                <w:rFonts w:eastAsia="Cambria"/>
              </w:rPr>
              <w:t>179</w:t>
            </w:r>
          </w:p>
        </w:tc>
      </w:tr>
      <w:tr w:rsidR="00B72AB9" w:rsidRPr="00390AA7" w14:paraId="558096B2" w14:textId="77777777" w:rsidTr="00B16B0F">
        <w:trPr>
          <w:cantSplit/>
        </w:trPr>
        <w:tc>
          <w:tcPr>
            <w:tcW w:w="5952" w:type="dxa"/>
            <w:shd w:val="clear" w:color="auto" w:fill="auto"/>
          </w:tcPr>
          <w:p w14:paraId="5A81C233" w14:textId="77777777" w:rsidR="00B72AB9" w:rsidRPr="00390AA7" w:rsidRDefault="00B72AB9" w:rsidP="00B72AB9">
            <w:pPr>
              <w:pStyle w:val="TableText"/>
              <w:rPr>
                <w:rFonts w:eastAsia="Cambria"/>
              </w:rPr>
            </w:pPr>
            <w:r w:rsidRPr="00390AA7">
              <w:rPr>
                <w:rFonts w:eastAsia="Cambria"/>
              </w:rPr>
              <w:t>95th percentile</w:t>
            </w:r>
          </w:p>
        </w:tc>
        <w:tc>
          <w:tcPr>
            <w:tcW w:w="2016" w:type="dxa"/>
            <w:shd w:val="clear" w:color="auto" w:fill="auto"/>
          </w:tcPr>
          <w:p w14:paraId="3F03FE49" w14:textId="1C1E29B3" w:rsidR="00B72AB9" w:rsidRPr="009B0EB2" w:rsidRDefault="00576A5A">
            <w:pPr>
              <w:pStyle w:val="TableText"/>
              <w:jc w:val="right"/>
              <w:rPr>
                <w:rFonts w:eastAsia="Cambria"/>
              </w:rPr>
            </w:pPr>
            <w:r w:rsidRPr="009B0EB2">
              <w:rPr>
                <w:rFonts w:eastAsia="Cambria"/>
              </w:rPr>
              <w:t>1</w:t>
            </w:r>
            <w:r w:rsidR="00FC740F" w:rsidRPr="009B0EB2">
              <w:rPr>
                <w:rFonts w:eastAsia="Cambria"/>
              </w:rPr>
              <w:t>,</w:t>
            </w:r>
            <w:r w:rsidRPr="009B0EB2">
              <w:rPr>
                <w:rFonts w:eastAsia="Cambria"/>
              </w:rPr>
              <w:t>597</w:t>
            </w:r>
          </w:p>
        </w:tc>
      </w:tr>
      <w:tr w:rsidR="00B72AB9" w:rsidRPr="00390AA7" w14:paraId="2B04DA1B" w14:textId="77777777" w:rsidTr="00B16B0F">
        <w:trPr>
          <w:cantSplit/>
        </w:trPr>
        <w:tc>
          <w:tcPr>
            <w:tcW w:w="5952" w:type="dxa"/>
            <w:shd w:val="clear" w:color="auto" w:fill="auto"/>
          </w:tcPr>
          <w:p w14:paraId="6A2CA20A" w14:textId="77777777" w:rsidR="00B72AB9" w:rsidRPr="00390AA7" w:rsidRDefault="00B72AB9" w:rsidP="00B72AB9">
            <w:pPr>
              <w:pStyle w:val="TableText"/>
              <w:rPr>
                <w:rFonts w:eastAsia="Cambria"/>
              </w:rPr>
            </w:pPr>
            <w:r w:rsidRPr="00390AA7">
              <w:rPr>
                <w:rFonts w:eastAsia="Cambria"/>
              </w:rPr>
              <w:t>99th percentile</w:t>
            </w:r>
          </w:p>
        </w:tc>
        <w:tc>
          <w:tcPr>
            <w:tcW w:w="2016" w:type="dxa"/>
            <w:shd w:val="clear" w:color="auto" w:fill="auto"/>
          </w:tcPr>
          <w:p w14:paraId="4D514574" w14:textId="4C326881" w:rsidR="00B72AB9" w:rsidRPr="009B0EB2" w:rsidRDefault="00AD76A8">
            <w:pPr>
              <w:pStyle w:val="TableText"/>
              <w:jc w:val="right"/>
              <w:rPr>
                <w:rFonts w:eastAsia="Cambria"/>
              </w:rPr>
            </w:pPr>
            <w:r w:rsidRPr="009B0EB2">
              <w:rPr>
                <w:rFonts w:eastAsia="Cambria"/>
              </w:rPr>
              <w:t>2</w:t>
            </w:r>
            <w:r w:rsidR="00FC740F" w:rsidRPr="009B0EB2">
              <w:rPr>
                <w:rFonts w:eastAsia="Cambria"/>
              </w:rPr>
              <w:t>,</w:t>
            </w:r>
            <w:r w:rsidRPr="009B0EB2">
              <w:rPr>
                <w:rFonts w:eastAsia="Cambria"/>
              </w:rPr>
              <w:t>690</w:t>
            </w:r>
          </w:p>
        </w:tc>
      </w:tr>
      <w:tr w:rsidR="00B72AB9" w:rsidRPr="00390AA7" w14:paraId="1427A1EA" w14:textId="77777777" w:rsidTr="00B16B0F">
        <w:trPr>
          <w:cantSplit/>
        </w:trPr>
        <w:tc>
          <w:tcPr>
            <w:tcW w:w="5952" w:type="dxa"/>
            <w:shd w:val="clear" w:color="auto" w:fill="auto"/>
          </w:tcPr>
          <w:p w14:paraId="23E091A4" w14:textId="77777777" w:rsidR="00B72AB9" w:rsidRPr="00390AA7" w:rsidRDefault="00B72AB9" w:rsidP="00B72AB9">
            <w:pPr>
              <w:pStyle w:val="TableText"/>
              <w:rPr>
                <w:rFonts w:eastAsia="Cambria"/>
              </w:rPr>
            </w:pPr>
            <w:r w:rsidRPr="00390AA7">
              <w:rPr>
                <w:rFonts w:eastAsia="Cambria"/>
              </w:rPr>
              <w:t>Maximum</w:t>
            </w:r>
          </w:p>
        </w:tc>
        <w:tc>
          <w:tcPr>
            <w:tcW w:w="2016" w:type="dxa"/>
            <w:shd w:val="clear" w:color="auto" w:fill="auto"/>
          </w:tcPr>
          <w:p w14:paraId="793FF5A0" w14:textId="44E00AB5" w:rsidR="00B72AB9" w:rsidRPr="009B0EB2" w:rsidRDefault="0011527E">
            <w:pPr>
              <w:pStyle w:val="TableText"/>
              <w:jc w:val="right"/>
              <w:rPr>
                <w:rFonts w:eastAsia="Cambria"/>
              </w:rPr>
            </w:pPr>
            <w:r w:rsidRPr="009B0EB2">
              <w:rPr>
                <w:rFonts w:eastAsia="Cambria"/>
              </w:rPr>
              <w:t>5</w:t>
            </w:r>
            <w:r w:rsidR="00FC740F" w:rsidRPr="009B0EB2">
              <w:rPr>
                <w:rFonts w:eastAsia="Cambria"/>
              </w:rPr>
              <w:t>,</w:t>
            </w:r>
            <w:r w:rsidRPr="009B0EB2">
              <w:rPr>
                <w:rFonts w:eastAsia="Cambria"/>
              </w:rPr>
              <w:t>000</w:t>
            </w:r>
          </w:p>
        </w:tc>
      </w:tr>
      <w:tr w:rsidR="00B72AB9" w:rsidRPr="00390AA7" w14:paraId="1244341C" w14:textId="77777777" w:rsidTr="00B16B0F">
        <w:trPr>
          <w:cantSplit/>
        </w:trPr>
        <w:tc>
          <w:tcPr>
            <w:tcW w:w="5952" w:type="dxa"/>
            <w:shd w:val="clear" w:color="auto" w:fill="auto"/>
          </w:tcPr>
          <w:p w14:paraId="287231A6" w14:textId="77777777" w:rsidR="00B72AB9" w:rsidRPr="00390AA7" w:rsidRDefault="00B72AB9" w:rsidP="00B72AB9">
            <w:pPr>
              <w:pStyle w:val="TableText"/>
              <w:rPr>
                <w:rFonts w:eastAsia="Cambria"/>
              </w:rPr>
            </w:pPr>
            <w:r w:rsidRPr="00390AA7">
              <w:rPr>
                <w:rFonts w:eastAsia="Cambria"/>
              </w:rPr>
              <w:t>Coefficient of variation (CV%)</w:t>
            </w:r>
          </w:p>
        </w:tc>
        <w:tc>
          <w:tcPr>
            <w:tcW w:w="2016" w:type="dxa"/>
            <w:shd w:val="clear" w:color="auto" w:fill="auto"/>
          </w:tcPr>
          <w:p w14:paraId="3FE76401" w14:textId="38E8C48A" w:rsidR="00B72AB9" w:rsidRPr="009B0EB2" w:rsidRDefault="00F26A77">
            <w:pPr>
              <w:pStyle w:val="TableText"/>
              <w:jc w:val="right"/>
              <w:rPr>
                <w:rFonts w:eastAsia="Cambria"/>
              </w:rPr>
            </w:pPr>
            <w:r w:rsidRPr="009B0EB2">
              <w:rPr>
                <w:rFonts w:eastAsia="Cambria"/>
              </w:rPr>
              <w:t>89</w:t>
            </w:r>
          </w:p>
        </w:tc>
      </w:tr>
      <w:tr w:rsidR="00B72AB9" w:rsidRPr="00390AA7" w14:paraId="31A48D8D" w14:textId="77777777" w:rsidTr="00B16B0F">
        <w:trPr>
          <w:cantSplit/>
        </w:trPr>
        <w:tc>
          <w:tcPr>
            <w:tcW w:w="5952" w:type="dxa"/>
            <w:shd w:val="clear" w:color="auto" w:fill="auto"/>
          </w:tcPr>
          <w:p w14:paraId="77FEFB33" w14:textId="77777777" w:rsidR="00B72AB9" w:rsidRPr="00390AA7" w:rsidRDefault="00B72AB9" w:rsidP="00B72AB9">
            <w:pPr>
              <w:pStyle w:val="TableText"/>
              <w:rPr>
                <w:rFonts w:eastAsia="Cambria"/>
              </w:rPr>
            </w:pPr>
            <w:r w:rsidRPr="00390AA7">
              <w:rPr>
                <w:rFonts w:eastAsia="Cambria"/>
              </w:rPr>
              <w:t>Approximate design effect due to weighting (1 + CV2)</w:t>
            </w:r>
          </w:p>
        </w:tc>
        <w:tc>
          <w:tcPr>
            <w:tcW w:w="2016" w:type="dxa"/>
            <w:shd w:val="clear" w:color="auto" w:fill="auto"/>
          </w:tcPr>
          <w:p w14:paraId="0BF7D83B" w14:textId="70FC9A20" w:rsidR="00B72AB9" w:rsidRPr="009B0EB2" w:rsidRDefault="00873F67">
            <w:pPr>
              <w:pStyle w:val="TableText"/>
              <w:jc w:val="right"/>
              <w:rPr>
                <w:rFonts w:eastAsia="Cambria"/>
              </w:rPr>
            </w:pPr>
            <w:r w:rsidRPr="009B0EB2">
              <w:rPr>
                <w:rFonts w:eastAsia="Cambria"/>
              </w:rPr>
              <w:t>1.8</w:t>
            </w:r>
          </w:p>
        </w:tc>
      </w:tr>
    </w:tbl>
    <w:p w14:paraId="30B33435" w14:textId="77777777" w:rsidR="00940407" w:rsidRPr="00390AA7" w:rsidRDefault="00940407" w:rsidP="004366B7">
      <w:pPr>
        <w:pStyle w:val="Heading2"/>
        <w:sectPr w:rsidR="00940407" w:rsidRPr="00390AA7" w:rsidSect="004366B7">
          <w:pgSz w:w="11907" w:h="16840" w:code="9"/>
          <w:pgMar w:top="1418" w:right="1701" w:bottom="1134" w:left="1843" w:header="284" w:footer="425" w:gutter="284"/>
          <w:cols w:space="720"/>
        </w:sectPr>
      </w:pPr>
      <w:bookmarkStart w:id="511" w:name="_Toc339270044"/>
      <w:bookmarkStart w:id="512" w:name="_Toc340501959"/>
      <w:bookmarkStart w:id="513" w:name="_Toc372445579"/>
      <w:bookmarkStart w:id="514" w:name="_Toc403044034"/>
      <w:bookmarkStart w:id="515" w:name="_Toc467491555"/>
      <w:bookmarkStart w:id="516" w:name="_Toc531762372"/>
      <w:bookmarkStart w:id="517" w:name="_Toc531783729"/>
      <w:bookmarkStart w:id="518" w:name="_Toc22887961"/>
      <w:bookmarkStart w:id="519" w:name="_Toc55206870"/>
      <w:bookmarkStart w:id="520" w:name="_Toc88752061"/>
      <w:bookmarkStart w:id="521" w:name="_Toc199225803"/>
    </w:p>
    <w:p w14:paraId="5E573390" w14:textId="1AA7C166" w:rsidR="004366B7" w:rsidRPr="00390AA7" w:rsidRDefault="004366B7" w:rsidP="00940407">
      <w:pPr>
        <w:pStyle w:val="Heading2"/>
        <w:spacing w:before="0"/>
      </w:pPr>
      <w:bookmarkStart w:id="522" w:name="_Toc153259109"/>
      <w:r w:rsidRPr="00390AA7">
        <w:t>Sample sizes</w:t>
      </w:r>
      <w:bookmarkEnd w:id="511"/>
      <w:bookmarkEnd w:id="512"/>
      <w:bookmarkEnd w:id="513"/>
      <w:bookmarkEnd w:id="514"/>
      <w:bookmarkEnd w:id="515"/>
      <w:bookmarkEnd w:id="516"/>
      <w:bookmarkEnd w:id="517"/>
      <w:bookmarkEnd w:id="518"/>
      <w:bookmarkEnd w:id="519"/>
      <w:bookmarkEnd w:id="520"/>
      <w:bookmarkEnd w:id="522"/>
    </w:p>
    <w:p w14:paraId="5261F706" w14:textId="52334722" w:rsidR="004366B7" w:rsidRPr="00390AA7" w:rsidRDefault="004366B7" w:rsidP="004366B7">
      <w:r w:rsidRPr="00BF72DD">
        <w:fldChar w:fldCharType="begin"/>
      </w:r>
      <w:r w:rsidRPr="00390AA7">
        <w:instrText xml:space="preserve"> REF _Ref339269445 \h  \* MERGEFORMAT </w:instrText>
      </w:r>
      <w:r w:rsidRPr="00BF72DD">
        <w:fldChar w:fldCharType="separate"/>
      </w:r>
      <w:r w:rsidR="008D278D" w:rsidRPr="00390AA7">
        <w:t xml:space="preserve">Table </w:t>
      </w:r>
      <w:r w:rsidR="008D278D">
        <w:t>7</w:t>
      </w:r>
      <w:r w:rsidRPr="00BF72DD">
        <w:fldChar w:fldCharType="end"/>
      </w:r>
      <w:r w:rsidR="00600C6E" w:rsidRPr="00BF72DD">
        <w:t xml:space="preserve"> t</w:t>
      </w:r>
      <w:r w:rsidR="00600C6E" w:rsidRPr="00BF72DD">
        <w:rPr>
          <w:noProof/>
        </w:rPr>
        <w:t xml:space="preserve">o </w:t>
      </w:r>
      <w:r w:rsidRPr="00BF72DD">
        <w:rPr>
          <w:noProof/>
        </w:rPr>
        <w:fldChar w:fldCharType="begin"/>
      </w:r>
      <w:r w:rsidRPr="00390AA7">
        <w:rPr>
          <w:noProof/>
        </w:rPr>
        <w:instrText xml:space="preserve"> REF _Ref55463943 \h  \* MERGEFORMAT </w:instrText>
      </w:r>
      <w:r w:rsidRPr="00BF72DD">
        <w:rPr>
          <w:noProof/>
        </w:rPr>
      </w:r>
      <w:r w:rsidRPr="00BF72DD">
        <w:rPr>
          <w:noProof/>
        </w:rPr>
        <w:fldChar w:fldCharType="separate"/>
      </w:r>
      <w:r w:rsidR="008D278D" w:rsidRPr="009B0EB2">
        <w:rPr>
          <w:noProof/>
        </w:rPr>
        <w:t xml:space="preserve">Table </w:t>
      </w:r>
      <w:r w:rsidR="008D278D">
        <w:rPr>
          <w:noProof/>
        </w:rPr>
        <w:t>11</w:t>
      </w:r>
      <w:r w:rsidRPr="00BF72DD">
        <w:rPr>
          <w:noProof/>
        </w:rPr>
        <w:fldChar w:fldCharType="end"/>
      </w:r>
      <w:r w:rsidRPr="00390AA7">
        <w:t xml:space="preserve"> show the </w:t>
      </w:r>
      <w:r w:rsidRPr="00390AA7">
        <w:rPr>
          <w:rFonts w:eastAsia="Calibri"/>
          <w:lang w:eastAsia="en-US"/>
        </w:rPr>
        <w:t>202</w:t>
      </w:r>
      <w:r w:rsidR="00C867E0" w:rsidRPr="00390AA7">
        <w:rPr>
          <w:rFonts w:eastAsia="Calibri"/>
          <w:lang w:eastAsia="en-US"/>
        </w:rPr>
        <w:t>2</w:t>
      </w:r>
      <w:r w:rsidRPr="00390AA7">
        <w:rPr>
          <w:rFonts w:eastAsia="Calibri"/>
          <w:lang w:eastAsia="en-US"/>
        </w:rPr>
        <w:t>/2</w:t>
      </w:r>
      <w:r w:rsidR="00C867E0" w:rsidRPr="00390AA7">
        <w:rPr>
          <w:rFonts w:eastAsia="Calibri"/>
          <w:lang w:eastAsia="en-US"/>
        </w:rPr>
        <w:t>3</w:t>
      </w:r>
      <w:r w:rsidRPr="00390AA7">
        <w:rPr>
          <w:rFonts w:eastAsia="Calibri"/>
          <w:lang w:eastAsia="en-US"/>
        </w:rPr>
        <w:t xml:space="preserve"> </w:t>
      </w:r>
      <w:r w:rsidRPr="00390AA7">
        <w:t>NZHS sample sizes and the total ‘usually resident’ population counts, by gender, ethnicity, age, NZDep2018 quintile and disability status.</w:t>
      </w:r>
    </w:p>
    <w:p w14:paraId="134E879C" w14:textId="77777777" w:rsidR="004366B7" w:rsidRPr="00390AA7" w:rsidRDefault="004366B7" w:rsidP="004366B7"/>
    <w:p w14:paraId="46B52AC3" w14:textId="00B6B6E0" w:rsidR="004366B7" w:rsidRDefault="004366B7" w:rsidP="004563A6">
      <w:pPr>
        <w:pStyle w:val="Caption"/>
      </w:pPr>
      <w:bookmarkStart w:id="523" w:name="_Ref339269445"/>
      <w:bookmarkStart w:id="524" w:name="_Toc339878418"/>
      <w:bookmarkStart w:id="525" w:name="_Toc372445588"/>
      <w:bookmarkStart w:id="526" w:name="_Toc403044043"/>
      <w:bookmarkStart w:id="527" w:name="_Toc467491569"/>
      <w:bookmarkStart w:id="528" w:name="_Toc531762386"/>
      <w:bookmarkStart w:id="529" w:name="_Toc531766770"/>
      <w:bookmarkStart w:id="530" w:name="_Toc23857691"/>
      <w:bookmarkStart w:id="531" w:name="_Toc54962250"/>
      <w:bookmarkStart w:id="532" w:name="_Toc88038746"/>
      <w:bookmarkStart w:id="533" w:name="_Toc153259125"/>
      <w:r w:rsidRPr="00390AA7">
        <w:t xml:space="preserve">Table </w:t>
      </w:r>
      <w:r w:rsidRPr="00390AA7">
        <w:rPr>
          <w:color w:val="2B579A"/>
          <w:shd w:val="clear" w:color="auto" w:fill="E6E6E6"/>
        </w:rPr>
        <w:fldChar w:fldCharType="begin"/>
      </w:r>
      <w:r w:rsidRPr="00390AA7">
        <w:instrText>SEQ Table \* ARABIC</w:instrText>
      </w:r>
      <w:r w:rsidRPr="00390AA7">
        <w:rPr>
          <w:color w:val="2B579A"/>
          <w:shd w:val="clear" w:color="auto" w:fill="E6E6E6"/>
        </w:rPr>
        <w:fldChar w:fldCharType="separate"/>
      </w:r>
      <w:r w:rsidR="008D278D">
        <w:rPr>
          <w:noProof/>
        </w:rPr>
        <w:t>7</w:t>
      </w:r>
      <w:r w:rsidRPr="00390AA7">
        <w:rPr>
          <w:color w:val="2B579A"/>
          <w:shd w:val="clear" w:color="auto" w:fill="E6E6E6"/>
        </w:rPr>
        <w:fldChar w:fldCharType="end"/>
      </w:r>
      <w:bookmarkStart w:id="534" w:name="_Hlk85036854"/>
      <w:bookmarkEnd w:id="523"/>
      <w:r w:rsidRPr="00390AA7">
        <w:t>: Sample sizes and population counts for children and adults, by gender</w:t>
      </w:r>
      <w:bookmarkEnd w:id="534"/>
      <w:r w:rsidRPr="00390AA7">
        <w:t>, 202</w:t>
      </w:r>
      <w:r w:rsidR="00D847C9" w:rsidRPr="00390AA7">
        <w:t>2</w:t>
      </w:r>
      <w:r w:rsidRPr="00390AA7">
        <w:t>/2</w:t>
      </w:r>
      <w:r w:rsidR="00D847C9" w:rsidRPr="00390AA7">
        <w:t>3</w:t>
      </w:r>
      <w:bookmarkEnd w:id="524"/>
      <w:bookmarkEnd w:id="525"/>
      <w:bookmarkEnd w:id="526"/>
      <w:bookmarkEnd w:id="527"/>
      <w:bookmarkEnd w:id="528"/>
      <w:bookmarkEnd w:id="529"/>
      <w:bookmarkEnd w:id="530"/>
      <w:bookmarkEnd w:id="531"/>
      <w:bookmarkEnd w:id="532"/>
      <w:bookmarkEnd w:id="533"/>
    </w:p>
    <w:tbl>
      <w:tblPr>
        <w:tblW w:w="8080" w:type="dxa"/>
        <w:tblBorders>
          <w:top w:val="single" w:sz="8" w:space="0" w:color="A6A6A6"/>
          <w:bottom w:val="single" w:sz="8" w:space="0" w:color="A6A6A6"/>
          <w:insideH w:val="single" w:sz="8" w:space="0" w:color="A6A6A6"/>
        </w:tblBorders>
        <w:tblLook w:val="04A0" w:firstRow="1" w:lastRow="0" w:firstColumn="1" w:lastColumn="0" w:noHBand="0" w:noVBand="1"/>
      </w:tblPr>
      <w:tblGrid>
        <w:gridCol w:w="2410"/>
        <w:gridCol w:w="1559"/>
        <w:gridCol w:w="1843"/>
        <w:gridCol w:w="2268"/>
      </w:tblGrid>
      <w:tr w:rsidR="001866F1" w:rsidRPr="006260CA" w14:paraId="0525AEF0" w14:textId="77777777" w:rsidTr="00B16B0F">
        <w:trPr>
          <w:trHeight w:val="240"/>
        </w:trPr>
        <w:tc>
          <w:tcPr>
            <w:tcW w:w="2410" w:type="dxa"/>
            <w:tcBorders>
              <w:top w:val="nil"/>
              <w:bottom w:val="nil"/>
            </w:tcBorders>
            <w:shd w:val="clear" w:color="000000" w:fill="D9D9D9"/>
            <w:vAlign w:val="center"/>
            <w:hideMark/>
          </w:tcPr>
          <w:p w14:paraId="31D5FA53" w14:textId="300C83F4" w:rsidR="00BF3E6E" w:rsidRPr="00B16B0F" w:rsidRDefault="00BF3E6E" w:rsidP="00B16B0F">
            <w:pPr>
              <w:pStyle w:val="TableText"/>
              <w:rPr>
                <w:b/>
                <w:bCs/>
                <w:lang w:eastAsia="en-NZ"/>
              </w:rPr>
            </w:pPr>
            <w:r w:rsidRPr="00B16B0F">
              <w:rPr>
                <w:b/>
                <w:bCs/>
                <w:lang w:eastAsia="en-NZ"/>
              </w:rPr>
              <w:t>Population group</w:t>
            </w:r>
          </w:p>
        </w:tc>
        <w:tc>
          <w:tcPr>
            <w:tcW w:w="1559" w:type="dxa"/>
            <w:tcBorders>
              <w:top w:val="nil"/>
              <w:bottom w:val="nil"/>
            </w:tcBorders>
            <w:shd w:val="clear" w:color="000000" w:fill="D9D9D9"/>
            <w:vAlign w:val="center"/>
            <w:hideMark/>
          </w:tcPr>
          <w:p w14:paraId="78F11EC3" w14:textId="77777777" w:rsidR="00BF3E6E" w:rsidRPr="00B16B0F" w:rsidRDefault="00BF3E6E" w:rsidP="00B16B0F">
            <w:pPr>
              <w:pStyle w:val="TableText"/>
              <w:rPr>
                <w:b/>
                <w:bCs/>
                <w:lang w:eastAsia="en-NZ"/>
              </w:rPr>
            </w:pPr>
            <w:r w:rsidRPr="00B16B0F">
              <w:rPr>
                <w:b/>
                <w:bCs/>
                <w:lang w:eastAsia="en-NZ"/>
              </w:rPr>
              <w:t>Gender</w:t>
            </w:r>
          </w:p>
        </w:tc>
        <w:tc>
          <w:tcPr>
            <w:tcW w:w="1843" w:type="dxa"/>
            <w:tcBorders>
              <w:top w:val="nil"/>
              <w:bottom w:val="nil"/>
            </w:tcBorders>
            <w:shd w:val="clear" w:color="000000" w:fill="D9D9D9"/>
            <w:vAlign w:val="center"/>
            <w:hideMark/>
          </w:tcPr>
          <w:p w14:paraId="55360C29" w14:textId="77777777" w:rsidR="00BF3E6E" w:rsidRPr="00B16B0F" w:rsidRDefault="00BF3E6E" w:rsidP="00B16B0F">
            <w:pPr>
              <w:pStyle w:val="TableText"/>
              <w:jc w:val="right"/>
              <w:rPr>
                <w:b/>
                <w:bCs/>
                <w:lang w:eastAsia="en-NZ"/>
              </w:rPr>
            </w:pPr>
            <w:r w:rsidRPr="00B16B0F">
              <w:rPr>
                <w:b/>
                <w:bCs/>
                <w:lang w:eastAsia="en-NZ"/>
              </w:rPr>
              <w:t>Interviews</w:t>
            </w:r>
          </w:p>
        </w:tc>
        <w:tc>
          <w:tcPr>
            <w:tcW w:w="2268" w:type="dxa"/>
            <w:tcBorders>
              <w:top w:val="nil"/>
              <w:bottom w:val="nil"/>
            </w:tcBorders>
            <w:shd w:val="clear" w:color="000000" w:fill="D9D9D9"/>
            <w:vAlign w:val="center"/>
            <w:hideMark/>
          </w:tcPr>
          <w:p w14:paraId="157D5B56" w14:textId="1F216575" w:rsidR="00BF3E6E" w:rsidRPr="00B16B0F" w:rsidRDefault="00BF3E6E" w:rsidP="00B16B0F">
            <w:pPr>
              <w:pStyle w:val="TableText"/>
              <w:jc w:val="right"/>
              <w:rPr>
                <w:b/>
                <w:bCs/>
                <w:lang w:eastAsia="en-NZ"/>
              </w:rPr>
            </w:pPr>
            <w:r w:rsidRPr="00B16B0F">
              <w:rPr>
                <w:b/>
                <w:bCs/>
                <w:lang w:eastAsia="en-NZ"/>
              </w:rPr>
              <w:t>Population count</w:t>
            </w:r>
          </w:p>
        </w:tc>
      </w:tr>
      <w:tr w:rsidR="00BF3E6E" w:rsidRPr="009B0EB2" w14:paraId="023AD6B6" w14:textId="77777777" w:rsidTr="00B16B0F">
        <w:trPr>
          <w:trHeight w:val="240"/>
        </w:trPr>
        <w:tc>
          <w:tcPr>
            <w:tcW w:w="2410" w:type="dxa"/>
            <w:tcBorders>
              <w:top w:val="nil"/>
            </w:tcBorders>
            <w:shd w:val="clear" w:color="auto" w:fill="auto"/>
            <w:vAlign w:val="center"/>
            <w:hideMark/>
          </w:tcPr>
          <w:p w14:paraId="1EB60A4A" w14:textId="77777777" w:rsidR="00BF3E6E" w:rsidRPr="009B0EB2" w:rsidRDefault="00BF3E6E" w:rsidP="00B16B0F">
            <w:pPr>
              <w:pStyle w:val="TableText"/>
              <w:rPr>
                <w:lang w:eastAsia="en-NZ"/>
              </w:rPr>
            </w:pPr>
            <w:r w:rsidRPr="009B0EB2">
              <w:rPr>
                <w:lang w:eastAsia="en-NZ"/>
              </w:rPr>
              <w:t>Children</w:t>
            </w:r>
          </w:p>
        </w:tc>
        <w:tc>
          <w:tcPr>
            <w:tcW w:w="1559" w:type="dxa"/>
            <w:tcBorders>
              <w:top w:val="nil"/>
            </w:tcBorders>
            <w:shd w:val="clear" w:color="auto" w:fill="auto"/>
            <w:vAlign w:val="center"/>
            <w:hideMark/>
          </w:tcPr>
          <w:p w14:paraId="48B582FD" w14:textId="77777777" w:rsidR="00BF3E6E" w:rsidRPr="009B0EB2" w:rsidRDefault="00BF3E6E" w:rsidP="00B16B0F">
            <w:pPr>
              <w:pStyle w:val="TableText"/>
              <w:rPr>
                <w:lang w:eastAsia="en-NZ"/>
              </w:rPr>
            </w:pPr>
            <w:r w:rsidRPr="009B0EB2">
              <w:rPr>
                <w:lang w:eastAsia="en-NZ"/>
              </w:rPr>
              <w:t>Boys</w:t>
            </w:r>
          </w:p>
        </w:tc>
        <w:tc>
          <w:tcPr>
            <w:tcW w:w="1843" w:type="dxa"/>
            <w:tcBorders>
              <w:top w:val="nil"/>
            </w:tcBorders>
            <w:shd w:val="clear" w:color="auto" w:fill="auto"/>
            <w:noWrap/>
            <w:vAlign w:val="bottom"/>
            <w:hideMark/>
          </w:tcPr>
          <w:p w14:paraId="766EF009" w14:textId="57B1D28A" w:rsidR="00BF3E6E" w:rsidRPr="009B0EB2" w:rsidRDefault="00BF3E6E" w:rsidP="00B16B0F">
            <w:pPr>
              <w:pStyle w:val="TableText"/>
              <w:jc w:val="right"/>
              <w:rPr>
                <w:lang w:eastAsia="en-NZ"/>
              </w:rPr>
            </w:pPr>
            <w:r w:rsidRPr="009B0EB2">
              <w:rPr>
                <w:lang w:eastAsia="en-NZ"/>
              </w:rPr>
              <w:t>1,018</w:t>
            </w:r>
          </w:p>
        </w:tc>
        <w:tc>
          <w:tcPr>
            <w:tcW w:w="2268" w:type="dxa"/>
            <w:tcBorders>
              <w:top w:val="nil"/>
            </w:tcBorders>
            <w:shd w:val="clear" w:color="auto" w:fill="auto"/>
            <w:noWrap/>
            <w:vAlign w:val="bottom"/>
            <w:hideMark/>
          </w:tcPr>
          <w:p w14:paraId="18FB7817" w14:textId="2001FF8A" w:rsidR="00BF3E6E" w:rsidRPr="009B0EB2" w:rsidRDefault="00BF3E6E" w:rsidP="00B16B0F">
            <w:pPr>
              <w:pStyle w:val="TableText"/>
              <w:jc w:val="right"/>
              <w:rPr>
                <w:lang w:eastAsia="en-NZ"/>
              </w:rPr>
            </w:pPr>
            <w:r w:rsidRPr="009B0EB2">
              <w:rPr>
                <w:lang w:eastAsia="en-NZ"/>
              </w:rPr>
              <w:t>494,797</w:t>
            </w:r>
          </w:p>
        </w:tc>
      </w:tr>
      <w:tr w:rsidR="00BF3E6E" w:rsidRPr="009B0EB2" w14:paraId="4FFBE0B8" w14:textId="77777777" w:rsidTr="00B16B0F">
        <w:trPr>
          <w:trHeight w:val="240"/>
        </w:trPr>
        <w:tc>
          <w:tcPr>
            <w:tcW w:w="2410" w:type="dxa"/>
            <w:shd w:val="clear" w:color="auto" w:fill="auto"/>
            <w:vAlign w:val="center"/>
            <w:hideMark/>
          </w:tcPr>
          <w:p w14:paraId="264BBB1E" w14:textId="77777777" w:rsidR="00BF3E6E" w:rsidRPr="009B0EB2" w:rsidRDefault="00BF3E6E" w:rsidP="00B16B0F">
            <w:pPr>
              <w:pStyle w:val="TableText"/>
              <w:rPr>
                <w:lang w:eastAsia="en-NZ"/>
              </w:rPr>
            </w:pPr>
            <w:r w:rsidRPr="009B0EB2">
              <w:rPr>
                <w:lang w:eastAsia="en-NZ"/>
              </w:rPr>
              <w:t>(0–14 years)</w:t>
            </w:r>
          </w:p>
        </w:tc>
        <w:tc>
          <w:tcPr>
            <w:tcW w:w="1559" w:type="dxa"/>
            <w:shd w:val="clear" w:color="auto" w:fill="auto"/>
            <w:vAlign w:val="center"/>
            <w:hideMark/>
          </w:tcPr>
          <w:p w14:paraId="42562DD1" w14:textId="77777777" w:rsidR="00BF3E6E" w:rsidRPr="009B0EB2" w:rsidRDefault="00BF3E6E" w:rsidP="00B16B0F">
            <w:pPr>
              <w:pStyle w:val="TableText"/>
              <w:rPr>
                <w:lang w:eastAsia="en-NZ"/>
              </w:rPr>
            </w:pPr>
            <w:r w:rsidRPr="009B0EB2">
              <w:rPr>
                <w:lang w:eastAsia="en-NZ"/>
              </w:rPr>
              <w:t>Girls</w:t>
            </w:r>
          </w:p>
        </w:tc>
        <w:tc>
          <w:tcPr>
            <w:tcW w:w="1843" w:type="dxa"/>
            <w:shd w:val="clear" w:color="auto" w:fill="auto"/>
            <w:noWrap/>
            <w:vAlign w:val="bottom"/>
            <w:hideMark/>
          </w:tcPr>
          <w:p w14:paraId="7F287314" w14:textId="5BE6D3EB" w:rsidR="00BF3E6E" w:rsidRPr="009B0EB2" w:rsidRDefault="00BF3E6E" w:rsidP="00B16B0F">
            <w:pPr>
              <w:pStyle w:val="TableText"/>
              <w:jc w:val="right"/>
              <w:rPr>
                <w:lang w:eastAsia="en-NZ"/>
              </w:rPr>
            </w:pPr>
            <w:r w:rsidRPr="009B0EB2">
              <w:rPr>
                <w:lang w:eastAsia="en-NZ"/>
              </w:rPr>
              <w:t>1,011</w:t>
            </w:r>
          </w:p>
        </w:tc>
        <w:tc>
          <w:tcPr>
            <w:tcW w:w="2268" w:type="dxa"/>
            <w:shd w:val="clear" w:color="auto" w:fill="auto"/>
            <w:noWrap/>
            <w:vAlign w:val="bottom"/>
            <w:hideMark/>
          </w:tcPr>
          <w:p w14:paraId="4DD3C365" w14:textId="07B502BD" w:rsidR="00BF3E6E" w:rsidRPr="009B0EB2" w:rsidRDefault="00BF3E6E" w:rsidP="00B16B0F">
            <w:pPr>
              <w:pStyle w:val="TableText"/>
              <w:jc w:val="right"/>
              <w:rPr>
                <w:lang w:eastAsia="en-NZ"/>
              </w:rPr>
            </w:pPr>
            <w:r w:rsidRPr="009B0EB2">
              <w:rPr>
                <w:lang w:eastAsia="en-NZ"/>
              </w:rPr>
              <w:t>469,960</w:t>
            </w:r>
          </w:p>
        </w:tc>
      </w:tr>
      <w:tr w:rsidR="00BF3E6E" w:rsidRPr="006260CA" w14:paraId="6D94A971" w14:textId="77777777" w:rsidTr="00B16B0F">
        <w:trPr>
          <w:trHeight w:val="255"/>
        </w:trPr>
        <w:tc>
          <w:tcPr>
            <w:tcW w:w="2410" w:type="dxa"/>
            <w:shd w:val="clear" w:color="auto" w:fill="auto"/>
            <w:hideMark/>
          </w:tcPr>
          <w:p w14:paraId="0CE8C352" w14:textId="77777777" w:rsidR="00BF3E6E" w:rsidRPr="00B16B0F" w:rsidRDefault="00BF3E6E" w:rsidP="00B16B0F">
            <w:pPr>
              <w:pStyle w:val="TableText"/>
              <w:rPr>
                <w:b/>
                <w:bCs/>
                <w:lang w:eastAsia="en-NZ"/>
              </w:rPr>
            </w:pPr>
            <w:r w:rsidRPr="00B16B0F">
              <w:rPr>
                <w:b/>
                <w:bCs/>
                <w:lang w:eastAsia="en-NZ"/>
              </w:rPr>
              <w:t> </w:t>
            </w:r>
          </w:p>
        </w:tc>
        <w:tc>
          <w:tcPr>
            <w:tcW w:w="1559" w:type="dxa"/>
            <w:shd w:val="clear" w:color="auto" w:fill="auto"/>
            <w:vAlign w:val="center"/>
            <w:hideMark/>
          </w:tcPr>
          <w:p w14:paraId="5899D769" w14:textId="77777777" w:rsidR="00BF3E6E" w:rsidRPr="00B16B0F" w:rsidRDefault="00BF3E6E" w:rsidP="00B16B0F">
            <w:pPr>
              <w:pStyle w:val="TableText"/>
              <w:rPr>
                <w:b/>
                <w:bCs/>
                <w:lang w:eastAsia="en-NZ"/>
              </w:rPr>
            </w:pPr>
            <w:r w:rsidRPr="00B16B0F">
              <w:rPr>
                <w:b/>
                <w:bCs/>
                <w:lang w:eastAsia="en-NZ"/>
              </w:rPr>
              <w:t>Total</w:t>
            </w:r>
          </w:p>
        </w:tc>
        <w:tc>
          <w:tcPr>
            <w:tcW w:w="1843" w:type="dxa"/>
            <w:shd w:val="clear" w:color="auto" w:fill="auto"/>
            <w:vAlign w:val="center"/>
            <w:hideMark/>
          </w:tcPr>
          <w:p w14:paraId="20E9C0F2" w14:textId="415CCBC4" w:rsidR="00BF3E6E" w:rsidRPr="00B16B0F" w:rsidRDefault="00BF3E6E" w:rsidP="00B16B0F">
            <w:pPr>
              <w:pStyle w:val="TableText"/>
              <w:jc w:val="right"/>
              <w:rPr>
                <w:b/>
                <w:bCs/>
                <w:lang w:eastAsia="en-NZ"/>
              </w:rPr>
            </w:pPr>
            <w:r w:rsidRPr="00B16B0F">
              <w:rPr>
                <w:b/>
                <w:bCs/>
                <w:lang w:eastAsia="en-NZ"/>
              </w:rPr>
              <w:t>2,029</w:t>
            </w:r>
          </w:p>
        </w:tc>
        <w:tc>
          <w:tcPr>
            <w:tcW w:w="2268" w:type="dxa"/>
            <w:shd w:val="clear" w:color="auto" w:fill="auto"/>
            <w:vAlign w:val="center"/>
            <w:hideMark/>
          </w:tcPr>
          <w:p w14:paraId="429BC9AC" w14:textId="4636C994" w:rsidR="00BF3E6E" w:rsidRPr="00B16B0F" w:rsidRDefault="00BF3E6E" w:rsidP="00B16B0F">
            <w:pPr>
              <w:pStyle w:val="TableText"/>
              <w:jc w:val="right"/>
              <w:rPr>
                <w:b/>
                <w:bCs/>
                <w:lang w:eastAsia="en-NZ"/>
              </w:rPr>
            </w:pPr>
            <w:r w:rsidRPr="00B16B0F">
              <w:rPr>
                <w:b/>
                <w:bCs/>
                <w:lang w:eastAsia="en-NZ"/>
              </w:rPr>
              <w:t>964,757</w:t>
            </w:r>
          </w:p>
        </w:tc>
      </w:tr>
      <w:tr w:rsidR="00BF3E6E" w:rsidRPr="009B0EB2" w14:paraId="6A5710CA" w14:textId="77777777" w:rsidTr="00B16B0F">
        <w:trPr>
          <w:trHeight w:val="240"/>
        </w:trPr>
        <w:tc>
          <w:tcPr>
            <w:tcW w:w="2410" w:type="dxa"/>
            <w:shd w:val="clear" w:color="auto" w:fill="auto"/>
            <w:vAlign w:val="center"/>
            <w:hideMark/>
          </w:tcPr>
          <w:p w14:paraId="7B354BB5" w14:textId="77777777" w:rsidR="00BF3E6E" w:rsidRPr="009B0EB2" w:rsidRDefault="00BF3E6E" w:rsidP="00B16B0F">
            <w:pPr>
              <w:pStyle w:val="TableText"/>
              <w:rPr>
                <w:lang w:eastAsia="en-NZ"/>
              </w:rPr>
            </w:pPr>
            <w:r w:rsidRPr="009B0EB2">
              <w:rPr>
                <w:lang w:eastAsia="en-NZ"/>
              </w:rPr>
              <w:t>Adults</w:t>
            </w:r>
          </w:p>
        </w:tc>
        <w:tc>
          <w:tcPr>
            <w:tcW w:w="1559" w:type="dxa"/>
            <w:shd w:val="clear" w:color="auto" w:fill="auto"/>
            <w:vAlign w:val="center"/>
            <w:hideMark/>
          </w:tcPr>
          <w:p w14:paraId="46A6621A" w14:textId="77777777" w:rsidR="00BF3E6E" w:rsidRPr="009B0EB2" w:rsidRDefault="00BF3E6E" w:rsidP="00B16B0F">
            <w:pPr>
              <w:pStyle w:val="TableText"/>
              <w:rPr>
                <w:lang w:eastAsia="en-NZ"/>
              </w:rPr>
            </w:pPr>
            <w:r w:rsidRPr="009B0EB2">
              <w:rPr>
                <w:lang w:eastAsia="en-NZ"/>
              </w:rPr>
              <w:t>Men</w:t>
            </w:r>
          </w:p>
        </w:tc>
        <w:tc>
          <w:tcPr>
            <w:tcW w:w="1843" w:type="dxa"/>
            <w:shd w:val="clear" w:color="auto" w:fill="auto"/>
            <w:noWrap/>
            <w:vAlign w:val="bottom"/>
            <w:hideMark/>
          </w:tcPr>
          <w:p w14:paraId="780E6951" w14:textId="242371D7" w:rsidR="00BF3E6E" w:rsidRPr="009B0EB2" w:rsidRDefault="00BF3E6E" w:rsidP="00B16B0F">
            <w:pPr>
              <w:pStyle w:val="TableText"/>
              <w:jc w:val="right"/>
              <w:rPr>
                <w:lang w:eastAsia="en-NZ"/>
              </w:rPr>
            </w:pPr>
            <w:r w:rsidRPr="009B0EB2">
              <w:rPr>
                <w:lang w:eastAsia="en-NZ"/>
              </w:rPr>
              <w:t>2,766</w:t>
            </w:r>
          </w:p>
        </w:tc>
        <w:tc>
          <w:tcPr>
            <w:tcW w:w="2268" w:type="dxa"/>
            <w:shd w:val="clear" w:color="auto" w:fill="auto"/>
            <w:noWrap/>
            <w:vAlign w:val="bottom"/>
            <w:hideMark/>
          </w:tcPr>
          <w:p w14:paraId="5BEB3B84" w14:textId="3EE00018" w:rsidR="00BF3E6E" w:rsidRPr="009B0EB2" w:rsidRDefault="00BF3E6E" w:rsidP="00B16B0F">
            <w:pPr>
              <w:pStyle w:val="TableText"/>
              <w:jc w:val="right"/>
              <w:rPr>
                <w:lang w:eastAsia="en-NZ"/>
              </w:rPr>
            </w:pPr>
            <w:r w:rsidRPr="009B0EB2">
              <w:rPr>
                <w:lang w:eastAsia="en-NZ"/>
              </w:rPr>
              <w:t>2,060,337</w:t>
            </w:r>
          </w:p>
        </w:tc>
      </w:tr>
      <w:tr w:rsidR="00BF3E6E" w:rsidRPr="009B0EB2" w14:paraId="354594F0" w14:textId="77777777" w:rsidTr="00B16B0F">
        <w:trPr>
          <w:trHeight w:val="240"/>
        </w:trPr>
        <w:tc>
          <w:tcPr>
            <w:tcW w:w="2410" w:type="dxa"/>
            <w:shd w:val="clear" w:color="auto" w:fill="auto"/>
            <w:vAlign w:val="center"/>
            <w:hideMark/>
          </w:tcPr>
          <w:p w14:paraId="292C0D6B" w14:textId="77777777" w:rsidR="00BF3E6E" w:rsidRPr="009B0EB2" w:rsidRDefault="00BF3E6E" w:rsidP="00B16B0F">
            <w:pPr>
              <w:pStyle w:val="TableText"/>
              <w:rPr>
                <w:lang w:eastAsia="en-NZ"/>
              </w:rPr>
            </w:pPr>
            <w:r w:rsidRPr="009B0EB2">
              <w:rPr>
                <w:lang w:eastAsia="en-NZ"/>
              </w:rPr>
              <w:t>(15 years and over)</w:t>
            </w:r>
          </w:p>
        </w:tc>
        <w:tc>
          <w:tcPr>
            <w:tcW w:w="1559" w:type="dxa"/>
            <w:shd w:val="clear" w:color="auto" w:fill="auto"/>
            <w:vAlign w:val="center"/>
            <w:hideMark/>
          </w:tcPr>
          <w:p w14:paraId="1A0B9B43" w14:textId="77777777" w:rsidR="00BF3E6E" w:rsidRPr="009B0EB2" w:rsidRDefault="00BF3E6E" w:rsidP="00B16B0F">
            <w:pPr>
              <w:pStyle w:val="TableText"/>
              <w:rPr>
                <w:lang w:eastAsia="en-NZ"/>
              </w:rPr>
            </w:pPr>
            <w:r w:rsidRPr="009B0EB2">
              <w:rPr>
                <w:lang w:eastAsia="en-NZ"/>
              </w:rPr>
              <w:t>Women</w:t>
            </w:r>
          </w:p>
        </w:tc>
        <w:tc>
          <w:tcPr>
            <w:tcW w:w="1843" w:type="dxa"/>
            <w:shd w:val="clear" w:color="auto" w:fill="auto"/>
            <w:noWrap/>
            <w:vAlign w:val="bottom"/>
            <w:hideMark/>
          </w:tcPr>
          <w:p w14:paraId="4A502791" w14:textId="7ADBA765" w:rsidR="00BF3E6E" w:rsidRPr="009B0EB2" w:rsidRDefault="00BF3E6E" w:rsidP="00B16B0F">
            <w:pPr>
              <w:pStyle w:val="TableText"/>
              <w:jc w:val="right"/>
              <w:rPr>
                <w:lang w:eastAsia="en-NZ"/>
              </w:rPr>
            </w:pPr>
            <w:r w:rsidRPr="009B0EB2">
              <w:rPr>
                <w:lang w:eastAsia="en-NZ"/>
              </w:rPr>
              <w:t>4,012</w:t>
            </w:r>
          </w:p>
        </w:tc>
        <w:tc>
          <w:tcPr>
            <w:tcW w:w="2268" w:type="dxa"/>
            <w:shd w:val="clear" w:color="auto" w:fill="auto"/>
            <w:noWrap/>
            <w:vAlign w:val="bottom"/>
            <w:hideMark/>
          </w:tcPr>
          <w:p w14:paraId="000AB16F" w14:textId="32705D94" w:rsidR="00BF3E6E" w:rsidRPr="009B0EB2" w:rsidRDefault="00BF3E6E" w:rsidP="00B16B0F">
            <w:pPr>
              <w:pStyle w:val="TableText"/>
              <w:jc w:val="right"/>
              <w:rPr>
                <w:lang w:eastAsia="en-NZ"/>
              </w:rPr>
            </w:pPr>
            <w:r w:rsidRPr="009B0EB2">
              <w:rPr>
                <w:lang w:eastAsia="en-NZ"/>
              </w:rPr>
              <w:t>2,117,537</w:t>
            </w:r>
          </w:p>
        </w:tc>
      </w:tr>
      <w:tr w:rsidR="00BF3E6E" w:rsidRPr="009B0EB2" w14:paraId="0D12E401" w14:textId="77777777" w:rsidTr="00B16B0F">
        <w:trPr>
          <w:trHeight w:val="240"/>
        </w:trPr>
        <w:tc>
          <w:tcPr>
            <w:tcW w:w="2410" w:type="dxa"/>
            <w:shd w:val="clear" w:color="auto" w:fill="auto"/>
            <w:vAlign w:val="center"/>
            <w:hideMark/>
          </w:tcPr>
          <w:p w14:paraId="496F9C12" w14:textId="77777777" w:rsidR="00BF3E6E" w:rsidRPr="009B0EB2" w:rsidRDefault="00BF3E6E" w:rsidP="00B16B0F">
            <w:pPr>
              <w:pStyle w:val="TableText"/>
              <w:rPr>
                <w:lang w:eastAsia="en-NZ"/>
              </w:rPr>
            </w:pPr>
          </w:p>
        </w:tc>
        <w:tc>
          <w:tcPr>
            <w:tcW w:w="1559" w:type="dxa"/>
            <w:shd w:val="clear" w:color="auto" w:fill="auto"/>
            <w:vAlign w:val="center"/>
            <w:hideMark/>
          </w:tcPr>
          <w:p w14:paraId="59C340B2" w14:textId="77777777" w:rsidR="00BF3E6E" w:rsidRPr="009B0EB2" w:rsidRDefault="00BF3E6E" w:rsidP="00B16B0F">
            <w:pPr>
              <w:pStyle w:val="TableText"/>
              <w:rPr>
                <w:lang w:eastAsia="en-NZ"/>
              </w:rPr>
            </w:pPr>
            <w:r w:rsidRPr="009B0EB2">
              <w:rPr>
                <w:lang w:eastAsia="en-NZ"/>
              </w:rPr>
              <w:t>Another gender</w:t>
            </w:r>
          </w:p>
        </w:tc>
        <w:tc>
          <w:tcPr>
            <w:tcW w:w="1843" w:type="dxa"/>
            <w:shd w:val="clear" w:color="auto" w:fill="auto"/>
            <w:noWrap/>
            <w:vAlign w:val="bottom"/>
            <w:hideMark/>
          </w:tcPr>
          <w:p w14:paraId="3295C48E" w14:textId="39011DA9" w:rsidR="00BF3E6E" w:rsidRPr="009B0EB2" w:rsidRDefault="00BF3E6E" w:rsidP="00B16B0F">
            <w:pPr>
              <w:pStyle w:val="TableText"/>
              <w:jc w:val="right"/>
              <w:rPr>
                <w:lang w:eastAsia="en-NZ"/>
              </w:rPr>
            </w:pPr>
            <w:r w:rsidRPr="009B0EB2">
              <w:rPr>
                <w:lang w:eastAsia="en-NZ"/>
              </w:rPr>
              <w:t>21</w:t>
            </w:r>
          </w:p>
        </w:tc>
        <w:tc>
          <w:tcPr>
            <w:tcW w:w="2268" w:type="dxa"/>
            <w:shd w:val="clear" w:color="auto" w:fill="auto"/>
            <w:noWrap/>
            <w:vAlign w:val="bottom"/>
            <w:hideMark/>
          </w:tcPr>
          <w:p w14:paraId="36A257E6" w14:textId="1B5F40C5" w:rsidR="00BF3E6E" w:rsidRPr="009B0EB2" w:rsidRDefault="00BF3E6E" w:rsidP="00B16B0F">
            <w:pPr>
              <w:pStyle w:val="TableText"/>
              <w:jc w:val="right"/>
              <w:rPr>
                <w:lang w:eastAsia="en-NZ"/>
              </w:rPr>
            </w:pPr>
            <w:r w:rsidRPr="009B0EB2">
              <w:rPr>
                <w:lang w:eastAsia="en-NZ"/>
              </w:rPr>
              <w:t>21,436</w:t>
            </w:r>
          </w:p>
        </w:tc>
      </w:tr>
      <w:tr w:rsidR="00BF3E6E" w:rsidRPr="006260CA" w14:paraId="0263B4FE" w14:textId="77777777" w:rsidTr="00B16B0F">
        <w:trPr>
          <w:trHeight w:val="255"/>
        </w:trPr>
        <w:tc>
          <w:tcPr>
            <w:tcW w:w="2410" w:type="dxa"/>
            <w:shd w:val="clear" w:color="auto" w:fill="auto"/>
            <w:hideMark/>
          </w:tcPr>
          <w:p w14:paraId="28C1BED9" w14:textId="77777777" w:rsidR="00BF3E6E" w:rsidRPr="00B16B0F" w:rsidRDefault="00BF3E6E" w:rsidP="00B16B0F">
            <w:pPr>
              <w:pStyle w:val="TableText"/>
              <w:rPr>
                <w:b/>
                <w:bCs/>
                <w:lang w:eastAsia="en-NZ"/>
              </w:rPr>
            </w:pPr>
            <w:r w:rsidRPr="00B16B0F">
              <w:rPr>
                <w:b/>
                <w:bCs/>
                <w:lang w:eastAsia="en-NZ"/>
              </w:rPr>
              <w:t> </w:t>
            </w:r>
          </w:p>
        </w:tc>
        <w:tc>
          <w:tcPr>
            <w:tcW w:w="1559" w:type="dxa"/>
            <w:shd w:val="clear" w:color="auto" w:fill="auto"/>
            <w:vAlign w:val="center"/>
            <w:hideMark/>
          </w:tcPr>
          <w:p w14:paraId="2BC3656C" w14:textId="77777777" w:rsidR="00BF3E6E" w:rsidRPr="00B16B0F" w:rsidRDefault="00BF3E6E" w:rsidP="00B16B0F">
            <w:pPr>
              <w:pStyle w:val="TableText"/>
              <w:rPr>
                <w:b/>
                <w:bCs/>
                <w:lang w:eastAsia="en-NZ"/>
              </w:rPr>
            </w:pPr>
            <w:r w:rsidRPr="00B16B0F">
              <w:rPr>
                <w:b/>
                <w:bCs/>
                <w:lang w:eastAsia="en-NZ"/>
              </w:rPr>
              <w:t>Total</w:t>
            </w:r>
          </w:p>
        </w:tc>
        <w:tc>
          <w:tcPr>
            <w:tcW w:w="1843" w:type="dxa"/>
            <w:shd w:val="clear" w:color="auto" w:fill="auto"/>
            <w:vAlign w:val="center"/>
            <w:hideMark/>
          </w:tcPr>
          <w:p w14:paraId="0216AADE" w14:textId="4D63BF68" w:rsidR="00BF3E6E" w:rsidRPr="00B16B0F" w:rsidRDefault="00BF3E6E" w:rsidP="00B16B0F">
            <w:pPr>
              <w:pStyle w:val="TableText"/>
              <w:jc w:val="right"/>
              <w:rPr>
                <w:b/>
                <w:bCs/>
                <w:lang w:eastAsia="en-NZ"/>
              </w:rPr>
            </w:pPr>
            <w:r w:rsidRPr="00B16B0F">
              <w:rPr>
                <w:b/>
                <w:bCs/>
                <w:lang w:eastAsia="en-NZ"/>
              </w:rPr>
              <w:t>6,799</w:t>
            </w:r>
          </w:p>
        </w:tc>
        <w:tc>
          <w:tcPr>
            <w:tcW w:w="2268" w:type="dxa"/>
            <w:shd w:val="clear" w:color="auto" w:fill="auto"/>
            <w:vAlign w:val="center"/>
            <w:hideMark/>
          </w:tcPr>
          <w:p w14:paraId="3AA5B6D4" w14:textId="4DADCF20" w:rsidR="00BF3E6E" w:rsidRPr="00B16B0F" w:rsidRDefault="00BF3E6E" w:rsidP="00B16B0F">
            <w:pPr>
              <w:pStyle w:val="TableText"/>
              <w:jc w:val="right"/>
              <w:rPr>
                <w:b/>
                <w:bCs/>
                <w:lang w:eastAsia="en-NZ"/>
              </w:rPr>
            </w:pPr>
            <w:r w:rsidRPr="00B16B0F">
              <w:rPr>
                <w:b/>
                <w:bCs/>
                <w:lang w:eastAsia="en-NZ"/>
              </w:rPr>
              <w:t>4,199,310</w:t>
            </w:r>
          </w:p>
        </w:tc>
      </w:tr>
    </w:tbl>
    <w:p w14:paraId="0DA0A779" w14:textId="77777777" w:rsidR="00FB265E" w:rsidRPr="009B0EB2" w:rsidRDefault="00FB265E" w:rsidP="00FB265E"/>
    <w:p w14:paraId="18FCEA53" w14:textId="457B52D5" w:rsidR="004366B7" w:rsidRPr="009B0EB2" w:rsidRDefault="004366B7" w:rsidP="004563A6">
      <w:pPr>
        <w:pStyle w:val="Caption"/>
      </w:pPr>
      <w:bookmarkStart w:id="535" w:name="_Toc339878419"/>
      <w:bookmarkStart w:id="536" w:name="_Toc372445589"/>
      <w:bookmarkStart w:id="537" w:name="_Toc403044044"/>
      <w:bookmarkStart w:id="538" w:name="_Toc467491570"/>
      <w:bookmarkStart w:id="539" w:name="_Toc531762387"/>
      <w:bookmarkStart w:id="540" w:name="_Toc531766771"/>
      <w:bookmarkStart w:id="541" w:name="_Toc23857692"/>
      <w:bookmarkStart w:id="542" w:name="_Toc54962251"/>
      <w:bookmarkStart w:id="543" w:name="_Toc88038747"/>
      <w:bookmarkStart w:id="544" w:name="_Toc153259126"/>
      <w:r w:rsidRPr="009B0EB2">
        <w:t xml:space="preserve">Table </w:t>
      </w:r>
      <w:r w:rsidRPr="009B0EB2">
        <w:rPr>
          <w:color w:val="2B579A"/>
          <w:shd w:val="clear" w:color="auto" w:fill="E6E6E6"/>
        </w:rPr>
        <w:fldChar w:fldCharType="begin"/>
      </w:r>
      <w:r w:rsidRPr="009B0EB2">
        <w:instrText>SEQ Table \* ARABIC</w:instrText>
      </w:r>
      <w:r w:rsidRPr="009B0EB2">
        <w:rPr>
          <w:color w:val="2B579A"/>
          <w:shd w:val="clear" w:color="auto" w:fill="E6E6E6"/>
        </w:rPr>
        <w:fldChar w:fldCharType="separate"/>
      </w:r>
      <w:r w:rsidR="008D278D">
        <w:rPr>
          <w:noProof/>
        </w:rPr>
        <w:t>8</w:t>
      </w:r>
      <w:r w:rsidRPr="009B0EB2">
        <w:rPr>
          <w:color w:val="2B579A"/>
          <w:shd w:val="clear" w:color="auto" w:fill="E6E6E6"/>
        </w:rPr>
        <w:fldChar w:fldCharType="end"/>
      </w:r>
      <w:r w:rsidRPr="009B0EB2">
        <w:t>: Sample sizes and population counts for children and adults, by total response ethnicity, 202</w:t>
      </w:r>
      <w:r w:rsidR="00CA54B8" w:rsidRPr="009B0EB2">
        <w:t>2</w:t>
      </w:r>
      <w:r w:rsidRPr="009B0EB2">
        <w:t>/2</w:t>
      </w:r>
      <w:r w:rsidR="00CA54B8" w:rsidRPr="009B0EB2">
        <w:t>3</w:t>
      </w:r>
      <w:bookmarkEnd w:id="535"/>
      <w:bookmarkEnd w:id="536"/>
      <w:bookmarkEnd w:id="537"/>
      <w:bookmarkEnd w:id="538"/>
      <w:bookmarkEnd w:id="539"/>
      <w:bookmarkEnd w:id="540"/>
      <w:bookmarkEnd w:id="541"/>
      <w:bookmarkEnd w:id="542"/>
      <w:bookmarkEnd w:id="543"/>
      <w:bookmarkEnd w:id="544"/>
    </w:p>
    <w:tbl>
      <w:tblPr>
        <w:tblW w:w="7938" w:type="dxa"/>
        <w:tblLayout w:type="fixed"/>
        <w:tblLook w:val="04A0" w:firstRow="1" w:lastRow="0" w:firstColumn="1" w:lastColumn="0" w:noHBand="0" w:noVBand="1"/>
      </w:tblPr>
      <w:tblGrid>
        <w:gridCol w:w="2471"/>
        <w:gridCol w:w="1782"/>
        <w:gridCol w:w="1559"/>
        <w:gridCol w:w="2126"/>
      </w:tblGrid>
      <w:tr w:rsidR="0044178C" w:rsidRPr="006260CA" w14:paraId="6EDF0396" w14:textId="77777777" w:rsidTr="00805797">
        <w:trPr>
          <w:trHeight w:val="240"/>
        </w:trPr>
        <w:tc>
          <w:tcPr>
            <w:tcW w:w="2471" w:type="dxa"/>
            <w:tcBorders>
              <w:top w:val="nil"/>
              <w:left w:val="nil"/>
              <w:bottom w:val="nil"/>
              <w:right w:val="nil"/>
            </w:tcBorders>
            <w:shd w:val="clear" w:color="000000" w:fill="D9D9D9"/>
            <w:vAlign w:val="center"/>
            <w:hideMark/>
          </w:tcPr>
          <w:p w14:paraId="1F8E1692" w14:textId="77777777" w:rsidR="00DC2FB4" w:rsidRPr="00B16B0F" w:rsidRDefault="00DC2FB4" w:rsidP="00B16B0F">
            <w:pPr>
              <w:pStyle w:val="TableText"/>
              <w:rPr>
                <w:b/>
                <w:bCs/>
                <w:lang w:eastAsia="en-NZ"/>
              </w:rPr>
            </w:pPr>
            <w:r w:rsidRPr="00B16B0F">
              <w:rPr>
                <w:b/>
                <w:bCs/>
                <w:lang w:eastAsia="en-NZ"/>
              </w:rPr>
              <w:t>Ethnic group</w:t>
            </w:r>
          </w:p>
        </w:tc>
        <w:tc>
          <w:tcPr>
            <w:tcW w:w="1782" w:type="dxa"/>
            <w:vMerge w:val="restart"/>
            <w:tcBorders>
              <w:top w:val="nil"/>
              <w:left w:val="nil"/>
              <w:bottom w:val="nil"/>
              <w:right w:val="nil"/>
            </w:tcBorders>
            <w:shd w:val="clear" w:color="000000" w:fill="D9D9D9"/>
            <w:vAlign w:val="center"/>
            <w:hideMark/>
          </w:tcPr>
          <w:p w14:paraId="2904A878" w14:textId="77777777" w:rsidR="00DC2FB4" w:rsidRPr="00B16B0F" w:rsidRDefault="00DC2FB4" w:rsidP="00B16B0F">
            <w:pPr>
              <w:pStyle w:val="TableText"/>
              <w:rPr>
                <w:b/>
                <w:bCs/>
                <w:lang w:eastAsia="en-NZ"/>
              </w:rPr>
            </w:pPr>
            <w:r w:rsidRPr="00B16B0F">
              <w:rPr>
                <w:b/>
                <w:bCs/>
                <w:lang w:eastAsia="en-NZ"/>
              </w:rPr>
              <w:t>Population group</w:t>
            </w:r>
          </w:p>
        </w:tc>
        <w:tc>
          <w:tcPr>
            <w:tcW w:w="1559" w:type="dxa"/>
            <w:vMerge w:val="restart"/>
            <w:tcBorders>
              <w:top w:val="nil"/>
              <w:left w:val="nil"/>
              <w:bottom w:val="nil"/>
              <w:right w:val="nil"/>
            </w:tcBorders>
            <w:shd w:val="clear" w:color="000000" w:fill="D9D9D9"/>
            <w:vAlign w:val="center"/>
            <w:hideMark/>
          </w:tcPr>
          <w:p w14:paraId="32BFDDBC" w14:textId="77777777" w:rsidR="00DC2FB4" w:rsidRPr="00B16B0F" w:rsidRDefault="00DC2FB4" w:rsidP="00B16B0F">
            <w:pPr>
              <w:pStyle w:val="TableText"/>
              <w:jc w:val="right"/>
              <w:rPr>
                <w:b/>
                <w:bCs/>
                <w:lang w:eastAsia="en-NZ"/>
              </w:rPr>
            </w:pPr>
            <w:r w:rsidRPr="00B16B0F">
              <w:rPr>
                <w:b/>
                <w:bCs/>
                <w:lang w:eastAsia="en-NZ"/>
              </w:rPr>
              <w:t>Interviews</w:t>
            </w:r>
          </w:p>
        </w:tc>
        <w:tc>
          <w:tcPr>
            <w:tcW w:w="2126" w:type="dxa"/>
            <w:vMerge w:val="restart"/>
            <w:tcBorders>
              <w:top w:val="nil"/>
              <w:left w:val="nil"/>
              <w:bottom w:val="nil"/>
              <w:right w:val="nil"/>
            </w:tcBorders>
            <w:shd w:val="clear" w:color="000000" w:fill="D9D9D9"/>
            <w:vAlign w:val="center"/>
            <w:hideMark/>
          </w:tcPr>
          <w:p w14:paraId="05AA3C7C" w14:textId="77777777" w:rsidR="00DC2FB4" w:rsidRPr="00B16B0F" w:rsidRDefault="00DC2FB4" w:rsidP="00B16B0F">
            <w:pPr>
              <w:pStyle w:val="TableText"/>
              <w:jc w:val="right"/>
              <w:rPr>
                <w:b/>
                <w:bCs/>
                <w:lang w:eastAsia="en-NZ"/>
              </w:rPr>
            </w:pPr>
            <w:r w:rsidRPr="00B16B0F">
              <w:rPr>
                <w:b/>
                <w:bCs/>
                <w:lang w:eastAsia="en-NZ"/>
              </w:rPr>
              <w:t>Population count</w:t>
            </w:r>
          </w:p>
        </w:tc>
      </w:tr>
      <w:tr w:rsidR="001866F1" w:rsidRPr="006260CA" w14:paraId="5207B618" w14:textId="77777777" w:rsidTr="00B16B0F">
        <w:trPr>
          <w:trHeight w:val="240"/>
        </w:trPr>
        <w:tc>
          <w:tcPr>
            <w:tcW w:w="2471" w:type="dxa"/>
            <w:tcBorders>
              <w:top w:val="nil"/>
              <w:left w:val="nil"/>
              <w:bottom w:val="nil"/>
              <w:right w:val="nil"/>
            </w:tcBorders>
            <w:shd w:val="clear" w:color="000000" w:fill="D9D9D9"/>
            <w:vAlign w:val="center"/>
            <w:hideMark/>
          </w:tcPr>
          <w:p w14:paraId="7C998793" w14:textId="77777777" w:rsidR="00DC2FB4" w:rsidRPr="00B16B0F" w:rsidRDefault="00DC2FB4" w:rsidP="00B16B0F">
            <w:pPr>
              <w:pStyle w:val="TableText"/>
              <w:rPr>
                <w:b/>
                <w:bCs/>
                <w:lang w:eastAsia="en-NZ"/>
              </w:rPr>
            </w:pPr>
            <w:r w:rsidRPr="00B16B0F">
              <w:rPr>
                <w:b/>
                <w:bCs/>
                <w:lang w:eastAsia="en-NZ"/>
              </w:rPr>
              <w:t>(total response)</w:t>
            </w:r>
          </w:p>
        </w:tc>
        <w:tc>
          <w:tcPr>
            <w:tcW w:w="1782" w:type="dxa"/>
            <w:vMerge/>
            <w:tcBorders>
              <w:top w:val="nil"/>
              <w:left w:val="nil"/>
              <w:right w:val="nil"/>
            </w:tcBorders>
            <w:vAlign w:val="center"/>
            <w:hideMark/>
          </w:tcPr>
          <w:p w14:paraId="28F31CCC" w14:textId="77777777" w:rsidR="00DC2FB4" w:rsidRPr="00B16B0F" w:rsidRDefault="00DC2FB4" w:rsidP="00B16B0F">
            <w:pPr>
              <w:pStyle w:val="TableText"/>
              <w:rPr>
                <w:b/>
                <w:bCs/>
                <w:lang w:eastAsia="en-NZ"/>
              </w:rPr>
            </w:pPr>
          </w:p>
        </w:tc>
        <w:tc>
          <w:tcPr>
            <w:tcW w:w="1559" w:type="dxa"/>
            <w:vMerge/>
            <w:tcBorders>
              <w:top w:val="nil"/>
              <w:left w:val="nil"/>
              <w:right w:val="nil"/>
            </w:tcBorders>
            <w:vAlign w:val="center"/>
            <w:hideMark/>
          </w:tcPr>
          <w:p w14:paraId="11A48478" w14:textId="77777777" w:rsidR="00DC2FB4" w:rsidRPr="00B16B0F" w:rsidRDefault="00DC2FB4" w:rsidP="00B16B0F">
            <w:pPr>
              <w:pStyle w:val="TableText"/>
              <w:jc w:val="right"/>
              <w:rPr>
                <w:b/>
                <w:bCs/>
                <w:lang w:eastAsia="en-NZ"/>
              </w:rPr>
            </w:pPr>
          </w:p>
        </w:tc>
        <w:tc>
          <w:tcPr>
            <w:tcW w:w="2126" w:type="dxa"/>
            <w:vMerge/>
            <w:tcBorders>
              <w:top w:val="nil"/>
              <w:left w:val="nil"/>
              <w:right w:val="nil"/>
            </w:tcBorders>
            <w:vAlign w:val="center"/>
            <w:hideMark/>
          </w:tcPr>
          <w:p w14:paraId="6F7AB892" w14:textId="77777777" w:rsidR="00DC2FB4" w:rsidRPr="00B16B0F" w:rsidRDefault="00DC2FB4" w:rsidP="00B16B0F">
            <w:pPr>
              <w:pStyle w:val="TableText"/>
              <w:jc w:val="right"/>
              <w:rPr>
                <w:b/>
                <w:bCs/>
                <w:lang w:eastAsia="en-NZ"/>
              </w:rPr>
            </w:pPr>
          </w:p>
        </w:tc>
      </w:tr>
      <w:tr w:rsidR="001866F1" w:rsidRPr="009B0EB2" w14:paraId="4689D8DA" w14:textId="77777777" w:rsidTr="00B16B0F">
        <w:trPr>
          <w:trHeight w:val="240"/>
        </w:trPr>
        <w:tc>
          <w:tcPr>
            <w:tcW w:w="2471" w:type="dxa"/>
            <w:vMerge w:val="restart"/>
            <w:tcBorders>
              <w:top w:val="nil"/>
              <w:left w:val="nil"/>
              <w:bottom w:val="single" w:sz="8" w:space="0" w:color="A6A6A6"/>
              <w:right w:val="nil"/>
            </w:tcBorders>
            <w:shd w:val="clear" w:color="auto" w:fill="auto"/>
            <w:vAlign w:val="center"/>
            <w:hideMark/>
          </w:tcPr>
          <w:p w14:paraId="0CE196B5" w14:textId="77777777" w:rsidR="00DC2FB4" w:rsidRPr="009B0EB2" w:rsidRDefault="00DC2FB4" w:rsidP="00B16B0F">
            <w:pPr>
              <w:pStyle w:val="TableText"/>
              <w:rPr>
                <w:lang w:eastAsia="en-NZ"/>
              </w:rPr>
            </w:pPr>
            <w:r w:rsidRPr="009B0EB2">
              <w:rPr>
                <w:lang w:eastAsia="en-NZ"/>
              </w:rPr>
              <w:t>European/Other </w:t>
            </w:r>
          </w:p>
        </w:tc>
        <w:tc>
          <w:tcPr>
            <w:tcW w:w="1782" w:type="dxa"/>
            <w:tcBorders>
              <w:top w:val="nil"/>
              <w:left w:val="nil"/>
              <w:bottom w:val="single" w:sz="8" w:space="0" w:color="A6A6A6"/>
              <w:right w:val="nil"/>
            </w:tcBorders>
            <w:shd w:val="clear" w:color="auto" w:fill="auto"/>
            <w:vAlign w:val="center"/>
            <w:hideMark/>
          </w:tcPr>
          <w:p w14:paraId="455F4504" w14:textId="77777777" w:rsidR="00DC2FB4" w:rsidRPr="009B0EB2" w:rsidRDefault="00DC2FB4" w:rsidP="00B16B0F">
            <w:pPr>
              <w:pStyle w:val="TableText"/>
              <w:rPr>
                <w:lang w:eastAsia="en-NZ"/>
              </w:rPr>
            </w:pPr>
            <w:r w:rsidRPr="009B0EB2">
              <w:rPr>
                <w:lang w:eastAsia="en-NZ"/>
              </w:rPr>
              <w:t>Children</w:t>
            </w:r>
          </w:p>
        </w:tc>
        <w:tc>
          <w:tcPr>
            <w:tcW w:w="1559" w:type="dxa"/>
            <w:tcBorders>
              <w:top w:val="nil"/>
              <w:left w:val="nil"/>
              <w:bottom w:val="single" w:sz="8" w:space="0" w:color="A6A6A6"/>
              <w:right w:val="nil"/>
            </w:tcBorders>
            <w:shd w:val="clear" w:color="auto" w:fill="auto"/>
            <w:noWrap/>
            <w:vAlign w:val="bottom"/>
            <w:hideMark/>
          </w:tcPr>
          <w:p w14:paraId="72E78B2F" w14:textId="4F9D204A" w:rsidR="00DC2FB4" w:rsidRPr="009B0EB2" w:rsidRDefault="00DC2FB4" w:rsidP="00B16B0F">
            <w:pPr>
              <w:pStyle w:val="TableText"/>
              <w:jc w:val="right"/>
              <w:rPr>
                <w:lang w:eastAsia="en-NZ"/>
              </w:rPr>
            </w:pPr>
            <w:r w:rsidRPr="009B0EB2">
              <w:rPr>
                <w:lang w:eastAsia="en-NZ"/>
              </w:rPr>
              <w:t>1,313</w:t>
            </w:r>
          </w:p>
        </w:tc>
        <w:tc>
          <w:tcPr>
            <w:tcW w:w="2126" w:type="dxa"/>
            <w:tcBorders>
              <w:top w:val="nil"/>
              <w:left w:val="nil"/>
              <w:bottom w:val="single" w:sz="8" w:space="0" w:color="A6A6A6"/>
              <w:right w:val="nil"/>
            </w:tcBorders>
            <w:shd w:val="clear" w:color="auto" w:fill="auto"/>
            <w:noWrap/>
            <w:vAlign w:val="bottom"/>
            <w:hideMark/>
          </w:tcPr>
          <w:p w14:paraId="37D37705" w14:textId="2CAA54BF" w:rsidR="00DC2FB4" w:rsidRPr="009B0EB2" w:rsidRDefault="00DC2FB4" w:rsidP="00B16B0F">
            <w:pPr>
              <w:pStyle w:val="TableText"/>
              <w:jc w:val="right"/>
              <w:rPr>
                <w:lang w:eastAsia="en-NZ"/>
              </w:rPr>
            </w:pPr>
            <w:r w:rsidRPr="009B0EB2">
              <w:rPr>
                <w:lang w:eastAsia="en-NZ"/>
              </w:rPr>
              <w:t>621,594</w:t>
            </w:r>
          </w:p>
        </w:tc>
      </w:tr>
      <w:tr w:rsidR="001866F1" w:rsidRPr="009B0EB2" w14:paraId="6BAFD74B" w14:textId="77777777" w:rsidTr="00B16B0F">
        <w:trPr>
          <w:trHeight w:val="315"/>
        </w:trPr>
        <w:tc>
          <w:tcPr>
            <w:tcW w:w="2471" w:type="dxa"/>
            <w:vMerge/>
            <w:tcBorders>
              <w:top w:val="nil"/>
              <w:left w:val="nil"/>
              <w:bottom w:val="single" w:sz="8" w:space="0" w:color="A6A6A6"/>
              <w:right w:val="nil"/>
            </w:tcBorders>
            <w:vAlign w:val="center"/>
            <w:hideMark/>
          </w:tcPr>
          <w:p w14:paraId="3150FB76" w14:textId="77777777" w:rsidR="00DC2FB4" w:rsidRPr="009B0EB2" w:rsidRDefault="00DC2FB4" w:rsidP="00B16B0F">
            <w:pPr>
              <w:pStyle w:val="TableText"/>
              <w:rPr>
                <w:lang w:eastAsia="en-NZ"/>
              </w:rPr>
            </w:pPr>
          </w:p>
        </w:tc>
        <w:tc>
          <w:tcPr>
            <w:tcW w:w="1782" w:type="dxa"/>
            <w:tcBorders>
              <w:top w:val="single" w:sz="8" w:space="0" w:color="A6A6A6"/>
              <w:left w:val="nil"/>
              <w:bottom w:val="single" w:sz="8" w:space="0" w:color="A6A6A6"/>
              <w:right w:val="nil"/>
            </w:tcBorders>
            <w:shd w:val="clear" w:color="auto" w:fill="auto"/>
            <w:vAlign w:val="center"/>
            <w:hideMark/>
          </w:tcPr>
          <w:p w14:paraId="0ACBB6A9" w14:textId="77777777" w:rsidR="00DC2FB4" w:rsidRPr="009B0EB2" w:rsidRDefault="00DC2FB4" w:rsidP="00B16B0F">
            <w:pPr>
              <w:pStyle w:val="TableText"/>
              <w:rPr>
                <w:lang w:eastAsia="en-NZ"/>
              </w:rPr>
            </w:pPr>
            <w:r w:rsidRPr="009B0EB2">
              <w:rPr>
                <w:lang w:eastAsia="en-NZ"/>
              </w:rPr>
              <w:t>Adults</w:t>
            </w:r>
          </w:p>
        </w:tc>
        <w:tc>
          <w:tcPr>
            <w:tcW w:w="1559" w:type="dxa"/>
            <w:tcBorders>
              <w:top w:val="single" w:sz="8" w:space="0" w:color="A6A6A6"/>
              <w:left w:val="nil"/>
              <w:bottom w:val="single" w:sz="8" w:space="0" w:color="A6A6A6"/>
              <w:right w:val="nil"/>
            </w:tcBorders>
            <w:shd w:val="clear" w:color="auto" w:fill="auto"/>
            <w:vAlign w:val="center"/>
            <w:hideMark/>
          </w:tcPr>
          <w:p w14:paraId="442B2E3D" w14:textId="77777777" w:rsidR="00DC2FB4" w:rsidRPr="009B0EB2" w:rsidRDefault="00DC2FB4" w:rsidP="00B16B0F">
            <w:pPr>
              <w:pStyle w:val="TableText"/>
              <w:jc w:val="right"/>
              <w:rPr>
                <w:lang w:eastAsia="en-NZ"/>
              </w:rPr>
            </w:pPr>
            <w:r w:rsidRPr="009B0EB2">
              <w:rPr>
                <w:lang w:eastAsia="en-NZ"/>
              </w:rPr>
              <w:t>5,108</w:t>
            </w:r>
          </w:p>
        </w:tc>
        <w:tc>
          <w:tcPr>
            <w:tcW w:w="2126" w:type="dxa"/>
            <w:tcBorders>
              <w:top w:val="single" w:sz="8" w:space="0" w:color="A6A6A6"/>
              <w:left w:val="nil"/>
              <w:bottom w:val="single" w:sz="8" w:space="0" w:color="A6A6A6"/>
              <w:right w:val="nil"/>
            </w:tcBorders>
            <w:shd w:val="clear" w:color="auto" w:fill="auto"/>
            <w:vAlign w:val="center"/>
            <w:hideMark/>
          </w:tcPr>
          <w:p w14:paraId="4799A085" w14:textId="77777777" w:rsidR="00DC2FB4" w:rsidRPr="009B0EB2" w:rsidRDefault="00DC2FB4" w:rsidP="00B16B0F">
            <w:pPr>
              <w:pStyle w:val="TableText"/>
              <w:jc w:val="right"/>
              <w:rPr>
                <w:lang w:eastAsia="en-NZ"/>
              </w:rPr>
            </w:pPr>
            <w:r w:rsidRPr="009B0EB2">
              <w:rPr>
                <w:lang w:eastAsia="en-NZ"/>
              </w:rPr>
              <w:t>3,104,291</w:t>
            </w:r>
          </w:p>
        </w:tc>
      </w:tr>
      <w:tr w:rsidR="001866F1" w:rsidRPr="009B0EB2" w14:paraId="124EC44B" w14:textId="77777777" w:rsidTr="00B16B0F">
        <w:trPr>
          <w:trHeight w:val="300"/>
        </w:trPr>
        <w:tc>
          <w:tcPr>
            <w:tcW w:w="2471" w:type="dxa"/>
            <w:vMerge w:val="restart"/>
            <w:tcBorders>
              <w:top w:val="nil"/>
              <w:left w:val="nil"/>
              <w:bottom w:val="single" w:sz="8" w:space="0" w:color="A6A6A6"/>
              <w:right w:val="nil"/>
            </w:tcBorders>
            <w:shd w:val="clear" w:color="auto" w:fill="auto"/>
            <w:vAlign w:val="center"/>
            <w:hideMark/>
          </w:tcPr>
          <w:p w14:paraId="53E3554D" w14:textId="77777777" w:rsidR="00DC2FB4" w:rsidRPr="009B0EB2" w:rsidRDefault="00DC2FB4" w:rsidP="00B16B0F">
            <w:pPr>
              <w:pStyle w:val="TableText"/>
              <w:rPr>
                <w:lang w:eastAsia="en-NZ"/>
              </w:rPr>
            </w:pPr>
            <w:r w:rsidRPr="009B0EB2">
              <w:rPr>
                <w:lang w:eastAsia="en-NZ"/>
              </w:rPr>
              <w:t>Māori</w:t>
            </w:r>
          </w:p>
        </w:tc>
        <w:tc>
          <w:tcPr>
            <w:tcW w:w="1782" w:type="dxa"/>
            <w:tcBorders>
              <w:top w:val="single" w:sz="8" w:space="0" w:color="A6A6A6"/>
              <w:left w:val="nil"/>
              <w:bottom w:val="single" w:sz="8" w:space="0" w:color="A6A6A6"/>
              <w:right w:val="nil"/>
            </w:tcBorders>
            <w:shd w:val="clear" w:color="auto" w:fill="auto"/>
            <w:vAlign w:val="center"/>
            <w:hideMark/>
          </w:tcPr>
          <w:p w14:paraId="534C4AF4" w14:textId="77777777" w:rsidR="00DC2FB4" w:rsidRPr="009B0EB2" w:rsidRDefault="00DC2FB4" w:rsidP="00B16B0F">
            <w:pPr>
              <w:pStyle w:val="TableText"/>
              <w:rPr>
                <w:lang w:eastAsia="en-NZ"/>
              </w:rPr>
            </w:pPr>
            <w:r w:rsidRPr="009B0EB2">
              <w:rPr>
                <w:lang w:eastAsia="en-NZ"/>
              </w:rPr>
              <w:t>Children</w:t>
            </w:r>
          </w:p>
        </w:tc>
        <w:tc>
          <w:tcPr>
            <w:tcW w:w="1559" w:type="dxa"/>
            <w:tcBorders>
              <w:top w:val="single" w:sz="8" w:space="0" w:color="A6A6A6"/>
              <w:left w:val="nil"/>
              <w:bottom w:val="single" w:sz="8" w:space="0" w:color="A6A6A6"/>
              <w:right w:val="nil"/>
            </w:tcBorders>
            <w:shd w:val="clear" w:color="auto" w:fill="auto"/>
            <w:noWrap/>
            <w:vAlign w:val="bottom"/>
            <w:hideMark/>
          </w:tcPr>
          <w:p w14:paraId="30E466A2" w14:textId="77777777" w:rsidR="00DC2FB4" w:rsidRPr="009B0EB2" w:rsidRDefault="00DC2FB4" w:rsidP="00B16B0F">
            <w:pPr>
              <w:pStyle w:val="TableText"/>
              <w:jc w:val="right"/>
              <w:rPr>
                <w:lang w:eastAsia="en-NZ"/>
              </w:rPr>
            </w:pPr>
            <w:r w:rsidRPr="009B0EB2">
              <w:rPr>
                <w:lang w:eastAsia="en-NZ"/>
              </w:rPr>
              <w:t>657</w:t>
            </w:r>
          </w:p>
        </w:tc>
        <w:tc>
          <w:tcPr>
            <w:tcW w:w="2126" w:type="dxa"/>
            <w:tcBorders>
              <w:top w:val="single" w:sz="8" w:space="0" w:color="A6A6A6"/>
              <w:left w:val="nil"/>
              <w:bottom w:val="single" w:sz="8" w:space="0" w:color="A6A6A6"/>
              <w:right w:val="nil"/>
            </w:tcBorders>
            <w:shd w:val="clear" w:color="auto" w:fill="auto"/>
            <w:noWrap/>
            <w:vAlign w:val="bottom"/>
            <w:hideMark/>
          </w:tcPr>
          <w:p w14:paraId="45420F39" w14:textId="1D81E028" w:rsidR="00DC2FB4" w:rsidRPr="009B0EB2" w:rsidRDefault="00DC2FB4" w:rsidP="00B16B0F">
            <w:pPr>
              <w:pStyle w:val="TableText"/>
              <w:jc w:val="right"/>
              <w:rPr>
                <w:lang w:eastAsia="en-NZ"/>
              </w:rPr>
            </w:pPr>
            <w:r w:rsidRPr="009B0EB2">
              <w:rPr>
                <w:lang w:eastAsia="en-NZ"/>
              </w:rPr>
              <w:t>267,780</w:t>
            </w:r>
          </w:p>
        </w:tc>
      </w:tr>
      <w:tr w:rsidR="001866F1" w:rsidRPr="009B0EB2" w14:paraId="152326A9" w14:textId="77777777" w:rsidTr="00B16B0F">
        <w:trPr>
          <w:trHeight w:val="315"/>
        </w:trPr>
        <w:tc>
          <w:tcPr>
            <w:tcW w:w="2471" w:type="dxa"/>
            <w:vMerge/>
            <w:tcBorders>
              <w:top w:val="nil"/>
              <w:left w:val="nil"/>
              <w:bottom w:val="single" w:sz="8" w:space="0" w:color="A6A6A6"/>
              <w:right w:val="nil"/>
            </w:tcBorders>
            <w:vAlign w:val="center"/>
            <w:hideMark/>
          </w:tcPr>
          <w:p w14:paraId="72CD28C4" w14:textId="77777777" w:rsidR="00DC2FB4" w:rsidRPr="009B0EB2" w:rsidRDefault="00DC2FB4" w:rsidP="00B16B0F">
            <w:pPr>
              <w:pStyle w:val="TableText"/>
              <w:rPr>
                <w:lang w:eastAsia="en-NZ"/>
              </w:rPr>
            </w:pPr>
          </w:p>
        </w:tc>
        <w:tc>
          <w:tcPr>
            <w:tcW w:w="1782" w:type="dxa"/>
            <w:tcBorders>
              <w:top w:val="single" w:sz="8" w:space="0" w:color="A6A6A6"/>
              <w:left w:val="nil"/>
              <w:bottom w:val="single" w:sz="8" w:space="0" w:color="A6A6A6"/>
              <w:right w:val="nil"/>
            </w:tcBorders>
            <w:shd w:val="clear" w:color="auto" w:fill="auto"/>
            <w:vAlign w:val="center"/>
            <w:hideMark/>
          </w:tcPr>
          <w:p w14:paraId="43A1D7E5" w14:textId="77777777" w:rsidR="00DC2FB4" w:rsidRPr="009B0EB2" w:rsidRDefault="00DC2FB4" w:rsidP="00B16B0F">
            <w:pPr>
              <w:pStyle w:val="TableText"/>
              <w:rPr>
                <w:lang w:eastAsia="en-NZ"/>
              </w:rPr>
            </w:pPr>
            <w:r w:rsidRPr="009B0EB2">
              <w:rPr>
                <w:lang w:eastAsia="en-NZ"/>
              </w:rPr>
              <w:t>Adults</w:t>
            </w:r>
          </w:p>
        </w:tc>
        <w:tc>
          <w:tcPr>
            <w:tcW w:w="1559" w:type="dxa"/>
            <w:tcBorders>
              <w:top w:val="single" w:sz="8" w:space="0" w:color="A6A6A6"/>
              <w:left w:val="nil"/>
              <w:bottom w:val="single" w:sz="8" w:space="0" w:color="A6A6A6"/>
              <w:right w:val="nil"/>
            </w:tcBorders>
            <w:shd w:val="clear" w:color="auto" w:fill="auto"/>
            <w:vAlign w:val="center"/>
            <w:hideMark/>
          </w:tcPr>
          <w:p w14:paraId="32E44D3A" w14:textId="77777777" w:rsidR="00DC2FB4" w:rsidRPr="009B0EB2" w:rsidRDefault="00DC2FB4" w:rsidP="00B16B0F">
            <w:pPr>
              <w:pStyle w:val="TableText"/>
              <w:jc w:val="right"/>
              <w:rPr>
                <w:lang w:eastAsia="en-NZ"/>
              </w:rPr>
            </w:pPr>
            <w:r w:rsidRPr="009B0EB2">
              <w:rPr>
                <w:lang w:eastAsia="en-NZ"/>
              </w:rPr>
              <w:t>1,292</w:t>
            </w:r>
          </w:p>
        </w:tc>
        <w:tc>
          <w:tcPr>
            <w:tcW w:w="2126" w:type="dxa"/>
            <w:tcBorders>
              <w:top w:val="single" w:sz="8" w:space="0" w:color="A6A6A6"/>
              <w:left w:val="nil"/>
              <w:bottom w:val="single" w:sz="8" w:space="0" w:color="A6A6A6"/>
              <w:right w:val="nil"/>
            </w:tcBorders>
            <w:shd w:val="clear" w:color="auto" w:fill="auto"/>
            <w:vAlign w:val="center"/>
            <w:hideMark/>
          </w:tcPr>
          <w:p w14:paraId="7B736629" w14:textId="77777777" w:rsidR="00DC2FB4" w:rsidRPr="009B0EB2" w:rsidRDefault="00DC2FB4" w:rsidP="00B16B0F">
            <w:pPr>
              <w:pStyle w:val="TableText"/>
              <w:jc w:val="right"/>
              <w:rPr>
                <w:lang w:eastAsia="en-NZ"/>
              </w:rPr>
            </w:pPr>
            <w:r w:rsidRPr="009B0EB2">
              <w:rPr>
                <w:lang w:eastAsia="en-NZ"/>
              </w:rPr>
              <w:t>630,383</w:t>
            </w:r>
          </w:p>
        </w:tc>
      </w:tr>
      <w:tr w:rsidR="001866F1" w:rsidRPr="009B0EB2" w14:paraId="7281223A" w14:textId="77777777" w:rsidTr="00B16B0F">
        <w:trPr>
          <w:trHeight w:val="240"/>
        </w:trPr>
        <w:tc>
          <w:tcPr>
            <w:tcW w:w="2471" w:type="dxa"/>
            <w:vMerge w:val="restart"/>
            <w:tcBorders>
              <w:top w:val="nil"/>
              <w:left w:val="nil"/>
              <w:bottom w:val="single" w:sz="8" w:space="0" w:color="A6A6A6"/>
              <w:right w:val="nil"/>
            </w:tcBorders>
            <w:shd w:val="clear" w:color="auto" w:fill="auto"/>
            <w:vAlign w:val="center"/>
            <w:hideMark/>
          </w:tcPr>
          <w:p w14:paraId="008EED4D" w14:textId="77777777" w:rsidR="00DC2FB4" w:rsidRPr="009B0EB2" w:rsidRDefault="00DC2FB4" w:rsidP="00B16B0F">
            <w:pPr>
              <w:pStyle w:val="TableText"/>
              <w:rPr>
                <w:lang w:eastAsia="en-NZ"/>
              </w:rPr>
            </w:pPr>
            <w:r w:rsidRPr="009B0EB2">
              <w:rPr>
                <w:lang w:eastAsia="en-NZ"/>
              </w:rPr>
              <w:t>Pacific peoples</w:t>
            </w:r>
          </w:p>
        </w:tc>
        <w:tc>
          <w:tcPr>
            <w:tcW w:w="1782" w:type="dxa"/>
            <w:tcBorders>
              <w:top w:val="single" w:sz="8" w:space="0" w:color="A6A6A6"/>
              <w:left w:val="nil"/>
              <w:bottom w:val="single" w:sz="8" w:space="0" w:color="A6A6A6"/>
              <w:right w:val="nil"/>
            </w:tcBorders>
            <w:shd w:val="clear" w:color="auto" w:fill="auto"/>
            <w:vAlign w:val="center"/>
            <w:hideMark/>
          </w:tcPr>
          <w:p w14:paraId="06325687" w14:textId="77777777" w:rsidR="00DC2FB4" w:rsidRPr="009B0EB2" w:rsidRDefault="00DC2FB4" w:rsidP="00B16B0F">
            <w:pPr>
              <w:pStyle w:val="TableText"/>
              <w:rPr>
                <w:lang w:eastAsia="en-NZ"/>
              </w:rPr>
            </w:pPr>
            <w:r w:rsidRPr="009B0EB2">
              <w:rPr>
                <w:lang w:eastAsia="en-NZ"/>
              </w:rPr>
              <w:t>Children</w:t>
            </w:r>
          </w:p>
        </w:tc>
        <w:tc>
          <w:tcPr>
            <w:tcW w:w="1559" w:type="dxa"/>
            <w:tcBorders>
              <w:top w:val="single" w:sz="8" w:space="0" w:color="A6A6A6"/>
              <w:left w:val="nil"/>
              <w:bottom w:val="single" w:sz="8" w:space="0" w:color="A6A6A6"/>
              <w:right w:val="nil"/>
            </w:tcBorders>
            <w:shd w:val="clear" w:color="auto" w:fill="auto"/>
            <w:noWrap/>
            <w:vAlign w:val="bottom"/>
            <w:hideMark/>
          </w:tcPr>
          <w:p w14:paraId="542E2B52" w14:textId="77777777" w:rsidR="00DC2FB4" w:rsidRPr="009B0EB2" w:rsidRDefault="00DC2FB4" w:rsidP="00B16B0F">
            <w:pPr>
              <w:pStyle w:val="TableText"/>
              <w:jc w:val="right"/>
              <w:rPr>
                <w:lang w:eastAsia="en-NZ"/>
              </w:rPr>
            </w:pPr>
            <w:r w:rsidRPr="009B0EB2">
              <w:rPr>
                <w:lang w:eastAsia="en-NZ"/>
              </w:rPr>
              <w:t>309</w:t>
            </w:r>
          </w:p>
        </w:tc>
        <w:tc>
          <w:tcPr>
            <w:tcW w:w="2126" w:type="dxa"/>
            <w:tcBorders>
              <w:top w:val="single" w:sz="8" w:space="0" w:color="A6A6A6"/>
              <w:left w:val="nil"/>
              <w:bottom w:val="single" w:sz="8" w:space="0" w:color="A6A6A6"/>
              <w:right w:val="nil"/>
            </w:tcBorders>
            <w:shd w:val="clear" w:color="auto" w:fill="auto"/>
            <w:noWrap/>
            <w:vAlign w:val="bottom"/>
            <w:hideMark/>
          </w:tcPr>
          <w:p w14:paraId="0A40C98F" w14:textId="1A811DEC" w:rsidR="00DC2FB4" w:rsidRPr="009B0EB2" w:rsidRDefault="00DC2FB4" w:rsidP="00B16B0F">
            <w:pPr>
              <w:pStyle w:val="TableText"/>
              <w:jc w:val="right"/>
              <w:rPr>
                <w:lang w:eastAsia="en-NZ"/>
              </w:rPr>
            </w:pPr>
            <w:r w:rsidRPr="009B0EB2">
              <w:rPr>
                <w:lang w:eastAsia="en-NZ"/>
              </w:rPr>
              <w:t>155,330</w:t>
            </w:r>
          </w:p>
        </w:tc>
      </w:tr>
      <w:tr w:rsidR="001866F1" w:rsidRPr="009B0EB2" w14:paraId="32749190" w14:textId="77777777" w:rsidTr="00B16B0F">
        <w:trPr>
          <w:trHeight w:val="255"/>
        </w:trPr>
        <w:tc>
          <w:tcPr>
            <w:tcW w:w="2471" w:type="dxa"/>
            <w:vMerge/>
            <w:tcBorders>
              <w:top w:val="nil"/>
              <w:left w:val="nil"/>
              <w:bottom w:val="single" w:sz="8" w:space="0" w:color="A6A6A6"/>
              <w:right w:val="nil"/>
            </w:tcBorders>
            <w:vAlign w:val="center"/>
            <w:hideMark/>
          </w:tcPr>
          <w:p w14:paraId="5F0AFC83" w14:textId="77777777" w:rsidR="00DC2FB4" w:rsidRPr="009B0EB2" w:rsidRDefault="00DC2FB4" w:rsidP="00B16B0F">
            <w:pPr>
              <w:pStyle w:val="TableText"/>
              <w:rPr>
                <w:lang w:eastAsia="en-NZ"/>
              </w:rPr>
            </w:pPr>
          </w:p>
        </w:tc>
        <w:tc>
          <w:tcPr>
            <w:tcW w:w="1782" w:type="dxa"/>
            <w:tcBorders>
              <w:top w:val="single" w:sz="8" w:space="0" w:color="A6A6A6"/>
              <w:left w:val="nil"/>
              <w:bottom w:val="single" w:sz="8" w:space="0" w:color="A6A6A6"/>
              <w:right w:val="nil"/>
            </w:tcBorders>
            <w:shd w:val="clear" w:color="auto" w:fill="auto"/>
            <w:vAlign w:val="center"/>
            <w:hideMark/>
          </w:tcPr>
          <w:p w14:paraId="438607BB" w14:textId="77777777" w:rsidR="00DC2FB4" w:rsidRPr="009B0EB2" w:rsidRDefault="00DC2FB4" w:rsidP="00B16B0F">
            <w:pPr>
              <w:pStyle w:val="TableText"/>
              <w:rPr>
                <w:lang w:eastAsia="en-NZ"/>
              </w:rPr>
            </w:pPr>
            <w:r w:rsidRPr="009B0EB2">
              <w:rPr>
                <w:lang w:eastAsia="en-NZ"/>
              </w:rPr>
              <w:t>Adults</w:t>
            </w:r>
          </w:p>
        </w:tc>
        <w:tc>
          <w:tcPr>
            <w:tcW w:w="1559" w:type="dxa"/>
            <w:tcBorders>
              <w:top w:val="single" w:sz="8" w:space="0" w:color="A6A6A6"/>
              <w:left w:val="nil"/>
              <w:bottom w:val="single" w:sz="8" w:space="0" w:color="A6A6A6"/>
              <w:right w:val="nil"/>
            </w:tcBorders>
            <w:shd w:val="clear" w:color="auto" w:fill="auto"/>
            <w:vAlign w:val="center"/>
            <w:hideMark/>
          </w:tcPr>
          <w:p w14:paraId="07E3581F" w14:textId="77777777" w:rsidR="00DC2FB4" w:rsidRPr="009B0EB2" w:rsidRDefault="00DC2FB4" w:rsidP="00B16B0F">
            <w:pPr>
              <w:pStyle w:val="TableText"/>
              <w:jc w:val="right"/>
              <w:rPr>
                <w:lang w:eastAsia="en-NZ"/>
              </w:rPr>
            </w:pPr>
            <w:r w:rsidRPr="009B0EB2">
              <w:rPr>
                <w:lang w:eastAsia="en-NZ"/>
              </w:rPr>
              <w:t>447</w:t>
            </w:r>
          </w:p>
        </w:tc>
        <w:tc>
          <w:tcPr>
            <w:tcW w:w="2126" w:type="dxa"/>
            <w:tcBorders>
              <w:top w:val="single" w:sz="8" w:space="0" w:color="A6A6A6"/>
              <w:left w:val="nil"/>
              <w:bottom w:val="single" w:sz="8" w:space="0" w:color="A6A6A6"/>
              <w:right w:val="nil"/>
            </w:tcBorders>
            <w:shd w:val="clear" w:color="auto" w:fill="auto"/>
            <w:vAlign w:val="center"/>
            <w:hideMark/>
          </w:tcPr>
          <w:p w14:paraId="37B83FCE" w14:textId="77777777" w:rsidR="00DC2FB4" w:rsidRPr="009B0EB2" w:rsidRDefault="00DC2FB4" w:rsidP="00B16B0F">
            <w:pPr>
              <w:pStyle w:val="TableText"/>
              <w:jc w:val="right"/>
              <w:rPr>
                <w:lang w:eastAsia="en-NZ"/>
              </w:rPr>
            </w:pPr>
            <w:r w:rsidRPr="009B0EB2">
              <w:rPr>
                <w:lang w:eastAsia="en-NZ"/>
              </w:rPr>
              <w:t>279,667</w:t>
            </w:r>
          </w:p>
        </w:tc>
      </w:tr>
      <w:tr w:rsidR="001866F1" w:rsidRPr="009B0EB2" w14:paraId="444BD7CC" w14:textId="77777777" w:rsidTr="00B16B0F">
        <w:trPr>
          <w:trHeight w:val="240"/>
        </w:trPr>
        <w:tc>
          <w:tcPr>
            <w:tcW w:w="2471" w:type="dxa"/>
            <w:vMerge w:val="restart"/>
            <w:tcBorders>
              <w:top w:val="nil"/>
              <w:left w:val="nil"/>
              <w:bottom w:val="single" w:sz="8" w:space="0" w:color="A6A6A6"/>
              <w:right w:val="nil"/>
            </w:tcBorders>
            <w:shd w:val="clear" w:color="auto" w:fill="auto"/>
            <w:vAlign w:val="center"/>
            <w:hideMark/>
          </w:tcPr>
          <w:p w14:paraId="3D00FEFB" w14:textId="77777777" w:rsidR="00DC2FB4" w:rsidRPr="009B0EB2" w:rsidRDefault="00DC2FB4" w:rsidP="00B16B0F">
            <w:pPr>
              <w:pStyle w:val="TableText"/>
              <w:rPr>
                <w:lang w:eastAsia="en-NZ"/>
              </w:rPr>
            </w:pPr>
            <w:r w:rsidRPr="009B0EB2">
              <w:rPr>
                <w:lang w:eastAsia="en-NZ"/>
              </w:rPr>
              <w:t>Asian</w:t>
            </w:r>
          </w:p>
        </w:tc>
        <w:tc>
          <w:tcPr>
            <w:tcW w:w="1782" w:type="dxa"/>
            <w:tcBorders>
              <w:top w:val="single" w:sz="8" w:space="0" w:color="A6A6A6"/>
              <w:left w:val="nil"/>
              <w:bottom w:val="single" w:sz="8" w:space="0" w:color="A6A6A6"/>
              <w:right w:val="nil"/>
            </w:tcBorders>
            <w:shd w:val="clear" w:color="auto" w:fill="auto"/>
            <w:vAlign w:val="center"/>
            <w:hideMark/>
          </w:tcPr>
          <w:p w14:paraId="6A42A977" w14:textId="77777777" w:rsidR="00DC2FB4" w:rsidRPr="009B0EB2" w:rsidRDefault="00DC2FB4" w:rsidP="00B16B0F">
            <w:pPr>
              <w:pStyle w:val="TableText"/>
              <w:rPr>
                <w:lang w:eastAsia="en-NZ"/>
              </w:rPr>
            </w:pPr>
            <w:r w:rsidRPr="009B0EB2">
              <w:rPr>
                <w:lang w:eastAsia="en-NZ"/>
              </w:rPr>
              <w:t>Children</w:t>
            </w:r>
          </w:p>
        </w:tc>
        <w:tc>
          <w:tcPr>
            <w:tcW w:w="1559" w:type="dxa"/>
            <w:tcBorders>
              <w:top w:val="single" w:sz="8" w:space="0" w:color="A6A6A6"/>
              <w:left w:val="nil"/>
              <w:bottom w:val="single" w:sz="8" w:space="0" w:color="A6A6A6"/>
              <w:right w:val="nil"/>
            </w:tcBorders>
            <w:shd w:val="clear" w:color="auto" w:fill="auto"/>
            <w:noWrap/>
            <w:vAlign w:val="bottom"/>
            <w:hideMark/>
          </w:tcPr>
          <w:p w14:paraId="1A6C229C" w14:textId="77777777" w:rsidR="00DC2FB4" w:rsidRPr="009B0EB2" w:rsidRDefault="00DC2FB4" w:rsidP="00B16B0F">
            <w:pPr>
              <w:pStyle w:val="TableText"/>
              <w:jc w:val="right"/>
              <w:rPr>
                <w:lang w:eastAsia="en-NZ"/>
              </w:rPr>
            </w:pPr>
            <w:r w:rsidRPr="009B0EB2">
              <w:rPr>
                <w:lang w:eastAsia="en-NZ"/>
              </w:rPr>
              <w:t>407</w:t>
            </w:r>
          </w:p>
        </w:tc>
        <w:tc>
          <w:tcPr>
            <w:tcW w:w="2126" w:type="dxa"/>
            <w:tcBorders>
              <w:top w:val="single" w:sz="8" w:space="0" w:color="A6A6A6"/>
              <w:left w:val="nil"/>
              <w:bottom w:val="single" w:sz="8" w:space="0" w:color="A6A6A6"/>
              <w:right w:val="nil"/>
            </w:tcBorders>
            <w:shd w:val="clear" w:color="auto" w:fill="auto"/>
            <w:noWrap/>
            <w:vAlign w:val="bottom"/>
            <w:hideMark/>
          </w:tcPr>
          <w:p w14:paraId="41786F1F" w14:textId="6665B3D5" w:rsidR="00DC2FB4" w:rsidRPr="009B0EB2" w:rsidRDefault="00DC2FB4" w:rsidP="00B16B0F">
            <w:pPr>
              <w:pStyle w:val="TableText"/>
              <w:jc w:val="right"/>
              <w:rPr>
                <w:lang w:eastAsia="en-NZ"/>
              </w:rPr>
            </w:pPr>
            <w:r w:rsidRPr="009B0EB2">
              <w:rPr>
                <w:lang w:eastAsia="en-NZ"/>
              </w:rPr>
              <w:t>200,692</w:t>
            </w:r>
          </w:p>
        </w:tc>
      </w:tr>
      <w:tr w:rsidR="001866F1" w:rsidRPr="009B0EB2" w14:paraId="2BE06BF7" w14:textId="77777777" w:rsidTr="00B16B0F">
        <w:trPr>
          <w:trHeight w:val="315"/>
        </w:trPr>
        <w:tc>
          <w:tcPr>
            <w:tcW w:w="2471" w:type="dxa"/>
            <w:vMerge/>
            <w:tcBorders>
              <w:top w:val="nil"/>
              <w:left w:val="nil"/>
              <w:bottom w:val="single" w:sz="8" w:space="0" w:color="A6A6A6"/>
              <w:right w:val="nil"/>
            </w:tcBorders>
            <w:vAlign w:val="center"/>
            <w:hideMark/>
          </w:tcPr>
          <w:p w14:paraId="2CA2774A" w14:textId="77777777" w:rsidR="00DC2FB4" w:rsidRPr="009B0EB2" w:rsidRDefault="00DC2FB4" w:rsidP="00B16B0F">
            <w:pPr>
              <w:pStyle w:val="TableText"/>
              <w:rPr>
                <w:lang w:eastAsia="en-NZ"/>
              </w:rPr>
            </w:pPr>
          </w:p>
        </w:tc>
        <w:tc>
          <w:tcPr>
            <w:tcW w:w="1782" w:type="dxa"/>
            <w:tcBorders>
              <w:top w:val="single" w:sz="8" w:space="0" w:color="A6A6A6"/>
              <w:left w:val="nil"/>
              <w:bottom w:val="single" w:sz="8" w:space="0" w:color="A6A6A6"/>
              <w:right w:val="nil"/>
            </w:tcBorders>
            <w:shd w:val="clear" w:color="auto" w:fill="auto"/>
            <w:vAlign w:val="center"/>
            <w:hideMark/>
          </w:tcPr>
          <w:p w14:paraId="6FC724FA" w14:textId="77777777" w:rsidR="00DC2FB4" w:rsidRPr="009B0EB2" w:rsidRDefault="00DC2FB4" w:rsidP="00B16B0F">
            <w:pPr>
              <w:pStyle w:val="TableText"/>
              <w:rPr>
                <w:lang w:eastAsia="en-NZ"/>
              </w:rPr>
            </w:pPr>
            <w:r w:rsidRPr="009B0EB2">
              <w:rPr>
                <w:lang w:eastAsia="en-NZ"/>
              </w:rPr>
              <w:t>Adults</w:t>
            </w:r>
          </w:p>
        </w:tc>
        <w:tc>
          <w:tcPr>
            <w:tcW w:w="1559" w:type="dxa"/>
            <w:tcBorders>
              <w:top w:val="single" w:sz="8" w:space="0" w:color="A6A6A6"/>
              <w:left w:val="nil"/>
              <w:bottom w:val="single" w:sz="8" w:space="0" w:color="A6A6A6"/>
              <w:right w:val="nil"/>
            </w:tcBorders>
            <w:shd w:val="clear" w:color="auto" w:fill="auto"/>
            <w:vAlign w:val="center"/>
            <w:hideMark/>
          </w:tcPr>
          <w:p w14:paraId="45E27585" w14:textId="77777777" w:rsidR="00DC2FB4" w:rsidRPr="009B0EB2" w:rsidRDefault="00DC2FB4" w:rsidP="00B16B0F">
            <w:pPr>
              <w:pStyle w:val="TableText"/>
              <w:jc w:val="right"/>
              <w:rPr>
                <w:lang w:eastAsia="en-NZ"/>
              </w:rPr>
            </w:pPr>
            <w:r w:rsidRPr="009B0EB2">
              <w:rPr>
                <w:lang w:eastAsia="en-NZ"/>
              </w:rPr>
              <w:t>847</w:t>
            </w:r>
          </w:p>
        </w:tc>
        <w:tc>
          <w:tcPr>
            <w:tcW w:w="2126" w:type="dxa"/>
            <w:tcBorders>
              <w:top w:val="single" w:sz="8" w:space="0" w:color="A6A6A6"/>
              <w:left w:val="nil"/>
              <w:bottom w:val="single" w:sz="8" w:space="0" w:color="A6A6A6"/>
              <w:right w:val="nil"/>
            </w:tcBorders>
            <w:shd w:val="clear" w:color="auto" w:fill="auto"/>
            <w:vAlign w:val="center"/>
            <w:hideMark/>
          </w:tcPr>
          <w:p w14:paraId="1BC33BF8" w14:textId="77777777" w:rsidR="00DC2FB4" w:rsidRPr="009B0EB2" w:rsidRDefault="00DC2FB4" w:rsidP="00B16B0F">
            <w:pPr>
              <w:pStyle w:val="TableText"/>
              <w:jc w:val="right"/>
              <w:rPr>
                <w:lang w:eastAsia="en-NZ"/>
              </w:rPr>
            </w:pPr>
            <w:r w:rsidRPr="009B0EB2">
              <w:rPr>
                <w:lang w:eastAsia="en-NZ"/>
              </w:rPr>
              <w:t>636,000</w:t>
            </w:r>
          </w:p>
        </w:tc>
      </w:tr>
    </w:tbl>
    <w:p w14:paraId="22FE3B59" w14:textId="77777777" w:rsidR="00CA54B8" w:rsidRPr="009B0EB2" w:rsidRDefault="00CA54B8" w:rsidP="001A2AE9"/>
    <w:p w14:paraId="54F002BC" w14:textId="723FEDB8" w:rsidR="004366B7" w:rsidRPr="009B0EB2" w:rsidRDefault="004366B7" w:rsidP="004563A6">
      <w:pPr>
        <w:pStyle w:val="Caption"/>
      </w:pPr>
      <w:bookmarkStart w:id="545" w:name="_Toc339878420"/>
      <w:bookmarkStart w:id="546" w:name="_Toc372445590"/>
      <w:bookmarkStart w:id="547" w:name="_Toc403044045"/>
      <w:bookmarkStart w:id="548" w:name="_Toc467491571"/>
      <w:bookmarkStart w:id="549" w:name="_Toc531762388"/>
      <w:bookmarkStart w:id="550" w:name="_Toc531766772"/>
      <w:bookmarkStart w:id="551" w:name="_Toc23857693"/>
      <w:bookmarkStart w:id="552" w:name="_Toc54962252"/>
      <w:bookmarkStart w:id="553" w:name="_Toc88038748"/>
      <w:bookmarkStart w:id="554" w:name="_Toc153259127"/>
      <w:r w:rsidRPr="009B0EB2">
        <w:t xml:space="preserve">Table </w:t>
      </w:r>
      <w:r w:rsidRPr="009B0EB2">
        <w:rPr>
          <w:color w:val="2B579A"/>
          <w:shd w:val="clear" w:color="auto" w:fill="E6E6E6"/>
        </w:rPr>
        <w:fldChar w:fldCharType="begin"/>
      </w:r>
      <w:r w:rsidRPr="009B0EB2">
        <w:instrText>SEQ Table \* ARABIC</w:instrText>
      </w:r>
      <w:r w:rsidRPr="009B0EB2">
        <w:rPr>
          <w:color w:val="2B579A"/>
          <w:shd w:val="clear" w:color="auto" w:fill="E6E6E6"/>
        </w:rPr>
        <w:fldChar w:fldCharType="separate"/>
      </w:r>
      <w:r w:rsidR="008D278D">
        <w:rPr>
          <w:noProof/>
        </w:rPr>
        <w:t>9</w:t>
      </w:r>
      <w:r w:rsidRPr="009B0EB2">
        <w:rPr>
          <w:color w:val="2B579A"/>
          <w:shd w:val="clear" w:color="auto" w:fill="E6E6E6"/>
        </w:rPr>
        <w:fldChar w:fldCharType="end"/>
      </w:r>
      <w:r w:rsidRPr="009B0EB2">
        <w:t>: Sample sizes and population counts, by age, 202</w:t>
      </w:r>
      <w:r w:rsidR="00CA54B8" w:rsidRPr="009B0EB2">
        <w:t>2</w:t>
      </w:r>
      <w:r w:rsidRPr="009B0EB2">
        <w:t>/2</w:t>
      </w:r>
      <w:r w:rsidR="00CA54B8" w:rsidRPr="009B0EB2">
        <w:t>3</w:t>
      </w:r>
      <w:bookmarkEnd w:id="545"/>
      <w:bookmarkEnd w:id="546"/>
      <w:bookmarkEnd w:id="547"/>
      <w:bookmarkEnd w:id="548"/>
      <w:bookmarkEnd w:id="549"/>
      <w:bookmarkEnd w:id="550"/>
      <w:bookmarkEnd w:id="551"/>
      <w:bookmarkEnd w:id="552"/>
      <w:bookmarkEnd w:id="553"/>
      <w:bookmarkEnd w:id="554"/>
    </w:p>
    <w:tbl>
      <w:tblPr>
        <w:tblW w:w="7938" w:type="dxa"/>
        <w:tblLook w:val="04A0" w:firstRow="1" w:lastRow="0" w:firstColumn="1" w:lastColumn="0" w:noHBand="0" w:noVBand="1"/>
      </w:tblPr>
      <w:tblGrid>
        <w:gridCol w:w="2646"/>
        <w:gridCol w:w="2646"/>
        <w:gridCol w:w="2646"/>
      </w:tblGrid>
      <w:tr w:rsidR="00771283" w:rsidRPr="006260CA" w14:paraId="415BAA7F" w14:textId="77777777" w:rsidTr="00B16B0F">
        <w:trPr>
          <w:trHeight w:val="240"/>
          <w:tblHeader/>
        </w:trPr>
        <w:tc>
          <w:tcPr>
            <w:tcW w:w="2646" w:type="dxa"/>
            <w:tcBorders>
              <w:top w:val="nil"/>
              <w:left w:val="nil"/>
              <w:right w:val="nil"/>
            </w:tcBorders>
            <w:shd w:val="clear" w:color="000000" w:fill="D9D9D9"/>
            <w:vAlign w:val="center"/>
            <w:hideMark/>
          </w:tcPr>
          <w:p w14:paraId="46BE0792" w14:textId="4626661B" w:rsidR="00F9073F" w:rsidRPr="00B16B0F" w:rsidRDefault="00F9073F" w:rsidP="00B16B0F">
            <w:pPr>
              <w:pStyle w:val="TableText"/>
              <w:rPr>
                <w:b/>
                <w:bCs/>
                <w:lang w:eastAsia="en-NZ"/>
              </w:rPr>
            </w:pPr>
            <w:r w:rsidRPr="00B16B0F">
              <w:rPr>
                <w:b/>
                <w:bCs/>
                <w:lang w:eastAsia="en-NZ"/>
              </w:rPr>
              <w:t>Age group</w:t>
            </w:r>
            <w:r w:rsidR="008078E5" w:rsidRPr="00B16B0F">
              <w:rPr>
                <w:b/>
                <w:bCs/>
                <w:lang w:eastAsia="en-NZ"/>
              </w:rPr>
              <w:t xml:space="preserve"> (years)</w:t>
            </w:r>
          </w:p>
        </w:tc>
        <w:tc>
          <w:tcPr>
            <w:tcW w:w="2646" w:type="dxa"/>
            <w:tcBorders>
              <w:top w:val="nil"/>
              <w:left w:val="nil"/>
              <w:right w:val="nil"/>
            </w:tcBorders>
            <w:shd w:val="clear" w:color="000000" w:fill="D9D9D9"/>
            <w:vAlign w:val="center"/>
            <w:hideMark/>
          </w:tcPr>
          <w:p w14:paraId="03353626" w14:textId="77777777" w:rsidR="00F9073F" w:rsidRPr="00B16B0F" w:rsidRDefault="00F9073F" w:rsidP="00B16B0F">
            <w:pPr>
              <w:pStyle w:val="TableText"/>
              <w:jc w:val="right"/>
              <w:rPr>
                <w:b/>
                <w:bCs/>
                <w:lang w:eastAsia="en-NZ"/>
              </w:rPr>
            </w:pPr>
            <w:r w:rsidRPr="00B16B0F">
              <w:rPr>
                <w:b/>
                <w:bCs/>
                <w:lang w:eastAsia="en-NZ"/>
              </w:rPr>
              <w:t>Interviews</w:t>
            </w:r>
          </w:p>
        </w:tc>
        <w:tc>
          <w:tcPr>
            <w:tcW w:w="2646" w:type="dxa"/>
            <w:tcBorders>
              <w:top w:val="nil"/>
              <w:left w:val="nil"/>
              <w:right w:val="nil"/>
            </w:tcBorders>
            <w:shd w:val="clear" w:color="000000" w:fill="D9D9D9"/>
            <w:vAlign w:val="center"/>
            <w:hideMark/>
          </w:tcPr>
          <w:p w14:paraId="2B6AF592" w14:textId="7E77BB38" w:rsidR="00F9073F" w:rsidRPr="00B16B0F" w:rsidRDefault="00F9073F" w:rsidP="00B16B0F">
            <w:pPr>
              <w:pStyle w:val="TableText"/>
              <w:jc w:val="right"/>
              <w:rPr>
                <w:b/>
                <w:bCs/>
                <w:lang w:eastAsia="en-NZ"/>
              </w:rPr>
            </w:pPr>
            <w:r w:rsidRPr="00B16B0F">
              <w:rPr>
                <w:b/>
                <w:bCs/>
                <w:lang w:eastAsia="en-NZ"/>
              </w:rPr>
              <w:t>Population</w:t>
            </w:r>
            <w:r w:rsidR="00E16ED3" w:rsidRPr="00B16B0F">
              <w:rPr>
                <w:b/>
                <w:bCs/>
                <w:lang w:eastAsia="en-NZ"/>
              </w:rPr>
              <w:t xml:space="preserve"> count</w:t>
            </w:r>
          </w:p>
        </w:tc>
      </w:tr>
      <w:tr w:rsidR="00771283" w:rsidRPr="009B0EB2" w14:paraId="75AF83A1" w14:textId="77777777" w:rsidTr="00B16B0F">
        <w:trPr>
          <w:trHeight w:val="240"/>
        </w:trPr>
        <w:tc>
          <w:tcPr>
            <w:tcW w:w="2646" w:type="dxa"/>
            <w:tcBorders>
              <w:left w:val="nil"/>
              <w:bottom w:val="single" w:sz="8" w:space="0" w:color="A6A6A6"/>
              <w:right w:val="nil"/>
            </w:tcBorders>
            <w:shd w:val="clear" w:color="auto" w:fill="auto"/>
            <w:vAlign w:val="center"/>
            <w:hideMark/>
          </w:tcPr>
          <w:p w14:paraId="6765C471" w14:textId="77777777" w:rsidR="00F9073F" w:rsidRPr="009B0EB2" w:rsidRDefault="00F9073F" w:rsidP="00B16B0F">
            <w:pPr>
              <w:pStyle w:val="TableText"/>
              <w:rPr>
                <w:lang w:eastAsia="en-NZ"/>
              </w:rPr>
            </w:pPr>
            <w:r w:rsidRPr="009B0EB2">
              <w:rPr>
                <w:lang w:eastAsia="en-NZ"/>
              </w:rPr>
              <w:t>0–4</w:t>
            </w:r>
          </w:p>
        </w:tc>
        <w:tc>
          <w:tcPr>
            <w:tcW w:w="2646" w:type="dxa"/>
            <w:tcBorders>
              <w:left w:val="nil"/>
              <w:bottom w:val="single" w:sz="8" w:space="0" w:color="A6A6A6"/>
              <w:right w:val="nil"/>
            </w:tcBorders>
            <w:shd w:val="clear" w:color="auto" w:fill="auto"/>
            <w:noWrap/>
            <w:vAlign w:val="bottom"/>
            <w:hideMark/>
          </w:tcPr>
          <w:p w14:paraId="462E0967" w14:textId="17CB10AA" w:rsidR="00F9073F" w:rsidRPr="009B0EB2" w:rsidRDefault="00F9073F" w:rsidP="00B16B0F">
            <w:pPr>
              <w:pStyle w:val="TableText"/>
              <w:jc w:val="right"/>
              <w:rPr>
                <w:lang w:eastAsia="en-NZ"/>
              </w:rPr>
            </w:pPr>
            <w:r w:rsidRPr="009B0EB2">
              <w:rPr>
                <w:lang w:eastAsia="en-NZ"/>
              </w:rPr>
              <w:t>630</w:t>
            </w:r>
          </w:p>
        </w:tc>
        <w:tc>
          <w:tcPr>
            <w:tcW w:w="2646" w:type="dxa"/>
            <w:tcBorders>
              <w:left w:val="nil"/>
              <w:bottom w:val="single" w:sz="8" w:space="0" w:color="A6A6A6"/>
              <w:right w:val="nil"/>
            </w:tcBorders>
            <w:shd w:val="clear" w:color="auto" w:fill="auto"/>
            <w:noWrap/>
            <w:vAlign w:val="bottom"/>
            <w:hideMark/>
          </w:tcPr>
          <w:p w14:paraId="6F2B92E6" w14:textId="7FF4A574" w:rsidR="00F9073F" w:rsidRPr="009B0EB2" w:rsidRDefault="00F9073F" w:rsidP="00B16B0F">
            <w:pPr>
              <w:pStyle w:val="TableText"/>
              <w:jc w:val="right"/>
              <w:rPr>
                <w:lang w:eastAsia="en-NZ"/>
              </w:rPr>
            </w:pPr>
            <w:r w:rsidRPr="009B0EB2">
              <w:rPr>
                <w:lang w:eastAsia="en-NZ"/>
              </w:rPr>
              <w:t>302,140</w:t>
            </w:r>
          </w:p>
        </w:tc>
      </w:tr>
      <w:tr w:rsidR="00771283" w:rsidRPr="009B0EB2" w14:paraId="2F0DBE33" w14:textId="77777777" w:rsidTr="00B16B0F">
        <w:trPr>
          <w:trHeight w:val="240"/>
        </w:trPr>
        <w:tc>
          <w:tcPr>
            <w:tcW w:w="2646" w:type="dxa"/>
            <w:tcBorders>
              <w:top w:val="single" w:sz="8" w:space="0" w:color="A6A6A6"/>
              <w:left w:val="nil"/>
              <w:bottom w:val="single" w:sz="8" w:space="0" w:color="A6A6A6"/>
              <w:right w:val="nil"/>
            </w:tcBorders>
            <w:shd w:val="clear" w:color="auto" w:fill="auto"/>
            <w:vAlign w:val="center"/>
            <w:hideMark/>
          </w:tcPr>
          <w:p w14:paraId="69599DEA" w14:textId="77777777" w:rsidR="00F9073F" w:rsidRPr="009B0EB2" w:rsidRDefault="00F9073F" w:rsidP="00B16B0F">
            <w:pPr>
              <w:pStyle w:val="TableText"/>
              <w:rPr>
                <w:lang w:eastAsia="en-NZ"/>
              </w:rPr>
            </w:pPr>
            <w:r w:rsidRPr="009B0EB2">
              <w:rPr>
                <w:lang w:eastAsia="en-NZ"/>
              </w:rPr>
              <w:t>5–9</w:t>
            </w:r>
          </w:p>
        </w:tc>
        <w:tc>
          <w:tcPr>
            <w:tcW w:w="2646" w:type="dxa"/>
            <w:tcBorders>
              <w:top w:val="single" w:sz="8" w:space="0" w:color="A6A6A6"/>
              <w:left w:val="nil"/>
              <w:bottom w:val="single" w:sz="8" w:space="0" w:color="A6A6A6"/>
              <w:right w:val="nil"/>
            </w:tcBorders>
            <w:shd w:val="clear" w:color="auto" w:fill="auto"/>
            <w:noWrap/>
            <w:vAlign w:val="bottom"/>
            <w:hideMark/>
          </w:tcPr>
          <w:p w14:paraId="2E0BFF89" w14:textId="644B0912" w:rsidR="00F9073F" w:rsidRPr="009B0EB2" w:rsidRDefault="00F9073F" w:rsidP="00B16B0F">
            <w:pPr>
              <w:pStyle w:val="TableText"/>
              <w:jc w:val="right"/>
              <w:rPr>
                <w:lang w:eastAsia="en-NZ"/>
              </w:rPr>
            </w:pPr>
            <w:r w:rsidRPr="009B0EB2">
              <w:rPr>
                <w:lang w:eastAsia="en-NZ"/>
              </w:rPr>
              <w:t>663</w:t>
            </w:r>
          </w:p>
        </w:tc>
        <w:tc>
          <w:tcPr>
            <w:tcW w:w="2646" w:type="dxa"/>
            <w:tcBorders>
              <w:top w:val="single" w:sz="8" w:space="0" w:color="A6A6A6"/>
              <w:left w:val="nil"/>
              <w:bottom w:val="single" w:sz="8" w:space="0" w:color="A6A6A6"/>
              <w:right w:val="nil"/>
            </w:tcBorders>
            <w:shd w:val="clear" w:color="auto" w:fill="auto"/>
            <w:noWrap/>
            <w:vAlign w:val="bottom"/>
            <w:hideMark/>
          </w:tcPr>
          <w:p w14:paraId="1D570955" w14:textId="677C4E52" w:rsidR="00F9073F" w:rsidRPr="009B0EB2" w:rsidRDefault="00F9073F" w:rsidP="00B16B0F">
            <w:pPr>
              <w:pStyle w:val="TableText"/>
              <w:jc w:val="right"/>
              <w:rPr>
                <w:lang w:eastAsia="en-NZ"/>
              </w:rPr>
            </w:pPr>
            <w:r w:rsidRPr="009B0EB2">
              <w:rPr>
                <w:lang w:eastAsia="en-NZ"/>
              </w:rPr>
              <w:t>321,593</w:t>
            </w:r>
          </w:p>
        </w:tc>
      </w:tr>
      <w:tr w:rsidR="00771283" w:rsidRPr="009B0EB2" w14:paraId="7D804087" w14:textId="77777777" w:rsidTr="00B16B0F">
        <w:trPr>
          <w:trHeight w:val="240"/>
        </w:trPr>
        <w:tc>
          <w:tcPr>
            <w:tcW w:w="2646" w:type="dxa"/>
            <w:tcBorders>
              <w:top w:val="single" w:sz="8" w:space="0" w:color="A6A6A6"/>
              <w:left w:val="nil"/>
              <w:bottom w:val="single" w:sz="8" w:space="0" w:color="A6A6A6"/>
              <w:right w:val="nil"/>
            </w:tcBorders>
            <w:shd w:val="clear" w:color="auto" w:fill="auto"/>
            <w:vAlign w:val="center"/>
            <w:hideMark/>
          </w:tcPr>
          <w:p w14:paraId="3D466678" w14:textId="77777777" w:rsidR="00F9073F" w:rsidRPr="009B0EB2" w:rsidRDefault="00F9073F" w:rsidP="00B16B0F">
            <w:pPr>
              <w:pStyle w:val="TableText"/>
              <w:rPr>
                <w:lang w:eastAsia="en-NZ"/>
              </w:rPr>
            </w:pPr>
            <w:r w:rsidRPr="009B0EB2">
              <w:rPr>
                <w:lang w:eastAsia="en-NZ"/>
              </w:rPr>
              <w:t>10–14</w:t>
            </w:r>
          </w:p>
        </w:tc>
        <w:tc>
          <w:tcPr>
            <w:tcW w:w="2646" w:type="dxa"/>
            <w:tcBorders>
              <w:top w:val="single" w:sz="8" w:space="0" w:color="A6A6A6"/>
              <w:left w:val="nil"/>
              <w:bottom w:val="single" w:sz="8" w:space="0" w:color="A6A6A6"/>
              <w:right w:val="nil"/>
            </w:tcBorders>
            <w:shd w:val="clear" w:color="auto" w:fill="auto"/>
            <w:noWrap/>
            <w:vAlign w:val="bottom"/>
            <w:hideMark/>
          </w:tcPr>
          <w:p w14:paraId="50D5EF6C" w14:textId="2DA7E409" w:rsidR="00F9073F" w:rsidRPr="009B0EB2" w:rsidRDefault="00F9073F" w:rsidP="00B16B0F">
            <w:pPr>
              <w:pStyle w:val="TableText"/>
              <w:jc w:val="right"/>
              <w:rPr>
                <w:lang w:eastAsia="en-NZ"/>
              </w:rPr>
            </w:pPr>
            <w:r w:rsidRPr="009B0EB2">
              <w:rPr>
                <w:lang w:eastAsia="en-NZ"/>
              </w:rPr>
              <w:t>736</w:t>
            </w:r>
          </w:p>
        </w:tc>
        <w:tc>
          <w:tcPr>
            <w:tcW w:w="2646" w:type="dxa"/>
            <w:tcBorders>
              <w:top w:val="single" w:sz="8" w:space="0" w:color="A6A6A6"/>
              <w:left w:val="nil"/>
              <w:bottom w:val="single" w:sz="8" w:space="0" w:color="A6A6A6"/>
              <w:right w:val="nil"/>
            </w:tcBorders>
            <w:shd w:val="clear" w:color="auto" w:fill="auto"/>
            <w:noWrap/>
            <w:vAlign w:val="bottom"/>
            <w:hideMark/>
          </w:tcPr>
          <w:p w14:paraId="3A4ED64E" w14:textId="26D5914F" w:rsidR="00F9073F" w:rsidRPr="009B0EB2" w:rsidRDefault="00F9073F" w:rsidP="00B16B0F">
            <w:pPr>
              <w:pStyle w:val="TableText"/>
              <w:jc w:val="right"/>
              <w:rPr>
                <w:lang w:eastAsia="en-NZ"/>
              </w:rPr>
            </w:pPr>
            <w:r w:rsidRPr="009B0EB2">
              <w:rPr>
                <w:lang w:eastAsia="en-NZ"/>
              </w:rPr>
              <w:t>341,023</w:t>
            </w:r>
          </w:p>
        </w:tc>
      </w:tr>
      <w:tr w:rsidR="00771283" w:rsidRPr="009B0EB2" w14:paraId="632386CC" w14:textId="77777777" w:rsidTr="00B16B0F">
        <w:trPr>
          <w:trHeight w:val="240"/>
        </w:trPr>
        <w:tc>
          <w:tcPr>
            <w:tcW w:w="2646" w:type="dxa"/>
            <w:tcBorders>
              <w:top w:val="single" w:sz="8" w:space="0" w:color="A6A6A6"/>
              <w:left w:val="nil"/>
              <w:bottom w:val="single" w:sz="8" w:space="0" w:color="A6A6A6"/>
              <w:right w:val="nil"/>
            </w:tcBorders>
            <w:shd w:val="clear" w:color="auto" w:fill="auto"/>
            <w:vAlign w:val="center"/>
            <w:hideMark/>
          </w:tcPr>
          <w:p w14:paraId="3C388536" w14:textId="77777777" w:rsidR="00F9073F" w:rsidRPr="009B0EB2" w:rsidRDefault="00F9073F" w:rsidP="00B16B0F">
            <w:pPr>
              <w:pStyle w:val="TableText"/>
              <w:rPr>
                <w:lang w:eastAsia="en-NZ"/>
              </w:rPr>
            </w:pPr>
            <w:r w:rsidRPr="009B0EB2">
              <w:rPr>
                <w:lang w:eastAsia="en-NZ"/>
              </w:rPr>
              <w:t>15–24</w:t>
            </w:r>
          </w:p>
        </w:tc>
        <w:tc>
          <w:tcPr>
            <w:tcW w:w="2646" w:type="dxa"/>
            <w:tcBorders>
              <w:top w:val="single" w:sz="8" w:space="0" w:color="A6A6A6"/>
              <w:left w:val="nil"/>
              <w:bottom w:val="single" w:sz="8" w:space="0" w:color="A6A6A6"/>
              <w:right w:val="nil"/>
            </w:tcBorders>
            <w:shd w:val="clear" w:color="auto" w:fill="auto"/>
            <w:noWrap/>
            <w:vAlign w:val="bottom"/>
            <w:hideMark/>
          </w:tcPr>
          <w:p w14:paraId="5F5B405B" w14:textId="1CE407B6" w:rsidR="00F9073F" w:rsidRPr="009B0EB2" w:rsidRDefault="00F9073F" w:rsidP="00B16B0F">
            <w:pPr>
              <w:pStyle w:val="TableText"/>
              <w:jc w:val="right"/>
              <w:rPr>
                <w:lang w:eastAsia="en-NZ"/>
              </w:rPr>
            </w:pPr>
            <w:r w:rsidRPr="009B0EB2">
              <w:rPr>
                <w:lang w:eastAsia="en-NZ"/>
              </w:rPr>
              <w:t>576</w:t>
            </w:r>
          </w:p>
        </w:tc>
        <w:tc>
          <w:tcPr>
            <w:tcW w:w="2646" w:type="dxa"/>
            <w:tcBorders>
              <w:top w:val="single" w:sz="8" w:space="0" w:color="A6A6A6"/>
              <w:left w:val="nil"/>
              <w:bottom w:val="single" w:sz="8" w:space="0" w:color="A6A6A6"/>
              <w:right w:val="nil"/>
            </w:tcBorders>
            <w:shd w:val="clear" w:color="auto" w:fill="auto"/>
            <w:noWrap/>
            <w:vAlign w:val="bottom"/>
            <w:hideMark/>
          </w:tcPr>
          <w:p w14:paraId="4AC0D7CC" w14:textId="6A343E4A" w:rsidR="00F9073F" w:rsidRPr="009B0EB2" w:rsidRDefault="00F9073F" w:rsidP="00B16B0F">
            <w:pPr>
              <w:pStyle w:val="TableText"/>
              <w:jc w:val="right"/>
              <w:rPr>
                <w:lang w:eastAsia="en-NZ"/>
              </w:rPr>
            </w:pPr>
            <w:r w:rsidRPr="009B0EB2">
              <w:rPr>
                <w:lang w:eastAsia="en-NZ"/>
              </w:rPr>
              <w:t>645,383</w:t>
            </w:r>
          </w:p>
        </w:tc>
      </w:tr>
      <w:tr w:rsidR="00771283" w:rsidRPr="009B0EB2" w14:paraId="6E3F917E" w14:textId="77777777" w:rsidTr="00B16B0F">
        <w:trPr>
          <w:trHeight w:val="240"/>
        </w:trPr>
        <w:tc>
          <w:tcPr>
            <w:tcW w:w="2646" w:type="dxa"/>
            <w:tcBorders>
              <w:top w:val="single" w:sz="8" w:space="0" w:color="A6A6A6"/>
              <w:left w:val="nil"/>
              <w:bottom w:val="single" w:sz="8" w:space="0" w:color="A6A6A6"/>
              <w:right w:val="nil"/>
            </w:tcBorders>
            <w:shd w:val="clear" w:color="auto" w:fill="auto"/>
            <w:vAlign w:val="center"/>
            <w:hideMark/>
          </w:tcPr>
          <w:p w14:paraId="64F72A35" w14:textId="77777777" w:rsidR="00F9073F" w:rsidRPr="009B0EB2" w:rsidRDefault="00F9073F" w:rsidP="00B16B0F">
            <w:pPr>
              <w:pStyle w:val="TableText"/>
              <w:rPr>
                <w:lang w:eastAsia="en-NZ"/>
              </w:rPr>
            </w:pPr>
            <w:r w:rsidRPr="009B0EB2">
              <w:rPr>
                <w:lang w:eastAsia="en-NZ"/>
              </w:rPr>
              <w:t>25–34</w:t>
            </w:r>
          </w:p>
        </w:tc>
        <w:tc>
          <w:tcPr>
            <w:tcW w:w="2646" w:type="dxa"/>
            <w:tcBorders>
              <w:top w:val="single" w:sz="8" w:space="0" w:color="A6A6A6"/>
              <w:left w:val="nil"/>
              <w:bottom w:val="single" w:sz="8" w:space="0" w:color="A6A6A6"/>
              <w:right w:val="nil"/>
            </w:tcBorders>
            <w:shd w:val="clear" w:color="auto" w:fill="auto"/>
            <w:noWrap/>
            <w:vAlign w:val="bottom"/>
            <w:hideMark/>
          </w:tcPr>
          <w:p w14:paraId="791B14E2" w14:textId="73088DCE" w:rsidR="00F9073F" w:rsidRPr="009B0EB2" w:rsidRDefault="00F9073F" w:rsidP="00B16B0F">
            <w:pPr>
              <w:pStyle w:val="TableText"/>
              <w:jc w:val="right"/>
              <w:rPr>
                <w:lang w:eastAsia="en-NZ"/>
              </w:rPr>
            </w:pPr>
            <w:r w:rsidRPr="009B0EB2">
              <w:rPr>
                <w:lang w:eastAsia="en-NZ"/>
              </w:rPr>
              <w:t>1,093</w:t>
            </w:r>
          </w:p>
        </w:tc>
        <w:tc>
          <w:tcPr>
            <w:tcW w:w="2646" w:type="dxa"/>
            <w:tcBorders>
              <w:top w:val="single" w:sz="8" w:space="0" w:color="A6A6A6"/>
              <w:left w:val="nil"/>
              <w:bottom w:val="single" w:sz="8" w:space="0" w:color="A6A6A6"/>
              <w:right w:val="nil"/>
            </w:tcBorders>
            <w:shd w:val="clear" w:color="auto" w:fill="auto"/>
            <w:noWrap/>
            <w:vAlign w:val="bottom"/>
            <w:hideMark/>
          </w:tcPr>
          <w:p w14:paraId="1EFD15F1" w14:textId="71469EBB" w:rsidR="00F9073F" w:rsidRPr="009B0EB2" w:rsidRDefault="00F9073F" w:rsidP="00B16B0F">
            <w:pPr>
              <w:pStyle w:val="TableText"/>
              <w:jc w:val="right"/>
              <w:rPr>
                <w:lang w:eastAsia="en-NZ"/>
              </w:rPr>
            </w:pPr>
            <w:r w:rsidRPr="009B0EB2">
              <w:rPr>
                <w:lang w:eastAsia="en-NZ"/>
              </w:rPr>
              <w:t>747,923</w:t>
            </w:r>
          </w:p>
        </w:tc>
      </w:tr>
      <w:tr w:rsidR="00771283" w:rsidRPr="009B0EB2" w14:paraId="51CF622C" w14:textId="77777777" w:rsidTr="00B16B0F">
        <w:trPr>
          <w:trHeight w:val="240"/>
        </w:trPr>
        <w:tc>
          <w:tcPr>
            <w:tcW w:w="2646" w:type="dxa"/>
            <w:tcBorders>
              <w:top w:val="single" w:sz="8" w:space="0" w:color="A6A6A6"/>
              <w:left w:val="nil"/>
              <w:bottom w:val="single" w:sz="8" w:space="0" w:color="A6A6A6"/>
              <w:right w:val="nil"/>
            </w:tcBorders>
            <w:shd w:val="clear" w:color="auto" w:fill="auto"/>
            <w:vAlign w:val="center"/>
            <w:hideMark/>
          </w:tcPr>
          <w:p w14:paraId="17BD91E7" w14:textId="77777777" w:rsidR="00F9073F" w:rsidRPr="009B0EB2" w:rsidRDefault="00F9073F" w:rsidP="00B16B0F">
            <w:pPr>
              <w:pStyle w:val="TableText"/>
              <w:rPr>
                <w:lang w:eastAsia="en-NZ"/>
              </w:rPr>
            </w:pPr>
            <w:r w:rsidRPr="009B0EB2">
              <w:rPr>
                <w:lang w:eastAsia="en-NZ"/>
              </w:rPr>
              <w:t>35–44</w:t>
            </w:r>
          </w:p>
        </w:tc>
        <w:tc>
          <w:tcPr>
            <w:tcW w:w="2646" w:type="dxa"/>
            <w:tcBorders>
              <w:top w:val="single" w:sz="8" w:space="0" w:color="A6A6A6"/>
              <w:left w:val="nil"/>
              <w:bottom w:val="single" w:sz="8" w:space="0" w:color="A6A6A6"/>
              <w:right w:val="nil"/>
            </w:tcBorders>
            <w:shd w:val="clear" w:color="auto" w:fill="auto"/>
            <w:noWrap/>
            <w:vAlign w:val="bottom"/>
            <w:hideMark/>
          </w:tcPr>
          <w:p w14:paraId="5E92F999" w14:textId="2A351CFC" w:rsidR="00F9073F" w:rsidRPr="009B0EB2" w:rsidRDefault="00F9073F" w:rsidP="00B16B0F">
            <w:pPr>
              <w:pStyle w:val="TableText"/>
              <w:jc w:val="right"/>
              <w:rPr>
                <w:lang w:eastAsia="en-NZ"/>
              </w:rPr>
            </w:pPr>
            <w:r w:rsidRPr="009B0EB2">
              <w:rPr>
                <w:lang w:eastAsia="en-NZ"/>
              </w:rPr>
              <w:t>1,056</w:t>
            </w:r>
          </w:p>
        </w:tc>
        <w:tc>
          <w:tcPr>
            <w:tcW w:w="2646" w:type="dxa"/>
            <w:tcBorders>
              <w:top w:val="single" w:sz="8" w:space="0" w:color="A6A6A6"/>
              <w:left w:val="nil"/>
              <w:bottom w:val="single" w:sz="8" w:space="0" w:color="A6A6A6"/>
              <w:right w:val="nil"/>
            </w:tcBorders>
            <w:shd w:val="clear" w:color="auto" w:fill="auto"/>
            <w:noWrap/>
            <w:vAlign w:val="bottom"/>
            <w:hideMark/>
          </w:tcPr>
          <w:p w14:paraId="477E42A4" w14:textId="3D4463D2" w:rsidR="00F9073F" w:rsidRPr="009B0EB2" w:rsidRDefault="00F9073F" w:rsidP="00B16B0F">
            <w:pPr>
              <w:pStyle w:val="TableText"/>
              <w:jc w:val="right"/>
              <w:rPr>
                <w:lang w:eastAsia="en-NZ"/>
              </w:rPr>
            </w:pPr>
            <w:r w:rsidRPr="009B0EB2">
              <w:rPr>
                <w:lang w:eastAsia="en-NZ"/>
              </w:rPr>
              <w:t>677,870</w:t>
            </w:r>
          </w:p>
        </w:tc>
      </w:tr>
      <w:tr w:rsidR="00771283" w:rsidRPr="009B0EB2" w14:paraId="3828E639" w14:textId="77777777" w:rsidTr="00B16B0F">
        <w:trPr>
          <w:trHeight w:val="240"/>
        </w:trPr>
        <w:tc>
          <w:tcPr>
            <w:tcW w:w="2646" w:type="dxa"/>
            <w:tcBorders>
              <w:top w:val="single" w:sz="8" w:space="0" w:color="A6A6A6"/>
              <w:left w:val="nil"/>
              <w:bottom w:val="single" w:sz="8" w:space="0" w:color="A6A6A6"/>
              <w:right w:val="nil"/>
            </w:tcBorders>
            <w:shd w:val="clear" w:color="auto" w:fill="auto"/>
            <w:vAlign w:val="center"/>
            <w:hideMark/>
          </w:tcPr>
          <w:p w14:paraId="1BF60E99" w14:textId="77777777" w:rsidR="00F9073F" w:rsidRPr="009B0EB2" w:rsidRDefault="00F9073F" w:rsidP="00B16B0F">
            <w:pPr>
              <w:pStyle w:val="TableText"/>
              <w:rPr>
                <w:lang w:eastAsia="en-NZ"/>
              </w:rPr>
            </w:pPr>
            <w:r w:rsidRPr="009B0EB2">
              <w:rPr>
                <w:lang w:eastAsia="en-NZ"/>
              </w:rPr>
              <w:t>45–54</w:t>
            </w:r>
          </w:p>
        </w:tc>
        <w:tc>
          <w:tcPr>
            <w:tcW w:w="2646" w:type="dxa"/>
            <w:tcBorders>
              <w:top w:val="single" w:sz="8" w:space="0" w:color="A6A6A6"/>
              <w:left w:val="nil"/>
              <w:bottom w:val="single" w:sz="8" w:space="0" w:color="A6A6A6"/>
              <w:right w:val="nil"/>
            </w:tcBorders>
            <w:shd w:val="clear" w:color="auto" w:fill="auto"/>
            <w:noWrap/>
            <w:vAlign w:val="bottom"/>
            <w:hideMark/>
          </w:tcPr>
          <w:p w14:paraId="499ACA8A" w14:textId="52A5C0D8" w:rsidR="00F9073F" w:rsidRPr="009B0EB2" w:rsidRDefault="00F9073F" w:rsidP="00B16B0F">
            <w:pPr>
              <w:pStyle w:val="TableText"/>
              <w:jc w:val="right"/>
              <w:rPr>
                <w:lang w:eastAsia="en-NZ"/>
              </w:rPr>
            </w:pPr>
            <w:r w:rsidRPr="009B0EB2">
              <w:rPr>
                <w:lang w:eastAsia="en-NZ"/>
              </w:rPr>
              <w:t>970</w:t>
            </w:r>
          </w:p>
        </w:tc>
        <w:tc>
          <w:tcPr>
            <w:tcW w:w="2646" w:type="dxa"/>
            <w:tcBorders>
              <w:top w:val="single" w:sz="8" w:space="0" w:color="A6A6A6"/>
              <w:left w:val="nil"/>
              <w:bottom w:val="single" w:sz="8" w:space="0" w:color="A6A6A6"/>
              <w:right w:val="nil"/>
            </w:tcBorders>
            <w:shd w:val="clear" w:color="auto" w:fill="auto"/>
            <w:noWrap/>
            <w:vAlign w:val="bottom"/>
            <w:hideMark/>
          </w:tcPr>
          <w:p w14:paraId="5258EA7F" w14:textId="03B63ABF" w:rsidR="00F9073F" w:rsidRPr="009B0EB2" w:rsidRDefault="00F9073F" w:rsidP="00B16B0F">
            <w:pPr>
              <w:pStyle w:val="TableText"/>
              <w:jc w:val="right"/>
              <w:rPr>
                <w:lang w:eastAsia="en-NZ"/>
              </w:rPr>
            </w:pPr>
            <w:r w:rsidRPr="009B0EB2">
              <w:rPr>
                <w:lang w:eastAsia="en-NZ"/>
              </w:rPr>
              <w:t>648,200</w:t>
            </w:r>
          </w:p>
        </w:tc>
      </w:tr>
      <w:tr w:rsidR="00771283" w:rsidRPr="009B0EB2" w14:paraId="208940DF" w14:textId="77777777" w:rsidTr="00B16B0F">
        <w:trPr>
          <w:trHeight w:val="240"/>
        </w:trPr>
        <w:tc>
          <w:tcPr>
            <w:tcW w:w="2646" w:type="dxa"/>
            <w:tcBorders>
              <w:top w:val="single" w:sz="8" w:space="0" w:color="A6A6A6"/>
              <w:left w:val="nil"/>
              <w:bottom w:val="single" w:sz="8" w:space="0" w:color="A6A6A6"/>
              <w:right w:val="nil"/>
            </w:tcBorders>
            <w:shd w:val="clear" w:color="auto" w:fill="auto"/>
            <w:vAlign w:val="center"/>
            <w:hideMark/>
          </w:tcPr>
          <w:p w14:paraId="1414FB9E" w14:textId="77777777" w:rsidR="00F9073F" w:rsidRPr="009B0EB2" w:rsidRDefault="00F9073F" w:rsidP="00B16B0F">
            <w:pPr>
              <w:pStyle w:val="TableText"/>
              <w:rPr>
                <w:lang w:eastAsia="en-NZ"/>
              </w:rPr>
            </w:pPr>
            <w:r w:rsidRPr="009B0EB2">
              <w:rPr>
                <w:lang w:eastAsia="en-NZ"/>
              </w:rPr>
              <w:t>55–64</w:t>
            </w:r>
          </w:p>
        </w:tc>
        <w:tc>
          <w:tcPr>
            <w:tcW w:w="2646" w:type="dxa"/>
            <w:tcBorders>
              <w:top w:val="single" w:sz="8" w:space="0" w:color="A6A6A6"/>
              <w:left w:val="nil"/>
              <w:bottom w:val="single" w:sz="8" w:space="0" w:color="A6A6A6"/>
              <w:right w:val="nil"/>
            </w:tcBorders>
            <w:shd w:val="clear" w:color="auto" w:fill="auto"/>
            <w:noWrap/>
            <w:vAlign w:val="bottom"/>
            <w:hideMark/>
          </w:tcPr>
          <w:p w14:paraId="040586E3" w14:textId="3BE3FB61" w:rsidR="00F9073F" w:rsidRPr="009B0EB2" w:rsidRDefault="00F9073F" w:rsidP="00B16B0F">
            <w:pPr>
              <w:pStyle w:val="TableText"/>
              <w:jc w:val="right"/>
              <w:rPr>
                <w:lang w:eastAsia="en-NZ"/>
              </w:rPr>
            </w:pPr>
            <w:r w:rsidRPr="009B0EB2">
              <w:rPr>
                <w:lang w:eastAsia="en-NZ"/>
              </w:rPr>
              <w:t>1,153</w:t>
            </w:r>
          </w:p>
        </w:tc>
        <w:tc>
          <w:tcPr>
            <w:tcW w:w="2646" w:type="dxa"/>
            <w:tcBorders>
              <w:top w:val="single" w:sz="8" w:space="0" w:color="A6A6A6"/>
              <w:left w:val="nil"/>
              <w:bottom w:val="single" w:sz="8" w:space="0" w:color="A6A6A6"/>
              <w:right w:val="nil"/>
            </w:tcBorders>
            <w:shd w:val="clear" w:color="auto" w:fill="auto"/>
            <w:noWrap/>
            <w:vAlign w:val="bottom"/>
            <w:hideMark/>
          </w:tcPr>
          <w:p w14:paraId="63146590" w14:textId="00F8617F" w:rsidR="00F9073F" w:rsidRPr="009B0EB2" w:rsidRDefault="00F9073F" w:rsidP="00B16B0F">
            <w:pPr>
              <w:pStyle w:val="TableText"/>
              <w:jc w:val="right"/>
              <w:rPr>
                <w:lang w:eastAsia="en-NZ"/>
              </w:rPr>
            </w:pPr>
            <w:r w:rsidRPr="009B0EB2">
              <w:rPr>
                <w:lang w:eastAsia="en-NZ"/>
              </w:rPr>
              <w:t>626,687</w:t>
            </w:r>
          </w:p>
        </w:tc>
      </w:tr>
      <w:tr w:rsidR="00771283" w:rsidRPr="009B0EB2" w14:paraId="22EA02BD" w14:textId="77777777" w:rsidTr="00B16B0F">
        <w:trPr>
          <w:trHeight w:val="240"/>
        </w:trPr>
        <w:tc>
          <w:tcPr>
            <w:tcW w:w="2646" w:type="dxa"/>
            <w:tcBorders>
              <w:top w:val="single" w:sz="8" w:space="0" w:color="A6A6A6"/>
              <w:left w:val="nil"/>
              <w:bottom w:val="single" w:sz="8" w:space="0" w:color="A6A6A6"/>
              <w:right w:val="nil"/>
            </w:tcBorders>
            <w:shd w:val="clear" w:color="auto" w:fill="auto"/>
            <w:vAlign w:val="center"/>
            <w:hideMark/>
          </w:tcPr>
          <w:p w14:paraId="4C8A72A5" w14:textId="77777777" w:rsidR="00F9073F" w:rsidRPr="009B0EB2" w:rsidRDefault="00F9073F" w:rsidP="00B16B0F">
            <w:pPr>
              <w:pStyle w:val="TableText"/>
              <w:rPr>
                <w:lang w:eastAsia="en-NZ"/>
              </w:rPr>
            </w:pPr>
            <w:r w:rsidRPr="009B0EB2">
              <w:rPr>
                <w:lang w:eastAsia="en-NZ"/>
              </w:rPr>
              <w:t>65–74</w:t>
            </w:r>
          </w:p>
        </w:tc>
        <w:tc>
          <w:tcPr>
            <w:tcW w:w="2646" w:type="dxa"/>
            <w:tcBorders>
              <w:top w:val="single" w:sz="8" w:space="0" w:color="A6A6A6"/>
              <w:left w:val="nil"/>
              <w:bottom w:val="single" w:sz="8" w:space="0" w:color="A6A6A6"/>
              <w:right w:val="nil"/>
            </w:tcBorders>
            <w:shd w:val="clear" w:color="auto" w:fill="auto"/>
            <w:noWrap/>
            <w:vAlign w:val="bottom"/>
            <w:hideMark/>
          </w:tcPr>
          <w:p w14:paraId="765CF04A" w14:textId="342F9B12" w:rsidR="00F9073F" w:rsidRPr="009B0EB2" w:rsidRDefault="00F9073F" w:rsidP="00B16B0F">
            <w:pPr>
              <w:pStyle w:val="TableText"/>
              <w:jc w:val="right"/>
              <w:rPr>
                <w:lang w:eastAsia="en-NZ"/>
              </w:rPr>
            </w:pPr>
            <w:r w:rsidRPr="009B0EB2">
              <w:rPr>
                <w:lang w:eastAsia="en-NZ"/>
              </w:rPr>
              <w:t>1,071</w:t>
            </w:r>
          </w:p>
        </w:tc>
        <w:tc>
          <w:tcPr>
            <w:tcW w:w="2646" w:type="dxa"/>
            <w:tcBorders>
              <w:top w:val="single" w:sz="8" w:space="0" w:color="A6A6A6"/>
              <w:left w:val="nil"/>
              <w:bottom w:val="single" w:sz="8" w:space="0" w:color="A6A6A6"/>
              <w:right w:val="nil"/>
            </w:tcBorders>
            <w:shd w:val="clear" w:color="auto" w:fill="auto"/>
            <w:noWrap/>
            <w:vAlign w:val="bottom"/>
            <w:hideMark/>
          </w:tcPr>
          <w:p w14:paraId="667B4A9B" w14:textId="53C0E9C7" w:rsidR="00F9073F" w:rsidRPr="009B0EB2" w:rsidRDefault="00F9073F" w:rsidP="00B16B0F">
            <w:pPr>
              <w:pStyle w:val="TableText"/>
              <w:jc w:val="right"/>
              <w:rPr>
                <w:lang w:eastAsia="en-NZ"/>
              </w:rPr>
            </w:pPr>
            <w:r w:rsidRPr="009B0EB2">
              <w:rPr>
                <w:lang w:eastAsia="en-NZ"/>
              </w:rPr>
              <w:t>482,423</w:t>
            </w:r>
          </w:p>
        </w:tc>
      </w:tr>
      <w:tr w:rsidR="00771283" w:rsidRPr="009B0EB2" w14:paraId="04ACE3B7" w14:textId="77777777" w:rsidTr="00B16B0F">
        <w:trPr>
          <w:trHeight w:val="255"/>
        </w:trPr>
        <w:tc>
          <w:tcPr>
            <w:tcW w:w="2646" w:type="dxa"/>
            <w:tcBorders>
              <w:top w:val="single" w:sz="8" w:space="0" w:color="A6A6A6"/>
              <w:left w:val="nil"/>
              <w:bottom w:val="single" w:sz="8" w:space="0" w:color="A6A6A6"/>
              <w:right w:val="nil"/>
            </w:tcBorders>
            <w:shd w:val="clear" w:color="auto" w:fill="auto"/>
            <w:vAlign w:val="center"/>
            <w:hideMark/>
          </w:tcPr>
          <w:p w14:paraId="0677CBC1" w14:textId="77777777" w:rsidR="00F9073F" w:rsidRPr="009B0EB2" w:rsidRDefault="00F9073F" w:rsidP="00B16B0F">
            <w:pPr>
              <w:pStyle w:val="TableText"/>
              <w:rPr>
                <w:lang w:eastAsia="en-NZ"/>
              </w:rPr>
            </w:pPr>
            <w:r w:rsidRPr="009B0EB2">
              <w:rPr>
                <w:lang w:eastAsia="en-NZ"/>
              </w:rPr>
              <w:t>75 and over</w:t>
            </w:r>
          </w:p>
        </w:tc>
        <w:tc>
          <w:tcPr>
            <w:tcW w:w="2646" w:type="dxa"/>
            <w:tcBorders>
              <w:top w:val="single" w:sz="8" w:space="0" w:color="A6A6A6"/>
              <w:left w:val="nil"/>
              <w:bottom w:val="single" w:sz="8" w:space="0" w:color="A6A6A6"/>
              <w:right w:val="nil"/>
            </w:tcBorders>
            <w:shd w:val="clear" w:color="auto" w:fill="auto"/>
            <w:vAlign w:val="center"/>
            <w:hideMark/>
          </w:tcPr>
          <w:p w14:paraId="3CD05C57" w14:textId="215CCB6C" w:rsidR="00F9073F" w:rsidRPr="009B0EB2" w:rsidRDefault="00F9073F" w:rsidP="00B16B0F">
            <w:pPr>
              <w:pStyle w:val="TableText"/>
              <w:jc w:val="right"/>
              <w:rPr>
                <w:lang w:eastAsia="en-NZ"/>
              </w:rPr>
            </w:pPr>
            <w:r w:rsidRPr="009B0EB2">
              <w:rPr>
                <w:lang w:eastAsia="en-NZ"/>
              </w:rPr>
              <w:t>880</w:t>
            </w:r>
          </w:p>
        </w:tc>
        <w:tc>
          <w:tcPr>
            <w:tcW w:w="2646" w:type="dxa"/>
            <w:tcBorders>
              <w:top w:val="single" w:sz="8" w:space="0" w:color="A6A6A6"/>
              <w:left w:val="nil"/>
              <w:bottom w:val="single" w:sz="8" w:space="0" w:color="A6A6A6"/>
              <w:right w:val="nil"/>
            </w:tcBorders>
            <w:shd w:val="clear" w:color="auto" w:fill="auto"/>
            <w:vAlign w:val="center"/>
            <w:hideMark/>
          </w:tcPr>
          <w:p w14:paraId="20735C69" w14:textId="2AD54A51" w:rsidR="00F9073F" w:rsidRPr="009B0EB2" w:rsidRDefault="00F9073F" w:rsidP="00B16B0F">
            <w:pPr>
              <w:pStyle w:val="TableText"/>
              <w:jc w:val="right"/>
              <w:rPr>
                <w:lang w:eastAsia="en-NZ"/>
              </w:rPr>
            </w:pPr>
            <w:r w:rsidRPr="009B0EB2">
              <w:rPr>
                <w:lang w:eastAsia="en-NZ"/>
              </w:rPr>
              <w:t>370,823</w:t>
            </w:r>
          </w:p>
        </w:tc>
      </w:tr>
    </w:tbl>
    <w:p w14:paraId="5E2014A6" w14:textId="77777777" w:rsidR="00F9073F" w:rsidRPr="009B0EB2" w:rsidRDefault="00F9073F" w:rsidP="00F9073F"/>
    <w:p w14:paraId="5462F1E0" w14:textId="098A61EC" w:rsidR="004366B7" w:rsidRPr="009B0EB2" w:rsidRDefault="004366B7" w:rsidP="00532AE0">
      <w:pPr>
        <w:pStyle w:val="Caption"/>
      </w:pPr>
      <w:bookmarkStart w:id="555" w:name="_Toc339878421"/>
      <w:bookmarkStart w:id="556" w:name="_Toc372445591"/>
      <w:bookmarkStart w:id="557" w:name="_Toc403044046"/>
      <w:bookmarkStart w:id="558" w:name="_Toc467491572"/>
      <w:bookmarkStart w:id="559" w:name="_Toc531762389"/>
      <w:bookmarkStart w:id="560" w:name="_Toc531766773"/>
      <w:bookmarkStart w:id="561" w:name="_Toc23857694"/>
      <w:bookmarkStart w:id="562" w:name="_Toc54962253"/>
      <w:bookmarkStart w:id="563" w:name="_Toc88038749"/>
      <w:bookmarkStart w:id="564" w:name="_Toc153259128"/>
      <w:bookmarkStart w:id="565" w:name="_Hlk53045197"/>
      <w:r w:rsidRPr="009B0EB2">
        <w:t xml:space="preserve">Table </w:t>
      </w:r>
      <w:r w:rsidRPr="009B0EB2">
        <w:rPr>
          <w:color w:val="2B579A"/>
          <w:shd w:val="clear" w:color="auto" w:fill="E6E6E6"/>
        </w:rPr>
        <w:fldChar w:fldCharType="begin"/>
      </w:r>
      <w:r w:rsidRPr="009B0EB2">
        <w:instrText>SEQ Table \* ARABIC</w:instrText>
      </w:r>
      <w:r w:rsidRPr="009B0EB2">
        <w:rPr>
          <w:color w:val="2B579A"/>
          <w:shd w:val="clear" w:color="auto" w:fill="E6E6E6"/>
        </w:rPr>
        <w:fldChar w:fldCharType="separate"/>
      </w:r>
      <w:r w:rsidR="008D278D">
        <w:rPr>
          <w:noProof/>
        </w:rPr>
        <w:t>10</w:t>
      </w:r>
      <w:r w:rsidRPr="009B0EB2">
        <w:rPr>
          <w:color w:val="2B579A"/>
          <w:shd w:val="clear" w:color="auto" w:fill="E6E6E6"/>
        </w:rPr>
        <w:fldChar w:fldCharType="end"/>
      </w:r>
      <w:r w:rsidRPr="009B0EB2">
        <w:t>: Sample sizes and population counts, by NZDep2018 quintile, 202</w:t>
      </w:r>
      <w:r w:rsidR="00CA54B8" w:rsidRPr="009B0EB2">
        <w:t>2</w:t>
      </w:r>
      <w:r w:rsidRPr="009B0EB2">
        <w:t>/2</w:t>
      </w:r>
      <w:r w:rsidR="00CA54B8" w:rsidRPr="009B0EB2">
        <w:t>3</w:t>
      </w:r>
      <w:bookmarkEnd w:id="555"/>
      <w:bookmarkEnd w:id="556"/>
      <w:bookmarkEnd w:id="557"/>
      <w:bookmarkEnd w:id="558"/>
      <w:bookmarkEnd w:id="559"/>
      <w:bookmarkEnd w:id="560"/>
      <w:bookmarkEnd w:id="561"/>
      <w:bookmarkEnd w:id="562"/>
      <w:bookmarkEnd w:id="563"/>
      <w:bookmarkEnd w:id="564"/>
    </w:p>
    <w:tbl>
      <w:tblPr>
        <w:tblW w:w="7797" w:type="dxa"/>
        <w:tblBorders>
          <w:top w:val="single" w:sz="8" w:space="0" w:color="A6A6A6"/>
          <w:bottom w:val="single" w:sz="8" w:space="0" w:color="A6A6A6"/>
          <w:insideH w:val="single" w:sz="8" w:space="0" w:color="A6A6A6"/>
        </w:tblBorders>
        <w:tblLook w:val="04A0" w:firstRow="1" w:lastRow="0" w:firstColumn="1" w:lastColumn="0" w:noHBand="0" w:noVBand="1"/>
      </w:tblPr>
      <w:tblGrid>
        <w:gridCol w:w="2552"/>
        <w:gridCol w:w="1843"/>
        <w:gridCol w:w="1417"/>
        <w:gridCol w:w="1985"/>
      </w:tblGrid>
      <w:tr w:rsidR="005969B4" w:rsidRPr="006260CA" w14:paraId="4D9CB818" w14:textId="77777777" w:rsidTr="00B16B0F">
        <w:trPr>
          <w:trHeight w:val="20"/>
        </w:trPr>
        <w:tc>
          <w:tcPr>
            <w:tcW w:w="2552" w:type="dxa"/>
            <w:tcBorders>
              <w:top w:val="nil"/>
              <w:bottom w:val="nil"/>
            </w:tcBorders>
            <w:shd w:val="clear" w:color="000000" w:fill="D9D9D9"/>
            <w:vAlign w:val="center"/>
            <w:hideMark/>
          </w:tcPr>
          <w:p w14:paraId="4D15093D" w14:textId="77777777" w:rsidR="00F46AF3" w:rsidRPr="00B16B0F" w:rsidRDefault="00F46AF3" w:rsidP="00B16B0F">
            <w:pPr>
              <w:pStyle w:val="TableText"/>
              <w:rPr>
                <w:b/>
                <w:bCs/>
                <w:lang w:eastAsia="en-NZ"/>
              </w:rPr>
            </w:pPr>
            <w:r w:rsidRPr="00B16B0F">
              <w:rPr>
                <w:b/>
                <w:bCs/>
                <w:lang w:eastAsia="en-NZ"/>
              </w:rPr>
              <w:t>NZDep2018 quintile</w:t>
            </w:r>
          </w:p>
        </w:tc>
        <w:tc>
          <w:tcPr>
            <w:tcW w:w="1843" w:type="dxa"/>
            <w:tcBorders>
              <w:top w:val="nil"/>
              <w:bottom w:val="nil"/>
            </w:tcBorders>
            <w:shd w:val="clear" w:color="000000" w:fill="D9D9D9"/>
            <w:vAlign w:val="center"/>
            <w:hideMark/>
          </w:tcPr>
          <w:p w14:paraId="3B1053C9" w14:textId="77777777" w:rsidR="00F46AF3" w:rsidRPr="00B16B0F" w:rsidRDefault="00F46AF3" w:rsidP="00B16B0F">
            <w:pPr>
              <w:pStyle w:val="TableText"/>
              <w:rPr>
                <w:b/>
                <w:bCs/>
                <w:lang w:eastAsia="en-NZ"/>
              </w:rPr>
            </w:pPr>
            <w:r w:rsidRPr="00B16B0F">
              <w:rPr>
                <w:b/>
                <w:bCs/>
                <w:lang w:eastAsia="en-NZ"/>
              </w:rPr>
              <w:t>Population group</w:t>
            </w:r>
          </w:p>
        </w:tc>
        <w:tc>
          <w:tcPr>
            <w:tcW w:w="1417" w:type="dxa"/>
            <w:tcBorders>
              <w:top w:val="nil"/>
              <w:bottom w:val="nil"/>
            </w:tcBorders>
            <w:shd w:val="clear" w:color="000000" w:fill="D9D9D9"/>
            <w:vAlign w:val="center"/>
            <w:hideMark/>
          </w:tcPr>
          <w:p w14:paraId="7C6B0BB3" w14:textId="77777777" w:rsidR="00F46AF3" w:rsidRPr="00B16B0F" w:rsidRDefault="00F46AF3" w:rsidP="00B16B0F">
            <w:pPr>
              <w:pStyle w:val="TableText"/>
              <w:jc w:val="right"/>
              <w:rPr>
                <w:b/>
                <w:bCs/>
                <w:lang w:eastAsia="en-NZ"/>
              </w:rPr>
            </w:pPr>
            <w:r w:rsidRPr="00B16B0F">
              <w:rPr>
                <w:b/>
                <w:bCs/>
                <w:lang w:eastAsia="en-NZ"/>
              </w:rPr>
              <w:t>Interviews</w:t>
            </w:r>
          </w:p>
        </w:tc>
        <w:tc>
          <w:tcPr>
            <w:tcW w:w="1985" w:type="dxa"/>
            <w:tcBorders>
              <w:top w:val="nil"/>
              <w:bottom w:val="nil"/>
            </w:tcBorders>
            <w:shd w:val="clear" w:color="000000" w:fill="D9D9D9"/>
            <w:vAlign w:val="center"/>
            <w:hideMark/>
          </w:tcPr>
          <w:p w14:paraId="31ACCF62" w14:textId="77777777" w:rsidR="00F46AF3" w:rsidRPr="00B16B0F" w:rsidRDefault="00F46AF3" w:rsidP="00B16B0F">
            <w:pPr>
              <w:pStyle w:val="TableText"/>
              <w:jc w:val="right"/>
              <w:rPr>
                <w:b/>
                <w:bCs/>
                <w:lang w:eastAsia="en-NZ"/>
              </w:rPr>
            </w:pPr>
            <w:r w:rsidRPr="00B16B0F">
              <w:rPr>
                <w:b/>
                <w:bCs/>
                <w:lang w:eastAsia="en-NZ"/>
              </w:rPr>
              <w:t>Population count</w:t>
            </w:r>
          </w:p>
        </w:tc>
      </w:tr>
      <w:tr w:rsidR="00F46AF3" w:rsidRPr="009B0EB2" w14:paraId="307C3D0C" w14:textId="77777777" w:rsidTr="00B16B0F">
        <w:trPr>
          <w:trHeight w:val="20"/>
        </w:trPr>
        <w:tc>
          <w:tcPr>
            <w:tcW w:w="2552" w:type="dxa"/>
            <w:tcBorders>
              <w:top w:val="nil"/>
            </w:tcBorders>
            <w:shd w:val="clear" w:color="auto" w:fill="auto"/>
            <w:vAlign w:val="center"/>
            <w:hideMark/>
          </w:tcPr>
          <w:p w14:paraId="104F543A" w14:textId="77777777" w:rsidR="00F46AF3" w:rsidRPr="009B0EB2" w:rsidRDefault="00F46AF3" w:rsidP="00B16B0F">
            <w:pPr>
              <w:pStyle w:val="TableText"/>
              <w:rPr>
                <w:lang w:eastAsia="en-NZ"/>
              </w:rPr>
            </w:pPr>
            <w:r w:rsidRPr="009B0EB2">
              <w:rPr>
                <w:lang w:eastAsia="en-NZ"/>
              </w:rPr>
              <w:t>Quintile 1</w:t>
            </w:r>
          </w:p>
        </w:tc>
        <w:tc>
          <w:tcPr>
            <w:tcW w:w="1843" w:type="dxa"/>
            <w:tcBorders>
              <w:top w:val="nil"/>
            </w:tcBorders>
            <w:shd w:val="clear" w:color="auto" w:fill="auto"/>
            <w:vAlign w:val="center"/>
            <w:hideMark/>
          </w:tcPr>
          <w:p w14:paraId="4E5EF0F0" w14:textId="77777777" w:rsidR="00F46AF3" w:rsidRPr="009B0EB2" w:rsidRDefault="00F46AF3" w:rsidP="00B16B0F">
            <w:pPr>
              <w:pStyle w:val="TableText"/>
              <w:rPr>
                <w:lang w:eastAsia="en-NZ"/>
              </w:rPr>
            </w:pPr>
            <w:r w:rsidRPr="009B0EB2">
              <w:rPr>
                <w:lang w:eastAsia="en-NZ"/>
              </w:rPr>
              <w:t>Children</w:t>
            </w:r>
          </w:p>
        </w:tc>
        <w:tc>
          <w:tcPr>
            <w:tcW w:w="1417" w:type="dxa"/>
            <w:tcBorders>
              <w:top w:val="nil"/>
            </w:tcBorders>
            <w:shd w:val="clear" w:color="auto" w:fill="auto"/>
            <w:noWrap/>
            <w:vAlign w:val="bottom"/>
            <w:hideMark/>
          </w:tcPr>
          <w:p w14:paraId="2B4E060C" w14:textId="354166E9" w:rsidR="00F46AF3" w:rsidRPr="009B0EB2" w:rsidRDefault="00F46AF3" w:rsidP="00B16B0F">
            <w:pPr>
              <w:pStyle w:val="TableText"/>
              <w:jc w:val="right"/>
              <w:rPr>
                <w:lang w:eastAsia="en-NZ"/>
              </w:rPr>
            </w:pPr>
            <w:r w:rsidRPr="009B0EB2">
              <w:rPr>
                <w:lang w:eastAsia="en-NZ"/>
              </w:rPr>
              <w:t>183</w:t>
            </w:r>
          </w:p>
        </w:tc>
        <w:tc>
          <w:tcPr>
            <w:tcW w:w="1985" w:type="dxa"/>
            <w:tcBorders>
              <w:top w:val="nil"/>
            </w:tcBorders>
            <w:shd w:val="clear" w:color="auto" w:fill="auto"/>
            <w:noWrap/>
            <w:vAlign w:val="bottom"/>
            <w:hideMark/>
          </w:tcPr>
          <w:p w14:paraId="6B4AD28C" w14:textId="17F12CA0" w:rsidR="00F46AF3" w:rsidRPr="009B0EB2" w:rsidRDefault="00F46AF3" w:rsidP="00B16B0F">
            <w:pPr>
              <w:pStyle w:val="TableText"/>
              <w:jc w:val="right"/>
              <w:rPr>
                <w:lang w:eastAsia="en-NZ"/>
              </w:rPr>
            </w:pPr>
            <w:r w:rsidRPr="009B0EB2">
              <w:rPr>
                <w:lang w:eastAsia="en-NZ"/>
              </w:rPr>
              <w:t xml:space="preserve">187,267 </w:t>
            </w:r>
          </w:p>
        </w:tc>
      </w:tr>
      <w:tr w:rsidR="00F46AF3" w:rsidRPr="009B0EB2" w14:paraId="4141ADD4" w14:textId="77777777" w:rsidTr="00B16B0F">
        <w:trPr>
          <w:trHeight w:val="20"/>
        </w:trPr>
        <w:tc>
          <w:tcPr>
            <w:tcW w:w="2552" w:type="dxa"/>
            <w:shd w:val="clear" w:color="auto" w:fill="auto"/>
            <w:vAlign w:val="center"/>
            <w:hideMark/>
          </w:tcPr>
          <w:p w14:paraId="293EB653" w14:textId="77777777" w:rsidR="00F46AF3" w:rsidRPr="009B0EB2" w:rsidRDefault="00F46AF3" w:rsidP="00B16B0F">
            <w:pPr>
              <w:pStyle w:val="TableText"/>
              <w:rPr>
                <w:lang w:eastAsia="en-NZ"/>
              </w:rPr>
            </w:pPr>
            <w:r w:rsidRPr="009B0EB2">
              <w:rPr>
                <w:lang w:eastAsia="en-NZ"/>
              </w:rPr>
              <w:t>(least deprived neighbourhoods)</w:t>
            </w:r>
          </w:p>
        </w:tc>
        <w:tc>
          <w:tcPr>
            <w:tcW w:w="1843" w:type="dxa"/>
            <w:shd w:val="clear" w:color="auto" w:fill="auto"/>
            <w:vAlign w:val="center"/>
            <w:hideMark/>
          </w:tcPr>
          <w:p w14:paraId="65E55422" w14:textId="77777777" w:rsidR="00F46AF3" w:rsidRPr="009B0EB2" w:rsidRDefault="00F46AF3" w:rsidP="00B16B0F">
            <w:pPr>
              <w:pStyle w:val="TableText"/>
              <w:rPr>
                <w:lang w:eastAsia="en-NZ"/>
              </w:rPr>
            </w:pPr>
            <w:r w:rsidRPr="009B0EB2">
              <w:rPr>
                <w:lang w:eastAsia="en-NZ"/>
              </w:rPr>
              <w:t>Adults</w:t>
            </w:r>
          </w:p>
        </w:tc>
        <w:tc>
          <w:tcPr>
            <w:tcW w:w="1417" w:type="dxa"/>
            <w:shd w:val="clear" w:color="auto" w:fill="auto"/>
            <w:vAlign w:val="center"/>
            <w:hideMark/>
          </w:tcPr>
          <w:p w14:paraId="29D98F38" w14:textId="2915BB7B" w:rsidR="00F46AF3" w:rsidRPr="009B0EB2" w:rsidRDefault="00F46AF3" w:rsidP="00B16B0F">
            <w:pPr>
              <w:pStyle w:val="TableText"/>
              <w:jc w:val="right"/>
              <w:rPr>
                <w:lang w:eastAsia="en-NZ"/>
              </w:rPr>
            </w:pPr>
            <w:r w:rsidRPr="009B0EB2">
              <w:rPr>
                <w:lang w:eastAsia="en-NZ"/>
              </w:rPr>
              <w:t>620</w:t>
            </w:r>
          </w:p>
        </w:tc>
        <w:tc>
          <w:tcPr>
            <w:tcW w:w="1985" w:type="dxa"/>
            <w:shd w:val="clear" w:color="auto" w:fill="auto"/>
            <w:vAlign w:val="center"/>
            <w:hideMark/>
          </w:tcPr>
          <w:p w14:paraId="1A581C48" w14:textId="1A49B13F" w:rsidR="00F46AF3" w:rsidRPr="009B0EB2" w:rsidRDefault="00F46AF3" w:rsidP="00B16B0F">
            <w:pPr>
              <w:pStyle w:val="TableText"/>
              <w:jc w:val="right"/>
              <w:rPr>
                <w:lang w:eastAsia="en-NZ"/>
              </w:rPr>
            </w:pPr>
            <w:r w:rsidRPr="009B0EB2">
              <w:rPr>
                <w:lang w:eastAsia="en-NZ"/>
              </w:rPr>
              <w:t xml:space="preserve">845,546 </w:t>
            </w:r>
          </w:p>
        </w:tc>
      </w:tr>
      <w:tr w:rsidR="00F46AF3" w:rsidRPr="009B0EB2" w14:paraId="44339ABE" w14:textId="77777777" w:rsidTr="00B16B0F">
        <w:trPr>
          <w:trHeight w:val="20"/>
        </w:trPr>
        <w:tc>
          <w:tcPr>
            <w:tcW w:w="2552" w:type="dxa"/>
            <w:vMerge w:val="restart"/>
            <w:shd w:val="clear" w:color="auto" w:fill="auto"/>
            <w:vAlign w:val="center"/>
            <w:hideMark/>
          </w:tcPr>
          <w:p w14:paraId="0FB67649" w14:textId="77777777" w:rsidR="00F46AF3" w:rsidRPr="009B0EB2" w:rsidRDefault="00F46AF3" w:rsidP="00B16B0F">
            <w:pPr>
              <w:pStyle w:val="TableText"/>
              <w:rPr>
                <w:lang w:eastAsia="en-NZ"/>
              </w:rPr>
            </w:pPr>
            <w:r w:rsidRPr="009B0EB2">
              <w:rPr>
                <w:lang w:eastAsia="en-NZ"/>
              </w:rPr>
              <w:t>Quintile 2</w:t>
            </w:r>
          </w:p>
        </w:tc>
        <w:tc>
          <w:tcPr>
            <w:tcW w:w="1843" w:type="dxa"/>
            <w:shd w:val="clear" w:color="auto" w:fill="auto"/>
            <w:vAlign w:val="center"/>
            <w:hideMark/>
          </w:tcPr>
          <w:p w14:paraId="65E480F2" w14:textId="77777777" w:rsidR="00F46AF3" w:rsidRPr="009B0EB2" w:rsidRDefault="00F46AF3" w:rsidP="00B16B0F">
            <w:pPr>
              <w:pStyle w:val="TableText"/>
              <w:rPr>
                <w:lang w:eastAsia="en-NZ"/>
              </w:rPr>
            </w:pPr>
            <w:r w:rsidRPr="009B0EB2">
              <w:rPr>
                <w:lang w:eastAsia="en-NZ"/>
              </w:rPr>
              <w:t>Children</w:t>
            </w:r>
          </w:p>
        </w:tc>
        <w:tc>
          <w:tcPr>
            <w:tcW w:w="1417" w:type="dxa"/>
            <w:shd w:val="clear" w:color="auto" w:fill="auto"/>
            <w:vAlign w:val="center"/>
            <w:hideMark/>
          </w:tcPr>
          <w:p w14:paraId="0A33A71F" w14:textId="41C6386C" w:rsidR="00F46AF3" w:rsidRPr="009B0EB2" w:rsidRDefault="00F46AF3" w:rsidP="00B16B0F">
            <w:pPr>
              <w:pStyle w:val="TableText"/>
              <w:jc w:val="right"/>
              <w:rPr>
                <w:lang w:eastAsia="en-NZ"/>
              </w:rPr>
            </w:pPr>
            <w:r w:rsidRPr="009B0EB2">
              <w:rPr>
                <w:lang w:eastAsia="en-NZ"/>
              </w:rPr>
              <w:t>275</w:t>
            </w:r>
          </w:p>
        </w:tc>
        <w:tc>
          <w:tcPr>
            <w:tcW w:w="1985" w:type="dxa"/>
            <w:shd w:val="clear" w:color="auto" w:fill="auto"/>
            <w:vAlign w:val="center"/>
            <w:hideMark/>
          </w:tcPr>
          <w:p w14:paraId="7A9F169E" w14:textId="18217D6E" w:rsidR="00F46AF3" w:rsidRPr="009B0EB2" w:rsidRDefault="00F46AF3" w:rsidP="00B16B0F">
            <w:pPr>
              <w:pStyle w:val="TableText"/>
              <w:jc w:val="right"/>
              <w:rPr>
                <w:lang w:eastAsia="en-NZ"/>
              </w:rPr>
            </w:pPr>
            <w:r w:rsidRPr="009B0EB2">
              <w:rPr>
                <w:lang w:eastAsia="en-NZ"/>
              </w:rPr>
              <w:t xml:space="preserve">174,150 </w:t>
            </w:r>
          </w:p>
        </w:tc>
      </w:tr>
      <w:tr w:rsidR="00F46AF3" w:rsidRPr="009B0EB2" w14:paraId="1B43CB5E" w14:textId="77777777" w:rsidTr="00B16B0F">
        <w:trPr>
          <w:trHeight w:val="20"/>
        </w:trPr>
        <w:tc>
          <w:tcPr>
            <w:tcW w:w="2552" w:type="dxa"/>
            <w:vMerge/>
            <w:vAlign w:val="center"/>
            <w:hideMark/>
          </w:tcPr>
          <w:p w14:paraId="0AC441DE" w14:textId="77777777" w:rsidR="00F46AF3" w:rsidRPr="009B0EB2" w:rsidRDefault="00F46AF3" w:rsidP="00B16B0F">
            <w:pPr>
              <w:pStyle w:val="TableText"/>
              <w:rPr>
                <w:lang w:eastAsia="en-NZ"/>
              </w:rPr>
            </w:pPr>
          </w:p>
        </w:tc>
        <w:tc>
          <w:tcPr>
            <w:tcW w:w="1843" w:type="dxa"/>
            <w:shd w:val="clear" w:color="auto" w:fill="auto"/>
            <w:vAlign w:val="center"/>
            <w:hideMark/>
          </w:tcPr>
          <w:p w14:paraId="261FA922" w14:textId="77777777" w:rsidR="00F46AF3" w:rsidRPr="009B0EB2" w:rsidRDefault="00F46AF3" w:rsidP="00B16B0F">
            <w:pPr>
              <w:pStyle w:val="TableText"/>
              <w:rPr>
                <w:lang w:eastAsia="en-NZ"/>
              </w:rPr>
            </w:pPr>
            <w:r w:rsidRPr="009B0EB2">
              <w:rPr>
                <w:lang w:eastAsia="en-NZ"/>
              </w:rPr>
              <w:t>Adults</w:t>
            </w:r>
          </w:p>
        </w:tc>
        <w:tc>
          <w:tcPr>
            <w:tcW w:w="1417" w:type="dxa"/>
            <w:shd w:val="clear" w:color="auto" w:fill="auto"/>
            <w:vAlign w:val="center"/>
            <w:hideMark/>
          </w:tcPr>
          <w:p w14:paraId="27A83BC5" w14:textId="6C6F5FCC" w:rsidR="00F46AF3" w:rsidRPr="009B0EB2" w:rsidRDefault="00F46AF3" w:rsidP="00B16B0F">
            <w:pPr>
              <w:pStyle w:val="TableText"/>
              <w:jc w:val="right"/>
              <w:rPr>
                <w:lang w:eastAsia="en-NZ"/>
              </w:rPr>
            </w:pPr>
            <w:r w:rsidRPr="009B0EB2">
              <w:rPr>
                <w:lang w:eastAsia="en-NZ"/>
              </w:rPr>
              <w:t>986</w:t>
            </w:r>
          </w:p>
        </w:tc>
        <w:tc>
          <w:tcPr>
            <w:tcW w:w="1985" w:type="dxa"/>
            <w:shd w:val="clear" w:color="auto" w:fill="auto"/>
            <w:vAlign w:val="center"/>
            <w:hideMark/>
          </w:tcPr>
          <w:p w14:paraId="7C09B3CD" w14:textId="57D599A2" w:rsidR="00F46AF3" w:rsidRPr="009B0EB2" w:rsidRDefault="00F46AF3" w:rsidP="00B16B0F">
            <w:pPr>
              <w:pStyle w:val="TableText"/>
              <w:jc w:val="right"/>
              <w:rPr>
                <w:lang w:eastAsia="en-NZ"/>
              </w:rPr>
            </w:pPr>
            <w:r w:rsidRPr="009B0EB2">
              <w:rPr>
                <w:lang w:eastAsia="en-NZ"/>
              </w:rPr>
              <w:t xml:space="preserve">858,663 </w:t>
            </w:r>
          </w:p>
        </w:tc>
      </w:tr>
      <w:tr w:rsidR="00F46AF3" w:rsidRPr="009B0EB2" w14:paraId="355F10F1" w14:textId="77777777" w:rsidTr="00B16B0F">
        <w:trPr>
          <w:trHeight w:val="20"/>
        </w:trPr>
        <w:tc>
          <w:tcPr>
            <w:tcW w:w="2552" w:type="dxa"/>
            <w:vMerge w:val="restart"/>
            <w:shd w:val="clear" w:color="auto" w:fill="auto"/>
            <w:vAlign w:val="center"/>
            <w:hideMark/>
          </w:tcPr>
          <w:p w14:paraId="12DD8D6C" w14:textId="77777777" w:rsidR="00F46AF3" w:rsidRPr="009B0EB2" w:rsidRDefault="00F46AF3" w:rsidP="00B16B0F">
            <w:pPr>
              <w:pStyle w:val="TableText"/>
              <w:rPr>
                <w:lang w:eastAsia="en-NZ"/>
              </w:rPr>
            </w:pPr>
            <w:r w:rsidRPr="009B0EB2">
              <w:rPr>
                <w:lang w:eastAsia="en-NZ"/>
              </w:rPr>
              <w:t>Quintile 3</w:t>
            </w:r>
          </w:p>
        </w:tc>
        <w:tc>
          <w:tcPr>
            <w:tcW w:w="1843" w:type="dxa"/>
            <w:shd w:val="clear" w:color="auto" w:fill="auto"/>
            <w:vAlign w:val="center"/>
            <w:hideMark/>
          </w:tcPr>
          <w:p w14:paraId="58872B85" w14:textId="77777777" w:rsidR="00F46AF3" w:rsidRPr="009B0EB2" w:rsidRDefault="00F46AF3" w:rsidP="00B16B0F">
            <w:pPr>
              <w:pStyle w:val="TableText"/>
              <w:rPr>
                <w:lang w:eastAsia="en-NZ"/>
              </w:rPr>
            </w:pPr>
            <w:r w:rsidRPr="009B0EB2">
              <w:rPr>
                <w:lang w:eastAsia="en-NZ"/>
              </w:rPr>
              <w:t>Children</w:t>
            </w:r>
          </w:p>
        </w:tc>
        <w:tc>
          <w:tcPr>
            <w:tcW w:w="1417" w:type="dxa"/>
            <w:shd w:val="clear" w:color="auto" w:fill="auto"/>
            <w:noWrap/>
            <w:vAlign w:val="bottom"/>
            <w:hideMark/>
          </w:tcPr>
          <w:p w14:paraId="549D6B80" w14:textId="07BB09C7" w:rsidR="00F46AF3" w:rsidRPr="009B0EB2" w:rsidRDefault="00F46AF3" w:rsidP="00B16B0F">
            <w:pPr>
              <w:pStyle w:val="TableText"/>
              <w:jc w:val="right"/>
              <w:rPr>
                <w:lang w:eastAsia="en-NZ"/>
              </w:rPr>
            </w:pPr>
            <w:r w:rsidRPr="009B0EB2">
              <w:rPr>
                <w:lang w:eastAsia="en-NZ"/>
              </w:rPr>
              <w:t>377</w:t>
            </w:r>
          </w:p>
        </w:tc>
        <w:tc>
          <w:tcPr>
            <w:tcW w:w="1985" w:type="dxa"/>
            <w:shd w:val="clear" w:color="auto" w:fill="auto"/>
            <w:noWrap/>
            <w:vAlign w:val="bottom"/>
            <w:hideMark/>
          </w:tcPr>
          <w:p w14:paraId="3631F3B4" w14:textId="3873D04A" w:rsidR="00F46AF3" w:rsidRPr="009B0EB2" w:rsidRDefault="00F46AF3" w:rsidP="00B16B0F">
            <w:pPr>
              <w:pStyle w:val="TableText"/>
              <w:jc w:val="right"/>
              <w:rPr>
                <w:lang w:eastAsia="en-NZ"/>
              </w:rPr>
            </w:pPr>
            <w:r w:rsidRPr="009B0EB2">
              <w:rPr>
                <w:lang w:eastAsia="en-NZ"/>
              </w:rPr>
              <w:t xml:space="preserve">194,633 </w:t>
            </w:r>
          </w:p>
        </w:tc>
      </w:tr>
      <w:tr w:rsidR="00F46AF3" w:rsidRPr="009B0EB2" w14:paraId="5B3C294D" w14:textId="77777777" w:rsidTr="00B16B0F">
        <w:trPr>
          <w:trHeight w:val="20"/>
        </w:trPr>
        <w:tc>
          <w:tcPr>
            <w:tcW w:w="2552" w:type="dxa"/>
            <w:vMerge/>
            <w:vAlign w:val="center"/>
            <w:hideMark/>
          </w:tcPr>
          <w:p w14:paraId="1B19AB25" w14:textId="77777777" w:rsidR="00F46AF3" w:rsidRPr="009B0EB2" w:rsidRDefault="00F46AF3" w:rsidP="00B16B0F">
            <w:pPr>
              <w:pStyle w:val="TableText"/>
              <w:rPr>
                <w:lang w:eastAsia="en-NZ"/>
              </w:rPr>
            </w:pPr>
          </w:p>
        </w:tc>
        <w:tc>
          <w:tcPr>
            <w:tcW w:w="1843" w:type="dxa"/>
            <w:shd w:val="clear" w:color="auto" w:fill="auto"/>
            <w:vAlign w:val="center"/>
            <w:hideMark/>
          </w:tcPr>
          <w:p w14:paraId="42C769C2" w14:textId="77777777" w:rsidR="00F46AF3" w:rsidRPr="009B0EB2" w:rsidRDefault="00F46AF3" w:rsidP="00B16B0F">
            <w:pPr>
              <w:pStyle w:val="TableText"/>
              <w:rPr>
                <w:lang w:eastAsia="en-NZ"/>
              </w:rPr>
            </w:pPr>
            <w:r w:rsidRPr="009B0EB2">
              <w:rPr>
                <w:lang w:eastAsia="en-NZ"/>
              </w:rPr>
              <w:t>Adults</w:t>
            </w:r>
          </w:p>
        </w:tc>
        <w:tc>
          <w:tcPr>
            <w:tcW w:w="1417" w:type="dxa"/>
            <w:shd w:val="clear" w:color="auto" w:fill="auto"/>
            <w:noWrap/>
            <w:vAlign w:val="bottom"/>
            <w:hideMark/>
          </w:tcPr>
          <w:p w14:paraId="7730FD9B" w14:textId="2D72C3BA" w:rsidR="00F46AF3" w:rsidRPr="009B0EB2" w:rsidRDefault="00F46AF3" w:rsidP="00B16B0F">
            <w:pPr>
              <w:pStyle w:val="TableText"/>
              <w:jc w:val="right"/>
              <w:rPr>
                <w:lang w:eastAsia="en-NZ"/>
              </w:rPr>
            </w:pPr>
            <w:r w:rsidRPr="009B0EB2">
              <w:rPr>
                <w:lang w:eastAsia="en-NZ"/>
              </w:rPr>
              <w:t>1,364</w:t>
            </w:r>
          </w:p>
        </w:tc>
        <w:tc>
          <w:tcPr>
            <w:tcW w:w="1985" w:type="dxa"/>
            <w:shd w:val="clear" w:color="auto" w:fill="auto"/>
            <w:noWrap/>
            <w:vAlign w:val="bottom"/>
            <w:hideMark/>
          </w:tcPr>
          <w:p w14:paraId="2D7E241D" w14:textId="4E0A8B10" w:rsidR="00F46AF3" w:rsidRPr="009B0EB2" w:rsidRDefault="00F46AF3" w:rsidP="00B16B0F">
            <w:pPr>
              <w:pStyle w:val="TableText"/>
              <w:jc w:val="right"/>
              <w:rPr>
                <w:lang w:eastAsia="en-NZ"/>
              </w:rPr>
            </w:pPr>
            <w:r w:rsidRPr="009B0EB2">
              <w:rPr>
                <w:lang w:eastAsia="en-NZ"/>
              </w:rPr>
              <w:t xml:space="preserve">838,180 </w:t>
            </w:r>
          </w:p>
        </w:tc>
      </w:tr>
      <w:tr w:rsidR="00F46AF3" w:rsidRPr="009B0EB2" w14:paraId="121A342F" w14:textId="77777777" w:rsidTr="00B16B0F">
        <w:trPr>
          <w:trHeight w:val="20"/>
        </w:trPr>
        <w:tc>
          <w:tcPr>
            <w:tcW w:w="2552" w:type="dxa"/>
            <w:vMerge w:val="restart"/>
            <w:shd w:val="clear" w:color="auto" w:fill="auto"/>
            <w:vAlign w:val="center"/>
            <w:hideMark/>
          </w:tcPr>
          <w:p w14:paraId="2E0954BA" w14:textId="77777777" w:rsidR="00F46AF3" w:rsidRPr="009B0EB2" w:rsidRDefault="00F46AF3" w:rsidP="00B16B0F">
            <w:pPr>
              <w:pStyle w:val="TableText"/>
              <w:rPr>
                <w:lang w:eastAsia="en-NZ"/>
              </w:rPr>
            </w:pPr>
            <w:r w:rsidRPr="009B0EB2">
              <w:rPr>
                <w:lang w:eastAsia="en-NZ"/>
              </w:rPr>
              <w:t>Quintile 4</w:t>
            </w:r>
          </w:p>
        </w:tc>
        <w:tc>
          <w:tcPr>
            <w:tcW w:w="1843" w:type="dxa"/>
            <w:shd w:val="clear" w:color="auto" w:fill="auto"/>
            <w:vAlign w:val="center"/>
            <w:hideMark/>
          </w:tcPr>
          <w:p w14:paraId="370430AC" w14:textId="77777777" w:rsidR="00F46AF3" w:rsidRPr="009B0EB2" w:rsidRDefault="00F46AF3" w:rsidP="00B16B0F">
            <w:pPr>
              <w:pStyle w:val="TableText"/>
              <w:rPr>
                <w:lang w:eastAsia="en-NZ"/>
              </w:rPr>
            </w:pPr>
            <w:r w:rsidRPr="009B0EB2">
              <w:rPr>
                <w:lang w:eastAsia="en-NZ"/>
              </w:rPr>
              <w:t>Children</w:t>
            </w:r>
          </w:p>
        </w:tc>
        <w:tc>
          <w:tcPr>
            <w:tcW w:w="1417" w:type="dxa"/>
            <w:shd w:val="clear" w:color="auto" w:fill="auto"/>
            <w:vAlign w:val="center"/>
            <w:hideMark/>
          </w:tcPr>
          <w:p w14:paraId="36CC0CCD" w14:textId="26CB8566" w:rsidR="00F46AF3" w:rsidRPr="009B0EB2" w:rsidRDefault="00F46AF3" w:rsidP="00B16B0F">
            <w:pPr>
              <w:pStyle w:val="TableText"/>
              <w:jc w:val="right"/>
              <w:rPr>
                <w:lang w:eastAsia="en-NZ"/>
              </w:rPr>
            </w:pPr>
            <w:r w:rsidRPr="009B0EB2">
              <w:rPr>
                <w:lang w:eastAsia="en-NZ"/>
              </w:rPr>
              <w:t>525</w:t>
            </w:r>
          </w:p>
        </w:tc>
        <w:tc>
          <w:tcPr>
            <w:tcW w:w="1985" w:type="dxa"/>
            <w:shd w:val="clear" w:color="auto" w:fill="auto"/>
            <w:vAlign w:val="center"/>
            <w:hideMark/>
          </w:tcPr>
          <w:p w14:paraId="4D13F7E7" w14:textId="0585B909" w:rsidR="00F46AF3" w:rsidRPr="009B0EB2" w:rsidRDefault="00F46AF3" w:rsidP="00B16B0F">
            <w:pPr>
              <w:pStyle w:val="TableText"/>
              <w:jc w:val="right"/>
              <w:rPr>
                <w:lang w:eastAsia="en-NZ"/>
              </w:rPr>
            </w:pPr>
            <w:r w:rsidRPr="009B0EB2">
              <w:rPr>
                <w:lang w:eastAsia="en-NZ"/>
              </w:rPr>
              <w:t xml:space="preserve">191,697 </w:t>
            </w:r>
          </w:p>
        </w:tc>
      </w:tr>
      <w:tr w:rsidR="00F46AF3" w:rsidRPr="009B0EB2" w14:paraId="7E5661D3" w14:textId="77777777" w:rsidTr="00B16B0F">
        <w:trPr>
          <w:trHeight w:val="20"/>
        </w:trPr>
        <w:tc>
          <w:tcPr>
            <w:tcW w:w="2552" w:type="dxa"/>
            <w:vMerge/>
            <w:vAlign w:val="center"/>
            <w:hideMark/>
          </w:tcPr>
          <w:p w14:paraId="1250ABB2" w14:textId="77777777" w:rsidR="00F46AF3" w:rsidRPr="009B0EB2" w:rsidRDefault="00F46AF3" w:rsidP="00B16B0F">
            <w:pPr>
              <w:pStyle w:val="TableText"/>
              <w:rPr>
                <w:lang w:eastAsia="en-NZ"/>
              </w:rPr>
            </w:pPr>
          </w:p>
        </w:tc>
        <w:tc>
          <w:tcPr>
            <w:tcW w:w="1843" w:type="dxa"/>
            <w:shd w:val="clear" w:color="auto" w:fill="auto"/>
            <w:vAlign w:val="center"/>
            <w:hideMark/>
          </w:tcPr>
          <w:p w14:paraId="3BD77D1E" w14:textId="77777777" w:rsidR="00F46AF3" w:rsidRPr="009B0EB2" w:rsidRDefault="00F46AF3" w:rsidP="00B16B0F">
            <w:pPr>
              <w:pStyle w:val="TableText"/>
              <w:rPr>
                <w:lang w:eastAsia="en-NZ"/>
              </w:rPr>
            </w:pPr>
            <w:r w:rsidRPr="009B0EB2">
              <w:rPr>
                <w:lang w:eastAsia="en-NZ"/>
              </w:rPr>
              <w:t>Adults</w:t>
            </w:r>
          </w:p>
        </w:tc>
        <w:tc>
          <w:tcPr>
            <w:tcW w:w="1417" w:type="dxa"/>
            <w:shd w:val="clear" w:color="auto" w:fill="auto"/>
            <w:vAlign w:val="center"/>
            <w:hideMark/>
          </w:tcPr>
          <w:p w14:paraId="54E7BD3E" w14:textId="68C950D3" w:rsidR="00F46AF3" w:rsidRPr="009B0EB2" w:rsidRDefault="00F46AF3" w:rsidP="00B16B0F">
            <w:pPr>
              <w:pStyle w:val="TableText"/>
              <w:jc w:val="right"/>
              <w:rPr>
                <w:lang w:eastAsia="en-NZ"/>
              </w:rPr>
            </w:pPr>
            <w:r w:rsidRPr="009B0EB2">
              <w:rPr>
                <w:lang w:eastAsia="en-NZ"/>
              </w:rPr>
              <w:t>1,763</w:t>
            </w:r>
          </w:p>
        </w:tc>
        <w:tc>
          <w:tcPr>
            <w:tcW w:w="1985" w:type="dxa"/>
            <w:shd w:val="clear" w:color="auto" w:fill="auto"/>
            <w:vAlign w:val="center"/>
            <w:hideMark/>
          </w:tcPr>
          <w:p w14:paraId="5953C917" w14:textId="76184809" w:rsidR="00F46AF3" w:rsidRPr="009B0EB2" w:rsidRDefault="00F46AF3" w:rsidP="00B16B0F">
            <w:pPr>
              <w:pStyle w:val="TableText"/>
              <w:jc w:val="right"/>
              <w:rPr>
                <w:lang w:eastAsia="en-NZ"/>
              </w:rPr>
            </w:pPr>
            <w:r w:rsidRPr="009B0EB2">
              <w:rPr>
                <w:lang w:eastAsia="en-NZ"/>
              </w:rPr>
              <w:t xml:space="preserve">841,116 </w:t>
            </w:r>
          </w:p>
        </w:tc>
      </w:tr>
      <w:tr w:rsidR="00F46AF3" w:rsidRPr="009B0EB2" w14:paraId="61959D43" w14:textId="77777777" w:rsidTr="00B16B0F">
        <w:trPr>
          <w:trHeight w:val="20"/>
        </w:trPr>
        <w:tc>
          <w:tcPr>
            <w:tcW w:w="2552" w:type="dxa"/>
            <w:shd w:val="clear" w:color="auto" w:fill="auto"/>
            <w:vAlign w:val="center"/>
            <w:hideMark/>
          </w:tcPr>
          <w:p w14:paraId="52F3E020" w14:textId="77777777" w:rsidR="00F46AF3" w:rsidRPr="009B0EB2" w:rsidRDefault="00F46AF3" w:rsidP="00B16B0F">
            <w:pPr>
              <w:pStyle w:val="TableText"/>
              <w:rPr>
                <w:lang w:eastAsia="en-NZ"/>
              </w:rPr>
            </w:pPr>
            <w:r w:rsidRPr="009B0EB2">
              <w:rPr>
                <w:lang w:eastAsia="en-NZ"/>
              </w:rPr>
              <w:t>Quintile 5</w:t>
            </w:r>
          </w:p>
        </w:tc>
        <w:tc>
          <w:tcPr>
            <w:tcW w:w="1843" w:type="dxa"/>
            <w:shd w:val="clear" w:color="auto" w:fill="auto"/>
            <w:vAlign w:val="center"/>
            <w:hideMark/>
          </w:tcPr>
          <w:p w14:paraId="70EA0ADB" w14:textId="77777777" w:rsidR="00F46AF3" w:rsidRPr="009B0EB2" w:rsidRDefault="00F46AF3" w:rsidP="00B16B0F">
            <w:pPr>
              <w:pStyle w:val="TableText"/>
              <w:rPr>
                <w:lang w:eastAsia="en-NZ"/>
              </w:rPr>
            </w:pPr>
            <w:r w:rsidRPr="009B0EB2">
              <w:rPr>
                <w:lang w:eastAsia="en-NZ"/>
              </w:rPr>
              <w:t>Children</w:t>
            </w:r>
          </w:p>
        </w:tc>
        <w:tc>
          <w:tcPr>
            <w:tcW w:w="1417" w:type="dxa"/>
            <w:shd w:val="clear" w:color="auto" w:fill="auto"/>
            <w:noWrap/>
            <w:vAlign w:val="bottom"/>
            <w:hideMark/>
          </w:tcPr>
          <w:p w14:paraId="5DAF6E97" w14:textId="0E2EA664" w:rsidR="00F46AF3" w:rsidRPr="009B0EB2" w:rsidRDefault="00F46AF3" w:rsidP="00B16B0F">
            <w:pPr>
              <w:pStyle w:val="TableText"/>
              <w:jc w:val="right"/>
              <w:rPr>
                <w:lang w:eastAsia="en-NZ"/>
              </w:rPr>
            </w:pPr>
            <w:r w:rsidRPr="009B0EB2">
              <w:rPr>
                <w:lang w:eastAsia="en-NZ"/>
              </w:rPr>
              <w:t>669</w:t>
            </w:r>
          </w:p>
        </w:tc>
        <w:tc>
          <w:tcPr>
            <w:tcW w:w="1985" w:type="dxa"/>
            <w:shd w:val="clear" w:color="auto" w:fill="auto"/>
            <w:noWrap/>
            <w:vAlign w:val="bottom"/>
            <w:hideMark/>
          </w:tcPr>
          <w:p w14:paraId="2E327A96" w14:textId="1C908333" w:rsidR="00F46AF3" w:rsidRPr="009B0EB2" w:rsidRDefault="00F46AF3" w:rsidP="00B16B0F">
            <w:pPr>
              <w:pStyle w:val="TableText"/>
              <w:jc w:val="right"/>
              <w:rPr>
                <w:lang w:eastAsia="en-NZ"/>
              </w:rPr>
            </w:pPr>
            <w:r w:rsidRPr="009B0EB2">
              <w:rPr>
                <w:lang w:eastAsia="en-NZ"/>
              </w:rPr>
              <w:t xml:space="preserve">217,009 </w:t>
            </w:r>
          </w:p>
        </w:tc>
      </w:tr>
      <w:tr w:rsidR="00F46AF3" w:rsidRPr="009B0EB2" w14:paraId="057DBE05" w14:textId="77777777" w:rsidTr="00B16B0F">
        <w:trPr>
          <w:trHeight w:val="20"/>
        </w:trPr>
        <w:tc>
          <w:tcPr>
            <w:tcW w:w="2552" w:type="dxa"/>
            <w:shd w:val="clear" w:color="auto" w:fill="auto"/>
            <w:vAlign w:val="center"/>
            <w:hideMark/>
          </w:tcPr>
          <w:p w14:paraId="43BF0C33" w14:textId="77777777" w:rsidR="00F46AF3" w:rsidRPr="009B0EB2" w:rsidRDefault="00F46AF3" w:rsidP="00B16B0F">
            <w:pPr>
              <w:pStyle w:val="TableText"/>
              <w:rPr>
                <w:lang w:eastAsia="en-NZ"/>
              </w:rPr>
            </w:pPr>
            <w:r w:rsidRPr="009B0EB2">
              <w:rPr>
                <w:lang w:eastAsia="en-NZ"/>
              </w:rPr>
              <w:t>(most deprived neighbourhoods)</w:t>
            </w:r>
          </w:p>
        </w:tc>
        <w:tc>
          <w:tcPr>
            <w:tcW w:w="1843" w:type="dxa"/>
            <w:shd w:val="clear" w:color="auto" w:fill="auto"/>
            <w:vAlign w:val="center"/>
            <w:hideMark/>
          </w:tcPr>
          <w:p w14:paraId="1343D9D8" w14:textId="77777777" w:rsidR="00F46AF3" w:rsidRPr="009B0EB2" w:rsidRDefault="00F46AF3" w:rsidP="00B16B0F">
            <w:pPr>
              <w:pStyle w:val="TableText"/>
              <w:rPr>
                <w:lang w:eastAsia="en-NZ"/>
              </w:rPr>
            </w:pPr>
            <w:r w:rsidRPr="009B0EB2">
              <w:rPr>
                <w:lang w:eastAsia="en-NZ"/>
              </w:rPr>
              <w:t>Adults</w:t>
            </w:r>
          </w:p>
        </w:tc>
        <w:tc>
          <w:tcPr>
            <w:tcW w:w="1417" w:type="dxa"/>
            <w:shd w:val="clear" w:color="auto" w:fill="auto"/>
            <w:vAlign w:val="center"/>
            <w:hideMark/>
          </w:tcPr>
          <w:p w14:paraId="2D08FABA" w14:textId="2EB207D8" w:rsidR="00F46AF3" w:rsidRPr="009B0EB2" w:rsidRDefault="00F46AF3" w:rsidP="00B16B0F">
            <w:pPr>
              <w:pStyle w:val="TableText"/>
              <w:jc w:val="right"/>
              <w:rPr>
                <w:lang w:eastAsia="en-NZ"/>
              </w:rPr>
            </w:pPr>
            <w:r w:rsidRPr="009B0EB2">
              <w:rPr>
                <w:lang w:eastAsia="en-NZ"/>
              </w:rPr>
              <w:t>2,066</w:t>
            </w:r>
          </w:p>
        </w:tc>
        <w:tc>
          <w:tcPr>
            <w:tcW w:w="1985" w:type="dxa"/>
            <w:shd w:val="clear" w:color="auto" w:fill="auto"/>
            <w:vAlign w:val="center"/>
            <w:hideMark/>
          </w:tcPr>
          <w:p w14:paraId="4C878172" w14:textId="12753365" w:rsidR="00F46AF3" w:rsidRPr="009B0EB2" w:rsidRDefault="00F46AF3" w:rsidP="00B16B0F">
            <w:pPr>
              <w:pStyle w:val="TableText"/>
              <w:jc w:val="right"/>
              <w:rPr>
                <w:lang w:eastAsia="en-NZ"/>
              </w:rPr>
            </w:pPr>
            <w:r w:rsidRPr="009B0EB2">
              <w:rPr>
                <w:lang w:eastAsia="en-NZ"/>
              </w:rPr>
              <w:t xml:space="preserve">815,805 </w:t>
            </w:r>
          </w:p>
        </w:tc>
      </w:tr>
    </w:tbl>
    <w:p w14:paraId="4A9C0EBB" w14:textId="77777777" w:rsidR="00C37EC4" w:rsidRPr="009B0EB2" w:rsidRDefault="00C37EC4" w:rsidP="00C37EC4"/>
    <w:p w14:paraId="54011DE1" w14:textId="62C4E7EF" w:rsidR="004366B7" w:rsidRPr="009B0EB2" w:rsidRDefault="004366B7" w:rsidP="00D65B2B">
      <w:pPr>
        <w:pStyle w:val="Caption"/>
      </w:pPr>
      <w:bookmarkStart w:id="566" w:name="_Ref55463943"/>
      <w:bookmarkStart w:id="567" w:name="_Toc54962254"/>
      <w:bookmarkStart w:id="568" w:name="_Toc88038750"/>
      <w:bookmarkStart w:id="569" w:name="_Toc153259129"/>
      <w:bookmarkEnd w:id="521"/>
      <w:bookmarkEnd w:id="565"/>
      <w:r w:rsidRPr="009B0EB2">
        <w:t xml:space="preserve">Table </w:t>
      </w:r>
      <w:r w:rsidRPr="009B0EB2">
        <w:rPr>
          <w:color w:val="2B579A"/>
          <w:shd w:val="clear" w:color="auto" w:fill="E6E6E6"/>
        </w:rPr>
        <w:fldChar w:fldCharType="begin"/>
      </w:r>
      <w:r w:rsidRPr="009B0EB2">
        <w:instrText>SEQ Table \* ARABIC</w:instrText>
      </w:r>
      <w:r w:rsidRPr="009B0EB2">
        <w:rPr>
          <w:color w:val="2B579A"/>
          <w:shd w:val="clear" w:color="auto" w:fill="E6E6E6"/>
        </w:rPr>
        <w:fldChar w:fldCharType="separate"/>
      </w:r>
      <w:r w:rsidR="008D278D">
        <w:rPr>
          <w:noProof/>
        </w:rPr>
        <w:t>11</w:t>
      </w:r>
      <w:r w:rsidRPr="009B0EB2">
        <w:rPr>
          <w:color w:val="2B579A"/>
          <w:shd w:val="clear" w:color="auto" w:fill="E6E6E6"/>
        </w:rPr>
        <w:fldChar w:fldCharType="end"/>
      </w:r>
      <w:bookmarkEnd w:id="566"/>
      <w:r w:rsidRPr="009B0EB2">
        <w:t>: Sample sizes and population counts (adults), by disability status and gender, 202</w:t>
      </w:r>
      <w:r w:rsidR="00CA54B8" w:rsidRPr="009B0EB2">
        <w:t>2</w:t>
      </w:r>
      <w:r w:rsidRPr="009B0EB2">
        <w:t>/2</w:t>
      </w:r>
      <w:r w:rsidR="00CA54B8" w:rsidRPr="009B0EB2">
        <w:t>3</w:t>
      </w:r>
      <w:bookmarkEnd w:id="567"/>
      <w:bookmarkEnd w:id="568"/>
      <w:bookmarkEnd w:id="569"/>
    </w:p>
    <w:tbl>
      <w:tblPr>
        <w:tblW w:w="8080" w:type="dxa"/>
        <w:tblLook w:val="04A0" w:firstRow="1" w:lastRow="0" w:firstColumn="1" w:lastColumn="0" w:noHBand="0" w:noVBand="1"/>
      </w:tblPr>
      <w:tblGrid>
        <w:gridCol w:w="2268"/>
        <w:gridCol w:w="1843"/>
        <w:gridCol w:w="1701"/>
        <w:gridCol w:w="2268"/>
      </w:tblGrid>
      <w:tr w:rsidR="00303A2D" w:rsidRPr="006260CA" w14:paraId="088EFD5F" w14:textId="77777777" w:rsidTr="00B16B0F">
        <w:trPr>
          <w:trHeight w:val="20"/>
        </w:trPr>
        <w:tc>
          <w:tcPr>
            <w:tcW w:w="2268" w:type="dxa"/>
            <w:tcBorders>
              <w:top w:val="nil"/>
              <w:left w:val="nil"/>
              <w:bottom w:val="nil"/>
              <w:right w:val="nil"/>
            </w:tcBorders>
            <w:shd w:val="clear" w:color="000000" w:fill="D9D9D9"/>
            <w:vAlign w:val="center"/>
            <w:hideMark/>
          </w:tcPr>
          <w:p w14:paraId="1BE1C82E" w14:textId="77777777" w:rsidR="0043528E" w:rsidRPr="00B16B0F" w:rsidRDefault="0043528E" w:rsidP="00B16B0F">
            <w:pPr>
              <w:pStyle w:val="TableText"/>
              <w:rPr>
                <w:b/>
                <w:bCs/>
                <w:lang w:eastAsia="en-NZ"/>
              </w:rPr>
            </w:pPr>
            <w:r w:rsidRPr="00B16B0F">
              <w:rPr>
                <w:b/>
                <w:bCs/>
                <w:lang w:eastAsia="en-NZ"/>
              </w:rPr>
              <w:t>Disability status</w:t>
            </w:r>
          </w:p>
        </w:tc>
        <w:tc>
          <w:tcPr>
            <w:tcW w:w="1843" w:type="dxa"/>
            <w:tcBorders>
              <w:top w:val="nil"/>
              <w:left w:val="nil"/>
              <w:bottom w:val="nil"/>
              <w:right w:val="nil"/>
            </w:tcBorders>
            <w:shd w:val="clear" w:color="000000" w:fill="D9D9D9"/>
            <w:vAlign w:val="center"/>
            <w:hideMark/>
          </w:tcPr>
          <w:p w14:paraId="3FC94668" w14:textId="77777777" w:rsidR="0043528E" w:rsidRPr="00B16B0F" w:rsidRDefault="0043528E" w:rsidP="00B16B0F">
            <w:pPr>
              <w:pStyle w:val="TableText"/>
              <w:rPr>
                <w:b/>
                <w:bCs/>
                <w:lang w:eastAsia="en-NZ"/>
              </w:rPr>
            </w:pPr>
            <w:r w:rsidRPr="00B16B0F">
              <w:rPr>
                <w:b/>
                <w:bCs/>
                <w:lang w:eastAsia="en-NZ"/>
              </w:rPr>
              <w:t>Gender</w:t>
            </w:r>
          </w:p>
        </w:tc>
        <w:tc>
          <w:tcPr>
            <w:tcW w:w="1701" w:type="dxa"/>
            <w:tcBorders>
              <w:top w:val="nil"/>
              <w:left w:val="nil"/>
              <w:bottom w:val="nil"/>
              <w:right w:val="nil"/>
            </w:tcBorders>
            <w:shd w:val="clear" w:color="000000" w:fill="D9D9D9"/>
            <w:vAlign w:val="center"/>
            <w:hideMark/>
          </w:tcPr>
          <w:p w14:paraId="279ED861" w14:textId="77777777" w:rsidR="0043528E" w:rsidRPr="00B16B0F" w:rsidRDefault="0043528E" w:rsidP="00B16B0F">
            <w:pPr>
              <w:pStyle w:val="TableText"/>
              <w:jc w:val="right"/>
              <w:rPr>
                <w:b/>
                <w:bCs/>
                <w:lang w:eastAsia="en-NZ"/>
              </w:rPr>
            </w:pPr>
            <w:r w:rsidRPr="00B16B0F">
              <w:rPr>
                <w:b/>
                <w:bCs/>
                <w:lang w:eastAsia="en-NZ"/>
              </w:rPr>
              <w:t>Interviews</w:t>
            </w:r>
          </w:p>
        </w:tc>
        <w:tc>
          <w:tcPr>
            <w:tcW w:w="2268" w:type="dxa"/>
            <w:tcBorders>
              <w:top w:val="nil"/>
              <w:left w:val="nil"/>
              <w:bottom w:val="nil"/>
              <w:right w:val="nil"/>
            </w:tcBorders>
            <w:shd w:val="clear" w:color="000000" w:fill="D9D9D9"/>
            <w:vAlign w:val="center"/>
            <w:hideMark/>
          </w:tcPr>
          <w:p w14:paraId="13DFB77D" w14:textId="77777777" w:rsidR="0043528E" w:rsidRPr="00B16B0F" w:rsidRDefault="0043528E" w:rsidP="00B16B0F">
            <w:pPr>
              <w:pStyle w:val="TableText"/>
              <w:jc w:val="right"/>
              <w:rPr>
                <w:b/>
                <w:bCs/>
                <w:lang w:eastAsia="en-NZ"/>
              </w:rPr>
            </w:pPr>
            <w:r w:rsidRPr="00B16B0F">
              <w:rPr>
                <w:b/>
                <w:bCs/>
                <w:lang w:eastAsia="en-NZ"/>
              </w:rPr>
              <w:t>Population count</w:t>
            </w:r>
          </w:p>
        </w:tc>
      </w:tr>
      <w:tr w:rsidR="0043528E" w:rsidRPr="009B0EB2" w14:paraId="4EDC6DAB" w14:textId="77777777" w:rsidTr="00B16B0F">
        <w:trPr>
          <w:trHeight w:val="20"/>
        </w:trPr>
        <w:tc>
          <w:tcPr>
            <w:tcW w:w="2268" w:type="dxa"/>
            <w:vMerge w:val="restart"/>
            <w:tcBorders>
              <w:top w:val="nil"/>
              <w:left w:val="nil"/>
              <w:bottom w:val="single" w:sz="8" w:space="0" w:color="A6A6A6"/>
              <w:right w:val="nil"/>
            </w:tcBorders>
            <w:shd w:val="clear" w:color="auto" w:fill="auto"/>
            <w:vAlign w:val="center"/>
            <w:hideMark/>
          </w:tcPr>
          <w:p w14:paraId="709AD982" w14:textId="77777777" w:rsidR="0043528E" w:rsidRPr="009B0EB2" w:rsidRDefault="0043528E" w:rsidP="00B16B0F">
            <w:pPr>
              <w:pStyle w:val="TableText"/>
              <w:rPr>
                <w:lang w:eastAsia="en-NZ"/>
              </w:rPr>
            </w:pPr>
            <w:r w:rsidRPr="009B0EB2">
              <w:rPr>
                <w:lang w:eastAsia="en-NZ"/>
              </w:rPr>
              <w:t>Disabled</w:t>
            </w:r>
          </w:p>
        </w:tc>
        <w:tc>
          <w:tcPr>
            <w:tcW w:w="1843" w:type="dxa"/>
            <w:tcBorders>
              <w:top w:val="nil"/>
              <w:left w:val="nil"/>
              <w:bottom w:val="nil"/>
              <w:right w:val="nil"/>
            </w:tcBorders>
            <w:shd w:val="clear" w:color="auto" w:fill="auto"/>
            <w:vAlign w:val="center"/>
            <w:hideMark/>
          </w:tcPr>
          <w:p w14:paraId="7F9752AC" w14:textId="77777777" w:rsidR="0043528E" w:rsidRPr="009B0EB2" w:rsidRDefault="0043528E" w:rsidP="00B16B0F">
            <w:pPr>
              <w:pStyle w:val="TableText"/>
              <w:rPr>
                <w:lang w:eastAsia="en-NZ"/>
              </w:rPr>
            </w:pPr>
            <w:r w:rsidRPr="009B0EB2">
              <w:rPr>
                <w:lang w:eastAsia="en-NZ"/>
              </w:rPr>
              <w:t>Children (5+)</w:t>
            </w:r>
          </w:p>
        </w:tc>
        <w:tc>
          <w:tcPr>
            <w:tcW w:w="1701" w:type="dxa"/>
            <w:tcBorders>
              <w:top w:val="nil"/>
              <w:left w:val="nil"/>
              <w:bottom w:val="nil"/>
              <w:right w:val="nil"/>
            </w:tcBorders>
            <w:shd w:val="clear" w:color="auto" w:fill="auto"/>
            <w:noWrap/>
            <w:vAlign w:val="bottom"/>
            <w:hideMark/>
          </w:tcPr>
          <w:p w14:paraId="6B4B99D3" w14:textId="0AAB3CE0" w:rsidR="0043528E" w:rsidRPr="009B0EB2" w:rsidRDefault="0043528E" w:rsidP="00B16B0F">
            <w:pPr>
              <w:pStyle w:val="TableText"/>
              <w:jc w:val="right"/>
              <w:rPr>
                <w:lang w:eastAsia="en-NZ"/>
              </w:rPr>
            </w:pPr>
            <w:r w:rsidRPr="009B0EB2">
              <w:rPr>
                <w:lang w:eastAsia="en-NZ"/>
              </w:rPr>
              <w:t>203</w:t>
            </w:r>
          </w:p>
        </w:tc>
        <w:tc>
          <w:tcPr>
            <w:tcW w:w="2268" w:type="dxa"/>
            <w:tcBorders>
              <w:top w:val="nil"/>
              <w:left w:val="nil"/>
              <w:bottom w:val="nil"/>
              <w:right w:val="nil"/>
            </w:tcBorders>
            <w:shd w:val="clear" w:color="auto" w:fill="auto"/>
            <w:noWrap/>
            <w:vAlign w:val="bottom"/>
            <w:hideMark/>
          </w:tcPr>
          <w:p w14:paraId="4E5931E8" w14:textId="117497E8" w:rsidR="0043528E" w:rsidRPr="009B0EB2" w:rsidRDefault="0043528E" w:rsidP="00B16B0F">
            <w:pPr>
              <w:pStyle w:val="TableText"/>
              <w:jc w:val="right"/>
              <w:rPr>
                <w:lang w:eastAsia="en-NZ"/>
              </w:rPr>
            </w:pPr>
            <w:r w:rsidRPr="009B0EB2">
              <w:rPr>
                <w:lang w:eastAsia="en-NZ"/>
              </w:rPr>
              <w:t>90,227</w:t>
            </w:r>
          </w:p>
        </w:tc>
      </w:tr>
      <w:tr w:rsidR="0043528E" w:rsidRPr="009B0EB2" w14:paraId="78033169" w14:textId="77777777" w:rsidTr="00B16B0F">
        <w:trPr>
          <w:trHeight w:val="20"/>
        </w:trPr>
        <w:tc>
          <w:tcPr>
            <w:tcW w:w="2268" w:type="dxa"/>
            <w:vMerge/>
            <w:tcBorders>
              <w:top w:val="nil"/>
              <w:left w:val="nil"/>
              <w:bottom w:val="single" w:sz="8" w:space="0" w:color="A6A6A6"/>
              <w:right w:val="nil"/>
            </w:tcBorders>
            <w:vAlign w:val="center"/>
            <w:hideMark/>
          </w:tcPr>
          <w:p w14:paraId="79681189" w14:textId="77777777" w:rsidR="0043528E" w:rsidRPr="009B0EB2" w:rsidRDefault="0043528E" w:rsidP="00B16B0F">
            <w:pPr>
              <w:pStyle w:val="TableText"/>
              <w:rPr>
                <w:lang w:eastAsia="en-NZ"/>
              </w:rPr>
            </w:pPr>
          </w:p>
        </w:tc>
        <w:tc>
          <w:tcPr>
            <w:tcW w:w="1843" w:type="dxa"/>
            <w:tcBorders>
              <w:top w:val="nil"/>
              <w:left w:val="nil"/>
              <w:bottom w:val="single" w:sz="8" w:space="0" w:color="A6A6A6"/>
              <w:right w:val="nil"/>
            </w:tcBorders>
            <w:shd w:val="clear" w:color="auto" w:fill="auto"/>
            <w:vAlign w:val="center"/>
            <w:hideMark/>
          </w:tcPr>
          <w:p w14:paraId="28759B7F" w14:textId="77777777" w:rsidR="0043528E" w:rsidRPr="009B0EB2" w:rsidRDefault="0043528E" w:rsidP="00B16B0F">
            <w:pPr>
              <w:pStyle w:val="TableText"/>
              <w:rPr>
                <w:lang w:eastAsia="en-NZ"/>
              </w:rPr>
            </w:pPr>
            <w:r w:rsidRPr="009B0EB2">
              <w:rPr>
                <w:lang w:eastAsia="en-NZ"/>
              </w:rPr>
              <w:t>Adults</w:t>
            </w:r>
          </w:p>
        </w:tc>
        <w:tc>
          <w:tcPr>
            <w:tcW w:w="1701" w:type="dxa"/>
            <w:tcBorders>
              <w:top w:val="nil"/>
              <w:left w:val="nil"/>
              <w:bottom w:val="single" w:sz="8" w:space="0" w:color="A6A6A6"/>
              <w:right w:val="nil"/>
            </w:tcBorders>
            <w:shd w:val="clear" w:color="auto" w:fill="auto"/>
            <w:vAlign w:val="center"/>
            <w:hideMark/>
          </w:tcPr>
          <w:p w14:paraId="42DB322D" w14:textId="664B26A7" w:rsidR="0043528E" w:rsidRPr="009B0EB2" w:rsidRDefault="0043528E" w:rsidP="00B16B0F">
            <w:pPr>
              <w:pStyle w:val="TableText"/>
              <w:jc w:val="right"/>
              <w:rPr>
                <w:lang w:eastAsia="en-NZ"/>
              </w:rPr>
            </w:pPr>
            <w:r w:rsidRPr="009B0EB2">
              <w:rPr>
                <w:lang w:eastAsia="en-NZ"/>
              </w:rPr>
              <w:t>813</w:t>
            </w:r>
          </w:p>
        </w:tc>
        <w:tc>
          <w:tcPr>
            <w:tcW w:w="2268" w:type="dxa"/>
            <w:tcBorders>
              <w:top w:val="nil"/>
              <w:left w:val="nil"/>
              <w:bottom w:val="single" w:sz="8" w:space="0" w:color="A6A6A6"/>
              <w:right w:val="nil"/>
            </w:tcBorders>
            <w:shd w:val="clear" w:color="auto" w:fill="auto"/>
            <w:vAlign w:val="center"/>
            <w:hideMark/>
          </w:tcPr>
          <w:p w14:paraId="6E20B66C" w14:textId="40F45FDF" w:rsidR="0043528E" w:rsidRPr="009B0EB2" w:rsidRDefault="0043528E" w:rsidP="00B16B0F">
            <w:pPr>
              <w:pStyle w:val="TableText"/>
              <w:jc w:val="right"/>
              <w:rPr>
                <w:lang w:eastAsia="en-NZ"/>
              </w:rPr>
            </w:pPr>
            <w:r w:rsidRPr="009B0EB2">
              <w:rPr>
                <w:lang w:eastAsia="en-NZ"/>
              </w:rPr>
              <w:t>388,579</w:t>
            </w:r>
          </w:p>
        </w:tc>
      </w:tr>
      <w:tr w:rsidR="0043528E" w:rsidRPr="009B0EB2" w14:paraId="3BF04E55" w14:textId="77777777" w:rsidTr="00B16B0F">
        <w:trPr>
          <w:trHeight w:val="20"/>
        </w:trPr>
        <w:tc>
          <w:tcPr>
            <w:tcW w:w="2268" w:type="dxa"/>
            <w:vMerge w:val="restart"/>
            <w:tcBorders>
              <w:top w:val="nil"/>
              <w:left w:val="nil"/>
              <w:bottom w:val="single" w:sz="8" w:space="0" w:color="A6A6A6"/>
              <w:right w:val="nil"/>
            </w:tcBorders>
            <w:shd w:val="clear" w:color="auto" w:fill="auto"/>
            <w:vAlign w:val="center"/>
            <w:hideMark/>
          </w:tcPr>
          <w:p w14:paraId="2D8B83CE" w14:textId="77777777" w:rsidR="0043528E" w:rsidRPr="009B0EB2" w:rsidRDefault="0043528E" w:rsidP="00B16B0F">
            <w:pPr>
              <w:pStyle w:val="TableText"/>
              <w:rPr>
                <w:lang w:eastAsia="en-NZ"/>
              </w:rPr>
            </w:pPr>
            <w:r w:rsidRPr="009B0EB2">
              <w:rPr>
                <w:lang w:eastAsia="en-NZ"/>
              </w:rPr>
              <w:t>Non-disabled</w:t>
            </w:r>
          </w:p>
        </w:tc>
        <w:tc>
          <w:tcPr>
            <w:tcW w:w="1843" w:type="dxa"/>
            <w:tcBorders>
              <w:top w:val="nil"/>
              <w:left w:val="nil"/>
              <w:bottom w:val="nil"/>
              <w:right w:val="nil"/>
            </w:tcBorders>
            <w:shd w:val="clear" w:color="auto" w:fill="auto"/>
            <w:vAlign w:val="center"/>
            <w:hideMark/>
          </w:tcPr>
          <w:p w14:paraId="5C4C36A6" w14:textId="77777777" w:rsidR="0043528E" w:rsidRPr="009B0EB2" w:rsidRDefault="0043528E" w:rsidP="00B16B0F">
            <w:pPr>
              <w:pStyle w:val="TableText"/>
              <w:rPr>
                <w:lang w:eastAsia="en-NZ"/>
              </w:rPr>
            </w:pPr>
            <w:r w:rsidRPr="009B0EB2">
              <w:rPr>
                <w:lang w:eastAsia="en-NZ"/>
              </w:rPr>
              <w:t>Total children (5+)</w:t>
            </w:r>
          </w:p>
        </w:tc>
        <w:tc>
          <w:tcPr>
            <w:tcW w:w="1701" w:type="dxa"/>
            <w:tcBorders>
              <w:top w:val="nil"/>
              <w:left w:val="nil"/>
              <w:bottom w:val="nil"/>
              <w:right w:val="nil"/>
            </w:tcBorders>
            <w:shd w:val="clear" w:color="auto" w:fill="auto"/>
            <w:vAlign w:val="center"/>
            <w:hideMark/>
          </w:tcPr>
          <w:p w14:paraId="72D95CB6" w14:textId="6C16C73B" w:rsidR="0043528E" w:rsidRPr="009B0EB2" w:rsidRDefault="0043528E" w:rsidP="00B16B0F">
            <w:pPr>
              <w:pStyle w:val="TableText"/>
              <w:jc w:val="right"/>
              <w:rPr>
                <w:lang w:eastAsia="en-NZ"/>
              </w:rPr>
            </w:pPr>
            <w:r w:rsidRPr="009B0EB2">
              <w:rPr>
                <w:lang w:eastAsia="en-NZ"/>
              </w:rPr>
              <w:t>1,167</w:t>
            </w:r>
          </w:p>
        </w:tc>
        <w:tc>
          <w:tcPr>
            <w:tcW w:w="2268" w:type="dxa"/>
            <w:tcBorders>
              <w:top w:val="nil"/>
              <w:left w:val="nil"/>
              <w:bottom w:val="nil"/>
              <w:right w:val="nil"/>
            </w:tcBorders>
            <w:shd w:val="clear" w:color="auto" w:fill="auto"/>
            <w:vAlign w:val="center"/>
            <w:hideMark/>
          </w:tcPr>
          <w:p w14:paraId="17C6AD3A" w14:textId="7A0EB783" w:rsidR="0043528E" w:rsidRPr="009B0EB2" w:rsidRDefault="0043528E" w:rsidP="00B16B0F">
            <w:pPr>
              <w:pStyle w:val="TableText"/>
              <w:jc w:val="right"/>
              <w:rPr>
                <w:lang w:eastAsia="en-NZ"/>
              </w:rPr>
            </w:pPr>
            <w:r w:rsidRPr="009B0EB2">
              <w:rPr>
                <w:lang w:eastAsia="en-NZ"/>
              </w:rPr>
              <w:t>558,458</w:t>
            </w:r>
          </w:p>
        </w:tc>
      </w:tr>
      <w:tr w:rsidR="0043528E" w:rsidRPr="0043528E" w14:paraId="029A4AA9" w14:textId="77777777" w:rsidTr="00B16B0F">
        <w:trPr>
          <w:trHeight w:val="20"/>
        </w:trPr>
        <w:tc>
          <w:tcPr>
            <w:tcW w:w="2268" w:type="dxa"/>
            <w:vMerge/>
            <w:tcBorders>
              <w:top w:val="nil"/>
              <w:left w:val="nil"/>
              <w:bottom w:val="single" w:sz="8" w:space="0" w:color="A6A6A6"/>
              <w:right w:val="nil"/>
            </w:tcBorders>
            <w:vAlign w:val="center"/>
            <w:hideMark/>
          </w:tcPr>
          <w:p w14:paraId="0CF9D891" w14:textId="77777777" w:rsidR="0043528E" w:rsidRPr="009B0EB2" w:rsidRDefault="0043528E" w:rsidP="00B16B0F">
            <w:pPr>
              <w:pStyle w:val="TableText"/>
              <w:rPr>
                <w:lang w:eastAsia="en-NZ"/>
              </w:rPr>
            </w:pPr>
          </w:p>
        </w:tc>
        <w:tc>
          <w:tcPr>
            <w:tcW w:w="1843" w:type="dxa"/>
            <w:tcBorders>
              <w:top w:val="nil"/>
              <w:left w:val="nil"/>
              <w:bottom w:val="single" w:sz="8" w:space="0" w:color="A6A6A6"/>
              <w:right w:val="nil"/>
            </w:tcBorders>
            <w:shd w:val="clear" w:color="auto" w:fill="auto"/>
            <w:vAlign w:val="center"/>
            <w:hideMark/>
          </w:tcPr>
          <w:p w14:paraId="67F5E34D" w14:textId="77777777" w:rsidR="0043528E" w:rsidRPr="009B0EB2" w:rsidRDefault="0043528E" w:rsidP="00B16B0F">
            <w:pPr>
              <w:pStyle w:val="TableText"/>
              <w:rPr>
                <w:lang w:eastAsia="en-NZ"/>
              </w:rPr>
            </w:pPr>
            <w:r w:rsidRPr="009B0EB2">
              <w:rPr>
                <w:lang w:eastAsia="en-NZ"/>
              </w:rPr>
              <w:t>Total adults</w:t>
            </w:r>
          </w:p>
        </w:tc>
        <w:tc>
          <w:tcPr>
            <w:tcW w:w="1701" w:type="dxa"/>
            <w:tcBorders>
              <w:top w:val="nil"/>
              <w:left w:val="nil"/>
              <w:bottom w:val="single" w:sz="8" w:space="0" w:color="A6A6A6"/>
              <w:right w:val="nil"/>
            </w:tcBorders>
            <w:shd w:val="clear" w:color="auto" w:fill="auto"/>
            <w:vAlign w:val="center"/>
            <w:hideMark/>
          </w:tcPr>
          <w:p w14:paraId="5F1DFCC1" w14:textId="40E61839" w:rsidR="0043528E" w:rsidRPr="009B0EB2" w:rsidRDefault="0043528E" w:rsidP="00B16B0F">
            <w:pPr>
              <w:pStyle w:val="TableText"/>
              <w:jc w:val="right"/>
              <w:rPr>
                <w:lang w:eastAsia="en-NZ"/>
              </w:rPr>
            </w:pPr>
            <w:r w:rsidRPr="009B0EB2">
              <w:rPr>
                <w:lang w:eastAsia="en-NZ"/>
              </w:rPr>
              <w:t>5,963</w:t>
            </w:r>
          </w:p>
        </w:tc>
        <w:tc>
          <w:tcPr>
            <w:tcW w:w="2268" w:type="dxa"/>
            <w:tcBorders>
              <w:top w:val="nil"/>
              <w:left w:val="nil"/>
              <w:bottom w:val="single" w:sz="8" w:space="0" w:color="A6A6A6"/>
              <w:right w:val="nil"/>
            </w:tcBorders>
            <w:shd w:val="clear" w:color="auto" w:fill="auto"/>
            <w:vAlign w:val="center"/>
            <w:hideMark/>
          </w:tcPr>
          <w:p w14:paraId="1C7654A7" w14:textId="21A32410" w:rsidR="0043528E" w:rsidRPr="009B0EB2" w:rsidRDefault="0043528E" w:rsidP="00B16B0F">
            <w:pPr>
              <w:pStyle w:val="TableText"/>
              <w:jc w:val="right"/>
              <w:rPr>
                <w:lang w:eastAsia="en-NZ"/>
              </w:rPr>
            </w:pPr>
            <w:r w:rsidRPr="009B0EB2">
              <w:rPr>
                <w:lang w:eastAsia="en-NZ"/>
              </w:rPr>
              <w:t>3,798,111</w:t>
            </w:r>
          </w:p>
        </w:tc>
      </w:tr>
    </w:tbl>
    <w:p w14:paraId="296344F3" w14:textId="77777777" w:rsidR="00CA54B8" w:rsidRPr="00390AA7" w:rsidRDefault="00CA54B8" w:rsidP="001A2AE9"/>
    <w:p w14:paraId="0F5BE9F1" w14:textId="44EE83C5" w:rsidR="0022783B" w:rsidRDefault="0022783B">
      <w:bookmarkStart w:id="570" w:name="_Toc467491556"/>
      <w:bookmarkStart w:id="571" w:name="_Toc467515158"/>
      <w:bookmarkStart w:id="572" w:name="_Toc22887962"/>
      <w:bookmarkStart w:id="573" w:name="_Toc55206871"/>
      <w:bookmarkStart w:id="574" w:name="_Toc88752062"/>
      <w:bookmarkStart w:id="575" w:name="_Toc340501960"/>
      <w:bookmarkStart w:id="576" w:name="_Toc372445580"/>
      <w:bookmarkStart w:id="577" w:name="_Toc403044035"/>
      <w:bookmarkStart w:id="578" w:name="_Toc467491562"/>
      <w:bookmarkStart w:id="579" w:name="_Toc531762373"/>
      <w:bookmarkStart w:id="580" w:name="_Toc531783730"/>
      <w:bookmarkStart w:id="581" w:name="_Toc339270046"/>
      <w:r>
        <w:br w:type="page"/>
      </w:r>
    </w:p>
    <w:p w14:paraId="1652EE40" w14:textId="77777777" w:rsidR="0022783B" w:rsidRPr="0049335F" w:rsidRDefault="0022783B" w:rsidP="0022783B">
      <w:pPr>
        <w:pStyle w:val="Heading1"/>
        <w:spacing w:before="0"/>
      </w:pPr>
      <w:bookmarkStart w:id="582" w:name="_Toc119070583"/>
      <w:bookmarkStart w:id="583" w:name="_Toc153259110"/>
      <w:bookmarkStart w:id="584" w:name="_Toc22887965"/>
      <w:bookmarkStart w:id="585" w:name="_Toc55206874"/>
      <w:bookmarkStart w:id="586" w:name="_Toc88752064"/>
      <w:bookmarkEnd w:id="570"/>
      <w:bookmarkEnd w:id="571"/>
      <w:bookmarkEnd w:id="572"/>
      <w:bookmarkEnd w:id="573"/>
      <w:bookmarkEnd w:id="574"/>
      <w:r>
        <w:t>Changes</w:t>
      </w:r>
      <w:r w:rsidRPr="0049335F">
        <w:t xml:space="preserve"> in previously published statistics</w:t>
      </w:r>
      <w:bookmarkEnd w:id="582"/>
      <w:bookmarkEnd w:id="583"/>
    </w:p>
    <w:p w14:paraId="068ADD21" w14:textId="3A4178BE" w:rsidR="0022783B" w:rsidRDefault="0022783B" w:rsidP="0022783B">
      <w:r w:rsidRPr="00446529">
        <w:t xml:space="preserve">This section notifies NZHS users about errors </w:t>
      </w:r>
      <w:r>
        <w:t xml:space="preserve">or changes </w:t>
      </w:r>
      <w:r w:rsidRPr="00446529">
        <w:t xml:space="preserve">in the statistics published in previous annual reports or in the </w:t>
      </w:r>
      <w:r w:rsidRPr="0049335F">
        <w:rPr>
          <w:i/>
        </w:rPr>
        <w:t>Annual Data Explorers</w:t>
      </w:r>
      <w:r w:rsidRPr="001952DD">
        <w:t>.</w:t>
      </w:r>
      <w:r w:rsidRPr="00446529" w:rsidDel="000B7A92">
        <w:t xml:space="preserve"> </w:t>
      </w:r>
      <w:r w:rsidRPr="00446529">
        <w:t xml:space="preserve">These errors </w:t>
      </w:r>
      <w:r>
        <w:t xml:space="preserve">may have </w:t>
      </w:r>
      <w:r w:rsidRPr="00446529">
        <w:t xml:space="preserve">occurred as a result of independent events at different stages of the survey process, which are explained below. </w:t>
      </w:r>
      <w:r w:rsidR="00C1086A">
        <w:t xml:space="preserve">Any </w:t>
      </w:r>
      <w:r w:rsidR="00792A4E">
        <w:t>revisions</w:t>
      </w:r>
      <w:r w:rsidR="00C1086A">
        <w:t xml:space="preserve"> to the data have </w:t>
      </w:r>
      <w:r w:rsidR="00792A4E">
        <w:t>been made in the current Annual Data Explorer.</w:t>
      </w:r>
      <w:r w:rsidR="00792A4E" w:rsidRPr="00446529" w:rsidDel="00792A4E">
        <w:t xml:space="preserve"> </w:t>
      </w:r>
    </w:p>
    <w:p w14:paraId="251F26EC" w14:textId="08CE7A26" w:rsidR="0022783B" w:rsidRDefault="0022783B" w:rsidP="0022783B"/>
    <w:p w14:paraId="030AF978" w14:textId="3A32871B" w:rsidR="00705AA0" w:rsidRDefault="00705AA0" w:rsidP="00705AA0">
      <w:pPr>
        <w:rPr>
          <w:rFonts w:eastAsiaTheme="minorEastAsia"/>
        </w:rPr>
      </w:pPr>
      <w:r w:rsidRPr="003D70A0">
        <w:rPr>
          <w:rFonts w:eastAsiaTheme="minorEastAsia"/>
        </w:rPr>
        <w:t>An error was corrected in the 2022/23 Annual Data Explorer</w:t>
      </w:r>
      <w:r w:rsidR="00477ADF">
        <w:rPr>
          <w:rFonts w:eastAsiaTheme="minorEastAsia"/>
        </w:rPr>
        <w:t xml:space="preserve"> for the </w:t>
      </w:r>
      <w:r w:rsidR="00477ADF" w:rsidRPr="003D70A0">
        <w:rPr>
          <w:rFonts w:eastAsiaTheme="minorEastAsia"/>
        </w:rPr>
        <w:t>2021/22 statistics</w:t>
      </w:r>
      <w:r w:rsidRPr="003D70A0">
        <w:rPr>
          <w:rFonts w:eastAsiaTheme="minorEastAsia"/>
        </w:rPr>
        <w:t xml:space="preserve">. Some households were assigned </w:t>
      </w:r>
      <w:r w:rsidR="00D6029E">
        <w:rPr>
          <w:rFonts w:eastAsiaTheme="minorEastAsia"/>
        </w:rPr>
        <w:t xml:space="preserve">to </w:t>
      </w:r>
      <w:r w:rsidRPr="003D70A0">
        <w:rPr>
          <w:rFonts w:eastAsiaTheme="minorEastAsia"/>
        </w:rPr>
        <w:t xml:space="preserve">the wrong New Zealand Index of Deprivation (NZDep) decile. </w:t>
      </w:r>
      <w:r w:rsidR="00477ADF">
        <w:rPr>
          <w:rFonts w:eastAsiaTheme="minorEastAsia"/>
        </w:rPr>
        <w:t xml:space="preserve">The </w:t>
      </w:r>
      <w:r w:rsidRPr="003D70A0">
        <w:rPr>
          <w:rFonts w:eastAsiaTheme="minorEastAsia"/>
        </w:rPr>
        <w:t xml:space="preserve">NZDep is used </w:t>
      </w:r>
      <w:r w:rsidR="00477ADF">
        <w:rPr>
          <w:rFonts w:eastAsiaTheme="minorEastAsia"/>
        </w:rPr>
        <w:t>to</w:t>
      </w:r>
      <w:r w:rsidRPr="003D70A0">
        <w:rPr>
          <w:rFonts w:eastAsiaTheme="minorEastAsia"/>
        </w:rPr>
        <w:t xml:space="preserve"> calculat</w:t>
      </w:r>
      <w:r w:rsidR="00477ADF">
        <w:rPr>
          <w:rFonts w:eastAsiaTheme="minorEastAsia"/>
        </w:rPr>
        <w:t>e</w:t>
      </w:r>
      <w:r w:rsidRPr="003D70A0">
        <w:rPr>
          <w:rFonts w:eastAsiaTheme="minorEastAsia"/>
        </w:rPr>
        <w:t xml:space="preserve"> </w:t>
      </w:r>
      <w:r w:rsidR="00477ADF">
        <w:rPr>
          <w:rFonts w:eastAsiaTheme="minorEastAsia"/>
        </w:rPr>
        <w:t>the</w:t>
      </w:r>
      <w:r w:rsidR="00477ADF" w:rsidRPr="003D70A0">
        <w:rPr>
          <w:rFonts w:eastAsiaTheme="minorEastAsia"/>
        </w:rPr>
        <w:t xml:space="preserve"> </w:t>
      </w:r>
      <w:r w:rsidRPr="003D70A0">
        <w:rPr>
          <w:rFonts w:eastAsiaTheme="minorEastAsia"/>
        </w:rPr>
        <w:t xml:space="preserve">survey weights </w:t>
      </w:r>
      <w:r w:rsidR="00477ADF">
        <w:rPr>
          <w:rFonts w:eastAsiaTheme="minorEastAsia"/>
        </w:rPr>
        <w:t>for</w:t>
      </w:r>
      <w:r w:rsidRPr="003D70A0">
        <w:rPr>
          <w:rFonts w:eastAsiaTheme="minorEastAsia"/>
        </w:rPr>
        <w:t xml:space="preserve"> all analyses, so the error </w:t>
      </w:r>
      <w:r w:rsidR="00477ADF">
        <w:rPr>
          <w:rFonts w:eastAsiaTheme="minorEastAsia"/>
        </w:rPr>
        <w:t>affected</w:t>
      </w:r>
      <w:r w:rsidR="00D6029E">
        <w:rPr>
          <w:rFonts w:eastAsiaTheme="minorEastAsia"/>
        </w:rPr>
        <w:t xml:space="preserve"> </w:t>
      </w:r>
      <w:r w:rsidRPr="003D70A0">
        <w:rPr>
          <w:rFonts w:eastAsiaTheme="minorEastAsia"/>
        </w:rPr>
        <w:t xml:space="preserve">all the </w:t>
      </w:r>
      <w:r w:rsidR="00477ADF">
        <w:rPr>
          <w:rFonts w:eastAsiaTheme="minorEastAsia"/>
        </w:rPr>
        <w:t xml:space="preserve">2021/22 </w:t>
      </w:r>
      <w:r w:rsidRPr="003D70A0">
        <w:rPr>
          <w:rFonts w:eastAsiaTheme="minorEastAsia"/>
        </w:rPr>
        <w:t xml:space="preserve">statistics. However, the impact was relatively small and the revised statistics were </w:t>
      </w:r>
      <w:r w:rsidR="00D6029E">
        <w:rPr>
          <w:rFonts w:eastAsiaTheme="minorEastAsia"/>
        </w:rPr>
        <w:t>almost</w:t>
      </w:r>
      <w:r w:rsidR="00D6029E" w:rsidRPr="003D70A0">
        <w:rPr>
          <w:rFonts w:eastAsiaTheme="minorEastAsia"/>
        </w:rPr>
        <w:t xml:space="preserve"> </w:t>
      </w:r>
      <w:r w:rsidRPr="003D70A0">
        <w:rPr>
          <w:rFonts w:eastAsiaTheme="minorEastAsia"/>
        </w:rPr>
        <w:t xml:space="preserve">all within the margin of error of the </w:t>
      </w:r>
      <w:r w:rsidR="3C4D0FED" w:rsidRPr="003D70A0">
        <w:rPr>
          <w:rFonts w:eastAsiaTheme="minorEastAsia"/>
        </w:rPr>
        <w:t xml:space="preserve">original </w:t>
      </w:r>
      <w:r w:rsidRPr="003D70A0">
        <w:rPr>
          <w:rFonts w:eastAsiaTheme="minorEastAsia"/>
        </w:rPr>
        <w:t>statistics.</w:t>
      </w:r>
      <w:r w:rsidR="00AA10A2" w:rsidRPr="003D70A0">
        <w:rPr>
          <w:rFonts w:eastAsiaTheme="minorEastAsia"/>
        </w:rPr>
        <w:t xml:space="preserve"> For more information, see </w:t>
      </w:r>
      <w:r w:rsidR="00D6029E">
        <w:rPr>
          <w:rFonts w:eastAsiaTheme="minorEastAsia"/>
        </w:rPr>
        <w:t>the Ministry of Health website:</w:t>
      </w:r>
      <w:r w:rsidR="00D6029E">
        <w:rPr>
          <w:rStyle w:val="FootnoteReference"/>
          <w:rFonts w:eastAsiaTheme="minorEastAsia"/>
        </w:rPr>
        <w:footnoteReference w:id="5"/>
      </w:r>
      <w:r w:rsidR="00D6029E">
        <w:rPr>
          <w:rFonts w:eastAsiaTheme="minorEastAsia"/>
        </w:rPr>
        <w:t xml:space="preserve"> </w:t>
      </w:r>
    </w:p>
    <w:p w14:paraId="1432544C" w14:textId="77777777" w:rsidR="00334BED" w:rsidRDefault="00334BED" w:rsidP="0022783B"/>
    <w:p w14:paraId="0524E7D0" w14:textId="77E31CA4" w:rsidR="00E76D0F" w:rsidRDefault="0022783B" w:rsidP="0022783B">
      <w:r w:rsidRPr="0022783B">
        <w:t xml:space="preserve">An error was corrected in the 2022/23 </w:t>
      </w:r>
      <w:r w:rsidR="00072F46">
        <w:t>Annual Data Explorer</w:t>
      </w:r>
      <w:r w:rsidR="00072F46" w:rsidRPr="0022783B">
        <w:t xml:space="preserve"> </w:t>
      </w:r>
      <w:r w:rsidRPr="0022783B">
        <w:t>for the child indicator on unmet need for mental health support. The indicator for previous years was incorrectly calculated for children aged 0-14 years, rather than 2-14 years. Please use the figures in th</w:t>
      </w:r>
      <w:r w:rsidR="00272AAB">
        <w:t>e 2022/23</w:t>
      </w:r>
      <w:r w:rsidRPr="0022783B">
        <w:t xml:space="preserve"> data explorer going forward</w:t>
      </w:r>
      <w:r w:rsidR="00334BED">
        <w:t>.</w:t>
      </w:r>
    </w:p>
    <w:p w14:paraId="1CFBE60F" w14:textId="77777777" w:rsidR="00E76D0F" w:rsidRDefault="00E76D0F" w:rsidP="0022783B"/>
    <w:p w14:paraId="60DAEBD4" w14:textId="77777777" w:rsidR="00D65B2B" w:rsidRPr="00390AA7" w:rsidRDefault="00D65B2B" w:rsidP="004366B7">
      <w:pPr>
        <w:pStyle w:val="Heading1"/>
        <w:sectPr w:rsidR="00D65B2B" w:rsidRPr="00390AA7" w:rsidSect="004366B7">
          <w:pgSz w:w="11907" w:h="16840" w:code="9"/>
          <w:pgMar w:top="1418" w:right="1701" w:bottom="1134" w:left="1843" w:header="284" w:footer="425" w:gutter="284"/>
          <w:cols w:space="720"/>
        </w:sectPr>
      </w:pPr>
    </w:p>
    <w:p w14:paraId="398740FA" w14:textId="10CB4320" w:rsidR="004366B7" w:rsidRPr="00390AA7" w:rsidRDefault="004366B7" w:rsidP="00940407">
      <w:pPr>
        <w:pStyle w:val="Heading1"/>
        <w:spacing w:before="0"/>
      </w:pPr>
      <w:bookmarkStart w:id="587" w:name="_Toc153259111"/>
      <w:r w:rsidRPr="00390AA7">
        <w:t>References</w:t>
      </w:r>
      <w:bookmarkEnd w:id="575"/>
      <w:bookmarkEnd w:id="576"/>
      <w:bookmarkEnd w:id="577"/>
      <w:bookmarkEnd w:id="578"/>
      <w:bookmarkEnd w:id="579"/>
      <w:bookmarkEnd w:id="580"/>
      <w:bookmarkEnd w:id="584"/>
      <w:bookmarkEnd w:id="585"/>
      <w:bookmarkEnd w:id="586"/>
      <w:bookmarkEnd w:id="587"/>
    </w:p>
    <w:p w14:paraId="14D49B01" w14:textId="264664D3" w:rsidR="004366B7" w:rsidRPr="00390AA7" w:rsidRDefault="004366B7" w:rsidP="004366B7">
      <w:pPr>
        <w:pStyle w:val="References"/>
      </w:pPr>
      <w:r w:rsidRPr="00390AA7">
        <w:t xml:space="preserve">Ahmad O, Boschi-Pinto C, Lopez A, et al. 2000. </w:t>
      </w:r>
      <w:r w:rsidRPr="00390AA7">
        <w:rPr>
          <w:i/>
        </w:rPr>
        <w:t>Age-standardization of Rates: A new WHO standard</w:t>
      </w:r>
      <w:r w:rsidRPr="00390AA7">
        <w:t>. Geneva: World Health Organization</w:t>
      </w:r>
      <w:r w:rsidR="00B148F2" w:rsidRPr="00390AA7">
        <w:t xml:space="preserve"> (WHO)</w:t>
      </w:r>
      <w:r w:rsidRPr="00390AA7">
        <w:t>.</w:t>
      </w:r>
    </w:p>
    <w:p w14:paraId="3B4B2338" w14:textId="77777777" w:rsidR="004366B7" w:rsidRPr="00390AA7" w:rsidRDefault="004366B7" w:rsidP="004366B7">
      <w:pPr>
        <w:pStyle w:val="References"/>
        <w:rPr>
          <w:szCs w:val="21"/>
        </w:rPr>
      </w:pPr>
      <w:r w:rsidRPr="00390AA7">
        <w:t xml:space="preserve">Atkinson J, </w:t>
      </w:r>
      <w:r w:rsidRPr="00390AA7">
        <w:rPr>
          <w:szCs w:val="21"/>
        </w:rPr>
        <w:t xml:space="preserve">Salmond C, Crampton P. 2019. </w:t>
      </w:r>
      <w:r w:rsidRPr="00390AA7">
        <w:rPr>
          <w:i/>
          <w:szCs w:val="21"/>
        </w:rPr>
        <w:t>NZDep2018 Index of Deprivation</w:t>
      </w:r>
      <w:r w:rsidRPr="00390AA7">
        <w:rPr>
          <w:szCs w:val="21"/>
        </w:rPr>
        <w:t>. Interim Research Report, December 2019, Wellington: Department of Public Health, University of Otago.</w:t>
      </w:r>
    </w:p>
    <w:p w14:paraId="4C92FB7A" w14:textId="77777777" w:rsidR="004366B7" w:rsidRPr="00390AA7" w:rsidRDefault="004366B7" w:rsidP="004366B7">
      <w:pPr>
        <w:pStyle w:val="References"/>
        <w:rPr>
          <w:spacing w:val="-2"/>
          <w:szCs w:val="21"/>
        </w:rPr>
      </w:pPr>
      <w:r w:rsidRPr="00390AA7">
        <w:rPr>
          <w:spacing w:val="-2"/>
          <w:szCs w:val="21"/>
        </w:rPr>
        <w:t xml:space="preserve">Bieler GS, Brown GG, Williams RL, et al. 2010. Estimating model-adjusted risks, risk differences, and risk ratios from complex survey data. </w:t>
      </w:r>
      <w:r w:rsidRPr="00390AA7">
        <w:rPr>
          <w:i/>
          <w:spacing w:val="-2"/>
          <w:szCs w:val="21"/>
        </w:rPr>
        <w:t>American Journal of Epidemiology</w:t>
      </w:r>
      <w:r w:rsidRPr="00390AA7">
        <w:rPr>
          <w:spacing w:val="-2"/>
          <w:szCs w:val="21"/>
        </w:rPr>
        <w:t xml:space="preserve"> 171: 618–23.</w:t>
      </w:r>
    </w:p>
    <w:p w14:paraId="3DC652E2" w14:textId="77777777" w:rsidR="004366B7" w:rsidRPr="00390AA7" w:rsidRDefault="004366B7" w:rsidP="004366B7">
      <w:pPr>
        <w:pStyle w:val="References"/>
      </w:pPr>
      <w:r w:rsidRPr="00390AA7">
        <w:rPr>
          <w:szCs w:val="21"/>
        </w:rPr>
        <w:t xml:space="preserve">Clark RG, Templeton R, McNicholas A. 2013. Developing the design of a continuous national health survey for New Zealand. </w:t>
      </w:r>
      <w:r w:rsidRPr="00390AA7">
        <w:rPr>
          <w:i/>
          <w:iCs/>
          <w:szCs w:val="21"/>
        </w:rPr>
        <w:t>Population Health Metrics</w:t>
      </w:r>
      <w:r w:rsidRPr="00390AA7">
        <w:rPr>
          <w:szCs w:val="21"/>
        </w:rPr>
        <w:t xml:space="preserve"> </w:t>
      </w:r>
      <w:r w:rsidRPr="00390AA7">
        <w:rPr>
          <w:iCs/>
          <w:szCs w:val="21"/>
        </w:rPr>
        <w:t>11</w:t>
      </w:r>
      <w:r w:rsidRPr="00390AA7">
        <w:rPr>
          <w:szCs w:val="21"/>
        </w:rPr>
        <w:t xml:space="preserve">(1): 25. URL: </w:t>
      </w:r>
      <w:hyperlink r:id="rId40" w:history="1">
        <w:r w:rsidRPr="00390AA7">
          <w:rPr>
            <w:rStyle w:val="Hyperlink"/>
            <w:szCs w:val="21"/>
          </w:rPr>
          <w:t>www.pophealthmetrics.com/content/11/1/25</w:t>
        </w:r>
      </w:hyperlink>
      <w:r w:rsidRPr="00390AA7">
        <w:rPr>
          <w:szCs w:val="21"/>
        </w:rPr>
        <w:t xml:space="preserve"> </w:t>
      </w:r>
      <w:r w:rsidRPr="00390AA7">
        <w:t>(accessed 01 October 2022).</w:t>
      </w:r>
    </w:p>
    <w:p w14:paraId="7C668097" w14:textId="77777777" w:rsidR="004366B7" w:rsidRPr="00390AA7" w:rsidRDefault="004366B7" w:rsidP="004366B7">
      <w:pPr>
        <w:pStyle w:val="References"/>
      </w:pPr>
      <w:r w:rsidRPr="00390AA7">
        <w:t xml:space="preserve">Deville JC, Särndal CE. 1992. Calibration estimators in survey sampling. </w:t>
      </w:r>
      <w:r w:rsidRPr="00390AA7">
        <w:rPr>
          <w:i/>
        </w:rPr>
        <w:t>Journal of the American Statistical Association</w:t>
      </w:r>
      <w:r w:rsidRPr="00390AA7">
        <w:t xml:space="preserve"> 87: 376–82.</w:t>
      </w:r>
    </w:p>
    <w:p w14:paraId="03600E8E" w14:textId="77777777" w:rsidR="004366B7" w:rsidRPr="00390AA7" w:rsidRDefault="004366B7" w:rsidP="004366B7">
      <w:pPr>
        <w:pStyle w:val="References"/>
        <w:rPr>
          <w:rFonts w:cs="Arial"/>
        </w:rPr>
      </w:pPr>
      <w:r w:rsidRPr="00390AA7">
        <w:rPr>
          <w:rFonts w:cs="Arial"/>
        </w:rPr>
        <w:t xml:space="preserve">Hayes L, Barry G. 2002. Sampling variability of the Kunst-Mackenbach relative index of inequality. </w:t>
      </w:r>
      <w:r w:rsidRPr="00390AA7">
        <w:rPr>
          <w:rFonts w:cs="Arial"/>
          <w:i/>
        </w:rPr>
        <w:t>Journal of Epidemiology and Community Health</w:t>
      </w:r>
      <w:r w:rsidRPr="00390AA7">
        <w:rPr>
          <w:rFonts w:cs="Arial"/>
        </w:rPr>
        <w:t xml:space="preserve"> 56: 762–5.</w:t>
      </w:r>
    </w:p>
    <w:p w14:paraId="171B0E11" w14:textId="77777777" w:rsidR="004366B7" w:rsidRPr="00390AA7" w:rsidRDefault="004366B7" w:rsidP="004366B7">
      <w:pPr>
        <w:pStyle w:val="References"/>
        <w:rPr>
          <w:rFonts w:cs="Arial"/>
        </w:rPr>
      </w:pPr>
      <w:r w:rsidRPr="00390AA7">
        <w:rPr>
          <w:rFonts w:cs="Arial"/>
        </w:rPr>
        <w:t xml:space="preserve">Korn EL, Graubard BI. 1998. Confidence intervals for proportions with small expected number of positive counts estimated from survey data. </w:t>
      </w:r>
      <w:r w:rsidRPr="00390AA7">
        <w:rPr>
          <w:rFonts w:cs="Arial"/>
          <w:i/>
        </w:rPr>
        <w:t>Survey Methodology</w:t>
      </w:r>
      <w:r w:rsidRPr="00390AA7">
        <w:rPr>
          <w:rFonts w:cs="Arial"/>
        </w:rPr>
        <w:br/>
        <w:t>24(2): 193–201.</w:t>
      </w:r>
    </w:p>
    <w:p w14:paraId="03F769A9" w14:textId="77777777" w:rsidR="004366B7" w:rsidRPr="00390AA7" w:rsidRDefault="004366B7" w:rsidP="004366B7">
      <w:pPr>
        <w:pStyle w:val="References"/>
        <w:rPr>
          <w:rFonts w:cs="Arial"/>
        </w:rPr>
      </w:pPr>
      <w:r w:rsidRPr="00390AA7">
        <w:rPr>
          <w:rFonts w:cs="Arial"/>
        </w:rPr>
        <w:t xml:space="preserve">Korn EL, Graubard BI. 1999. </w:t>
      </w:r>
      <w:r w:rsidRPr="00390AA7">
        <w:rPr>
          <w:rFonts w:cs="Arial"/>
          <w:i/>
        </w:rPr>
        <w:t>Analysis of Health Surveys</w:t>
      </w:r>
      <w:r w:rsidRPr="00390AA7">
        <w:rPr>
          <w:rFonts w:cs="Arial"/>
        </w:rPr>
        <w:t>. New York: Wiley.</w:t>
      </w:r>
    </w:p>
    <w:p w14:paraId="459D36CF" w14:textId="77777777" w:rsidR="004366B7" w:rsidRPr="00390AA7" w:rsidRDefault="004366B7" w:rsidP="004366B7">
      <w:pPr>
        <w:pStyle w:val="References"/>
        <w:rPr>
          <w:rFonts w:cs="Arial"/>
        </w:rPr>
      </w:pPr>
      <w:r w:rsidRPr="00390AA7">
        <w:rPr>
          <w:rFonts w:cs="Arial"/>
        </w:rPr>
        <w:t xml:space="preserve">Kott PS. 2001. The delete-a-group jackknife. </w:t>
      </w:r>
      <w:r w:rsidRPr="00390AA7">
        <w:rPr>
          <w:rFonts w:cs="Arial"/>
          <w:i/>
        </w:rPr>
        <w:t>Journal of Official Statistics</w:t>
      </w:r>
      <w:r w:rsidRPr="00390AA7">
        <w:rPr>
          <w:rFonts w:cs="Arial"/>
        </w:rPr>
        <w:t xml:space="preserve"> 17(4): 521–6.</w:t>
      </w:r>
    </w:p>
    <w:p w14:paraId="02290601" w14:textId="77777777" w:rsidR="004366B7" w:rsidRPr="00390AA7" w:rsidRDefault="004366B7" w:rsidP="004366B7">
      <w:pPr>
        <w:pStyle w:val="References"/>
        <w:keepNext/>
        <w:keepLines/>
        <w:rPr>
          <w:sz w:val="20"/>
        </w:rPr>
      </w:pPr>
      <w:r w:rsidRPr="00390AA7">
        <w:t xml:space="preserve">Ministry of Health. 2011. </w:t>
      </w:r>
      <w:r w:rsidRPr="00390AA7">
        <w:rPr>
          <w:i/>
        </w:rPr>
        <w:t>The New Zealand Health Survey: Sample design, years 1–3 (2011–2013)</w:t>
      </w:r>
      <w:r w:rsidRPr="00390AA7">
        <w:rPr>
          <w:iCs/>
        </w:rPr>
        <w:t>.</w:t>
      </w:r>
      <w:r w:rsidRPr="00390AA7">
        <w:t xml:space="preserve"> Wellington: Ministry of Health. URL: </w:t>
      </w:r>
      <w:hyperlink r:id="rId41" w:history="1">
        <w:r w:rsidRPr="00390AA7">
          <w:rPr>
            <w:rStyle w:val="Hyperlink"/>
          </w:rPr>
          <w:t>www.health.govt.nz/publication/new-zealand-health-survey-sample-design-years-1-3-2011-2013</w:t>
        </w:r>
      </w:hyperlink>
      <w:r w:rsidRPr="00390AA7">
        <w:t xml:space="preserve"> (accessed 11 October 2022).</w:t>
      </w:r>
    </w:p>
    <w:p w14:paraId="7AD80C8E" w14:textId="77777777" w:rsidR="004366B7" w:rsidRPr="00390AA7" w:rsidRDefault="004366B7" w:rsidP="004366B7">
      <w:pPr>
        <w:pStyle w:val="References"/>
      </w:pPr>
      <w:r w:rsidRPr="00390AA7">
        <w:t xml:space="preserve">Ministry of Health. 2016. </w:t>
      </w:r>
      <w:r w:rsidRPr="00390AA7">
        <w:rPr>
          <w:rFonts w:cs="Georgia"/>
          <w:bCs/>
          <w:i/>
          <w:iCs/>
          <w:szCs w:val="22"/>
          <w:lang w:eastAsia="en-NZ"/>
        </w:rPr>
        <w:t>Sample Design from 2015/16: New Zealand Health Survey</w:t>
      </w:r>
      <w:r w:rsidRPr="00390AA7">
        <w:rPr>
          <w:iCs/>
        </w:rPr>
        <w:t>.</w:t>
      </w:r>
      <w:r w:rsidRPr="00390AA7">
        <w:rPr>
          <w:i/>
        </w:rPr>
        <w:t xml:space="preserve"> </w:t>
      </w:r>
      <w:r w:rsidRPr="00390AA7">
        <w:t xml:space="preserve">Wellington: Ministry of Health. URL: </w:t>
      </w:r>
      <w:hyperlink r:id="rId42" w:history="1">
        <w:r w:rsidRPr="00390AA7">
          <w:rPr>
            <w:rStyle w:val="Hyperlink"/>
          </w:rPr>
          <w:t>www.health.govt.nz/publication/sample-design-2015-16-new-zealand-health-survey</w:t>
        </w:r>
      </w:hyperlink>
      <w:r w:rsidRPr="00390AA7">
        <w:t xml:space="preserve"> (accessed 11 October 2022).</w:t>
      </w:r>
    </w:p>
    <w:p w14:paraId="1BB0A15D" w14:textId="28A8B3FF" w:rsidR="004A3A5D" w:rsidRPr="00390AA7" w:rsidRDefault="004A3A5D" w:rsidP="004366B7">
      <w:pPr>
        <w:pStyle w:val="References"/>
        <w:rPr>
          <w:i/>
          <w:iCs/>
        </w:rPr>
      </w:pPr>
      <w:r w:rsidRPr="00390AA7">
        <w:t xml:space="preserve">Ministry of Health. </w:t>
      </w:r>
      <w:r w:rsidR="00B064C2" w:rsidRPr="00390AA7">
        <w:t xml:space="preserve">2022. </w:t>
      </w:r>
      <w:r w:rsidR="00B064C2" w:rsidRPr="00390AA7">
        <w:rPr>
          <w:i/>
          <w:iCs/>
        </w:rPr>
        <w:t>Methodology Report 2021/22: New Zealand Health Survey</w:t>
      </w:r>
      <w:r w:rsidR="00B064C2" w:rsidRPr="00390AA7">
        <w:t xml:space="preserve">. Wellington: Ministry of Health. URL: </w:t>
      </w:r>
      <w:hyperlink r:id="rId43" w:history="1">
        <w:r w:rsidR="00456DAB" w:rsidRPr="00456DAB">
          <w:rPr>
            <w:rStyle w:val="Hyperlink"/>
          </w:rPr>
          <w:t>www.health.govt.nz/publication/methodology-report-2021-22-new-zealand-health-survey</w:t>
        </w:r>
      </w:hyperlink>
      <w:r w:rsidR="00456DAB" w:rsidRPr="00456DAB">
        <w:t xml:space="preserve"> </w:t>
      </w:r>
      <w:r w:rsidR="004D6E9F" w:rsidRPr="00390AA7">
        <w:t>(accessed 9 November 2023).</w:t>
      </w:r>
    </w:p>
    <w:p w14:paraId="4D66ACA2" w14:textId="3405FB71" w:rsidR="004366B7" w:rsidRPr="006650CB" w:rsidRDefault="004366B7" w:rsidP="00CA1A7A">
      <w:pPr>
        <w:pStyle w:val="References"/>
      </w:pPr>
      <w:r w:rsidRPr="0069536C">
        <w:t>Ministry of Health. 202</w:t>
      </w:r>
      <w:r w:rsidR="00942D91" w:rsidRPr="006650CB">
        <w:t>3</w:t>
      </w:r>
      <w:r w:rsidRPr="006650CB">
        <w:t xml:space="preserve">a. </w:t>
      </w:r>
      <w:r w:rsidRPr="006650CB">
        <w:rPr>
          <w:i/>
        </w:rPr>
        <w:t>Annual Data Explorer 202</w:t>
      </w:r>
      <w:r w:rsidR="00AB68C5" w:rsidRPr="006650CB">
        <w:rPr>
          <w:i/>
        </w:rPr>
        <w:t>2</w:t>
      </w:r>
      <w:r w:rsidRPr="006650CB">
        <w:rPr>
          <w:i/>
        </w:rPr>
        <w:t>/2</w:t>
      </w:r>
      <w:r w:rsidR="00AB68C5" w:rsidRPr="006650CB">
        <w:rPr>
          <w:i/>
        </w:rPr>
        <w:t>3</w:t>
      </w:r>
      <w:r w:rsidRPr="006650CB">
        <w:rPr>
          <w:i/>
        </w:rPr>
        <w:t>: New Zealand Health Survey</w:t>
      </w:r>
      <w:r w:rsidRPr="006650CB">
        <w:t xml:space="preserve">. </w:t>
      </w:r>
      <w:r w:rsidR="00E572CD" w:rsidRPr="006650CB">
        <w:t xml:space="preserve">Wellington: Ministry of Health. </w:t>
      </w:r>
      <w:r w:rsidRPr="006650CB">
        <w:t>URL</w:t>
      </w:r>
      <w:bookmarkStart w:id="588" w:name="_Hlk54101306"/>
      <w:r w:rsidRPr="006650CB">
        <w:t xml:space="preserve">: </w:t>
      </w:r>
      <w:hyperlink r:id="rId44" w:history="1">
        <w:r w:rsidR="009F5E49" w:rsidRPr="006650CB">
          <w:rPr>
            <w:rStyle w:val="Hyperlink"/>
          </w:rPr>
          <w:t>www.health.govt.nz/publication/annual-update-key-results-2022-23-new-zealand-health-survey</w:t>
        </w:r>
      </w:hyperlink>
      <w:r w:rsidRPr="006650CB">
        <w:t xml:space="preserve"> </w:t>
      </w:r>
      <w:bookmarkStart w:id="589" w:name="_Hlk54964419"/>
      <w:r w:rsidRPr="006650CB">
        <w:t xml:space="preserve">(accessed </w:t>
      </w:r>
      <w:r w:rsidR="00845A05" w:rsidRPr="006650CB">
        <w:t>26</w:t>
      </w:r>
      <w:r w:rsidRPr="006650CB">
        <w:t xml:space="preserve"> October 202</w:t>
      </w:r>
      <w:r w:rsidR="00845A05" w:rsidRPr="006650CB">
        <w:t>3</w:t>
      </w:r>
      <w:r w:rsidRPr="006650CB">
        <w:t>).</w:t>
      </w:r>
      <w:bookmarkEnd w:id="588"/>
      <w:bookmarkEnd w:id="589"/>
    </w:p>
    <w:p w14:paraId="76F995CB" w14:textId="3EA3C279" w:rsidR="004366B7" w:rsidRPr="00390AA7" w:rsidRDefault="004366B7" w:rsidP="004366B7">
      <w:pPr>
        <w:pStyle w:val="References"/>
      </w:pPr>
      <w:r w:rsidRPr="006650CB">
        <w:t>Ministry of Health. 202</w:t>
      </w:r>
      <w:r w:rsidR="00D44895" w:rsidRPr="006650CB">
        <w:t>3</w:t>
      </w:r>
      <w:r w:rsidRPr="006650CB">
        <w:t xml:space="preserve">b. </w:t>
      </w:r>
      <w:r w:rsidRPr="006650CB">
        <w:rPr>
          <w:i/>
        </w:rPr>
        <w:t xml:space="preserve">Content Guide </w:t>
      </w:r>
      <w:r w:rsidRPr="006650CB">
        <w:rPr>
          <w:rFonts w:cs="Arial Mäori"/>
          <w:i/>
          <w:color w:val="000000"/>
          <w:szCs w:val="22"/>
          <w:lang w:eastAsia="en-NZ"/>
        </w:rPr>
        <w:t>202</w:t>
      </w:r>
      <w:r w:rsidR="00AB68C5" w:rsidRPr="006650CB">
        <w:rPr>
          <w:rFonts w:cs="Arial Mäori"/>
          <w:i/>
          <w:color w:val="000000"/>
          <w:szCs w:val="22"/>
          <w:lang w:eastAsia="en-NZ"/>
        </w:rPr>
        <w:t>2</w:t>
      </w:r>
      <w:r w:rsidRPr="006650CB">
        <w:rPr>
          <w:rFonts w:cs="Arial Mäori"/>
          <w:i/>
          <w:color w:val="000000"/>
          <w:szCs w:val="22"/>
          <w:lang w:eastAsia="en-NZ"/>
        </w:rPr>
        <w:t>/2</w:t>
      </w:r>
      <w:r w:rsidR="00AB68C5" w:rsidRPr="006650CB">
        <w:rPr>
          <w:rFonts w:cs="Arial Mäori"/>
          <w:i/>
          <w:color w:val="000000"/>
          <w:szCs w:val="22"/>
          <w:lang w:eastAsia="en-NZ"/>
        </w:rPr>
        <w:t>3</w:t>
      </w:r>
      <w:r w:rsidRPr="006650CB">
        <w:rPr>
          <w:rFonts w:cs="Arial Mäori"/>
          <w:i/>
          <w:color w:val="000000"/>
          <w:szCs w:val="22"/>
          <w:lang w:eastAsia="en-NZ"/>
        </w:rPr>
        <w:t>:</w:t>
      </w:r>
      <w:r w:rsidRPr="006650CB">
        <w:rPr>
          <w:i/>
        </w:rPr>
        <w:t xml:space="preserve"> New Zealand Health Survey</w:t>
      </w:r>
      <w:r w:rsidRPr="006650CB">
        <w:rPr>
          <w:iCs/>
        </w:rPr>
        <w:t xml:space="preserve">. </w:t>
      </w:r>
      <w:r w:rsidR="00E572CD" w:rsidRPr="006650CB">
        <w:rPr>
          <w:iCs/>
        </w:rPr>
        <w:t xml:space="preserve">Wellington: Ministry of Health. </w:t>
      </w:r>
      <w:r w:rsidRPr="006650CB">
        <w:rPr>
          <w:iCs/>
        </w:rPr>
        <w:t xml:space="preserve">URL: </w:t>
      </w:r>
      <w:hyperlink r:id="rId45" w:history="1">
        <w:r w:rsidR="00AB68C5" w:rsidRPr="006650CB">
          <w:rPr>
            <w:rStyle w:val="Hyperlink"/>
            <w:bCs/>
            <w:iCs/>
          </w:rPr>
          <w:t>www.health.govt.nz/publication/content-guide-2022-23-new-zealand-health-survey</w:t>
        </w:r>
      </w:hyperlink>
      <w:r w:rsidRPr="006650CB">
        <w:t xml:space="preserve"> (accessed </w:t>
      </w:r>
      <w:r w:rsidR="00845A05" w:rsidRPr="006650CB">
        <w:t>26</w:t>
      </w:r>
      <w:r w:rsidRPr="006650CB">
        <w:t xml:space="preserve"> October 202</w:t>
      </w:r>
      <w:r w:rsidR="00845A05" w:rsidRPr="006650CB">
        <w:t>3</w:t>
      </w:r>
      <w:r w:rsidRPr="006650CB">
        <w:t>).</w:t>
      </w:r>
    </w:p>
    <w:p w14:paraId="5FF48FDE" w14:textId="532A523C" w:rsidR="004366B7" w:rsidRPr="00390AA7" w:rsidRDefault="007A3409" w:rsidP="004366B7">
      <w:pPr>
        <w:pStyle w:val="References"/>
      </w:pPr>
      <w:r w:rsidRPr="00390AA7">
        <w:t>Stats NZ</w:t>
      </w:r>
      <w:r w:rsidR="004366B7" w:rsidRPr="00390AA7">
        <w:t xml:space="preserve">. 1998. </w:t>
      </w:r>
      <w:r w:rsidR="004366B7" w:rsidRPr="00390AA7">
        <w:rPr>
          <w:i/>
        </w:rPr>
        <w:t>Protocols for Official Statistics</w:t>
      </w:r>
      <w:r w:rsidR="004366B7" w:rsidRPr="00390AA7">
        <w:rPr>
          <w:iCs/>
        </w:rPr>
        <w:t>.</w:t>
      </w:r>
      <w:r w:rsidR="004366B7" w:rsidRPr="00390AA7">
        <w:t xml:space="preserve"> Wellington: </w:t>
      </w:r>
      <w:r w:rsidRPr="00390AA7">
        <w:t>Stats NZ</w:t>
      </w:r>
      <w:r w:rsidR="004366B7" w:rsidRPr="00390AA7">
        <w:t>.</w:t>
      </w:r>
    </w:p>
    <w:p w14:paraId="4440330E" w14:textId="47E47577" w:rsidR="004366B7" w:rsidRPr="00390AA7" w:rsidRDefault="007A3409" w:rsidP="004366B7">
      <w:pPr>
        <w:pStyle w:val="References"/>
        <w:rPr>
          <w:i/>
          <w:iCs/>
        </w:rPr>
      </w:pPr>
      <w:r w:rsidRPr="00390AA7">
        <w:t>Stats NZ</w:t>
      </w:r>
      <w:r w:rsidR="004366B7" w:rsidRPr="00390AA7">
        <w:t xml:space="preserve">. 2005. </w:t>
      </w:r>
      <w:r w:rsidR="004366B7" w:rsidRPr="00390AA7">
        <w:rPr>
          <w:i/>
          <w:iCs/>
        </w:rPr>
        <w:t>Ethnicity New Zealand Standard Classification 2005</w:t>
      </w:r>
      <w:r w:rsidR="004366B7" w:rsidRPr="00390AA7">
        <w:t xml:space="preserve">. Wellington: </w:t>
      </w:r>
      <w:r w:rsidRPr="00390AA7">
        <w:t>Stats NZ</w:t>
      </w:r>
      <w:r w:rsidR="004366B7" w:rsidRPr="00390AA7">
        <w:t>.</w:t>
      </w:r>
    </w:p>
    <w:p w14:paraId="6DF38024" w14:textId="6EFF1C0F" w:rsidR="004366B7" w:rsidRPr="00390AA7" w:rsidRDefault="007A3409" w:rsidP="004366B7">
      <w:pPr>
        <w:pStyle w:val="References"/>
      </w:pPr>
      <w:r w:rsidRPr="00390AA7">
        <w:t>Stats NZ</w:t>
      </w:r>
      <w:r w:rsidR="004366B7" w:rsidRPr="00390AA7">
        <w:t xml:space="preserve">. 2007. </w:t>
      </w:r>
      <w:r w:rsidR="004366B7" w:rsidRPr="00390AA7">
        <w:rPr>
          <w:i/>
        </w:rPr>
        <w:t xml:space="preserve">Principles and Protocols for Producers of Tier 1 Statistics. </w:t>
      </w:r>
      <w:r w:rsidR="004366B7" w:rsidRPr="00390AA7">
        <w:t xml:space="preserve">Wellington: </w:t>
      </w:r>
      <w:r w:rsidRPr="00390AA7">
        <w:t>Stats NZ</w:t>
      </w:r>
      <w:r w:rsidR="004366B7" w:rsidRPr="00390AA7">
        <w:t xml:space="preserve">. URL: </w:t>
      </w:r>
      <w:hyperlink r:id="rId46" w:anchor="gsc.tab=0" w:history="1">
        <w:r w:rsidR="004366B7" w:rsidRPr="00390AA7">
          <w:rPr>
            <w:rStyle w:val="Hyperlink"/>
          </w:rPr>
          <w:t>http://archive.stats.govt.nz/about_us/who-we-are/home-statisphere/tier-1/principles-protocols.aspx#gsc.tab=0</w:t>
        </w:r>
      </w:hyperlink>
      <w:r w:rsidR="004366B7" w:rsidRPr="00390AA7">
        <w:t xml:space="preserve"> (accessed 27 October 2020).</w:t>
      </w:r>
    </w:p>
    <w:p w14:paraId="3187E009" w14:textId="4E93C3E2" w:rsidR="004366B7" w:rsidRPr="00390AA7" w:rsidRDefault="004366B7" w:rsidP="004366B7">
      <w:pPr>
        <w:pStyle w:val="References"/>
      </w:pPr>
      <w:r w:rsidRPr="00390AA7">
        <w:t>Stats NZ. 202</w:t>
      </w:r>
      <w:r w:rsidR="003A3DC4" w:rsidRPr="00390AA7">
        <w:t>3</w:t>
      </w:r>
      <w:r w:rsidRPr="00390AA7">
        <w:t>. Estimated resident population by age and sex (1991+) (</w:t>
      </w:r>
      <w:r w:rsidR="001614BF">
        <w:t>Qrtly</w:t>
      </w:r>
      <w:r w:rsidR="008536EB">
        <w:t xml:space="preserve"> Mar/Jun/Sep/Dec</w:t>
      </w:r>
      <w:r w:rsidRPr="00390AA7">
        <w:t>)</w:t>
      </w:r>
      <w:r w:rsidR="008536EB">
        <w:t xml:space="preserve"> </w:t>
      </w:r>
      <w:r w:rsidRPr="00390AA7">
        <w:t>– Infoshare table reference DPE05</w:t>
      </w:r>
      <w:r w:rsidR="0009679A">
        <w:t>4</w:t>
      </w:r>
      <w:r w:rsidRPr="00390AA7">
        <w:t>AA</w:t>
      </w:r>
      <w:r w:rsidRPr="00390AA7">
        <w:rPr>
          <w:i/>
          <w:iCs/>
        </w:rPr>
        <w:t xml:space="preserve">. </w:t>
      </w:r>
      <w:r w:rsidRPr="00390AA7">
        <w:t xml:space="preserve">URL: </w:t>
      </w:r>
      <w:r w:rsidRPr="00390AA7">
        <w:rPr>
          <w:rStyle w:val="Hyperlink"/>
          <w:bCs/>
        </w:rPr>
        <w:t>http://infoshare.stats.govt.nz</w:t>
      </w:r>
      <w:r w:rsidRPr="00390AA7">
        <w:t xml:space="preserve"> (accessed </w:t>
      </w:r>
      <w:r w:rsidR="003A3DC4" w:rsidRPr="00390AA7">
        <w:t>18 July 2023</w:t>
      </w:r>
      <w:r w:rsidRPr="00390AA7">
        <w:t>).</w:t>
      </w:r>
    </w:p>
    <w:p w14:paraId="28235804" w14:textId="65E69A09" w:rsidR="009A42D5" w:rsidRDefault="004366B7" w:rsidP="00940407">
      <w:pPr>
        <w:pStyle w:val="References"/>
      </w:pPr>
      <w:r w:rsidRPr="00390AA7">
        <w:t xml:space="preserve">Woodruff RS. 1952. Confidence intervals for medians and other position measures. </w:t>
      </w:r>
      <w:r w:rsidRPr="00390AA7">
        <w:rPr>
          <w:i/>
        </w:rPr>
        <w:t xml:space="preserve">Journal of the American Statistical Association </w:t>
      </w:r>
      <w:r w:rsidRPr="00390AA7">
        <w:t>47: 635–46.</w:t>
      </w:r>
      <w:bookmarkEnd w:id="581"/>
    </w:p>
    <w:p w14:paraId="52677101" w14:textId="77777777" w:rsidR="00AE5308" w:rsidRDefault="00AE5308" w:rsidP="00940407">
      <w:pPr>
        <w:pStyle w:val="References"/>
      </w:pPr>
    </w:p>
    <w:p w14:paraId="3D80B4EB" w14:textId="03002AD9" w:rsidR="009A42D5" w:rsidRDefault="009A42D5" w:rsidP="00940407">
      <w:pPr>
        <w:pStyle w:val="References"/>
      </w:pPr>
    </w:p>
    <w:sectPr w:rsidR="009A42D5" w:rsidSect="004366B7">
      <w:pgSz w:w="11907" w:h="16840"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7A97" w14:textId="77777777" w:rsidR="003475D2" w:rsidRDefault="003475D2">
      <w:r>
        <w:separator/>
      </w:r>
    </w:p>
    <w:p w14:paraId="62C3B89D" w14:textId="77777777" w:rsidR="003475D2" w:rsidRDefault="003475D2"/>
  </w:endnote>
  <w:endnote w:type="continuationSeparator" w:id="0">
    <w:p w14:paraId="30C6D3EF" w14:textId="77777777" w:rsidR="003475D2" w:rsidRDefault="003475D2">
      <w:r>
        <w:continuationSeparator/>
      </w:r>
    </w:p>
    <w:p w14:paraId="56BD54BC" w14:textId="77777777" w:rsidR="003475D2" w:rsidRDefault="003475D2"/>
  </w:endnote>
  <w:endnote w:type="continuationNotice" w:id="1">
    <w:p w14:paraId="1EE122DF" w14:textId="77777777" w:rsidR="003475D2" w:rsidRDefault="00347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Mäori">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lbany AMT">
    <w:altName w:val="Arial"/>
    <w:charset w:val="00"/>
    <w:family w:val="swiss"/>
    <w:pitch w:val="variable"/>
    <w:sig w:usb0="00002A87" w:usb1="C0000000" w:usb2="00000008"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8357" w14:textId="2AB9C209" w:rsidR="003475D2" w:rsidRPr="00581136" w:rsidRDefault="003475D2" w:rsidP="005A79E5">
    <w:pPr>
      <w:pStyle w:val="Footer"/>
      <w:pBdr>
        <w:bottom w:val="single" w:sz="4" w:space="1" w:color="auto"/>
      </w:pBdr>
      <w:tabs>
        <w:tab w:val="right" w:pos="9639"/>
      </w:tabs>
      <w:rPr>
        <w:b/>
      </w:rPr>
    </w:pPr>
    <w:r w:rsidRPr="00581136">
      <w:rPr>
        <w:b/>
      </w:rPr>
      <w:t>Released 20</w:t>
    </w:r>
    <w:r>
      <w:rPr>
        <w:b/>
      </w:rPr>
      <w:t>23</w:t>
    </w:r>
    <w:r w:rsidRPr="00581136">
      <w:rPr>
        <w:b/>
      </w:rPr>
      <w:tab/>
      <w:t>health.govt.nz</w:t>
    </w:r>
  </w:p>
  <w:p w14:paraId="524869F6" w14:textId="77777777" w:rsidR="003475D2" w:rsidRPr="005A79E5" w:rsidRDefault="003475D2">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DA70" w14:textId="77777777" w:rsidR="003475D2" w:rsidRDefault="003475D2"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0E96" w14:textId="77777777" w:rsidR="003475D2" w:rsidRDefault="003475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Ind w:w="-709" w:type="dxa"/>
      <w:tblLayout w:type="fixed"/>
      <w:tblCellMar>
        <w:left w:w="0" w:type="dxa"/>
        <w:right w:w="0" w:type="dxa"/>
      </w:tblCellMar>
      <w:tblLook w:val="04A0" w:firstRow="1" w:lastRow="0" w:firstColumn="1" w:lastColumn="0" w:noHBand="0" w:noVBand="1"/>
    </w:tblPr>
    <w:tblGrid>
      <w:gridCol w:w="709"/>
      <w:gridCol w:w="8080"/>
    </w:tblGrid>
    <w:tr w:rsidR="003475D2" w14:paraId="4C3A3BF7" w14:textId="77777777" w:rsidTr="00D662F8">
      <w:trPr>
        <w:cantSplit/>
      </w:trPr>
      <w:tc>
        <w:tcPr>
          <w:tcW w:w="709" w:type="dxa"/>
          <w:vAlign w:val="center"/>
        </w:tcPr>
        <w:p w14:paraId="28F87ED7" w14:textId="77777777" w:rsidR="003475D2" w:rsidRPr="00B2502A" w:rsidRDefault="003475D2" w:rsidP="0043478F">
          <w:pPr>
            <w:pStyle w:val="Footer"/>
            <w:rPr>
              <w:rStyle w:val="PageNumber"/>
              <w:bCs/>
            </w:rPr>
          </w:pPr>
          <w:r w:rsidRPr="00B2502A">
            <w:rPr>
              <w:rStyle w:val="PageNumber"/>
              <w:bCs/>
            </w:rPr>
            <w:fldChar w:fldCharType="begin"/>
          </w:r>
          <w:r w:rsidRPr="00B2502A">
            <w:rPr>
              <w:rStyle w:val="PageNumber"/>
              <w:bCs/>
            </w:rPr>
            <w:instrText xml:space="preserve"> PAGE   \* MERGEFORMAT </w:instrText>
          </w:r>
          <w:r w:rsidRPr="00B2502A">
            <w:rPr>
              <w:rStyle w:val="PageNumber"/>
              <w:bCs/>
            </w:rPr>
            <w:fldChar w:fldCharType="separate"/>
          </w:r>
          <w:r w:rsidRPr="00B2502A">
            <w:rPr>
              <w:rStyle w:val="PageNumber"/>
              <w:bCs/>
              <w:noProof/>
            </w:rPr>
            <w:t>vi</w:t>
          </w:r>
          <w:r w:rsidRPr="00B2502A">
            <w:rPr>
              <w:rStyle w:val="PageNumber"/>
              <w:bCs/>
            </w:rPr>
            <w:fldChar w:fldCharType="end"/>
          </w:r>
        </w:p>
      </w:tc>
      <w:tc>
        <w:tcPr>
          <w:tcW w:w="8080" w:type="dxa"/>
          <w:vAlign w:val="center"/>
        </w:tcPr>
        <w:p w14:paraId="6026D159" w14:textId="7AE6932A" w:rsidR="003475D2" w:rsidRDefault="003475D2" w:rsidP="00926083">
          <w:pPr>
            <w:pStyle w:val="RectoFooter"/>
            <w:jc w:val="left"/>
          </w:pPr>
          <w:r w:rsidRPr="00B2502A">
            <w:rPr>
              <w:bCs/>
            </w:rPr>
            <w:t>METHODOLOGY REPORT 202</w:t>
          </w:r>
          <w:r>
            <w:rPr>
              <w:bCs/>
            </w:rPr>
            <w:t>2</w:t>
          </w:r>
          <w:r w:rsidRPr="00B2502A">
            <w:rPr>
              <w:bCs/>
            </w:rPr>
            <w:t>/2</w:t>
          </w:r>
          <w:r>
            <w:rPr>
              <w:bCs/>
            </w:rPr>
            <w:t>3</w:t>
          </w:r>
          <w:r w:rsidRPr="00B2502A">
            <w:rPr>
              <w:bCs/>
            </w:rPr>
            <w:t>: NEW ZEALAND HEALTH SURVEY</w:t>
          </w:r>
        </w:p>
      </w:tc>
    </w:tr>
  </w:tbl>
  <w:p w14:paraId="711B5D80" w14:textId="77777777" w:rsidR="003475D2" w:rsidRPr="00571223" w:rsidRDefault="003475D2"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8080"/>
      <w:gridCol w:w="709"/>
    </w:tblGrid>
    <w:tr w:rsidR="003475D2" w:rsidRPr="00B2502A" w14:paraId="58AAB149" w14:textId="77777777" w:rsidTr="00D662F8">
      <w:trPr>
        <w:cantSplit/>
      </w:trPr>
      <w:tc>
        <w:tcPr>
          <w:tcW w:w="8080" w:type="dxa"/>
          <w:vAlign w:val="center"/>
        </w:tcPr>
        <w:p w14:paraId="20E2F0CC" w14:textId="33ADEC22" w:rsidR="003475D2" w:rsidRPr="00B2502A" w:rsidRDefault="003475D2" w:rsidP="00926083">
          <w:pPr>
            <w:pStyle w:val="RectoFooter"/>
            <w:rPr>
              <w:bCs/>
            </w:rPr>
          </w:pPr>
          <w:r w:rsidRPr="00B2502A">
            <w:rPr>
              <w:bCs/>
            </w:rPr>
            <w:t>METHODOLOGY REPORT 202</w:t>
          </w:r>
          <w:r>
            <w:rPr>
              <w:bCs/>
            </w:rPr>
            <w:t>2</w:t>
          </w:r>
          <w:r w:rsidRPr="00B2502A">
            <w:rPr>
              <w:bCs/>
            </w:rPr>
            <w:t>/2</w:t>
          </w:r>
          <w:r>
            <w:rPr>
              <w:bCs/>
            </w:rPr>
            <w:t>3</w:t>
          </w:r>
          <w:r w:rsidRPr="00B2502A">
            <w:rPr>
              <w:bCs/>
            </w:rPr>
            <w:t>: NEW ZEALAND HEALTH SURVEY</w:t>
          </w:r>
        </w:p>
      </w:tc>
      <w:tc>
        <w:tcPr>
          <w:tcW w:w="709" w:type="dxa"/>
          <w:vAlign w:val="center"/>
        </w:tcPr>
        <w:p w14:paraId="3D3C9847" w14:textId="77777777" w:rsidR="003475D2" w:rsidRPr="00B2502A" w:rsidRDefault="003475D2" w:rsidP="00931466">
          <w:pPr>
            <w:pStyle w:val="Footer"/>
            <w:jc w:val="right"/>
            <w:rPr>
              <w:rStyle w:val="PageNumber"/>
            </w:rPr>
          </w:pPr>
          <w:r w:rsidRPr="00B2502A">
            <w:rPr>
              <w:rStyle w:val="PageNumber"/>
            </w:rPr>
            <w:fldChar w:fldCharType="begin"/>
          </w:r>
          <w:r w:rsidRPr="00B2502A">
            <w:rPr>
              <w:rStyle w:val="PageNumber"/>
            </w:rPr>
            <w:instrText xml:space="preserve"> PAGE   \* MERGEFORMAT </w:instrText>
          </w:r>
          <w:r w:rsidRPr="00B2502A">
            <w:rPr>
              <w:rStyle w:val="PageNumber"/>
            </w:rPr>
            <w:fldChar w:fldCharType="separate"/>
          </w:r>
          <w:r w:rsidRPr="00B2502A">
            <w:rPr>
              <w:rStyle w:val="PageNumber"/>
              <w:noProof/>
            </w:rPr>
            <w:t>v</w:t>
          </w:r>
          <w:r w:rsidRPr="00B2502A">
            <w:rPr>
              <w:rStyle w:val="PageNumber"/>
            </w:rPr>
            <w:fldChar w:fldCharType="end"/>
          </w:r>
        </w:p>
      </w:tc>
    </w:tr>
  </w:tbl>
  <w:p w14:paraId="27602107" w14:textId="77777777" w:rsidR="003475D2" w:rsidRPr="00581EB8" w:rsidRDefault="003475D2"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9072"/>
    </w:tblGrid>
    <w:tr w:rsidR="003475D2" w14:paraId="7E34FA6B" w14:textId="77777777" w:rsidTr="00D662F8">
      <w:trPr>
        <w:cantSplit/>
      </w:trPr>
      <w:tc>
        <w:tcPr>
          <w:tcW w:w="675" w:type="dxa"/>
          <w:vAlign w:val="center"/>
        </w:tcPr>
        <w:p w14:paraId="6281C317" w14:textId="77777777" w:rsidR="003475D2" w:rsidRPr="00FC2C7B" w:rsidRDefault="003475D2" w:rsidP="0043478F">
          <w:pPr>
            <w:pStyle w:val="Footer"/>
            <w:rPr>
              <w:rStyle w:val="PageNumber"/>
              <w:bCs/>
            </w:rPr>
          </w:pPr>
          <w:r w:rsidRPr="00FC2C7B">
            <w:rPr>
              <w:rStyle w:val="PageNumber"/>
              <w:bCs/>
            </w:rPr>
            <w:fldChar w:fldCharType="begin"/>
          </w:r>
          <w:r w:rsidRPr="00FC2C7B">
            <w:rPr>
              <w:rStyle w:val="PageNumber"/>
              <w:bCs/>
            </w:rPr>
            <w:instrText xml:space="preserve"> PAGE   \* MERGEFORMAT </w:instrText>
          </w:r>
          <w:r w:rsidRPr="00FC2C7B">
            <w:rPr>
              <w:rStyle w:val="PageNumber"/>
              <w:bCs/>
            </w:rPr>
            <w:fldChar w:fldCharType="separate"/>
          </w:r>
          <w:r w:rsidRPr="00FC2C7B">
            <w:rPr>
              <w:rStyle w:val="PageNumber"/>
              <w:bCs/>
              <w:noProof/>
            </w:rPr>
            <w:t>2</w:t>
          </w:r>
          <w:r w:rsidRPr="00FC2C7B">
            <w:rPr>
              <w:rStyle w:val="PageNumber"/>
              <w:bCs/>
            </w:rPr>
            <w:fldChar w:fldCharType="end"/>
          </w:r>
        </w:p>
      </w:tc>
      <w:tc>
        <w:tcPr>
          <w:tcW w:w="9072" w:type="dxa"/>
          <w:vAlign w:val="center"/>
        </w:tcPr>
        <w:p w14:paraId="27262A64" w14:textId="7AA678BB" w:rsidR="003475D2" w:rsidRPr="00367D4D" w:rsidRDefault="003475D2" w:rsidP="000D58DD">
          <w:pPr>
            <w:pStyle w:val="RectoFooter"/>
            <w:jc w:val="left"/>
            <w:rPr>
              <w:bCs/>
            </w:rPr>
          </w:pPr>
          <w:r w:rsidRPr="00367D4D">
            <w:rPr>
              <w:bCs/>
            </w:rPr>
            <w:t>METHODOLOGY REPORT 202</w:t>
          </w:r>
          <w:r>
            <w:rPr>
              <w:bCs/>
            </w:rPr>
            <w:t>2</w:t>
          </w:r>
          <w:r w:rsidRPr="00367D4D">
            <w:rPr>
              <w:bCs/>
            </w:rPr>
            <w:t>/2</w:t>
          </w:r>
          <w:r>
            <w:rPr>
              <w:bCs/>
            </w:rPr>
            <w:t>3</w:t>
          </w:r>
          <w:r w:rsidRPr="00367D4D">
            <w:rPr>
              <w:bCs/>
            </w:rPr>
            <w:t>: NEW ZEALAND HEALTH SURVEY</w:t>
          </w:r>
        </w:p>
      </w:tc>
    </w:tr>
  </w:tbl>
  <w:p w14:paraId="5177CEA2" w14:textId="77777777" w:rsidR="003475D2" w:rsidRPr="00571223" w:rsidRDefault="003475D2"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8080"/>
      <w:gridCol w:w="709"/>
    </w:tblGrid>
    <w:tr w:rsidR="003475D2" w14:paraId="47337729" w14:textId="77777777" w:rsidTr="00D662F8">
      <w:trPr>
        <w:cantSplit/>
      </w:trPr>
      <w:tc>
        <w:tcPr>
          <w:tcW w:w="8080" w:type="dxa"/>
          <w:vAlign w:val="center"/>
        </w:tcPr>
        <w:p w14:paraId="1A33CBD1" w14:textId="7B7795BF" w:rsidR="003475D2" w:rsidRPr="00367D4D" w:rsidRDefault="003475D2" w:rsidP="00931466">
          <w:pPr>
            <w:pStyle w:val="RectoFooter"/>
            <w:rPr>
              <w:bCs/>
            </w:rPr>
          </w:pPr>
          <w:r w:rsidRPr="00367D4D">
            <w:rPr>
              <w:bCs/>
            </w:rPr>
            <w:t>METHODOLOGY REPORT 202</w:t>
          </w:r>
          <w:r>
            <w:rPr>
              <w:bCs/>
            </w:rPr>
            <w:t>2</w:t>
          </w:r>
          <w:r w:rsidRPr="00367D4D">
            <w:rPr>
              <w:bCs/>
            </w:rPr>
            <w:t>/2</w:t>
          </w:r>
          <w:r>
            <w:rPr>
              <w:bCs/>
            </w:rPr>
            <w:t>3</w:t>
          </w:r>
          <w:r w:rsidRPr="00367D4D">
            <w:rPr>
              <w:bCs/>
            </w:rPr>
            <w:t>: NEW ZEALAND HEALTH SURVEY</w:t>
          </w:r>
        </w:p>
      </w:tc>
      <w:tc>
        <w:tcPr>
          <w:tcW w:w="709" w:type="dxa"/>
          <w:vAlign w:val="center"/>
        </w:tcPr>
        <w:p w14:paraId="501EC334" w14:textId="77777777" w:rsidR="003475D2" w:rsidRPr="00FC2C7B" w:rsidRDefault="003475D2" w:rsidP="00931466">
          <w:pPr>
            <w:pStyle w:val="Footer"/>
            <w:jc w:val="right"/>
            <w:rPr>
              <w:rStyle w:val="PageNumber"/>
              <w:bCs/>
            </w:rPr>
          </w:pPr>
          <w:r w:rsidRPr="00FC2C7B">
            <w:rPr>
              <w:rStyle w:val="PageNumber"/>
              <w:bCs/>
            </w:rPr>
            <w:fldChar w:fldCharType="begin"/>
          </w:r>
          <w:r w:rsidRPr="00FC2C7B">
            <w:rPr>
              <w:rStyle w:val="PageNumber"/>
              <w:bCs/>
            </w:rPr>
            <w:instrText xml:space="preserve"> PAGE   \* MERGEFORMAT </w:instrText>
          </w:r>
          <w:r w:rsidRPr="00FC2C7B">
            <w:rPr>
              <w:rStyle w:val="PageNumber"/>
              <w:bCs/>
            </w:rPr>
            <w:fldChar w:fldCharType="separate"/>
          </w:r>
          <w:r w:rsidRPr="00FC2C7B">
            <w:rPr>
              <w:rStyle w:val="PageNumber"/>
              <w:bCs/>
              <w:noProof/>
            </w:rPr>
            <w:t>1</w:t>
          </w:r>
          <w:r w:rsidRPr="00FC2C7B">
            <w:rPr>
              <w:rStyle w:val="PageNumber"/>
              <w:bCs/>
            </w:rPr>
            <w:fldChar w:fldCharType="end"/>
          </w:r>
        </w:p>
      </w:tc>
    </w:tr>
  </w:tbl>
  <w:p w14:paraId="1C6F2E7F" w14:textId="77777777" w:rsidR="003475D2" w:rsidRPr="00581EB8" w:rsidRDefault="003475D2"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DEDA" w14:textId="77777777" w:rsidR="003475D2" w:rsidRPr="00A26E6B" w:rsidRDefault="003475D2" w:rsidP="00A26E6B"/>
  </w:footnote>
  <w:footnote w:type="continuationSeparator" w:id="0">
    <w:p w14:paraId="07B1658D" w14:textId="77777777" w:rsidR="003475D2" w:rsidRDefault="003475D2">
      <w:r>
        <w:continuationSeparator/>
      </w:r>
    </w:p>
    <w:p w14:paraId="3B9180FA" w14:textId="77777777" w:rsidR="003475D2" w:rsidRDefault="003475D2"/>
  </w:footnote>
  <w:footnote w:type="continuationNotice" w:id="1">
    <w:p w14:paraId="27049E4F" w14:textId="77777777" w:rsidR="003475D2" w:rsidRDefault="003475D2"/>
  </w:footnote>
  <w:footnote w:id="2">
    <w:p w14:paraId="5B51F2DB" w14:textId="77777777" w:rsidR="003475D2" w:rsidRDefault="003475D2" w:rsidP="004366B7">
      <w:pPr>
        <w:pStyle w:val="FootnoteText"/>
      </w:pPr>
      <w:r w:rsidRPr="003C0080">
        <w:rPr>
          <w:rStyle w:val="FootnoteReference"/>
        </w:rPr>
        <w:footnoteRef/>
      </w:r>
      <w:r>
        <w:tab/>
        <w:t xml:space="preserve">See the New Zealand Health Survey webpage on the Ministry of Health website at: </w:t>
      </w:r>
      <w:r w:rsidRPr="00FE3F3C">
        <w:rPr>
          <w:rStyle w:val="Hyperlink"/>
        </w:rPr>
        <w:t>www.health.govt.nz/nz-health-statistics/national-collections-and-surveys/surveys/current-recent-surveys/new-zealand-health-survey</w:t>
      </w:r>
    </w:p>
  </w:footnote>
  <w:footnote w:id="3">
    <w:p w14:paraId="71FFCD83" w14:textId="24A7CDFC" w:rsidR="003475D2" w:rsidRDefault="003475D2">
      <w:pPr>
        <w:pStyle w:val="FootnoteText"/>
      </w:pPr>
      <w:r>
        <w:rPr>
          <w:rStyle w:val="FootnoteReference"/>
        </w:rPr>
        <w:footnoteRef/>
      </w:r>
      <w:r>
        <w:t xml:space="preserve"> </w:t>
      </w:r>
      <w:r w:rsidRPr="00FD29D5">
        <w:t xml:space="preserve">Available from the webpage Survey: Analysis of Complex Survey Samples on The Comprehensive R Archive Network website at URL: </w:t>
      </w:r>
      <w:hyperlink r:id="rId1" w:history="1">
        <w:r w:rsidRPr="0070309F">
          <w:rPr>
            <w:rStyle w:val="Hyperlink"/>
          </w:rPr>
          <w:t>https://cran.r-project.org/web/packages/survey/index.html</w:t>
        </w:r>
      </w:hyperlink>
      <w:r w:rsidRPr="00FD29D5">
        <w:t xml:space="preserve"> (accessed 9 November 2023).</w:t>
      </w:r>
    </w:p>
  </w:footnote>
  <w:footnote w:id="4">
    <w:p w14:paraId="4712EB34" w14:textId="1F178FB2" w:rsidR="003475D2" w:rsidRDefault="003475D2" w:rsidP="00DD1720">
      <w:pPr>
        <w:pStyle w:val="FootnoteText"/>
      </w:pPr>
      <w:r w:rsidRPr="006650CB">
        <w:rPr>
          <w:rStyle w:val="FootnoteReference"/>
        </w:rPr>
        <w:footnoteRef/>
      </w:r>
      <w:r w:rsidRPr="006650CB">
        <w:t xml:space="preserve"> </w:t>
      </w:r>
      <w:r w:rsidRPr="00CF2783">
        <w:t>The functional difficulties module questions used for children in the 2018/19, 2019/20 and 2020/21 surveys (WG-SS) did not work well to identify disabled children. In 2022/23, a different set of module questions (CFM) was used. This set of questions is better at identifying disabled children, and these questions are likely to become core questions.</w:t>
      </w:r>
    </w:p>
  </w:footnote>
  <w:footnote w:id="5">
    <w:p w14:paraId="13C0FC50" w14:textId="3EBB2697" w:rsidR="003475D2" w:rsidRPr="007017E2" w:rsidRDefault="003475D2">
      <w:pPr>
        <w:pStyle w:val="FootnoteText"/>
        <w:rPr>
          <w:lang w:val="mi-NZ"/>
        </w:rPr>
      </w:pPr>
      <w:r>
        <w:rPr>
          <w:rStyle w:val="FootnoteReference"/>
        </w:rPr>
        <w:footnoteRef/>
      </w:r>
      <w:r>
        <w:t xml:space="preserve"> See the corrections to the 2021/22 New Zealand Health Survey data webpage on the Ministry of Health website at</w:t>
      </w:r>
      <w:r w:rsidRPr="003D70A0">
        <w:t xml:space="preserve"> </w:t>
      </w:r>
      <w:hyperlink r:id="rId2" w:history="1">
        <w:r w:rsidRPr="005A6EDB">
          <w:rPr>
            <w:rStyle w:val="Hyperlink"/>
          </w:rPr>
          <w:t>www.health.govt.nz/nz-health-statistics/surveys/corrections-made-2021-22-new-zealand-health-survey-data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4A0" w:firstRow="1" w:lastRow="0" w:firstColumn="1" w:lastColumn="0" w:noHBand="0" w:noVBand="1"/>
    </w:tblPr>
    <w:tblGrid>
      <w:gridCol w:w="5210"/>
      <w:gridCol w:w="4429"/>
    </w:tblGrid>
    <w:tr w:rsidR="003475D2" w14:paraId="11530A0D" w14:textId="77777777" w:rsidTr="008F2B72">
      <w:trPr>
        <w:cantSplit/>
      </w:trPr>
      <w:tc>
        <w:tcPr>
          <w:tcW w:w="5210" w:type="dxa"/>
          <w:vAlign w:val="center"/>
        </w:tcPr>
        <w:p w14:paraId="2BDE3162" w14:textId="4E67EED4" w:rsidR="003475D2" w:rsidRDefault="003475D2" w:rsidP="00B26F0F">
          <w:pPr>
            <w:pStyle w:val="Header"/>
          </w:pPr>
          <w:bookmarkStart w:id="0" w:name="_Hlk110933925"/>
          <w:r>
            <w:rPr>
              <w:noProof/>
              <w:color w:val="2B579A"/>
              <w:shd w:val="clear" w:color="auto" w:fill="E6E6E6"/>
              <w:lang w:eastAsia="en-NZ"/>
            </w:rPr>
            <w:drawing>
              <wp:inline distT="0" distB="0" distL="0" distR="0" wp14:anchorId="04421456" wp14:editId="6C3C2C6F">
                <wp:extent cx="2294626" cy="542925"/>
                <wp:effectExtent l="0" t="0" r="0" b="0"/>
                <wp:docPr id="1"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Zealand Government logo"/>
                        <pic:cNvPicPr/>
                      </pic:nvPicPr>
                      <pic:blipFill rotWithShape="1">
                        <a:blip r:embed="rId1"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06193D58" w14:textId="31929113" w:rsidR="003475D2" w:rsidRDefault="003475D2" w:rsidP="004366B7">
          <w:pPr>
            <w:pStyle w:val="Header"/>
            <w:jc w:val="right"/>
          </w:pPr>
          <w:r>
            <w:rPr>
              <w:noProof/>
              <w:color w:val="2B579A"/>
              <w:shd w:val="clear" w:color="auto" w:fill="E6E6E6"/>
            </w:rPr>
            <w:drawing>
              <wp:anchor distT="0" distB="0" distL="114300" distR="114300" simplePos="0" relativeHeight="251658240" behindDoc="0" locked="0" layoutInCell="1" allowOverlap="1" wp14:anchorId="1D75C094" wp14:editId="061290E4">
                <wp:simplePos x="0" y="0"/>
                <wp:positionH relativeFrom="column">
                  <wp:posOffset>1362710</wp:posOffset>
                </wp:positionH>
                <wp:positionV relativeFrom="paragraph">
                  <wp:posOffset>-1905</wp:posOffset>
                </wp:positionV>
                <wp:extent cx="1519555" cy="718185"/>
                <wp:effectExtent l="0" t="0" r="4445" b="5715"/>
                <wp:wrapNone/>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955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4AC8EC99" w14:textId="1B35D83E" w:rsidR="003475D2" w:rsidRDefault="00347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2E4F" w14:textId="77777777" w:rsidR="003475D2" w:rsidRDefault="003475D2"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17B0" w14:textId="77777777" w:rsidR="003475D2" w:rsidRDefault="003475D2"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EC00" w14:textId="77777777" w:rsidR="003475D2" w:rsidRDefault="003475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EAC"/>
    <w:multiLevelType w:val="hybridMultilevel"/>
    <w:tmpl w:val="EA72B3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D817C7"/>
    <w:multiLevelType w:val="multilevel"/>
    <w:tmpl w:val="E6501FA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suff w:val="nothing"/>
      <w:lvlText w:val="%3"/>
      <w:lvlJc w:val="left"/>
      <w:pPr>
        <w:ind w:left="0"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4F1029"/>
    <w:multiLevelType w:val="hybridMultilevel"/>
    <w:tmpl w:val="6FD47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4" w15:restartNumberingAfterBreak="0">
    <w:nsid w:val="052041F9"/>
    <w:multiLevelType w:val="hybridMultilevel"/>
    <w:tmpl w:val="ABAC7CB8"/>
    <w:lvl w:ilvl="0" w:tplc="614058B0">
      <w:start w:val="1"/>
      <w:numFmt w:val="decimal"/>
      <w:lvlText w:val="%1."/>
      <w:lvlJc w:val="left"/>
      <w:pPr>
        <w:ind w:left="840" w:hanging="360"/>
      </w:pPr>
      <w:rPr>
        <w:rFonts w:hint="default"/>
      </w:rPr>
    </w:lvl>
    <w:lvl w:ilvl="1" w:tplc="14090019">
      <w:start w:val="1"/>
      <w:numFmt w:val="lowerLetter"/>
      <w:lvlText w:val="%2."/>
      <w:lvlJc w:val="left"/>
      <w:pPr>
        <w:ind w:left="1560" w:hanging="360"/>
      </w:pPr>
    </w:lvl>
    <w:lvl w:ilvl="2" w:tplc="1409001B">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5" w15:restartNumberingAfterBreak="0">
    <w:nsid w:val="07BA0EC1"/>
    <w:multiLevelType w:val="hybridMultilevel"/>
    <w:tmpl w:val="0FDE2E92"/>
    <w:lvl w:ilvl="0" w:tplc="9B36D55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F487000"/>
    <w:multiLevelType w:val="hybridMultilevel"/>
    <w:tmpl w:val="D150873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7" w15:restartNumberingAfterBreak="0">
    <w:nsid w:val="11023BAD"/>
    <w:multiLevelType w:val="hybridMultilevel"/>
    <w:tmpl w:val="4830DBB8"/>
    <w:lvl w:ilvl="0" w:tplc="AEE29EB8">
      <w:start w:val="1"/>
      <w:numFmt w:val="bullet"/>
      <w:lvlText w:val="•"/>
      <w:lvlJc w:val="left"/>
      <w:pPr>
        <w:ind w:left="246" w:hanging="134"/>
      </w:pPr>
      <w:rPr>
        <w:rFonts w:ascii="Arial Unicode MS" w:eastAsia="Arial Unicode MS" w:hAnsi="Arial Unicode MS" w:hint="default"/>
        <w:w w:val="107"/>
        <w:sz w:val="21"/>
        <w:szCs w:val="21"/>
      </w:rPr>
    </w:lvl>
    <w:lvl w:ilvl="1" w:tplc="A89C032A">
      <w:start w:val="1"/>
      <w:numFmt w:val="bullet"/>
      <w:lvlText w:val="•"/>
      <w:lvlJc w:val="left"/>
      <w:pPr>
        <w:ind w:left="464" w:hanging="134"/>
      </w:pPr>
      <w:rPr>
        <w:rFonts w:hint="default"/>
      </w:rPr>
    </w:lvl>
    <w:lvl w:ilvl="2" w:tplc="AFB65F98">
      <w:start w:val="1"/>
      <w:numFmt w:val="bullet"/>
      <w:lvlText w:val="•"/>
      <w:lvlJc w:val="left"/>
      <w:pPr>
        <w:ind w:left="682" w:hanging="134"/>
      </w:pPr>
      <w:rPr>
        <w:rFonts w:hint="default"/>
      </w:rPr>
    </w:lvl>
    <w:lvl w:ilvl="3" w:tplc="A148FA04">
      <w:start w:val="1"/>
      <w:numFmt w:val="bullet"/>
      <w:lvlText w:val="•"/>
      <w:lvlJc w:val="left"/>
      <w:pPr>
        <w:ind w:left="900" w:hanging="134"/>
      </w:pPr>
      <w:rPr>
        <w:rFonts w:hint="default"/>
      </w:rPr>
    </w:lvl>
    <w:lvl w:ilvl="4" w:tplc="F490CA92">
      <w:start w:val="1"/>
      <w:numFmt w:val="bullet"/>
      <w:lvlText w:val="•"/>
      <w:lvlJc w:val="left"/>
      <w:pPr>
        <w:ind w:left="1118" w:hanging="134"/>
      </w:pPr>
      <w:rPr>
        <w:rFonts w:hint="default"/>
      </w:rPr>
    </w:lvl>
    <w:lvl w:ilvl="5" w:tplc="B9903E90">
      <w:start w:val="1"/>
      <w:numFmt w:val="bullet"/>
      <w:lvlText w:val="•"/>
      <w:lvlJc w:val="left"/>
      <w:pPr>
        <w:ind w:left="1336" w:hanging="134"/>
      </w:pPr>
      <w:rPr>
        <w:rFonts w:hint="default"/>
      </w:rPr>
    </w:lvl>
    <w:lvl w:ilvl="6" w:tplc="811ED8BC">
      <w:start w:val="1"/>
      <w:numFmt w:val="bullet"/>
      <w:lvlText w:val="•"/>
      <w:lvlJc w:val="left"/>
      <w:pPr>
        <w:ind w:left="1554" w:hanging="134"/>
      </w:pPr>
      <w:rPr>
        <w:rFonts w:hint="default"/>
      </w:rPr>
    </w:lvl>
    <w:lvl w:ilvl="7" w:tplc="20BC151E">
      <w:start w:val="1"/>
      <w:numFmt w:val="bullet"/>
      <w:lvlText w:val="•"/>
      <w:lvlJc w:val="left"/>
      <w:pPr>
        <w:ind w:left="1771" w:hanging="134"/>
      </w:pPr>
      <w:rPr>
        <w:rFonts w:hint="default"/>
      </w:rPr>
    </w:lvl>
    <w:lvl w:ilvl="8" w:tplc="80AA897C">
      <w:start w:val="1"/>
      <w:numFmt w:val="bullet"/>
      <w:lvlText w:val="•"/>
      <w:lvlJc w:val="left"/>
      <w:pPr>
        <w:ind w:left="1989" w:hanging="134"/>
      </w:pPr>
      <w:rPr>
        <w:rFonts w:hint="default"/>
      </w:rPr>
    </w:lvl>
  </w:abstractNum>
  <w:abstractNum w:abstractNumId="8" w15:restartNumberingAfterBreak="0">
    <w:nsid w:val="18E28EA7"/>
    <w:multiLevelType w:val="hybridMultilevel"/>
    <w:tmpl w:val="A2983330"/>
    <w:lvl w:ilvl="0" w:tplc="FEDCD532">
      <w:start w:val="1"/>
      <w:numFmt w:val="bullet"/>
      <w:lvlText w:val="·"/>
      <w:lvlJc w:val="left"/>
      <w:pPr>
        <w:ind w:left="720" w:hanging="360"/>
      </w:pPr>
      <w:rPr>
        <w:rFonts w:ascii="Symbol" w:hAnsi="Symbol" w:hint="default"/>
      </w:rPr>
    </w:lvl>
    <w:lvl w:ilvl="1" w:tplc="8452BBA0">
      <w:start w:val="1"/>
      <w:numFmt w:val="bullet"/>
      <w:lvlText w:val="o"/>
      <w:lvlJc w:val="left"/>
      <w:pPr>
        <w:ind w:left="1440" w:hanging="360"/>
      </w:pPr>
      <w:rPr>
        <w:rFonts w:ascii="Courier New" w:hAnsi="Courier New" w:hint="default"/>
      </w:rPr>
    </w:lvl>
    <w:lvl w:ilvl="2" w:tplc="7D4098D4">
      <w:start w:val="1"/>
      <w:numFmt w:val="bullet"/>
      <w:lvlText w:val=""/>
      <w:lvlJc w:val="left"/>
      <w:pPr>
        <w:ind w:left="2160" w:hanging="360"/>
      </w:pPr>
      <w:rPr>
        <w:rFonts w:ascii="Wingdings" w:hAnsi="Wingdings" w:hint="default"/>
      </w:rPr>
    </w:lvl>
    <w:lvl w:ilvl="3" w:tplc="8332AC58">
      <w:start w:val="1"/>
      <w:numFmt w:val="bullet"/>
      <w:lvlText w:val=""/>
      <w:lvlJc w:val="left"/>
      <w:pPr>
        <w:ind w:left="2880" w:hanging="360"/>
      </w:pPr>
      <w:rPr>
        <w:rFonts w:ascii="Symbol" w:hAnsi="Symbol" w:hint="default"/>
      </w:rPr>
    </w:lvl>
    <w:lvl w:ilvl="4" w:tplc="19D8D11A">
      <w:start w:val="1"/>
      <w:numFmt w:val="bullet"/>
      <w:lvlText w:val="o"/>
      <w:lvlJc w:val="left"/>
      <w:pPr>
        <w:ind w:left="3600" w:hanging="360"/>
      </w:pPr>
      <w:rPr>
        <w:rFonts w:ascii="Courier New" w:hAnsi="Courier New" w:hint="default"/>
      </w:rPr>
    </w:lvl>
    <w:lvl w:ilvl="5" w:tplc="6F92ADF2">
      <w:start w:val="1"/>
      <w:numFmt w:val="bullet"/>
      <w:lvlText w:val=""/>
      <w:lvlJc w:val="left"/>
      <w:pPr>
        <w:ind w:left="4320" w:hanging="360"/>
      </w:pPr>
      <w:rPr>
        <w:rFonts w:ascii="Wingdings" w:hAnsi="Wingdings" w:hint="default"/>
      </w:rPr>
    </w:lvl>
    <w:lvl w:ilvl="6" w:tplc="D09CACF4">
      <w:start w:val="1"/>
      <w:numFmt w:val="bullet"/>
      <w:lvlText w:val=""/>
      <w:lvlJc w:val="left"/>
      <w:pPr>
        <w:ind w:left="5040" w:hanging="360"/>
      </w:pPr>
      <w:rPr>
        <w:rFonts w:ascii="Symbol" w:hAnsi="Symbol" w:hint="default"/>
      </w:rPr>
    </w:lvl>
    <w:lvl w:ilvl="7" w:tplc="B552C298">
      <w:start w:val="1"/>
      <w:numFmt w:val="bullet"/>
      <w:lvlText w:val="o"/>
      <w:lvlJc w:val="left"/>
      <w:pPr>
        <w:ind w:left="5760" w:hanging="360"/>
      </w:pPr>
      <w:rPr>
        <w:rFonts w:ascii="Courier New" w:hAnsi="Courier New" w:hint="default"/>
      </w:rPr>
    </w:lvl>
    <w:lvl w:ilvl="8" w:tplc="C3DC681E">
      <w:start w:val="1"/>
      <w:numFmt w:val="bullet"/>
      <w:lvlText w:val=""/>
      <w:lvlJc w:val="left"/>
      <w:pPr>
        <w:ind w:left="6480" w:hanging="360"/>
      </w:pPr>
      <w:rPr>
        <w:rFonts w:ascii="Wingdings" w:hAnsi="Wingdings" w:hint="default"/>
      </w:rPr>
    </w:lvl>
  </w:abstractNum>
  <w:abstractNum w:abstractNumId="9" w15:restartNumberingAfterBreak="0">
    <w:nsid w:val="1915754A"/>
    <w:multiLevelType w:val="hybridMultilevel"/>
    <w:tmpl w:val="BE16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A6C6694"/>
    <w:multiLevelType w:val="hybridMultilevel"/>
    <w:tmpl w:val="27DA59F2"/>
    <w:lvl w:ilvl="0" w:tplc="F6EEA218">
      <w:start w:val="1"/>
      <w:numFmt w:val="bullet"/>
      <w:lvlText w:val="•"/>
      <w:lvlJc w:val="left"/>
      <w:pPr>
        <w:ind w:left="559" w:hanging="134"/>
      </w:pPr>
      <w:rPr>
        <w:rFonts w:ascii="Lucida Sans Unicode" w:eastAsia="Lucida Sans Unicode" w:hAnsi="Lucida Sans Unicode" w:hint="default"/>
        <w:w w:val="59"/>
        <w:sz w:val="21"/>
        <w:szCs w:val="21"/>
      </w:rPr>
    </w:lvl>
    <w:lvl w:ilvl="1" w:tplc="002E3EAE">
      <w:start w:val="1"/>
      <w:numFmt w:val="bullet"/>
      <w:lvlText w:val="•"/>
      <w:lvlJc w:val="left"/>
      <w:pPr>
        <w:ind w:left="808" w:hanging="134"/>
      </w:pPr>
      <w:rPr>
        <w:rFonts w:hint="default"/>
      </w:rPr>
    </w:lvl>
    <w:lvl w:ilvl="2" w:tplc="2D64B7B0">
      <w:start w:val="1"/>
      <w:numFmt w:val="bullet"/>
      <w:lvlText w:val="•"/>
      <w:lvlJc w:val="left"/>
      <w:pPr>
        <w:ind w:left="1057" w:hanging="134"/>
      </w:pPr>
      <w:rPr>
        <w:rFonts w:hint="default"/>
      </w:rPr>
    </w:lvl>
    <w:lvl w:ilvl="3" w:tplc="82F22056">
      <w:start w:val="1"/>
      <w:numFmt w:val="bullet"/>
      <w:lvlText w:val="•"/>
      <w:lvlJc w:val="left"/>
      <w:pPr>
        <w:ind w:left="1306" w:hanging="134"/>
      </w:pPr>
      <w:rPr>
        <w:rFonts w:hint="default"/>
      </w:rPr>
    </w:lvl>
    <w:lvl w:ilvl="4" w:tplc="D920647A">
      <w:start w:val="1"/>
      <w:numFmt w:val="bullet"/>
      <w:lvlText w:val="•"/>
      <w:lvlJc w:val="left"/>
      <w:pPr>
        <w:ind w:left="1556" w:hanging="134"/>
      </w:pPr>
      <w:rPr>
        <w:rFonts w:hint="default"/>
      </w:rPr>
    </w:lvl>
    <w:lvl w:ilvl="5" w:tplc="24E6088C">
      <w:start w:val="1"/>
      <w:numFmt w:val="bullet"/>
      <w:lvlText w:val="•"/>
      <w:lvlJc w:val="left"/>
      <w:pPr>
        <w:ind w:left="1805" w:hanging="134"/>
      </w:pPr>
      <w:rPr>
        <w:rFonts w:hint="default"/>
      </w:rPr>
    </w:lvl>
    <w:lvl w:ilvl="6" w:tplc="273217BC">
      <w:start w:val="1"/>
      <w:numFmt w:val="bullet"/>
      <w:lvlText w:val="•"/>
      <w:lvlJc w:val="left"/>
      <w:pPr>
        <w:ind w:left="2054" w:hanging="134"/>
      </w:pPr>
      <w:rPr>
        <w:rFonts w:hint="default"/>
      </w:rPr>
    </w:lvl>
    <w:lvl w:ilvl="7" w:tplc="FCFE4A4A">
      <w:start w:val="1"/>
      <w:numFmt w:val="bullet"/>
      <w:lvlText w:val="•"/>
      <w:lvlJc w:val="left"/>
      <w:pPr>
        <w:ind w:left="2303" w:hanging="134"/>
      </w:pPr>
      <w:rPr>
        <w:rFonts w:hint="default"/>
      </w:rPr>
    </w:lvl>
    <w:lvl w:ilvl="8" w:tplc="47085256">
      <w:start w:val="1"/>
      <w:numFmt w:val="bullet"/>
      <w:lvlText w:val="•"/>
      <w:lvlJc w:val="left"/>
      <w:pPr>
        <w:ind w:left="2552" w:hanging="134"/>
      </w:pPr>
      <w:rPr>
        <w:rFonts w:hint="default"/>
      </w:rPr>
    </w:lvl>
  </w:abstractNum>
  <w:abstractNum w:abstractNumId="11" w15:restartNumberingAfterBreak="0">
    <w:nsid w:val="1A87FC72"/>
    <w:multiLevelType w:val="hybridMultilevel"/>
    <w:tmpl w:val="0B60DA32"/>
    <w:lvl w:ilvl="0" w:tplc="32F42878">
      <w:start w:val="1"/>
      <w:numFmt w:val="bullet"/>
      <w:lvlText w:val="·"/>
      <w:lvlJc w:val="left"/>
      <w:pPr>
        <w:ind w:left="720" w:hanging="360"/>
      </w:pPr>
      <w:rPr>
        <w:rFonts w:ascii="Symbol" w:hAnsi="Symbol" w:hint="default"/>
      </w:rPr>
    </w:lvl>
    <w:lvl w:ilvl="1" w:tplc="DF3EE306">
      <w:start w:val="1"/>
      <w:numFmt w:val="bullet"/>
      <w:lvlText w:val="o"/>
      <w:lvlJc w:val="left"/>
      <w:pPr>
        <w:ind w:left="1440" w:hanging="360"/>
      </w:pPr>
      <w:rPr>
        <w:rFonts w:ascii="Courier New" w:hAnsi="Courier New" w:hint="default"/>
      </w:rPr>
    </w:lvl>
    <w:lvl w:ilvl="2" w:tplc="DCCAE0BE">
      <w:start w:val="1"/>
      <w:numFmt w:val="bullet"/>
      <w:lvlText w:val=""/>
      <w:lvlJc w:val="left"/>
      <w:pPr>
        <w:ind w:left="2160" w:hanging="360"/>
      </w:pPr>
      <w:rPr>
        <w:rFonts w:ascii="Wingdings" w:hAnsi="Wingdings" w:hint="default"/>
      </w:rPr>
    </w:lvl>
    <w:lvl w:ilvl="3" w:tplc="6EAAF5AE">
      <w:start w:val="1"/>
      <w:numFmt w:val="bullet"/>
      <w:lvlText w:val=""/>
      <w:lvlJc w:val="left"/>
      <w:pPr>
        <w:ind w:left="2880" w:hanging="360"/>
      </w:pPr>
      <w:rPr>
        <w:rFonts w:ascii="Symbol" w:hAnsi="Symbol" w:hint="default"/>
      </w:rPr>
    </w:lvl>
    <w:lvl w:ilvl="4" w:tplc="D9D2013C">
      <w:start w:val="1"/>
      <w:numFmt w:val="bullet"/>
      <w:lvlText w:val="o"/>
      <w:lvlJc w:val="left"/>
      <w:pPr>
        <w:ind w:left="3600" w:hanging="360"/>
      </w:pPr>
      <w:rPr>
        <w:rFonts w:ascii="Courier New" w:hAnsi="Courier New" w:hint="default"/>
      </w:rPr>
    </w:lvl>
    <w:lvl w:ilvl="5" w:tplc="ABAA2944">
      <w:start w:val="1"/>
      <w:numFmt w:val="bullet"/>
      <w:lvlText w:val=""/>
      <w:lvlJc w:val="left"/>
      <w:pPr>
        <w:ind w:left="4320" w:hanging="360"/>
      </w:pPr>
      <w:rPr>
        <w:rFonts w:ascii="Wingdings" w:hAnsi="Wingdings" w:hint="default"/>
      </w:rPr>
    </w:lvl>
    <w:lvl w:ilvl="6" w:tplc="644AC86A">
      <w:start w:val="1"/>
      <w:numFmt w:val="bullet"/>
      <w:lvlText w:val=""/>
      <w:lvlJc w:val="left"/>
      <w:pPr>
        <w:ind w:left="5040" w:hanging="360"/>
      </w:pPr>
      <w:rPr>
        <w:rFonts w:ascii="Symbol" w:hAnsi="Symbol" w:hint="default"/>
      </w:rPr>
    </w:lvl>
    <w:lvl w:ilvl="7" w:tplc="13946966">
      <w:start w:val="1"/>
      <w:numFmt w:val="bullet"/>
      <w:lvlText w:val="o"/>
      <w:lvlJc w:val="left"/>
      <w:pPr>
        <w:ind w:left="5760" w:hanging="360"/>
      </w:pPr>
      <w:rPr>
        <w:rFonts w:ascii="Courier New" w:hAnsi="Courier New" w:hint="default"/>
      </w:rPr>
    </w:lvl>
    <w:lvl w:ilvl="8" w:tplc="02920E74">
      <w:start w:val="1"/>
      <w:numFmt w:val="bullet"/>
      <w:lvlText w:val=""/>
      <w:lvlJc w:val="left"/>
      <w:pPr>
        <w:ind w:left="6480" w:hanging="360"/>
      </w:pPr>
      <w:rPr>
        <w:rFonts w:ascii="Wingdings" w:hAnsi="Wingdings" w:hint="default"/>
      </w:rPr>
    </w:lvl>
  </w:abstractNum>
  <w:abstractNum w:abstractNumId="12" w15:restartNumberingAfterBreak="0">
    <w:nsid w:val="1AD22446"/>
    <w:multiLevelType w:val="hybridMultilevel"/>
    <w:tmpl w:val="82B03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AF01391"/>
    <w:multiLevelType w:val="multilevel"/>
    <w:tmpl w:val="AF409524"/>
    <w:lvl w:ilvl="0">
      <w:start w:val="1"/>
      <w:numFmt w:val="decimal"/>
      <w:lvlText w:val="%1."/>
      <w:lvlJc w:val="left"/>
      <w:pPr>
        <w:ind w:left="567" w:hanging="567"/>
      </w:pPr>
      <w:rPr>
        <w:rFonts w:hint="default"/>
      </w:rPr>
    </w:lvl>
    <w:lvl w:ilvl="1">
      <w:start w:val="1"/>
      <w:numFmt w:val="lowerLetter"/>
      <w:lvlText w:val="(%2)"/>
      <w:lvlJc w:val="left"/>
      <w:pPr>
        <w:ind w:left="1275"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F65D06"/>
    <w:multiLevelType w:val="hybridMultilevel"/>
    <w:tmpl w:val="0C0C934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1E2C3CC1"/>
    <w:multiLevelType w:val="hybridMultilevel"/>
    <w:tmpl w:val="EEF8345E"/>
    <w:lvl w:ilvl="0" w:tplc="5B960B98">
      <w:start w:val="1"/>
      <w:numFmt w:val="bullet"/>
      <w:lvlText w:val="•"/>
      <w:lvlJc w:val="left"/>
      <w:pPr>
        <w:ind w:left="1984" w:hanging="284"/>
      </w:pPr>
      <w:rPr>
        <w:rFonts w:ascii="Lucida Sans Unicode" w:eastAsia="Lucida Sans Unicode" w:hAnsi="Lucida Sans Unicode" w:hint="default"/>
        <w:w w:val="59"/>
        <w:sz w:val="21"/>
        <w:szCs w:val="21"/>
      </w:rPr>
    </w:lvl>
    <w:lvl w:ilvl="1" w:tplc="3A3EAE6C">
      <w:start w:val="1"/>
      <w:numFmt w:val="bullet"/>
      <w:lvlText w:val="•"/>
      <w:lvlJc w:val="left"/>
      <w:pPr>
        <w:ind w:left="2808" w:hanging="284"/>
      </w:pPr>
      <w:rPr>
        <w:rFonts w:hint="default"/>
      </w:rPr>
    </w:lvl>
    <w:lvl w:ilvl="2" w:tplc="0E4E143C">
      <w:start w:val="1"/>
      <w:numFmt w:val="bullet"/>
      <w:lvlText w:val="•"/>
      <w:lvlJc w:val="left"/>
      <w:pPr>
        <w:ind w:left="3632" w:hanging="284"/>
      </w:pPr>
      <w:rPr>
        <w:rFonts w:hint="default"/>
      </w:rPr>
    </w:lvl>
    <w:lvl w:ilvl="3" w:tplc="B79A0BDC">
      <w:start w:val="1"/>
      <w:numFmt w:val="bullet"/>
      <w:lvlText w:val="•"/>
      <w:lvlJc w:val="left"/>
      <w:pPr>
        <w:ind w:left="4456" w:hanging="284"/>
      </w:pPr>
      <w:rPr>
        <w:rFonts w:hint="default"/>
      </w:rPr>
    </w:lvl>
    <w:lvl w:ilvl="4" w:tplc="53B018D4">
      <w:start w:val="1"/>
      <w:numFmt w:val="bullet"/>
      <w:lvlText w:val="•"/>
      <w:lvlJc w:val="left"/>
      <w:pPr>
        <w:ind w:left="5280" w:hanging="284"/>
      </w:pPr>
      <w:rPr>
        <w:rFonts w:hint="default"/>
      </w:rPr>
    </w:lvl>
    <w:lvl w:ilvl="5" w:tplc="E0EC6604">
      <w:start w:val="1"/>
      <w:numFmt w:val="bullet"/>
      <w:lvlText w:val="•"/>
      <w:lvlJc w:val="left"/>
      <w:pPr>
        <w:ind w:left="6104" w:hanging="284"/>
      </w:pPr>
      <w:rPr>
        <w:rFonts w:hint="default"/>
      </w:rPr>
    </w:lvl>
    <w:lvl w:ilvl="6" w:tplc="400A10A6">
      <w:start w:val="1"/>
      <w:numFmt w:val="bullet"/>
      <w:lvlText w:val="•"/>
      <w:lvlJc w:val="left"/>
      <w:pPr>
        <w:ind w:left="6929" w:hanging="284"/>
      </w:pPr>
      <w:rPr>
        <w:rFonts w:hint="default"/>
      </w:rPr>
    </w:lvl>
    <w:lvl w:ilvl="7" w:tplc="153C0546">
      <w:start w:val="1"/>
      <w:numFmt w:val="bullet"/>
      <w:lvlText w:val="•"/>
      <w:lvlJc w:val="left"/>
      <w:pPr>
        <w:ind w:left="7753" w:hanging="284"/>
      </w:pPr>
      <w:rPr>
        <w:rFonts w:hint="default"/>
      </w:rPr>
    </w:lvl>
    <w:lvl w:ilvl="8" w:tplc="90B4C0C6">
      <w:start w:val="1"/>
      <w:numFmt w:val="bullet"/>
      <w:lvlText w:val="•"/>
      <w:lvlJc w:val="left"/>
      <w:pPr>
        <w:ind w:left="8577" w:hanging="284"/>
      </w:pPr>
      <w:rPr>
        <w:rFonts w:hint="default"/>
      </w:rPr>
    </w:lvl>
  </w:abstractNum>
  <w:abstractNum w:abstractNumId="16"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Letter"/>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B82D6F"/>
    <w:multiLevelType w:val="hybridMultilevel"/>
    <w:tmpl w:val="6C186060"/>
    <w:lvl w:ilvl="0" w:tplc="C15451FC">
      <w:start w:val="1"/>
      <w:numFmt w:val="bullet"/>
      <w:lvlText w:val="•"/>
      <w:lvlJc w:val="left"/>
      <w:pPr>
        <w:ind w:left="2267" w:hanging="284"/>
      </w:pPr>
      <w:rPr>
        <w:rFonts w:ascii="Lucida Sans Unicode" w:eastAsia="Lucida Sans Unicode" w:hAnsi="Lucida Sans Unicode" w:hint="default"/>
        <w:w w:val="59"/>
        <w:sz w:val="21"/>
        <w:szCs w:val="21"/>
      </w:rPr>
    </w:lvl>
    <w:lvl w:ilvl="1" w:tplc="C2804FC4">
      <w:start w:val="1"/>
      <w:numFmt w:val="bullet"/>
      <w:lvlText w:val="•"/>
      <w:lvlJc w:val="left"/>
      <w:pPr>
        <w:ind w:left="3231" w:hanging="284"/>
      </w:pPr>
      <w:rPr>
        <w:rFonts w:hint="default"/>
      </w:rPr>
    </w:lvl>
    <w:lvl w:ilvl="2" w:tplc="7B56FBF2">
      <w:start w:val="1"/>
      <w:numFmt w:val="bullet"/>
      <w:lvlText w:val="•"/>
      <w:lvlJc w:val="left"/>
      <w:pPr>
        <w:ind w:left="4195" w:hanging="284"/>
      </w:pPr>
      <w:rPr>
        <w:rFonts w:hint="default"/>
      </w:rPr>
    </w:lvl>
    <w:lvl w:ilvl="3" w:tplc="FF5C1366">
      <w:start w:val="1"/>
      <w:numFmt w:val="bullet"/>
      <w:lvlText w:val="•"/>
      <w:lvlJc w:val="left"/>
      <w:pPr>
        <w:ind w:left="5159" w:hanging="284"/>
      </w:pPr>
      <w:rPr>
        <w:rFonts w:hint="default"/>
      </w:rPr>
    </w:lvl>
    <w:lvl w:ilvl="4" w:tplc="B2CA8238">
      <w:start w:val="1"/>
      <w:numFmt w:val="bullet"/>
      <w:lvlText w:val="•"/>
      <w:lvlJc w:val="left"/>
      <w:pPr>
        <w:ind w:left="6122" w:hanging="284"/>
      </w:pPr>
      <w:rPr>
        <w:rFonts w:hint="default"/>
      </w:rPr>
    </w:lvl>
    <w:lvl w:ilvl="5" w:tplc="3378E1CC">
      <w:start w:val="1"/>
      <w:numFmt w:val="bullet"/>
      <w:lvlText w:val="•"/>
      <w:lvlJc w:val="left"/>
      <w:pPr>
        <w:ind w:left="7086" w:hanging="284"/>
      </w:pPr>
      <w:rPr>
        <w:rFonts w:hint="default"/>
      </w:rPr>
    </w:lvl>
    <w:lvl w:ilvl="6" w:tplc="DDFA6B44">
      <w:start w:val="1"/>
      <w:numFmt w:val="bullet"/>
      <w:lvlText w:val="•"/>
      <w:lvlJc w:val="left"/>
      <w:pPr>
        <w:ind w:left="8050" w:hanging="284"/>
      </w:pPr>
      <w:rPr>
        <w:rFonts w:hint="default"/>
      </w:rPr>
    </w:lvl>
    <w:lvl w:ilvl="7" w:tplc="7CA08396">
      <w:start w:val="1"/>
      <w:numFmt w:val="bullet"/>
      <w:lvlText w:val="•"/>
      <w:lvlJc w:val="left"/>
      <w:pPr>
        <w:ind w:left="9014" w:hanging="284"/>
      </w:pPr>
      <w:rPr>
        <w:rFonts w:hint="default"/>
      </w:rPr>
    </w:lvl>
    <w:lvl w:ilvl="8" w:tplc="A386EF5E">
      <w:start w:val="1"/>
      <w:numFmt w:val="bullet"/>
      <w:lvlText w:val="•"/>
      <w:lvlJc w:val="left"/>
      <w:pPr>
        <w:ind w:left="9977" w:hanging="284"/>
      </w:pPr>
      <w:rPr>
        <w:rFonts w:hint="default"/>
      </w:rPr>
    </w:lvl>
  </w:abstractNum>
  <w:abstractNum w:abstractNumId="18" w15:restartNumberingAfterBreak="0">
    <w:nsid w:val="28F57520"/>
    <w:multiLevelType w:val="singleLevel"/>
    <w:tmpl w:val="F3FE0FEA"/>
    <w:lvl w:ilvl="0">
      <w:start w:val="1"/>
      <w:numFmt w:val="bullet"/>
      <w:lvlText w:val="–"/>
      <w:lvlJc w:val="left"/>
      <w:pPr>
        <w:tabs>
          <w:tab w:val="num" w:pos="644"/>
        </w:tabs>
        <w:ind w:left="567" w:hanging="283"/>
      </w:pPr>
      <w:rPr>
        <w:rFonts w:ascii="Times New Roman" w:hAnsi="Times New Roman" w:hint="default"/>
        <w:sz w:val="20"/>
      </w:rPr>
    </w:lvl>
  </w:abstractNum>
  <w:abstractNum w:abstractNumId="19" w15:restartNumberingAfterBreak="0">
    <w:nsid w:val="2A37915E"/>
    <w:multiLevelType w:val="hybridMultilevel"/>
    <w:tmpl w:val="F558C2BE"/>
    <w:lvl w:ilvl="0" w:tplc="A26A26D8">
      <w:start w:val="1"/>
      <w:numFmt w:val="bullet"/>
      <w:lvlText w:val="·"/>
      <w:lvlJc w:val="left"/>
      <w:pPr>
        <w:ind w:left="720" w:hanging="360"/>
      </w:pPr>
      <w:rPr>
        <w:rFonts w:ascii="Symbol" w:hAnsi="Symbol" w:hint="default"/>
      </w:rPr>
    </w:lvl>
    <w:lvl w:ilvl="1" w:tplc="A49457A0">
      <w:start w:val="1"/>
      <w:numFmt w:val="bullet"/>
      <w:lvlText w:val="o"/>
      <w:lvlJc w:val="left"/>
      <w:pPr>
        <w:ind w:left="1440" w:hanging="360"/>
      </w:pPr>
      <w:rPr>
        <w:rFonts w:ascii="Courier New" w:hAnsi="Courier New" w:hint="default"/>
      </w:rPr>
    </w:lvl>
    <w:lvl w:ilvl="2" w:tplc="06A08E54">
      <w:start w:val="1"/>
      <w:numFmt w:val="bullet"/>
      <w:lvlText w:val=""/>
      <w:lvlJc w:val="left"/>
      <w:pPr>
        <w:ind w:left="2160" w:hanging="360"/>
      </w:pPr>
      <w:rPr>
        <w:rFonts w:ascii="Wingdings" w:hAnsi="Wingdings" w:hint="default"/>
      </w:rPr>
    </w:lvl>
    <w:lvl w:ilvl="3" w:tplc="9F18D8B8">
      <w:start w:val="1"/>
      <w:numFmt w:val="bullet"/>
      <w:lvlText w:val=""/>
      <w:lvlJc w:val="left"/>
      <w:pPr>
        <w:ind w:left="2880" w:hanging="360"/>
      </w:pPr>
      <w:rPr>
        <w:rFonts w:ascii="Symbol" w:hAnsi="Symbol" w:hint="default"/>
      </w:rPr>
    </w:lvl>
    <w:lvl w:ilvl="4" w:tplc="88243180">
      <w:start w:val="1"/>
      <w:numFmt w:val="bullet"/>
      <w:lvlText w:val="o"/>
      <w:lvlJc w:val="left"/>
      <w:pPr>
        <w:ind w:left="3600" w:hanging="360"/>
      </w:pPr>
      <w:rPr>
        <w:rFonts w:ascii="Courier New" w:hAnsi="Courier New" w:hint="default"/>
      </w:rPr>
    </w:lvl>
    <w:lvl w:ilvl="5" w:tplc="4108200E">
      <w:start w:val="1"/>
      <w:numFmt w:val="bullet"/>
      <w:lvlText w:val=""/>
      <w:lvlJc w:val="left"/>
      <w:pPr>
        <w:ind w:left="4320" w:hanging="360"/>
      </w:pPr>
      <w:rPr>
        <w:rFonts w:ascii="Wingdings" w:hAnsi="Wingdings" w:hint="default"/>
      </w:rPr>
    </w:lvl>
    <w:lvl w:ilvl="6" w:tplc="070E1BF8">
      <w:start w:val="1"/>
      <w:numFmt w:val="bullet"/>
      <w:lvlText w:val=""/>
      <w:lvlJc w:val="left"/>
      <w:pPr>
        <w:ind w:left="5040" w:hanging="360"/>
      </w:pPr>
      <w:rPr>
        <w:rFonts w:ascii="Symbol" w:hAnsi="Symbol" w:hint="default"/>
      </w:rPr>
    </w:lvl>
    <w:lvl w:ilvl="7" w:tplc="82FEC15C">
      <w:start w:val="1"/>
      <w:numFmt w:val="bullet"/>
      <w:lvlText w:val="o"/>
      <w:lvlJc w:val="left"/>
      <w:pPr>
        <w:ind w:left="5760" w:hanging="360"/>
      </w:pPr>
      <w:rPr>
        <w:rFonts w:ascii="Courier New" w:hAnsi="Courier New" w:hint="default"/>
      </w:rPr>
    </w:lvl>
    <w:lvl w:ilvl="8" w:tplc="A2C87CDE">
      <w:start w:val="1"/>
      <w:numFmt w:val="bullet"/>
      <w:lvlText w:val=""/>
      <w:lvlJc w:val="left"/>
      <w:pPr>
        <w:ind w:left="6480" w:hanging="360"/>
      </w:pPr>
      <w:rPr>
        <w:rFonts w:ascii="Wingdings" w:hAnsi="Wingdings" w:hint="default"/>
      </w:rPr>
    </w:lvl>
  </w:abstractNum>
  <w:abstractNum w:abstractNumId="20" w15:restartNumberingAfterBreak="0">
    <w:nsid w:val="2D94347D"/>
    <w:multiLevelType w:val="hybridMultilevel"/>
    <w:tmpl w:val="CDC0E688"/>
    <w:lvl w:ilvl="0" w:tplc="AAE49842">
      <w:start w:val="1"/>
      <w:numFmt w:val="bullet"/>
      <w:lvlText w:val="•"/>
      <w:lvlJc w:val="left"/>
      <w:pPr>
        <w:ind w:left="1984" w:hanging="284"/>
      </w:pPr>
      <w:rPr>
        <w:rFonts w:ascii="Lucida Sans Unicode" w:eastAsia="Lucida Sans Unicode" w:hAnsi="Lucida Sans Unicode" w:hint="default"/>
        <w:w w:val="59"/>
        <w:sz w:val="21"/>
        <w:szCs w:val="21"/>
      </w:rPr>
    </w:lvl>
    <w:lvl w:ilvl="1" w:tplc="A3103622">
      <w:start w:val="1"/>
      <w:numFmt w:val="bullet"/>
      <w:lvlText w:val="•"/>
      <w:lvlJc w:val="left"/>
      <w:pPr>
        <w:ind w:left="2808" w:hanging="284"/>
      </w:pPr>
      <w:rPr>
        <w:rFonts w:hint="default"/>
      </w:rPr>
    </w:lvl>
    <w:lvl w:ilvl="2" w:tplc="2CC6F326">
      <w:start w:val="1"/>
      <w:numFmt w:val="bullet"/>
      <w:lvlText w:val="•"/>
      <w:lvlJc w:val="left"/>
      <w:pPr>
        <w:ind w:left="3632" w:hanging="284"/>
      </w:pPr>
      <w:rPr>
        <w:rFonts w:hint="default"/>
      </w:rPr>
    </w:lvl>
    <w:lvl w:ilvl="3" w:tplc="C026F318">
      <w:start w:val="1"/>
      <w:numFmt w:val="bullet"/>
      <w:lvlText w:val="•"/>
      <w:lvlJc w:val="left"/>
      <w:pPr>
        <w:ind w:left="4456" w:hanging="284"/>
      </w:pPr>
      <w:rPr>
        <w:rFonts w:hint="default"/>
      </w:rPr>
    </w:lvl>
    <w:lvl w:ilvl="4" w:tplc="8E1C6BD0">
      <w:start w:val="1"/>
      <w:numFmt w:val="bullet"/>
      <w:lvlText w:val="•"/>
      <w:lvlJc w:val="left"/>
      <w:pPr>
        <w:ind w:left="5280" w:hanging="284"/>
      </w:pPr>
      <w:rPr>
        <w:rFonts w:hint="default"/>
      </w:rPr>
    </w:lvl>
    <w:lvl w:ilvl="5" w:tplc="96EA3796">
      <w:start w:val="1"/>
      <w:numFmt w:val="bullet"/>
      <w:lvlText w:val="•"/>
      <w:lvlJc w:val="left"/>
      <w:pPr>
        <w:ind w:left="6104" w:hanging="284"/>
      </w:pPr>
      <w:rPr>
        <w:rFonts w:hint="default"/>
      </w:rPr>
    </w:lvl>
    <w:lvl w:ilvl="6" w:tplc="DF52DE2A">
      <w:start w:val="1"/>
      <w:numFmt w:val="bullet"/>
      <w:lvlText w:val="•"/>
      <w:lvlJc w:val="left"/>
      <w:pPr>
        <w:ind w:left="6929" w:hanging="284"/>
      </w:pPr>
      <w:rPr>
        <w:rFonts w:hint="default"/>
      </w:rPr>
    </w:lvl>
    <w:lvl w:ilvl="7" w:tplc="7D3E5354">
      <w:start w:val="1"/>
      <w:numFmt w:val="bullet"/>
      <w:lvlText w:val="•"/>
      <w:lvlJc w:val="left"/>
      <w:pPr>
        <w:ind w:left="7753" w:hanging="284"/>
      </w:pPr>
      <w:rPr>
        <w:rFonts w:hint="default"/>
      </w:rPr>
    </w:lvl>
    <w:lvl w:ilvl="8" w:tplc="0FE8A7AA">
      <w:start w:val="1"/>
      <w:numFmt w:val="bullet"/>
      <w:lvlText w:val="•"/>
      <w:lvlJc w:val="left"/>
      <w:pPr>
        <w:ind w:left="8577" w:hanging="284"/>
      </w:pPr>
      <w:rPr>
        <w:rFonts w:hint="default"/>
      </w:rPr>
    </w:lvl>
  </w:abstractNum>
  <w:abstractNum w:abstractNumId="21" w15:restartNumberingAfterBreak="0">
    <w:nsid w:val="2FE054C4"/>
    <w:multiLevelType w:val="hybridMultilevel"/>
    <w:tmpl w:val="72C2FC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2FEFA08C"/>
    <w:multiLevelType w:val="hybridMultilevel"/>
    <w:tmpl w:val="5CAA5674"/>
    <w:lvl w:ilvl="0" w:tplc="F9165FBE">
      <w:start w:val="1"/>
      <w:numFmt w:val="bullet"/>
      <w:lvlText w:val="·"/>
      <w:lvlJc w:val="left"/>
      <w:pPr>
        <w:ind w:left="720" w:hanging="360"/>
      </w:pPr>
      <w:rPr>
        <w:rFonts w:ascii="Symbol" w:hAnsi="Symbol" w:hint="default"/>
      </w:rPr>
    </w:lvl>
    <w:lvl w:ilvl="1" w:tplc="543CD5B4">
      <w:start w:val="1"/>
      <w:numFmt w:val="bullet"/>
      <w:lvlText w:val="o"/>
      <w:lvlJc w:val="left"/>
      <w:pPr>
        <w:ind w:left="1440" w:hanging="360"/>
      </w:pPr>
      <w:rPr>
        <w:rFonts w:ascii="Courier New" w:hAnsi="Courier New" w:hint="default"/>
      </w:rPr>
    </w:lvl>
    <w:lvl w:ilvl="2" w:tplc="DCF42D26">
      <w:start w:val="1"/>
      <w:numFmt w:val="bullet"/>
      <w:lvlText w:val=""/>
      <w:lvlJc w:val="left"/>
      <w:pPr>
        <w:ind w:left="2160" w:hanging="360"/>
      </w:pPr>
      <w:rPr>
        <w:rFonts w:ascii="Wingdings" w:hAnsi="Wingdings" w:hint="default"/>
      </w:rPr>
    </w:lvl>
    <w:lvl w:ilvl="3" w:tplc="90F21070">
      <w:start w:val="1"/>
      <w:numFmt w:val="bullet"/>
      <w:lvlText w:val=""/>
      <w:lvlJc w:val="left"/>
      <w:pPr>
        <w:ind w:left="2880" w:hanging="360"/>
      </w:pPr>
      <w:rPr>
        <w:rFonts w:ascii="Symbol" w:hAnsi="Symbol" w:hint="default"/>
      </w:rPr>
    </w:lvl>
    <w:lvl w:ilvl="4" w:tplc="05002586">
      <w:start w:val="1"/>
      <w:numFmt w:val="bullet"/>
      <w:lvlText w:val="o"/>
      <w:lvlJc w:val="left"/>
      <w:pPr>
        <w:ind w:left="3600" w:hanging="360"/>
      </w:pPr>
      <w:rPr>
        <w:rFonts w:ascii="Courier New" w:hAnsi="Courier New" w:hint="default"/>
      </w:rPr>
    </w:lvl>
    <w:lvl w:ilvl="5" w:tplc="E1E6E5BE">
      <w:start w:val="1"/>
      <w:numFmt w:val="bullet"/>
      <w:lvlText w:val=""/>
      <w:lvlJc w:val="left"/>
      <w:pPr>
        <w:ind w:left="4320" w:hanging="360"/>
      </w:pPr>
      <w:rPr>
        <w:rFonts w:ascii="Wingdings" w:hAnsi="Wingdings" w:hint="default"/>
      </w:rPr>
    </w:lvl>
    <w:lvl w:ilvl="6" w:tplc="6A6AD000">
      <w:start w:val="1"/>
      <w:numFmt w:val="bullet"/>
      <w:lvlText w:val=""/>
      <w:lvlJc w:val="left"/>
      <w:pPr>
        <w:ind w:left="5040" w:hanging="360"/>
      </w:pPr>
      <w:rPr>
        <w:rFonts w:ascii="Symbol" w:hAnsi="Symbol" w:hint="default"/>
      </w:rPr>
    </w:lvl>
    <w:lvl w:ilvl="7" w:tplc="2B48F64E">
      <w:start w:val="1"/>
      <w:numFmt w:val="bullet"/>
      <w:lvlText w:val="o"/>
      <w:lvlJc w:val="left"/>
      <w:pPr>
        <w:ind w:left="5760" w:hanging="360"/>
      </w:pPr>
      <w:rPr>
        <w:rFonts w:ascii="Courier New" w:hAnsi="Courier New" w:hint="default"/>
      </w:rPr>
    </w:lvl>
    <w:lvl w:ilvl="8" w:tplc="9DC07CD2">
      <w:start w:val="1"/>
      <w:numFmt w:val="bullet"/>
      <w:lvlText w:val=""/>
      <w:lvlJc w:val="left"/>
      <w:pPr>
        <w:ind w:left="6480" w:hanging="360"/>
      </w:pPr>
      <w:rPr>
        <w:rFonts w:ascii="Wingdings" w:hAnsi="Wingdings" w:hint="default"/>
      </w:rPr>
    </w:lvl>
  </w:abstractNum>
  <w:abstractNum w:abstractNumId="23" w15:restartNumberingAfterBreak="0">
    <w:nsid w:val="31430E4A"/>
    <w:multiLevelType w:val="hybridMultilevel"/>
    <w:tmpl w:val="C4BE4BD4"/>
    <w:lvl w:ilvl="0" w:tplc="54ACCB78">
      <w:start w:val="1"/>
      <w:numFmt w:val="bullet"/>
      <w:lvlText w:val="•"/>
      <w:lvlJc w:val="left"/>
      <w:pPr>
        <w:ind w:left="623" w:hanging="284"/>
      </w:pPr>
      <w:rPr>
        <w:rFonts w:ascii="Arial Unicode MS" w:eastAsia="Arial Unicode MS" w:hAnsi="Arial Unicode MS" w:hint="default"/>
        <w:color w:val="FFFFFF"/>
        <w:w w:val="107"/>
        <w:sz w:val="21"/>
        <w:szCs w:val="21"/>
      </w:rPr>
    </w:lvl>
    <w:lvl w:ilvl="1" w:tplc="6EE81F12">
      <w:start w:val="1"/>
      <w:numFmt w:val="bullet"/>
      <w:lvlText w:val="•"/>
      <w:lvlJc w:val="left"/>
      <w:pPr>
        <w:ind w:left="926" w:hanging="284"/>
      </w:pPr>
      <w:rPr>
        <w:rFonts w:hint="default"/>
      </w:rPr>
    </w:lvl>
    <w:lvl w:ilvl="2" w:tplc="3D880680">
      <w:start w:val="1"/>
      <w:numFmt w:val="bullet"/>
      <w:lvlText w:val="•"/>
      <w:lvlJc w:val="left"/>
      <w:pPr>
        <w:ind w:left="1230" w:hanging="284"/>
      </w:pPr>
      <w:rPr>
        <w:rFonts w:hint="default"/>
      </w:rPr>
    </w:lvl>
    <w:lvl w:ilvl="3" w:tplc="B010C610">
      <w:start w:val="1"/>
      <w:numFmt w:val="bullet"/>
      <w:lvlText w:val="•"/>
      <w:lvlJc w:val="left"/>
      <w:pPr>
        <w:ind w:left="1533" w:hanging="284"/>
      </w:pPr>
      <w:rPr>
        <w:rFonts w:hint="default"/>
      </w:rPr>
    </w:lvl>
    <w:lvl w:ilvl="4" w:tplc="E6120074">
      <w:start w:val="1"/>
      <w:numFmt w:val="bullet"/>
      <w:lvlText w:val="•"/>
      <w:lvlJc w:val="left"/>
      <w:pPr>
        <w:ind w:left="1836" w:hanging="284"/>
      </w:pPr>
      <w:rPr>
        <w:rFonts w:hint="default"/>
      </w:rPr>
    </w:lvl>
    <w:lvl w:ilvl="5" w:tplc="CBC8627C">
      <w:start w:val="1"/>
      <w:numFmt w:val="bullet"/>
      <w:lvlText w:val="•"/>
      <w:lvlJc w:val="left"/>
      <w:pPr>
        <w:ind w:left="2140" w:hanging="284"/>
      </w:pPr>
      <w:rPr>
        <w:rFonts w:hint="default"/>
      </w:rPr>
    </w:lvl>
    <w:lvl w:ilvl="6" w:tplc="B9380D56">
      <w:start w:val="1"/>
      <w:numFmt w:val="bullet"/>
      <w:lvlText w:val="•"/>
      <w:lvlJc w:val="left"/>
      <w:pPr>
        <w:ind w:left="2443" w:hanging="284"/>
      </w:pPr>
      <w:rPr>
        <w:rFonts w:hint="default"/>
      </w:rPr>
    </w:lvl>
    <w:lvl w:ilvl="7" w:tplc="21BEC842">
      <w:start w:val="1"/>
      <w:numFmt w:val="bullet"/>
      <w:lvlText w:val="•"/>
      <w:lvlJc w:val="left"/>
      <w:pPr>
        <w:ind w:left="2746" w:hanging="284"/>
      </w:pPr>
      <w:rPr>
        <w:rFonts w:hint="default"/>
      </w:rPr>
    </w:lvl>
    <w:lvl w:ilvl="8" w:tplc="43B03AC2">
      <w:start w:val="1"/>
      <w:numFmt w:val="bullet"/>
      <w:lvlText w:val="•"/>
      <w:lvlJc w:val="left"/>
      <w:pPr>
        <w:ind w:left="3050" w:hanging="284"/>
      </w:pPr>
      <w:rPr>
        <w:rFonts w:hint="default"/>
      </w:rPr>
    </w:lvl>
  </w:abstractNum>
  <w:abstractNum w:abstractNumId="24" w15:restartNumberingAfterBreak="0">
    <w:nsid w:val="366C5178"/>
    <w:multiLevelType w:val="hybridMultilevel"/>
    <w:tmpl w:val="B3C65572"/>
    <w:lvl w:ilvl="0" w:tplc="5FD61D08">
      <w:start w:val="1"/>
      <w:numFmt w:val="bullet"/>
      <w:lvlText w:val="·"/>
      <w:lvlJc w:val="left"/>
      <w:pPr>
        <w:ind w:left="720" w:hanging="360"/>
      </w:pPr>
      <w:rPr>
        <w:rFonts w:ascii="Symbol" w:hAnsi="Symbol" w:hint="default"/>
      </w:rPr>
    </w:lvl>
    <w:lvl w:ilvl="1" w:tplc="1E2E0C34">
      <w:start w:val="1"/>
      <w:numFmt w:val="bullet"/>
      <w:lvlText w:val="o"/>
      <w:lvlJc w:val="left"/>
      <w:pPr>
        <w:ind w:left="1440" w:hanging="360"/>
      </w:pPr>
      <w:rPr>
        <w:rFonts w:ascii="Courier New" w:hAnsi="Courier New" w:hint="default"/>
      </w:rPr>
    </w:lvl>
    <w:lvl w:ilvl="2" w:tplc="6CA6797C">
      <w:start w:val="1"/>
      <w:numFmt w:val="bullet"/>
      <w:lvlText w:val=""/>
      <w:lvlJc w:val="left"/>
      <w:pPr>
        <w:ind w:left="2160" w:hanging="360"/>
      </w:pPr>
      <w:rPr>
        <w:rFonts w:ascii="Wingdings" w:hAnsi="Wingdings" w:hint="default"/>
      </w:rPr>
    </w:lvl>
    <w:lvl w:ilvl="3" w:tplc="1D4A032C">
      <w:start w:val="1"/>
      <w:numFmt w:val="bullet"/>
      <w:lvlText w:val=""/>
      <w:lvlJc w:val="left"/>
      <w:pPr>
        <w:ind w:left="2880" w:hanging="360"/>
      </w:pPr>
      <w:rPr>
        <w:rFonts w:ascii="Symbol" w:hAnsi="Symbol" w:hint="default"/>
      </w:rPr>
    </w:lvl>
    <w:lvl w:ilvl="4" w:tplc="042A4298">
      <w:start w:val="1"/>
      <w:numFmt w:val="bullet"/>
      <w:lvlText w:val="o"/>
      <w:lvlJc w:val="left"/>
      <w:pPr>
        <w:ind w:left="3600" w:hanging="360"/>
      </w:pPr>
      <w:rPr>
        <w:rFonts w:ascii="Courier New" w:hAnsi="Courier New" w:hint="default"/>
      </w:rPr>
    </w:lvl>
    <w:lvl w:ilvl="5" w:tplc="302C4C98">
      <w:start w:val="1"/>
      <w:numFmt w:val="bullet"/>
      <w:lvlText w:val=""/>
      <w:lvlJc w:val="left"/>
      <w:pPr>
        <w:ind w:left="4320" w:hanging="360"/>
      </w:pPr>
      <w:rPr>
        <w:rFonts w:ascii="Wingdings" w:hAnsi="Wingdings" w:hint="default"/>
      </w:rPr>
    </w:lvl>
    <w:lvl w:ilvl="6" w:tplc="EB1A03A8">
      <w:start w:val="1"/>
      <w:numFmt w:val="bullet"/>
      <w:lvlText w:val=""/>
      <w:lvlJc w:val="left"/>
      <w:pPr>
        <w:ind w:left="5040" w:hanging="360"/>
      </w:pPr>
      <w:rPr>
        <w:rFonts w:ascii="Symbol" w:hAnsi="Symbol" w:hint="default"/>
      </w:rPr>
    </w:lvl>
    <w:lvl w:ilvl="7" w:tplc="BD062B26">
      <w:start w:val="1"/>
      <w:numFmt w:val="bullet"/>
      <w:lvlText w:val="o"/>
      <w:lvlJc w:val="left"/>
      <w:pPr>
        <w:ind w:left="5760" w:hanging="360"/>
      </w:pPr>
      <w:rPr>
        <w:rFonts w:ascii="Courier New" w:hAnsi="Courier New" w:hint="default"/>
      </w:rPr>
    </w:lvl>
    <w:lvl w:ilvl="8" w:tplc="DB3E56C8">
      <w:start w:val="1"/>
      <w:numFmt w:val="bullet"/>
      <w:lvlText w:val=""/>
      <w:lvlJc w:val="left"/>
      <w:pPr>
        <w:ind w:left="6480" w:hanging="360"/>
      </w:pPr>
      <w:rPr>
        <w:rFonts w:ascii="Wingdings" w:hAnsi="Wingdings" w:hint="default"/>
      </w:rPr>
    </w:lvl>
  </w:abstractNum>
  <w:abstractNum w:abstractNumId="25"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FB4939"/>
    <w:multiLevelType w:val="hybridMultilevel"/>
    <w:tmpl w:val="B560C9E0"/>
    <w:lvl w:ilvl="0" w:tplc="5358D1F4">
      <w:start w:val="1"/>
      <w:numFmt w:val="bullet"/>
      <w:lvlText w:val="–"/>
      <w:lvlJc w:val="left"/>
      <w:pPr>
        <w:ind w:left="701" w:hanging="284"/>
      </w:pPr>
      <w:rPr>
        <w:rFonts w:ascii="Arial Black" w:eastAsia="Arial Black" w:hAnsi="Arial Black" w:hint="default"/>
        <w:b/>
        <w:bCs/>
        <w:sz w:val="21"/>
        <w:szCs w:val="21"/>
      </w:rPr>
    </w:lvl>
    <w:lvl w:ilvl="1" w:tplc="2D0A247C">
      <w:start w:val="1"/>
      <w:numFmt w:val="bullet"/>
      <w:lvlText w:val="•"/>
      <w:lvlJc w:val="left"/>
      <w:pPr>
        <w:ind w:left="1149" w:hanging="284"/>
      </w:pPr>
      <w:rPr>
        <w:rFonts w:hint="default"/>
      </w:rPr>
    </w:lvl>
    <w:lvl w:ilvl="2" w:tplc="014E8A48">
      <w:start w:val="1"/>
      <w:numFmt w:val="bullet"/>
      <w:lvlText w:val="•"/>
      <w:lvlJc w:val="left"/>
      <w:pPr>
        <w:ind w:left="1596" w:hanging="284"/>
      </w:pPr>
      <w:rPr>
        <w:rFonts w:hint="default"/>
      </w:rPr>
    </w:lvl>
    <w:lvl w:ilvl="3" w:tplc="62E68792">
      <w:start w:val="1"/>
      <w:numFmt w:val="bullet"/>
      <w:lvlText w:val="•"/>
      <w:lvlJc w:val="left"/>
      <w:pPr>
        <w:ind w:left="2044" w:hanging="284"/>
      </w:pPr>
      <w:rPr>
        <w:rFonts w:hint="default"/>
      </w:rPr>
    </w:lvl>
    <w:lvl w:ilvl="4" w:tplc="6BC03800">
      <w:start w:val="1"/>
      <w:numFmt w:val="bullet"/>
      <w:lvlText w:val="•"/>
      <w:lvlJc w:val="left"/>
      <w:pPr>
        <w:ind w:left="2492" w:hanging="284"/>
      </w:pPr>
      <w:rPr>
        <w:rFonts w:hint="default"/>
      </w:rPr>
    </w:lvl>
    <w:lvl w:ilvl="5" w:tplc="D62CF1AE">
      <w:start w:val="1"/>
      <w:numFmt w:val="bullet"/>
      <w:lvlText w:val="•"/>
      <w:lvlJc w:val="left"/>
      <w:pPr>
        <w:ind w:left="2940" w:hanging="284"/>
      </w:pPr>
      <w:rPr>
        <w:rFonts w:hint="default"/>
      </w:rPr>
    </w:lvl>
    <w:lvl w:ilvl="6" w:tplc="4AF656FE">
      <w:start w:val="1"/>
      <w:numFmt w:val="bullet"/>
      <w:lvlText w:val="•"/>
      <w:lvlJc w:val="left"/>
      <w:pPr>
        <w:ind w:left="3388" w:hanging="284"/>
      </w:pPr>
      <w:rPr>
        <w:rFonts w:hint="default"/>
      </w:rPr>
    </w:lvl>
    <w:lvl w:ilvl="7" w:tplc="B11C28E0">
      <w:start w:val="1"/>
      <w:numFmt w:val="bullet"/>
      <w:lvlText w:val="•"/>
      <w:lvlJc w:val="left"/>
      <w:pPr>
        <w:ind w:left="3836" w:hanging="284"/>
      </w:pPr>
      <w:rPr>
        <w:rFonts w:hint="default"/>
      </w:rPr>
    </w:lvl>
    <w:lvl w:ilvl="8" w:tplc="A2F2C1E6">
      <w:start w:val="1"/>
      <w:numFmt w:val="bullet"/>
      <w:lvlText w:val="•"/>
      <w:lvlJc w:val="left"/>
      <w:pPr>
        <w:ind w:left="4284" w:hanging="284"/>
      </w:pPr>
      <w:rPr>
        <w:rFonts w:hint="default"/>
      </w:rPr>
    </w:lvl>
  </w:abstractNum>
  <w:abstractNum w:abstractNumId="28" w15:restartNumberingAfterBreak="0">
    <w:nsid w:val="4D6856C8"/>
    <w:multiLevelType w:val="hybridMultilevel"/>
    <w:tmpl w:val="0338F8C0"/>
    <w:lvl w:ilvl="0" w:tplc="73FE36DE">
      <w:start w:val="1"/>
      <w:numFmt w:val="bullet"/>
      <w:lvlText w:val="•"/>
      <w:lvlJc w:val="left"/>
      <w:pPr>
        <w:ind w:left="245" w:hanging="134"/>
      </w:pPr>
      <w:rPr>
        <w:rFonts w:ascii="Arial Unicode MS" w:eastAsia="Arial Unicode MS" w:hAnsi="Arial Unicode MS" w:hint="default"/>
        <w:w w:val="107"/>
        <w:sz w:val="21"/>
        <w:szCs w:val="21"/>
      </w:rPr>
    </w:lvl>
    <w:lvl w:ilvl="1" w:tplc="3F32CFCA">
      <w:start w:val="1"/>
      <w:numFmt w:val="bullet"/>
      <w:lvlText w:val="•"/>
      <w:lvlJc w:val="left"/>
      <w:pPr>
        <w:ind w:left="494" w:hanging="134"/>
      </w:pPr>
      <w:rPr>
        <w:rFonts w:hint="default"/>
      </w:rPr>
    </w:lvl>
    <w:lvl w:ilvl="2" w:tplc="025CEB60">
      <w:start w:val="1"/>
      <w:numFmt w:val="bullet"/>
      <w:lvlText w:val="•"/>
      <w:lvlJc w:val="left"/>
      <w:pPr>
        <w:ind w:left="743" w:hanging="134"/>
      </w:pPr>
      <w:rPr>
        <w:rFonts w:hint="default"/>
      </w:rPr>
    </w:lvl>
    <w:lvl w:ilvl="3" w:tplc="5E0EC12A">
      <w:start w:val="1"/>
      <w:numFmt w:val="bullet"/>
      <w:lvlText w:val="•"/>
      <w:lvlJc w:val="left"/>
      <w:pPr>
        <w:ind w:left="993" w:hanging="134"/>
      </w:pPr>
      <w:rPr>
        <w:rFonts w:hint="default"/>
      </w:rPr>
    </w:lvl>
    <w:lvl w:ilvl="4" w:tplc="E8B04864">
      <w:start w:val="1"/>
      <w:numFmt w:val="bullet"/>
      <w:lvlText w:val="•"/>
      <w:lvlJc w:val="left"/>
      <w:pPr>
        <w:ind w:left="1242" w:hanging="134"/>
      </w:pPr>
      <w:rPr>
        <w:rFonts w:hint="default"/>
      </w:rPr>
    </w:lvl>
    <w:lvl w:ilvl="5" w:tplc="7EF0585E">
      <w:start w:val="1"/>
      <w:numFmt w:val="bullet"/>
      <w:lvlText w:val="•"/>
      <w:lvlJc w:val="left"/>
      <w:pPr>
        <w:ind w:left="1491" w:hanging="134"/>
      </w:pPr>
      <w:rPr>
        <w:rFonts w:hint="default"/>
      </w:rPr>
    </w:lvl>
    <w:lvl w:ilvl="6" w:tplc="7EC6F446">
      <w:start w:val="1"/>
      <w:numFmt w:val="bullet"/>
      <w:lvlText w:val="•"/>
      <w:lvlJc w:val="left"/>
      <w:pPr>
        <w:ind w:left="1740" w:hanging="134"/>
      </w:pPr>
      <w:rPr>
        <w:rFonts w:hint="default"/>
      </w:rPr>
    </w:lvl>
    <w:lvl w:ilvl="7" w:tplc="B4E0707E">
      <w:start w:val="1"/>
      <w:numFmt w:val="bullet"/>
      <w:lvlText w:val="•"/>
      <w:lvlJc w:val="left"/>
      <w:pPr>
        <w:ind w:left="1989" w:hanging="134"/>
      </w:pPr>
      <w:rPr>
        <w:rFonts w:hint="default"/>
      </w:rPr>
    </w:lvl>
    <w:lvl w:ilvl="8" w:tplc="30DCDC0C">
      <w:start w:val="1"/>
      <w:numFmt w:val="bullet"/>
      <w:lvlText w:val="•"/>
      <w:lvlJc w:val="left"/>
      <w:pPr>
        <w:ind w:left="2239" w:hanging="134"/>
      </w:pPr>
      <w:rPr>
        <w:rFonts w:hint="default"/>
      </w:rPr>
    </w:lvl>
  </w:abstractNum>
  <w:abstractNum w:abstractNumId="29" w15:restartNumberingAfterBreak="0">
    <w:nsid w:val="5B09314A"/>
    <w:multiLevelType w:val="multilevel"/>
    <w:tmpl w:val="7720957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C0BFDC3"/>
    <w:multiLevelType w:val="hybridMultilevel"/>
    <w:tmpl w:val="81145948"/>
    <w:lvl w:ilvl="0" w:tplc="7792A704">
      <w:start w:val="1"/>
      <w:numFmt w:val="bullet"/>
      <w:lvlText w:val="·"/>
      <w:lvlJc w:val="left"/>
      <w:pPr>
        <w:ind w:left="720" w:hanging="360"/>
      </w:pPr>
      <w:rPr>
        <w:rFonts w:ascii="Symbol" w:hAnsi="Symbol" w:hint="default"/>
      </w:rPr>
    </w:lvl>
    <w:lvl w:ilvl="1" w:tplc="E4927C1E">
      <w:start w:val="1"/>
      <w:numFmt w:val="bullet"/>
      <w:lvlText w:val="o"/>
      <w:lvlJc w:val="left"/>
      <w:pPr>
        <w:ind w:left="1440" w:hanging="360"/>
      </w:pPr>
      <w:rPr>
        <w:rFonts w:ascii="Courier New" w:hAnsi="Courier New" w:hint="default"/>
      </w:rPr>
    </w:lvl>
    <w:lvl w:ilvl="2" w:tplc="EEA4D2B4">
      <w:start w:val="1"/>
      <w:numFmt w:val="bullet"/>
      <w:lvlText w:val=""/>
      <w:lvlJc w:val="left"/>
      <w:pPr>
        <w:ind w:left="2160" w:hanging="360"/>
      </w:pPr>
      <w:rPr>
        <w:rFonts w:ascii="Wingdings" w:hAnsi="Wingdings" w:hint="default"/>
      </w:rPr>
    </w:lvl>
    <w:lvl w:ilvl="3" w:tplc="EFB0E1C2">
      <w:start w:val="1"/>
      <w:numFmt w:val="bullet"/>
      <w:lvlText w:val=""/>
      <w:lvlJc w:val="left"/>
      <w:pPr>
        <w:ind w:left="2880" w:hanging="360"/>
      </w:pPr>
      <w:rPr>
        <w:rFonts w:ascii="Symbol" w:hAnsi="Symbol" w:hint="default"/>
      </w:rPr>
    </w:lvl>
    <w:lvl w:ilvl="4" w:tplc="6A62AC10">
      <w:start w:val="1"/>
      <w:numFmt w:val="bullet"/>
      <w:lvlText w:val="o"/>
      <w:lvlJc w:val="left"/>
      <w:pPr>
        <w:ind w:left="3600" w:hanging="360"/>
      </w:pPr>
      <w:rPr>
        <w:rFonts w:ascii="Courier New" w:hAnsi="Courier New" w:hint="default"/>
      </w:rPr>
    </w:lvl>
    <w:lvl w:ilvl="5" w:tplc="690EDA18">
      <w:start w:val="1"/>
      <w:numFmt w:val="bullet"/>
      <w:lvlText w:val=""/>
      <w:lvlJc w:val="left"/>
      <w:pPr>
        <w:ind w:left="4320" w:hanging="360"/>
      </w:pPr>
      <w:rPr>
        <w:rFonts w:ascii="Wingdings" w:hAnsi="Wingdings" w:hint="default"/>
      </w:rPr>
    </w:lvl>
    <w:lvl w:ilvl="6" w:tplc="87AEC340">
      <w:start w:val="1"/>
      <w:numFmt w:val="bullet"/>
      <w:lvlText w:val=""/>
      <w:lvlJc w:val="left"/>
      <w:pPr>
        <w:ind w:left="5040" w:hanging="360"/>
      </w:pPr>
      <w:rPr>
        <w:rFonts w:ascii="Symbol" w:hAnsi="Symbol" w:hint="default"/>
      </w:rPr>
    </w:lvl>
    <w:lvl w:ilvl="7" w:tplc="0CC421AC">
      <w:start w:val="1"/>
      <w:numFmt w:val="bullet"/>
      <w:lvlText w:val="o"/>
      <w:lvlJc w:val="left"/>
      <w:pPr>
        <w:ind w:left="5760" w:hanging="360"/>
      </w:pPr>
      <w:rPr>
        <w:rFonts w:ascii="Courier New" w:hAnsi="Courier New" w:hint="default"/>
      </w:rPr>
    </w:lvl>
    <w:lvl w:ilvl="8" w:tplc="31004E3A">
      <w:start w:val="1"/>
      <w:numFmt w:val="bullet"/>
      <w:lvlText w:val=""/>
      <w:lvlJc w:val="left"/>
      <w:pPr>
        <w:ind w:left="6480" w:hanging="360"/>
      </w:pPr>
      <w:rPr>
        <w:rFonts w:ascii="Wingdings" w:hAnsi="Wingdings" w:hint="default"/>
      </w:rPr>
    </w:lvl>
  </w:abstractNum>
  <w:abstractNum w:abstractNumId="31" w15:restartNumberingAfterBreak="0">
    <w:nsid w:val="5C724B65"/>
    <w:multiLevelType w:val="hybridMultilevel"/>
    <w:tmpl w:val="46E4FFEE"/>
    <w:lvl w:ilvl="0" w:tplc="EB0A854E">
      <w:start w:val="1"/>
      <w:numFmt w:val="bullet"/>
      <w:lvlText w:val="•"/>
      <w:lvlJc w:val="left"/>
      <w:pPr>
        <w:ind w:left="559" w:hanging="134"/>
      </w:pPr>
      <w:rPr>
        <w:rFonts w:ascii="Arial Unicode MS" w:eastAsia="Arial Unicode MS" w:hAnsi="Arial Unicode MS" w:hint="default"/>
        <w:w w:val="107"/>
        <w:sz w:val="21"/>
        <w:szCs w:val="21"/>
      </w:rPr>
    </w:lvl>
    <w:lvl w:ilvl="1" w:tplc="85E65D22">
      <w:start w:val="1"/>
      <w:numFmt w:val="bullet"/>
      <w:lvlText w:val="•"/>
      <w:lvlJc w:val="left"/>
      <w:pPr>
        <w:ind w:left="808" w:hanging="134"/>
      </w:pPr>
      <w:rPr>
        <w:rFonts w:hint="default"/>
      </w:rPr>
    </w:lvl>
    <w:lvl w:ilvl="2" w:tplc="69460D26">
      <w:start w:val="1"/>
      <w:numFmt w:val="bullet"/>
      <w:lvlText w:val="•"/>
      <w:lvlJc w:val="left"/>
      <w:pPr>
        <w:ind w:left="1058" w:hanging="134"/>
      </w:pPr>
      <w:rPr>
        <w:rFonts w:hint="default"/>
      </w:rPr>
    </w:lvl>
    <w:lvl w:ilvl="3" w:tplc="CD6AEA72">
      <w:start w:val="1"/>
      <w:numFmt w:val="bullet"/>
      <w:lvlText w:val="•"/>
      <w:lvlJc w:val="left"/>
      <w:pPr>
        <w:ind w:left="1307" w:hanging="134"/>
      </w:pPr>
      <w:rPr>
        <w:rFonts w:hint="default"/>
      </w:rPr>
    </w:lvl>
    <w:lvl w:ilvl="4" w:tplc="DCE6E408">
      <w:start w:val="1"/>
      <w:numFmt w:val="bullet"/>
      <w:lvlText w:val="•"/>
      <w:lvlJc w:val="left"/>
      <w:pPr>
        <w:ind w:left="1556" w:hanging="134"/>
      </w:pPr>
      <w:rPr>
        <w:rFonts w:hint="default"/>
      </w:rPr>
    </w:lvl>
    <w:lvl w:ilvl="5" w:tplc="C3182234">
      <w:start w:val="1"/>
      <w:numFmt w:val="bullet"/>
      <w:lvlText w:val="•"/>
      <w:lvlJc w:val="left"/>
      <w:pPr>
        <w:ind w:left="1805" w:hanging="134"/>
      </w:pPr>
      <w:rPr>
        <w:rFonts w:hint="default"/>
      </w:rPr>
    </w:lvl>
    <w:lvl w:ilvl="6" w:tplc="85C2C604">
      <w:start w:val="1"/>
      <w:numFmt w:val="bullet"/>
      <w:lvlText w:val="•"/>
      <w:lvlJc w:val="left"/>
      <w:pPr>
        <w:ind w:left="2054" w:hanging="134"/>
      </w:pPr>
      <w:rPr>
        <w:rFonts w:hint="default"/>
      </w:rPr>
    </w:lvl>
    <w:lvl w:ilvl="7" w:tplc="3B5A4DA6">
      <w:start w:val="1"/>
      <w:numFmt w:val="bullet"/>
      <w:lvlText w:val="•"/>
      <w:lvlJc w:val="left"/>
      <w:pPr>
        <w:ind w:left="2303" w:hanging="134"/>
      </w:pPr>
      <w:rPr>
        <w:rFonts w:hint="default"/>
      </w:rPr>
    </w:lvl>
    <w:lvl w:ilvl="8" w:tplc="37AAE036">
      <w:start w:val="1"/>
      <w:numFmt w:val="bullet"/>
      <w:lvlText w:val="•"/>
      <w:lvlJc w:val="left"/>
      <w:pPr>
        <w:ind w:left="2552" w:hanging="134"/>
      </w:pPr>
      <w:rPr>
        <w:rFonts w:hint="default"/>
      </w:rPr>
    </w:lvl>
  </w:abstractNum>
  <w:abstractNum w:abstractNumId="32" w15:restartNumberingAfterBreak="0">
    <w:nsid w:val="5D9A15C3"/>
    <w:multiLevelType w:val="hybridMultilevel"/>
    <w:tmpl w:val="1E9823CC"/>
    <w:lvl w:ilvl="0" w:tplc="AA18F162">
      <w:start w:val="1"/>
      <w:numFmt w:val="bullet"/>
      <w:lvlText w:val="•"/>
      <w:lvlJc w:val="left"/>
      <w:pPr>
        <w:ind w:left="245" w:hanging="134"/>
      </w:pPr>
      <w:rPr>
        <w:rFonts w:ascii="Arial Unicode MS" w:eastAsia="Arial Unicode MS" w:hAnsi="Arial Unicode MS" w:hint="default"/>
        <w:w w:val="107"/>
        <w:sz w:val="21"/>
        <w:szCs w:val="21"/>
      </w:rPr>
    </w:lvl>
    <w:lvl w:ilvl="1" w:tplc="D886110C">
      <w:start w:val="1"/>
      <w:numFmt w:val="bullet"/>
      <w:lvlText w:val="•"/>
      <w:lvlJc w:val="left"/>
      <w:pPr>
        <w:ind w:left="494" w:hanging="134"/>
      </w:pPr>
      <w:rPr>
        <w:rFonts w:hint="default"/>
      </w:rPr>
    </w:lvl>
    <w:lvl w:ilvl="2" w:tplc="5C048F26">
      <w:start w:val="1"/>
      <w:numFmt w:val="bullet"/>
      <w:lvlText w:val="•"/>
      <w:lvlJc w:val="left"/>
      <w:pPr>
        <w:ind w:left="744" w:hanging="134"/>
      </w:pPr>
      <w:rPr>
        <w:rFonts w:hint="default"/>
      </w:rPr>
    </w:lvl>
    <w:lvl w:ilvl="3" w:tplc="44DACB5A">
      <w:start w:val="1"/>
      <w:numFmt w:val="bullet"/>
      <w:lvlText w:val="•"/>
      <w:lvlJc w:val="left"/>
      <w:pPr>
        <w:ind w:left="993" w:hanging="134"/>
      </w:pPr>
      <w:rPr>
        <w:rFonts w:hint="default"/>
      </w:rPr>
    </w:lvl>
    <w:lvl w:ilvl="4" w:tplc="B8B465F0">
      <w:start w:val="1"/>
      <w:numFmt w:val="bullet"/>
      <w:lvlText w:val="•"/>
      <w:lvlJc w:val="left"/>
      <w:pPr>
        <w:ind w:left="1242" w:hanging="134"/>
      </w:pPr>
      <w:rPr>
        <w:rFonts w:hint="default"/>
      </w:rPr>
    </w:lvl>
    <w:lvl w:ilvl="5" w:tplc="1FDCA722">
      <w:start w:val="1"/>
      <w:numFmt w:val="bullet"/>
      <w:lvlText w:val="•"/>
      <w:lvlJc w:val="left"/>
      <w:pPr>
        <w:ind w:left="1491" w:hanging="134"/>
      </w:pPr>
      <w:rPr>
        <w:rFonts w:hint="default"/>
      </w:rPr>
    </w:lvl>
    <w:lvl w:ilvl="6" w:tplc="62501116">
      <w:start w:val="1"/>
      <w:numFmt w:val="bullet"/>
      <w:lvlText w:val="•"/>
      <w:lvlJc w:val="left"/>
      <w:pPr>
        <w:ind w:left="1740" w:hanging="134"/>
      </w:pPr>
      <w:rPr>
        <w:rFonts w:hint="default"/>
      </w:rPr>
    </w:lvl>
    <w:lvl w:ilvl="7" w:tplc="EA9AA01C">
      <w:start w:val="1"/>
      <w:numFmt w:val="bullet"/>
      <w:lvlText w:val="•"/>
      <w:lvlJc w:val="left"/>
      <w:pPr>
        <w:ind w:left="1989" w:hanging="134"/>
      </w:pPr>
      <w:rPr>
        <w:rFonts w:hint="default"/>
      </w:rPr>
    </w:lvl>
    <w:lvl w:ilvl="8" w:tplc="005E787C">
      <w:start w:val="1"/>
      <w:numFmt w:val="bullet"/>
      <w:lvlText w:val="•"/>
      <w:lvlJc w:val="left"/>
      <w:pPr>
        <w:ind w:left="2239" w:hanging="134"/>
      </w:pPr>
      <w:rPr>
        <w:rFonts w:hint="default"/>
      </w:rPr>
    </w:lvl>
  </w:abstractNum>
  <w:abstractNum w:abstractNumId="33" w15:restartNumberingAfterBreak="0">
    <w:nsid w:val="61511DBC"/>
    <w:multiLevelType w:val="hybridMultilevel"/>
    <w:tmpl w:val="B9AC8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23B6E7"/>
    <w:multiLevelType w:val="hybridMultilevel"/>
    <w:tmpl w:val="DE40CCAA"/>
    <w:lvl w:ilvl="0" w:tplc="45CE6C44">
      <w:start w:val="1"/>
      <w:numFmt w:val="bullet"/>
      <w:lvlText w:val="·"/>
      <w:lvlJc w:val="left"/>
      <w:pPr>
        <w:ind w:left="720" w:hanging="360"/>
      </w:pPr>
      <w:rPr>
        <w:rFonts w:ascii="Symbol" w:hAnsi="Symbol" w:hint="default"/>
      </w:rPr>
    </w:lvl>
    <w:lvl w:ilvl="1" w:tplc="C6D8F6F6">
      <w:start w:val="1"/>
      <w:numFmt w:val="bullet"/>
      <w:lvlText w:val="o"/>
      <w:lvlJc w:val="left"/>
      <w:pPr>
        <w:ind w:left="1440" w:hanging="360"/>
      </w:pPr>
      <w:rPr>
        <w:rFonts w:ascii="Courier New" w:hAnsi="Courier New" w:hint="default"/>
      </w:rPr>
    </w:lvl>
    <w:lvl w:ilvl="2" w:tplc="CFAEEEA2">
      <w:start w:val="1"/>
      <w:numFmt w:val="bullet"/>
      <w:lvlText w:val=""/>
      <w:lvlJc w:val="left"/>
      <w:pPr>
        <w:ind w:left="2160" w:hanging="360"/>
      </w:pPr>
      <w:rPr>
        <w:rFonts w:ascii="Wingdings" w:hAnsi="Wingdings" w:hint="default"/>
      </w:rPr>
    </w:lvl>
    <w:lvl w:ilvl="3" w:tplc="53EA9008">
      <w:start w:val="1"/>
      <w:numFmt w:val="bullet"/>
      <w:lvlText w:val=""/>
      <w:lvlJc w:val="left"/>
      <w:pPr>
        <w:ind w:left="2880" w:hanging="360"/>
      </w:pPr>
      <w:rPr>
        <w:rFonts w:ascii="Symbol" w:hAnsi="Symbol" w:hint="default"/>
      </w:rPr>
    </w:lvl>
    <w:lvl w:ilvl="4" w:tplc="EAAC5C7A">
      <w:start w:val="1"/>
      <w:numFmt w:val="bullet"/>
      <w:lvlText w:val="o"/>
      <w:lvlJc w:val="left"/>
      <w:pPr>
        <w:ind w:left="3600" w:hanging="360"/>
      </w:pPr>
      <w:rPr>
        <w:rFonts w:ascii="Courier New" w:hAnsi="Courier New" w:hint="default"/>
      </w:rPr>
    </w:lvl>
    <w:lvl w:ilvl="5" w:tplc="351A900E">
      <w:start w:val="1"/>
      <w:numFmt w:val="bullet"/>
      <w:lvlText w:val=""/>
      <w:lvlJc w:val="left"/>
      <w:pPr>
        <w:ind w:left="4320" w:hanging="360"/>
      </w:pPr>
      <w:rPr>
        <w:rFonts w:ascii="Wingdings" w:hAnsi="Wingdings" w:hint="default"/>
      </w:rPr>
    </w:lvl>
    <w:lvl w:ilvl="6" w:tplc="E55EEA54">
      <w:start w:val="1"/>
      <w:numFmt w:val="bullet"/>
      <w:lvlText w:val=""/>
      <w:lvlJc w:val="left"/>
      <w:pPr>
        <w:ind w:left="5040" w:hanging="360"/>
      </w:pPr>
      <w:rPr>
        <w:rFonts w:ascii="Symbol" w:hAnsi="Symbol" w:hint="default"/>
      </w:rPr>
    </w:lvl>
    <w:lvl w:ilvl="7" w:tplc="44FE58A6">
      <w:start w:val="1"/>
      <w:numFmt w:val="bullet"/>
      <w:lvlText w:val="o"/>
      <w:lvlJc w:val="left"/>
      <w:pPr>
        <w:ind w:left="5760" w:hanging="360"/>
      </w:pPr>
      <w:rPr>
        <w:rFonts w:ascii="Courier New" w:hAnsi="Courier New" w:hint="default"/>
      </w:rPr>
    </w:lvl>
    <w:lvl w:ilvl="8" w:tplc="44FA9E46">
      <w:start w:val="1"/>
      <w:numFmt w:val="bullet"/>
      <w:lvlText w:val=""/>
      <w:lvlJc w:val="left"/>
      <w:pPr>
        <w:ind w:left="6480" w:hanging="360"/>
      </w:pPr>
      <w:rPr>
        <w:rFonts w:ascii="Wingdings" w:hAnsi="Wingdings" w:hint="default"/>
      </w:rPr>
    </w:lvl>
  </w:abstractNum>
  <w:abstractNum w:abstractNumId="35" w15:restartNumberingAfterBreak="0">
    <w:nsid w:val="652463B7"/>
    <w:multiLevelType w:val="hybridMultilevel"/>
    <w:tmpl w:val="59CEC12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88D2C9E"/>
    <w:multiLevelType w:val="singleLevel"/>
    <w:tmpl w:val="976C8326"/>
    <w:lvl w:ilvl="0">
      <w:start w:val="1"/>
      <w:numFmt w:val="bullet"/>
      <w:lvlText w:val=""/>
      <w:lvlJc w:val="left"/>
      <w:pPr>
        <w:tabs>
          <w:tab w:val="num" w:pos="360"/>
        </w:tabs>
        <w:ind w:left="284" w:hanging="284"/>
      </w:pPr>
      <w:rPr>
        <w:rFonts w:ascii="Symbol" w:hAnsi="Symbol" w:hint="default"/>
        <w:sz w:val="18"/>
      </w:rPr>
    </w:lvl>
  </w:abstractNum>
  <w:abstractNum w:abstractNumId="37" w15:restartNumberingAfterBreak="0">
    <w:nsid w:val="6A493BA7"/>
    <w:multiLevelType w:val="hybridMultilevel"/>
    <w:tmpl w:val="54A49246"/>
    <w:lvl w:ilvl="0" w:tplc="32401D94">
      <w:start w:val="1"/>
      <w:numFmt w:val="bullet"/>
      <w:lvlText w:val="–"/>
      <w:lvlJc w:val="left"/>
      <w:pPr>
        <w:ind w:left="701" w:hanging="284"/>
      </w:pPr>
      <w:rPr>
        <w:rFonts w:ascii="Arial Black" w:eastAsia="Arial Black" w:hAnsi="Arial Black" w:hint="default"/>
        <w:b/>
        <w:bCs/>
        <w:sz w:val="21"/>
        <w:szCs w:val="21"/>
      </w:rPr>
    </w:lvl>
    <w:lvl w:ilvl="1" w:tplc="2702D4F0">
      <w:start w:val="1"/>
      <w:numFmt w:val="bullet"/>
      <w:lvlText w:val="•"/>
      <w:lvlJc w:val="left"/>
      <w:pPr>
        <w:ind w:left="1149" w:hanging="284"/>
      </w:pPr>
      <w:rPr>
        <w:rFonts w:hint="default"/>
      </w:rPr>
    </w:lvl>
    <w:lvl w:ilvl="2" w:tplc="7E12EC3E">
      <w:start w:val="1"/>
      <w:numFmt w:val="bullet"/>
      <w:lvlText w:val="•"/>
      <w:lvlJc w:val="left"/>
      <w:pPr>
        <w:ind w:left="1596" w:hanging="284"/>
      </w:pPr>
      <w:rPr>
        <w:rFonts w:hint="default"/>
      </w:rPr>
    </w:lvl>
    <w:lvl w:ilvl="3" w:tplc="8AE0534C">
      <w:start w:val="1"/>
      <w:numFmt w:val="bullet"/>
      <w:lvlText w:val="•"/>
      <w:lvlJc w:val="left"/>
      <w:pPr>
        <w:ind w:left="2044" w:hanging="284"/>
      </w:pPr>
      <w:rPr>
        <w:rFonts w:hint="default"/>
      </w:rPr>
    </w:lvl>
    <w:lvl w:ilvl="4" w:tplc="23967D3A">
      <w:start w:val="1"/>
      <w:numFmt w:val="bullet"/>
      <w:lvlText w:val="•"/>
      <w:lvlJc w:val="left"/>
      <w:pPr>
        <w:ind w:left="2492" w:hanging="284"/>
      </w:pPr>
      <w:rPr>
        <w:rFonts w:hint="default"/>
      </w:rPr>
    </w:lvl>
    <w:lvl w:ilvl="5" w:tplc="A1105360">
      <w:start w:val="1"/>
      <w:numFmt w:val="bullet"/>
      <w:lvlText w:val="•"/>
      <w:lvlJc w:val="left"/>
      <w:pPr>
        <w:ind w:left="2940" w:hanging="284"/>
      </w:pPr>
      <w:rPr>
        <w:rFonts w:hint="default"/>
      </w:rPr>
    </w:lvl>
    <w:lvl w:ilvl="6" w:tplc="1D5A8006">
      <w:start w:val="1"/>
      <w:numFmt w:val="bullet"/>
      <w:lvlText w:val="•"/>
      <w:lvlJc w:val="left"/>
      <w:pPr>
        <w:ind w:left="3388" w:hanging="284"/>
      </w:pPr>
      <w:rPr>
        <w:rFonts w:hint="default"/>
      </w:rPr>
    </w:lvl>
    <w:lvl w:ilvl="7" w:tplc="CAD8527E">
      <w:start w:val="1"/>
      <w:numFmt w:val="bullet"/>
      <w:lvlText w:val="•"/>
      <w:lvlJc w:val="left"/>
      <w:pPr>
        <w:ind w:left="3836" w:hanging="284"/>
      </w:pPr>
      <w:rPr>
        <w:rFonts w:hint="default"/>
      </w:rPr>
    </w:lvl>
    <w:lvl w:ilvl="8" w:tplc="2DAA237C">
      <w:start w:val="1"/>
      <w:numFmt w:val="bullet"/>
      <w:lvlText w:val="•"/>
      <w:lvlJc w:val="left"/>
      <w:pPr>
        <w:ind w:left="4284" w:hanging="284"/>
      </w:pPr>
      <w:rPr>
        <w:rFonts w:hint="default"/>
      </w:rPr>
    </w:lvl>
  </w:abstractNum>
  <w:abstractNum w:abstractNumId="38" w15:restartNumberingAfterBreak="0">
    <w:nsid w:val="6A871412"/>
    <w:multiLevelType w:val="hybridMultilevel"/>
    <w:tmpl w:val="679EAFA2"/>
    <w:lvl w:ilvl="0" w:tplc="59822F40">
      <w:start w:val="1"/>
      <w:numFmt w:val="bullet"/>
      <w:lvlText w:val="•"/>
      <w:lvlJc w:val="left"/>
      <w:pPr>
        <w:ind w:left="1984" w:hanging="284"/>
      </w:pPr>
      <w:rPr>
        <w:rFonts w:ascii="Lucida Sans Unicode" w:eastAsia="Lucida Sans Unicode" w:hAnsi="Lucida Sans Unicode" w:hint="default"/>
        <w:w w:val="59"/>
        <w:sz w:val="21"/>
        <w:szCs w:val="21"/>
      </w:rPr>
    </w:lvl>
    <w:lvl w:ilvl="1" w:tplc="0298ED54">
      <w:start w:val="1"/>
      <w:numFmt w:val="bullet"/>
      <w:lvlText w:val="•"/>
      <w:lvlJc w:val="left"/>
      <w:pPr>
        <w:ind w:left="2808" w:hanging="284"/>
      </w:pPr>
      <w:rPr>
        <w:rFonts w:hint="default"/>
      </w:rPr>
    </w:lvl>
    <w:lvl w:ilvl="2" w:tplc="3ACE3B56">
      <w:start w:val="1"/>
      <w:numFmt w:val="bullet"/>
      <w:lvlText w:val="•"/>
      <w:lvlJc w:val="left"/>
      <w:pPr>
        <w:ind w:left="3632" w:hanging="284"/>
      </w:pPr>
      <w:rPr>
        <w:rFonts w:hint="default"/>
      </w:rPr>
    </w:lvl>
    <w:lvl w:ilvl="3" w:tplc="AA96C0BE">
      <w:start w:val="1"/>
      <w:numFmt w:val="bullet"/>
      <w:lvlText w:val="•"/>
      <w:lvlJc w:val="left"/>
      <w:pPr>
        <w:ind w:left="4456" w:hanging="284"/>
      </w:pPr>
      <w:rPr>
        <w:rFonts w:hint="default"/>
      </w:rPr>
    </w:lvl>
    <w:lvl w:ilvl="4" w:tplc="CA98A634">
      <w:start w:val="1"/>
      <w:numFmt w:val="bullet"/>
      <w:lvlText w:val="•"/>
      <w:lvlJc w:val="left"/>
      <w:pPr>
        <w:ind w:left="5280" w:hanging="284"/>
      </w:pPr>
      <w:rPr>
        <w:rFonts w:hint="default"/>
      </w:rPr>
    </w:lvl>
    <w:lvl w:ilvl="5" w:tplc="AA4A5076">
      <w:start w:val="1"/>
      <w:numFmt w:val="bullet"/>
      <w:lvlText w:val="•"/>
      <w:lvlJc w:val="left"/>
      <w:pPr>
        <w:ind w:left="6104" w:hanging="284"/>
      </w:pPr>
      <w:rPr>
        <w:rFonts w:hint="default"/>
      </w:rPr>
    </w:lvl>
    <w:lvl w:ilvl="6" w:tplc="44422EEC">
      <w:start w:val="1"/>
      <w:numFmt w:val="bullet"/>
      <w:lvlText w:val="•"/>
      <w:lvlJc w:val="left"/>
      <w:pPr>
        <w:ind w:left="6929" w:hanging="284"/>
      </w:pPr>
      <w:rPr>
        <w:rFonts w:hint="default"/>
      </w:rPr>
    </w:lvl>
    <w:lvl w:ilvl="7" w:tplc="91644454">
      <w:start w:val="1"/>
      <w:numFmt w:val="bullet"/>
      <w:lvlText w:val="•"/>
      <w:lvlJc w:val="left"/>
      <w:pPr>
        <w:ind w:left="7753" w:hanging="284"/>
      </w:pPr>
      <w:rPr>
        <w:rFonts w:hint="default"/>
      </w:rPr>
    </w:lvl>
    <w:lvl w:ilvl="8" w:tplc="99B2DCF6">
      <w:start w:val="1"/>
      <w:numFmt w:val="bullet"/>
      <w:lvlText w:val="•"/>
      <w:lvlJc w:val="left"/>
      <w:pPr>
        <w:ind w:left="8577" w:hanging="284"/>
      </w:pPr>
      <w:rPr>
        <w:rFonts w:hint="default"/>
      </w:rPr>
    </w:lvl>
  </w:abstractNum>
  <w:abstractNum w:abstractNumId="39" w15:restartNumberingAfterBreak="0">
    <w:nsid w:val="6AB61074"/>
    <w:multiLevelType w:val="hybridMultilevel"/>
    <w:tmpl w:val="E9D8A206"/>
    <w:lvl w:ilvl="0" w:tplc="32DEC6B8">
      <w:start w:val="1"/>
      <w:numFmt w:val="bullet"/>
      <w:lvlText w:val="–"/>
      <w:lvlJc w:val="left"/>
      <w:pPr>
        <w:ind w:left="662" w:hanging="284"/>
      </w:pPr>
      <w:rPr>
        <w:rFonts w:ascii="Arial Black" w:eastAsia="Arial Black" w:hAnsi="Arial Black" w:hint="default"/>
        <w:b/>
        <w:bCs/>
        <w:sz w:val="21"/>
        <w:szCs w:val="21"/>
      </w:rPr>
    </w:lvl>
    <w:lvl w:ilvl="1" w:tplc="040C801C">
      <w:start w:val="1"/>
      <w:numFmt w:val="bullet"/>
      <w:lvlText w:val="•"/>
      <w:lvlJc w:val="left"/>
      <w:pPr>
        <w:ind w:left="1109" w:hanging="284"/>
      </w:pPr>
      <w:rPr>
        <w:rFonts w:hint="default"/>
      </w:rPr>
    </w:lvl>
    <w:lvl w:ilvl="2" w:tplc="1250F1EE">
      <w:start w:val="1"/>
      <w:numFmt w:val="bullet"/>
      <w:lvlText w:val="•"/>
      <w:lvlJc w:val="left"/>
      <w:pPr>
        <w:ind w:left="1557" w:hanging="284"/>
      </w:pPr>
      <w:rPr>
        <w:rFonts w:hint="default"/>
      </w:rPr>
    </w:lvl>
    <w:lvl w:ilvl="3" w:tplc="EED03DEA">
      <w:start w:val="1"/>
      <w:numFmt w:val="bullet"/>
      <w:lvlText w:val="•"/>
      <w:lvlJc w:val="left"/>
      <w:pPr>
        <w:ind w:left="2005" w:hanging="284"/>
      </w:pPr>
      <w:rPr>
        <w:rFonts w:hint="default"/>
      </w:rPr>
    </w:lvl>
    <w:lvl w:ilvl="4" w:tplc="C2526822">
      <w:start w:val="1"/>
      <w:numFmt w:val="bullet"/>
      <w:lvlText w:val="•"/>
      <w:lvlJc w:val="left"/>
      <w:pPr>
        <w:ind w:left="2453" w:hanging="284"/>
      </w:pPr>
      <w:rPr>
        <w:rFonts w:hint="default"/>
      </w:rPr>
    </w:lvl>
    <w:lvl w:ilvl="5" w:tplc="3B98B002">
      <w:start w:val="1"/>
      <w:numFmt w:val="bullet"/>
      <w:lvlText w:val="•"/>
      <w:lvlJc w:val="left"/>
      <w:pPr>
        <w:ind w:left="2901" w:hanging="284"/>
      </w:pPr>
      <w:rPr>
        <w:rFonts w:hint="default"/>
      </w:rPr>
    </w:lvl>
    <w:lvl w:ilvl="6" w:tplc="E2B4B88C">
      <w:start w:val="1"/>
      <w:numFmt w:val="bullet"/>
      <w:lvlText w:val="•"/>
      <w:lvlJc w:val="left"/>
      <w:pPr>
        <w:ind w:left="3349" w:hanging="284"/>
      </w:pPr>
      <w:rPr>
        <w:rFonts w:hint="default"/>
      </w:rPr>
    </w:lvl>
    <w:lvl w:ilvl="7" w:tplc="716A8E58">
      <w:start w:val="1"/>
      <w:numFmt w:val="bullet"/>
      <w:lvlText w:val="•"/>
      <w:lvlJc w:val="left"/>
      <w:pPr>
        <w:ind w:left="3797" w:hanging="284"/>
      </w:pPr>
      <w:rPr>
        <w:rFonts w:hint="default"/>
      </w:rPr>
    </w:lvl>
    <w:lvl w:ilvl="8" w:tplc="31BAFC90">
      <w:start w:val="1"/>
      <w:numFmt w:val="bullet"/>
      <w:lvlText w:val="•"/>
      <w:lvlJc w:val="left"/>
      <w:pPr>
        <w:ind w:left="4245" w:hanging="284"/>
      </w:pPr>
      <w:rPr>
        <w:rFonts w:hint="default"/>
      </w:rPr>
    </w:lvl>
  </w:abstractNum>
  <w:abstractNum w:abstractNumId="40" w15:restartNumberingAfterBreak="0">
    <w:nsid w:val="761C54D3"/>
    <w:multiLevelType w:val="hybridMultilevel"/>
    <w:tmpl w:val="6F1E4EBE"/>
    <w:lvl w:ilvl="0" w:tplc="14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90B609F"/>
    <w:multiLevelType w:val="hybridMultilevel"/>
    <w:tmpl w:val="DADE0218"/>
    <w:lvl w:ilvl="0" w:tplc="B80C461A">
      <w:start w:val="1"/>
      <w:numFmt w:val="bullet"/>
      <w:lvlText w:val="•"/>
      <w:lvlJc w:val="left"/>
      <w:pPr>
        <w:ind w:left="587" w:hanging="284"/>
      </w:pPr>
      <w:rPr>
        <w:rFonts w:ascii="Lucida Sans Unicode" w:eastAsia="Lucida Sans Unicode" w:hAnsi="Lucida Sans Unicode" w:hint="default"/>
        <w:w w:val="59"/>
        <w:sz w:val="21"/>
        <w:szCs w:val="21"/>
      </w:rPr>
    </w:lvl>
    <w:lvl w:ilvl="1" w:tplc="DA12774A">
      <w:start w:val="1"/>
      <w:numFmt w:val="bullet"/>
      <w:lvlText w:val="•"/>
      <w:lvlJc w:val="left"/>
      <w:pPr>
        <w:ind w:left="2267" w:hanging="284"/>
      </w:pPr>
      <w:rPr>
        <w:rFonts w:ascii="Lucida Sans Unicode" w:eastAsia="Lucida Sans Unicode" w:hAnsi="Lucida Sans Unicode" w:hint="default"/>
        <w:w w:val="59"/>
        <w:sz w:val="21"/>
        <w:szCs w:val="21"/>
      </w:rPr>
    </w:lvl>
    <w:lvl w:ilvl="2" w:tplc="C6E244EC">
      <w:start w:val="1"/>
      <w:numFmt w:val="bullet"/>
      <w:lvlText w:val="•"/>
      <w:lvlJc w:val="left"/>
      <w:pPr>
        <w:ind w:left="2689" w:hanging="284"/>
      </w:pPr>
      <w:rPr>
        <w:rFonts w:hint="default"/>
      </w:rPr>
    </w:lvl>
    <w:lvl w:ilvl="3" w:tplc="8ADA74DA">
      <w:start w:val="1"/>
      <w:numFmt w:val="bullet"/>
      <w:lvlText w:val="•"/>
      <w:lvlJc w:val="left"/>
      <w:pPr>
        <w:ind w:left="3111" w:hanging="284"/>
      </w:pPr>
      <w:rPr>
        <w:rFonts w:hint="default"/>
      </w:rPr>
    </w:lvl>
    <w:lvl w:ilvl="4" w:tplc="4FC0E628">
      <w:start w:val="1"/>
      <w:numFmt w:val="bullet"/>
      <w:lvlText w:val="•"/>
      <w:lvlJc w:val="left"/>
      <w:pPr>
        <w:ind w:left="3532" w:hanging="284"/>
      </w:pPr>
      <w:rPr>
        <w:rFonts w:hint="default"/>
      </w:rPr>
    </w:lvl>
    <w:lvl w:ilvl="5" w:tplc="531CD59C">
      <w:start w:val="1"/>
      <w:numFmt w:val="bullet"/>
      <w:lvlText w:val="•"/>
      <w:lvlJc w:val="left"/>
      <w:pPr>
        <w:ind w:left="3954" w:hanging="284"/>
      </w:pPr>
      <w:rPr>
        <w:rFonts w:hint="default"/>
      </w:rPr>
    </w:lvl>
    <w:lvl w:ilvl="6" w:tplc="53CAE810">
      <w:start w:val="1"/>
      <w:numFmt w:val="bullet"/>
      <w:lvlText w:val="•"/>
      <w:lvlJc w:val="left"/>
      <w:pPr>
        <w:ind w:left="4376" w:hanging="284"/>
      </w:pPr>
      <w:rPr>
        <w:rFonts w:hint="default"/>
      </w:rPr>
    </w:lvl>
    <w:lvl w:ilvl="7" w:tplc="4F583E0A">
      <w:start w:val="1"/>
      <w:numFmt w:val="bullet"/>
      <w:lvlText w:val="•"/>
      <w:lvlJc w:val="left"/>
      <w:pPr>
        <w:ind w:left="4798" w:hanging="284"/>
      </w:pPr>
      <w:rPr>
        <w:rFonts w:hint="default"/>
      </w:rPr>
    </w:lvl>
    <w:lvl w:ilvl="8" w:tplc="4E8A9C6C">
      <w:start w:val="1"/>
      <w:numFmt w:val="bullet"/>
      <w:lvlText w:val="•"/>
      <w:lvlJc w:val="left"/>
      <w:pPr>
        <w:ind w:left="5219" w:hanging="284"/>
      </w:pPr>
      <w:rPr>
        <w:rFonts w:hint="default"/>
      </w:rPr>
    </w:lvl>
  </w:abstractNum>
  <w:abstractNum w:abstractNumId="42" w15:restartNumberingAfterBreak="0">
    <w:nsid w:val="7A46122C"/>
    <w:multiLevelType w:val="hybridMultilevel"/>
    <w:tmpl w:val="5888C120"/>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3"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44" w15:restartNumberingAfterBreak="0">
    <w:nsid w:val="7C970E9C"/>
    <w:multiLevelType w:val="hybridMultilevel"/>
    <w:tmpl w:val="4384984A"/>
    <w:lvl w:ilvl="0" w:tplc="C93A288C">
      <w:start w:val="1"/>
      <w:numFmt w:val="bullet"/>
      <w:lvlText w:val="•"/>
      <w:lvlJc w:val="left"/>
      <w:pPr>
        <w:ind w:left="246" w:hanging="134"/>
      </w:pPr>
      <w:rPr>
        <w:rFonts w:ascii="Arial Unicode MS" w:eastAsia="Arial Unicode MS" w:hAnsi="Arial Unicode MS" w:hint="default"/>
        <w:w w:val="107"/>
        <w:sz w:val="21"/>
        <w:szCs w:val="21"/>
      </w:rPr>
    </w:lvl>
    <w:lvl w:ilvl="1" w:tplc="DA5E0414">
      <w:start w:val="1"/>
      <w:numFmt w:val="bullet"/>
      <w:lvlText w:val="•"/>
      <w:lvlJc w:val="left"/>
      <w:pPr>
        <w:ind w:left="464" w:hanging="134"/>
      </w:pPr>
      <w:rPr>
        <w:rFonts w:hint="default"/>
      </w:rPr>
    </w:lvl>
    <w:lvl w:ilvl="2" w:tplc="E29E55C8">
      <w:start w:val="1"/>
      <w:numFmt w:val="bullet"/>
      <w:lvlText w:val="•"/>
      <w:lvlJc w:val="left"/>
      <w:pPr>
        <w:ind w:left="682" w:hanging="134"/>
      </w:pPr>
      <w:rPr>
        <w:rFonts w:hint="default"/>
      </w:rPr>
    </w:lvl>
    <w:lvl w:ilvl="3" w:tplc="38AA3A8C">
      <w:start w:val="1"/>
      <w:numFmt w:val="bullet"/>
      <w:lvlText w:val="•"/>
      <w:lvlJc w:val="left"/>
      <w:pPr>
        <w:ind w:left="900" w:hanging="134"/>
      </w:pPr>
      <w:rPr>
        <w:rFonts w:hint="default"/>
      </w:rPr>
    </w:lvl>
    <w:lvl w:ilvl="4" w:tplc="6280268C">
      <w:start w:val="1"/>
      <w:numFmt w:val="bullet"/>
      <w:lvlText w:val="•"/>
      <w:lvlJc w:val="left"/>
      <w:pPr>
        <w:ind w:left="1118" w:hanging="134"/>
      </w:pPr>
      <w:rPr>
        <w:rFonts w:hint="default"/>
      </w:rPr>
    </w:lvl>
    <w:lvl w:ilvl="5" w:tplc="41CA4FC0">
      <w:start w:val="1"/>
      <w:numFmt w:val="bullet"/>
      <w:lvlText w:val="•"/>
      <w:lvlJc w:val="left"/>
      <w:pPr>
        <w:ind w:left="1336" w:hanging="134"/>
      </w:pPr>
      <w:rPr>
        <w:rFonts w:hint="default"/>
      </w:rPr>
    </w:lvl>
    <w:lvl w:ilvl="6" w:tplc="F828CB0C">
      <w:start w:val="1"/>
      <w:numFmt w:val="bullet"/>
      <w:lvlText w:val="•"/>
      <w:lvlJc w:val="left"/>
      <w:pPr>
        <w:ind w:left="1554" w:hanging="134"/>
      </w:pPr>
      <w:rPr>
        <w:rFonts w:hint="default"/>
      </w:rPr>
    </w:lvl>
    <w:lvl w:ilvl="7" w:tplc="21BEBEB6">
      <w:start w:val="1"/>
      <w:numFmt w:val="bullet"/>
      <w:lvlText w:val="•"/>
      <w:lvlJc w:val="left"/>
      <w:pPr>
        <w:ind w:left="1771" w:hanging="134"/>
      </w:pPr>
      <w:rPr>
        <w:rFonts w:hint="default"/>
      </w:rPr>
    </w:lvl>
    <w:lvl w:ilvl="8" w:tplc="D11CBA8E">
      <w:start w:val="1"/>
      <w:numFmt w:val="bullet"/>
      <w:lvlText w:val="•"/>
      <w:lvlJc w:val="left"/>
      <w:pPr>
        <w:ind w:left="1989" w:hanging="134"/>
      </w:pPr>
      <w:rPr>
        <w:rFonts w:hint="default"/>
      </w:rPr>
    </w:lvl>
  </w:abstractNum>
  <w:abstractNum w:abstractNumId="45" w15:restartNumberingAfterBreak="0">
    <w:nsid w:val="7CC72B21"/>
    <w:multiLevelType w:val="multilevel"/>
    <w:tmpl w:val="273E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47498581">
    <w:abstractNumId w:val="43"/>
  </w:num>
  <w:num w:numId="2" w16cid:durableId="893539770">
    <w:abstractNumId w:val="36"/>
  </w:num>
  <w:num w:numId="3" w16cid:durableId="843396305">
    <w:abstractNumId w:val="25"/>
  </w:num>
  <w:num w:numId="4" w16cid:durableId="837382218">
    <w:abstractNumId w:val="26"/>
  </w:num>
  <w:num w:numId="5" w16cid:durableId="1746994978">
    <w:abstractNumId w:val="3"/>
  </w:num>
  <w:num w:numId="6" w16cid:durableId="405733463">
    <w:abstractNumId w:val="45"/>
  </w:num>
  <w:num w:numId="7" w16cid:durableId="762995102">
    <w:abstractNumId w:val="18"/>
  </w:num>
  <w:num w:numId="8" w16cid:durableId="881868129">
    <w:abstractNumId w:val="5"/>
  </w:num>
  <w:num w:numId="9" w16cid:durableId="340621314">
    <w:abstractNumId w:val="42"/>
  </w:num>
  <w:num w:numId="10" w16cid:durableId="510686796">
    <w:abstractNumId w:val="4"/>
  </w:num>
  <w:num w:numId="11" w16cid:durableId="1643578095">
    <w:abstractNumId w:val="40"/>
  </w:num>
  <w:num w:numId="12" w16cid:durableId="404844524">
    <w:abstractNumId w:val="6"/>
  </w:num>
  <w:num w:numId="13" w16cid:durableId="748430708">
    <w:abstractNumId w:val="12"/>
  </w:num>
  <w:num w:numId="14" w16cid:durableId="739400471">
    <w:abstractNumId w:val="9"/>
  </w:num>
  <w:num w:numId="15" w16cid:durableId="379788438">
    <w:abstractNumId w:val="14"/>
  </w:num>
  <w:num w:numId="16" w16cid:durableId="1008484245">
    <w:abstractNumId w:val="29"/>
  </w:num>
  <w:num w:numId="17" w16cid:durableId="1600680613">
    <w:abstractNumId w:val="16"/>
  </w:num>
  <w:num w:numId="18" w16cid:durableId="2088069852">
    <w:abstractNumId w:val="38"/>
  </w:num>
  <w:num w:numId="19" w16cid:durableId="49042041">
    <w:abstractNumId w:val="17"/>
  </w:num>
  <w:num w:numId="20" w16cid:durableId="1191072658">
    <w:abstractNumId w:val="28"/>
  </w:num>
  <w:num w:numId="21" w16cid:durableId="686907326">
    <w:abstractNumId w:val="10"/>
  </w:num>
  <w:num w:numId="22" w16cid:durableId="621107392">
    <w:abstractNumId w:val="7"/>
  </w:num>
  <w:num w:numId="23" w16cid:durableId="1292712325">
    <w:abstractNumId w:val="32"/>
  </w:num>
  <w:num w:numId="24" w16cid:durableId="796870184">
    <w:abstractNumId w:val="31"/>
  </w:num>
  <w:num w:numId="25" w16cid:durableId="363600660">
    <w:abstractNumId w:val="44"/>
  </w:num>
  <w:num w:numId="26" w16cid:durableId="957300095">
    <w:abstractNumId w:val="20"/>
  </w:num>
  <w:num w:numId="27" w16cid:durableId="723332853">
    <w:abstractNumId w:val="39"/>
  </w:num>
  <w:num w:numId="28" w16cid:durableId="1622763040">
    <w:abstractNumId w:val="37"/>
  </w:num>
  <w:num w:numId="29" w16cid:durableId="1632007931">
    <w:abstractNumId w:val="27"/>
  </w:num>
  <w:num w:numId="30" w16cid:durableId="1383990246">
    <w:abstractNumId w:val="15"/>
  </w:num>
  <w:num w:numId="31" w16cid:durableId="299699848">
    <w:abstractNumId w:val="41"/>
  </w:num>
  <w:num w:numId="32" w16cid:durableId="1021011986">
    <w:abstractNumId w:val="23"/>
  </w:num>
  <w:num w:numId="33" w16cid:durableId="519666928">
    <w:abstractNumId w:val="1"/>
  </w:num>
  <w:num w:numId="34" w16cid:durableId="34013991">
    <w:abstractNumId w:val="21"/>
  </w:num>
  <w:num w:numId="35" w16cid:durableId="1481146180">
    <w:abstractNumId w:val="13"/>
  </w:num>
  <w:num w:numId="36" w16cid:durableId="317880701">
    <w:abstractNumId w:val="33"/>
  </w:num>
  <w:num w:numId="37" w16cid:durableId="114719414">
    <w:abstractNumId w:val="2"/>
  </w:num>
  <w:num w:numId="38" w16cid:durableId="1687095295">
    <w:abstractNumId w:val="35"/>
  </w:num>
  <w:num w:numId="39" w16cid:durableId="949749183">
    <w:abstractNumId w:val="0"/>
  </w:num>
  <w:num w:numId="40" w16cid:durableId="1340304497">
    <w:abstractNumId w:val="8"/>
  </w:num>
  <w:num w:numId="41" w16cid:durableId="109053539">
    <w:abstractNumId w:val="22"/>
  </w:num>
  <w:num w:numId="42" w16cid:durableId="2027052736">
    <w:abstractNumId w:val="19"/>
  </w:num>
  <w:num w:numId="43" w16cid:durableId="1511985">
    <w:abstractNumId w:val="11"/>
  </w:num>
  <w:num w:numId="44" w16cid:durableId="595477778">
    <w:abstractNumId w:val="34"/>
  </w:num>
  <w:num w:numId="45" w16cid:durableId="838429471">
    <w:abstractNumId w:val="24"/>
  </w:num>
  <w:num w:numId="46" w16cid:durableId="2127698010">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0A41"/>
    <w:rsid w:val="000011F3"/>
    <w:rsid w:val="00001C7B"/>
    <w:rsid w:val="000024F9"/>
    <w:rsid w:val="000025B8"/>
    <w:rsid w:val="00003D2A"/>
    <w:rsid w:val="00005BB5"/>
    <w:rsid w:val="00012694"/>
    <w:rsid w:val="00012C36"/>
    <w:rsid w:val="0001753A"/>
    <w:rsid w:val="00017FCE"/>
    <w:rsid w:val="00023157"/>
    <w:rsid w:val="00025A6F"/>
    <w:rsid w:val="0002618D"/>
    <w:rsid w:val="0002682E"/>
    <w:rsid w:val="000269E4"/>
    <w:rsid w:val="00027422"/>
    <w:rsid w:val="00027580"/>
    <w:rsid w:val="0002793A"/>
    <w:rsid w:val="00030B26"/>
    <w:rsid w:val="00030E84"/>
    <w:rsid w:val="00032C0A"/>
    <w:rsid w:val="00033411"/>
    <w:rsid w:val="00034E50"/>
    <w:rsid w:val="00035257"/>
    <w:rsid w:val="00035314"/>
    <w:rsid w:val="00035AD1"/>
    <w:rsid w:val="00035D68"/>
    <w:rsid w:val="00037323"/>
    <w:rsid w:val="00037C9B"/>
    <w:rsid w:val="00040436"/>
    <w:rsid w:val="00041672"/>
    <w:rsid w:val="00042EB1"/>
    <w:rsid w:val="00043B10"/>
    <w:rsid w:val="00043D1D"/>
    <w:rsid w:val="0004712A"/>
    <w:rsid w:val="00047367"/>
    <w:rsid w:val="00047C2D"/>
    <w:rsid w:val="00050210"/>
    <w:rsid w:val="000506C2"/>
    <w:rsid w:val="00050950"/>
    <w:rsid w:val="00050C9E"/>
    <w:rsid w:val="0005294A"/>
    <w:rsid w:val="000536B8"/>
    <w:rsid w:val="00054B44"/>
    <w:rsid w:val="00060042"/>
    <w:rsid w:val="00060442"/>
    <w:rsid w:val="00060F63"/>
    <w:rsid w:val="00062143"/>
    <w:rsid w:val="0006228D"/>
    <w:rsid w:val="00063DA2"/>
    <w:rsid w:val="00064142"/>
    <w:rsid w:val="00065DA4"/>
    <w:rsid w:val="00065DE8"/>
    <w:rsid w:val="000662CD"/>
    <w:rsid w:val="000669FB"/>
    <w:rsid w:val="00072BD6"/>
    <w:rsid w:val="00072F46"/>
    <w:rsid w:val="0007368D"/>
    <w:rsid w:val="00074B3A"/>
    <w:rsid w:val="00075469"/>
    <w:rsid w:val="00075B78"/>
    <w:rsid w:val="000763E9"/>
    <w:rsid w:val="00080A53"/>
    <w:rsid w:val="00081AC0"/>
    <w:rsid w:val="000828EA"/>
    <w:rsid w:val="00082BCC"/>
    <w:rsid w:val="00082CD6"/>
    <w:rsid w:val="00083711"/>
    <w:rsid w:val="0008437D"/>
    <w:rsid w:val="000843C9"/>
    <w:rsid w:val="00085112"/>
    <w:rsid w:val="0008576E"/>
    <w:rsid w:val="00085AFE"/>
    <w:rsid w:val="0008797F"/>
    <w:rsid w:val="00090F3A"/>
    <w:rsid w:val="00091365"/>
    <w:rsid w:val="00091743"/>
    <w:rsid w:val="000924B3"/>
    <w:rsid w:val="00092503"/>
    <w:rsid w:val="00092A25"/>
    <w:rsid w:val="00094800"/>
    <w:rsid w:val="00094D86"/>
    <w:rsid w:val="000950E2"/>
    <w:rsid w:val="000950FB"/>
    <w:rsid w:val="0009679A"/>
    <w:rsid w:val="00097E8A"/>
    <w:rsid w:val="000A00A3"/>
    <w:rsid w:val="000A1927"/>
    <w:rsid w:val="000A39BB"/>
    <w:rsid w:val="000A41ED"/>
    <w:rsid w:val="000A4965"/>
    <w:rsid w:val="000A7358"/>
    <w:rsid w:val="000A7699"/>
    <w:rsid w:val="000B0730"/>
    <w:rsid w:val="000B0DEE"/>
    <w:rsid w:val="000B2BE2"/>
    <w:rsid w:val="000B372D"/>
    <w:rsid w:val="000B5420"/>
    <w:rsid w:val="000B5A23"/>
    <w:rsid w:val="000B5DA8"/>
    <w:rsid w:val="000B61E8"/>
    <w:rsid w:val="000B6616"/>
    <w:rsid w:val="000B694F"/>
    <w:rsid w:val="000B6D2D"/>
    <w:rsid w:val="000C3505"/>
    <w:rsid w:val="000C352D"/>
    <w:rsid w:val="000C51DF"/>
    <w:rsid w:val="000C58A7"/>
    <w:rsid w:val="000D01EA"/>
    <w:rsid w:val="000D147C"/>
    <w:rsid w:val="000D1893"/>
    <w:rsid w:val="000D19F4"/>
    <w:rsid w:val="000D3380"/>
    <w:rsid w:val="000D4534"/>
    <w:rsid w:val="000D54A4"/>
    <w:rsid w:val="000D58DD"/>
    <w:rsid w:val="000D5B1F"/>
    <w:rsid w:val="000D6BB6"/>
    <w:rsid w:val="000E00AB"/>
    <w:rsid w:val="000E11A6"/>
    <w:rsid w:val="000E23A2"/>
    <w:rsid w:val="000E37A0"/>
    <w:rsid w:val="000E44BE"/>
    <w:rsid w:val="000E63BB"/>
    <w:rsid w:val="000E6ADE"/>
    <w:rsid w:val="000F0244"/>
    <w:rsid w:val="000F05FD"/>
    <w:rsid w:val="000F0FCF"/>
    <w:rsid w:val="000F2204"/>
    <w:rsid w:val="000F2AE2"/>
    <w:rsid w:val="000F2BFF"/>
    <w:rsid w:val="000F5E59"/>
    <w:rsid w:val="000F7691"/>
    <w:rsid w:val="000F7C71"/>
    <w:rsid w:val="0010046A"/>
    <w:rsid w:val="00100819"/>
    <w:rsid w:val="00101219"/>
    <w:rsid w:val="00101611"/>
    <w:rsid w:val="00102063"/>
    <w:rsid w:val="001022D6"/>
    <w:rsid w:val="0010385E"/>
    <w:rsid w:val="0010393D"/>
    <w:rsid w:val="00104308"/>
    <w:rsid w:val="00104841"/>
    <w:rsid w:val="0010541C"/>
    <w:rsid w:val="00106F93"/>
    <w:rsid w:val="00110B57"/>
    <w:rsid w:val="00111098"/>
    <w:rsid w:val="00111D50"/>
    <w:rsid w:val="001122CD"/>
    <w:rsid w:val="0011355E"/>
    <w:rsid w:val="00113B8E"/>
    <w:rsid w:val="00114CA9"/>
    <w:rsid w:val="00114E5C"/>
    <w:rsid w:val="0011527E"/>
    <w:rsid w:val="00115383"/>
    <w:rsid w:val="00115A9A"/>
    <w:rsid w:val="00115D40"/>
    <w:rsid w:val="0012053C"/>
    <w:rsid w:val="001205BC"/>
    <w:rsid w:val="001207BB"/>
    <w:rsid w:val="0012129D"/>
    <w:rsid w:val="0012183F"/>
    <w:rsid w:val="00122363"/>
    <w:rsid w:val="00124F73"/>
    <w:rsid w:val="0012678B"/>
    <w:rsid w:val="00132519"/>
    <w:rsid w:val="00132CE4"/>
    <w:rsid w:val="0013410E"/>
    <w:rsid w:val="001342C7"/>
    <w:rsid w:val="00134697"/>
    <w:rsid w:val="0013585C"/>
    <w:rsid w:val="0013710B"/>
    <w:rsid w:val="001377FA"/>
    <w:rsid w:val="00141ADE"/>
    <w:rsid w:val="00141F65"/>
    <w:rsid w:val="00142137"/>
    <w:rsid w:val="00142261"/>
    <w:rsid w:val="00142954"/>
    <w:rsid w:val="00145F2C"/>
    <w:rsid w:val="001460E0"/>
    <w:rsid w:val="001472F0"/>
    <w:rsid w:val="001479F8"/>
    <w:rsid w:val="00147F71"/>
    <w:rsid w:val="00150309"/>
    <w:rsid w:val="00150A6E"/>
    <w:rsid w:val="001519B4"/>
    <w:rsid w:val="00153E1D"/>
    <w:rsid w:val="00155599"/>
    <w:rsid w:val="00155B10"/>
    <w:rsid w:val="001572ED"/>
    <w:rsid w:val="00157675"/>
    <w:rsid w:val="001579B9"/>
    <w:rsid w:val="001600A9"/>
    <w:rsid w:val="001614BF"/>
    <w:rsid w:val="0016304B"/>
    <w:rsid w:val="001635D1"/>
    <w:rsid w:val="00163D9F"/>
    <w:rsid w:val="0016468A"/>
    <w:rsid w:val="001655A8"/>
    <w:rsid w:val="001669BC"/>
    <w:rsid w:val="0017044D"/>
    <w:rsid w:val="0017099C"/>
    <w:rsid w:val="00171F72"/>
    <w:rsid w:val="00173DCA"/>
    <w:rsid w:val="00176F20"/>
    <w:rsid w:val="001802F9"/>
    <w:rsid w:val="00182A64"/>
    <w:rsid w:val="00183169"/>
    <w:rsid w:val="001833D1"/>
    <w:rsid w:val="00183498"/>
    <w:rsid w:val="001838D5"/>
    <w:rsid w:val="001855B4"/>
    <w:rsid w:val="0018662D"/>
    <w:rsid w:val="001866F1"/>
    <w:rsid w:val="001872AC"/>
    <w:rsid w:val="00190E2E"/>
    <w:rsid w:val="00191E2E"/>
    <w:rsid w:val="001920D1"/>
    <w:rsid w:val="00192743"/>
    <w:rsid w:val="001927EB"/>
    <w:rsid w:val="001953A4"/>
    <w:rsid w:val="00196F76"/>
    <w:rsid w:val="00197427"/>
    <w:rsid w:val="00197ED1"/>
    <w:rsid w:val="001A072B"/>
    <w:rsid w:val="001A1057"/>
    <w:rsid w:val="001A17FC"/>
    <w:rsid w:val="001A21B4"/>
    <w:rsid w:val="001A2337"/>
    <w:rsid w:val="001A2AE9"/>
    <w:rsid w:val="001A339B"/>
    <w:rsid w:val="001A5CF5"/>
    <w:rsid w:val="001B0608"/>
    <w:rsid w:val="001B39D2"/>
    <w:rsid w:val="001B40B9"/>
    <w:rsid w:val="001B4491"/>
    <w:rsid w:val="001B4BF8"/>
    <w:rsid w:val="001B59CF"/>
    <w:rsid w:val="001B7476"/>
    <w:rsid w:val="001C09BB"/>
    <w:rsid w:val="001C0E4B"/>
    <w:rsid w:val="001C1018"/>
    <w:rsid w:val="001C1302"/>
    <w:rsid w:val="001C2E80"/>
    <w:rsid w:val="001C3A1E"/>
    <w:rsid w:val="001C4326"/>
    <w:rsid w:val="001C5527"/>
    <w:rsid w:val="001C55C0"/>
    <w:rsid w:val="001C665E"/>
    <w:rsid w:val="001C7DE9"/>
    <w:rsid w:val="001D02D9"/>
    <w:rsid w:val="001D0B56"/>
    <w:rsid w:val="001D12C1"/>
    <w:rsid w:val="001D1A97"/>
    <w:rsid w:val="001D2026"/>
    <w:rsid w:val="001D2E1A"/>
    <w:rsid w:val="001D3541"/>
    <w:rsid w:val="001D3DBF"/>
    <w:rsid w:val="001D3E4E"/>
    <w:rsid w:val="001D4B3D"/>
    <w:rsid w:val="001D59D8"/>
    <w:rsid w:val="001D5FF7"/>
    <w:rsid w:val="001D660C"/>
    <w:rsid w:val="001D6F0A"/>
    <w:rsid w:val="001D75C5"/>
    <w:rsid w:val="001E035D"/>
    <w:rsid w:val="001E0745"/>
    <w:rsid w:val="001E0806"/>
    <w:rsid w:val="001E089F"/>
    <w:rsid w:val="001E0957"/>
    <w:rsid w:val="001E13EA"/>
    <w:rsid w:val="001E254A"/>
    <w:rsid w:val="001E3077"/>
    <w:rsid w:val="001E4988"/>
    <w:rsid w:val="001E59AA"/>
    <w:rsid w:val="001E7102"/>
    <w:rsid w:val="001E7386"/>
    <w:rsid w:val="001F0938"/>
    <w:rsid w:val="001F0E75"/>
    <w:rsid w:val="001F2285"/>
    <w:rsid w:val="001F2B12"/>
    <w:rsid w:val="001F3D15"/>
    <w:rsid w:val="001F4028"/>
    <w:rsid w:val="001F45A7"/>
    <w:rsid w:val="0020022A"/>
    <w:rsid w:val="002011B5"/>
    <w:rsid w:val="0020191A"/>
    <w:rsid w:val="00201A01"/>
    <w:rsid w:val="0020280C"/>
    <w:rsid w:val="00203996"/>
    <w:rsid w:val="002043A2"/>
    <w:rsid w:val="00205F36"/>
    <w:rsid w:val="0020754B"/>
    <w:rsid w:val="002104D3"/>
    <w:rsid w:val="0021155A"/>
    <w:rsid w:val="00213A33"/>
    <w:rsid w:val="0021492A"/>
    <w:rsid w:val="002153EA"/>
    <w:rsid w:val="00215C35"/>
    <w:rsid w:val="00215F57"/>
    <w:rsid w:val="0021698B"/>
    <w:rsid w:val="0021763B"/>
    <w:rsid w:val="00217903"/>
    <w:rsid w:val="00220942"/>
    <w:rsid w:val="00220EA4"/>
    <w:rsid w:val="00220F13"/>
    <w:rsid w:val="0022255A"/>
    <w:rsid w:val="00223525"/>
    <w:rsid w:val="002245D5"/>
    <w:rsid w:val="0022574A"/>
    <w:rsid w:val="00226841"/>
    <w:rsid w:val="00226A88"/>
    <w:rsid w:val="0022783B"/>
    <w:rsid w:val="0023152F"/>
    <w:rsid w:val="00233162"/>
    <w:rsid w:val="00234550"/>
    <w:rsid w:val="00237F7B"/>
    <w:rsid w:val="002421EC"/>
    <w:rsid w:val="00245AC5"/>
    <w:rsid w:val="00246DB1"/>
    <w:rsid w:val="002476B5"/>
    <w:rsid w:val="00247752"/>
    <w:rsid w:val="00250355"/>
    <w:rsid w:val="0025046C"/>
    <w:rsid w:val="002520CC"/>
    <w:rsid w:val="00252F1D"/>
    <w:rsid w:val="00253ECF"/>
    <w:rsid w:val="002546A1"/>
    <w:rsid w:val="00256329"/>
    <w:rsid w:val="002576F6"/>
    <w:rsid w:val="00261123"/>
    <w:rsid w:val="0026174D"/>
    <w:rsid w:val="0026229D"/>
    <w:rsid w:val="002628F4"/>
    <w:rsid w:val="00262B4F"/>
    <w:rsid w:val="00263700"/>
    <w:rsid w:val="0026399C"/>
    <w:rsid w:val="00263DA1"/>
    <w:rsid w:val="00265753"/>
    <w:rsid w:val="00266EAE"/>
    <w:rsid w:val="00266F90"/>
    <w:rsid w:val="002713F3"/>
    <w:rsid w:val="00272643"/>
    <w:rsid w:val="00272AAB"/>
    <w:rsid w:val="002746FF"/>
    <w:rsid w:val="00275D08"/>
    <w:rsid w:val="00275EB7"/>
    <w:rsid w:val="00280690"/>
    <w:rsid w:val="002806E7"/>
    <w:rsid w:val="00281772"/>
    <w:rsid w:val="00282A7C"/>
    <w:rsid w:val="00283763"/>
    <w:rsid w:val="00283843"/>
    <w:rsid w:val="00284219"/>
    <w:rsid w:val="00284382"/>
    <w:rsid w:val="00284611"/>
    <w:rsid w:val="0028487D"/>
    <w:rsid w:val="002858E3"/>
    <w:rsid w:val="00286A2A"/>
    <w:rsid w:val="002909F6"/>
    <w:rsid w:val="00290B92"/>
    <w:rsid w:val="0029190A"/>
    <w:rsid w:val="00291E31"/>
    <w:rsid w:val="002923E8"/>
    <w:rsid w:val="00292913"/>
    <w:rsid w:val="00292C5A"/>
    <w:rsid w:val="00292DE0"/>
    <w:rsid w:val="00292F5B"/>
    <w:rsid w:val="00293C7B"/>
    <w:rsid w:val="002950A3"/>
    <w:rsid w:val="002950D6"/>
    <w:rsid w:val="002951A6"/>
    <w:rsid w:val="00295241"/>
    <w:rsid w:val="00296172"/>
    <w:rsid w:val="002A130D"/>
    <w:rsid w:val="002A3091"/>
    <w:rsid w:val="002A3EE2"/>
    <w:rsid w:val="002A3EEB"/>
    <w:rsid w:val="002A4425"/>
    <w:rsid w:val="002A4474"/>
    <w:rsid w:val="002A4DFC"/>
    <w:rsid w:val="002A51D1"/>
    <w:rsid w:val="002A628E"/>
    <w:rsid w:val="002B047D"/>
    <w:rsid w:val="002B1562"/>
    <w:rsid w:val="002B1C51"/>
    <w:rsid w:val="002B1C79"/>
    <w:rsid w:val="002B732B"/>
    <w:rsid w:val="002B76A7"/>
    <w:rsid w:val="002C0B07"/>
    <w:rsid w:val="002C2219"/>
    <w:rsid w:val="002C2552"/>
    <w:rsid w:val="002C2AB4"/>
    <w:rsid w:val="002C380A"/>
    <w:rsid w:val="002C4E44"/>
    <w:rsid w:val="002C5410"/>
    <w:rsid w:val="002C5A48"/>
    <w:rsid w:val="002C6E1F"/>
    <w:rsid w:val="002D0DF2"/>
    <w:rsid w:val="002D1B3F"/>
    <w:rsid w:val="002D23BD"/>
    <w:rsid w:val="002D278B"/>
    <w:rsid w:val="002D33C2"/>
    <w:rsid w:val="002D4FD8"/>
    <w:rsid w:val="002D60DB"/>
    <w:rsid w:val="002D61A1"/>
    <w:rsid w:val="002D64C7"/>
    <w:rsid w:val="002D6A1F"/>
    <w:rsid w:val="002E0836"/>
    <w:rsid w:val="002E0B47"/>
    <w:rsid w:val="002E1977"/>
    <w:rsid w:val="002E1E16"/>
    <w:rsid w:val="002E569F"/>
    <w:rsid w:val="002E6922"/>
    <w:rsid w:val="002E69D0"/>
    <w:rsid w:val="002E754D"/>
    <w:rsid w:val="002E7A95"/>
    <w:rsid w:val="002F1D8C"/>
    <w:rsid w:val="002F34ED"/>
    <w:rsid w:val="002F35AD"/>
    <w:rsid w:val="002F3972"/>
    <w:rsid w:val="002F40AD"/>
    <w:rsid w:val="002F4685"/>
    <w:rsid w:val="002F52B9"/>
    <w:rsid w:val="002F58DA"/>
    <w:rsid w:val="002F6A84"/>
    <w:rsid w:val="002F70B9"/>
    <w:rsid w:val="002F7213"/>
    <w:rsid w:val="00301709"/>
    <w:rsid w:val="00303179"/>
    <w:rsid w:val="0030382F"/>
    <w:rsid w:val="00303A2D"/>
    <w:rsid w:val="0030408D"/>
    <w:rsid w:val="00304242"/>
    <w:rsid w:val="003060E4"/>
    <w:rsid w:val="00306D0C"/>
    <w:rsid w:val="00306E65"/>
    <w:rsid w:val="00310E43"/>
    <w:rsid w:val="00311AD0"/>
    <w:rsid w:val="003160E7"/>
    <w:rsid w:val="0031739E"/>
    <w:rsid w:val="00317A5D"/>
    <w:rsid w:val="003211BA"/>
    <w:rsid w:val="00324D9E"/>
    <w:rsid w:val="00324E78"/>
    <w:rsid w:val="0032500C"/>
    <w:rsid w:val="003259B8"/>
    <w:rsid w:val="00325DD3"/>
    <w:rsid w:val="003309CA"/>
    <w:rsid w:val="00331086"/>
    <w:rsid w:val="00332460"/>
    <w:rsid w:val="003325AB"/>
    <w:rsid w:val="003332D1"/>
    <w:rsid w:val="00333C15"/>
    <w:rsid w:val="0033412B"/>
    <w:rsid w:val="00334302"/>
    <w:rsid w:val="00334504"/>
    <w:rsid w:val="00334BED"/>
    <w:rsid w:val="003351D9"/>
    <w:rsid w:val="0033584D"/>
    <w:rsid w:val="00336C62"/>
    <w:rsid w:val="00336F4A"/>
    <w:rsid w:val="0033745D"/>
    <w:rsid w:val="00337508"/>
    <w:rsid w:val="00340825"/>
    <w:rsid w:val="00340BF1"/>
    <w:rsid w:val="00341161"/>
    <w:rsid w:val="003412A9"/>
    <w:rsid w:val="00343365"/>
    <w:rsid w:val="003442B7"/>
    <w:rsid w:val="003445F4"/>
    <w:rsid w:val="0034622E"/>
    <w:rsid w:val="0034739D"/>
    <w:rsid w:val="003475D2"/>
    <w:rsid w:val="00351958"/>
    <w:rsid w:val="00351AAB"/>
    <w:rsid w:val="00353501"/>
    <w:rsid w:val="00353734"/>
    <w:rsid w:val="003538FA"/>
    <w:rsid w:val="00353F80"/>
    <w:rsid w:val="00355A79"/>
    <w:rsid w:val="0035741C"/>
    <w:rsid w:val="003606F8"/>
    <w:rsid w:val="003643B3"/>
    <w:rsid w:val="0036479A"/>
    <w:rsid w:val="00364878"/>
    <w:rsid w:val="003648EF"/>
    <w:rsid w:val="003673E6"/>
    <w:rsid w:val="00367C8A"/>
    <w:rsid w:val="00367D4D"/>
    <w:rsid w:val="00367E73"/>
    <w:rsid w:val="00371AE7"/>
    <w:rsid w:val="003720CE"/>
    <w:rsid w:val="0037318C"/>
    <w:rsid w:val="00373E03"/>
    <w:rsid w:val="003745E4"/>
    <w:rsid w:val="00375789"/>
    <w:rsid w:val="003757CF"/>
    <w:rsid w:val="00375DB9"/>
    <w:rsid w:val="00376817"/>
    <w:rsid w:val="00376C40"/>
    <w:rsid w:val="00377028"/>
    <w:rsid w:val="00377264"/>
    <w:rsid w:val="003779D2"/>
    <w:rsid w:val="00382970"/>
    <w:rsid w:val="00383AEA"/>
    <w:rsid w:val="00384AA4"/>
    <w:rsid w:val="00385616"/>
    <w:rsid w:val="00385E38"/>
    <w:rsid w:val="00386F77"/>
    <w:rsid w:val="0039046B"/>
    <w:rsid w:val="00390AA7"/>
    <w:rsid w:val="00392DDE"/>
    <w:rsid w:val="00393707"/>
    <w:rsid w:val="003941B0"/>
    <w:rsid w:val="00394874"/>
    <w:rsid w:val="0039554D"/>
    <w:rsid w:val="00396A23"/>
    <w:rsid w:val="0039773E"/>
    <w:rsid w:val="003A0694"/>
    <w:rsid w:val="003A110F"/>
    <w:rsid w:val="003A1440"/>
    <w:rsid w:val="003A267D"/>
    <w:rsid w:val="003A26A5"/>
    <w:rsid w:val="003A3729"/>
    <w:rsid w:val="003A3761"/>
    <w:rsid w:val="003A3DC4"/>
    <w:rsid w:val="003A433F"/>
    <w:rsid w:val="003A512D"/>
    <w:rsid w:val="003A5FEA"/>
    <w:rsid w:val="003A6B42"/>
    <w:rsid w:val="003A7A91"/>
    <w:rsid w:val="003A7F2A"/>
    <w:rsid w:val="003B11B0"/>
    <w:rsid w:val="003B1D10"/>
    <w:rsid w:val="003B1D8C"/>
    <w:rsid w:val="003B1E69"/>
    <w:rsid w:val="003B1F1A"/>
    <w:rsid w:val="003B4ED6"/>
    <w:rsid w:val="003B5791"/>
    <w:rsid w:val="003B5F0C"/>
    <w:rsid w:val="003B66E0"/>
    <w:rsid w:val="003B6A40"/>
    <w:rsid w:val="003B71C4"/>
    <w:rsid w:val="003C181C"/>
    <w:rsid w:val="003C25E9"/>
    <w:rsid w:val="003C4B6B"/>
    <w:rsid w:val="003C68C5"/>
    <w:rsid w:val="003C7201"/>
    <w:rsid w:val="003C76D4"/>
    <w:rsid w:val="003D0C1B"/>
    <w:rsid w:val="003D0ED9"/>
    <w:rsid w:val="003D137D"/>
    <w:rsid w:val="003D2230"/>
    <w:rsid w:val="003D2CC5"/>
    <w:rsid w:val="003D4E7B"/>
    <w:rsid w:val="003D6581"/>
    <w:rsid w:val="003D70A0"/>
    <w:rsid w:val="003E04C1"/>
    <w:rsid w:val="003E0887"/>
    <w:rsid w:val="003E1319"/>
    <w:rsid w:val="003E16E9"/>
    <w:rsid w:val="003E2735"/>
    <w:rsid w:val="003E3134"/>
    <w:rsid w:val="003E4D3E"/>
    <w:rsid w:val="003E5076"/>
    <w:rsid w:val="003E5120"/>
    <w:rsid w:val="003E622F"/>
    <w:rsid w:val="003E74C8"/>
    <w:rsid w:val="003E77C4"/>
    <w:rsid w:val="003E7C46"/>
    <w:rsid w:val="003F1547"/>
    <w:rsid w:val="003F1F3A"/>
    <w:rsid w:val="003F2106"/>
    <w:rsid w:val="003F23D7"/>
    <w:rsid w:val="003F4175"/>
    <w:rsid w:val="003F4BE0"/>
    <w:rsid w:val="003F52A7"/>
    <w:rsid w:val="003F5B3C"/>
    <w:rsid w:val="003F60EE"/>
    <w:rsid w:val="003F6144"/>
    <w:rsid w:val="003F627E"/>
    <w:rsid w:val="003F7013"/>
    <w:rsid w:val="004009DB"/>
    <w:rsid w:val="0040240C"/>
    <w:rsid w:val="00402AD5"/>
    <w:rsid w:val="00406C53"/>
    <w:rsid w:val="004073B0"/>
    <w:rsid w:val="00410631"/>
    <w:rsid w:val="00412012"/>
    <w:rsid w:val="004127B6"/>
    <w:rsid w:val="00412FFE"/>
    <w:rsid w:val="00413021"/>
    <w:rsid w:val="004137F3"/>
    <w:rsid w:val="00413D13"/>
    <w:rsid w:val="00415D5E"/>
    <w:rsid w:val="00415EAC"/>
    <w:rsid w:val="00416066"/>
    <w:rsid w:val="004160D7"/>
    <w:rsid w:val="0041796A"/>
    <w:rsid w:val="0042059E"/>
    <w:rsid w:val="00424F24"/>
    <w:rsid w:val="0042647A"/>
    <w:rsid w:val="00427CD9"/>
    <w:rsid w:val="004301C6"/>
    <w:rsid w:val="00430447"/>
    <w:rsid w:val="0043052F"/>
    <w:rsid w:val="00432A00"/>
    <w:rsid w:val="00434766"/>
    <w:rsid w:val="0043478F"/>
    <w:rsid w:val="0043528E"/>
    <w:rsid w:val="00435863"/>
    <w:rsid w:val="00435EDF"/>
    <w:rsid w:val="0043602B"/>
    <w:rsid w:val="004366B7"/>
    <w:rsid w:val="00436847"/>
    <w:rsid w:val="00436FEE"/>
    <w:rsid w:val="00437A1E"/>
    <w:rsid w:val="00437C24"/>
    <w:rsid w:val="00440668"/>
    <w:rsid w:val="00440BE0"/>
    <w:rsid w:val="0044128A"/>
    <w:rsid w:val="0044178C"/>
    <w:rsid w:val="00442C1C"/>
    <w:rsid w:val="00443441"/>
    <w:rsid w:val="004441AC"/>
    <w:rsid w:val="0044584B"/>
    <w:rsid w:val="00447CB7"/>
    <w:rsid w:val="00447F1C"/>
    <w:rsid w:val="0045171E"/>
    <w:rsid w:val="004523AD"/>
    <w:rsid w:val="00454137"/>
    <w:rsid w:val="00454D0C"/>
    <w:rsid w:val="00455150"/>
    <w:rsid w:val="00455CC9"/>
    <w:rsid w:val="004563A6"/>
    <w:rsid w:val="0045682C"/>
    <w:rsid w:val="00456DAB"/>
    <w:rsid w:val="00460826"/>
    <w:rsid w:val="00460A81"/>
    <w:rsid w:val="00460EA7"/>
    <w:rsid w:val="004610E1"/>
    <w:rsid w:val="0046195B"/>
    <w:rsid w:val="004631C2"/>
    <w:rsid w:val="0046362D"/>
    <w:rsid w:val="00464CFA"/>
    <w:rsid w:val="00464F4C"/>
    <w:rsid w:val="00465954"/>
    <w:rsid w:val="0046596D"/>
    <w:rsid w:val="004663E2"/>
    <w:rsid w:val="0046727F"/>
    <w:rsid w:val="004714A8"/>
    <w:rsid w:val="00472389"/>
    <w:rsid w:val="004732AF"/>
    <w:rsid w:val="00474338"/>
    <w:rsid w:val="0047704A"/>
    <w:rsid w:val="00477ADF"/>
    <w:rsid w:val="004807F3"/>
    <w:rsid w:val="00481879"/>
    <w:rsid w:val="004818DA"/>
    <w:rsid w:val="004834BF"/>
    <w:rsid w:val="00484DF8"/>
    <w:rsid w:val="00487C04"/>
    <w:rsid w:val="00487C96"/>
    <w:rsid w:val="004907E1"/>
    <w:rsid w:val="00491F3F"/>
    <w:rsid w:val="00493275"/>
    <w:rsid w:val="0049395C"/>
    <w:rsid w:val="00495210"/>
    <w:rsid w:val="00495D93"/>
    <w:rsid w:val="00496107"/>
    <w:rsid w:val="00497637"/>
    <w:rsid w:val="004A035B"/>
    <w:rsid w:val="004A05E1"/>
    <w:rsid w:val="004A1210"/>
    <w:rsid w:val="004A12FD"/>
    <w:rsid w:val="004A2108"/>
    <w:rsid w:val="004A29F4"/>
    <w:rsid w:val="004A373F"/>
    <w:rsid w:val="004A376E"/>
    <w:rsid w:val="004A38D7"/>
    <w:rsid w:val="004A3A5D"/>
    <w:rsid w:val="004A537C"/>
    <w:rsid w:val="004A6969"/>
    <w:rsid w:val="004A778C"/>
    <w:rsid w:val="004B14A7"/>
    <w:rsid w:val="004B44A4"/>
    <w:rsid w:val="004B48C7"/>
    <w:rsid w:val="004B76EA"/>
    <w:rsid w:val="004B7781"/>
    <w:rsid w:val="004C0822"/>
    <w:rsid w:val="004C12EE"/>
    <w:rsid w:val="004C2956"/>
    <w:rsid w:val="004C2B13"/>
    <w:rsid w:val="004C2E6A"/>
    <w:rsid w:val="004C5D3C"/>
    <w:rsid w:val="004C64B8"/>
    <w:rsid w:val="004D0177"/>
    <w:rsid w:val="004D2A2D"/>
    <w:rsid w:val="004D3370"/>
    <w:rsid w:val="004D38E6"/>
    <w:rsid w:val="004D479F"/>
    <w:rsid w:val="004D631B"/>
    <w:rsid w:val="004D6689"/>
    <w:rsid w:val="004D6E9F"/>
    <w:rsid w:val="004D754E"/>
    <w:rsid w:val="004D7ACC"/>
    <w:rsid w:val="004E1D1D"/>
    <w:rsid w:val="004E1EDE"/>
    <w:rsid w:val="004E2CBF"/>
    <w:rsid w:val="004E5A0D"/>
    <w:rsid w:val="004E65A9"/>
    <w:rsid w:val="004E7227"/>
    <w:rsid w:val="004E7AC8"/>
    <w:rsid w:val="004F094F"/>
    <w:rsid w:val="004F0C94"/>
    <w:rsid w:val="004F1B20"/>
    <w:rsid w:val="004F232E"/>
    <w:rsid w:val="004F23C1"/>
    <w:rsid w:val="004F30B4"/>
    <w:rsid w:val="004F40AB"/>
    <w:rsid w:val="004F78D6"/>
    <w:rsid w:val="005012F4"/>
    <w:rsid w:val="005019AE"/>
    <w:rsid w:val="00501E5D"/>
    <w:rsid w:val="00503749"/>
    <w:rsid w:val="00504703"/>
    <w:rsid w:val="00504CF4"/>
    <w:rsid w:val="0050635B"/>
    <w:rsid w:val="00511A72"/>
    <w:rsid w:val="00511F0B"/>
    <w:rsid w:val="0051230F"/>
    <w:rsid w:val="00512DDA"/>
    <w:rsid w:val="0051315F"/>
    <w:rsid w:val="0051368C"/>
    <w:rsid w:val="00513CA8"/>
    <w:rsid w:val="00514588"/>
    <w:rsid w:val="005151C2"/>
    <w:rsid w:val="0052256C"/>
    <w:rsid w:val="0052283C"/>
    <w:rsid w:val="00524CD9"/>
    <w:rsid w:val="00524D4C"/>
    <w:rsid w:val="005278F3"/>
    <w:rsid w:val="00530036"/>
    <w:rsid w:val="00530649"/>
    <w:rsid w:val="00530D69"/>
    <w:rsid w:val="0053199F"/>
    <w:rsid w:val="00531E12"/>
    <w:rsid w:val="00531EF6"/>
    <w:rsid w:val="00532AE0"/>
    <w:rsid w:val="00532D7D"/>
    <w:rsid w:val="0053318A"/>
    <w:rsid w:val="00533B90"/>
    <w:rsid w:val="005410F8"/>
    <w:rsid w:val="0054321D"/>
    <w:rsid w:val="005448EC"/>
    <w:rsid w:val="00545963"/>
    <w:rsid w:val="00547A10"/>
    <w:rsid w:val="00547FF3"/>
    <w:rsid w:val="00550256"/>
    <w:rsid w:val="00551D42"/>
    <w:rsid w:val="00552F88"/>
    <w:rsid w:val="00553022"/>
    <w:rsid w:val="00553165"/>
    <w:rsid w:val="00553958"/>
    <w:rsid w:val="00556AC0"/>
    <w:rsid w:val="00556BB7"/>
    <w:rsid w:val="0055763D"/>
    <w:rsid w:val="005600C4"/>
    <w:rsid w:val="00561516"/>
    <w:rsid w:val="005621F2"/>
    <w:rsid w:val="00562FD2"/>
    <w:rsid w:val="00565A9F"/>
    <w:rsid w:val="005665FD"/>
    <w:rsid w:val="00567A16"/>
    <w:rsid w:val="00567B58"/>
    <w:rsid w:val="00567CDD"/>
    <w:rsid w:val="00571223"/>
    <w:rsid w:val="0057186A"/>
    <w:rsid w:val="005722DB"/>
    <w:rsid w:val="00572342"/>
    <w:rsid w:val="00573DC5"/>
    <w:rsid w:val="00573F2A"/>
    <w:rsid w:val="005745E1"/>
    <w:rsid w:val="00574B4F"/>
    <w:rsid w:val="00575465"/>
    <w:rsid w:val="005754A6"/>
    <w:rsid w:val="005757EC"/>
    <w:rsid w:val="005763E0"/>
    <w:rsid w:val="00576A11"/>
    <w:rsid w:val="00576A5A"/>
    <w:rsid w:val="0058017E"/>
    <w:rsid w:val="00581087"/>
    <w:rsid w:val="00581136"/>
    <w:rsid w:val="00581AE0"/>
    <w:rsid w:val="00581EB8"/>
    <w:rsid w:val="005835BE"/>
    <w:rsid w:val="005846AC"/>
    <w:rsid w:val="0058707F"/>
    <w:rsid w:val="00590531"/>
    <w:rsid w:val="00592C2D"/>
    <w:rsid w:val="00593800"/>
    <w:rsid w:val="00593AB2"/>
    <w:rsid w:val="0059498F"/>
    <w:rsid w:val="00596512"/>
    <w:rsid w:val="005969B4"/>
    <w:rsid w:val="005A27CA"/>
    <w:rsid w:val="005A43BD"/>
    <w:rsid w:val="005A55FE"/>
    <w:rsid w:val="005A6363"/>
    <w:rsid w:val="005A6EDB"/>
    <w:rsid w:val="005A79E5"/>
    <w:rsid w:val="005B0404"/>
    <w:rsid w:val="005B062A"/>
    <w:rsid w:val="005B292B"/>
    <w:rsid w:val="005B3225"/>
    <w:rsid w:val="005C04CA"/>
    <w:rsid w:val="005C1314"/>
    <w:rsid w:val="005C160B"/>
    <w:rsid w:val="005C182A"/>
    <w:rsid w:val="005C262F"/>
    <w:rsid w:val="005C2E7D"/>
    <w:rsid w:val="005C3222"/>
    <w:rsid w:val="005C490C"/>
    <w:rsid w:val="005C585D"/>
    <w:rsid w:val="005C6A0B"/>
    <w:rsid w:val="005C7938"/>
    <w:rsid w:val="005D034C"/>
    <w:rsid w:val="005D0508"/>
    <w:rsid w:val="005D16B2"/>
    <w:rsid w:val="005D4DD9"/>
    <w:rsid w:val="005D540C"/>
    <w:rsid w:val="005D5568"/>
    <w:rsid w:val="005E05E5"/>
    <w:rsid w:val="005E1CF4"/>
    <w:rsid w:val="005E226E"/>
    <w:rsid w:val="005E2636"/>
    <w:rsid w:val="005E27D8"/>
    <w:rsid w:val="005E3203"/>
    <w:rsid w:val="005E400F"/>
    <w:rsid w:val="005E562D"/>
    <w:rsid w:val="005E7981"/>
    <w:rsid w:val="005F02B8"/>
    <w:rsid w:val="005F086F"/>
    <w:rsid w:val="005F3568"/>
    <w:rsid w:val="005F3C93"/>
    <w:rsid w:val="005F45EE"/>
    <w:rsid w:val="005F6810"/>
    <w:rsid w:val="005F77FC"/>
    <w:rsid w:val="0060072B"/>
    <w:rsid w:val="00600C6E"/>
    <w:rsid w:val="00601004"/>
    <w:rsid w:val="006015D7"/>
    <w:rsid w:val="00601B21"/>
    <w:rsid w:val="006035CF"/>
    <w:rsid w:val="006041F0"/>
    <w:rsid w:val="00605C6D"/>
    <w:rsid w:val="0060676D"/>
    <w:rsid w:val="0061116E"/>
    <w:rsid w:val="006120CA"/>
    <w:rsid w:val="0061268B"/>
    <w:rsid w:val="00613FF5"/>
    <w:rsid w:val="006147CD"/>
    <w:rsid w:val="00614FC9"/>
    <w:rsid w:val="006159A0"/>
    <w:rsid w:val="0061759B"/>
    <w:rsid w:val="00617E7B"/>
    <w:rsid w:val="006220D2"/>
    <w:rsid w:val="006237CC"/>
    <w:rsid w:val="00624174"/>
    <w:rsid w:val="00624DE4"/>
    <w:rsid w:val="006260CA"/>
    <w:rsid w:val="00626CF8"/>
    <w:rsid w:val="00627636"/>
    <w:rsid w:val="006314AF"/>
    <w:rsid w:val="00631E45"/>
    <w:rsid w:val="0063212E"/>
    <w:rsid w:val="006325E4"/>
    <w:rsid w:val="00632C18"/>
    <w:rsid w:val="00633EC6"/>
    <w:rsid w:val="00634ED8"/>
    <w:rsid w:val="00635FD1"/>
    <w:rsid w:val="0063666C"/>
    <w:rsid w:val="00636958"/>
    <w:rsid w:val="00636D7D"/>
    <w:rsid w:val="00637408"/>
    <w:rsid w:val="006374F2"/>
    <w:rsid w:val="00640751"/>
    <w:rsid w:val="00642868"/>
    <w:rsid w:val="00644583"/>
    <w:rsid w:val="00647AFE"/>
    <w:rsid w:val="006512BC"/>
    <w:rsid w:val="00651CC6"/>
    <w:rsid w:val="006528B9"/>
    <w:rsid w:val="00653A5A"/>
    <w:rsid w:val="00654025"/>
    <w:rsid w:val="006554AC"/>
    <w:rsid w:val="006575F4"/>
    <w:rsid w:val="006579E6"/>
    <w:rsid w:val="00657FFD"/>
    <w:rsid w:val="00660682"/>
    <w:rsid w:val="00660F74"/>
    <w:rsid w:val="00662514"/>
    <w:rsid w:val="00663EDC"/>
    <w:rsid w:val="006650CB"/>
    <w:rsid w:val="00667E20"/>
    <w:rsid w:val="00671078"/>
    <w:rsid w:val="00671AF8"/>
    <w:rsid w:val="00672B63"/>
    <w:rsid w:val="006758CA"/>
    <w:rsid w:val="00675EB8"/>
    <w:rsid w:val="0067625D"/>
    <w:rsid w:val="0067654B"/>
    <w:rsid w:val="00676B97"/>
    <w:rsid w:val="0067720E"/>
    <w:rsid w:val="00680282"/>
    <w:rsid w:val="00680688"/>
    <w:rsid w:val="00680A04"/>
    <w:rsid w:val="0068269E"/>
    <w:rsid w:val="00683830"/>
    <w:rsid w:val="006851AB"/>
    <w:rsid w:val="006852EA"/>
    <w:rsid w:val="00685E14"/>
    <w:rsid w:val="006861E3"/>
    <w:rsid w:val="006863BF"/>
    <w:rsid w:val="00686D80"/>
    <w:rsid w:val="00687C0C"/>
    <w:rsid w:val="00687D64"/>
    <w:rsid w:val="00693D06"/>
    <w:rsid w:val="00694895"/>
    <w:rsid w:val="0069536C"/>
    <w:rsid w:val="00696502"/>
    <w:rsid w:val="006972A4"/>
    <w:rsid w:val="0069791A"/>
    <w:rsid w:val="00697E2E"/>
    <w:rsid w:val="006A059D"/>
    <w:rsid w:val="006A25A2"/>
    <w:rsid w:val="006A33EF"/>
    <w:rsid w:val="006A3987"/>
    <w:rsid w:val="006A3B87"/>
    <w:rsid w:val="006A4D14"/>
    <w:rsid w:val="006A6880"/>
    <w:rsid w:val="006A69F5"/>
    <w:rsid w:val="006A701A"/>
    <w:rsid w:val="006A7D94"/>
    <w:rsid w:val="006A7F31"/>
    <w:rsid w:val="006B0E73"/>
    <w:rsid w:val="006B1A39"/>
    <w:rsid w:val="006B1E3D"/>
    <w:rsid w:val="006B362B"/>
    <w:rsid w:val="006B3A69"/>
    <w:rsid w:val="006B4A4D"/>
    <w:rsid w:val="006B5695"/>
    <w:rsid w:val="006B5AFF"/>
    <w:rsid w:val="006B5DD3"/>
    <w:rsid w:val="006B73F4"/>
    <w:rsid w:val="006B7B2E"/>
    <w:rsid w:val="006C41E3"/>
    <w:rsid w:val="006C4CD6"/>
    <w:rsid w:val="006C78EB"/>
    <w:rsid w:val="006D1660"/>
    <w:rsid w:val="006D481A"/>
    <w:rsid w:val="006D53A6"/>
    <w:rsid w:val="006D59A5"/>
    <w:rsid w:val="006D63E5"/>
    <w:rsid w:val="006D7564"/>
    <w:rsid w:val="006D7675"/>
    <w:rsid w:val="006E1753"/>
    <w:rsid w:val="006E2A21"/>
    <w:rsid w:val="006E3911"/>
    <w:rsid w:val="006E3CAB"/>
    <w:rsid w:val="006E6581"/>
    <w:rsid w:val="006E7AF6"/>
    <w:rsid w:val="006F05BE"/>
    <w:rsid w:val="006F1B67"/>
    <w:rsid w:val="006F486A"/>
    <w:rsid w:val="006F4D9C"/>
    <w:rsid w:val="006F55AE"/>
    <w:rsid w:val="006F5C67"/>
    <w:rsid w:val="006F748A"/>
    <w:rsid w:val="0070091D"/>
    <w:rsid w:val="007017E2"/>
    <w:rsid w:val="00701F55"/>
    <w:rsid w:val="00702854"/>
    <w:rsid w:val="00702E7C"/>
    <w:rsid w:val="0070309F"/>
    <w:rsid w:val="00704CE0"/>
    <w:rsid w:val="007052DC"/>
    <w:rsid w:val="00705A4D"/>
    <w:rsid w:val="00705AA0"/>
    <w:rsid w:val="00707F76"/>
    <w:rsid w:val="00710B78"/>
    <w:rsid w:val="0071311F"/>
    <w:rsid w:val="00716934"/>
    <w:rsid w:val="0071741C"/>
    <w:rsid w:val="007205BE"/>
    <w:rsid w:val="0072165E"/>
    <w:rsid w:val="00721CA2"/>
    <w:rsid w:val="007245B7"/>
    <w:rsid w:val="00725CDD"/>
    <w:rsid w:val="00725EA4"/>
    <w:rsid w:val="00731C51"/>
    <w:rsid w:val="00732369"/>
    <w:rsid w:val="0073252A"/>
    <w:rsid w:val="007326A3"/>
    <w:rsid w:val="00733093"/>
    <w:rsid w:val="00733304"/>
    <w:rsid w:val="007333B6"/>
    <w:rsid w:val="007353E5"/>
    <w:rsid w:val="0073650C"/>
    <w:rsid w:val="00737305"/>
    <w:rsid w:val="007373C6"/>
    <w:rsid w:val="00742B90"/>
    <w:rsid w:val="0074434D"/>
    <w:rsid w:val="00745907"/>
    <w:rsid w:val="00746D3B"/>
    <w:rsid w:val="00747D4E"/>
    <w:rsid w:val="007502B2"/>
    <w:rsid w:val="007522A0"/>
    <w:rsid w:val="00753DB5"/>
    <w:rsid w:val="00755FC3"/>
    <w:rsid w:val="00756A44"/>
    <w:rsid w:val="007570C4"/>
    <w:rsid w:val="00757AD6"/>
    <w:rsid w:val="007605B8"/>
    <w:rsid w:val="00760927"/>
    <w:rsid w:val="007618A6"/>
    <w:rsid w:val="00761AFB"/>
    <w:rsid w:val="00762093"/>
    <w:rsid w:val="0076237C"/>
    <w:rsid w:val="00763DB7"/>
    <w:rsid w:val="00764C05"/>
    <w:rsid w:val="00766647"/>
    <w:rsid w:val="007703EC"/>
    <w:rsid w:val="00771283"/>
    <w:rsid w:val="00771B1E"/>
    <w:rsid w:val="00773C95"/>
    <w:rsid w:val="00775046"/>
    <w:rsid w:val="00775941"/>
    <w:rsid w:val="00775E97"/>
    <w:rsid w:val="00776962"/>
    <w:rsid w:val="00777629"/>
    <w:rsid w:val="007807FE"/>
    <w:rsid w:val="0078097A"/>
    <w:rsid w:val="0078171E"/>
    <w:rsid w:val="00781EB5"/>
    <w:rsid w:val="00783F06"/>
    <w:rsid w:val="007846BB"/>
    <w:rsid w:val="00785863"/>
    <w:rsid w:val="0078658E"/>
    <w:rsid w:val="00786DFA"/>
    <w:rsid w:val="007920E2"/>
    <w:rsid w:val="00792A4E"/>
    <w:rsid w:val="00792BAA"/>
    <w:rsid w:val="0079566E"/>
    <w:rsid w:val="007959ED"/>
    <w:rsid w:val="00795B34"/>
    <w:rsid w:val="00796B40"/>
    <w:rsid w:val="00796D68"/>
    <w:rsid w:val="007977AB"/>
    <w:rsid w:val="00797FC0"/>
    <w:rsid w:val="007A067F"/>
    <w:rsid w:val="007A3237"/>
    <w:rsid w:val="007A3409"/>
    <w:rsid w:val="007A6BD6"/>
    <w:rsid w:val="007A76B4"/>
    <w:rsid w:val="007B0417"/>
    <w:rsid w:val="007B0FCB"/>
    <w:rsid w:val="007B1770"/>
    <w:rsid w:val="007B195F"/>
    <w:rsid w:val="007B2F2E"/>
    <w:rsid w:val="007B489A"/>
    <w:rsid w:val="007B4A45"/>
    <w:rsid w:val="007B4A92"/>
    <w:rsid w:val="007B4D3E"/>
    <w:rsid w:val="007B7C70"/>
    <w:rsid w:val="007B7DEB"/>
    <w:rsid w:val="007C0449"/>
    <w:rsid w:val="007C0FB8"/>
    <w:rsid w:val="007C1F72"/>
    <w:rsid w:val="007C364F"/>
    <w:rsid w:val="007C3C03"/>
    <w:rsid w:val="007C5065"/>
    <w:rsid w:val="007C56B2"/>
    <w:rsid w:val="007C779A"/>
    <w:rsid w:val="007D0DC7"/>
    <w:rsid w:val="007D1F0D"/>
    <w:rsid w:val="007D2151"/>
    <w:rsid w:val="007D27E3"/>
    <w:rsid w:val="007D342D"/>
    <w:rsid w:val="007D3B90"/>
    <w:rsid w:val="007D42CC"/>
    <w:rsid w:val="007D5DE4"/>
    <w:rsid w:val="007D76DF"/>
    <w:rsid w:val="007D7C3A"/>
    <w:rsid w:val="007E0777"/>
    <w:rsid w:val="007E1341"/>
    <w:rsid w:val="007E1B41"/>
    <w:rsid w:val="007E1EC4"/>
    <w:rsid w:val="007E21E1"/>
    <w:rsid w:val="007E30B9"/>
    <w:rsid w:val="007E317F"/>
    <w:rsid w:val="007E3C85"/>
    <w:rsid w:val="007E5433"/>
    <w:rsid w:val="007E54BA"/>
    <w:rsid w:val="007E67D6"/>
    <w:rsid w:val="007E74F1"/>
    <w:rsid w:val="007E7A73"/>
    <w:rsid w:val="007F0F0C"/>
    <w:rsid w:val="007F1288"/>
    <w:rsid w:val="007F2988"/>
    <w:rsid w:val="007F5A21"/>
    <w:rsid w:val="007F6FD7"/>
    <w:rsid w:val="008005A2"/>
    <w:rsid w:val="0080096E"/>
    <w:rsid w:val="00800A8A"/>
    <w:rsid w:val="0080155C"/>
    <w:rsid w:val="00804466"/>
    <w:rsid w:val="00804EFA"/>
    <w:rsid w:val="008052E1"/>
    <w:rsid w:val="00805490"/>
    <w:rsid w:val="00805797"/>
    <w:rsid w:val="00805AF7"/>
    <w:rsid w:val="008078E5"/>
    <w:rsid w:val="00807FEF"/>
    <w:rsid w:val="008117B6"/>
    <w:rsid w:val="00811841"/>
    <w:rsid w:val="00811D73"/>
    <w:rsid w:val="00812D1D"/>
    <w:rsid w:val="00815FCB"/>
    <w:rsid w:val="00816D1A"/>
    <w:rsid w:val="0082000E"/>
    <w:rsid w:val="008203E8"/>
    <w:rsid w:val="00820E4C"/>
    <w:rsid w:val="00822F2C"/>
    <w:rsid w:val="00823DEE"/>
    <w:rsid w:val="008254AF"/>
    <w:rsid w:val="008259E6"/>
    <w:rsid w:val="008277C0"/>
    <w:rsid w:val="00830301"/>
    <w:rsid w:val="008305E8"/>
    <w:rsid w:val="00830F53"/>
    <w:rsid w:val="008318DF"/>
    <w:rsid w:val="00831D14"/>
    <w:rsid w:val="008321B0"/>
    <w:rsid w:val="0083438C"/>
    <w:rsid w:val="00836165"/>
    <w:rsid w:val="00837B09"/>
    <w:rsid w:val="00841707"/>
    <w:rsid w:val="00842CFC"/>
    <w:rsid w:val="008431DA"/>
    <w:rsid w:val="00845415"/>
    <w:rsid w:val="00845A05"/>
    <w:rsid w:val="00846332"/>
    <w:rsid w:val="0084640C"/>
    <w:rsid w:val="008465C2"/>
    <w:rsid w:val="0084699E"/>
    <w:rsid w:val="008536EB"/>
    <w:rsid w:val="00856088"/>
    <w:rsid w:val="00857524"/>
    <w:rsid w:val="00860256"/>
    <w:rsid w:val="00860826"/>
    <w:rsid w:val="00860E21"/>
    <w:rsid w:val="00863117"/>
    <w:rsid w:val="008634C0"/>
    <w:rsid w:val="0086388B"/>
    <w:rsid w:val="008642E5"/>
    <w:rsid w:val="00864488"/>
    <w:rsid w:val="008644CA"/>
    <w:rsid w:val="008648A8"/>
    <w:rsid w:val="00864960"/>
    <w:rsid w:val="00865548"/>
    <w:rsid w:val="00865F28"/>
    <w:rsid w:val="00866132"/>
    <w:rsid w:val="0086695F"/>
    <w:rsid w:val="00866A16"/>
    <w:rsid w:val="0086720C"/>
    <w:rsid w:val="00867F3E"/>
    <w:rsid w:val="00870A36"/>
    <w:rsid w:val="008721A0"/>
    <w:rsid w:val="00872D93"/>
    <w:rsid w:val="008735AD"/>
    <w:rsid w:val="00873F67"/>
    <w:rsid w:val="008750E3"/>
    <w:rsid w:val="008778BC"/>
    <w:rsid w:val="00880470"/>
    <w:rsid w:val="00880D94"/>
    <w:rsid w:val="00881B3D"/>
    <w:rsid w:val="00883273"/>
    <w:rsid w:val="008841FA"/>
    <w:rsid w:val="008846FB"/>
    <w:rsid w:val="00886F64"/>
    <w:rsid w:val="00887D19"/>
    <w:rsid w:val="00891ED3"/>
    <w:rsid w:val="008924DE"/>
    <w:rsid w:val="008954BF"/>
    <w:rsid w:val="008A13FE"/>
    <w:rsid w:val="008A213B"/>
    <w:rsid w:val="008A3755"/>
    <w:rsid w:val="008A737C"/>
    <w:rsid w:val="008B00AB"/>
    <w:rsid w:val="008B016C"/>
    <w:rsid w:val="008B0B0B"/>
    <w:rsid w:val="008B19DC"/>
    <w:rsid w:val="008B264F"/>
    <w:rsid w:val="008B30C9"/>
    <w:rsid w:val="008B35BE"/>
    <w:rsid w:val="008B4C4D"/>
    <w:rsid w:val="008B5A00"/>
    <w:rsid w:val="008B6F83"/>
    <w:rsid w:val="008B7FD8"/>
    <w:rsid w:val="008C1108"/>
    <w:rsid w:val="008C2973"/>
    <w:rsid w:val="008C364D"/>
    <w:rsid w:val="008C3D3F"/>
    <w:rsid w:val="008C4912"/>
    <w:rsid w:val="008C4AF4"/>
    <w:rsid w:val="008C4B75"/>
    <w:rsid w:val="008C5AF5"/>
    <w:rsid w:val="008C6324"/>
    <w:rsid w:val="008C63A0"/>
    <w:rsid w:val="008C64C4"/>
    <w:rsid w:val="008C6B9B"/>
    <w:rsid w:val="008D1A0D"/>
    <w:rsid w:val="008D278D"/>
    <w:rsid w:val="008D2CDD"/>
    <w:rsid w:val="008D5791"/>
    <w:rsid w:val="008D5C7F"/>
    <w:rsid w:val="008D74D5"/>
    <w:rsid w:val="008D7978"/>
    <w:rsid w:val="008E0ED1"/>
    <w:rsid w:val="008E3A07"/>
    <w:rsid w:val="008E42F8"/>
    <w:rsid w:val="008E4418"/>
    <w:rsid w:val="008E537B"/>
    <w:rsid w:val="008F15A4"/>
    <w:rsid w:val="008F29BE"/>
    <w:rsid w:val="008F2B72"/>
    <w:rsid w:val="008F3627"/>
    <w:rsid w:val="008F3C35"/>
    <w:rsid w:val="008F4AE5"/>
    <w:rsid w:val="008F51EB"/>
    <w:rsid w:val="008F617D"/>
    <w:rsid w:val="00900197"/>
    <w:rsid w:val="0090161B"/>
    <w:rsid w:val="00902F55"/>
    <w:rsid w:val="0090582B"/>
    <w:rsid w:val="009060C0"/>
    <w:rsid w:val="0090760B"/>
    <w:rsid w:val="00907F64"/>
    <w:rsid w:val="00910BD1"/>
    <w:rsid w:val="00910D23"/>
    <w:rsid w:val="009114A2"/>
    <w:rsid w:val="00912555"/>
    <w:rsid w:val="009133F5"/>
    <w:rsid w:val="009137E7"/>
    <w:rsid w:val="00914B6B"/>
    <w:rsid w:val="009151C5"/>
    <w:rsid w:val="009159C9"/>
    <w:rsid w:val="00916FBF"/>
    <w:rsid w:val="0091756F"/>
    <w:rsid w:val="00920A27"/>
    <w:rsid w:val="00921216"/>
    <w:rsid w:val="009216CC"/>
    <w:rsid w:val="0092425F"/>
    <w:rsid w:val="00925772"/>
    <w:rsid w:val="00926083"/>
    <w:rsid w:val="00930552"/>
    <w:rsid w:val="00930D08"/>
    <w:rsid w:val="00931466"/>
    <w:rsid w:val="009326E8"/>
    <w:rsid w:val="00932D69"/>
    <w:rsid w:val="0093410C"/>
    <w:rsid w:val="00935589"/>
    <w:rsid w:val="00935FD8"/>
    <w:rsid w:val="00936335"/>
    <w:rsid w:val="00936B62"/>
    <w:rsid w:val="009371B8"/>
    <w:rsid w:val="009377E9"/>
    <w:rsid w:val="00940407"/>
    <w:rsid w:val="0094047A"/>
    <w:rsid w:val="0094060B"/>
    <w:rsid w:val="009423FC"/>
    <w:rsid w:val="00942D91"/>
    <w:rsid w:val="00944647"/>
    <w:rsid w:val="0094636C"/>
    <w:rsid w:val="009476FF"/>
    <w:rsid w:val="00947B7C"/>
    <w:rsid w:val="00947DF5"/>
    <w:rsid w:val="00951C38"/>
    <w:rsid w:val="00951C44"/>
    <w:rsid w:val="009532AA"/>
    <w:rsid w:val="0095565C"/>
    <w:rsid w:val="00955990"/>
    <w:rsid w:val="00955D1D"/>
    <w:rsid w:val="009568DB"/>
    <w:rsid w:val="00956DFB"/>
    <w:rsid w:val="0095702A"/>
    <w:rsid w:val="009575E7"/>
    <w:rsid w:val="00957FC0"/>
    <w:rsid w:val="009604F9"/>
    <w:rsid w:val="0096283A"/>
    <w:rsid w:val="009628A4"/>
    <w:rsid w:val="00963615"/>
    <w:rsid w:val="00963780"/>
    <w:rsid w:val="0096387E"/>
    <w:rsid w:val="00964AB6"/>
    <w:rsid w:val="00965FEA"/>
    <w:rsid w:val="00966218"/>
    <w:rsid w:val="00966F9A"/>
    <w:rsid w:val="009703CB"/>
    <w:rsid w:val="00971F29"/>
    <w:rsid w:val="00974D9E"/>
    <w:rsid w:val="00976BD8"/>
    <w:rsid w:val="009777EE"/>
    <w:rsid w:val="00977B8A"/>
    <w:rsid w:val="0098033D"/>
    <w:rsid w:val="00980848"/>
    <w:rsid w:val="00982971"/>
    <w:rsid w:val="009845AD"/>
    <w:rsid w:val="00984835"/>
    <w:rsid w:val="00984FA9"/>
    <w:rsid w:val="009858E9"/>
    <w:rsid w:val="0098639B"/>
    <w:rsid w:val="00990679"/>
    <w:rsid w:val="00991D04"/>
    <w:rsid w:val="009920B5"/>
    <w:rsid w:val="00992DDE"/>
    <w:rsid w:val="00992F2F"/>
    <w:rsid w:val="009933EF"/>
    <w:rsid w:val="00995119"/>
    <w:rsid w:val="00995315"/>
    <w:rsid w:val="009953D3"/>
    <w:rsid w:val="00995BA0"/>
    <w:rsid w:val="00996AC8"/>
    <w:rsid w:val="00996E57"/>
    <w:rsid w:val="009A0A54"/>
    <w:rsid w:val="009A2615"/>
    <w:rsid w:val="009A37A2"/>
    <w:rsid w:val="009A3F93"/>
    <w:rsid w:val="009A418B"/>
    <w:rsid w:val="009A41F6"/>
    <w:rsid w:val="009A426F"/>
    <w:rsid w:val="009A42D5"/>
    <w:rsid w:val="009A4473"/>
    <w:rsid w:val="009A4919"/>
    <w:rsid w:val="009A76D4"/>
    <w:rsid w:val="009B02F4"/>
    <w:rsid w:val="009B05C9"/>
    <w:rsid w:val="009B0EB2"/>
    <w:rsid w:val="009B21FF"/>
    <w:rsid w:val="009B286C"/>
    <w:rsid w:val="009B39C2"/>
    <w:rsid w:val="009B47CF"/>
    <w:rsid w:val="009B5D9F"/>
    <w:rsid w:val="009B6B5F"/>
    <w:rsid w:val="009B757A"/>
    <w:rsid w:val="009B75B0"/>
    <w:rsid w:val="009C151C"/>
    <w:rsid w:val="009C2FFE"/>
    <w:rsid w:val="009C3CA3"/>
    <w:rsid w:val="009C440A"/>
    <w:rsid w:val="009C467C"/>
    <w:rsid w:val="009C5CC5"/>
    <w:rsid w:val="009D0D3B"/>
    <w:rsid w:val="009D2D6C"/>
    <w:rsid w:val="009D3365"/>
    <w:rsid w:val="009D4CB3"/>
    <w:rsid w:val="009D5125"/>
    <w:rsid w:val="009D60B8"/>
    <w:rsid w:val="009D7D4B"/>
    <w:rsid w:val="009E1C01"/>
    <w:rsid w:val="009E2BE5"/>
    <w:rsid w:val="009E36ED"/>
    <w:rsid w:val="009E3C8C"/>
    <w:rsid w:val="009E434D"/>
    <w:rsid w:val="009E59C2"/>
    <w:rsid w:val="009E6B77"/>
    <w:rsid w:val="009F1F3D"/>
    <w:rsid w:val="009F460A"/>
    <w:rsid w:val="009F50CA"/>
    <w:rsid w:val="009F5BBB"/>
    <w:rsid w:val="009F5E49"/>
    <w:rsid w:val="009F7B34"/>
    <w:rsid w:val="00A01FBB"/>
    <w:rsid w:val="00A021F7"/>
    <w:rsid w:val="00A0262E"/>
    <w:rsid w:val="00A03009"/>
    <w:rsid w:val="00A03C0F"/>
    <w:rsid w:val="00A03C76"/>
    <w:rsid w:val="00A043FB"/>
    <w:rsid w:val="00A0445E"/>
    <w:rsid w:val="00A0697C"/>
    <w:rsid w:val="00A06BE4"/>
    <w:rsid w:val="00A0729C"/>
    <w:rsid w:val="00A07779"/>
    <w:rsid w:val="00A077A7"/>
    <w:rsid w:val="00A10108"/>
    <w:rsid w:val="00A1166A"/>
    <w:rsid w:val="00A1487D"/>
    <w:rsid w:val="00A14CF1"/>
    <w:rsid w:val="00A1503F"/>
    <w:rsid w:val="00A15B39"/>
    <w:rsid w:val="00A17103"/>
    <w:rsid w:val="00A1778B"/>
    <w:rsid w:val="00A20849"/>
    <w:rsid w:val="00A20B2E"/>
    <w:rsid w:val="00A21059"/>
    <w:rsid w:val="00A229E2"/>
    <w:rsid w:val="00A2412A"/>
    <w:rsid w:val="00A24F33"/>
    <w:rsid w:val="00A25069"/>
    <w:rsid w:val="00A253B9"/>
    <w:rsid w:val="00A256C0"/>
    <w:rsid w:val="00A26E6B"/>
    <w:rsid w:val="00A3068F"/>
    <w:rsid w:val="00A30F7D"/>
    <w:rsid w:val="00A3145B"/>
    <w:rsid w:val="00A32C19"/>
    <w:rsid w:val="00A32CAE"/>
    <w:rsid w:val="00A339D0"/>
    <w:rsid w:val="00A344CE"/>
    <w:rsid w:val="00A35A1D"/>
    <w:rsid w:val="00A36066"/>
    <w:rsid w:val="00A377DA"/>
    <w:rsid w:val="00A40B58"/>
    <w:rsid w:val="00A41002"/>
    <w:rsid w:val="00A4201A"/>
    <w:rsid w:val="00A42A72"/>
    <w:rsid w:val="00A42E89"/>
    <w:rsid w:val="00A4521C"/>
    <w:rsid w:val="00A51B40"/>
    <w:rsid w:val="00A5273C"/>
    <w:rsid w:val="00A529ED"/>
    <w:rsid w:val="00A52F4B"/>
    <w:rsid w:val="00A5465D"/>
    <w:rsid w:val="00A5520E"/>
    <w:rsid w:val="00A553CE"/>
    <w:rsid w:val="00A55A55"/>
    <w:rsid w:val="00A5677A"/>
    <w:rsid w:val="00A56B2A"/>
    <w:rsid w:val="00A56DCC"/>
    <w:rsid w:val="00A56E07"/>
    <w:rsid w:val="00A57885"/>
    <w:rsid w:val="00A625E8"/>
    <w:rsid w:val="00A626D4"/>
    <w:rsid w:val="00A6291E"/>
    <w:rsid w:val="00A633CE"/>
    <w:rsid w:val="00A63433"/>
    <w:rsid w:val="00A63568"/>
    <w:rsid w:val="00A63DFF"/>
    <w:rsid w:val="00A643E8"/>
    <w:rsid w:val="00A6490D"/>
    <w:rsid w:val="00A64A8F"/>
    <w:rsid w:val="00A661F8"/>
    <w:rsid w:val="00A7037C"/>
    <w:rsid w:val="00A70801"/>
    <w:rsid w:val="00A70B09"/>
    <w:rsid w:val="00A716F3"/>
    <w:rsid w:val="00A71B2A"/>
    <w:rsid w:val="00A71B84"/>
    <w:rsid w:val="00A72243"/>
    <w:rsid w:val="00A727F9"/>
    <w:rsid w:val="00A72F69"/>
    <w:rsid w:val="00A72F6C"/>
    <w:rsid w:val="00A7312D"/>
    <w:rsid w:val="00A731FA"/>
    <w:rsid w:val="00A7415D"/>
    <w:rsid w:val="00A76951"/>
    <w:rsid w:val="00A77C5A"/>
    <w:rsid w:val="00A80363"/>
    <w:rsid w:val="00A80939"/>
    <w:rsid w:val="00A831F9"/>
    <w:rsid w:val="00A83A82"/>
    <w:rsid w:val="00A83E9D"/>
    <w:rsid w:val="00A83EF7"/>
    <w:rsid w:val="00A8407F"/>
    <w:rsid w:val="00A86153"/>
    <w:rsid w:val="00A874E4"/>
    <w:rsid w:val="00A87BD0"/>
    <w:rsid w:val="00A87C05"/>
    <w:rsid w:val="00A9169D"/>
    <w:rsid w:val="00A91BD1"/>
    <w:rsid w:val="00A937CB"/>
    <w:rsid w:val="00A9413D"/>
    <w:rsid w:val="00A94502"/>
    <w:rsid w:val="00A94B56"/>
    <w:rsid w:val="00A94E66"/>
    <w:rsid w:val="00A94E88"/>
    <w:rsid w:val="00A96CD3"/>
    <w:rsid w:val="00AA05C6"/>
    <w:rsid w:val="00AA07F1"/>
    <w:rsid w:val="00AA1059"/>
    <w:rsid w:val="00AA10A2"/>
    <w:rsid w:val="00AA240C"/>
    <w:rsid w:val="00AA2644"/>
    <w:rsid w:val="00AA2EA1"/>
    <w:rsid w:val="00AA5153"/>
    <w:rsid w:val="00AA5560"/>
    <w:rsid w:val="00AA6AE7"/>
    <w:rsid w:val="00AA795F"/>
    <w:rsid w:val="00AB002B"/>
    <w:rsid w:val="00AB08FE"/>
    <w:rsid w:val="00AB1BD2"/>
    <w:rsid w:val="00AB22B9"/>
    <w:rsid w:val="00AB30EA"/>
    <w:rsid w:val="00AB68C5"/>
    <w:rsid w:val="00AB6952"/>
    <w:rsid w:val="00AC101C"/>
    <w:rsid w:val="00AC10F4"/>
    <w:rsid w:val="00AC4A04"/>
    <w:rsid w:val="00AC55E4"/>
    <w:rsid w:val="00AC5AA5"/>
    <w:rsid w:val="00AC64D9"/>
    <w:rsid w:val="00AC7D7E"/>
    <w:rsid w:val="00AD063F"/>
    <w:rsid w:val="00AD3250"/>
    <w:rsid w:val="00AD42AD"/>
    <w:rsid w:val="00AD43D7"/>
    <w:rsid w:val="00AD4CF1"/>
    <w:rsid w:val="00AD5988"/>
    <w:rsid w:val="00AD6293"/>
    <w:rsid w:val="00AD76A8"/>
    <w:rsid w:val="00AE04B3"/>
    <w:rsid w:val="00AE2D62"/>
    <w:rsid w:val="00AE5308"/>
    <w:rsid w:val="00AE5960"/>
    <w:rsid w:val="00AE5F43"/>
    <w:rsid w:val="00AE68E1"/>
    <w:rsid w:val="00AE7145"/>
    <w:rsid w:val="00AF00CA"/>
    <w:rsid w:val="00AF1B12"/>
    <w:rsid w:val="00AF1BA8"/>
    <w:rsid w:val="00AF3A77"/>
    <w:rsid w:val="00AF4ABF"/>
    <w:rsid w:val="00AF533C"/>
    <w:rsid w:val="00AF5B9C"/>
    <w:rsid w:val="00AF7659"/>
    <w:rsid w:val="00AF7800"/>
    <w:rsid w:val="00B0074F"/>
    <w:rsid w:val="00B00837"/>
    <w:rsid w:val="00B00CF5"/>
    <w:rsid w:val="00B014AA"/>
    <w:rsid w:val="00B02274"/>
    <w:rsid w:val="00B0266D"/>
    <w:rsid w:val="00B03933"/>
    <w:rsid w:val="00B0445C"/>
    <w:rsid w:val="00B064C2"/>
    <w:rsid w:val="00B06BB9"/>
    <w:rsid w:val="00B072E0"/>
    <w:rsid w:val="00B07A28"/>
    <w:rsid w:val="00B1007E"/>
    <w:rsid w:val="00B11443"/>
    <w:rsid w:val="00B12D3E"/>
    <w:rsid w:val="00B12D53"/>
    <w:rsid w:val="00B133BC"/>
    <w:rsid w:val="00B148F2"/>
    <w:rsid w:val="00B1684A"/>
    <w:rsid w:val="00B16B0F"/>
    <w:rsid w:val="00B177F0"/>
    <w:rsid w:val="00B2215E"/>
    <w:rsid w:val="00B23149"/>
    <w:rsid w:val="00B2457B"/>
    <w:rsid w:val="00B2502A"/>
    <w:rsid w:val="00B253F6"/>
    <w:rsid w:val="00B25F5A"/>
    <w:rsid w:val="00B26675"/>
    <w:rsid w:val="00B26F0F"/>
    <w:rsid w:val="00B305DB"/>
    <w:rsid w:val="00B31A48"/>
    <w:rsid w:val="00B31FFB"/>
    <w:rsid w:val="00B3239D"/>
    <w:rsid w:val="00B32AB9"/>
    <w:rsid w:val="00B332F8"/>
    <w:rsid w:val="00B33BBB"/>
    <w:rsid w:val="00B3492B"/>
    <w:rsid w:val="00B35CCF"/>
    <w:rsid w:val="00B366B3"/>
    <w:rsid w:val="00B37F8A"/>
    <w:rsid w:val="00B43205"/>
    <w:rsid w:val="00B4489A"/>
    <w:rsid w:val="00B4646F"/>
    <w:rsid w:val="00B468A0"/>
    <w:rsid w:val="00B47E9E"/>
    <w:rsid w:val="00B50B16"/>
    <w:rsid w:val="00B5141A"/>
    <w:rsid w:val="00B53409"/>
    <w:rsid w:val="00B54ACC"/>
    <w:rsid w:val="00B55C7D"/>
    <w:rsid w:val="00B56EED"/>
    <w:rsid w:val="00B63038"/>
    <w:rsid w:val="00B638F7"/>
    <w:rsid w:val="00B63F07"/>
    <w:rsid w:val="00B64BD8"/>
    <w:rsid w:val="00B663DA"/>
    <w:rsid w:val="00B66BB6"/>
    <w:rsid w:val="00B701D0"/>
    <w:rsid w:val="00B701D1"/>
    <w:rsid w:val="00B701F9"/>
    <w:rsid w:val="00B72AB9"/>
    <w:rsid w:val="00B72CD0"/>
    <w:rsid w:val="00B72E0A"/>
    <w:rsid w:val="00B730D1"/>
    <w:rsid w:val="00B73112"/>
    <w:rsid w:val="00B73498"/>
    <w:rsid w:val="00B73AF2"/>
    <w:rsid w:val="00B7551A"/>
    <w:rsid w:val="00B766C5"/>
    <w:rsid w:val="00B76B50"/>
    <w:rsid w:val="00B76DF6"/>
    <w:rsid w:val="00B773F1"/>
    <w:rsid w:val="00B77C14"/>
    <w:rsid w:val="00B77EA1"/>
    <w:rsid w:val="00B80992"/>
    <w:rsid w:val="00B81846"/>
    <w:rsid w:val="00B83402"/>
    <w:rsid w:val="00B83536"/>
    <w:rsid w:val="00B835DB"/>
    <w:rsid w:val="00B848CA"/>
    <w:rsid w:val="00B85DC9"/>
    <w:rsid w:val="00B86AB1"/>
    <w:rsid w:val="00B873E9"/>
    <w:rsid w:val="00B875B0"/>
    <w:rsid w:val="00B90AA1"/>
    <w:rsid w:val="00B9132F"/>
    <w:rsid w:val="00B91DD3"/>
    <w:rsid w:val="00B94883"/>
    <w:rsid w:val="00B9726A"/>
    <w:rsid w:val="00B97F07"/>
    <w:rsid w:val="00BA2157"/>
    <w:rsid w:val="00BA28A1"/>
    <w:rsid w:val="00BA298C"/>
    <w:rsid w:val="00BA2F21"/>
    <w:rsid w:val="00BA6452"/>
    <w:rsid w:val="00BA7EBA"/>
    <w:rsid w:val="00BB2A06"/>
    <w:rsid w:val="00BB2C71"/>
    <w:rsid w:val="00BB2CBB"/>
    <w:rsid w:val="00BB3229"/>
    <w:rsid w:val="00BB4198"/>
    <w:rsid w:val="00BB60E6"/>
    <w:rsid w:val="00BC0022"/>
    <w:rsid w:val="00BC03EE"/>
    <w:rsid w:val="00BC2E89"/>
    <w:rsid w:val="00BC340A"/>
    <w:rsid w:val="00BC3D65"/>
    <w:rsid w:val="00BC59F1"/>
    <w:rsid w:val="00BC78E4"/>
    <w:rsid w:val="00BD13AF"/>
    <w:rsid w:val="00BD26B4"/>
    <w:rsid w:val="00BD3A4D"/>
    <w:rsid w:val="00BD3CDD"/>
    <w:rsid w:val="00BD4C1C"/>
    <w:rsid w:val="00BD52EB"/>
    <w:rsid w:val="00BD569C"/>
    <w:rsid w:val="00BD65F5"/>
    <w:rsid w:val="00BD665C"/>
    <w:rsid w:val="00BD6A20"/>
    <w:rsid w:val="00BD6F3C"/>
    <w:rsid w:val="00BD7162"/>
    <w:rsid w:val="00BD7541"/>
    <w:rsid w:val="00BD7E69"/>
    <w:rsid w:val="00BE0EA1"/>
    <w:rsid w:val="00BE2643"/>
    <w:rsid w:val="00BE3EE0"/>
    <w:rsid w:val="00BE48EB"/>
    <w:rsid w:val="00BE63F6"/>
    <w:rsid w:val="00BF2175"/>
    <w:rsid w:val="00BF35B5"/>
    <w:rsid w:val="00BF3DE1"/>
    <w:rsid w:val="00BF3E6E"/>
    <w:rsid w:val="00BF42D6"/>
    <w:rsid w:val="00BF44E7"/>
    <w:rsid w:val="00BF4843"/>
    <w:rsid w:val="00BF5205"/>
    <w:rsid w:val="00BF5494"/>
    <w:rsid w:val="00BF5E22"/>
    <w:rsid w:val="00BF6697"/>
    <w:rsid w:val="00BF7102"/>
    <w:rsid w:val="00BF72DD"/>
    <w:rsid w:val="00C00DFB"/>
    <w:rsid w:val="00C01499"/>
    <w:rsid w:val="00C01761"/>
    <w:rsid w:val="00C02349"/>
    <w:rsid w:val="00C02B47"/>
    <w:rsid w:val="00C0452B"/>
    <w:rsid w:val="00C04751"/>
    <w:rsid w:val="00C05132"/>
    <w:rsid w:val="00C05A3B"/>
    <w:rsid w:val="00C06903"/>
    <w:rsid w:val="00C06A68"/>
    <w:rsid w:val="00C1086A"/>
    <w:rsid w:val="00C1135B"/>
    <w:rsid w:val="00C12508"/>
    <w:rsid w:val="00C1262F"/>
    <w:rsid w:val="00C12938"/>
    <w:rsid w:val="00C1537D"/>
    <w:rsid w:val="00C165DA"/>
    <w:rsid w:val="00C16653"/>
    <w:rsid w:val="00C16C74"/>
    <w:rsid w:val="00C17047"/>
    <w:rsid w:val="00C21673"/>
    <w:rsid w:val="00C21BAA"/>
    <w:rsid w:val="00C23728"/>
    <w:rsid w:val="00C23E35"/>
    <w:rsid w:val="00C2457D"/>
    <w:rsid w:val="00C25187"/>
    <w:rsid w:val="00C25254"/>
    <w:rsid w:val="00C25860"/>
    <w:rsid w:val="00C25981"/>
    <w:rsid w:val="00C25AC5"/>
    <w:rsid w:val="00C3026C"/>
    <w:rsid w:val="00C313A9"/>
    <w:rsid w:val="00C31641"/>
    <w:rsid w:val="00C32328"/>
    <w:rsid w:val="00C36E56"/>
    <w:rsid w:val="00C377BC"/>
    <w:rsid w:val="00C37EC4"/>
    <w:rsid w:val="00C40897"/>
    <w:rsid w:val="00C40B1F"/>
    <w:rsid w:val="00C41FF5"/>
    <w:rsid w:val="00C43925"/>
    <w:rsid w:val="00C441CF"/>
    <w:rsid w:val="00C444E1"/>
    <w:rsid w:val="00C44FC5"/>
    <w:rsid w:val="00C4550D"/>
    <w:rsid w:val="00C45953"/>
    <w:rsid w:val="00C45AA2"/>
    <w:rsid w:val="00C4792C"/>
    <w:rsid w:val="00C47DBF"/>
    <w:rsid w:val="00C47FA7"/>
    <w:rsid w:val="00C52196"/>
    <w:rsid w:val="00C52791"/>
    <w:rsid w:val="00C529A6"/>
    <w:rsid w:val="00C53637"/>
    <w:rsid w:val="00C54902"/>
    <w:rsid w:val="00C5531C"/>
    <w:rsid w:val="00C55BEF"/>
    <w:rsid w:val="00C55DB7"/>
    <w:rsid w:val="00C5742B"/>
    <w:rsid w:val="00C57CA3"/>
    <w:rsid w:val="00C601AF"/>
    <w:rsid w:val="00C604E8"/>
    <w:rsid w:val="00C60B05"/>
    <w:rsid w:val="00C60C87"/>
    <w:rsid w:val="00C61A63"/>
    <w:rsid w:val="00C640BB"/>
    <w:rsid w:val="00C6459E"/>
    <w:rsid w:val="00C65395"/>
    <w:rsid w:val="00C66296"/>
    <w:rsid w:val="00C70637"/>
    <w:rsid w:val="00C70648"/>
    <w:rsid w:val="00C724C1"/>
    <w:rsid w:val="00C7394D"/>
    <w:rsid w:val="00C73A00"/>
    <w:rsid w:val="00C73EAD"/>
    <w:rsid w:val="00C74CA5"/>
    <w:rsid w:val="00C76108"/>
    <w:rsid w:val="00C76782"/>
    <w:rsid w:val="00C77282"/>
    <w:rsid w:val="00C77EF4"/>
    <w:rsid w:val="00C83320"/>
    <w:rsid w:val="00C8422D"/>
    <w:rsid w:val="00C84DE5"/>
    <w:rsid w:val="00C84F40"/>
    <w:rsid w:val="00C86248"/>
    <w:rsid w:val="00C867E0"/>
    <w:rsid w:val="00C875BF"/>
    <w:rsid w:val="00C90B31"/>
    <w:rsid w:val="00C90DE6"/>
    <w:rsid w:val="00C9436A"/>
    <w:rsid w:val="00C97A8E"/>
    <w:rsid w:val="00C97E81"/>
    <w:rsid w:val="00CA0D6F"/>
    <w:rsid w:val="00CA1A7A"/>
    <w:rsid w:val="00CA20BC"/>
    <w:rsid w:val="00CA2747"/>
    <w:rsid w:val="00CA2865"/>
    <w:rsid w:val="00CA36B0"/>
    <w:rsid w:val="00CA4C33"/>
    <w:rsid w:val="00CA54B8"/>
    <w:rsid w:val="00CA575D"/>
    <w:rsid w:val="00CA5CA2"/>
    <w:rsid w:val="00CA6CB2"/>
    <w:rsid w:val="00CA6F4A"/>
    <w:rsid w:val="00CA7D5C"/>
    <w:rsid w:val="00CB3E3C"/>
    <w:rsid w:val="00CB462D"/>
    <w:rsid w:val="00CB524F"/>
    <w:rsid w:val="00CB52C9"/>
    <w:rsid w:val="00CB59E5"/>
    <w:rsid w:val="00CB6427"/>
    <w:rsid w:val="00CC0341"/>
    <w:rsid w:val="00CC0FBE"/>
    <w:rsid w:val="00CC2E79"/>
    <w:rsid w:val="00CC40C7"/>
    <w:rsid w:val="00CC56B9"/>
    <w:rsid w:val="00CC5801"/>
    <w:rsid w:val="00CD1F09"/>
    <w:rsid w:val="00CD2119"/>
    <w:rsid w:val="00CD237A"/>
    <w:rsid w:val="00CD36AC"/>
    <w:rsid w:val="00CD5101"/>
    <w:rsid w:val="00CD61F2"/>
    <w:rsid w:val="00CE0F45"/>
    <w:rsid w:val="00CE12D0"/>
    <w:rsid w:val="00CE13A3"/>
    <w:rsid w:val="00CE15D1"/>
    <w:rsid w:val="00CE1E99"/>
    <w:rsid w:val="00CE2EBF"/>
    <w:rsid w:val="00CE36BC"/>
    <w:rsid w:val="00CE6075"/>
    <w:rsid w:val="00CE759C"/>
    <w:rsid w:val="00CF1747"/>
    <w:rsid w:val="00CF2675"/>
    <w:rsid w:val="00CF2851"/>
    <w:rsid w:val="00CF2F93"/>
    <w:rsid w:val="00CF3316"/>
    <w:rsid w:val="00CF4425"/>
    <w:rsid w:val="00CF4671"/>
    <w:rsid w:val="00CF60ED"/>
    <w:rsid w:val="00CF650A"/>
    <w:rsid w:val="00D00EA4"/>
    <w:rsid w:val="00D0161D"/>
    <w:rsid w:val="00D039D8"/>
    <w:rsid w:val="00D04E04"/>
    <w:rsid w:val="00D05D74"/>
    <w:rsid w:val="00D07BDF"/>
    <w:rsid w:val="00D10CD8"/>
    <w:rsid w:val="00D16872"/>
    <w:rsid w:val="00D1703F"/>
    <w:rsid w:val="00D20C59"/>
    <w:rsid w:val="00D20EBA"/>
    <w:rsid w:val="00D215B7"/>
    <w:rsid w:val="00D23323"/>
    <w:rsid w:val="00D2392A"/>
    <w:rsid w:val="00D250AE"/>
    <w:rsid w:val="00D25390"/>
    <w:rsid w:val="00D25FFE"/>
    <w:rsid w:val="00D26A57"/>
    <w:rsid w:val="00D301C3"/>
    <w:rsid w:val="00D30BBE"/>
    <w:rsid w:val="00D3184C"/>
    <w:rsid w:val="00D31CA4"/>
    <w:rsid w:val="00D3227F"/>
    <w:rsid w:val="00D331B2"/>
    <w:rsid w:val="00D347B1"/>
    <w:rsid w:val="00D352DA"/>
    <w:rsid w:val="00D36CDF"/>
    <w:rsid w:val="00D373B8"/>
    <w:rsid w:val="00D37777"/>
    <w:rsid w:val="00D37D80"/>
    <w:rsid w:val="00D40052"/>
    <w:rsid w:val="00D4229F"/>
    <w:rsid w:val="00D42B23"/>
    <w:rsid w:val="00D434ED"/>
    <w:rsid w:val="00D4440F"/>
    <w:rsid w:val="00D4476F"/>
    <w:rsid w:val="00D44895"/>
    <w:rsid w:val="00D45505"/>
    <w:rsid w:val="00D46443"/>
    <w:rsid w:val="00D46AE1"/>
    <w:rsid w:val="00D47981"/>
    <w:rsid w:val="00D50300"/>
    <w:rsid w:val="00D50573"/>
    <w:rsid w:val="00D518E1"/>
    <w:rsid w:val="00D54107"/>
    <w:rsid w:val="00D54D50"/>
    <w:rsid w:val="00D559C2"/>
    <w:rsid w:val="00D56027"/>
    <w:rsid w:val="00D560B4"/>
    <w:rsid w:val="00D57EAF"/>
    <w:rsid w:val="00D6029E"/>
    <w:rsid w:val="00D6080D"/>
    <w:rsid w:val="00D624AE"/>
    <w:rsid w:val="00D628BA"/>
    <w:rsid w:val="00D65728"/>
    <w:rsid w:val="00D65B2B"/>
    <w:rsid w:val="00D662F8"/>
    <w:rsid w:val="00D66797"/>
    <w:rsid w:val="00D67D8A"/>
    <w:rsid w:val="00D7074B"/>
    <w:rsid w:val="00D7087C"/>
    <w:rsid w:val="00D70C3C"/>
    <w:rsid w:val="00D70D4F"/>
    <w:rsid w:val="00D71A7B"/>
    <w:rsid w:val="00D71DF7"/>
    <w:rsid w:val="00D7224F"/>
    <w:rsid w:val="00D7265D"/>
    <w:rsid w:val="00D72BE5"/>
    <w:rsid w:val="00D7351B"/>
    <w:rsid w:val="00D73BA8"/>
    <w:rsid w:val="00D7548D"/>
    <w:rsid w:val="00D756D6"/>
    <w:rsid w:val="00D7622C"/>
    <w:rsid w:val="00D77A03"/>
    <w:rsid w:val="00D8036F"/>
    <w:rsid w:val="00D8063C"/>
    <w:rsid w:val="00D8090F"/>
    <w:rsid w:val="00D81462"/>
    <w:rsid w:val="00D82F26"/>
    <w:rsid w:val="00D847C9"/>
    <w:rsid w:val="00D863D0"/>
    <w:rsid w:val="00D86B00"/>
    <w:rsid w:val="00D86FB9"/>
    <w:rsid w:val="00D87C87"/>
    <w:rsid w:val="00D90BB4"/>
    <w:rsid w:val="00D90E07"/>
    <w:rsid w:val="00D91541"/>
    <w:rsid w:val="00D932C2"/>
    <w:rsid w:val="00D962C1"/>
    <w:rsid w:val="00D9646A"/>
    <w:rsid w:val="00D97F0A"/>
    <w:rsid w:val="00DA0244"/>
    <w:rsid w:val="00DA02C5"/>
    <w:rsid w:val="00DA31AA"/>
    <w:rsid w:val="00DA591A"/>
    <w:rsid w:val="00DA5ED8"/>
    <w:rsid w:val="00DA6831"/>
    <w:rsid w:val="00DB0740"/>
    <w:rsid w:val="00DB0C8F"/>
    <w:rsid w:val="00DB0EA0"/>
    <w:rsid w:val="00DB1D49"/>
    <w:rsid w:val="00DB279F"/>
    <w:rsid w:val="00DB2B69"/>
    <w:rsid w:val="00DB3423"/>
    <w:rsid w:val="00DB39CF"/>
    <w:rsid w:val="00DB43AB"/>
    <w:rsid w:val="00DB7146"/>
    <w:rsid w:val="00DB7256"/>
    <w:rsid w:val="00DB72F5"/>
    <w:rsid w:val="00DB784F"/>
    <w:rsid w:val="00DC00AE"/>
    <w:rsid w:val="00DC0401"/>
    <w:rsid w:val="00DC1085"/>
    <w:rsid w:val="00DC20BD"/>
    <w:rsid w:val="00DC2A7D"/>
    <w:rsid w:val="00DC2C9F"/>
    <w:rsid w:val="00DC2FB4"/>
    <w:rsid w:val="00DC43F9"/>
    <w:rsid w:val="00DC4A83"/>
    <w:rsid w:val="00DC69FD"/>
    <w:rsid w:val="00DD0BCD"/>
    <w:rsid w:val="00DD1720"/>
    <w:rsid w:val="00DD1973"/>
    <w:rsid w:val="00DD1F96"/>
    <w:rsid w:val="00DD2518"/>
    <w:rsid w:val="00DD2FBD"/>
    <w:rsid w:val="00DD447A"/>
    <w:rsid w:val="00DD4E2F"/>
    <w:rsid w:val="00DD5A7B"/>
    <w:rsid w:val="00DD5D8C"/>
    <w:rsid w:val="00DD62B2"/>
    <w:rsid w:val="00DD713C"/>
    <w:rsid w:val="00DE1530"/>
    <w:rsid w:val="00DE36A7"/>
    <w:rsid w:val="00DE3B20"/>
    <w:rsid w:val="00DE6541"/>
    <w:rsid w:val="00DE6C94"/>
    <w:rsid w:val="00DE6FD7"/>
    <w:rsid w:val="00DE76C3"/>
    <w:rsid w:val="00DE7E45"/>
    <w:rsid w:val="00DF08AD"/>
    <w:rsid w:val="00DF1570"/>
    <w:rsid w:val="00DF2904"/>
    <w:rsid w:val="00DF29A4"/>
    <w:rsid w:val="00DF3889"/>
    <w:rsid w:val="00DF3FA1"/>
    <w:rsid w:val="00DF4DD4"/>
    <w:rsid w:val="00E00993"/>
    <w:rsid w:val="00E00BE0"/>
    <w:rsid w:val="00E015DD"/>
    <w:rsid w:val="00E01A6B"/>
    <w:rsid w:val="00E01D2D"/>
    <w:rsid w:val="00E037C8"/>
    <w:rsid w:val="00E04027"/>
    <w:rsid w:val="00E042BD"/>
    <w:rsid w:val="00E054C2"/>
    <w:rsid w:val="00E0672C"/>
    <w:rsid w:val="00E106CD"/>
    <w:rsid w:val="00E15BAC"/>
    <w:rsid w:val="00E16ED3"/>
    <w:rsid w:val="00E1756E"/>
    <w:rsid w:val="00E17763"/>
    <w:rsid w:val="00E17951"/>
    <w:rsid w:val="00E21E16"/>
    <w:rsid w:val="00E2209D"/>
    <w:rsid w:val="00E23007"/>
    <w:rsid w:val="00E23271"/>
    <w:rsid w:val="00E24F80"/>
    <w:rsid w:val="00E259F3"/>
    <w:rsid w:val="00E25DC4"/>
    <w:rsid w:val="00E25F5C"/>
    <w:rsid w:val="00E26586"/>
    <w:rsid w:val="00E27A1B"/>
    <w:rsid w:val="00E30985"/>
    <w:rsid w:val="00E30E09"/>
    <w:rsid w:val="00E318DB"/>
    <w:rsid w:val="00E33238"/>
    <w:rsid w:val="00E33A8D"/>
    <w:rsid w:val="00E3403D"/>
    <w:rsid w:val="00E34B2C"/>
    <w:rsid w:val="00E361F1"/>
    <w:rsid w:val="00E376B7"/>
    <w:rsid w:val="00E40211"/>
    <w:rsid w:val="00E4040B"/>
    <w:rsid w:val="00E42F5D"/>
    <w:rsid w:val="00E4486C"/>
    <w:rsid w:val="00E4512E"/>
    <w:rsid w:val="00E460A0"/>
    <w:rsid w:val="00E460B6"/>
    <w:rsid w:val="00E479B6"/>
    <w:rsid w:val="00E47AEB"/>
    <w:rsid w:val="00E507B6"/>
    <w:rsid w:val="00E509F8"/>
    <w:rsid w:val="00E510DA"/>
    <w:rsid w:val="00E511D5"/>
    <w:rsid w:val="00E53642"/>
    <w:rsid w:val="00E53A9F"/>
    <w:rsid w:val="00E53D62"/>
    <w:rsid w:val="00E54DE3"/>
    <w:rsid w:val="00E572CD"/>
    <w:rsid w:val="00E60249"/>
    <w:rsid w:val="00E61093"/>
    <w:rsid w:val="00E62D38"/>
    <w:rsid w:val="00E6384D"/>
    <w:rsid w:val="00E63D98"/>
    <w:rsid w:val="00E63F69"/>
    <w:rsid w:val="00E64C76"/>
    <w:rsid w:val="00E64F1C"/>
    <w:rsid w:val="00E65269"/>
    <w:rsid w:val="00E65A46"/>
    <w:rsid w:val="00E66408"/>
    <w:rsid w:val="00E66519"/>
    <w:rsid w:val="00E75B71"/>
    <w:rsid w:val="00E76D0F"/>
    <w:rsid w:val="00E76D66"/>
    <w:rsid w:val="00E809D2"/>
    <w:rsid w:val="00E80AED"/>
    <w:rsid w:val="00E81834"/>
    <w:rsid w:val="00E83C66"/>
    <w:rsid w:val="00E83DE9"/>
    <w:rsid w:val="00E84372"/>
    <w:rsid w:val="00E86E91"/>
    <w:rsid w:val="00E934E3"/>
    <w:rsid w:val="00E94B94"/>
    <w:rsid w:val="00E94CF6"/>
    <w:rsid w:val="00E95FE3"/>
    <w:rsid w:val="00E9683D"/>
    <w:rsid w:val="00E979CD"/>
    <w:rsid w:val="00EA0BCB"/>
    <w:rsid w:val="00EA1E94"/>
    <w:rsid w:val="00EA2A73"/>
    <w:rsid w:val="00EA2B7B"/>
    <w:rsid w:val="00EA3866"/>
    <w:rsid w:val="00EA63C0"/>
    <w:rsid w:val="00EA6C58"/>
    <w:rsid w:val="00EA7339"/>
    <w:rsid w:val="00EA796A"/>
    <w:rsid w:val="00EB045E"/>
    <w:rsid w:val="00EB1856"/>
    <w:rsid w:val="00EB185C"/>
    <w:rsid w:val="00EB19B0"/>
    <w:rsid w:val="00EB49BC"/>
    <w:rsid w:val="00EB57F8"/>
    <w:rsid w:val="00EB5938"/>
    <w:rsid w:val="00EB6F20"/>
    <w:rsid w:val="00EB7FAB"/>
    <w:rsid w:val="00EC0DEF"/>
    <w:rsid w:val="00EC1976"/>
    <w:rsid w:val="00EC3854"/>
    <w:rsid w:val="00EC3C88"/>
    <w:rsid w:val="00EC50CE"/>
    <w:rsid w:val="00EC5B34"/>
    <w:rsid w:val="00EC6907"/>
    <w:rsid w:val="00EC7DFF"/>
    <w:rsid w:val="00ED021E"/>
    <w:rsid w:val="00ED0307"/>
    <w:rsid w:val="00ED1768"/>
    <w:rsid w:val="00ED1830"/>
    <w:rsid w:val="00ED1D0F"/>
    <w:rsid w:val="00ED1F83"/>
    <w:rsid w:val="00ED323C"/>
    <w:rsid w:val="00ED390E"/>
    <w:rsid w:val="00ED5BE4"/>
    <w:rsid w:val="00ED5CBA"/>
    <w:rsid w:val="00ED6805"/>
    <w:rsid w:val="00EE2614"/>
    <w:rsid w:val="00EE2626"/>
    <w:rsid w:val="00EE2D5C"/>
    <w:rsid w:val="00EE3BF1"/>
    <w:rsid w:val="00EE48E4"/>
    <w:rsid w:val="00EE4ADE"/>
    <w:rsid w:val="00EE4DE8"/>
    <w:rsid w:val="00EE5CB7"/>
    <w:rsid w:val="00EE67D7"/>
    <w:rsid w:val="00EE76A2"/>
    <w:rsid w:val="00EE792D"/>
    <w:rsid w:val="00EE7AC4"/>
    <w:rsid w:val="00EF1DCE"/>
    <w:rsid w:val="00EF2E10"/>
    <w:rsid w:val="00EF3416"/>
    <w:rsid w:val="00EF4F49"/>
    <w:rsid w:val="00F00C4B"/>
    <w:rsid w:val="00F0150A"/>
    <w:rsid w:val="00F024FE"/>
    <w:rsid w:val="00F03EC6"/>
    <w:rsid w:val="00F042E0"/>
    <w:rsid w:val="00F04586"/>
    <w:rsid w:val="00F04EBE"/>
    <w:rsid w:val="00F059C8"/>
    <w:rsid w:val="00F05AD4"/>
    <w:rsid w:val="00F075C8"/>
    <w:rsid w:val="00F10EB6"/>
    <w:rsid w:val="00F10FD1"/>
    <w:rsid w:val="00F130CC"/>
    <w:rsid w:val="00F137EF"/>
    <w:rsid w:val="00F13E37"/>
    <w:rsid w:val="00F13F07"/>
    <w:rsid w:val="00F140B2"/>
    <w:rsid w:val="00F16321"/>
    <w:rsid w:val="00F171AA"/>
    <w:rsid w:val="00F175A0"/>
    <w:rsid w:val="00F21528"/>
    <w:rsid w:val="00F21529"/>
    <w:rsid w:val="00F24A32"/>
    <w:rsid w:val="00F25970"/>
    <w:rsid w:val="00F26719"/>
    <w:rsid w:val="00F26A77"/>
    <w:rsid w:val="00F30752"/>
    <w:rsid w:val="00F311A9"/>
    <w:rsid w:val="00F31F1D"/>
    <w:rsid w:val="00F3279F"/>
    <w:rsid w:val="00F336B8"/>
    <w:rsid w:val="00F408DD"/>
    <w:rsid w:val="00F4098B"/>
    <w:rsid w:val="00F41282"/>
    <w:rsid w:val="00F415D6"/>
    <w:rsid w:val="00F42FC6"/>
    <w:rsid w:val="00F43EB2"/>
    <w:rsid w:val="00F46AF3"/>
    <w:rsid w:val="00F46E50"/>
    <w:rsid w:val="00F47801"/>
    <w:rsid w:val="00F47819"/>
    <w:rsid w:val="00F5180D"/>
    <w:rsid w:val="00F5239F"/>
    <w:rsid w:val="00F524B8"/>
    <w:rsid w:val="00F54482"/>
    <w:rsid w:val="00F54AAD"/>
    <w:rsid w:val="00F560CA"/>
    <w:rsid w:val="00F56C85"/>
    <w:rsid w:val="00F606BC"/>
    <w:rsid w:val="00F619AB"/>
    <w:rsid w:val="00F61A43"/>
    <w:rsid w:val="00F62D4C"/>
    <w:rsid w:val="00F63781"/>
    <w:rsid w:val="00F6525F"/>
    <w:rsid w:val="00F65944"/>
    <w:rsid w:val="00F65A25"/>
    <w:rsid w:val="00F666BC"/>
    <w:rsid w:val="00F67496"/>
    <w:rsid w:val="00F677D1"/>
    <w:rsid w:val="00F70590"/>
    <w:rsid w:val="00F7200A"/>
    <w:rsid w:val="00F7377E"/>
    <w:rsid w:val="00F739D4"/>
    <w:rsid w:val="00F745C3"/>
    <w:rsid w:val="00F77026"/>
    <w:rsid w:val="00F7759E"/>
    <w:rsid w:val="00F801BA"/>
    <w:rsid w:val="00F810C1"/>
    <w:rsid w:val="00F82E21"/>
    <w:rsid w:val="00F839EE"/>
    <w:rsid w:val="00F847BE"/>
    <w:rsid w:val="00F856C5"/>
    <w:rsid w:val="00F8639F"/>
    <w:rsid w:val="00F90604"/>
    <w:rsid w:val="00F9073F"/>
    <w:rsid w:val="00F90A81"/>
    <w:rsid w:val="00F92D1C"/>
    <w:rsid w:val="00F92D6B"/>
    <w:rsid w:val="00F92F9E"/>
    <w:rsid w:val="00F9366A"/>
    <w:rsid w:val="00F946C9"/>
    <w:rsid w:val="00F97E9C"/>
    <w:rsid w:val="00FA05A3"/>
    <w:rsid w:val="00FA0EA5"/>
    <w:rsid w:val="00FA2695"/>
    <w:rsid w:val="00FA602C"/>
    <w:rsid w:val="00FA6621"/>
    <w:rsid w:val="00FA74C6"/>
    <w:rsid w:val="00FA74EE"/>
    <w:rsid w:val="00FA7BD0"/>
    <w:rsid w:val="00FB089C"/>
    <w:rsid w:val="00FB1472"/>
    <w:rsid w:val="00FB1B87"/>
    <w:rsid w:val="00FB265E"/>
    <w:rsid w:val="00FB2B89"/>
    <w:rsid w:val="00FB3A41"/>
    <w:rsid w:val="00FB3D31"/>
    <w:rsid w:val="00FB6785"/>
    <w:rsid w:val="00FB7C75"/>
    <w:rsid w:val="00FC10BE"/>
    <w:rsid w:val="00FC2C7B"/>
    <w:rsid w:val="00FC3029"/>
    <w:rsid w:val="00FC3711"/>
    <w:rsid w:val="00FC46E7"/>
    <w:rsid w:val="00FC5D25"/>
    <w:rsid w:val="00FC5EDE"/>
    <w:rsid w:val="00FC6906"/>
    <w:rsid w:val="00FC740F"/>
    <w:rsid w:val="00FC7497"/>
    <w:rsid w:val="00FD0D7E"/>
    <w:rsid w:val="00FD17AA"/>
    <w:rsid w:val="00FD29D5"/>
    <w:rsid w:val="00FD2E65"/>
    <w:rsid w:val="00FD2E81"/>
    <w:rsid w:val="00FD327E"/>
    <w:rsid w:val="00FD3802"/>
    <w:rsid w:val="00FD3AEE"/>
    <w:rsid w:val="00FD4FFB"/>
    <w:rsid w:val="00FD6D1A"/>
    <w:rsid w:val="00FD74A4"/>
    <w:rsid w:val="00FD7572"/>
    <w:rsid w:val="00FD7B74"/>
    <w:rsid w:val="00FE0447"/>
    <w:rsid w:val="00FE0EA7"/>
    <w:rsid w:val="00FE257D"/>
    <w:rsid w:val="00FE25C2"/>
    <w:rsid w:val="00FE2CE6"/>
    <w:rsid w:val="00FE6E13"/>
    <w:rsid w:val="00FE7167"/>
    <w:rsid w:val="00FF15F6"/>
    <w:rsid w:val="00FF238E"/>
    <w:rsid w:val="00FF24ED"/>
    <w:rsid w:val="00FF3EDC"/>
    <w:rsid w:val="00FF527C"/>
    <w:rsid w:val="00FF65CD"/>
    <w:rsid w:val="00FF691C"/>
    <w:rsid w:val="00FF6CD3"/>
    <w:rsid w:val="021657E1"/>
    <w:rsid w:val="0255514E"/>
    <w:rsid w:val="04044B51"/>
    <w:rsid w:val="0431157F"/>
    <w:rsid w:val="0509BB43"/>
    <w:rsid w:val="060E9E96"/>
    <w:rsid w:val="067D1646"/>
    <w:rsid w:val="0A31A87E"/>
    <w:rsid w:val="0AC6976D"/>
    <w:rsid w:val="0AF2DE49"/>
    <w:rsid w:val="0B410FE1"/>
    <w:rsid w:val="0C1E9FCF"/>
    <w:rsid w:val="0C4B96ED"/>
    <w:rsid w:val="0CDB1957"/>
    <w:rsid w:val="0D10AA07"/>
    <w:rsid w:val="0E6B5952"/>
    <w:rsid w:val="12F99A10"/>
    <w:rsid w:val="162583FA"/>
    <w:rsid w:val="16376895"/>
    <w:rsid w:val="17E3524B"/>
    <w:rsid w:val="17E5B24C"/>
    <w:rsid w:val="1D2FC709"/>
    <w:rsid w:val="1E7FE985"/>
    <w:rsid w:val="1ECB976A"/>
    <w:rsid w:val="1F9F55A7"/>
    <w:rsid w:val="206B5C0D"/>
    <w:rsid w:val="21ED8F65"/>
    <w:rsid w:val="22681CB3"/>
    <w:rsid w:val="227DF784"/>
    <w:rsid w:val="255E3813"/>
    <w:rsid w:val="2633D595"/>
    <w:rsid w:val="27A838E3"/>
    <w:rsid w:val="27D8612D"/>
    <w:rsid w:val="27EA07D5"/>
    <w:rsid w:val="291F935F"/>
    <w:rsid w:val="2AD7FA53"/>
    <w:rsid w:val="2E3C5D37"/>
    <w:rsid w:val="2E5F71D4"/>
    <w:rsid w:val="2EA2FF76"/>
    <w:rsid w:val="2F740445"/>
    <w:rsid w:val="33634AFE"/>
    <w:rsid w:val="34AC99CA"/>
    <w:rsid w:val="357085A9"/>
    <w:rsid w:val="368E7BF7"/>
    <w:rsid w:val="37055631"/>
    <w:rsid w:val="382A9EEE"/>
    <w:rsid w:val="38C413E3"/>
    <w:rsid w:val="392C9BAE"/>
    <w:rsid w:val="39897E9C"/>
    <w:rsid w:val="39DE927C"/>
    <w:rsid w:val="3A3005E1"/>
    <w:rsid w:val="3B013B20"/>
    <w:rsid w:val="3B42F10B"/>
    <w:rsid w:val="3C4D0FED"/>
    <w:rsid w:val="3C7A6FF8"/>
    <w:rsid w:val="3E16D91F"/>
    <w:rsid w:val="3E625A02"/>
    <w:rsid w:val="3F515A5E"/>
    <w:rsid w:val="3F5565C3"/>
    <w:rsid w:val="40375E1B"/>
    <w:rsid w:val="41C587DF"/>
    <w:rsid w:val="41F1D06C"/>
    <w:rsid w:val="446B78A4"/>
    <w:rsid w:val="47AC4BEC"/>
    <w:rsid w:val="485866D0"/>
    <w:rsid w:val="48D8E736"/>
    <w:rsid w:val="48EDEC58"/>
    <w:rsid w:val="49E2CC48"/>
    <w:rsid w:val="4B95BBC6"/>
    <w:rsid w:val="4CB608DD"/>
    <w:rsid w:val="4FC493A9"/>
    <w:rsid w:val="51BA87B7"/>
    <w:rsid w:val="520059B4"/>
    <w:rsid w:val="522E7FAC"/>
    <w:rsid w:val="52343D82"/>
    <w:rsid w:val="524B9F77"/>
    <w:rsid w:val="56027E0A"/>
    <w:rsid w:val="562C7B37"/>
    <w:rsid w:val="5650423C"/>
    <w:rsid w:val="56570E2D"/>
    <w:rsid w:val="5693F3CC"/>
    <w:rsid w:val="57E7188E"/>
    <w:rsid w:val="57F2AA59"/>
    <w:rsid w:val="5B01FDFE"/>
    <w:rsid w:val="5C39D6DC"/>
    <w:rsid w:val="5C7F492D"/>
    <w:rsid w:val="5CDCC393"/>
    <w:rsid w:val="5DE350D4"/>
    <w:rsid w:val="5E0F6BD6"/>
    <w:rsid w:val="5E399EC0"/>
    <w:rsid w:val="5FCE304E"/>
    <w:rsid w:val="602C9751"/>
    <w:rsid w:val="614E2799"/>
    <w:rsid w:val="61563C13"/>
    <w:rsid w:val="625CB0CB"/>
    <w:rsid w:val="62DA4377"/>
    <w:rsid w:val="64311CE9"/>
    <w:rsid w:val="6793CF62"/>
    <w:rsid w:val="68794BDB"/>
    <w:rsid w:val="68C751D2"/>
    <w:rsid w:val="6B42C16A"/>
    <w:rsid w:val="6C5E6D78"/>
    <w:rsid w:val="6DA87E6A"/>
    <w:rsid w:val="6DC75430"/>
    <w:rsid w:val="6E501682"/>
    <w:rsid w:val="6EE3DEA6"/>
    <w:rsid w:val="7002E772"/>
    <w:rsid w:val="70EA22B3"/>
    <w:rsid w:val="70EE5838"/>
    <w:rsid w:val="731ECC47"/>
    <w:rsid w:val="7421060E"/>
    <w:rsid w:val="74913FDF"/>
    <w:rsid w:val="750267E9"/>
    <w:rsid w:val="762C752C"/>
    <w:rsid w:val="78198591"/>
    <w:rsid w:val="7834CBE1"/>
    <w:rsid w:val="7A01FB36"/>
    <w:rsid w:val="7A98F27F"/>
    <w:rsid w:val="7E2F9A86"/>
    <w:rsid w:val="7F6E7FC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EEEB9C"/>
  <w15:docId w15:val="{29B5AC32-2468-4A39-BEB9-7B4BBC14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qFormat/>
    <w:rsid w:val="00030E84"/>
    <w:pPr>
      <w:keepNext/>
      <w:spacing w:before="360" w:after="180"/>
      <w:outlineLvl w:val="2"/>
    </w:pPr>
    <w:rPr>
      <w:color w:val="0A6AB4"/>
      <w:spacing w:val="-5"/>
      <w:sz w:val="36"/>
    </w:rPr>
  </w:style>
  <w:style w:type="paragraph" w:styleId="Heading4">
    <w:name w:val="heading 4"/>
    <w:basedOn w:val="Normal"/>
    <w:next w:val="Normal"/>
    <w:link w:val="Heading4Char"/>
    <w:qFormat/>
    <w:rsid w:val="00030E84"/>
    <w:pPr>
      <w:keepNext/>
      <w:spacing w:before="240" w:after="120"/>
      <w:outlineLvl w:val="3"/>
    </w:pPr>
    <w:rPr>
      <w:color w:val="0A6AB4"/>
      <w:sz w:val="28"/>
    </w:rPr>
  </w:style>
  <w:style w:type="paragraph" w:styleId="Heading5">
    <w:name w:val="heading 5"/>
    <w:basedOn w:val="Normal"/>
    <w:next w:val="Normal"/>
    <w:link w:val="Heading5Char"/>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86B00"/>
    <w:rPr>
      <w:rFonts w:ascii="Segoe UI" w:hAnsi="Segoe UI"/>
      <w:b/>
      <w:color w:val="23305D"/>
      <w:spacing w:val="-10"/>
      <w:sz w:val="72"/>
      <w:lang w:eastAsia="en-GB"/>
    </w:rPr>
  </w:style>
  <w:style w:type="character" w:customStyle="1" w:styleId="Heading2Char">
    <w:name w:val="Heading 2 Char"/>
    <w:link w:val="Heading2"/>
    <w:rsid w:val="00030E84"/>
    <w:rPr>
      <w:rFonts w:ascii="Segoe UI" w:hAnsi="Segoe UI"/>
      <w:b/>
      <w:color w:val="0A6AB4"/>
      <w:spacing w:val="-5"/>
      <w:sz w:val="48"/>
      <w:lang w:eastAsia="en-GB"/>
    </w:rPr>
  </w:style>
  <w:style w:type="character" w:customStyle="1" w:styleId="Heading3Char">
    <w:name w:val="Heading 3 Char"/>
    <w:link w:val="Heading3"/>
    <w:rsid w:val="00030E84"/>
    <w:rPr>
      <w:rFonts w:ascii="Segoe UI" w:hAnsi="Segoe UI"/>
      <w:color w:val="0A6AB4"/>
      <w:spacing w:val="-5"/>
      <w:sz w:val="36"/>
      <w:lang w:eastAsia="en-GB"/>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link w:val="BulletChar"/>
    <w:qFormat/>
    <w:rsid w:val="00FA0EA5"/>
    <w:pPr>
      <w:numPr>
        <w:numId w:val="1"/>
      </w:numPr>
      <w:tabs>
        <w:tab w:val="clear" w:pos="284"/>
      </w:tabs>
      <w:spacing w:before="90"/>
    </w:pPr>
  </w:style>
  <w:style w:type="character" w:customStyle="1" w:styleId="BulletChar">
    <w:name w:val="Bullet Char"/>
    <w:link w:val="Bullet"/>
    <w:locked/>
    <w:rsid w:val="004366B7"/>
    <w:rPr>
      <w:rFonts w:ascii="Segoe UI" w:hAnsi="Segoe UI"/>
      <w:sz w:val="21"/>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rsid w:val="00A7415D"/>
    <w:pPr>
      <w:spacing w:before="60" w:line="228" w:lineRule="auto"/>
      <w:ind w:left="284" w:hanging="284"/>
    </w:pPr>
    <w:rPr>
      <w:sz w:val="17"/>
    </w:rPr>
  </w:style>
  <w:style w:type="character" w:customStyle="1" w:styleId="FootnoteTextChar">
    <w:name w:val="Footnote Text Char"/>
    <w:link w:val="FootnoteText"/>
    <w:rsid w:val="00A7415D"/>
    <w:rPr>
      <w:rFonts w:ascii="Segoe UI" w:hAnsi="Segoe UI"/>
      <w:sz w:val="17"/>
      <w:lang w:eastAsia="en-GB"/>
    </w:rPr>
  </w:style>
  <w:style w:type="paragraph" w:styleId="Header">
    <w:name w:val="header"/>
    <w:basedOn w:val="Normal"/>
    <w:link w:val="HeaderChar"/>
    <w:qFormat/>
    <w:rsid w:val="00D25FFE"/>
  </w:style>
  <w:style w:type="character" w:customStyle="1" w:styleId="HeaderChar">
    <w:name w:val="Header Char"/>
    <w:link w:val="Header"/>
    <w:rsid w:val="0086388B"/>
    <w:rPr>
      <w:rFonts w:ascii="Georgia" w:hAnsi="Georgia"/>
      <w:sz w:val="22"/>
      <w:lang w:eastAsia="en-GB"/>
    </w:rPr>
  </w:style>
  <w:style w:type="paragraph" w:styleId="Title">
    <w:name w:val="Title"/>
    <w:basedOn w:val="Normal"/>
    <w:next w:val="Normal"/>
    <w:link w:val="TitleChar"/>
    <w:qFormat/>
    <w:rsid w:val="005A79E5"/>
    <w:pPr>
      <w:spacing w:line="216" w:lineRule="auto"/>
      <w:ind w:right="3402"/>
    </w:pPr>
    <w:rPr>
      <w:rFonts w:ascii="Segoe UI Black" w:hAnsi="Segoe UI Black" w:cs="Lucida Sans Unicode"/>
      <w:b/>
      <w:sz w:val="72"/>
      <w:szCs w:val="72"/>
    </w:rPr>
  </w:style>
  <w:style w:type="character" w:customStyle="1" w:styleId="TitleChar">
    <w:name w:val="Title Char"/>
    <w:link w:val="Title"/>
    <w:rsid w:val="005A79E5"/>
    <w:rPr>
      <w:rFonts w:ascii="Segoe UI Black" w:hAnsi="Segoe UI Black" w:cs="Lucida Sans Unicode"/>
      <w:b/>
      <w:sz w:val="72"/>
      <w:szCs w:val="72"/>
      <w:lang w:eastAsia="en-GB"/>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customStyle="1" w:styleId="FigureChar">
    <w:name w:val="Figure Char"/>
    <w:link w:val="Figure"/>
    <w:locked/>
    <w:rsid w:val="004366B7"/>
    <w:rPr>
      <w:rFonts w:ascii="Segoe UI" w:hAnsi="Segoe UI"/>
      <w:b/>
      <w:lang w:eastAsia="en-GB"/>
    </w:rPr>
  </w:style>
  <w:style w:type="character" w:styleId="FootnoteReference">
    <w:name w:val="footnote reference"/>
    <w:rPr>
      <w:vertAlign w:val="superscript"/>
    </w:rPr>
  </w:style>
  <w:style w:type="paragraph" w:customStyle="1" w:styleId="Table">
    <w:name w:val="Table"/>
    <w:basedOn w:val="Figure"/>
    <w:link w:val="TableChar"/>
    <w:qFormat/>
    <w:rsid w:val="00642868"/>
  </w:style>
  <w:style w:type="character" w:customStyle="1" w:styleId="TableChar">
    <w:name w:val="Table Char"/>
    <w:link w:val="Table"/>
    <w:locked/>
    <w:rsid w:val="004366B7"/>
    <w:rPr>
      <w:rFonts w:ascii="Segoe UI" w:hAnsi="Segoe UI"/>
      <w:b/>
      <w:lang w:eastAsia="en-GB"/>
    </w:rPr>
  </w:style>
  <w:style w:type="paragraph" w:customStyle="1" w:styleId="Dash">
    <w:name w:val="Dash"/>
    <w:basedOn w:val="Bullet"/>
    <w:qFormat/>
    <w:rsid w:val="00702854"/>
    <w:pPr>
      <w:numPr>
        <w:numId w:val="3"/>
      </w:numPr>
      <w:spacing w:before="60"/>
    </w:pPr>
  </w:style>
  <w:style w:type="paragraph" w:customStyle="1" w:styleId="TableText">
    <w:name w:val="TableText"/>
    <w:basedOn w:val="Normal"/>
    <w:link w:val="TableTextChar"/>
    <w:qFormat/>
    <w:rsid w:val="009C440A"/>
    <w:pPr>
      <w:spacing w:before="60" w:after="60"/>
    </w:pPr>
    <w:rPr>
      <w:sz w:val="18"/>
    </w:rPr>
  </w:style>
  <w:style w:type="character" w:customStyle="1" w:styleId="TableTextChar">
    <w:name w:val="TableText Char"/>
    <w:link w:val="TableText"/>
    <w:rsid w:val="004366B7"/>
    <w:rPr>
      <w:rFonts w:ascii="Segoe UI" w:hAnsi="Segoe UI"/>
      <w:sz w:val="18"/>
      <w:lang w:eastAsia="en-GB"/>
    </w:rPr>
  </w:style>
  <w:style w:type="paragraph" w:customStyle="1" w:styleId="TableBullet">
    <w:name w:val="TableBullet"/>
    <w:basedOn w:val="TableText"/>
    <w:qFormat/>
    <w:rsid w:val="00B73AF2"/>
    <w:pPr>
      <w:numPr>
        <w:numId w:val="5"/>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paragraph" w:customStyle="1" w:styleId="Year">
    <w:name w:val="Year"/>
    <w:basedOn w:val="Subhead"/>
    <w:next w:val="Subhead"/>
    <w:qFormat/>
    <w:rsid w:val="00531E12"/>
    <w:rPr>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4"/>
      </w:numPr>
      <w:spacing w:before="40" w:after="0"/>
    </w:pPr>
    <w:rPr>
      <w:szCs w:val="22"/>
    </w:rPr>
  </w:style>
  <w:style w:type="table" w:styleId="TableGrid">
    <w:name w:val="Table Grid"/>
    <w:basedOn w:val="TableNormal"/>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qFormat/>
    <w:rsid w:val="00F140B2"/>
    <w:pPr>
      <w:numPr>
        <w:numId w:val="17"/>
      </w:numPr>
      <w:spacing w:before="180"/>
    </w:pPr>
    <w:rPr>
      <w:szCs w:val="24"/>
    </w:rPr>
  </w:style>
  <w:style w:type="paragraph" w:customStyle="1" w:styleId="Letter">
    <w:name w:val="Letter"/>
    <w:basedOn w:val="Normal"/>
    <w:qFormat/>
    <w:rsid w:val="00F140B2"/>
    <w:pPr>
      <w:numPr>
        <w:ilvl w:val="1"/>
        <w:numId w:val="17"/>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spacing w:before="90"/>
      <w:ind w:left="1701" w:hanging="567"/>
    </w:pPr>
    <w:rPr>
      <w:rFonts w:eastAsia="Arial Unicode MS"/>
    </w:rPr>
  </w:style>
  <w:style w:type="character" w:styleId="CommentReference">
    <w:name w:val="annotation reference"/>
    <w:basedOn w:val="DefaultParagraphFont"/>
    <w:uiPriority w:val="99"/>
    <w:semiHidden/>
    <w:unhideWhenUsed/>
    <w:rsid w:val="004366B7"/>
    <w:rPr>
      <w:sz w:val="16"/>
      <w:szCs w:val="16"/>
    </w:rPr>
  </w:style>
  <w:style w:type="paragraph" w:styleId="CommentText">
    <w:name w:val="annotation text"/>
    <w:basedOn w:val="Normal"/>
    <w:link w:val="CommentTextChar"/>
    <w:uiPriority w:val="99"/>
    <w:unhideWhenUsed/>
    <w:rsid w:val="004366B7"/>
    <w:rPr>
      <w:sz w:val="20"/>
    </w:rPr>
  </w:style>
  <w:style w:type="character" w:customStyle="1" w:styleId="CommentTextChar">
    <w:name w:val="Comment Text Char"/>
    <w:basedOn w:val="DefaultParagraphFont"/>
    <w:link w:val="CommentText"/>
    <w:uiPriority w:val="99"/>
    <w:rsid w:val="004366B7"/>
    <w:rPr>
      <w:rFonts w:ascii="Segoe UI" w:hAnsi="Segoe UI"/>
      <w:lang w:eastAsia="en-GB"/>
    </w:rPr>
  </w:style>
  <w:style w:type="paragraph" w:styleId="Caption">
    <w:name w:val="caption"/>
    <w:basedOn w:val="Normal"/>
    <w:next w:val="Normal"/>
    <w:unhideWhenUsed/>
    <w:qFormat/>
    <w:rsid w:val="00B2502A"/>
    <w:pPr>
      <w:spacing w:after="120"/>
    </w:pPr>
    <w:rPr>
      <w:b/>
      <w:bCs/>
      <w:sz w:val="20"/>
    </w:rPr>
  </w:style>
  <w:style w:type="paragraph" w:styleId="BalloonText">
    <w:name w:val="Balloon Text"/>
    <w:basedOn w:val="Normal"/>
    <w:link w:val="BalloonTextChar"/>
    <w:uiPriority w:val="99"/>
    <w:semiHidden/>
    <w:unhideWhenUsed/>
    <w:rsid w:val="004366B7"/>
    <w:rPr>
      <w:rFonts w:cs="Segoe UI"/>
      <w:sz w:val="18"/>
      <w:szCs w:val="18"/>
    </w:rPr>
  </w:style>
  <w:style w:type="character" w:customStyle="1" w:styleId="BalloonTextChar">
    <w:name w:val="Balloon Text Char"/>
    <w:basedOn w:val="DefaultParagraphFont"/>
    <w:link w:val="BalloonText"/>
    <w:uiPriority w:val="99"/>
    <w:semiHidden/>
    <w:rsid w:val="004366B7"/>
    <w:rPr>
      <w:rFonts w:ascii="Segoe UI" w:hAnsi="Segoe UI" w:cs="Segoe UI"/>
      <w:sz w:val="18"/>
      <w:szCs w:val="18"/>
      <w:lang w:eastAsia="en-GB"/>
    </w:rPr>
  </w:style>
  <w:style w:type="character" w:customStyle="1" w:styleId="CommentSubjectChar">
    <w:name w:val="Comment Subject Char"/>
    <w:basedOn w:val="CommentTextChar"/>
    <w:link w:val="CommentSubject"/>
    <w:uiPriority w:val="99"/>
    <w:semiHidden/>
    <w:rsid w:val="004366B7"/>
    <w:rPr>
      <w:rFonts w:ascii="Segoe UI" w:hAnsi="Segoe UI"/>
      <w:b/>
      <w:bCs/>
      <w:lang w:eastAsia="en-GB"/>
    </w:rPr>
  </w:style>
  <w:style w:type="paragraph" w:styleId="CommentSubject">
    <w:name w:val="annotation subject"/>
    <w:basedOn w:val="CommentText"/>
    <w:next w:val="CommentText"/>
    <w:link w:val="CommentSubjectChar"/>
    <w:uiPriority w:val="99"/>
    <w:semiHidden/>
    <w:unhideWhenUsed/>
    <w:rsid w:val="004366B7"/>
    <w:rPr>
      <w:b/>
      <w:bCs/>
    </w:rPr>
  </w:style>
  <w:style w:type="paragraph" w:styleId="ListParagraph">
    <w:name w:val="List Paragraph"/>
    <w:aliases w:val="Normal text,List Paragraph1"/>
    <w:basedOn w:val="Normal"/>
    <w:link w:val="ListParagraphChar"/>
    <w:uiPriority w:val="34"/>
    <w:qFormat/>
    <w:rsid w:val="004366B7"/>
    <w:pPr>
      <w:ind w:left="720"/>
      <w:contextualSpacing/>
    </w:pPr>
  </w:style>
  <w:style w:type="character" w:customStyle="1" w:styleId="ListParagraphChar">
    <w:name w:val="List Paragraph Char"/>
    <w:aliases w:val="Normal text Char,List Paragraph1 Char"/>
    <w:basedOn w:val="DefaultParagraphFont"/>
    <w:link w:val="ListParagraph"/>
    <w:uiPriority w:val="34"/>
    <w:rsid w:val="004366B7"/>
    <w:rPr>
      <w:rFonts w:ascii="Segoe UI" w:hAnsi="Segoe UI"/>
      <w:sz w:val="21"/>
      <w:lang w:eastAsia="en-GB"/>
    </w:rPr>
  </w:style>
  <w:style w:type="paragraph" w:customStyle="1" w:styleId="xmsonormal">
    <w:name w:val="x_msonormal"/>
    <w:basedOn w:val="Normal"/>
    <w:rsid w:val="004366B7"/>
    <w:rPr>
      <w:rFonts w:ascii="Calibri" w:eastAsiaTheme="minorHAnsi" w:hAnsi="Calibri" w:cs="Calibri"/>
      <w:sz w:val="22"/>
      <w:szCs w:val="22"/>
      <w:lang w:eastAsia="en-NZ"/>
    </w:rPr>
  </w:style>
  <w:style w:type="character" w:customStyle="1" w:styleId="normaltextrun">
    <w:name w:val="normaltextrun"/>
    <w:basedOn w:val="DefaultParagraphFont"/>
    <w:rsid w:val="004366B7"/>
  </w:style>
  <w:style w:type="paragraph" w:customStyle="1" w:styleId="paragraph">
    <w:name w:val="paragraph"/>
    <w:basedOn w:val="Normal"/>
    <w:rsid w:val="004366B7"/>
    <w:pPr>
      <w:spacing w:before="100" w:beforeAutospacing="1" w:after="100" w:afterAutospacing="1"/>
    </w:pPr>
    <w:rPr>
      <w:rFonts w:ascii="Times New Roman" w:hAnsi="Times New Roman"/>
      <w:sz w:val="24"/>
      <w:szCs w:val="24"/>
      <w:lang w:eastAsia="en-NZ"/>
    </w:rPr>
  </w:style>
  <w:style w:type="character" w:customStyle="1" w:styleId="eop">
    <w:name w:val="eop"/>
    <w:basedOn w:val="DefaultParagraphFont"/>
    <w:rsid w:val="004366B7"/>
  </w:style>
  <w:style w:type="paragraph" w:styleId="BodyText">
    <w:name w:val="Body Text"/>
    <w:basedOn w:val="Normal"/>
    <w:link w:val="BodyTextChar"/>
    <w:rsid w:val="004366B7"/>
    <w:rPr>
      <w:rFonts w:ascii="Arial Mäori" w:hAnsi="Arial Mäori" w:cs="Arial"/>
      <w:i/>
      <w:iCs/>
      <w:sz w:val="24"/>
      <w:lang w:eastAsia="en-US"/>
    </w:rPr>
  </w:style>
  <w:style w:type="character" w:customStyle="1" w:styleId="BodyTextChar">
    <w:name w:val="Body Text Char"/>
    <w:basedOn w:val="DefaultParagraphFont"/>
    <w:link w:val="BodyText"/>
    <w:rsid w:val="004366B7"/>
    <w:rPr>
      <w:rFonts w:ascii="Arial Mäori" w:hAnsi="Arial Mäori" w:cs="Arial"/>
      <w:i/>
      <w:iCs/>
      <w:sz w:val="24"/>
      <w:lang w:eastAsia="en-US"/>
    </w:rPr>
  </w:style>
  <w:style w:type="paragraph" w:styleId="PlainText">
    <w:name w:val="Plain Text"/>
    <w:basedOn w:val="Normal"/>
    <w:link w:val="PlainTextChar"/>
    <w:uiPriority w:val="99"/>
    <w:unhideWhenUsed/>
    <w:rsid w:val="004366B7"/>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366B7"/>
    <w:rPr>
      <w:rFonts w:ascii="Calibri" w:eastAsiaTheme="minorHAnsi" w:hAnsi="Calibri" w:cstheme="minorBidi"/>
      <w:sz w:val="22"/>
      <w:szCs w:val="21"/>
      <w:lang w:eastAsia="en-US"/>
    </w:rPr>
  </w:style>
  <w:style w:type="character" w:customStyle="1" w:styleId="superscript">
    <w:name w:val="superscript"/>
    <w:basedOn w:val="DefaultParagraphFont"/>
    <w:rsid w:val="004366B7"/>
  </w:style>
  <w:style w:type="paragraph" w:styleId="TableofFigures">
    <w:name w:val="table of figures"/>
    <w:basedOn w:val="Normal"/>
    <w:next w:val="Normal"/>
    <w:uiPriority w:val="99"/>
    <w:unhideWhenUsed/>
    <w:rsid w:val="00B2502A"/>
  </w:style>
  <w:style w:type="character" w:styleId="UnresolvedMention">
    <w:name w:val="Unresolved Mention"/>
    <w:basedOn w:val="DefaultParagraphFont"/>
    <w:uiPriority w:val="99"/>
    <w:semiHidden/>
    <w:unhideWhenUsed/>
    <w:rsid w:val="00334302"/>
    <w:rPr>
      <w:color w:val="605E5C"/>
      <w:shd w:val="clear" w:color="auto" w:fill="E1DFDD"/>
    </w:rPr>
  </w:style>
  <w:style w:type="character" w:styleId="Mention">
    <w:name w:val="Mention"/>
    <w:basedOn w:val="DefaultParagraphFont"/>
    <w:uiPriority w:val="99"/>
    <w:unhideWhenUsed/>
    <w:rsid w:val="00ED1D0F"/>
    <w:rPr>
      <w:color w:val="2B579A"/>
      <w:shd w:val="clear" w:color="auto" w:fill="E6E6E6"/>
    </w:rPr>
  </w:style>
  <w:style w:type="character" w:styleId="FollowedHyperlink">
    <w:name w:val="FollowedHyperlink"/>
    <w:basedOn w:val="DefaultParagraphFont"/>
    <w:uiPriority w:val="99"/>
    <w:semiHidden/>
    <w:unhideWhenUsed/>
    <w:rsid w:val="00F83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6475">
      <w:bodyDiv w:val="1"/>
      <w:marLeft w:val="0"/>
      <w:marRight w:val="0"/>
      <w:marTop w:val="0"/>
      <w:marBottom w:val="0"/>
      <w:divBdr>
        <w:top w:val="none" w:sz="0" w:space="0" w:color="auto"/>
        <w:left w:val="none" w:sz="0" w:space="0" w:color="auto"/>
        <w:bottom w:val="none" w:sz="0" w:space="0" w:color="auto"/>
        <w:right w:val="none" w:sz="0" w:space="0" w:color="auto"/>
      </w:divBdr>
    </w:div>
    <w:div w:id="175845801">
      <w:bodyDiv w:val="1"/>
      <w:marLeft w:val="0"/>
      <w:marRight w:val="0"/>
      <w:marTop w:val="0"/>
      <w:marBottom w:val="0"/>
      <w:divBdr>
        <w:top w:val="none" w:sz="0" w:space="0" w:color="auto"/>
        <w:left w:val="none" w:sz="0" w:space="0" w:color="auto"/>
        <w:bottom w:val="none" w:sz="0" w:space="0" w:color="auto"/>
        <w:right w:val="none" w:sz="0" w:space="0" w:color="auto"/>
      </w:divBdr>
    </w:div>
    <w:div w:id="212544026">
      <w:bodyDiv w:val="1"/>
      <w:marLeft w:val="0"/>
      <w:marRight w:val="0"/>
      <w:marTop w:val="0"/>
      <w:marBottom w:val="0"/>
      <w:divBdr>
        <w:top w:val="none" w:sz="0" w:space="0" w:color="auto"/>
        <w:left w:val="none" w:sz="0" w:space="0" w:color="auto"/>
        <w:bottom w:val="none" w:sz="0" w:space="0" w:color="auto"/>
        <w:right w:val="none" w:sz="0" w:space="0" w:color="auto"/>
      </w:divBdr>
    </w:div>
    <w:div w:id="214853114">
      <w:bodyDiv w:val="1"/>
      <w:marLeft w:val="0"/>
      <w:marRight w:val="0"/>
      <w:marTop w:val="0"/>
      <w:marBottom w:val="0"/>
      <w:divBdr>
        <w:top w:val="none" w:sz="0" w:space="0" w:color="auto"/>
        <w:left w:val="none" w:sz="0" w:space="0" w:color="auto"/>
        <w:bottom w:val="none" w:sz="0" w:space="0" w:color="auto"/>
        <w:right w:val="none" w:sz="0" w:space="0" w:color="auto"/>
      </w:divBdr>
    </w:div>
    <w:div w:id="286550770">
      <w:bodyDiv w:val="1"/>
      <w:marLeft w:val="0"/>
      <w:marRight w:val="0"/>
      <w:marTop w:val="0"/>
      <w:marBottom w:val="0"/>
      <w:divBdr>
        <w:top w:val="none" w:sz="0" w:space="0" w:color="auto"/>
        <w:left w:val="none" w:sz="0" w:space="0" w:color="auto"/>
        <w:bottom w:val="none" w:sz="0" w:space="0" w:color="auto"/>
        <w:right w:val="none" w:sz="0" w:space="0" w:color="auto"/>
      </w:divBdr>
    </w:div>
    <w:div w:id="365957221">
      <w:bodyDiv w:val="1"/>
      <w:marLeft w:val="0"/>
      <w:marRight w:val="0"/>
      <w:marTop w:val="0"/>
      <w:marBottom w:val="0"/>
      <w:divBdr>
        <w:top w:val="none" w:sz="0" w:space="0" w:color="auto"/>
        <w:left w:val="none" w:sz="0" w:space="0" w:color="auto"/>
        <w:bottom w:val="none" w:sz="0" w:space="0" w:color="auto"/>
        <w:right w:val="none" w:sz="0" w:space="0" w:color="auto"/>
      </w:divBdr>
    </w:div>
    <w:div w:id="533268460">
      <w:bodyDiv w:val="1"/>
      <w:marLeft w:val="0"/>
      <w:marRight w:val="0"/>
      <w:marTop w:val="0"/>
      <w:marBottom w:val="0"/>
      <w:divBdr>
        <w:top w:val="none" w:sz="0" w:space="0" w:color="auto"/>
        <w:left w:val="none" w:sz="0" w:space="0" w:color="auto"/>
        <w:bottom w:val="none" w:sz="0" w:space="0" w:color="auto"/>
        <w:right w:val="none" w:sz="0" w:space="0" w:color="auto"/>
      </w:divBdr>
    </w:div>
    <w:div w:id="542063996">
      <w:bodyDiv w:val="1"/>
      <w:marLeft w:val="0"/>
      <w:marRight w:val="0"/>
      <w:marTop w:val="0"/>
      <w:marBottom w:val="0"/>
      <w:divBdr>
        <w:top w:val="none" w:sz="0" w:space="0" w:color="auto"/>
        <w:left w:val="none" w:sz="0" w:space="0" w:color="auto"/>
        <w:bottom w:val="none" w:sz="0" w:space="0" w:color="auto"/>
        <w:right w:val="none" w:sz="0" w:space="0" w:color="auto"/>
      </w:divBdr>
    </w:div>
    <w:div w:id="552429889">
      <w:bodyDiv w:val="1"/>
      <w:marLeft w:val="0"/>
      <w:marRight w:val="0"/>
      <w:marTop w:val="0"/>
      <w:marBottom w:val="0"/>
      <w:divBdr>
        <w:top w:val="none" w:sz="0" w:space="0" w:color="auto"/>
        <w:left w:val="none" w:sz="0" w:space="0" w:color="auto"/>
        <w:bottom w:val="none" w:sz="0" w:space="0" w:color="auto"/>
        <w:right w:val="none" w:sz="0" w:space="0" w:color="auto"/>
      </w:divBdr>
    </w:div>
    <w:div w:id="762726749">
      <w:bodyDiv w:val="1"/>
      <w:marLeft w:val="0"/>
      <w:marRight w:val="0"/>
      <w:marTop w:val="0"/>
      <w:marBottom w:val="0"/>
      <w:divBdr>
        <w:top w:val="none" w:sz="0" w:space="0" w:color="auto"/>
        <w:left w:val="none" w:sz="0" w:space="0" w:color="auto"/>
        <w:bottom w:val="none" w:sz="0" w:space="0" w:color="auto"/>
        <w:right w:val="none" w:sz="0" w:space="0" w:color="auto"/>
      </w:divBdr>
    </w:div>
    <w:div w:id="949624909">
      <w:bodyDiv w:val="1"/>
      <w:marLeft w:val="0"/>
      <w:marRight w:val="0"/>
      <w:marTop w:val="0"/>
      <w:marBottom w:val="0"/>
      <w:divBdr>
        <w:top w:val="none" w:sz="0" w:space="0" w:color="auto"/>
        <w:left w:val="none" w:sz="0" w:space="0" w:color="auto"/>
        <w:bottom w:val="none" w:sz="0" w:space="0" w:color="auto"/>
        <w:right w:val="none" w:sz="0" w:space="0" w:color="auto"/>
      </w:divBdr>
    </w:div>
    <w:div w:id="984091260">
      <w:bodyDiv w:val="1"/>
      <w:marLeft w:val="0"/>
      <w:marRight w:val="0"/>
      <w:marTop w:val="0"/>
      <w:marBottom w:val="0"/>
      <w:divBdr>
        <w:top w:val="none" w:sz="0" w:space="0" w:color="auto"/>
        <w:left w:val="none" w:sz="0" w:space="0" w:color="auto"/>
        <w:bottom w:val="none" w:sz="0" w:space="0" w:color="auto"/>
        <w:right w:val="none" w:sz="0" w:space="0" w:color="auto"/>
      </w:divBdr>
    </w:div>
    <w:div w:id="1227450866">
      <w:bodyDiv w:val="1"/>
      <w:marLeft w:val="0"/>
      <w:marRight w:val="0"/>
      <w:marTop w:val="0"/>
      <w:marBottom w:val="0"/>
      <w:divBdr>
        <w:top w:val="none" w:sz="0" w:space="0" w:color="auto"/>
        <w:left w:val="none" w:sz="0" w:space="0" w:color="auto"/>
        <w:bottom w:val="none" w:sz="0" w:space="0" w:color="auto"/>
        <w:right w:val="none" w:sz="0" w:space="0" w:color="auto"/>
      </w:divBdr>
    </w:div>
    <w:div w:id="1241213644">
      <w:bodyDiv w:val="1"/>
      <w:marLeft w:val="0"/>
      <w:marRight w:val="0"/>
      <w:marTop w:val="0"/>
      <w:marBottom w:val="0"/>
      <w:divBdr>
        <w:top w:val="none" w:sz="0" w:space="0" w:color="auto"/>
        <w:left w:val="none" w:sz="0" w:space="0" w:color="auto"/>
        <w:bottom w:val="none" w:sz="0" w:space="0" w:color="auto"/>
        <w:right w:val="none" w:sz="0" w:space="0" w:color="auto"/>
      </w:divBdr>
    </w:div>
    <w:div w:id="1254977405">
      <w:bodyDiv w:val="1"/>
      <w:marLeft w:val="0"/>
      <w:marRight w:val="0"/>
      <w:marTop w:val="0"/>
      <w:marBottom w:val="0"/>
      <w:divBdr>
        <w:top w:val="none" w:sz="0" w:space="0" w:color="auto"/>
        <w:left w:val="none" w:sz="0" w:space="0" w:color="auto"/>
        <w:bottom w:val="none" w:sz="0" w:space="0" w:color="auto"/>
        <w:right w:val="none" w:sz="0" w:space="0" w:color="auto"/>
      </w:divBdr>
    </w:div>
    <w:div w:id="1283458740">
      <w:bodyDiv w:val="1"/>
      <w:marLeft w:val="0"/>
      <w:marRight w:val="0"/>
      <w:marTop w:val="0"/>
      <w:marBottom w:val="0"/>
      <w:divBdr>
        <w:top w:val="none" w:sz="0" w:space="0" w:color="auto"/>
        <w:left w:val="none" w:sz="0" w:space="0" w:color="auto"/>
        <w:bottom w:val="none" w:sz="0" w:space="0" w:color="auto"/>
        <w:right w:val="none" w:sz="0" w:space="0" w:color="auto"/>
      </w:divBdr>
    </w:div>
    <w:div w:id="1299342776">
      <w:bodyDiv w:val="1"/>
      <w:marLeft w:val="0"/>
      <w:marRight w:val="0"/>
      <w:marTop w:val="0"/>
      <w:marBottom w:val="0"/>
      <w:divBdr>
        <w:top w:val="none" w:sz="0" w:space="0" w:color="auto"/>
        <w:left w:val="none" w:sz="0" w:space="0" w:color="auto"/>
        <w:bottom w:val="none" w:sz="0" w:space="0" w:color="auto"/>
        <w:right w:val="none" w:sz="0" w:space="0" w:color="auto"/>
      </w:divBdr>
    </w:div>
    <w:div w:id="1342320476">
      <w:bodyDiv w:val="1"/>
      <w:marLeft w:val="0"/>
      <w:marRight w:val="0"/>
      <w:marTop w:val="0"/>
      <w:marBottom w:val="0"/>
      <w:divBdr>
        <w:top w:val="none" w:sz="0" w:space="0" w:color="auto"/>
        <w:left w:val="none" w:sz="0" w:space="0" w:color="auto"/>
        <w:bottom w:val="none" w:sz="0" w:space="0" w:color="auto"/>
        <w:right w:val="none" w:sz="0" w:space="0" w:color="auto"/>
      </w:divBdr>
    </w:div>
    <w:div w:id="1425808145">
      <w:bodyDiv w:val="1"/>
      <w:marLeft w:val="0"/>
      <w:marRight w:val="0"/>
      <w:marTop w:val="0"/>
      <w:marBottom w:val="0"/>
      <w:divBdr>
        <w:top w:val="none" w:sz="0" w:space="0" w:color="auto"/>
        <w:left w:val="none" w:sz="0" w:space="0" w:color="auto"/>
        <w:bottom w:val="none" w:sz="0" w:space="0" w:color="auto"/>
        <w:right w:val="none" w:sz="0" w:space="0" w:color="auto"/>
      </w:divBdr>
    </w:div>
    <w:div w:id="1479961269">
      <w:bodyDiv w:val="1"/>
      <w:marLeft w:val="0"/>
      <w:marRight w:val="0"/>
      <w:marTop w:val="0"/>
      <w:marBottom w:val="0"/>
      <w:divBdr>
        <w:top w:val="none" w:sz="0" w:space="0" w:color="auto"/>
        <w:left w:val="none" w:sz="0" w:space="0" w:color="auto"/>
        <w:bottom w:val="none" w:sz="0" w:space="0" w:color="auto"/>
        <w:right w:val="none" w:sz="0" w:space="0" w:color="auto"/>
      </w:divBdr>
    </w:div>
    <w:div w:id="1593708447">
      <w:bodyDiv w:val="1"/>
      <w:marLeft w:val="0"/>
      <w:marRight w:val="0"/>
      <w:marTop w:val="0"/>
      <w:marBottom w:val="0"/>
      <w:divBdr>
        <w:top w:val="none" w:sz="0" w:space="0" w:color="auto"/>
        <w:left w:val="none" w:sz="0" w:space="0" w:color="auto"/>
        <w:bottom w:val="none" w:sz="0" w:space="0" w:color="auto"/>
        <w:right w:val="none" w:sz="0" w:space="0" w:color="auto"/>
      </w:divBdr>
    </w:div>
    <w:div w:id="1608194248">
      <w:bodyDiv w:val="1"/>
      <w:marLeft w:val="0"/>
      <w:marRight w:val="0"/>
      <w:marTop w:val="0"/>
      <w:marBottom w:val="0"/>
      <w:divBdr>
        <w:top w:val="none" w:sz="0" w:space="0" w:color="auto"/>
        <w:left w:val="none" w:sz="0" w:space="0" w:color="auto"/>
        <w:bottom w:val="none" w:sz="0" w:space="0" w:color="auto"/>
        <w:right w:val="none" w:sz="0" w:space="0" w:color="auto"/>
      </w:divBdr>
    </w:div>
    <w:div w:id="1667709393">
      <w:bodyDiv w:val="1"/>
      <w:marLeft w:val="0"/>
      <w:marRight w:val="0"/>
      <w:marTop w:val="0"/>
      <w:marBottom w:val="0"/>
      <w:divBdr>
        <w:top w:val="none" w:sz="0" w:space="0" w:color="auto"/>
        <w:left w:val="none" w:sz="0" w:space="0" w:color="auto"/>
        <w:bottom w:val="none" w:sz="0" w:space="0" w:color="auto"/>
        <w:right w:val="none" w:sz="0" w:space="0" w:color="auto"/>
      </w:divBdr>
    </w:div>
    <w:div w:id="1673754633">
      <w:bodyDiv w:val="1"/>
      <w:marLeft w:val="0"/>
      <w:marRight w:val="0"/>
      <w:marTop w:val="0"/>
      <w:marBottom w:val="0"/>
      <w:divBdr>
        <w:top w:val="none" w:sz="0" w:space="0" w:color="auto"/>
        <w:left w:val="none" w:sz="0" w:space="0" w:color="auto"/>
        <w:bottom w:val="none" w:sz="0" w:space="0" w:color="auto"/>
        <w:right w:val="none" w:sz="0" w:space="0" w:color="auto"/>
      </w:divBdr>
    </w:div>
    <w:div w:id="1848709952">
      <w:bodyDiv w:val="1"/>
      <w:marLeft w:val="0"/>
      <w:marRight w:val="0"/>
      <w:marTop w:val="0"/>
      <w:marBottom w:val="0"/>
      <w:divBdr>
        <w:top w:val="none" w:sz="0" w:space="0" w:color="auto"/>
        <w:left w:val="none" w:sz="0" w:space="0" w:color="auto"/>
        <w:bottom w:val="none" w:sz="0" w:space="0" w:color="auto"/>
        <w:right w:val="none" w:sz="0" w:space="0" w:color="auto"/>
      </w:divBdr>
    </w:div>
    <w:div w:id="1971009139">
      <w:bodyDiv w:val="1"/>
      <w:marLeft w:val="0"/>
      <w:marRight w:val="0"/>
      <w:marTop w:val="0"/>
      <w:marBottom w:val="0"/>
      <w:divBdr>
        <w:top w:val="none" w:sz="0" w:space="0" w:color="auto"/>
        <w:left w:val="none" w:sz="0" w:space="0" w:color="auto"/>
        <w:bottom w:val="none" w:sz="0" w:space="0" w:color="auto"/>
        <w:right w:val="none" w:sz="0" w:space="0" w:color="auto"/>
      </w:divBdr>
    </w:div>
    <w:div w:id="2038583450">
      <w:bodyDiv w:val="1"/>
      <w:marLeft w:val="0"/>
      <w:marRight w:val="0"/>
      <w:marTop w:val="0"/>
      <w:marBottom w:val="0"/>
      <w:divBdr>
        <w:top w:val="none" w:sz="0" w:space="0" w:color="auto"/>
        <w:left w:val="none" w:sz="0" w:space="0" w:color="auto"/>
        <w:bottom w:val="none" w:sz="0" w:space="0" w:color="auto"/>
        <w:right w:val="none" w:sz="0" w:space="0" w:color="auto"/>
      </w:divBdr>
    </w:div>
    <w:div w:id="2055495536">
      <w:bodyDiv w:val="1"/>
      <w:marLeft w:val="0"/>
      <w:marRight w:val="0"/>
      <w:marTop w:val="0"/>
      <w:marBottom w:val="0"/>
      <w:divBdr>
        <w:top w:val="none" w:sz="0" w:space="0" w:color="auto"/>
        <w:left w:val="none" w:sz="0" w:space="0" w:color="auto"/>
        <w:bottom w:val="none" w:sz="0" w:space="0" w:color="auto"/>
        <w:right w:val="none" w:sz="0" w:space="0" w:color="auto"/>
      </w:divBdr>
    </w:div>
    <w:div w:id="207273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png"/><Relationship Id="rId39"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image" Target="media/image13.png"/><Relationship Id="rId42" Type="http://schemas.openxmlformats.org/officeDocument/2006/relationships/hyperlink" Target="http://www.health.govt.nz/publication/sample-design-2015-16-new-zealand-health-survey"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image" Target="media/image12.wmf"/><Relationship Id="rId38" Type="http://schemas.openxmlformats.org/officeDocument/2006/relationships/image" Target="media/image17.png"/><Relationship Id="rId46" Type="http://schemas.openxmlformats.org/officeDocument/2006/relationships/hyperlink" Target="http://archive.stats.govt.nz/about_us/who-we-are/home-statisphere/tier-1/principles-protocols.aspx"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29" Type="http://schemas.openxmlformats.org/officeDocument/2006/relationships/hyperlink" Target="http://www.washingtongroup-disability.com" TargetMode="External"/><Relationship Id="rId41" Type="http://schemas.openxmlformats.org/officeDocument/2006/relationships/hyperlink" Target="http://www.health.govt.nz/publication/new-zealand-health-survey-sample-design-years-1-3-2011-201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image" Target="media/image11.wmf"/><Relationship Id="rId37" Type="http://schemas.openxmlformats.org/officeDocument/2006/relationships/image" Target="media/image16.png"/><Relationship Id="rId40" Type="http://schemas.openxmlformats.org/officeDocument/2006/relationships/hyperlink" Target="http://www.pophealthmetrics.com/content/11/1/25" TargetMode="External"/><Relationship Id="rId45" Type="http://schemas.openxmlformats.org/officeDocument/2006/relationships/hyperlink" Target="http://www.health.govt.nz/publication/content-guide-2022-23-new-zealand-health-survey" TargetMode="Externa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eader" Target="header4.xml"/><Relationship Id="rId28" Type="http://schemas.openxmlformats.org/officeDocument/2006/relationships/image" Target="media/image8.wmf"/><Relationship Id="rId36" Type="http://schemas.openxmlformats.org/officeDocument/2006/relationships/image" Target="media/image15.png"/><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image" Target="media/image10.wmf"/><Relationship Id="rId44" Type="http://schemas.openxmlformats.org/officeDocument/2006/relationships/hyperlink" Target="http://www.health.govt.nz/publication/annual-update-key-results-2022-23-new-zealand-health-surve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7.wmf"/><Relationship Id="rId30" Type="http://schemas.openxmlformats.org/officeDocument/2006/relationships/image" Target="media/image9.wmf"/><Relationship Id="rId35" Type="http://schemas.openxmlformats.org/officeDocument/2006/relationships/image" Target="media/image14.png"/><Relationship Id="rId43" Type="http://schemas.openxmlformats.org/officeDocument/2006/relationships/hyperlink" Target="https://www.health.govt.nz/publication/methodology-report-2021-22-new-zealand-health-survey"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health.govt.nz/nz-health-statistics/surveys/corrections-made-2021-22-new-zealand-health-survey-data" TargetMode="External"/><Relationship Id="rId1" Type="http://schemas.openxmlformats.org/officeDocument/2006/relationships/hyperlink" Target="https://cran.r-project.org/web/packages/survey/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Health Surveys</Activity>
    <AggregationStatus xmlns="4f9c820c-e7e2-444d-97ee-45f2b3485c1d">Normal</AggregationStatus>
    <CategoryValue xmlns="4f9c820c-e7e2-444d-97ee-45f2b3485c1d">NA</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Health Surveys</Team>
    <Project xmlns="4f9c820c-e7e2-444d-97ee-45f2b3485c1d">NA</Project>
    <HasNHI xmlns="184c05c4-c568-455d-94a4-7e009b164348">false</HasNHI>
    <FunctionGroup xmlns="4f9c820c-e7e2-444d-97ee-45f2b3485c1d">Evidence and Research</FunctionGroup>
    <Function xmlns="4f9c820c-e7e2-444d-97ee-45f2b3485c1d">Analytics and Insights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TaxCatchAll xmlns="c5b47098-0215-444c-9096-523bda4ac5c6" xsi:nil="true"/>
    <SharedWithUsers xmlns="c5b47098-0215-444c-9096-523bda4ac5c6">
      <UserInfo>
        <DisplayName>Martin Stowers</DisplayName>
        <AccountId>42</AccountId>
        <AccountType/>
      </UserInfo>
      <UserInfo>
        <DisplayName>Steven Johnston</DisplayName>
        <AccountId>81</AccountId>
        <AccountType/>
      </UserInfo>
      <UserInfo>
        <DisplayName>Maria Turley</DisplayName>
        <AccountId>41</AccountId>
        <AccountType/>
      </UserInfo>
    </SharedWithUsers>
    <OverrideLabel xmlns="c91a514c-9034-4fa3-897a-8352025b26ed" xsi:nil="true"/>
    <SetLabel xmlns="c91a514c-9034-4fa3-897a-8352025b26ed">Retain</SetLabel>
    <lcf76f155ced4ddcb4097134ff3c332f xmlns="edb00911-b415-4edf-b023-c4f852e2febf">
      <Terms xmlns="http://schemas.microsoft.com/office/infopath/2007/PartnerControls"/>
    </lcf76f155ced4ddcb4097134ff3c332f>
    <Subactivity xmlns="4f9c820c-e7e2-444d-97ee-45f2b3485c1d">NA</Subactivit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E3B4E27F1DE60040B3A814E5D1A245AF001A8D8B872E5CE44FAD285E2305BD2BCE" ma:contentTypeVersion="119" ma:contentTypeDescription="Create a new document." ma:contentTypeScope="" ma:versionID="1769baec42132b8336b47bd346758dad">
  <xsd:schema xmlns:xsd="http://www.w3.org/2001/XMLSchema" xmlns:xs="http://www.w3.org/2001/XMLSchema" xmlns:p="http://schemas.microsoft.com/office/2006/metadata/properties" xmlns:ns2="4f9c820c-e7e2-444d-97ee-45f2b3485c1d" xmlns:ns3="184c05c4-c568-455d-94a4-7e009b164348" xmlns:ns4="15ffb055-6eb4-45a1-bc20-bf2ac0d420da" xmlns:ns5="725c79e5-42ce-4aa0-ac78-b6418001f0d2" xmlns:ns6="c91a514c-9034-4fa3-897a-8352025b26ed" xmlns:ns7="edb00911-b415-4edf-b023-c4f852e2febf" xmlns:ns8="c5b47098-0215-444c-9096-523bda4ac5c6" targetNamespace="http://schemas.microsoft.com/office/2006/metadata/properties" ma:root="true" ma:fieldsID="db501c118b5811f31c7652fa5bd2b49d" ns2:_="" ns3:_="" ns4:_="" ns5:_="" ns6:_="" ns7:_="" ns8:_="">
    <xsd:import namespace="4f9c820c-e7e2-444d-97ee-45f2b3485c1d"/>
    <xsd:import namespace="184c05c4-c568-455d-94a4-7e009b164348"/>
    <xsd:import namespace="15ffb055-6eb4-45a1-bc20-bf2ac0d420da"/>
    <xsd:import namespace="725c79e5-42ce-4aa0-ac78-b6418001f0d2"/>
    <xsd:import namespace="c91a514c-9034-4fa3-897a-8352025b26ed"/>
    <xsd:import namespace="edb00911-b415-4edf-b023-c4f852e2febf"/>
    <xsd:import namespace="c5b47098-0215-444c-9096-523bda4ac5c6"/>
    <xsd:element name="properties">
      <xsd:complexType>
        <xsd:sequence>
          <xsd:element name="documentManagement">
            <xsd:complexType>
              <xsd:all>
                <xsd:element ref="ns2:DocumentType" minOccurs="0"/>
                <xsd:element ref="ns3:HasNHI" minOccurs="0"/>
                <xsd:element ref="ns4:KeyWords" minOccurs="0"/>
                <xsd:element ref="ns2:Narrative" minOccurs="0"/>
                <xsd:element ref="ns4: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5:AggregationNarrative" minOccurs="0"/>
                <xsd:element ref="ns6:Channel" minOccurs="0"/>
                <xsd:element ref="ns6:Team" minOccurs="0"/>
                <xsd:element ref="ns6:Level2" minOccurs="0"/>
                <xsd:element ref="ns6:Level3" minOccurs="0"/>
                <xsd:element ref="ns6:Year" minOccurs="0"/>
                <xsd:element ref="ns6:OverrideLabel" minOccurs="0"/>
                <xsd:element ref="ns6:SetLabel" minOccurs="0"/>
                <xsd:element ref="ns3:zLegacy" minOccurs="0"/>
                <xsd:element ref="ns3:zLegacyID" minOccurs="0"/>
                <xsd:element ref="ns3:zLegacyJSON" minOccurs="0"/>
                <xsd:element ref="ns3:CopiedFrom" minOccurs="0"/>
                <xsd:element ref="ns3:Endorsements" minOccurs="0"/>
                <xsd:element ref="ns7:MediaServiceMetadata" minOccurs="0"/>
                <xsd:element ref="ns7:MediaServiceFastMetadata" minOccurs="0"/>
                <xsd:element ref="ns8:SharedWithUsers" minOccurs="0"/>
                <xsd:element ref="ns8:SharedWithDetails" minOccurs="0"/>
                <xsd:element ref="ns7:MediaServiceObjectDetectorVersions" minOccurs="0"/>
                <xsd:element ref="ns7:lcf76f155ced4ddcb4097134ff3c332f" minOccurs="0"/>
                <xsd:element ref="ns8:TaxCatchAll"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1" nillable="true" ma:displayName="Narrative" ma:hidden="true" ma:internalName="Narrative" ma:readOnly="false">
      <xsd:simpleType>
        <xsd:restriction base="dms:Note"/>
      </xsd:simpleType>
    </xsd:element>
    <xsd:element name="Subactivity" ma:index="13" nillable="true" ma:displayName="Subactivity" ma:default="NA" ma:hidden="true" ma:internalName="Subactivity" ma:readOnly="false">
      <xsd:simpleType>
        <xsd:restriction base="dms:Text">
          <xsd:maxLength value="255"/>
        </xsd:restriction>
      </xsd:simpleType>
    </xsd:element>
    <xsd:element name="Case" ma:index="14" nillable="true" ma:displayName="Case" ma:default="NA" ma:hidden="true" ma:internalName="Case" ma:readOnly="false">
      <xsd:simpleType>
        <xsd:restriction base="dms:Text">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Evidence and Research" ma:hidden="true" ma:internalName="FunctionGroup" ma:readOnly="false">
      <xsd:simpleType>
        <xsd:restriction base="dms:Text">
          <xsd:maxLength value="255"/>
        </xsd:restriction>
      </xsd:simpleType>
    </xsd:element>
    <xsd:element name="Function" ma:index="20" nillable="true" ma:displayName="Function" ma:default="Analytics and Insights"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Activity" ma:index="34" nillable="true" ma:displayName="Activity" ma:default="Health Survey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9"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0" nillable="true" ma:displayName="Key Words" ma:hidden="true" ma:internalName="KeyWords" ma:readOnly="false">
      <xsd:simpleType>
        <xsd:restriction base="dms:Note"/>
      </xsd:simpleType>
    </xsd:element>
    <xsd:element name="SecurityClassification" ma:index="12"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5"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6" nillable="true" ma:displayName="Channel" ma:default="NA" ma:hidden="true" ma:internalName="Channel" ma:readOnly="false">
      <xsd:simpleType>
        <xsd:restriction base="dms:Text">
          <xsd:maxLength value="255"/>
        </xsd:restriction>
      </xsd:simpleType>
    </xsd:element>
    <xsd:element name="Team" ma:index="37" nillable="true" ma:displayName="Team" ma:default="Health Surveys" ma:hidden="true" ma:internalName="Team" ma:readOnly="false">
      <xsd:simpleType>
        <xsd:restriction base="dms:Text">
          <xsd:maxLength value="255"/>
        </xsd:restriction>
      </xsd:simpleType>
    </xsd:element>
    <xsd:element name="Level2" ma:index="38" nillable="true" ma:displayName="Level 2" ma:default="NA" ma:hidden="true" ma:internalName="Level2" ma:readOnly="false">
      <xsd:simpleType>
        <xsd:restriction base="dms:Text">
          <xsd:maxLength value="255"/>
        </xsd:restriction>
      </xsd:simpleType>
    </xsd:element>
    <xsd:element name="Level3" ma:index="39" nillable="true" ma:displayName="Level 3" ma:default="NA" ma:hidden="true" ma:internalName="Level3" ma:readOnly="false">
      <xsd:simpleType>
        <xsd:restriction base="dms:Text">
          <xsd:maxLength value="255"/>
        </xsd:restriction>
      </xsd:simpleType>
    </xsd:element>
    <xsd:element name="Year" ma:index="40" nillable="true" ma:displayName="Year" ma:default="NA" ma:hidden="true" ma:internalName="Year"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element name="SetLabel" ma:index="42" nillable="true" ma:displayName="Set Label" ma:default="Retain" ma:hidden="true" ma:indexed="true" ma:internalName="Set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00911-b415-4edf-b023-c4f852e2febf"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lcf76f155ced4ddcb4097134ff3c332f" ma:index="54"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56" nillable="true" ma:displayName="Extracted Text" ma:internalName="MediaServiceOCR" ma:readOnly="true">
      <xsd:simpleType>
        <xsd:restriction base="dms:Note">
          <xsd:maxLength value="255"/>
        </xsd:restriction>
      </xsd:simpleType>
    </xsd:element>
    <xsd:element name="MediaServiceGenerationTime" ma:index="57" nillable="true" ma:displayName="MediaServiceGenerationTime" ma:hidden="true" ma:internalName="MediaServiceGenerationTime" ma:readOnly="true">
      <xsd:simpleType>
        <xsd:restriction base="dms:Text"/>
      </xsd:simpleType>
    </xsd:element>
    <xsd:element name="MediaServiceEventHashCode" ma:index="5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SharedWithUsers" ma:index="5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1" nillable="true" ma:displayName="Shared With Details" ma:internalName="SharedWithDetails" ma:readOnly="true">
      <xsd:simpleType>
        <xsd:restriction base="dms:Note">
          <xsd:maxLength value="255"/>
        </xsd:restriction>
      </xsd:simpleType>
    </xsd:element>
    <xsd:element name="TaxCatchAll" ma:index="55" nillable="true" ma:displayName="Taxonomy Catch All Column" ma:hidden="true" ma:list="{1b7b6fce-6840-4af5-b481-2620d2575018}"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2.xml><?xml version="1.0" encoding="utf-8"?>
<ds:datastoreItem xmlns:ds="http://schemas.openxmlformats.org/officeDocument/2006/customXml" ds:itemID="{4577FFB0-260E-4BEB-AB23-5A43F0263A51}">
  <ds:schemaRefs>
    <ds:schemaRef ds:uri="http://schemas.microsoft.com/office/infopath/2007/PartnerControls"/>
    <ds:schemaRef ds:uri="c91a514c-9034-4fa3-897a-8352025b26ed"/>
    <ds:schemaRef ds:uri="http://purl.org/dc/terms/"/>
    <ds:schemaRef ds:uri="http://schemas.openxmlformats.org/package/2006/metadata/core-properties"/>
    <ds:schemaRef ds:uri="15ffb055-6eb4-45a1-bc20-bf2ac0d420da"/>
    <ds:schemaRef ds:uri="http://schemas.microsoft.com/office/2006/documentManagement/types"/>
    <ds:schemaRef ds:uri="c5b47098-0215-444c-9096-523bda4ac5c6"/>
    <ds:schemaRef ds:uri="184c05c4-c568-455d-94a4-7e009b164348"/>
    <ds:schemaRef ds:uri="edb00911-b415-4edf-b023-c4f852e2febf"/>
    <ds:schemaRef ds:uri="http://purl.org/dc/elements/1.1/"/>
    <ds:schemaRef ds:uri="725c79e5-42ce-4aa0-ac78-b6418001f0d2"/>
    <ds:schemaRef ds:uri="4f9c820c-e7e2-444d-97ee-45f2b3485c1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1EAEA31-8553-496E-8DD7-87D10601568F}">
  <ds:schemaRefs>
    <ds:schemaRef ds:uri="http://schemas.microsoft.com/sharepoint/events"/>
  </ds:schemaRefs>
</ds:datastoreItem>
</file>

<file path=customXml/itemProps4.xml><?xml version="1.0" encoding="utf-8"?>
<ds:datastoreItem xmlns:ds="http://schemas.openxmlformats.org/officeDocument/2006/customXml" ds:itemID="{EA82A62D-17C6-4C5E-ABFF-458A6F0ED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84c05c4-c568-455d-94a4-7e009b164348"/>
    <ds:schemaRef ds:uri="15ffb055-6eb4-45a1-bc20-bf2ac0d420da"/>
    <ds:schemaRef ds:uri="725c79e5-42ce-4aa0-ac78-b6418001f0d2"/>
    <ds:schemaRef ds:uri="c91a514c-9034-4fa3-897a-8352025b26ed"/>
    <ds:schemaRef ds:uri="edb00911-b415-4edf-b023-c4f852e2febf"/>
    <ds:schemaRef ds:uri="c5b47098-0215-444c-9096-523bda4ac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27</TotalTime>
  <Pages>52</Pages>
  <Words>15082</Words>
  <Characters>85969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Methodology Report 2021/22: New Zealand Health Survey</vt:lpstr>
    </vt:vector>
  </TitlesOfParts>
  <Company>Microsoft</Company>
  <LinksUpToDate>false</LinksUpToDate>
  <CharactersWithSpaces>100850</CharactersWithSpaces>
  <SharedDoc>false</SharedDoc>
  <HLinks>
    <vt:vector size="402" baseType="variant">
      <vt:variant>
        <vt:i4>3014668</vt:i4>
      </vt:variant>
      <vt:variant>
        <vt:i4>480</vt:i4>
      </vt:variant>
      <vt:variant>
        <vt:i4>0</vt:i4>
      </vt:variant>
      <vt:variant>
        <vt:i4>5</vt:i4>
      </vt:variant>
      <vt:variant>
        <vt:lpwstr>http://archive.stats.govt.nz/about_us/who-we-are/home-statisphere/tier-1/principles-protocols.aspx</vt:lpwstr>
      </vt:variant>
      <vt:variant>
        <vt:lpwstr>gsc.tab=0</vt:lpwstr>
      </vt:variant>
      <vt:variant>
        <vt:i4>1179732</vt:i4>
      </vt:variant>
      <vt:variant>
        <vt:i4>477</vt:i4>
      </vt:variant>
      <vt:variant>
        <vt:i4>0</vt:i4>
      </vt:variant>
      <vt:variant>
        <vt:i4>5</vt:i4>
      </vt:variant>
      <vt:variant>
        <vt:lpwstr>http://www.health.govt.nz/publication/content-guide-2022-23-new-zealand-health-survey</vt:lpwstr>
      </vt:variant>
      <vt:variant>
        <vt:lpwstr/>
      </vt:variant>
      <vt:variant>
        <vt:i4>4718616</vt:i4>
      </vt:variant>
      <vt:variant>
        <vt:i4>474</vt:i4>
      </vt:variant>
      <vt:variant>
        <vt:i4>0</vt:i4>
      </vt:variant>
      <vt:variant>
        <vt:i4>5</vt:i4>
      </vt:variant>
      <vt:variant>
        <vt:lpwstr>http://www.health.govt.nz/publication/annual-update-key-results-2022-23-new-zealand-health-survey</vt:lpwstr>
      </vt:variant>
      <vt:variant>
        <vt:lpwstr/>
      </vt:variant>
      <vt:variant>
        <vt:i4>6815745</vt:i4>
      </vt:variant>
      <vt:variant>
        <vt:i4>471</vt:i4>
      </vt:variant>
      <vt:variant>
        <vt:i4>0</vt:i4>
      </vt:variant>
      <vt:variant>
        <vt:i4>5</vt:i4>
      </vt:variant>
      <vt:variant>
        <vt:lpwstr>http://www.health.govt.nz/system/files/documents/publications/methodology_report_2021_22-_new_zealand_health_survey_11_nov.pdf</vt:lpwstr>
      </vt:variant>
      <vt:variant>
        <vt:lpwstr/>
      </vt:variant>
      <vt:variant>
        <vt:i4>5963800</vt:i4>
      </vt:variant>
      <vt:variant>
        <vt:i4>468</vt:i4>
      </vt:variant>
      <vt:variant>
        <vt:i4>0</vt:i4>
      </vt:variant>
      <vt:variant>
        <vt:i4>5</vt:i4>
      </vt:variant>
      <vt:variant>
        <vt:lpwstr>http://www.health.govt.nz/publication/sample-design-2015-16-new-zealand-health-survey</vt:lpwstr>
      </vt:variant>
      <vt:variant>
        <vt:lpwstr/>
      </vt:variant>
      <vt:variant>
        <vt:i4>5701646</vt:i4>
      </vt:variant>
      <vt:variant>
        <vt:i4>465</vt:i4>
      </vt:variant>
      <vt:variant>
        <vt:i4>0</vt:i4>
      </vt:variant>
      <vt:variant>
        <vt:i4>5</vt:i4>
      </vt:variant>
      <vt:variant>
        <vt:lpwstr>http://www.health.govt.nz/publication/new-zealand-health-survey-sample-design-years-1-3-2011-2013</vt:lpwstr>
      </vt:variant>
      <vt:variant>
        <vt:lpwstr/>
      </vt:variant>
      <vt:variant>
        <vt:i4>3670114</vt:i4>
      </vt:variant>
      <vt:variant>
        <vt:i4>462</vt:i4>
      </vt:variant>
      <vt:variant>
        <vt:i4>0</vt:i4>
      </vt:variant>
      <vt:variant>
        <vt:i4>5</vt:i4>
      </vt:variant>
      <vt:variant>
        <vt:lpwstr>http://www.pophealthmetrics.com/content/11/1/25</vt:lpwstr>
      </vt:variant>
      <vt:variant>
        <vt:lpwstr/>
      </vt:variant>
      <vt:variant>
        <vt:i4>3473528</vt:i4>
      </vt:variant>
      <vt:variant>
        <vt:i4>375</vt:i4>
      </vt:variant>
      <vt:variant>
        <vt:i4>0</vt:i4>
      </vt:variant>
      <vt:variant>
        <vt:i4>5</vt:i4>
      </vt:variant>
      <vt:variant>
        <vt:lpwstr>http://www.washingtongroup-disability.com/</vt:lpwstr>
      </vt:variant>
      <vt:variant>
        <vt:lpwstr/>
      </vt:variant>
      <vt:variant>
        <vt:i4>1179701</vt:i4>
      </vt:variant>
      <vt:variant>
        <vt:i4>350</vt:i4>
      </vt:variant>
      <vt:variant>
        <vt:i4>0</vt:i4>
      </vt:variant>
      <vt:variant>
        <vt:i4>5</vt:i4>
      </vt:variant>
      <vt:variant>
        <vt:lpwstr/>
      </vt:variant>
      <vt:variant>
        <vt:lpwstr>_Toc150522679</vt:lpwstr>
      </vt:variant>
      <vt:variant>
        <vt:i4>1179701</vt:i4>
      </vt:variant>
      <vt:variant>
        <vt:i4>344</vt:i4>
      </vt:variant>
      <vt:variant>
        <vt:i4>0</vt:i4>
      </vt:variant>
      <vt:variant>
        <vt:i4>5</vt:i4>
      </vt:variant>
      <vt:variant>
        <vt:lpwstr/>
      </vt:variant>
      <vt:variant>
        <vt:lpwstr>_Toc150522678</vt:lpwstr>
      </vt:variant>
      <vt:variant>
        <vt:i4>1179701</vt:i4>
      </vt:variant>
      <vt:variant>
        <vt:i4>338</vt:i4>
      </vt:variant>
      <vt:variant>
        <vt:i4>0</vt:i4>
      </vt:variant>
      <vt:variant>
        <vt:i4>5</vt:i4>
      </vt:variant>
      <vt:variant>
        <vt:lpwstr/>
      </vt:variant>
      <vt:variant>
        <vt:lpwstr>_Toc150522677</vt:lpwstr>
      </vt:variant>
      <vt:variant>
        <vt:i4>1179701</vt:i4>
      </vt:variant>
      <vt:variant>
        <vt:i4>332</vt:i4>
      </vt:variant>
      <vt:variant>
        <vt:i4>0</vt:i4>
      </vt:variant>
      <vt:variant>
        <vt:i4>5</vt:i4>
      </vt:variant>
      <vt:variant>
        <vt:lpwstr/>
      </vt:variant>
      <vt:variant>
        <vt:lpwstr>_Toc150522676</vt:lpwstr>
      </vt:variant>
      <vt:variant>
        <vt:i4>1179701</vt:i4>
      </vt:variant>
      <vt:variant>
        <vt:i4>326</vt:i4>
      </vt:variant>
      <vt:variant>
        <vt:i4>0</vt:i4>
      </vt:variant>
      <vt:variant>
        <vt:i4>5</vt:i4>
      </vt:variant>
      <vt:variant>
        <vt:lpwstr/>
      </vt:variant>
      <vt:variant>
        <vt:lpwstr>_Toc150522675</vt:lpwstr>
      </vt:variant>
      <vt:variant>
        <vt:i4>1179701</vt:i4>
      </vt:variant>
      <vt:variant>
        <vt:i4>320</vt:i4>
      </vt:variant>
      <vt:variant>
        <vt:i4>0</vt:i4>
      </vt:variant>
      <vt:variant>
        <vt:i4>5</vt:i4>
      </vt:variant>
      <vt:variant>
        <vt:lpwstr/>
      </vt:variant>
      <vt:variant>
        <vt:lpwstr>_Toc150522674</vt:lpwstr>
      </vt:variant>
      <vt:variant>
        <vt:i4>1179701</vt:i4>
      </vt:variant>
      <vt:variant>
        <vt:i4>314</vt:i4>
      </vt:variant>
      <vt:variant>
        <vt:i4>0</vt:i4>
      </vt:variant>
      <vt:variant>
        <vt:i4>5</vt:i4>
      </vt:variant>
      <vt:variant>
        <vt:lpwstr/>
      </vt:variant>
      <vt:variant>
        <vt:lpwstr>_Toc150522673</vt:lpwstr>
      </vt:variant>
      <vt:variant>
        <vt:i4>1179701</vt:i4>
      </vt:variant>
      <vt:variant>
        <vt:i4>308</vt:i4>
      </vt:variant>
      <vt:variant>
        <vt:i4>0</vt:i4>
      </vt:variant>
      <vt:variant>
        <vt:i4>5</vt:i4>
      </vt:variant>
      <vt:variant>
        <vt:lpwstr/>
      </vt:variant>
      <vt:variant>
        <vt:lpwstr>_Toc150522672</vt:lpwstr>
      </vt:variant>
      <vt:variant>
        <vt:i4>1179701</vt:i4>
      </vt:variant>
      <vt:variant>
        <vt:i4>302</vt:i4>
      </vt:variant>
      <vt:variant>
        <vt:i4>0</vt:i4>
      </vt:variant>
      <vt:variant>
        <vt:i4>5</vt:i4>
      </vt:variant>
      <vt:variant>
        <vt:lpwstr/>
      </vt:variant>
      <vt:variant>
        <vt:lpwstr>_Toc150522671</vt:lpwstr>
      </vt:variant>
      <vt:variant>
        <vt:i4>1179701</vt:i4>
      </vt:variant>
      <vt:variant>
        <vt:i4>296</vt:i4>
      </vt:variant>
      <vt:variant>
        <vt:i4>0</vt:i4>
      </vt:variant>
      <vt:variant>
        <vt:i4>5</vt:i4>
      </vt:variant>
      <vt:variant>
        <vt:lpwstr/>
      </vt:variant>
      <vt:variant>
        <vt:lpwstr>_Toc150522670</vt:lpwstr>
      </vt:variant>
      <vt:variant>
        <vt:i4>1245237</vt:i4>
      </vt:variant>
      <vt:variant>
        <vt:i4>290</vt:i4>
      </vt:variant>
      <vt:variant>
        <vt:i4>0</vt:i4>
      </vt:variant>
      <vt:variant>
        <vt:i4>5</vt:i4>
      </vt:variant>
      <vt:variant>
        <vt:lpwstr/>
      </vt:variant>
      <vt:variant>
        <vt:lpwstr>_Toc150522669</vt:lpwstr>
      </vt:variant>
      <vt:variant>
        <vt:i4>1245237</vt:i4>
      </vt:variant>
      <vt:variant>
        <vt:i4>281</vt:i4>
      </vt:variant>
      <vt:variant>
        <vt:i4>0</vt:i4>
      </vt:variant>
      <vt:variant>
        <vt:i4>5</vt:i4>
      </vt:variant>
      <vt:variant>
        <vt:lpwstr/>
      </vt:variant>
      <vt:variant>
        <vt:lpwstr>_Toc150522668</vt:lpwstr>
      </vt:variant>
      <vt:variant>
        <vt:i4>1245237</vt:i4>
      </vt:variant>
      <vt:variant>
        <vt:i4>275</vt:i4>
      </vt:variant>
      <vt:variant>
        <vt:i4>0</vt:i4>
      </vt:variant>
      <vt:variant>
        <vt:i4>5</vt:i4>
      </vt:variant>
      <vt:variant>
        <vt:lpwstr/>
      </vt:variant>
      <vt:variant>
        <vt:lpwstr>_Toc150522667</vt:lpwstr>
      </vt:variant>
      <vt:variant>
        <vt:i4>1245237</vt:i4>
      </vt:variant>
      <vt:variant>
        <vt:i4>269</vt:i4>
      </vt:variant>
      <vt:variant>
        <vt:i4>0</vt:i4>
      </vt:variant>
      <vt:variant>
        <vt:i4>5</vt:i4>
      </vt:variant>
      <vt:variant>
        <vt:lpwstr/>
      </vt:variant>
      <vt:variant>
        <vt:lpwstr>_Toc150522666</vt:lpwstr>
      </vt:variant>
      <vt:variant>
        <vt:i4>1245237</vt:i4>
      </vt:variant>
      <vt:variant>
        <vt:i4>263</vt:i4>
      </vt:variant>
      <vt:variant>
        <vt:i4>0</vt:i4>
      </vt:variant>
      <vt:variant>
        <vt:i4>5</vt:i4>
      </vt:variant>
      <vt:variant>
        <vt:lpwstr/>
      </vt:variant>
      <vt:variant>
        <vt:lpwstr>_Toc150522665</vt:lpwstr>
      </vt:variant>
      <vt:variant>
        <vt:i4>1245237</vt:i4>
      </vt:variant>
      <vt:variant>
        <vt:i4>257</vt:i4>
      </vt:variant>
      <vt:variant>
        <vt:i4>0</vt:i4>
      </vt:variant>
      <vt:variant>
        <vt:i4>5</vt:i4>
      </vt:variant>
      <vt:variant>
        <vt:lpwstr/>
      </vt:variant>
      <vt:variant>
        <vt:lpwstr>_Toc150522664</vt:lpwstr>
      </vt:variant>
      <vt:variant>
        <vt:i4>1245237</vt:i4>
      </vt:variant>
      <vt:variant>
        <vt:i4>251</vt:i4>
      </vt:variant>
      <vt:variant>
        <vt:i4>0</vt:i4>
      </vt:variant>
      <vt:variant>
        <vt:i4>5</vt:i4>
      </vt:variant>
      <vt:variant>
        <vt:lpwstr/>
      </vt:variant>
      <vt:variant>
        <vt:lpwstr>_Toc150522663</vt:lpwstr>
      </vt:variant>
      <vt:variant>
        <vt:i4>1245237</vt:i4>
      </vt:variant>
      <vt:variant>
        <vt:i4>245</vt:i4>
      </vt:variant>
      <vt:variant>
        <vt:i4>0</vt:i4>
      </vt:variant>
      <vt:variant>
        <vt:i4>5</vt:i4>
      </vt:variant>
      <vt:variant>
        <vt:lpwstr/>
      </vt:variant>
      <vt:variant>
        <vt:lpwstr>_Toc150522662</vt:lpwstr>
      </vt:variant>
      <vt:variant>
        <vt:i4>2162699</vt:i4>
      </vt:variant>
      <vt:variant>
        <vt:i4>236</vt:i4>
      </vt:variant>
      <vt:variant>
        <vt:i4>0</vt:i4>
      </vt:variant>
      <vt:variant>
        <vt:i4>5</vt:i4>
      </vt:variant>
      <vt:variant>
        <vt:lpwstr/>
      </vt:variant>
      <vt:variant>
        <vt:lpwstr>_Toc2114111684</vt:lpwstr>
      </vt:variant>
      <vt:variant>
        <vt:i4>3014670</vt:i4>
      </vt:variant>
      <vt:variant>
        <vt:i4>230</vt:i4>
      </vt:variant>
      <vt:variant>
        <vt:i4>0</vt:i4>
      </vt:variant>
      <vt:variant>
        <vt:i4>5</vt:i4>
      </vt:variant>
      <vt:variant>
        <vt:lpwstr/>
      </vt:variant>
      <vt:variant>
        <vt:lpwstr>_Toc1092888063</vt:lpwstr>
      </vt:variant>
      <vt:variant>
        <vt:i4>2293769</vt:i4>
      </vt:variant>
      <vt:variant>
        <vt:i4>224</vt:i4>
      </vt:variant>
      <vt:variant>
        <vt:i4>0</vt:i4>
      </vt:variant>
      <vt:variant>
        <vt:i4>5</vt:i4>
      </vt:variant>
      <vt:variant>
        <vt:lpwstr/>
      </vt:variant>
      <vt:variant>
        <vt:lpwstr>_Toc1002966373</vt:lpwstr>
      </vt:variant>
      <vt:variant>
        <vt:i4>2097152</vt:i4>
      </vt:variant>
      <vt:variant>
        <vt:i4>218</vt:i4>
      </vt:variant>
      <vt:variant>
        <vt:i4>0</vt:i4>
      </vt:variant>
      <vt:variant>
        <vt:i4>5</vt:i4>
      </vt:variant>
      <vt:variant>
        <vt:lpwstr/>
      </vt:variant>
      <vt:variant>
        <vt:lpwstr>_Toc1156731320</vt:lpwstr>
      </vt:variant>
      <vt:variant>
        <vt:i4>2228227</vt:i4>
      </vt:variant>
      <vt:variant>
        <vt:i4>212</vt:i4>
      </vt:variant>
      <vt:variant>
        <vt:i4>0</vt:i4>
      </vt:variant>
      <vt:variant>
        <vt:i4>5</vt:i4>
      </vt:variant>
      <vt:variant>
        <vt:lpwstr/>
      </vt:variant>
      <vt:variant>
        <vt:lpwstr>_Toc1327052226</vt:lpwstr>
      </vt:variant>
      <vt:variant>
        <vt:i4>1048626</vt:i4>
      </vt:variant>
      <vt:variant>
        <vt:i4>206</vt:i4>
      </vt:variant>
      <vt:variant>
        <vt:i4>0</vt:i4>
      </vt:variant>
      <vt:variant>
        <vt:i4>5</vt:i4>
      </vt:variant>
      <vt:variant>
        <vt:lpwstr/>
      </vt:variant>
      <vt:variant>
        <vt:lpwstr>_Toc936756851</vt:lpwstr>
      </vt:variant>
      <vt:variant>
        <vt:i4>1835069</vt:i4>
      </vt:variant>
      <vt:variant>
        <vt:i4>200</vt:i4>
      </vt:variant>
      <vt:variant>
        <vt:i4>0</vt:i4>
      </vt:variant>
      <vt:variant>
        <vt:i4>5</vt:i4>
      </vt:variant>
      <vt:variant>
        <vt:lpwstr/>
      </vt:variant>
      <vt:variant>
        <vt:lpwstr>_Toc751922953</vt:lpwstr>
      </vt:variant>
      <vt:variant>
        <vt:i4>1572914</vt:i4>
      </vt:variant>
      <vt:variant>
        <vt:i4>194</vt:i4>
      </vt:variant>
      <vt:variant>
        <vt:i4>0</vt:i4>
      </vt:variant>
      <vt:variant>
        <vt:i4>5</vt:i4>
      </vt:variant>
      <vt:variant>
        <vt:lpwstr/>
      </vt:variant>
      <vt:variant>
        <vt:lpwstr>_Toc445469561</vt:lpwstr>
      </vt:variant>
      <vt:variant>
        <vt:i4>1507380</vt:i4>
      </vt:variant>
      <vt:variant>
        <vt:i4>188</vt:i4>
      </vt:variant>
      <vt:variant>
        <vt:i4>0</vt:i4>
      </vt:variant>
      <vt:variant>
        <vt:i4>5</vt:i4>
      </vt:variant>
      <vt:variant>
        <vt:lpwstr/>
      </vt:variant>
      <vt:variant>
        <vt:lpwstr>_Toc968640102</vt:lpwstr>
      </vt:variant>
      <vt:variant>
        <vt:i4>1310774</vt:i4>
      </vt:variant>
      <vt:variant>
        <vt:i4>182</vt:i4>
      </vt:variant>
      <vt:variant>
        <vt:i4>0</vt:i4>
      </vt:variant>
      <vt:variant>
        <vt:i4>5</vt:i4>
      </vt:variant>
      <vt:variant>
        <vt:lpwstr/>
      </vt:variant>
      <vt:variant>
        <vt:lpwstr>_Toc782538064</vt:lpwstr>
      </vt:variant>
      <vt:variant>
        <vt:i4>1245233</vt:i4>
      </vt:variant>
      <vt:variant>
        <vt:i4>176</vt:i4>
      </vt:variant>
      <vt:variant>
        <vt:i4>0</vt:i4>
      </vt:variant>
      <vt:variant>
        <vt:i4>5</vt:i4>
      </vt:variant>
      <vt:variant>
        <vt:lpwstr/>
      </vt:variant>
      <vt:variant>
        <vt:lpwstr>_Toc384936533</vt:lpwstr>
      </vt:variant>
      <vt:variant>
        <vt:i4>1572927</vt:i4>
      </vt:variant>
      <vt:variant>
        <vt:i4>170</vt:i4>
      </vt:variant>
      <vt:variant>
        <vt:i4>0</vt:i4>
      </vt:variant>
      <vt:variant>
        <vt:i4>5</vt:i4>
      </vt:variant>
      <vt:variant>
        <vt:lpwstr/>
      </vt:variant>
      <vt:variant>
        <vt:lpwstr>_Toc585966982</vt:lpwstr>
      </vt:variant>
      <vt:variant>
        <vt:i4>1376318</vt:i4>
      </vt:variant>
      <vt:variant>
        <vt:i4>164</vt:i4>
      </vt:variant>
      <vt:variant>
        <vt:i4>0</vt:i4>
      </vt:variant>
      <vt:variant>
        <vt:i4>5</vt:i4>
      </vt:variant>
      <vt:variant>
        <vt:lpwstr/>
      </vt:variant>
      <vt:variant>
        <vt:lpwstr>_Toc714654812</vt:lpwstr>
      </vt:variant>
      <vt:variant>
        <vt:i4>2359297</vt:i4>
      </vt:variant>
      <vt:variant>
        <vt:i4>158</vt:i4>
      </vt:variant>
      <vt:variant>
        <vt:i4>0</vt:i4>
      </vt:variant>
      <vt:variant>
        <vt:i4>5</vt:i4>
      </vt:variant>
      <vt:variant>
        <vt:lpwstr/>
      </vt:variant>
      <vt:variant>
        <vt:lpwstr>_Toc2042026615</vt:lpwstr>
      </vt:variant>
      <vt:variant>
        <vt:i4>1048632</vt:i4>
      </vt:variant>
      <vt:variant>
        <vt:i4>152</vt:i4>
      </vt:variant>
      <vt:variant>
        <vt:i4>0</vt:i4>
      </vt:variant>
      <vt:variant>
        <vt:i4>5</vt:i4>
      </vt:variant>
      <vt:variant>
        <vt:lpwstr/>
      </vt:variant>
      <vt:variant>
        <vt:lpwstr>_Toc340982389</vt:lpwstr>
      </vt:variant>
      <vt:variant>
        <vt:i4>1507380</vt:i4>
      </vt:variant>
      <vt:variant>
        <vt:i4>146</vt:i4>
      </vt:variant>
      <vt:variant>
        <vt:i4>0</vt:i4>
      </vt:variant>
      <vt:variant>
        <vt:i4>5</vt:i4>
      </vt:variant>
      <vt:variant>
        <vt:lpwstr/>
      </vt:variant>
      <vt:variant>
        <vt:lpwstr>_Toc786060387</vt:lpwstr>
      </vt:variant>
      <vt:variant>
        <vt:i4>1638453</vt:i4>
      </vt:variant>
      <vt:variant>
        <vt:i4>140</vt:i4>
      </vt:variant>
      <vt:variant>
        <vt:i4>0</vt:i4>
      </vt:variant>
      <vt:variant>
        <vt:i4>5</vt:i4>
      </vt:variant>
      <vt:variant>
        <vt:lpwstr/>
      </vt:variant>
      <vt:variant>
        <vt:lpwstr>_Toc774168006</vt:lpwstr>
      </vt:variant>
      <vt:variant>
        <vt:i4>2686982</vt:i4>
      </vt:variant>
      <vt:variant>
        <vt:i4>134</vt:i4>
      </vt:variant>
      <vt:variant>
        <vt:i4>0</vt:i4>
      </vt:variant>
      <vt:variant>
        <vt:i4>5</vt:i4>
      </vt:variant>
      <vt:variant>
        <vt:lpwstr/>
      </vt:variant>
      <vt:variant>
        <vt:lpwstr>_Toc1499887813</vt:lpwstr>
      </vt:variant>
      <vt:variant>
        <vt:i4>1769524</vt:i4>
      </vt:variant>
      <vt:variant>
        <vt:i4>128</vt:i4>
      </vt:variant>
      <vt:variant>
        <vt:i4>0</vt:i4>
      </vt:variant>
      <vt:variant>
        <vt:i4>5</vt:i4>
      </vt:variant>
      <vt:variant>
        <vt:lpwstr/>
      </vt:variant>
      <vt:variant>
        <vt:lpwstr>_Toc16590605</vt:lpwstr>
      </vt:variant>
      <vt:variant>
        <vt:i4>1572915</vt:i4>
      </vt:variant>
      <vt:variant>
        <vt:i4>122</vt:i4>
      </vt:variant>
      <vt:variant>
        <vt:i4>0</vt:i4>
      </vt:variant>
      <vt:variant>
        <vt:i4>5</vt:i4>
      </vt:variant>
      <vt:variant>
        <vt:lpwstr/>
      </vt:variant>
      <vt:variant>
        <vt:lpwstr>_Toc576954559</vt:lpwstr>
      </vt:variant>
      <vt:variant>
        <vt:i4>1638462</vt:i4>
      </vt:variant>
      <vt:variant>
        <vt:i4>116</vt:i4>
      </vt:variant>
      <vt:variant>
        <vt:i4>0</vt:i4>
      </vt:variant>
      <vt:variant>
        <vt:i4>5</vt:i4>
      </vt:variant>
      <vt:variant>
        <vt:lpwstr/>
      </vt:variant>
      <vt:variant>
        <vt:lpwstr>_Toc472609868</vt:lpwstr>
      </vt:variant>
      <vt:variant>
        <vt:i4>2883584</vt:i4>
      </vt:variant>
      <vt:variant>
        <vt:i4>110</vt:i4>
      </vt:variant>
      <vt:variant>
        <vt:i4>0</vt:i4>
      </vt:variant>
      <vt:variant>
        <vt:i4>5</vt:i4>
      </vt:variant>
      <vt:variant>
        <vt:lpwstr/>
      </vt:variant>
      <vt:variant>
        <vt:lpwstr>_Toc2036119894</vt:lpwstr>
      </vt:variant>
      <vt:variant>
        <vt:i4>1114172</vt:i4>
      </vt:variant>
      <vt:variant>
        <vt:i4>104</vt:i4>
      </vt:variant>
      <vt:variant>
        <vt:i4>0</vt:i4>
      </vt:variant>
      <vt:variant>
        <vt:i4>5</vt:i4>
      </vt:variant>
      <vt:variant>
        <vt:lpwstr/>
      </vt:variant>
      <vt:variant>
        <vt:lpwstr>_Toc824604069</vt:lpwstr>
      </vt:variant>
      <vt:variant>
        <vt:i4>1114161</vt:i4>
      </vt:variant>
      <vt:variant>
        <vt:i4>98</vt:i4>
      </vt:variant>
      <vt:variant>
        <vt:i4>0</vt:i4>
      </vt:variant>
      <vt:variant>
        <vt:i4>5</vt:i4>
      </vt:variant>
      <vt:variant>
        <vt:lpwstr/>
      </vt:variant>
      <vt:variant>
        <vt:lpwstr>_Toc542505628</vt:lpwstr>
      </vt:variant>
      <vt:variant>
        <vt:i4>2686986</vt:i4>
      </vt:variant>
      <vt:variant>
        <vt:i4>92</vt:i4>
      </vt:variant>
      <vt:variant>
        <vt:i4>0</vt:i4>
      </vt:variant>
      <vt:variant>
        <vt:i4>5</vt:i4>
      </vt:variant>
      <vt:variant>
        <vt:lpwstr/>
      </vt:variant>
      <vt:variant>
        <vt:lpwstr>_Toc1015955668</vt:lpwstr>
      </vt:variant>
      <vt:variant>
        <vt:i4>1769521</vt:i4>
      </vt:variant>
      <vt:variant>
        <vt:i4>86</vt:i4>
      </vt:variant>
      <vt:variant>
        <vt:i4>0</vt:i4>
      </vt:variant>
      <vt:variant>
        <vt:i4>5</vt:i4>
      </vt:variant>
      <vt:variant>
        <vt:lpwstr/>
      </vt:variant>
      <vt:variant>
        <vt:lpwstr>_Toc889527269</vt:lpwstr>
      </vt:variant>
      <vt:variant>
        <vt:i4>1048626</vt:i4>
      </vt:variant>
      <vt:variant>
        <vt:i4>80</vt:i4>
      </vt:variant>
      <vt:variant>
        <vt:i4>0</vt:i4>
      </vt:variant>
      <vt:variant>
        <vt:i4>5</vt:i4>
      </vt:variant>
      <vt:variant>
        <vt:lpwstr/>
      </vt:variant>
      <vt:variant>
        <vt:lpwstr>_Toc984874837</vt:lpwstr>
      </vt:variant>
      <vt:variant>
        <vt:i4>2818052</vt:i4>
      </vt:variant>
      <vt:variant>
        <vt:i4>74</vt:i4>
      </vt:variant>
      <vt:variant>
        <vt:i4>0</vt:i4>
      </vt:variant>
      <vt:variant>
        <vt:i4>5</vt:i4>
      </vt:variant>
      <vt:variant>
        <vt:lpwstr/>
      </vt:variant>
      <vt:variant>
        <vt:lpwstr>_Toc1195159944</vt:lpwstr>
      </vt:variant>
      <vt:variant>
        <vt:i4>1048631</vt:i4>
      </vt:variant>
      <vt:variant>
        <vt:i4>68</vt:i4>
      </vt:variant>
      <vt:variant>
        <vt:i4>0</vt:i4>
      </vt:variant>
      <vt:variant>
        <vt:i4>5</vt:i4>
      </vt:variant>
      <vt:variant>
        <vt:lpwstr/>
      </vt:variant>
      <vt:variant>
        <vt:lpwstr>_Toc379783545</vt:lpwstr>
      </vt:variant>
      <vt:variant>
        <vt:i4>2752513</vt:i4>
      </vt:variant>
      <vt:variant>
        <vt:i4>62</vt:i4>
      </vt:variant>
      <vt:variant>
        <vt:i4>0</vt:i4>
      </vt:variant>
      <vt:variant>
        <vt:i4>5</vt:i4>
      </vt:variant>
      <vt:variant>
        <vt:lpwstr/>
      </vt:variant>
      <vt:variant>
        <vt:lpwstr>_Toc1698902122</vt:lpwstr>
      </vt:variant>
      <vt:variant>
        <vt:i4>1179699</vt:i4>
      </vt:variant>
      <vt:variant>
        <vt:i4>56</vt:i4>
      </vt:variant>
      <vt:variant>
        <vt:i4>0</vt:i4>
      </vt:variant>
      <vt:variant>
        <vt:i4>5</vt:i4>
      </vt:variant>
      <vt:variant>
        <vt:lpwstr/>
      </vt:variant>
      <vt:variant>
        <vt:lpwstr>_Toc547324361</vt:lpwstr>
      </vt:variant>
      <vt:variant>
        <vt:i4>1900598</vt:i4>
      </vt:variant>
      <vt:variant>
        <vt:i4>50</vt:i4>
      </vt:variant>
      <vt:variant>
        <vt:i4>0</vt:i4>
      </vt:variant>
      <vt:variant>
        <vt:i4>5</vt:i4>
      </vt:variant>
      <vt:variant>
        <vt:lpwstr/>
      </vt:variant>
      <vt:variant>
        <vt:lpwstr>_Toc385571766</vt:lpwstr>
      </vt:variant>
      <vt:variant>
        <vt:i4>2555913</vt:i4>
      </vt:variant>
      <vt:variant>
        <vt:i4>44</vt:i4>
      </vt:variant>
      <vt:variant>
        <vt:i4>0</vt:i4>
      </vt:variant>
      <vt:variant>
        <vt:i4>5</vt:i4>
      </vt:variant>
      <vt:variant>
        <vt:lpwstr/>
      </vt:variant>
      <vt:variant>
        <vt:lpwstr>_Toc1306910115</vt:lpwstr>
      </vt:variant>
      <vt:variant>
        <vt:i4>1966132</vt:i4>
      </vt:variant>
      <vt:variant>
        <vt:i4>38</vt:i4>
      </vt:variant>
      <vt:variant>
        <vt:i4>0</vt:i4>
      </vt:variant>
      <vt:variant>
        <vt:i4>5</vt:i4>
      </vt:variant>
      <vt:variant>
        <vt:lpwstr/>
      </vt:variant>
      <vt:variant>
        <vt:lpwstr>_Toc315009212</vt:lpwstr>
      </vt:variant>
      <vt:variant>
        <vt:i4>1048624</vt:i4>
      </vt:variant>
      <vt:variant>
        <vt:i4>32</vt:i4>
      </vt:variant>
      <vt:variant>
        <vt:i4>0</vt:i4>
      </vt:variant>
      <vt:variant>
        <vt:i4>5</vt:i4>
      </vt:variant>
      <vt:variant>
        <vt:lpwstr/>
      </vt:variant>
      <vt:variant>
        <vt:lpwstr>_Toc553377167</vt:lpwstr>
      </vt:variant>
      <vt:variant>
        <vt:i4>2359299</vt:i4>
      </vt:variant>
      <vt:variant>
        <vt:i4>26</vt:i4>
      </vt:variant>
      <vt:variant>
        <vt:i4>0</vt:i4>
      </vt:variant>
      <vt:variant>
        <vt:i4>5</vt:i4>
      </vt:variant>
      <vt:variant>
        <vt:lpwstr/>
      </vt:variant>
      <vt:variant>
        <vt:lpwstr>_Toc1868711624</vt:lpwstr>
      </vt:variant>
      <vt:variant>
        <vt:i4>2883593</vt:i4>
      </vt:variant>
      <vt:variant>
        <vt:i4>20</vt:i4>
      </vt:variant>
      <vt:variant>
        <vt:i4>0</vt:i4>
      </vt:variant>
      <vt:variant>
        <vt:i4>5</vt:i4>
      </vt:variant>
      <vt:variant>
        <vt:lpwstr/>
      </vt:variant>
      <vt:variant>
        <vt:lpwstr>_Toc2053963648</vt:lpwstr>
      </vt:variant>
      <vt:variant>
        <vt:i4>2293770</vt:i4>
      </vt:variant>
      <vt:variant>
        <vt:i4>14</vt:i4>
      </vt:variant>
      <vt:variant>
        <vt:i4>0</vt:i4>
      </vt:variant>
      <vt:variant>
        <vt:i4>5</vt:i4>
      </vt:variant>
      <vt:variant>
        <vt:lpwstr/>
      </vt:variant>
      <vt:variant>
        <vt:lpwstr>_Toc2146216381</vt:lpwstr>
      </vt:variant>
      <vt:variant>
        <vt:i4>1376312</vt:i4>
      </vt:variant>
      <vt:variant>
        <vt:i4>8</vt:i4>
      </vt:variant>
      <vt:variant>
        <vt:i4>0</vt:i4>
      </vt:variant>
      <vt:variant>
        <vt:i4>5</vt:i4>
      </vt:variant>
      <vt:variant>
        <vt:lpwstr/>
      </vt:variant>
      <vt:variant>
        <vt:lpwstr>_Toc558243165</vt:lpwstr>
      </vt:variant>
      <vt:variant>
        <vt:i4>2883594</vt:i4>
      </vt:variant>
      <vt:variant>
        <vt:i4>2</vt:i4>
      </vt:variant>
      <vt:variant>
        <vt:i4>0</vt:i4>
      </vt:variant>
      <vt:variant>
        <vt:i4>5</vt:i4>
      </vt:variant>
      <vt:variant>
        <vt:lpwstr/>
      </vt:variant>
      <vt:variant>
        <vt:lpwstr>_Toc1378932073</vt:lpwstr>
      </vt:variant>
      <vt:variant>
        <vt:i4>6160391</vt:i4>
      </vt:variant>
      <vt:variant>
        <vt:i4>0</vt:i4>
      </vt:variant>
      <vt:variant>
        <vt:i4>0</vt:i4>
      </vt:variant>
      <vt:variant>
        <vt:i4>5</vt:i4>
      </vt:variant>
      <vt:variant>
        <vt:lpwstr>https://cran.r-project.org/web/packages/survey/index.html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Report 2022/23: New Zealand Health Survey</dc:title>
  <dc:subject/>
  <dc:creator>Ministry of Health</dc:creator>
  <cp:keywords/>
  <cp:lastModifiedBy>Ministry of Health</cp:lastModifiedBy>
  <cp:revision>20</cp:revision>
  <cp:lastPrinted>2023-12-11T22:07:00Z</cp:lastPrinted>
  <dcterms:created xsi:type="dcterms:W3CDTF">2023-12-11T20:32:00Z</dcterms:created>
  <dcterms:modified xsi:type="dcterms:W3CDTF">2023-12-11T22:07:00Z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0x010100E3B4E27F1DE60040B3A814E5D1A245AF001A8D8B872E5CE44FAD285E2305BD2BCE</vt:lpwstr>
  </property>
  <property fmtid="{D5CDD505-2E9C-101B-9397-08002B2CF9AE}" pid="3" name="_dlc_DocIdItemGuid">
    <vt:lpwstr>8e3651f1-1c18-4b5d-920f-8473e38d7133</vt:lpwstr>
  </property>
  <property fmtid="{D5CDD505-2E9C-101B-9397-08002B2CF9AE}" pid="4" name="MediaServiceImageTags">
    <vt:lpwstr/>
  </property>
  <property fmtid="{D5CDD505-2E9C-101B-9397-08002B2CF9AE}" pid="5" name="_dlc_DocId">
    <vt:lpwstr>MOHECM-673914079-145</vt:lpwstr>
  </property>
  <property fmtid="{D5CDD505-2E9C-101B-9397-08002B2CF9AE}" pid="6" name="_dlc_DocIdUrl">
    <vt:lpwstr>https://mohgovtnz.sharepoint.com/sites/moh-ecm-ActHeaSurv/_layouts/15/DocIdRedir.aspx?ID=MOHECM-673914079-145, MOHECM-673914079-145</vt:lpwstr>
  </property>
</Properties>
</file>