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B4AB" w14:textId="11F9E6AD" w:rsidR="00EF50FD" w:rsidRPr="00A864A5" w:rsidRDefault="00EF50FD" w:rsidP="00EF50FD">
      <w:pPr>
        <w:pStyle w:val="Heading1"/>
        <w:spacing w:before="0" w:after="120" w:line="276" w:lineRule="auto"/>
        <w:rPr>
          <w:color w:val="0082AB"/>
          <w:lang w:val="en-NZ"/>
        </w:rPr>
      </w:pPr>
      <w:r w:rsidRPr="00A864A5">
        <w:rPr>
          <w:color w:val="0082AB"/>
          <w:lang w:val="en-NZ"/>
        </w:rPr>
        <w:t xml:space="preserve">Regulatory Impact Statement: </w:t>
      </w:r>
      <w:r w:rsidR="004F4034">
        <w:rPr>
          <w:color w:val="0082AB"/>
          <w:lang w:val="en-NZ"/>
        </w:rPr>
        <w:t>Smoked Tobacco Regulations</w:t>
      </w:r>
    </w:p>
    <w:p w14:paraId="3BD94C32" w14:textId="2F835BE6" w:rsidR="0062657E" w:rsidRPr="00A864A5" w:rsidRDefault="0017116F" w:rsidP="00EF50FD">
      <w:pPr>
        <w:pStyle w:val="Heading2"/>
        <w:rPr>
          <w:lang w:val="en-NZ"/>
        </w:rPr>
      </w:pPr>
      <w:r w:rsidRPr="00A864A5">
        <w:rPr>
          <w:lang w:val="en-NZ"/>
        </w:rPr>
        <w:t>Covershee</w:t>
      </w:r>
      <w:r w:rsidR="00EF50FD" w:rsidRPr="00A864A5">
        <w:rPr>
          <w:lang w:val="en-NZ"/>
        </w:rPr>
        <w:t>t</w:t>
      </w:r>
    </w:p>
    <w:p w14:paraId="6DD276F7" w14:textId="7DC5C400" w:rsidR="0062657E" w:rsidRPr="00A864A5" w:rsidRDefault="0062657E" w:rsidP="006F6539">
      <w:pPr>
        <w:pStyle w:val="spacer"/>
        <w:numPr>
          <w:ilvl w:val="0"/>
          <w:numId w:val="0"/>
        </w:numPr>
        <w:ind w:left="360"/>
        <w:rPr>
          <w:lang w:val="en-NZ"/>
        </w:rPr>
      </w:pPr>
    </w:p>
    <w:tbl>
      <w:tblPr>
        <w:tblW w:w="5000" w:type="pct"/>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600" w:firstRow="0" w:lastRow="0" w:firstColumn="0" w:lastColumn="0" w:noHBand="1" w:noVBand="1"/>
      </w:tblPr>
      <w:tblGrid>
        <w:gridCol w:w="2406"/>
        <w:gridCol w:w="6654"/>
      </w:tblGrid>
      <w:tr w:rsidR="007752A9" w:rsidRPr="00A864A5" w14:paraId="24CAC5A8" w14:textId="77777777" w:rsidTr="592EE904">
        <w:trPr>
          <w:trHeight w:val="300"/>
        </w:trPr>
        <w:tc>
          <w:tcPr>
            <w:tcW w:w="5000" w:type="pct"/>
            <w:gridSpan w:val="2"/>
            <w:tcBorders>
              <w:bottom w:val="single" w:sz="4" w:space="0" w:color="DDDDDD"/>
            </w:tcBorders>
            <w:shd w:val="clear" w:color="auto" w:fill="99CDDD"/>
            <w:hideMark/>
          </w:tcPr>
          <w:p w14:paraId="3273EFFF" w14:textId="48C848C9" w:rsidR="001F29E6" w:rsidRPr="00A864A5" w:rsidRDefault="001F29E6" w:rsidP="0006642D">
            <w:pPr>
              <w:pStyle w:val="TableHeadings"/>
              <w:rPr>
                <w:color w:val="002060"/>
                <w:szCs w:val="22"/>
                <w:lang w:val="en-NZ"/>
              </w:rPr>
            </w:pPr>
            <w:bookmarkStart w:id="0" w:name="_Hlk47357107"/>
            <w:r w:rsidRPr="00A864A5">
              <w:rPr>
                <w:szCs w:val="22"/>
                <w:lang w:val="en-NZ"/>
              </w:rPr>
              <w:t>Purpose</w:t>
            </w:r>
            <w:r w:rsidR="002C0E77">
              <w:rPr>
                <w:szCs w:val="22"/>
                <w:lang w:val="en-NZ"/>
              </w:rPr>
              <w:t xml:space="preserve"> of Document</w:t>
            </w:r>
          </w:p>
        </w:tc>
      </w:tr>
      <w:tr w:rsidR="007752A9" w:rsidRPr="00A864A5" w14:paraId="24C44C49" w14:textId="77777777" w:rsidTr="592EE904">
        <w:trPr>
          <w:trHeight w:val="414"/>
        </w:trPr>
        <w:tc>
          <w:tcPr>
            <w:tcW w:w="1328" w:type="pct"/>
            <w:tcBorders>
              <w:top w:val="nil"/>
            </w:tcBorders>
            <w:shd w:val="clear" w:color="auto" w:fill="EBF5F8"/>
          </w:tcPr>
          <w:p w14:paraId="120D8478" w14:textId="731F9FCE" w:rsidR="001F29E6" w:rsidRPr="00A864A5" w:rsidRDefault="001F29E6" w:rsidP="0006642D">
            <w:pPr>
              <w:rPr>
                <w:rFonts w:cs="Arial"/>
                <w:iCs/>
                <w:color w:val="000000"/>
                <w:szCs w:val="22"/>
                <w:lang w:val="en-NZ"/>
              </w:rPr>
            </w:pPr>
            <w:r w:rsidRPr="00A864A5">
              <w:rPr>
                <w:rFonts w:cs="Arial"/>
                <w:iCs/>
                <w:color w:val="000000"/>
                <w:szCs w:val="22"/>
                <w:lang w:val="en-NZ"/>
              </w:rPr>
              <w:t xml:space="preserve">Decision </w:t>
            </w:r>
            <w:r w:rsidR="002C0E77">
              <w:rPr>
                <w:rFonts w:cs="Arial"/>
                <w:iCs/>
                <w:color w:val="000000"/>
                <w:szCs w:val="22"/>
                <w:lang w:val="en-NZ"/>
              </w:rPr>
              <w:t>s</w:t>
            </w:r>
            <w:r w:rsidRPr="00A864A5">
              <w:rPr>
                <w:rFonts w:cs="Arial"/>
                <w:iCs/>
                <w:color w:val="000000"/>
                <w:szCs w:val="22"/>
                <w:lang w:val="en-NZ"/>
              </w:rPr>
              <w:t>ought:</w:t>
            </w:r>
          </w:p>
        </w:tc>
        <w:tc>
          <w:tcPr>
            <w:tcW w:w="3672" w:type="pct"/>
            <w:tcBorders>
              <w:top w:val="nil"/>
            </w:tcBorders>
            <w:shd w:val="clear" w:color="auto" w:fill="auto"/>
          </w:tcPr>
          <w:p w14:paraId="2B9F992E" w14:textId="5AC09766" w:rsidR="00426B97" w:rsidRPr="00426B97" w:rsidRDefault="00426B97" w:rsidP="0006642D">
            <w:pPr>
              <w:rPr>
                <w:rFonts w:cs="Arial"/>
                <w:iCs/>
                <w:color w:val="000000"/>
                <w:szCs w:val="22"/>
                <w:lang w:val="en-NZ"/>
              </w:rPr>
            </w:pPr>
            <w:r w:rsidRPr="00426B97">
              <w:rPr>
                <w:rFonts w:cs="Arial"/>
                <w:iCs/>
                <w:color w:val="000000"/>
                <w:szCs w:val="22"/>
                <w:lang w:val="en-NZ"/>
              </w:rPr>
              <w:t>A</w:t>
            </w:r>
            <w:r w:rsidR="00DE63FC" w:rsidRPr="00426B97">
              <w:rPr>
                <w:rFonts w:cs="Arial"/>
                <w:iCs/>
                <w:color w:val="000000"/>
                <w:szCs w:val="22"/>
                <w:lang w:val="en-NZ"/>
              </w:rPr>
              <w:t>nalysis produced for the purpose of informing fina</w:t>
            </w:r>
            <w:r w:rsidRPr="00426B97">
              <w:rPr>
                <w:rFonts w:cs="Arial"/>
                <w:iCs/>
                <w:color w:val="000000"/>
                <w:szCs w:val="22"/>
                <w:lang w:val="en-NZ"/>
              </w:rPr>
              <w:t xml:space="preserve">l </w:t>
            </w:r>
            <w:r w:rsidR="00DE63FC" w:rsidRPr="00426B97">
              <w:rPr>
                <w:rFonts w:cs="Arial"/>
                <w:iCs/>
                <w:color w:val="000000"/>
                <w:szCs w:val="22"/>
                <w:lang w:val="en-NZ"/>
              </w:rPr>
              <w:t xml:space="preserve">Cabinet </w:t>
            </w:r>
            <w:r w:rsidRPr="00426B97">
              <w:rPr>
                <w:rFonts w:cs="Arial"/>
                <w:iCs/>
                <w:color w:val="000000"/>
                <w:szCs w:val="22"/>
                <w:lang w:val="en-NZ"/>
              </w:rPr>
              <w:t>decisions</w:t>
            </w:r>
          </w:p>
        </w:tc>
      </w:tr>
      <w:tr w:rsidR="007752A9" w:rsidRPr="00A864A5" w14:paraId="2895A1B0" w14:textId="77777777" w:rsidTr="592EE904">
        <w:trPr>
          <w:trHeight w:val="506"/>
        </w:trPr>
        <w:tc>
          <w:tcPr>
            <w:tcW w:w="1328" w:type="pct"/>
            <w:tcBorders>
              <w:top w:val="nil"/>
            </w:tcBorders>
            <w:shd w:val="clear" w:color="auto" w:fill="EBF5F8"/>
          </w:tcPr>
          <w:p w14:paraId="19AF4671" w14:textId="697D59E7" w:rsidR="001F29E6" w:rsidRPr="00A864A5" w:rsidRDefault="002C0E77" w:rsidP="0006642D">
            <w:pPr>
              <w:rPr>
                <w:rFonts w:cs="Arial"/>
                <w:iCs/>
                <w:color w:val="000000"/>
                <w:szCs w:val="22"/>
                <w:lang w:val="en-NZ"/>
              </w:rPr>
            </w:pPr>
            <w:r>
              <w:rPr>
                <w:rFonts w:cs="Arial"/>
                <w:iCs/>
                <w:color w:val="000000"/>
                <w:szCs w:val="22"/>
                <w:lang w:val="en-NZ"/>
              </w:rPr>
              <w:t>Advising agencies</w:t>
            </w:r>
            <w:r w:rsidR="007F3B1C">
              <w:rPr>
                <w:rFonts w:cs="Arial"/>
                <w:iCs/>
                <w:color w:val="000000"/>
                <w:szCs w:val="22"/>
                <w:lang w:val="en-NZ"/>
              </w:rPr>
              <w:t>:</w:t>
            </w:r>
          </w:p>
        </w:tc>
        <w:tc>
          <w:tcPr>
            <w:tcW w:w="3672" w:type="pct"/>
            <w:tcBorders>
              <w:top w:val="nil"/>
            </w:tcBorders>
            <w:shd w:val="clear" w:color="auto" w:fill="auto"/>
          </w:tcPr>
          <w:p w14:paraId="742E202F" w14:textId="34438118" w:rsidR="001F29E6" w:rsidRPr="00703D0D" w:rsidRDefault="00703D0D" w:rsidP="0006642D">
            <w:pPr>
              <w:rPr>
                <w:rFonts w:cs="Arial"/>
                <w:iCs/>
                <w:color w:val="000000"/>
                <w:szCs w:val="22"/>
                <w:lang w:val="en-NZ"/>
              </w:rPr>
            </w:pPr>
            <w:r>
              <w:rPr>
                <w:rFonts w:cs="Arial"/>
                <w:iCs/>
                <w:color w:val="000000"/>
                <w:szCs w:val="22"/>
                <w:lang w:val="en-NZ"/>
              </w:rPr>
              <w:t>Manatū Hauora (Ministry of Health)</w:t>
            </w:r>
          </w:p>
        </w:tc>
      </w:tr>
      <w:tr w:rsidR="007752A9" w:rsidRPr="00A864A5" w14:paraId="568C5BEC" w14:textId="77777777" w:rsidTr="592EE904">
        <w:trPr>
          <w:trHeight w:val="317"/>
        </w:trPr>
        <w:tc>
          <w:tcPr>
            <w:tcW w:w="1328" w:type="pct"/>
            <w:tcBorders>
              <w:top w:val="nil"/>
            </w:tcBorders>
            <w:shd w:val="clear" w:color="auto" w:fill="EBF5F8"/>
          </w:tcPr>
          <w:p w14:paraId="0F68A519" w14:textId="4F678206" w:rsidR="001F29E6" w:rsidRPr="00A864A5" w:rsidRDefault="001F29E6" w:rsidP="0006642D">
            <w:pPr>
              <w:rPr>
                <w:rFonts w:cs="Arial"/>
                <w:iCs/>
                <w:color w:val="000000"/>
                <w:szCs w:val="22"/>
                <w:lang w:val="en-NZ"/>
              </w:rPr>
            </w:pPr>
            <w:r w:rsidRPr="00A864A5">
              <w:rPr>
                <w:rFonts w:cs="Arial"/>
                <w:iCs/>
                <w:color w:val="000000"/>
                <w:szCs w:val="22"/>
                <w:lang w:val="en-NZ"/>
              </w:rPr>
              <w:t>Proposing Minister</w:t>
            </w:r>
            <w:r w:rsidR="000C29FA">
              <w:rPr>
                <w:rFonts w:cs="Arial"/>
                <w:iCs/>
                <w:color w:val="000000"/>
                <w:szCs w:val="22"/>
                <w:lang w:val="en-NZ"/>
              </w:rPr>
              <w:t>s:</w:t>
            </w:r>
          </w:p>
        </w:tc>
        <w:tc>
          <w:tcPr>
            <w:tcW w:w="3672" w:type="pct"/>
            <w:tcBorders>
              <w:top w:val="nil"/>
            </w:tcBorders>
            <w:shd w:val="clear" w:color="auto" w:fill="auto"/>
          </w:tcPr>
          <w:p w14:paraId="3C92607C" w14:textId="6DBA9C5F" w:rsidR="001F29E6" w:rsidRPr="00703D0D" w:rsidRDefault="00F15FF3" w:rsidP="0006642D">
            <w:pPr>
              <w:rPr>
                <w:rFonts w:cs="Arial"/>
                <w:color w:val="000000"/>
                <w:lang w:val="en-NZ"/>
              </w:rPr>
            </w:pPr>
            <w:r w:rsidRPr="5C1444A2">
              <w:rPr>
                <w:rFonts w:cs="Arial"/>
                <w:color w:val="000000" w:themeColor="text1"/>
                <w:lang w:val="en-NZ"/>
              </w:rPr>
              <w:t xml:space="preserve">Minister of Health, </w:t>
            </w:r>
            <w:r w:rsidR="02BCFDDA" w:rsidRPr="5C1444A2">
              <w:rPr>
                <w:rFonts w:cs="Arial"/>
                <w:color w:val="000000" w:themeColor="text1"/>
                <w:lang w:val="en-NZ"/>
              </w:rPr>
              <w:t>H</w:t>
            </w:r>
            <w:r w:rsidR="22B05AC2" w:rsidRPr="5C1444A2">
              <w:rPr>
                <w:rFonts w:cs="Arial"/>
                <w:color w:val="000000" w:themeColor="text1"/>
                <w:lang w:val="en-NZ"/>
              </w:rPr>
              <w:t>on</w:t>
            </w:r>
            <w:r w:rsidR="00126B94" w:rsidRPr="5C1444A2">
              <w:rPr>
                <w:rFonts w:cs="Arial"/>
                <w:color w:val="000000" w:themeColor="text1"/>
                <w:lang w:val="en-NZ"/>
              </w:rPr>
              <w:t xml:space="preserve"> </w:t>
            </w:r>
            <w:r w:rsidRPr="5C1444A2">
              <w:rPr>
                <w:rFonts w:cs="Arial"/>
                <w:color w:val="000000" w:themeColor="text1"/>
                <w:lang w:val="en-NZ"/>
              </w:rPr>
              <w:t>Dr Ayesha Verrall</w:t>
            </w:r>
          </w:p>
        </w:tc>
      </w:tr>
      <w:tr w:rsidR="007752A9" w:rsidRPr="00A864A5" w14:paraId="73C7C7FD" w14:textId="77777777" w:rsidTr="592EE904">
        <w:trPr>
          <w:trHeight w:val="202"/>
        </w:trPr>
        <w:tc>
          <w:tcPr>
            <w:tcW w:w="1328" w:type="pct"/>
            <w:tcBorders>
              <w:top w:val="nil"/>
            </w:tcBorders>
            <w:shd w:val="clear" w:color="auto" w:fill="EBF5F8"/>
          </w:tcPr>
          <w:p w14:paraId="5B57759D" w14:textId="6F936C83" w:rsidR="00C11B3B" w:rsidRPr="00A864A5" w:rsidRDefault="00C11B3B" w:rsidP="0006642D">
            <w:pPr>
              <w:rPr>
                <w:rFonts w:cs="Arial"/>
                <w:iCs/>
                <w:color w:val="000000"/>
                <w:szCs w:val="22"/>
                <w:lang w:val="en-NZ"/>
              </w:rPr>
            </w:pPr>
            <w:r w:rsidRPr="00A864A5">
              <w:rPr>
                <w:rFonts w:cs="Arial"/>
                <w:iCs/>
                <w:color w:val="000000"/>
                <w:szCs w:val="22"/>
                <w:lang w:val="en-NZ"/>
              </w:rPr>
              <w:t>Date</w:t>
            </w:r>
            <w:r w:rsidR="002C0E77">
              <w:rPr>
                <w:rFonts w:cs="Arial"/>
                <w:iCs/>
                <w:color w:val="000000"/>
                <w:szCs w:val="22"/>
                <w:lang w:val="en-NZ"/>
              </w:rPr>
              <w:t xml:space="preserve"> finalised</w:t>
            </w:r>
            <w:r w:rsidRPr="00A864A5">
              <w:rPr>
                <w:rFonts w:cs="Arial"/>
                <w:iCs/>
                <w:color w:val="000000"/>
                <w:szCs w:val="22"/>
                <w:lang w:val="en-NZ"/>
              </w:rPr>
              <w:t>:</w:t>
            </w:r>
          </w:p>
        </w:tc>
        <w:tc>
          <w:tcPr>
            <w:tcW w:w="3672" w:type="pct"/>
            <w:tcBorders>
              <w:top w:val="nil"/>
            </w:tcBorders>
            <w:shd w:val="clear" w:color="auto" w:fill="auto"/>
          </w:tcPr>
          <w:p w14:paraId="4547EFD0" w14:textId="30A298F6" w:rsidR="00C11B3B" w:rsidRPr="006E0EF5" w:rsidRDefault="003B5953" w:rsidP="0006642D">
            <w:pPr>
              <w:rPr>
                <w:rFonts w:cs="Arial"/>
                <w:iCs/>
                <w:color w:val="000000"/>
                <w:szCs w:val="22"/>
                <w:lang w:val="en-NZ"/>
              </w:rPr>
            </w:pPr>
            <w:r>
              <w:rPr>
                <w:rFonts w:cs="Arial"/>
                <w:iCs/>
                <w:color w:val="000000"/>
                <w:szCs w:val="22"/>
                <w:lang w:val="en-NZ"/>
              </w:rPr>
              <w:t>9 May</w:t>
            </w:r>
            <w:r w:rsidR="006E0EF5">
              <w:rPr>
                <w:rFonts w:cs="Arial"/>
                <w:iCs/>
                <w:color w:val="000000"/>
                <w:szCs w:val="22"/>
                <w:lang w:val="en-NZ"/>
              </w:rPr>
              <w:t xml:space="preserve"> 2023</w:t>
            </w:r>
          </w:p>
        </w:tc>
      </w:tr>
      <w:tr w:rsidR="007752A9" w:rsidRPr="00A864A5" w14:paraId="7F643A0E" w14:textId="77777777" w:rsidTr="592EE904">
        <w:trPr>
          <w:trHeight w:val="300"/>
        </w:trPr>
        <w:tc>
          <w:tcPr>
            <w:tcW w:w="5000" w:type="pct"/>
            <w:gridSpan w:val="2"/>
            <w:tcBorders>
              <w:bottom w:val="single" w:sz="4" w:space="0" w:color="DDDDDD"/>
            </w:tcBorders>
            <w:shd w:val="clear" w:color="auto" w:fill="99CDDD"/>
            <w:hideMark/>
          </w:tcPr>
          <w:p w14:paraId="7F446F06" w14:textId="570ED786" w:rsidR="0079435C" w:rsidRPr="00A864A5" w:rsidRDefault="0079435C" w:rsidP="0006642D">
            <w:pPr>
              <w:pStyle w:val="TableHeadings"/>
              <w:rPr>
                <w:color w:val="002060"/>
                <w:szCs w:val="22"/>
                <w:lang w:val="en-NZ"/>
              </w:rPr>
            </w:pPr>
            <w:r w:rsidRPr="00A864A5">
              <w:rPr>
                <w:szCs w:val="22"/>
                <w:lang w:val="en-NZ"/>
              </w:rPr>
              <w:t>Problem Definition</w:t>
            </w:r>
          </w:p>
        </w:tc>
      </w:tr>
      <w:tr w:rsidR="009737A2" w:rsidRPr="00A864A5" w14:paraId="058C86B2" w14:textId="77777777" w:rsidTr="592EE904">
        <w:trPr>
          <w:trHeight w:val="824"/>
        </w:trPr>
        <w:tc>
          <w:tcPr>
            <w:tcW w:w="5000" w:type="pct"/>
            <w:gridSpan w:val="2"/>
            <w:tcBorders>
              <w:top w:val="nil"/>
            </w:tcBorders>
            <w:shd w:val="clear" w:color="auto" w:fill="auto"/>
          </w:tcPr>
          <w:p w14:paraId="4A9ADEC2" w14:textId="4542636E" w:rsidR="530D71D0" w:rsidRDefault="5E814EC5" w:rsidP="007A0E38">
            <w:pPr>
              <w:tabs>
                <w:tab w:val="left" w:pos="7424"/>
                <w:tab w:val="right" w:pos="8636"/>
              </w:tabs>
              <w:spacing w:before="60" w:after="120"/>
              <w:rPr>
                <w:rFonts w:cs="Arial"/>
                <w:lang w:val="en-NZ"/>
              </w:rPr>
            </w:pPr>
            <w:r w:rsidRPr="294C9F55">
              <w:rPr>
                <w:rFonts w:cs="Arial"/>
                <w:lang w:val="en-NZ"/>
              </w:rPr>
              <w:t xml:space="preserve">Recent changes to the Smokefree Environments and Regulated Products Act </w:t>
            </w:r>
            <w:r w:rsidR="3F3812CE" w:rsidRPr="007D16B3">
              <w:rPr>
                <w:rFonts w:cs="Arial"/>
                <w:lang w:val="en-NZ"/>
              </w:rPr>
              <w:t>1990</w:t>
            </w:r>
            <w:r w:rsidR="00425C20">
              <w:rPr>
                <w:rFonts w:cs="Arial"/>
                <w:lang w:val="en-NZ"/>
              </w:rPr>
              <w:t xml:space="preserve"> (the Smokefree Act)</w:t>
            </w:r>
            <w:r w:rsidRPr="294C9F55">
              <w:rPr>
                <w:rFonts w:cs="Arial"/>
                <w:lang w:val="en-NZ"/>
              </w:rPr>
              <w:t xml:space="preserve"> require regulations to </w:t>
            </w:r>
            <w:r w:rsidR="38DAB299" w:rsidRPr="294C9F55">
              <w:rPr>
                <w:rFonts w:cs="Arial"/>
                <w:lang w:val="en-NZ"/>
              </w:rPr>
              <w:t>fully</w:t>
            </w:r>
            <w:r w:rsidRPr="294C9F55">
              <w:rPr>
                <w:rFonts w:cs="Arial"/>
                <w:lang w:val="en-NZ"/>
              </w:rPr>
              <w:t xml:space="preserve"> implement </w:t>
            </w:r>
            <w:r w:rsidR="03D39D44" w:rsidRPr="294C9F55">
              <w:rPr>
                <w:rFonts w:cs="Arial"/>
                <w:lang w:val="en-NZ"/>
              </w:rPr>
              <w:t xml:space="preserve">the </w:t>
            </w:r>
            <w:r w:rsidR="110C646F" w:rsidRPr="294C9F55">
              <w:rPr>
                <w:rFonts w:cs="Arial"/>
                <w:lang w:val="en-NZ"/>
              </w:rPr>
              <w:t xml:space="preserve">policy </w:t>
            </w:r>
            <w:r w:rsidR="6A923254" w:rsidRPr="294C9F55">
              <w:rPr>
                <w:rFonts w:cs="Arial"/>
                <w:lang w:val="en-NZ"/>
              </w:rPr>
              <w:t xml:space="preserve">changes </w:t>
            </w:r>
            <w:r w:rsidR="6F927177" w:rsidRPr="294C9F55">
              <w:rPr>
                <w:rFonts w:cs="Arial"/>
                <w:lang w:val="en-NZ"/>
              </w:rPr>
              <w:t xml:space="preserve">that will deliver </w:t>
            </w:r>
            <w:r w:rsidR="0BB28B41" w:rsidRPr="294C9F55">
              <w:rPr>
                <w:rFonts w:cs="Arial"/>
                <w:lang w:val="en-NZ"/>
              </w:rPr>
              <w:t>on the</w:t>
            </w:r>
            <w:r w:rsidR="3959A2D5" w:rsidRPr="294C9F55">
              <w:rPr>
                <w:rFonts w:cs="Arial"/>
                <w:lang w:val="en-NZ"/>
              </w:rPr>
              <w:t xml:space="preserve"> S</w:t>
            </w:r>
            <w:r w:rsidR="6A923254" w:rsidRPr="294C9F55">
              <w:rPr>
                <w:rFonts w:cs="Arial"/>
                <w:lang w:val="en-NZ"/>
              </w:rPr>
              <w:t>mokefree</w:t>
            </w:r>
            <w:r w:rsidR="729A9C0D" w:rsidRPr="294C9F55">
              <w:rPr>
                <w:rFonts w:cs="Arial"/>
                <w:lang w:val="en-NZ"/>
              </w:rPr>
              <w:t xml:space="preserve"> </w:t>
            </w:r>
            <w:r w:rsidR="6A923254" w:rsidRPr="294C9F55">
              <w:rPr>
                <w:rFonts w:cs="Arial"/>
                <w:lang w:val="en-NZ"/>
              </w:rPr>
              <w:t>Aotearoa</w:t>
            </w:r>
            <w:r w:rsidR="11D0E9F8" w:rsidRPr="294C9F55">
              <w:rPr>
                <w:rFonts w:cs="Arial"/>
                <w:lang w:val="en-NZ"/>
              </w:rPr>
              <w:t xml:space="preserve"> </w:t>
            </w:r>
            <w:r w:rsidR="1BC5EBB0" w:rsidRPr="294C9F55">
              <w:rPr>
                <w:rFonts w:cs="Arial"/>
                <w:lang w:val="en-NZ"/>
              </w:rPr>
              <w:t xml:space="preserve">2025 </w:t>
            </w:r>
            <w:r w:rsidR="11D0E9F8" w:rsidRPr="294C9F55">
              <w:rPr>
                <w:rFonts w:cs="Arial"/>
                <w:lang w:val="en-NZ"/>
              </w:rPr>
              <w:t>Action Plan</w:t>
            </w:r>
            <w:r w:rsidR="00D7026C">
              <w:rPr>
                <w:rFonts w:cs="Arial"/>
                <w:lang w:val="en-NZ"/>
              </w:rPr>
              <w:t xml:space="preserve"> </w:t>
            </w:r>
            <w:r w:rsidR="00D7026C">
              <w:rPr>
                <w:lang w:val="en-NZ"/>
              </w:rPr>
              <w:t>and its objectives</w:t>
            </w:r>
            <w:r w:rsidR="6A923254" w:rsidRPr="294C9F55">
              <w:rPr>
                <w:rFonts w:cs="Arial"/>
                <w:lang w:val="en-NZ"/>
              </w:rPr>
              <w:t>.</w:t>
            </w:r>
          </w:p>
          <w:p w14:paraId="4EBB6131" w14:textId="45C57B00" w:rsidR="0034513A" w:rsidRPr="00615C40" w:rsidRDefault="6A923254" w:rsidP="00252D2F">
            <w:pPr>
              <w:tabs>
                <w:tab w:val="left" w:pos="7424"/>
                <w:tab w:val="right" w:pos="8636"/>
              </w:tabs>
              <w:spacing w:after="60" w:line="240" w:lineRule="auto"/>
              <w:rPr>
                <w:rFonts w:cs="Arial"/>
                <w:lang w:val="en-NZ"/>
              </w:rPr>
            </w:pPr>
            <w:r w:rsidRPr="294C9F55">
              <w:rPr>
                <w:rFonts w:cs="Arial"/>
                <w:lang w:val="en-NZ"/>
              </w:rPr>
              <w:t xml:space="preserve">There is also an opportunity to </w:t>
            </w:r>
            <w:r w:rsidR="54ED4228" w:rsidRPr="294C9F55">
              <w:rPr>
                <w:rFonts w:cs="Arial"/>
                <w:lang w:val="en-NZ"/>
              </w:rPr>
              <w:t xml:space="preserve">shift the </w:t>
            </w:r>
            <w:r w:rsidR="37D59A8C" w:rsidRPr="294C9F55">
              <w:rPr>
                <w:rFonts w:cs="Arial"/>
                <w:lang w:val="en-NZ"/>
              </w:rPr>
              <w:t xml:space="preserve">balance </w:t>
            </w:r>
            <w:r w:rsidR="4C5C84D5" w:rsidRPr="294C9F55">
              <w:rPr>
                <w:rFonts w:cs="Arial"/>
                <w:lang w:val="en-NZ"/>
              </w:rPr>
              <w:t>of the regulatory</w:t>
            </w:r>
            <w:r w:rsidRPr="294C9F55">
              <w:rPr>
                <w:rFonts w:cs="Arial"/>
                <w:lang w:val="en-NZ"/>
              </w:rPr>
              <w:t xml:space="preserve"> requirements for vaping</w:t>
            </w:r>
            <w:r w:rsidR="004928A0">
              <w:rPr>
                <w:rFonts w:cs="Arial"/>
                <w:lang w:val="en-NZ"/>
              </w:rPr>
              <w:t>,</w:t>
            </w:r>
            <w:r w:rsidR="004928A0">
              <w:rPr>
                <w:lang w:val="en-NZ"/>
              </w:rPr>
              <w:t xml:space="preserve"> with the objectives of</w:t>
            </w:r>
            <w:r w:rsidR="478951F6" w:rsidRPr="294C9F55">
              <w:rPr>
                <w:rFonts w:cs="Arial"/>
                <w:lang w:val="en-NZ"/>
              </w:rPr>
              <w:t xml:space="preserve"> </w:t>
            </w:r>
            <w:r w:rsidR="00451E2E">
              <w:rPr>
                <w:rFonts w:cs="Arial"/>
                <w:lang w:val="en-NZ"/>
              </w:rPr>
              <w:t xml:space="preserve">improving safety and </w:t>
            </w:r>
            <w:r w:rsidR="359714AB" w:rsidRPr="007D16B3">
              <w:rPr>
                <w:rFonts w:cs="Arial"/>
                <w:lang w:val="en-NZ"/>
              </w:rPr>
              <w:t>preventing</w:t>
            </w:r>
            <w:r w:rsidR="00D9583C" w:rsidRPr="007D16B3">
              <w:rPr>
                <w:rFonts w:cs="Arial"/>
                <w:lang w:val="en-NZ"/>
              </w:rPr>
              <w:t xml:space="preserve"> </w:t>
            </w:r>
            <w:r w:rsidR="51A954C5" w:rsidRPr="007D16B3">
              <w:rPr>
                <w:rFonts w:cs="Arial"/>
                <w:lang w:val="en-NZ"/>
              </w:rPr>
              <w:t xml:space="preserve">uptake among children and </w:t>
            </w:r>
            <w:r w:rsidR="478951F6" w:rsidRPr="294C9F55">
              <w:rPr>
                <w:rFonts w:cs="Arial"/>
                <w:lang w:val="en-NZ"/>
              </w:rPr>
              <w:t>young people</w:t>
            </w:r>
            <w:r w:rsidR="7960496E" w:rsidRPr="294C9F55">
              <w:rPr>
                <w:rFonts w:cs="Arial"/>
                <w:lang w:val="en-NZ"/>
              </w:rPr>
              <w:t>, while maintaining</w:t>
            </w:r>
            <w:r w:rsidR="001C12DA">
              <w:rPr>
                <w:rFonts w:cs="Arial"/>
                <w:lang w:val="en-NZ"/>
              </w:rPr>
              <w:t xml:space="preserve"> </w:t>
            </w:r>
            <w:r w:rsidR="6AE5D3D4" w:rsidRPr="294C9F55">
              <w:rPr>
                <w:rFonts w:cs="Arial"/>
                <w:lang w:val="en-NZ"/>
              </w:rPr>
              <w:t xml:space="preserve">access </w:t>
            </w:r>
            <w:r w:rsidR="2C5CE4F4" w:rsidRPr="294C9F55">
              <w:rPr>
                <w:rFonts w:cs="Arial"/>
                <w:lang w:val="en-NZ"/>
              </w:rPr>
              <w:t>for</w:t>
            </w:r>
            <w:r w:rsidR="6AE5D3D4" w:rsidRPr="294C9F55">
              <w:rPr>
                <w:rFonts w:cs="Arial"/>
                <w:lang w:val="en-NZ"/>
              </w:rPr>
              <w:t xml:space="preserve"> people who </w:t>
            </w:r>
            <w:r w:rsidR="213281EA" w:rsidRPr="007D16B3">
              <w:rPr>
                <w:rFonts w:cs="Arial"/>
                <w:lang w:val="en-NZ"/>
              </w:rPr>
              <w:t>want</w:t>
            </w:r>
            <w:r w:rsidR="6AE5D3D4" w:rsidRPr="294C9F55">
              <w:rPr>
                <w:rFonts w:cs="Arial"/>
                <w:lang w:val="en-NZ"/>
              </w:rPr>
              <w:t xml:space="preserve"> to quit</w:t>
            </w:r>
            <w:r w:rsidR="213281EA" w:rsidRPr="007D16B3">
              <w:rPr>
                <w:rFonts w:cs="Arial"/>
                <w:lang w:val="en-NZ"/>
              </w:rPr>
              <w:t xml:space="preserve"> smoking to a less harmful, less costly alternative</w:t>
            </w:r>
            <w:r w:rsidR="14F431FF" w:rsidRPr="294C9F55">
              <w:rPr>
                <w:rFonts w:cs="Arial"/>
                <w:lang w:val="en-NZ"/>
              </w:rPr>
              <w:t>.</w:t>
            </w:r>
          </w:p>
        </w:tc>
      </w:tr>
      <w:tr w:rsidR="007752A9" w:rsidRPr="00A864A5" w14:paraId="7CED8916" w14:textId="77777777" w:rsidTr="592EE904">
        <w:trPr>
          <w:trHeight w:val="300"/>
        </w:trPr>
        <w:tc>
          <w:tcPr>
            <w:tcW w:w="5000" w:type="pct"/>
            <w:gridSpan w:val="2"/>
            <w:tcBorders>
              <w:bottom w:val="single" w:sz="4" w:space="0" w:color="DDDDDD"/>
            </w:tcBorders>
            <w:shd w:val="clear" w:color="auto" w:fill="99CDDD"/>
            <w:hideMark/>
          </w:tcPr>
          <w:p w14:paraId="163B530B" w14:textId="78F31BC8" w:rsidR="00C93549" w:rsidRPr="00A864A5" w:rsidRDefault="00063943" w:rsidP="0006642D">
            <w:pPr>
              <w:pStyle w:val="TableHeadings"/>
              <w:rPr>
                <w:color w:val="002060"/>
                <w:szCs w:val="22"/>
                <w:lang w:val="en-NZ"/>
              </w:rPr>
            </w:pPr>
            <w:bookmarkStart w:id="1" w:name="_Hlk57202117"/>
            <w:r w:rsidRPr="00A864A5">
              <w:rPr>
                <w:szCs w:val="22"/>
                <w:lang w:val="en-NZ"/>
              </w:rPr>
              <w:t>Exe</w:t>
            </w:r>
            <w:r w:rsidR="0079435C" w:rsidRPr="00A864A5">
              <w:rPr>
                <w:szCs w:val="22"/>
                <w:lang w:val="en-NZ"/>
              </w:rPr>
              <w:t>cutive Summary</w:t>
            </w:r>
          </w:p>
        </w:tc>
      </w:tr>
      <w:tr w:rsidR="009737A2" w:rsidRPr="00A864A5" w14:paraId="6B25993E" w14:textId="77777777" w:rsidTr="592EE904">
        <w:trPr>
          <w:trHeight w:val="944"/>
        </w:trPr>
        <w:tc>
          <w:tcPr>
            <w:tcW w:w="5000" w:type="pct"/>
            <w:gridSpan w:val="2"/>
            <w:tcBorders>
              <w:top w:val="nil"/>
            </w:tcBorders>
            <w:shd w:val="clear" w:color="auto" w:fill="auto"/>
          </w:tcPr>
          <w:p w14:paraId="713BFA33" w14:textId="1E066833" w:rsidR="0048234A" w:rsidRDefault="3655C8C0" w:rsidP="00252D2F">
            <w:pPr>
              <w:pStyle w:val="CabStandard"/>
              <w:numPr>
                <w:ilvl w:val="0"/>
                <w:numId w:val="0"/>
              </w:numPr>
              <w:spacing w:before="60" w:after="120"/>
              <w:rPr>
                <w:rFonts w:cs="Arial"/>
                <w:sz w:val="22"/>
                <w:szCs w:val="22"/>
                <w:lang w:val="en-NZ" w:eastAsia="en-GB"/>
              </w:rPr>
            </w:pPr>
            <w:r w:rsidRPr="294C9F55">
              <w:rPr>
                <w:rFonts w:cs="Arial"/>
                <w:sz w:val="22"/>
                <w:szCs w:val="22"/>
                <w:lang w:val="en-NZ" w:eastAsia="en-GB"/>
              </w:rPr>
              <w:t xml:space="preserve">The Smokefree </w:t>
            </w:r>
            <w:r w:rsidR="3145EF8C" w:rsidRPr="294C9F55">
              <w:rPr>
                <w:rFonts w:cs="Arial"/>
                <w:sz w:val="22"/>
                <w:szCs w:val="22"/>
                <w:lang w:val="en-NZ" w:eastAsia="en-GB"/>
              </w:rPr>
              <w:t xml:space="preserve">Environments and Regulated Products (Smoked Tobacco) </w:t>
            </w:r>
            <w:r w:rsidR="389AF760" w:rsidRPr="294C9F55">
              <w:rPr>
                <w:rFonts w:cs="Arial"/>
                <w:sz w:val="22"/>
                <w:szCs w:val="22"/>
                <w:lang w:val="en-NZ" w:eastAsia="en-GB"/>
              </w:rPr>
              <w:t>Amendment Act</w:t>
            </w:r>
            <w:r w:rsidR="0D9697D1" w:rsidRPr="294C9F55">
              <w:rPr>
                <w:rFonts w:cs="Arial"/>
                <w:sz w:val="22"/>
                <w:szCs w:val="22"/>
                <w:lang w:val="en-NZ" w:eastAsia="en-GB"/>
              </w:rPr>
              <w:t xml:space="preserve"> </w:t>
            </w:r>
            <w:r w:rsidR="7903D0B8" w:rsidRPr="294C9F55">
              <w:rPr>
                <w:rFonts w:cs="Arial"/>
                <w:sz w:val="22"/>
                <w:szCs w:val="22"/>
                <w:lang w:val="en-NZ" w:eastAsia="en-GB"/>
              </w:rPr>
              <w:t xml:space="preserve">2022 </w:t>
            </w:r>
            <w:r w:rsidR="0D9697D1" w:rsidRPr="294C9F55">
              <w:rPr>
                <w:rFonts w:cs="Arial"/>
                <w:sz w:val="22"/>
                <w:szCs w:val="22"/>
                <w:lang w:val="en-NZ" w:eastAsia="en-GB"/>
              </w:rPr>
              <w:t>(the Amendment Act)</w:t>
            </w:r>
            <w:r w:rsidRPr="294C9F55">
              <w:rPr>
                <w:rFonts w:cs="Arial"/>
                <w:sz w:val="22"/>
                <w:szCs w:val="22"/>
                <w:lang w:val="en-NZ" w:eastAsia="en-GB"/>
              </w:rPr>
              <w:t xml:space="preserve"> came into force </w:t>
            </w:r>
            <w:r w:rsidR="6DAF6548" w:rsidRPr="007D16B3">
              <w:rPr>
                <w:rFonts w:cs="Arial"/>
                <w:sz w:val="22"/>
                <w:szCs w:val="22"/>
                <w:lang w:val="en-NZ" w:eastAsia="en-GB"/>
              </w:rPr>
              <w:t>on</w:t>
            </w:r>
            <w:r w:rsidR="6DAF6548" w:rsidRPr="1B3F6EEA">
              <w:rPr>
                <w:rFonts w:cs="Arial"/>
                <w:sz w:val="22"/>
                <w:szCs w:val="22"/>
                <w:lang w:val="en-NZ" w:eastAsia="en-GB"/>
              </w:rPr>
              <w:t xml:space="preserve"> 1</w:t>
            </w:r>
            <w:r w:rsidRPr="294C9F55">
              <w:rPr>
                <w:rFonts w:cs="Arial"/>
                <w:sz w:val="22"/>
                <w:szCs w:val="22"/>
                <w:lang w:val="en-NZ" w:eastAsia="en-GB"/>
              </w:rPr>
              <w:t xml:space="preserve"> January 2023, with new provisions regulating entry into the smoked tobacco and vaping product markets, providing for the approval of smoked tobacco products, introducing </w:t>
            </w:r>
            <w:r w:rsidR="2891D1A5" w:rsidRPr="1B3F6EEA">
              <w:rPr>
                <w:rFonts w:cs="Arial"/>
                <w:sz w:val="22"/>
                <w:szCs w:val="22"/>
                <w:lang w:val="en-NZ" w:eastAsia="en-GB"/>
              </w:rPr>
              <w:t xml:space="preserve">very </w:t>
            </w:r>
            <w:r w:rsidRPr="294C9F55">
              <w:rPr>
                <w:rFonts w:cs="Arial"/>
                <w:sz w:val="22"/>
                <w:szCs w:val="22"/>
                <w:lang w:val="en-NZ" w:eastAsia="en-GB"/>
              </w:rPr>
              <w:t>low nicotine limits</w:t>
            </w:r>
            <w:r w:rsidR="427B6193" w:rsidRPr="19AFD816">
              <w:rPr>
                <w:rFonts w:cs="Arial"/>
                <w:sz w:val="22"/>
                <w:szCs w:val="22"/>
                <w:lang w:val="en-NZ" w:eastAsia="en-GB"/>
              </w:rPr>
              <w:t>,</w:t>
            </w:r>
            <w:r w:rsidRPr="294C9F55">
              <w:rPr>
                <w:rFonts w:cs="Arial"/>
                <w:sz w:val="22"/>
                <w:szCs w:val="22"/>
                <w:lang w:val="en-NZ" w:eastAsia="en-GB"/>
              </w:rPr>
              <w:t xml:space="preserve"> and creating a ‘smokefree generation’. </w:t>
            </w:r>
          </w:p>
          <w:p w14:paraId="24FA766F" w14:textId="0C16BEF3" w:rsidR="0048234A" w:rsidRPr="00FA6843" w:rsidRDefault="3655C8C0" w:rsidP="58911DBF">
            <w:pPr>
              <w:pStyle w:val="CabStandard"/>
              <w:numPr>
                <w:ilvl w:val="0"/>
                <w:numId w:val="0"/>
              </w:numPr>
              <w:spacing w:after="120"/>
              <w:rPr>
                <w:rFonts w:cs="Arial"/>
                <w:lang w:val="en-NZ"/>
              </w:rPr>
            </w:pPr>
            <w:r w:rsidRPr="294C9F55">
              <w:rPr>
                <w:rFonts w:cs="Arial"/>
                <w:sz w:val="22"/>
                <w:szCs w:val="22"/>
                <w:lang w:val="en-NZ" w:eastAsia="en-GB"/>
              </w:rPr>
              <w:t xml:space="preserve">Regulations are needed to stand up a regulatory regime </w:t>
            </w:r>
            <w:r w:rsidR="27059E7E" w:rsidRPr="1B3F6EEA">
              <w:rPr>
                <w:rFonts w:cs="Arial"/>
                <w:sz w:val="22"/>
                <w:szCs w:val="22"/>
                <w:lang w:val="en-NZ" w:eastAsia="en-GB"/>
              </w:rPr>
              <w:t>that will</w:t>
            </w:r>
            <w:r w:rsidRPr="294C9F55">
              <w:rPr>
                <w:rFonts w:cs="Arial"/>
                <w:sz w:val="22"/>
                <w:szCs w:val="22"/>
                <w:lang w:val="en-NZ" w:eastAsia="en-GB"/>
              </w:rPr>
              <w:t xml:space="preserve"> oversee and monitor </w:t>
            </w:r>
            <w:r w:rsidR="2287D9F0" w:rsidRPr="294C9F55">
              <w:rPr>
                <w:rFonts w:cs="Arial"/>
                <w:sz w:val="22"/>
                <w:szCs w:val="22"/>
                <w:lang w:val="en-NZ" w:eastAsia="en-GB"/>
              </w:rPr>
              <w:t>the</w:t>
            </w:r>
            <w:r w:rsidR="5EB2B3D6" w:rsidRPr="294C9F55">
              <w:rPr>
                <w:rFonts w:cs="Arial"/>
                <w:sz w:val="22"/>
                <w:szCs w:val="22"/>
                <w:lang w:val="en-NZ" w:eastAsia="en-GB"/>
              </w:rPr>
              <w:t>se changes.</w:t>
            </w:r>
            <w:r w:rsidRPr="294C9F55">
              <w:rPr>
                <w:rFonts w:cs="Arial"/>
                <w:sz w:val="22"/>
                <w:szCs w:val="22"/>
                <w:lang w:val="en-NZ" w:eastAsia="en-GB"/>
              </w:rPr>
              <w:t xml:space="preserve"> Manatū Hauora</w:t>
            </w:r>
            <w:r w:rsidR="4A947A8E" w:rsidRPr="294C9F55">
              <w:rPr>
                <w:rFonts w:cs="Arial"/>
                <w:sz w:val="22"/>
                <w:szCs w:val="22"/>
                <w:lang w:val="en-NZ" w:eastAsia="en-GB"/>
              </w:rPr>
              <w:t xml:space="preserve"> (</w:t>
            </w:r>
            <w:r w:rsidR="00A37EE7">
              <w:rPr>
                <w:rFonts w:cs="Arial"/>
                <w:sz w:val="22"/>
                <w:szCs w:val="22"/>
                <w:lang w:val="en-NZ" w:eastAsia="en-GB"/>
              </w:rPr>
              <w:t>t</w:t>
            </w:r>
            <w:r w:rsidR="4A947A8E" w:rsidRPr="294C9F55">
              <w:rPr>
                <w:rFonts w:cs="Arial"/>
                <w:sz w:val="22"/>
                <w:szCs w:val="22"/>
                <w:lang w:val="en-NZ" w:eastAsia="en-GB"/>
              </w:rPr>
              <w:t>he Ministry)</w:t>
            </w:r>
            <w:r w:rsidRPr="294C9F55">
              <w:rPr>
                <w:rFonts w:cs="Arial"/>
                <w:sz w:val="22"/>
                <w:szCs w:val="22"/>
                <w:lang w:val="en-NZ" w:eastAsia="en-GB"/>
              </w:rPr>
              <w:t xml:space="preserve"> has publicly consulted on regulatory proposals needed </w:t>
            </w:r>
            <w:r w:rsidR="56AD203D" w:rsidRPr="294C9F55">
              <w:rPr>
                <w:rFonts w:cs="Arial"/>
                <w:sz w:val="22"/>
                <w:szCs w:val="22"/>
                <w:lang w:val="en-NZ" w:eastAsia="en-GB"/>
              </w:rPr>
              <w:t>for</w:t>
            </w:r>
            <w:r w:rsidRPr="294C9F55">
              <w:rPr>
                <w:rFonts w:cs="Arial"/>
                <w:sz w:val="22"/>
                <w:szCs w:val="22"/>
                <w:lang w:val="en-NZ" w:eastAsia="en-GB"/>
              </w:rPr>
              <w:t>:</w:t>
            </w:r>
          </w:p>
          <w:p w14:paraId="379E3633" w14:textId="77777777" w:rsidR="0048234A" w:rsidRPr="00BD1E06" w:rsidRDefault="0048234A" w:rsidP="004B626C">
            <w:pPr>
              <w:pStyle w:val="ReportBody-MOH"/>
              <w:numPr>
                <w:ilvl w:val="0"/>
                <w:numId w:val="9"/>
              </w:numPr>
              <w:ind w:left="426" w:hanging="426"/>
              <w:rPr>
                <w:rFonts w:ascii="Arial" w:hAnsi="Arial"/>
                <w:kern w:val="0"/>
                <w:lang w:eastAsia="en-GB"/>
              </w:rPr>
            </w:pPr>
            <w:r w:rsidRPr="00C65790">
              <w:rPr>
                <w:rFonts w:ascii="Arial" w:hAnsi="Arial"/>
                <w:kern w:val="0"/>
                <w:lang w:eastAsia="en-GB"/>
              </w:rPr>
              <w:t xml:space="preserve">the smoked tobacco products retail </w:t>
            </w:r>
            <w:r w:rsidRPr="0065063B">
              <w:rPr>
                <w:rFonts w:ascii="Arial" w:hAnsi="Arial"/>
                <w:kern w:val="0"/>
                <w:lang w:eastAsia="en-GB"/>
              </w:rPr>
              <w:t>scheme</w:t>
            </w:r>
          </w:p>
          <w:p w14:paraId="4B920D01" w14:textId="77777777" w:rsidR="0048234A" w:rsidRPr="00C65790" w:rsidRDefault="0048234A" w:rsidP="004B626C">
            <w:pPr>
              <w:pStyle w:val="ReportBody-MOH"/>
              <w:numPr>
                <w:ilvl w:val="0"/>
                <w:numId w:val="9"/>
              </w:numPr>
              <w:ind w:left="426" w:hanging="426"/>
              <w:rPr>
                <w:rFonts w:ascii="Arial" w:hAnsi="Arial"/>
                <w:kern w:val="0"/>
                <w:lang w:eastAsia="en-GB"/>
              </w:rPr>
            </w:pPr>
            <w:r w:rsidRPr="00DF1CAF">
              <w:rPr>
                <w:rFonts w:ascii="Arial" w:hAnsi="Arial"/>
                <w:kern w:val="0"/>
                <w:lang w:eastAsia="en-GB"/>
              </w:rPr>
              <w:t xml:space="preserve">low nicotine </w:t>
            </w:r>
            <w:r w:rsidRPr="00732182">
              <w:rPr>
                <w:rFonts w:ascii="Arial" w:hAnsi="Arial"/>
                <w:kern w:val="0"/>
                <w:lang w:eastAsia="en-GB"/>
              </w:rPr>
              <w:t xml:space="preserve">testing requirements </w:t>
            </w:r>
          </w:p>
          <w:p w14:paraId="3D09CE55" w14:textId="77777777" w:rsidR="0048234A" w:rsidRPr="00C65790" w:rsidRDefault="0048234A" w:rsidP="004B626C">
            <w:pPr>
              <w:pStyle w:val="ReportBody-MOH"/>
              <w:numPr>
                <w:ilvl w:val="0"/>
                <w:numId w:val="9"/>
              </w:numPr>
              <w:ind w:left="426" w:hanging="426"/>
              <w:rPr>
                <w:rFonts w:ascii="Arial" w:hAnsi="Arial"/>
                <w:kern w:val="0"/>
                <w:lang w:eastAsia="en-GB"/>
              </w:rPr>
            </w:pPr>
            <w:r w:rsidRPr="00C65790">
              <w:rPr>
                <w:rFonts w:ascii="Arial" w:hAnsi="Arial"/>
                <w:kern w:val="0"/>
                <w:lang w:eastAsia="en-GB"/>
              </w:rPr>
              <w:t xml:space="preserve">new notification requirements </w:t>
            </w:r>
          </w:p>
          <w:p w14:paraId="3C3D6D18" w14:textId="77777777" w:rsidR="0048234A" w:rsidRPr="004B626C" w:rsidRDefault="0048234A" w:rsidP="004B626C">
            <w:pPr>
              <w:pStyle w:val="ReportBody-MOH"/>
              <w:numPr>
                <w:ilvl w:val="0"/>
                <w:numId w:val="9"/>
              </w:numPr>
              <w:ind w:left="426" w:hanging="426"/>
              <w:rPr>
                <w:rFonts w:ascii="Arial" w:hAnsi="Arial"/>
                <w:kern w:val="0"/>
                <w:lang w:eastAsia="en-GB"/>
              </w:rPr>
            </w:pPr>
            <w:r w:rsidRPr="004B626C">
              <w:rPr>
                <w:rFonts w:ascii="Arial" w:hAnsi="Arial"/>
                <w:kern w:val="0"/>
                <w:lang w:eastAsia="en-GB"/>
              </w:rPr>
              <w:t>fees to enable the regime to be cost-recovered.</w:t>
            </w:r>
          </w:p>
          <w:p w14:paraId="4ABE11D2" w14:textId="6242F6F5" w:rsidR="002B60F3" w:rsidRDefault="671AC957" w:rsidP="009F2A2A">
            <w:pPr>
              <w:spacing w:after="120" w:line="240" w:lineRule="auto"/>
              <w:rPr>
                <w:rFonts w:eastAsiaTheme="majorEastAsia"/>
                <w:lang w:eastAsia="x-none"/>
              </w:rPr>
            </w:pPr>
            <w:r>
              <w:t>The Ministry</w:t>
            </w:r>
            <w:r w:rsidR="1F5872AE">
              <w:t xml:space="preserve"> also consulted on a small number of proposals to </w:t>
            </w:r>
            <w:r w:rsidR="004928A0">
              <w:t xml:space="preserve">tighten </w:t>
            </w:r>
            <w:r w:rsidR="1F5872AE">
              <w:t xml:space="preserve">existing vaping requirements through regulations. </w:t>
            </w:r>
            <w:r w:rsidR="7621696F">
              <w:t xml:space="preserve">These proposals respond to </w:t>
            </w:r>
            <w:r w:rsidR="6C9F3D8E">
              <w:t xml:space="preserve">public </w:t>
            </w:r>
            <w:r w:rsidR="7621696F" w:rsidRPr="19AFD816">
              <w:rPr>
                <w:rFonts w:eastAsiaTheme="majorEastAsia"/>
              </w:rPr>
              <w:t>concerns and submissions on the Smokefree</w:t>
            </w:r>
            <w:r w:rsidR="2DB2AA6F" w:rsidRPr="19AFD816">
              <w:rPr>
                <w:rFonts w:eastAsiaTheme="majorEastAsia"/>
              </w:rPr>
              <w:t xml:space="preserve"> Aotearoa 2025 Action Plan (the </w:t>
            </w:r>
            <w:r w:rsidR="3548E8D0" w:rsidRPr="19AFD816">
              <w:rPr>
                <w:rFonts w:eastAsiaTheme="majorEastAsia"/>
              </w:rPr>
              <w:t>a</w:t>
            </w:r>
            <w:r w:rsidR="2DB2AA6F" w:rsidRPr="19AFD816">
              <w:rPr>
                <w:rFonts w:eastAsiaTheme="majorEastAsia"/>
              </w:rPr>
              <w:t xml:space="preserve">ction </w:t>
            </w:r>
            <w:r w:rsidR="35A8D9BE" w:rsidRPr="19AFD816">
              <w:rPr>
                <w:rFonts w:eastAsiaTheme="majorEastAsia"/>
              </w:rPr>
              <w:t>p</w:t>
            </w:r>
            <w:r w:rsidR="2DB2AA6F" w:rsidRPr="19AFD816">
              <w:rPr>
                <w:rFonts w:eastAsiaTheme="majorEastAsia"/>
              </w:rPr>
              <w:t>lan) and the Smokefree Environments and Regulated Products (Smoked Tobacco) Amendment</w:t>
            </w:r>
            <w:r w:rsidR="7621696F" w:rsidRPr="19AFD816">
              <w:rPr>
                <w:rFonts w:eastAsiaTheme="majorEastAsia"/>
              </w:rPr>
              <w:t xml:space="preserve"> Bill </w:t>
            </w:r>
            <w:r w:rsidR="7C52AFCA" w:rsidRPr="19AFD816">
              <w:rPr>
                <w:rFonts w:eastAsiaTheme="majorEastAsia"/>
              </w:rPr>
              <w:t xml:space="preserve">about </w:t>
            </w:r>
            <w:r w:rsidR="7621696F" w:rsidRPr="19AFD816">
              <w:rPr>
                <w:rFonts w:eastAsiaTheme="majorEastAsia"/>
              </w:rPr>
              <w:t>vaping.</w:t>
            </w:r>
          </w:p>
          <w:p w14:paraId="5136AE5D" w14:textId="0A4508AC" w:rsidR="00341C9F" w:rsidRDefault="06D5C4DC" w:rsidP="009F2A2A">
            <w:pPr>
              <w:spacing w:before="120" w:after="120" w:line="240" w:lineRule="auto"/>
              <w:rPr>
                <w:rFonts w:eastAsia="Arial" w:cs="Arial"/>
              </w:rPr>
            </w:pPr>
            <w:r w:rsidRPr="19AFD816">
              <w:rPr>
                <w:rFonts w:cs="Arial"/>
              </w:rPr>
              <w:t xml:space="preserve">The Ministry received more than 2,700 </w:t>
            </w:r>
            <w:r w:rsidR="5C295485" w:rsidRPr="19AFD816">
              <w:rPr>
                <w:rFonts w:cs="Arial"/>
              </w:rPr>
              <w:t xml:space="preserve">written </w:t>
            </w:r>
            <w:r w:rsidRPr="19AFD816">
              <w:rPr>
                <w:rFonts w:cs="Arial"/>
              </w:rPr>
              <w:t>submissions</w:t>
            </w:r>
            <w:r w:rsidR="33D15849" w:rsidRPr="19AFD816">
              <w:rPr>
                <w:rFonts w:cs="Arial"/>
              </w:rPr>
              <w:t xml:space="preserve"> on the regulatory proposals</w:t>
            </w:r>
            <w:r w:rsidR="1803622D" w:rsidRPr="19AFD816">
              <w:rPr>
                <w:rFonts w:cs="Arial"/>
              </w:rPr>
              <w:t>.</w:t>
            </w:r>
            <w:r w:rsidR="091FDC93" w:rsidRPr="19AFD816">
              <w:rPr>
                <w:rFonts w:eastAsia="Arial" w:cs="Arial"/>
              </w:rPr>
              <w:t xml:space="preserve"> </w:t>
            </w:r>
            <w:r w:rsidRPr="19AFD816">
              <w:rPr>
                <w:rFonts w:eastAsia="Arial" w:cs="Arial"/>
              </w:rPr>
              <w:t xml:space="preserve">Submissions were received </w:t>
            </w:r>
            <w:r w:rsidR="25081FBA" w:rsidRPr="19AFD816">
              <w:rPr>
                <w:rFonts w:eastAsia="Arial" w:cs="Arial"/>
                <w:color w:val="333333"/>
                <w:lang w:val="en-NZ"/>
              </w:rPr>
              <w:t xml:space="preserve">from individuals, academics, healthcare providers, community groups, retailers and tobacco and vaping importers and manufacturers. Targeted in-person and </w:t>
            </w:r>
            <w:r w:rsidR="091FDC93" w:rsidRPr="19AFD816">
              <w:rPr>
                <w:rFonts w:eastAsia="Arial" w:cs="Arial"/>
                <w:color w:val="333333"/>
                <w:lang w:val="en-NZ"/>
              </w:rPr>
              <w:t>online</w:t>
            </w:r>
            <w:r w:rsidR="25081FBA" w:rsidRPr="19AFD816">
              <w:rPr>
                <w:rFonts w:eastAsia="Arial" w:cs="Arial"/>
                <w:color w:val="333333"/>
                <w:lang w:val="en-NZ"/>
              </w:rPr>
              <w:t xml:space="preserve"> consultation was also held with Māori and Pacific communities across the country.</w:t>
            </w:r>
            <w:r w:rsidR="47422BBF" w:rsidRPr="19AFD816">
              <w:rPr>
                <w:rFonts w:cs="Arial"/>
              </w:rPr>
              <w:t xml:space="preserve"> F</w:t>
            </w:r>
            <w:r w:rsidR="3BFD856C" w:rsidRPr="19AFD816">
              <w:rPr>
                <w:rFonts w:cs="Arial"/>
              </w:rPr>
              <w:t>eedback</w:t>
            </w:r>
            <w:r w:rsidR="384F9879" w:rsidRPr="19AFD816">
              <w:rPr>
                <w:rFonts w:cs="Arial"/>
              </w:rPr>
              <w:t xml:space="preserve"> was generally either supportive, or supporti</w:t>
            </w:r>
            <w:r w:rsidR="384F9879" w:rsidRPr="19AFD816">
              <w:rPr>
                <w:rFonts w:eastAsia="Arial" w:cs="Arial"/>
              </w:rPr>
              <w:t xml:space="preserve">ve but </w:t>
            </w:r>
            <w:r w:rsidR="3BFD856C" w:rsidRPr="19AFD816">
              <w:rPr>
                <w:rFonts w:eastAsia="Arial" w:cs="Arial"/>
              </w:rPr>
              <w:t>want</w:t>
            </w:r>
            <w:r w:rsidR="13BC9EE3" w:rsidRPr="19AFD816">
              <w:rPr>
                <w:rFonts w:eastAsia="Arial" w:cs="Arial"/>
              </w:rPr>
              <w:t>ing</w:t>
            </w:r>
            <w:r w:rsidR="384F9879" w:rsidRPr="19AFD816">
              <w:rPr>
                <w:rFonts w:eastAsia="Arial" w:cs="Arial"/>
              </w:rPr>
              <w:t xml:space="preserve"> further action </w:t>
            </w:r>
            <w:r w:rsidR="7C2DD470" w:rsidRPr="19AFD816">
              <w:rPr>
                <w:rFonts w:eastAsia="Arial" w:cs="Arial"/>
              </w:rPr>
              <w:t xml:space="preserve">in </w:t>
            </w:r>
            <w:r w:rsidR="384F9879" w:rsidRPr="19AFD816">
              <w:rPr>
                <w:rFonts w:eastAsia="Arial" w:cs="Arial"/>
              </w:rPr>
              <w:t xml:space="preserve">some areas, such as vaping. </w:t>
            </w:r>
            <w:r w:rsidR="00A221E0">
              <w:rPr>
                <w:rFonts w:eastAsia="Arial" w:cs="Arial"/>
              </w:rPr>
              <w:t>Th</w:t>
            </w:r>
            <w:r w:rsidR="008A72BB">
              <w:rPr>
                <w:rFonts w:eastAsia="Arial" w:cs="Arial"/>
              </w:rPr>
              <w:t>ose</w:t>
            </w:r>
            <w:r w:rsidR="00A221E0">
              <w:rPr>
                <w:rFonts w:eastAsia="Arial" w:cs="Arial"/>
              </w:rPr>
              <w:t xml:space="preserve"> not in support were generally </w:t>
            </w:r>
            <w:r w:rsidR="008A72BB">
              <w:rPr>
                <w:rFonts w:eastAsia="Arial" w:cs="Arial"/>
              </w:rPr>
              <w:t>industry and retailer submissions.</w:t>
            </w:r>
          </w:p>
          <w:p w14:paraId="57FAD2CB" w14:textId="32810348" w:rsidR="0048234A" w:rsidRPr="00D25029" w:rsidRDefault="0EE1920A" w:rsidP="009F2A2A">
            <w:pPr>
              <w:spacing w:before="120" w:after="120" w:line="240" w:lineRule="auto"/>
              <w:rPr>
                <w:rFonts w:eastAsia="Arial" w:cs="Arial"/>
                <w:color w:val="333333"/>
                <w:lang w:val="en-NZ"/>
              </w:rPr>
            </w:pPr>
            <w:r w:rsidRPr="294C9F55">
              <w:rPr>
                <w:rFonts w:cs="Arial"/>
                <w:szCs w:val="22"/>
              </w:rPr>
              <w:lastRenderedPageBreak/>
              <w:t xml:space="preserve">The </w:t>
            </w:r>
            <w:r w:rsidR="329565EE" w:rsidRPr="294C9F55">
              <w:rPr>
                <w:rFonts w:cs="Arial"/>
                <w:szCs w:val="22"/>
              </w:rPr>
              <w:t xml:space="preserve">Amendment </w:t>
            </w:r>
            <w:r w:rsidR="3655C8C0" w:rsidRPr="294C9F55">
              <w:rPr>
                <w:rFonts w:cs="Arial"/>
                <w:szCs w:val="22"/>
              </w:rPr>
              <w:t>Act has specific Te Tiriti o Waitangi provisions requiring the Director-General of Health (</w:t>
            </w:r>
            <w:r w:rsidR="7E70F454" w:rsidRPr="19AFD816">
              <w:rPr>
                <w:rFonts w:cs="Arial"/>
                <w:szCs w:val="22"/>
              </w:rPr>
              <w:t xml:space="preserve">the </w:t>
            </w:r>
            <w:r w:rsidR="3655C8C0" w:rsidRPr="294C9F55">
              <w:rPr>
                <w:rFonts w:cs="Arial"/>
                <w:szCs w:val="22"/>
              </w:rPr>
              <w:t xml:space="preserve">Director-General) to consult with Māori when making retail decisions and </w:t>
            </w:r>
            <w:r w:rsidR="633CFF73" w:rsidRPr="294C9F55">
              <w:rPr>
                <w:rFonts w:cs="Arial"/>
                <w:szCs w:val="22"/>
              </w:rPr>
              <w:t xml:space="preserve">requiring </w:t>
            </w:r>
            <w:r w:rsidR="3655C8C0" w:rsidRPr="294C9F55">
              <w:rPr>
                <w:rFonts w:cs="Arial"/>
                <w:szCs w:val="22"/>
              </w:rPr>
              <w:t xml:space="preserve">the Minister of Health to ensure the risks and benefits to Māori are considered when making regulations regarding the content of smoked tobacco products. To meet these new requirements, </w:t>
            </w:r>
            <w:r w:rsidR="0D8CB697" w:rsidRPr="294C9F55">
              <w:rPr>
                <w:rFonts w:cs="Arial"/>
                <w:szCs w:val="22"/>
              </w:rPr>
              <w:t xml:space="preserve">the Ministry </w:t>
            </w:r>
            <w:r w:rsidR="4E991165" w:rsidRPr="19AFD816">
              <w:rPr>
                <w:rFonts w:cs="Arial"/>
                <w:szCs w:val="22"/>
              </w:rPr>
              <w:t xml:space="preserve">convened a </w:t>
            </w:r>
            <w:r w:rsidR="73441CE3" w:rsidRPr="19AFD816">
              <w:rPr>
                <w:rFonts w:cs="Arial"/>
                <w:szCs w:val="22"/>
              </w:rPr>
              <w:t>n</w:t>
            </w:r>
            <w:r w:rsidR="4E991165" w:rsidRPr="19AFD816">
              <w:rPr>
                <w:rFonts w:cs="Arial"/>
                <w:szCs w:val="22"/>
              </w:rPr>
              <w:t xml:space="preserve">umber of </w:t>
            </w:r>
            <w:proofErr w:type="gramStart"/>
            <w:r w:rsidR="4E991165" w:rsidRPr="19AFD816">
              <w:rPr>
                <w:rFonts w:cs="Arial"/>
                <w:szCs w:val="22"/>
              </w:rPr>
              <w:t>hui</w:t>
            </w:r>
            <w:proofErr w:type="gramEnd"/>
            <w:r w:rsidR="73441CE3" w:rsidRPr="19AFD816">
              <w:rPr>
                <w:rFonts w:cs="Arial"/>
                <w:szCs w:val="22"/>
              </w:rPr>
              <w:t xml:space="preserve"> with Māori </w:t>
            </w:r>
            <w:r w:rsidR="0E42A341" w:rsidRPr="19AFD816">
              <w:rPr>
                <w:rFonts w:cs="Arial"/>
                <w:szCs w:val="22"/>
              </w:rPr>
              <w:t>across the country</w:t>
            </w:r>
            <w:r w:rsidR="3655C8C0" w:rsidRPr="294C9F55">
              <w:rPr>
                <w:rFonts w:cs="Arial"/>
                <w:szCs w:val="22"/>
              </w:rPr>
              <w:t xml:space="preserve"> to ensure that special consideration was given to the potential impact the proposals, and especially the retail scheme, will have on </w:t>
            </w:r>
            <w:r w:rsidR="00743078">
              <w:rPr>
                <w:rFonts w:cs="Arial"/>
                <w:szCs w:val="22"/>
              </w:rPr>
              <w:t>Māori</w:t>
            </w:r>
            <w:r w:rsidR="3655C8C0" w:rsidRPr="294C9F55">
              <w:rPr>
                <w:rFonts w:cs="Arial"/>
                <w:szCs w:val="22"/>
              </w:rPr>
              <w:t>.</w:t>
            </w:r>
            <w:r w:rsidR="00392592">
              <w:rPr>
                <w:rFonts w:cs="Arial"/>
                <w:szCs w:val="22"/>
              </w:rPr>
              <w:t xml:space="preserve"> </w:t>
            </w:r>
          </w:p>
          <w:p w14:paraId="595C4DC3" w14:textId="51C17E85" w:rsidR="0048234A" w:rsidRPr="00C607A9" w:rsidRDefault="0048234A" w:rsidP="009F2A2A">
            <w:pPr>
              <w:spacing w:after="120" w:line="240" w:lineRule="auto"/>
            </w:pPr>
            <w:r>
              <w:t>Feedback on the smoked tobacco and vaping proposals has been considered and incorporated as part of this analysis and reflected in the summary of preferred options.</w:t>
            </w:r>
          </w:p>
          <w:p w14:paraId="32A1256D" w14:textId="7891DC5B" w:rsidR="00376EDA" w:rsidRPr="00934327" w:rsidRDefault="0048234A" w:rsidP="00252D2F">
            <w:pPr>
              <w:tabs>
                <w:tab w:val="left" w:pos="7424"/>
                <w:tab w:val="right" w:pos="8636"/>
              </w:tabs>
              <w:spacing w:after="60"/>
              <w:rPr>
                <w:rFonts w:cs="Arial"/>
                <w:szCs w:val="22"/>
                <w:lang w:val="en-NZ"/>
              </w:rPr>
            </w:pPr>
            <w:r>
              <w:rPr>
                <w:rFonts w:cs="Arial"/>
                <w:szCs w:val="22"/>
                <w:lang w:val="en-NZ"/>
              </w:rPr>
              <w:t>The regulations must be in place by August 2023 for the retail scheme to commence.</w:t>
            </w:r>
          </w:p>
        </w:tc>
      </w:tr>
      <w:tr w:rsidR="007752A9" w:rsidRPr="00A864A5" w14:paraId="42ED5650" w14:textId="77777777" w:rsidTr="592EE904">
        <w:trPr>
          <w:trHeight w:val="300"/>
        </w:trPr>
        <w:tc>
          <w:tcPr>
            <w:tcW w:w="5000" w:type="pct"/>
            <w:gridSpan w:val="2"/>
            <w:tcBorders>
              <w:bottom w:val="single" w:sz="4" w:space="0" w:color="DDDDDD"/>
            </w:tcBorders>
            <w:shd w:val="clear" w:color="auto" w:fill="99CDDD"/>
            <w:hideMark/>
          </w:tcPr>
          <w:p w14:paraId="195A9405" w14:textId="74F1F41C" w:rsidR="00E8143E" w:rsidRPr="00A864A5" w:rsidRDefault="00E8143E" w:rsidP="0006642D">
            <w:pPr>
              <w:pStyle w:val="TableHeadings"/>
              <w:rPr>
                <w:color w:val="002060"/>
                <w:lang w:val="en-NZ"/>
              </w:rPr>
            </w:pPr>
            <w:bookmarkStart w:id="2" w:name="_Hlk57203483"/>
            <w:bookmarkEnd w:id="0"/>
            <w:bookmarkEnd w:id="1"/>
            <w:r w:rsidRPr="6AC677B0">
              <w:rPr>
                <w:lang w:val="en-NZ"/>
              </w:rPr>
              <w:lastRenderedPageBreak/>
              <w:t xml:space="preserve">Limitations </w:t>
            </w:r>
            <w:r w:rsidR="003F775E" w:rsidRPr="6AC677B0">
              <w:rPr>
                <w:lang w:val="en-NZ"/>
              </w:rPr>
              <w:t>and</w:t>
            </w:r>
            <w:r w:rsidRPr="6AC677B0">
              <w:rPr>
                <w:lang w:val="en-NZ"/>
              </w:rPr>
              <w:t xml:space="preserve"> Constraints on Analysis</w:t>
            </w:r>
          </w:p>
        </w:tc>
      </w:tr>
      <w:tr w:rsidR="009737A2" w:rsidRPr="00A864A5" w14:paraId="2E89EDEC" w14:textId="77777777" w:rsidTr="592EE904">
        <w:trPr>
          <w:trHeight w:val="978"/>
        </w:trPr>
        <w:tc>
          <w:tcPr>
            <w:tcW w:w="5000" w:type="pct"/>
            <w:gridSpan w:val="2"/>
            <w:tcBorders>
              <w:top w:val="nil"/>
            </w:tcBorders>
            <w:shd w:val="clear" w:color="auto" w:fill="auto"/>
          </w:tcPr>
          <w:p w14:paraId="30439367" w14:textId="492E79CB" w:rsidR="009F44A2" w:rsidRPr="00252D2F" w:rsidRDefault="13390D12" w:rsidP="004E2B2E">
            <w:pPr>
              <w:spacing w:before="60" w:after="120" w:line="240" w:lineRule="auto"/>
              <w:rPr>
                <w:rFonts w:cs="Arial"/>
                <w:szCs w:val="22"/>
              </w:rPr>
            </w:pPr>
            <w:r w:rsidRPr="00252D2F">
              <w:rPr>
                <w:rFonts w:cs="Arial"/>
                <w:szCs w:val="22"/>
              </w:rPr>
              <w:t xml:space="preserve">The </w:t>
            </w:r>
            <w:r w:rsidR="007A6E11" w:rsidRPr="00252D2F">
              <w:rPr>
                <w:rFonts w:cs="Arial"/>
                <w:szCs w:val="22"/>
              </w:rPr>
              <w:t>Amendment</w:t>
            </w:r>
            <w:r w:rsidRPr="00252D2F">
              <w:rPr>
                <w:rFonts w:cs="Arial"/>
                <w:szCs w:val="22"/>
              </w:rPr>
              <w:t xml:space="preserve"> Act </w:t>
            </w:r>
            <w:r w:rsidR="7872C99B" w:rsidRPr="00252D2F">
              <w:rPr>
                <w:rFonts w:cs="Arial"/>
                <w:szCs w:val="22"/>
              </w:rPr>
              <w:t xml:space="preserve">sets limits for the number of approved smoked tobacco retailers (no more than 600) and the maximum nicotine concentration in smoked tobacco products (0.8mg/g). </w:t>
            </w:r>
          </w:p>
          <w:p w14:paraId="763748B5" w14:textId="1A5C0AE0" w:rsidR="009F44A2" w:rsidRPr="00252D2F" w:rsidRDefault="7872C99B" w:rsidP="00252D2F">
            <w:pPr>
              <w:spacing w:after="120" w:line="240" w:lineRule="auto"/>
              <w:rPr>
                <w:rFonts w:cs="Arial"/>
                <w:szCs w:val="22"/>
              </w:rPr>
            </w:pPr>
            <w:r w:rsidRPr="00252D2F">
              <w:rPr>
                <w:rFonts w:cs="Arial"/>
                <w:szCs w:val="22"/>
              </w:rPr>
              <w:t>Th</w:t>
            </w:r>
            <w:r w:rsidR="6BCE28A8" w:rsidRPr="00252D2F">
              <w:rPr>
                <w:rFonts w:cs="Arial"/>
                <w:szCs w:val="22"/>
              </w:rPr>
              <w:t xml:space="preserve">e </w:t>
            </w:r>
            <w:r w:rsidR="40B3C741" w:rsidRPr="00252D2F">
              <w:rPr>
                <w:rFonts w:cs="Arial"/>
                <w:szCs w:val="22"/>
              </w:rPr>
              <w:t xml:space="preserve">scope of the </w:t>
            </w:r>
            <w:r w:rsidR="6BCE28A8" w:rsidRPr="00252D2F">
              <w:rPr>
                <w:rFonts w:cs="Arial"/>
                <w:szCs w:val="22"/>
              </w:rPr>
              <w:t xml:space="preserve">regulatory </w:t>
            </w:r>
            <w:r w:rsidR="6535300C" w:rsidRPr="00252D2F">
              <w:rPr>
                <w:rFonts w:cs="Arial"/>
                <w:szCs w:val="22"/>
              </w:rPr>
              <w:t xml:space="preserve">proposals </w:t>
            </w:r>
            <w:r w:rsidR="6BCE28A8" w:rsidRPr="00252D2F">
              <w:rPr>
                <w:rFonts w:cs="Arial"/>
                <w:szCs w:val="22"/>
              </w:rPr>
              <w:t xml:space="preserve">outlined in this analysis </w:t>
            </w:r>
            <w:r w:rsidR="509C32A1" w:rsidRPr="00252D2F">
              <w:rPr>
                <w:rFonts w:cs="Arial"/>
                <w:szCs w:val="22"/>
              </w:rPr>
              <w:t>is</w:t>
            </w:r>
            <w:r w:rsidR="51DDF243" w:rsidRPr="00252D2F">
              <w:rPr>
                <w:rFonts w:cs="Arial"/>
                <w:szCs w:val="22"/>
              </w:rPr>
              <w:t xml:space="preserve"> limited to </w:t>
            </w:r>
            <w:r w:rsidR="73A71A88" w:rsidRPr="00252D2F">
              <w:rPr>
                <w:rFonts w:cs="Arial"/>
                <w:szCs w:val="22"/>
              </w:rPr>
              <w:t>what is</w:t>
            </w:r>
            <w:r w:rsidR="51DDF243" w:rsidRPr="00252D2F">
              <w:rPr>
                <w:rFonts w:cs="Arial"/>
                <w:szCs w:val="22"/>
              </w:rPr>
              <w:t xml:space="preserve"> needed to stand up the regulatory regime for smoked tobacco. The vaping proposals are limited by the scope of the regulation-making powers in the </w:t>
            </w:r>
            <w:r w:rsidR="00695ACE" w:rsidRPr="00252D2F">
              <w:rPr>
                <w:rFonts w:cs="Arial"/>
                <w:szCs w:val="22"/>
              </w:rPr>
              <w:t xml:space="preserve">Smokefree </w:t>
            </w:r>
            <w:r w:rsidR="51DDF243" w:rsidRPr="00252D2F">
              <w:rPr>
                <w:rFonts w:cs="Arial"/>
                <w:szCs w:val="22"/>
              </w:rPr>
              <w:t>Act</w:t>
            </w:r>
            <w:r w:rsidR="52622465" w:rsidRPr="00252D2F">
              <w:rPr>
                <w:rFonts w:cs="Arial"/>
                <w:szCs w:val="22"/>
              </w:rPr>
              <w:t>, and previous Cabinet decisions</w:t>
            </w:r>
            <w:r w:rsidR="51DDF243" w:rsidRPr="00252D2F">
              <w:rPr>
                <w:rFonts w:cs="Arial"/>
                <w:szCs w:val="22"/>
              </w:rPr>
              <w:t xml:space="preserve">. </w:t>
            </w:r>
          </w:p>
          <w:p w14:paraId="63D1239B" w14:textId="504421FA" w:rsidR="00B57221" w:rsidRPr="00252D2F" w:rsidRDefault="16E96DD9" w:rsidP="00252D2F">
            <w:pPr>
              <w:spacing w:after="120" w:line="240" w:lineRule="auto"/>
              <w:rPr>
                <w:rFonts w:cs="Arial"/>
                <w:szCs w:val="22"/>
              </w:rPr>
            </w:pPr>
            <w:r w:rsidRPr="00252D2F">
              <w:rPr>
                <w:rFonts w:cs="Arial"/>
                <w:szCs w:val="22"/>
              </w:rPr>
              <w:t xml:space="preserve">The timeframe </w:t>
            </w:r>
            <w:r w:rsidR="2D7A2A76" w:rsidRPr="00252D2F">
              <w:rPr>
                <w:rFonts w:cs="Arial"/>
                <w:szCs w:val="22"/>
              </w:rPr>
              <w:t xml:space="preserve">for the development of the regulations is </w:t>
            </w:r>
            <w:r w:rsidRPr="00252D2F">
              <w:rPr>
                <w:rFonts w:cs="Arial"/>
                <w:szCs w:val="22"/>
              </w:rPr>
              <w:t xml:space="preserve">constrained by the commencement dates in the </w:t>
            </w:r>
            <w:r w:rsidR="01B279F6" w:rsidRPr="00252D2F">
              <w:rPr>
                <w:rFonts w:cs="Arial"/>
                <w:szCs w:val="22"/>
              </w:rPr>
              <w:t xml:space="preserve">Amendment </w:t>
            </w:r>
            <w:r w:rsidRPr="00252D2F">
              <w:rPr>
                <w:rFonts w:cs="Arial"/>
                <w:szCs w:val="22"/>
              </w:rPr>
              <w:t>Act</w:t>
            </w:r>
            <w:r w:rsidR="11070997" w:rsidRPr="00252D2F">
              <w:rPr>
                <w:rFonts w:cs="Arial"/>
                <w:szCs w:val="22"/>
              </w:rPr>
              <w:t xml:space="preserve"> (eg, </w:t>
            </w:r>
            <w:r w:rsidR="07B57B86" w:rsidRPr="00252D2F">
              <w:rPr>
                <w:rFonts w:cs="Arial"/>
                <w:szCs w:val="22"/>
              </w:rPr>
              <w:t>retailers must apply for approval in October 2023</w:t>
            </w:r>
            <w:r w:rsidR="596DD988" w:rsidRPr="00252D2F">
              <w:rPr>
                <w:rFonts w:cs="Arial"/>
                <w:szCs w:val="22"/>
              </w:rPr>
              <w:t>)</w:t>
            </w:r>
            <w:r w:rsidRPr="00252D2F">
              <w:rPr>
                <w:rFonts w:cs="Arial"/>
                <w:szCs w:val="22"/>
              </w:rPr>
              <w:t xml:space="preserve">. </w:t>
            </w:r>
          </w:p>
          <w:p w14:paraId="3DBA48DC" w14:textId="5E9BC55C" w:rsidR="00B57221" w:rsidRPr="00DB3A6C" w:rsidRDefault="3889F60C" w:rsidP="00CA7DD6">
            <w:pPr>
              <w:spacing w:after="60" w:line="240" w:lineRule="auto"/>
              <w:rPr>
                <w:color w:val="000000"/>
                <w:lang w:val="en-NZ"/>
              </w:rPr>
            </w:pPr>
            <w:r w:rsidRPr="00252D2F">
              <w:rPr>
                <w:rFonts w:cs="Arial"/>
                <w:szCs w:val="22"/>
              </w:rPr>
              <w:t>The extent of</w:t>
            </w:r>
            <w:r w:rsidR="16E96DD9" w:rsidRPr="00252D2F">
              <w:rPr>
                <w:rFonts w:cs="Arial"/>
                <w:szCs w:val="22"/>
              </w:rPr>
              <w:t xml:space="preserve"> consultation </w:t>
            </w:r>
            <w:r w:rsidR="37E4533C" w:rsidRPr="00252D2F">
              <w:rPr>
                <w:rFonts w:cs="Arial"/>
                <w:szCs w:val="22"/>
              </w:rPr>
              <w:t xml:space="preserve">with Māori was </w:t>
            </w:r>
            <w:r w:rsidR="16E96DD9" w:rsidRPr="00252D2F">
              <w:rPr>
                <w:rFonts w:cs="Arial"/>
                <w:szCs w:val="22"/>
              </w:rPr>
              <w:t xml:space="preserve">impacted </w:t>
            </w:r>
            <w:r w:rsidR="5B80C24E" w:rsidRPr="00252D2F">
              <w:rPr>
                <w:rFonts w:cs="Arial"/>
                <w:szCs w:val="22"/>
              </w:rPr>
              <w:t>by</w:t>
            </w:r>
            <w:r w:rsidR="16E96DD9" w:rsidRPr="00252D2F">
              <w:rPr>
                <w:rFonts w:cs="Arial"/>
                <w:szCs w:val="22"/>
              </w:rPr>
              <w:t xml:space="preserve"> the </w:t>
            </w:r>
            <w:r w:rsidR="7BF3246D" w:rsidRPr="00252D2F">
              <w:rPr>
                <w:rFonts w:cs="Arial"/>
                <w:szCs w:val="22"/>
              </w:rPr>
              <w:t>N</w:t>
            </w:r>
            <w:r w:rsidR="573DE64A" w:rsidRPr="00252D2F">
              <w:rPr>
                <w:rFonts w:cs="Arial"/>
                <w:szCs w:val="22"/>
              </w:rPr>
              <w:t xml:space="preserve">orth </w:t>
            </w:r>
            <w:r w:rsidR="073C1300" w:rsidRPr="00252D2F">
              <w:rPr>
                <w:rFonts w:cs="Arial"/>
                <w:szCs w:val="22"/>
              </w:rPr>
              <w:t>I</w:t>
            </w:r>
            <w:r w:rsidR="573DE64A" w:rsidRPr="00252D2F">
              <w:rPr>
                <w:rFonts w:cs="Arial"/>
                <w:szCs w:val="22"/>
              </w:rPr>
              <w:t>sland</w:t>
            </w:r>
            <w:r w:rsidR="16E96DD9" w:rsidRPr="00252D2F">
              <w:rPr>
                <w:rFonts w:cs="Arial"/>
                <w:szCs w:val="22"/>
              </w:rPr>
              <w:t xml:space="preserve"> flood events and Cyclone Gabrielle.</w:t>
            </w:r>
            <w:r w:rsidR="5F55B5DE" w:rsidRPr="00252D2F">
              <w:rPr>
                <w:rFonts w:cs="Arial"/>
                <w:szCs w:val="22"/>
              </w:rPr>
              <w:t xml:space="preserve"> In addition, formal engagement with Iwi</w:t>
            </w:r>
            <w:r w:rsidR="008B7786" w:rsidRPr="00252D2F">
              <w:rPr>
                <w:rFonts w:cs="Arial"/>
                <w:szCs w:val="22"/>
              </w:rPr>
              <w:t>-</w:t>
            </w:r>
            <w:r w:rsidR="5F55B5DE" w:rsidRPr="00252D2F">
              <w:rPr>
                <w:rFonts w:cs="Arial"/>
                <w:szCs w:val="22"/>
              </w:rPr>
              <w:t>Māori Part</w:t>
            </w:r>
            <w:r w:rsidR="00B81ED4" w:rsidRPr="00252D2F">
              <w:rPr>
                <w:rFonts w:cs="Arial"/>
                <w:szCs w:val="22"/>
              </w:rPr>
              <w:t>n</w:t>
            </w:r>
            <w:r w:rsidR="5F55B5DE" w:rsidRPr="00252D2F">
              <w:rPr>
                <w:rFonts w:cs="Arial"/>
                <w:szCs w:val="22"/>
              </w:rPr>
              <w:t xml:space="preserve">ership Boards has not been possible to date </w:t>
            </w:r>
            <w:r w:rsidR="1C7AC652" w:rsidRPr="00252D2F">
              <w:rPr>
                <w:rFonts w:cs="Arial"/>
                <w:szCs w:val="22"/>
              </w:rPr>
              <w:t>as</w:t>
            </w:r>
            <w:r w:rsidR="5F55B5DE" w:rsidRPr="00252D2F">
              <w:rPr>
                <w:rFonts w:cs="Arial"/>
                <w:szCs w:val="22"/>
              </w:rPr>
              <w:t xml:space="preserve"> the </w:t>
            </w:r>
            <w:r w:rsidR="1C7AC652" w:rsidRPr="00252D2F">
              <w:rPr>
                <w:rFonts w:cs="Arial"/>
                <w:szCs w:val="22"/>
              </w:rPr>
              <w:t>Boards are in</w:t>
            </w:r>
            <w:r w:rsidR="5F55B5DE" w:rsidRPr="00252D2F">
              <w:rPr>
                <w:rFonts w:cs="Arial"/>
                <w:szCs w:val="22"/>
              </w:rPr>
              <w:t xml:space="preserve"> early </w:t>
            </w:r>
            <w:r w:rsidR="77E48F33" w:rsidRPr="00252D2F">
              <w:rPr>
                <w:rFonts w:cs="Arial"/>
                <w:szCs w:val="22"/>
              </w:rPr>
              <w:t>stages of</w:t>
            </w:r>
            <w:r w:rsidR="4363F1F4" w:rsidRPr="00252D2F">
              <w:rPr>
                <w:rFonts w:cs="Arial"/>
                <w:szCs w:val="22"/>
              </w:rPr>
              <w:t xml:space="preserve"> </w:t>
            </w:r>
            <w:r w:rsidR="5F55B5DE" w:rsidRPr="00252D2F">
              <w:rPr>
                <w:rFonts w:cs="Arial"/>
                <w:szCs w:val="22"/>
              </w:rPr>
              <w:t>establishment</w:t>
            </w:r>
            <w:r w:rsidR="574E0C89" w:rsidRPr="1B3F6EEA">
              <w:rPr>
                <w:color w:val="000000" w:themeColor="text1"/>
                <w:lang w:val="en-NZ"/>
              </w:rPr>
              <w:t>.</w:t>
            </w:r>
            <w:r w:rsidR="5F55B5DE" w:rsidRPr="19AFD816">
              <w:rPr>
                <w:color w:val="000000" w:themeColor="text1"/>
                <w:lang w:val="en-NZ"/>
              </w:rPr>
              <w:t xml:space="preserve"> </w:t>
            </w:r>
          </w:p>
        </w:tc>
      </w:tr>
      <w:tr w:rsidR="007752A9" w:rsidRPr="00A864A5" w14:paraId="0EA0047F" w14:textId="77777777" w:rsidTr="592EE904">
        <w:trPr>
          <w:trHeight w:val="300"/>
        </w:trPr>
        <w:tc>
          <w:tcPr>
            <w:tcW w:w="5000" w:type="pct"/>
            <w:gridSpan w:val="2"/>
            <w:tcBorders>
              <w:bottom w:val="single" w:sz="4" w:space="0" w:color="DDDDDD"/>
            </w:tcBorders>
            <w:shd w:val="clear" w:color="auto" w:fill="99CDDD"/>
            <w:hideMark/>
          </w:tcPr>
          <w:p w14:paraId="7A579FF2" w14:textId="77777777" w:rsidR="00413FD8" w:rsidRPr="00A864A5" w:rsidRDefault="00413FD8" w:rsidP="0006642D">
            <w:pPr>
              <w:pStyle w:val="TableHeadings"/>
              <w:rPr>
                <w:color w:val="002060"/>
                <w:szCs w:val="22"/>
                <w:lang w:val="en-NZ"/>
              </w:rPr>
            </w:pPr>
            <w:bookmarkStart w:id="3" w:name="_Hlk47608084"/>
            <w:bookmarkEnd w:id="2"/>
            <w:r w:rsidRPr="00A864A5">
              <w:rPr>
                <w:szCs w:val="22"/>
                <w:lang w:val="en-NZ"/>
              </w:rPr>
              <w:t>Responsible Manager(s) (completed by relevant manager)</w:t>
            </w:r>
          </w:p>
        </w:tc>
      </w:tr>
      <w:tr w:rsidR="009737A2" w:rsidRPr="00A864A5" w14:paraId="091E60B6" w14:textId="77777777" w:rsidTr="592EE904">
        <w:trPr>
          <w:trHeight w:val="1761"/>
        </w:trPr>
        <w:tc>
          <w:tcPr>
            <w:tcW w:w="5000" w:type="pct"/>
            <w:gridSpan w:val="2"/>
            <w:tcBorders>
              <w:top w:val="nil"/>
            </w:tcBorders>
            <w:shd w:val="clear" w:color="auto" w:fill="auto"/>
          </w:tcPr>
          <w:p w14:paraId="7397FB65" w14:textId="7621A338" w:rsidR="003A4A73" w:rsidRDefault="003B5953" w:rsidP="001436BB">
            <w:pPr>
              <w:spacing w:before="60" w:after="0" w:line="276" w:lineRule="auto"/>
              <w:jc w:val="both"/>
              <w:rPr>
                <w:rFonts w:cs="Arial"/>
                <w:szCs w:val="22"/>
                <w:lang w:val="en-NZ"/>
              </w:rPr>
            </w:pPr>
            <w:r>
              <w:rPr>
                <w:noProof/>
              </w:rPr>
              <w:drawing>
                <wp:inline distT="0" distB="0" distL="0" distR="0" wp14:anchorId="20033505" wp14:editId="4E5A37F5">
                  <wp:extent cx="12954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a:ln>
                            <a:noFill/>
                          </a:ln>
                        </pic:spPr>
                      </pic:pic>
                    </a:graphicData>
                  </a:graphic>
                </wp:inline>
              </w:drawing>
            </w:r>
          </w:p>
          <w:p w14:paraId="2BD94019" w14:textId="37E1FC47" w:rsidR="00413FD8" w:rsidRPr="00F60E7E" w:rsidRDefault="001436BB" w:rsidP="001436BB">
            <w:pPr>
              <w:spacing w:before="60" w:after="0" w:line="276" w:lineRule="auto"/>
              <w:jc w:val="both"/>
              <w:rPr>
                <w:rFonts w:cs="Arial"/>
                <w:szCs w:val="22"/>
                <w:lang w:val="en-NZ"/>
              </w:rPr>
            </w:pPr>
            <w:r>
              <w:rPr>
                <w:rFonts w:cs="Arial"/>
                <w:szCs w:val="22"/>
                <w:lang w:val="en-NZ"/>
              </w:rPr>
              <w:t>Jane Chambers</w:t>
            </w:r>
          </w:p>
          <w:p w14:paraId="7F6C617F" w14:textId="5BE7F919" w:rsidR="00F60E7E" w:rsidRPr="001436BB" w:rsidRDefault="001436BB" w:rsidP="00F60E7E">
            <w:pPr>
              <w:spacing w:before="60" w:after="0" w:line="276" w:lineRule="auto"/>
              <w:ind w:left="284" w:hanging="284"/>
              <w:jc w:val="both"/>
              <w:rPr>
                <w:rFonts w:cs="Arial"/>
                <w:b/>
                <w:bCs/>
                <w:szCs w:val="22"/>
                <w:lang w:val="en-NZ"/>
              </w:rPr>
            </w:pPr>
            <w:r w:rsidRPr="001436BB">
              <w:rPr>
                <w:rFonts w:cs="Arial"/>
                <w:b/>
                <w:bCs/>
                <w:szCs w:val="22"/>
                <w:lang w:val="en-NZ"/>
              </w:rPr>
              <w:t>Group Manager</w:t>
            </w:r>
          </w:p>
          <w:p w14:paraId="5EA2144D" w14:textId="6C727E83" w:rsidR="00F60E7E" w:rsidRPr="001436BB" w:rsidRDefault="00F60E7E" w:rsidP="00F60E7E">
            <w:pPr>
              <w:spacing w:before="60" w:after="0" w:line="276" w:lineRule="auto"/>
              <w:ind w:left="284" w:hanging="284"/>
              <w:jc w:val="both"/>
              <w:rPr>
                <w:rFonts w:cs="Arial"/>
                <w:b/>
                <w:bCs/>
                <w:szCs w:val="22"/>
                <w:lang w:val="en-NZ"/>
              </w:rPr>
            </w:pPr>
            <w:r w:rsidRPr="001436BB">
              <w:rPr>
                <w:rFonts w:cs="Arial"/>
                <w:b/>
                <w:bCs/>
                <w:szCs w:val="22"/>
                <w:lang w:val="en-NZ"/>
              </w:rPr>
              <w:t>Public Health Policy and Regulation</w:t>
            </w:r>
          </w:p>
          <w:p w14:paraId="77AF286C" w14:textId="76FF9AE5" w:rsidR="00F60E7E" w:rsidRPr="003A4A73" w:rsidRDefault="00F60E7E" w:rsidP="003A4A73">
            <w:pPr>
              <w:spacing w:before="60" w:after="0" w:line="276" w:lineRule="auto"/>
              <w:ind w:left="284" w:hanging="284"/>
              <w:jc w:val="both"/>
              <w:rPr>
                <w:rFonts w:cs="Arial"/>
                <w:b/>
                <w:bCs/>
                <w:szCs w:val="22"/>
                <w:lang w:val="en-NZ"/>
              </w:rPr>
            </w:pPr>
            <w:r w:rsidRPr="001436BB">
              <w:rPr>
                <w:rFonts w:cs="Arial"/>
                <w:b/>
                <w:bCs/>
                <w:szCs w:val="22"/>
                <w:lang w:val="en-NZ"/>
              </w:rPr>
              <w:t>Manatū Hauora</w:t>
            </w:r>
          </w:p>
          <w:p w14:paraId="1DE1D0B4" w14:textId="77777777" w:rsidR="001436BB" w:rsidRPr="0035523D" w:rsidRDefault="001436BB" w:rsidP="00F60E7E">
            <w:pPr>
              <w:spacing w:before="60" w:after="0" w:line="276" w:lineRule="auto"/>
              <w:jc w:val="both"/>
              <w:rPr>
                <w:rFonts w:cs="Arial"/>
                <w:szCs w:val="22"/>
                <w:lang w:val="en-NZ"/>
              </w:rPr>
            </w:pPr>
          </w:p>
          <w:p w14:paraId="609D179D" w14:textId="162279A4" w:rsidR="00413FD8" w:rsidRPr="004029CA" w:rsidRDefault="007D221C" w:rsidP="00560FED">
            <w:pPr>
              <w:spacing w:after="0"/>
              <w:rPr>
                <w:rFonts w:cs="Arial"/>
                <w:szCs w:val="22"/>
                <w:lang w:val="en-NZ"/>
              </w:rPr>
            </w:pPr>
            <w:r>
              <w:rPr>
                <w:rFonts w:cs="Arial"/>
                <w:szCs w:val="22"/>
                <w:lang w:val="en-NZ"/>
              </w:rPr>
              <w:t>9</w:t>
            </w:r>
            <w:r>
              <w:rPr>
                <w:szCs w:val="22"/>
                <w:lang w:val="en-NZ"/>
              </w:rPr>
              <w:t xml:space="preserve"> May</w:t>
            </w:r>
            <w:r w:rsidR="0061371C">
              <w:rPr>
                <w:rFonts w:cs="Arial"/>
                <w:szCs w:val="22"/>
                <w:lang w:val="en-NZ"/>
              </w:rPr>
              <w:t xml:space="preserve"> 2023</w:t>
            </w:r>
          </w:p>
          <w:p w14:paraId="65FBD4C4" w14:textId="6AD0A028" w:rsidR="007A20DD" w:rsidRPr="00A864A5" w:rsidRDefault="007A20DD" w:rsidP="00560FED">
            <w:pPr>
              <w:spacing w:after="0"/>
              <w:rPr>
                <w:rFonts w:cs="Arial"/>
                <w:iCs/>
                <w:color w:val="000000"/>
                <w:sz w:val="14"/>
                <w:szCs w:val="14"/>
                <w:lang w:val="en-NZ"/>
              </w:rPr>
            </w:pPr>
          </w:p>
        </w:tc>
      </w:tr>
      <w:tr w:rsidR="007752A9" w:rsidRPr="00A864A5" w14:paraId="5FCD62D5" w14:textId="77777777" w:rsidTr="592EE904">
        <w:trPr>
          <w:trHeight w:val="300"/>
        </w:trPr>
        <w:tc>
          <w:tcPr>
            <w:tcW w:w="5000" w:type="pct"/>
            <w:gridSpan w:val="2"/>
            <w:tcBorders>
              <w:bottom w:val="single" w:sz="4" w:space="0" w:color="DDDDDD"/>
            </w:tcBorders>
            <w:shd w:val="clear" w:color="auto" w:fill="99CDDD"/>
            <w:hideMark/>
          </w:tcPr>
          <w:p w14:paraId="55C0C834" w14:textId="0B23483F" w:rsidR="00EB2157" w:rsidRPr="00A864A5" w:rsidRDefault="00EB2157" w:rsidP="0006642D">
            <w:pPr>
              <w:pStyle w:val="TableHeadings"/>
              <w:rPr>
                <w:color w:val="002060"/>
                <w:szCs w:val="22"/>
                <w:lang w:val="en-NZ"/>
              </w:rPr>
            </w:pPr>
            <w:r w:rsidRPr="00A864A5">
              <w:rPr>
                <w:szCs w:val="22"/>
                <w:lang w:val="en-NZ"/>
              </w:rPr>
              <w:t xml:space="preserve">Quality </w:t>
            </w:r>
            <w:r w:rsidR="009F6501" w:rsidRPr="00A864A5">
              <w:rPr>
                <w:szCs w:val="22"/>
                <w:lang w:val="en-NZ"/>
              </w:rPr>
              <w:t>A</w:t>
            </w:r>
            <w:r w:rsidRPr="00A864A5">
              <w:rPr>
                <w:szCs w:val="22"/>
                <w:lang w:val="en-NZ"/>
              </w:rPr>
              <w:t xml:space="preserve">ssurance </w:t>
            </w:r>
            <w:r w:rsidR="00076368" w:rsidRPr="00A864A5">
              <w:rPr>
                <w:szCs w:val="22"/>
                <w:lang w:val="en-NZ"/>
              </w:rPr>
              <w:t>(completed by QA panel)</w:t>
            </w:r>
          </w:p>
        </w:tc>
      </w:tr>
      <w:tr w:rsidR="007752A9" w:rsidRPr="00A864A5" w14:paraId="6F7BACA2" w14:textId="77777777" w:rsidTr="592EE904">
        <w:trPr>
          <w:trHeight w:val="141"/>
        </w:trPr>
        <w:tc>
          <w:tcPr>
            <w:tcW w:w="1328" w:type="pct"/>
            <w:tcBorders>
              <w:top w:val="nil"/>
            </w:tcBorders>
            <w:shd w:val="clear" w:color="auto" w:fill="EBF5F8"/>
          </w:tcPr>
          <w:p w14:paraId="22AF1207" w14:textId="7EA6C592" w:rsidR="00EB2157" w:rsidRPr="00A864A5" w:rsidRDefault="00EB2157" w:rsidP="0006642D">
            <w:pPr>
              <w:rPr>
                <w:rFonts w:cs="Arial"/>
                <w:iCs/>
                <w:color w:val="000000"/>
                <w:szCs w:val="22"/>
                <w:lang w:val="en-NZ"/>
              </w:rPr>
            </w:pPr>
            <w:r w:rsidRPr="00A864A5">
              <w:rPr>
                <w:rFonts w:cs="Arial"/>
                <w:iCs/>
                <w:color w:val="000000"/>
                <w:szCs w:val="22"/>
                <w:lang w:val="en-NZ"/>
              </w:rPr>
              <w:t xml:space="preserve">Reviewing </w:t>
            </w:r>
            <w:r w:rsidR="00575FF9" w:rsidRPr="00A864A5">
              <w:rPr>
                <w:rFonts w:cs="Arial"/>
                <w:iCs/>
                <w:color w:val="000000"/>
                <w:szCs w:val="22"/>
                <w:lang w:val="en-NZ"/>
              </w:rPr>
              <w:t>A</w:t>
            </w:r>
            <w:r w:rsidRPr="00A864A5">
              <w:rPr>
                <w:rFonts w:cs="Arial"/>
                <w:iCs/>
                <w:color w:val="000000"/>
                <w:szCs w:val="22"/>
                <w:lang w:val="en-NZ"/>
              </w:rPr>
              <w:t>gency:</w:t>
            </w:r>
          </w:p>
        </w:tc>
        <w:tc>
          <w:tcPr>
            <w:tcW w:w="3672" w:type="pct"/>
            <w:tcBorders>
              <w:top w:val="nil"/>
            </w:tcBorders>
            <w:shd w:val="clear" w:color="auto" w:fill="auto"/>
          </w:tcPr>
          <w:p w14:paraId="402BE84D" w14:textId="4662AA78" w:rsidR="00EB2157" w:rsidRPr="00A864A5" w:rsidRDefault="00F15FF3" w:rsidP="0006642D">
            <w:pPr>
              <w:rPr>
                <w:rFonts w:cs="Arial"/>
                <w:iCs/>
                <w:color w:val="000000"/>
                <w:szCs w:val="22"/>
                <w:lang w:val="en-NZ"/>
              </w:rPr>
            </w:pPr>
            <w:r>
              <w:rPr>
                <w:rFonts w:cs="Arial"/>
                <w:iCs/>
                <w:color w:val="000000"/>
                <w:szCs w:val="22"/>
                <w:lang w:val="en-NZ"/>
              </w:rPr>
              <w:t>Manatū Hauora</w:t>
            </w:r>
          </w:p>
        </w:tc>
      </w:tr>
      <w:tr w:rsidR="007752A9" w:rsidRPr="00A864A5" w14:paraId="228C68D7" w14:textId="77777777" w:rsidTr="592EE904">
        <w:trPr>
          <w:trHeight w:val="1639"/>
        </w:trPr>
        <w:tc>
          <w:tcPr>
            <w:tcW w:w="1328" w:type="pct"/>
            <w:tcBorders>
              <w:top w:val="nil"/>
            </w:tcBorders>
            <w:shd w:val="clear" w:color="auto" w:fill="EBF5F8"/>
          </w:tcPr>
          <w:p w14:paraId="4DF0990E" w14:textId="00252464" w:rsidR="00EB2157" w:rsidRPr="00A864A5" w:rsidRDefault="00F321A6" w:rsidP="0006642D">
            <w:pPr>
              <w:rPr>
                <w:rFonts w:cs="Arial"/>
                <w:iCs/>
                <w:color w:val="000000"/>
                <w:szCs w:val="22"/>
                <w:lang w:val="en-NZ"/>
              </w:rPr>
            </w:pPr>
            <w:r w:rsidRPr="00A864A5">
              <w:rPr>
                <w:rFonts w:cs="Arial"/>
                <w:iCs/>
                <w:color w:val="000000"/>
                <w:szCs w:val="22"/>
                <w:lang w:val="en-NZ"/>
              </w:rPr>
              <w:t xml:space="preserve">Panel </w:t>
            </w:r>
            <w:r w:rsidR="00EB2157" w:rsidRPr="00A864A5">
              <w:rPr>
                <w:rFonts w:cs="Arial"/>
                <w:iCs/>
                <w:color w:val="000000"/>
                <w:szCs w:val="22"/>
                <w:lang w:val="en-NZ"/>
              </w:rPr>
              <w:t>Assessment</w:t>
            </w:r>
            <w:r w:rsidRPr="00A864A5">
              <w:rPr>
                <w:rFonts w:cs="Arial"/>
                <w:iCs/>
                <w:color w:val="000000"/>
                <w:szCs w:val="22"/>
                <w:lang w:val="en-NZ"/>
              </w:rPr>
              <w:t xml:space="preserve"> &amp; </w:t>
            </w:r>
            <w:r w:rsidR="0085441F" w:rsidRPr="00A864A5">
              <w:rPr>
                <w:rFonts w:cs="Arial"/>
                <w:iCs/>
                <w:color w:val="000000"/>
                <w:szCs w:val="22"/>
                <w:lang w:val="en-NZ"/>
              </w:rPr>
              <w:t>Comment</w:t>
            </w:r>
            <w:r w:rsidR="00EB2157" w:rsidRPr="00A864A5">
              <w:rPr>
                <w:rFonts w:cs="Arial"/>
                <w:iCs/>
                <w:color w:val="000000"/>
                <w:szCs w:val="22"/>
                <w:lang w:val="en-NZ"/>
              </w:rPr>
              <w:t>:</w:t>
            </w:r>
          </w:p>
        </w:tc>
        <w:tc>
          <w:tcPr>
            <w:tcW w:w="3672" w:type="pct"/>
            <w:tcBorders>
              <w:top w:val="nil"/>
            </w:tcBorders>
            <w:shd w:val="clear" w:color="auto" w:fill="auto"/>
          </w:tcPr>
          <w:p w14:paraId="28FD900F" w14:textId="1FA4BB53" w:rsidR="00EB2157" w:rsidRPr="004E2B2E" w:rsidRDefault="005B778F" w:rsidP="004E2B2E">
            <w:pPr>
              <w:spacing w:after="60" w:line="240" w:lineRule="auto"/>
              <w:ind w:left="33"/>
              <w:rPr>
                <w:rFonts w:cs="Arial"/>
              </w:rPr>
            </w:pPr>
            <w:r w:rsidRPr="00027460">
              <w:rPr>
                <w:rFonts w:cs="Arial"/>
              </w:rPr>
              <w:t xml:space="preserve">The Ministry of Health’s Papers and Regulatory Committee has reviewed the attached Regulatory Impact Statement and considers it meets the quality assurance criteria. It concisely addresses the range of regulatory options, is clear and complete, has been consulted widely, and the limitations of the analysis are clearly set out. </w:t>
            </w:r>
          </w:p>
        </w:tc>
      </w:tr>
    </w:tbl>
    <w:p w14:paraId="61219930" w14:textId="77777777" w:rsidR="000767FA" w:rsidRDefault="000767FA" w:rsidP="00CD4B62">
      <w:pPr>
        <w:pStyle w:val="Heading2"/>
        <w:rPr>
          <w:lang w:val="en-NZ"/>
        </w:rPr>
      </w:pPr>
      <w:bookmarkStart w:id="4" w:name="_Toc363047038"/>
      <w:bookmarkStart w:id="5" w:name="_Toc362940530"/>
      <w:bookmarkStart w:id="6" w:name="_Toc362618966"/>
      <w:bookmarkStart w:id="7" w:name="_Toc362434720"/>
      <w:bookmarkStart w:id="8" w:name="_Toc362368098"/>
      <w:bookmarkEnd w:id="3"/>
    </w:p>
    <w:p w14:paraId="252C2063" w14:textId="77777777" w:rsidR="000767FA" w:rsidRDefault="000767FA">
      <w:pPr>
        <w:spacing w:after="0" w:line="240" w:lineRule="auto"/>
        <w:rPr>
          <w:rFonts w:ascii="Arial Bold" w:hAnsi="Arial Bold"/>
          <w:b/>
          <w:color w:val="0082AB"/>
          <w:spacing w:val="20"/>
          <w:w w:val="90"/>
          <w:sz w:val="32"/>
          <w:szCs w:val="24"/>
          <w:lang w:val="en-NZ"/>
        </w:rPr>
      </w:pPr>
      <w:r>
        <w:rPr>
          <w:lang w:val="en-NZ"/>
        </w:rPr>
        <w:br w:type="page"/>
      </w:r>
    </w:p>
    <w:p w14:paraId="52980E42" w14:textId="767EA834" w:rsidR="0018599C" w:rsidRPr="00F24015" w:rsidRDefault="00380E92" w:rsidP="00F06F04">
      <w:pPr>
        <w:pStyle w:val="Heading1"/>
        <w:spacing w:before="0" w:after="120" w:line="276" w:lineRule="auto"/>
        <w:rPr>
          <w:rFonts w:cs="Arial"/>
          <w:color w:val="0082AB"/>
          <w:lang w:val="en-NZ"/>
        </w:rPr>
      </w:pPr>
      <w:r w:rsidRPr="001665FA">
        <w:rPr>
          <w:rFonts w:cs="Arial"/>
          <w:color w:val="0082AB"/>
          <w:lang w:val="en-NZ"/>
        </w:rPr>
        <w:t xml:space="preserve">Stage 2: </w:t>
      </w:r>
      <w:r w:rsidR="0018599C" w:rsidRPr="001665FA">
        <w:rPr>
          <w:rFonts w:cs="Arial"/>
          <w:color w:val="0082AB"/>
          <w:lang w:val="en-NZ"/>
        </w:rPr>
        <w:t>Cost Recovery Impact Statement</w:t>
      </w:r>
    </w:p>
    <w:p w14:paraId="5EA91C71" w14:textId="77777777" w:rsidR="0018599C" w:rsidRPr="00F24015" w:rsidRDefault="0018599C" w:rsidP="009F2A2A">
      <w:pPr>
        <w:pStyle w:val="Heading3"/>
        <w:spacing w:after="120"/>
        <w:rPr>
          <w:rFonts w:ascii="Arial" w:hAnsi="Arial" w:cs="Arial"/>
          <w:lang w:val="en-NZ"/>
        </w:rPr>
      </w:pPr>
      <w:r w:rsidRPr="00F24015">
        <w:rPr>
          <w:rFonts w:ascii="Arial" w:hAnsi="Arial" w:cs="Arial"/>
          <w:lang w:val="en-NZ"/>
        </w:rPr>
        <w:t>Status quo</w:t>
      </w:r>
    </w:p>
    <w:p w14:paraId="7369F5BB" w14:textId="2626D223" w:rsidR="00E53D67" w:rsidRPr="00F24015" w:rsidRDefault="0018599C" w:rsidP="009F2A2A">
      <w:pPr>
        <w:spacing w:after="120" w:line="240" w:lineRule="auto"/>
        <w:rPr>
          <w:rFonts w:cs="Arial"/>
        </w:rPr>
      </w:pPr>
      <w:r w:rsidRPr="00F24015">
        <w:rPr>
          <w:rFonts w:cs="Arial"/>
        </w:rPr>
        <w:t xml:space="preserve">Cabinet has agreed </w:t>
      </w:r>
      <w:r w:rsidR="3785AE54" w:rsidRPr="19AFD816">
        <w:rPr>
          <w:rFonts w:cs="Arial"/>
        </w:rPr>
        <w:t>that</w:t>
      </w:r>
      <w:r w:rsidRPr="00F24015">
        <w:rPr>
          <w:rFonts w:cs="Arial"/>
        </w:rPr>
        <w:t xml:space="preserve"> the costs of running the regulatory regime </w:t>
      </w:r>
      <w:r w:rsidR="23242F65" w:rsidRPr="19AFD816">
        <w:rPr>
          <w:rFonts w:cs="Arial"/>
        </w:rPr>
        <w:t>will</w:t>
      </w:r>
      <w:r w:rsidRPr="00F24015">
        <w:rPr>
          <w:rFonts w:cs="Arial"/>
        </w:rPr>
        <w:t xml:space="preserve"> be cost-recovered through fees and/or levies</w:t>
      </w:r>
      <w:r w:rsidRPr="00F24015">
        <w:rPr>
          <w:rFonts w:cs="Arial"/>
          <w:lang w:eastAsia="en-AU"/>
        </w:rPr>
        <w:t xml:space="preserve"> </w:t>
      </w:r>
      <w:r w:rsidRPr="00F24015">
        <w:rPr>
          <w:rFonts w:cs="Arial"/>
        </w:rPr>
        <w:t>[CAB-21-MIN-0503 refers].</w:t>
      </w:r>
      <w:r w:rsidR="00A237DF" w:rsidRPr="00F24015">
        <w:rPr>
          <w:rFonts w:cs="Arial"/>
        </w:rPr>
        <w:t xml:space="preserve"> </w:t>
      </w:r>
      <w:r w:rsidR="415E6261" w:rsidRPr="19AFD816">
        <w:rPr>
          <w:rFonts w:cs="Arial"/>
        </w:rPr>
        <w:t>Costs have been determined</w:t>
      </w:r>
      <w:r w:rsidR="00E71EDD" w:rsidRPr="00F24015">
        <w:rPr>
          <w:rFonts w:cs="Arial"/>
        </w:rPr>
        <w:t xml:space="preserve"> to the extent practi</w:t>
      </w:r>
      <w:r w:rsidR="00F14BCE" w:rsidRPr="00F24015">
        <w:rPr>
          <w:rFonts w:cs="Arial"/>
        </w:rPr>
        <w:t>cable</w:t>
      </w:r>
      <w:r w:rsidR="004B5A21">
        <w:rPr>
          <w:rFonts w:cs="Arial"/>
        </w:rPr>
        <w:t xml:space="preserve"> </w:t>
      </w:r>
      <w:r w:rsidR="004B5A21" w:rsidRPr="00F24015">
        <w:rPr>
          <w:rFonts w:cs="Arial"/>
        </w:rPr>
        <w:t>given the uncertainty around some aspects of the scheme (for example the number of applicants)</w:t>
      </w:r>
      <w:r w:rsidR="004E59BF" w:rsidRPr="00F24015">
        <w:rPr>
          <w:rFonts w:cs="Arial"/>
        </w:rPr>
        <w:t>.</w:t>
      </w:r>
      <w:r w:rsidR="00A954E8" w:rsidRPr="00F24015">
        <w:rPr>
          <w:rFonts w:cs="Arial"/>
        </w:rPr>
        <w:t xml:space="preserve"> </w:t>
      </w:r>
      <w:r w:rsidR="0536A0D9" w:rsidRPr="00F24015">
        <w:rPr>
          <w:rFonts w:cs="Arial"/>
        </w:rPr>
        <w:t>F</w:t>
      </w:r>
      <w:r w:rsidR="5C20A22E" w:rsidRPr="00F24015">
        <w:rPr>
          <w:rFonts w:cs="Arial"/>
        </w:rPr>
        <w:t>u</w:t>
      </w:r>
      <w:r w:rsidR="11DD34F0" w:rsidRPr="00F24015">
        <w:rPr>
          <w:rFonts w:cs="Arial"/>
        </w:rPr>
        <w:t>nding</w:t>
      </w:r>
      <w:r w:rsidR="00A954E8" w:rsidRPr="00F24015">
        <w:rPr>
          <w:rFonts w:cs="Arial"/>
        </w:rPr>
        <w:t xml:space="preserve"> </w:t>
      </w:r>
      <w:r w:rsidR="00E53D67" w:rsidRPr="00F24015">
        <w:rPr>
          <w:rFonts w:cs="Arial"/>
        </w:rPr>
        <w:t>was also provided through Budget 22, and this will contribute to the overall cost model.</w:t>
      </w:r>
    </w:p>
    <w:p w14:paraId="75CF6AB3" w14:textId="00910282" w:rsidR="0018599C" w:rsidRPr="00F24015" w:rsidRDefault="0018599C" w:rsidP="009F2A2A">
      <w:pPr>
        <w:spacing w:after="120" w:line="240" w:lineRule="auto"/>
        <w:rPr>
          <w:rFonts w:cs="Arial"/>
        </w:rPr>
      </w:pPr>
      <w:r w:rsidRPr="00F24015">
        <w:rPr>
          <w:rFonts w:cs="Arial"/>
          <w:lang w:eastAsia="en-AU"/>
        </w:rPr>
        <w:t>The Act allows for fees and/or levies to be set in regulations. The Ministry proposes fees for:</w:t>
      </w:r>
    </w:p>
    <w:p w14:paraId="313D3A68" w14:textId="3DD96B46" w:rsidR="0018599C" w:rsidRPr="005315CD" w:rsidRDefault="00346A66" w:rsidP="00131678">
      <w:pPr>
        <w:pStyle w:val="ReportBody-MOH"/>
        <w:numPr>
          <w:ilvl w:val="0"/>
          <w:numId w:val="9"/>
        </w:numPr>
        <w:ind w:left="426" w:hanging="426"/>
        <w:rPr>
          <w:rFonts w:ascii="Arial" w:hAnsi="Arial"/>
          <w:kern w:val="0"/>
          <w:lang w:eastAsia="en-GB"/>
        </w:rPr>
      </w:pPr>
      <w:r w:rsidRPr="005315CD">
        <w:rPr>
          <w:rFonts w:ascii="Arial" w:hAnsi="Arial"/>
          <w:kern w:val="0"/>
          <w:lang w:eastAsia="en-GB"/>
        </w:rPr>
        <w:t>a</w:t>
      </w:r>
      <w:r w:rsidR="0018599C" w:rsidRPr="005315CD">
        <w:rPr>
          <w:rFonts w:ascii="Arial" w:hAnsi="Arial"/>
          <w:kern w:val="0"/>
          <w:lang w:eastAsia="en-GB"/>
        </w:rPr>
        <w:t>ssessment and approval of applications to be a smoked tobacco retailer</w:t>
      </w:r>
    </w:p>
    <w:p w14:paraId="14F6787B" w14:textId="52244741" w:rsidR="0018599C" w:rsidRPr="005315CD" w:rsidRDefault="00346A66" w:rsidP="00131678">
      <w:pPr>
        <w:pStyle w:val="ReportBody-MOH"/>
        <w:numPr>
          <w:ilvl w:val="0"/>
          <w:numId w:val="9"/>
        </w:numPr>
        <w:ind w:left="426" w:hanging="426"/>
        <w:rPr>
          <w:rFonts w:ascii="Arial" w:hAnsi="Arial"/>
          <w:kern w:val="0"/>
          <w:lang w:eastAsia="en-GB"/>
        </w:rPr>
      </w:pPr>
      <w:r w:rsidRPr="005315CD">
        <w:rPr>
          <w:rFonts w:ascii="Arial" w:hAnsi="Arial"/>
          <w:kern w:val="0"/>
          <w:lang w:eastAsia="en-GB"/>
        </w:rPr>
        <w:t>a</w:t>
      </w:r>
      <w:r w:rsidR="0018599C" w:rsidRPr="005315CD">
        <w:rPr>
          <w:rFonts w:ascii="Arial" w:hAnsi="Arial"/>
          <w:kern w:val="0"/>
          <w:lang w:eastAsia="en-GB"/>
        </w:rPr>
        <w:t xml:space="preserve">ssessment and approval of smoked tobacco product applications </w:t>
      </w:r>
    </w:p>
    <w:p w14:paraId="4E78D236" w14:textId="0F0AF224" w:rsidR="0018599C" w:rsidRPr="005315CD" w:rsidRDefault="00346A66" w:rsidP="00131678">
      <w:pPr>
        <w:pStyle w:val="ReportBody-MOH"/>
        <w:numPr>
          <w:ilvl w:val="0"/>
          <w:numId w:val="9"/>
        </w:numPr>
        <w:ind w:left="426" w:hanging="426"/>
        <w:rPr>
          <w:rFonts w:ascii="Arial" w:hAnsi="Arial"/>
          <w:kern w:val="0"/>
          <w:lang w:eastAsia="en-GB"/>
        </w:rPr>
      </w:pPr>
      <w:r w:rsidRPr="005315CD">
        <w:rPr>
          <w:rFonts w:ascii="Arial" w:hAnsi="Arial"/>
          <w:kern w:val="0"/>
          <w:lang w:eastAsia="en-GB"/>
        </w:rPr>
        <w:t>a</w:t>
      </w:r>
      <w:r w:rsidR="0018599C" w:rsidRPr="005315CD">
        <w:rPr>
          <w:rFonts w:ascii="Arial" w:hAnsi="Arial"/>
          <w:kern w:val="0"/>
          <w:lang w:eastAsia="en-GB"/>
        </w:rPr>
        <w:t>ssessment and temporary approval of smoked tobacco product applications</w:t>
      </w:r>
    </w:p>
    <w:p w14:paraId="0C253F0E" w14:textId="4822580F" w:rsidR="0018599C" w:rsidRPr="005315CD" w:rsidRDefault="00346A66" w:rsidP="00131678">
      <w:pPr>
        <w:pStyle w:val="ReportBody-MOH"/>
        <w:numPr>
          <w:ilvl w:val="0"/>
          <w:numId w:val="9"/>
        </w:numPr>
        <w:ind w:left="426" w:hanging="426"/>
        <w:rPr>
          <w:rFonts w:ascii="Arial" w:hAnsi="Arial"/>
          <w:kern w:val="0"/>
          <w:lang w:eastAsia="en-GB"/>
        </w:rPr>
      </w:pPr>
      <w:r w:rsidRPr="005315CD">
        <w:rPr>
          <w:rFonts w:ascii="Arial" w:hAnsi="Arial"/>
          <w:kern w:val="0"/>
          <w:lang w:eastAsia="en-GB"/>
        </w:rPr>
        <w:t>r</w:t>
      </w:r>
      <w:r w:rsidR="0018599C" w:rsidRPr="005315CD">
        <w:rPr>
          <w:rFonts w:ascii="Arial" w:hAnsi="Arial"/>
          <w:kern w:val="0"/>
          <w:lang w:eastAsia="en-GB"/>
        </w:rPr>
        <w:t>egistration fees for smoked tobacco distributors and general retail</w:t>
      </w:r>
      <w:r w:rsidR="26E3D763" w:rsidRPr="005315CD">
        <w:rPr>
          <w:rFonts w:ascii="Arial" w:hAnsi="Arial"/>
          <w:kern w:val="0"/>
          <w:lang w:eastAsia="en-GB"/>
        </w:rPr>
        <w:t>er</w:t>
      </w:r>
      <w:r w:rsidR="0018599C" w:rsidRPr="005315CD">
        <w:rPr>
          <w:rFonts w:ascii="Arial" w:hAnsi="Arial"/>
          <w:kern w:val="0"/>
          <w:lang w:eastAsia="en-GB"/>
        </w:rPr>
        <w:t>s of notifiable products (including vap</w:t>
      </w:r>
      <w:r w:rsidR="4ABC8552" w:rsidRPr="005315CD">
        <w:rPr>
          <w:rFonts w:ascii="Arial" w:hAnsi="Arial"/>
          <w:kern w:val="0"/>
          <w:lang w:eastAsia="en-GB"/>
        </w:rPr>
        <w:t>ing products</w:t>
      </w:r>
      <w:r w:rsidR="0018599C" w:rsidRPr="005315CD">
        <w:rPr>
          <w:rFonts w:ascii="Arial" w:hAnsi="Arial"/>
          <w:kern w:val="0"/>
          <w:lang w:eastAsia="en-GB"/>
        </w:rPr>
        <w:t>).</w:t>
      </w:r>
    </w:p>
    <w:p w14:paraId="0BF0C2F9" w14:textId="024F509E" w:rsidR="0018599C" w:rsidRPr="00F24015" w:rsidRDefault="0018599C" w:rsidP="7FA3A79C">
      <w:pPr>
        <w:spacing w:after="120" w:line="240" w:lineRule="auto"/>
        <w:rPr>
          <w:rFonts w:cs="Arial"/>
          <w:lang w:eastAsia="en-AU"/>
        </w:rPr>
      </w:pPr>
      <w:r w:rsidRPr="794B25FD">
        <w:rPr>
          <w:rFonts w:cs="Arial"/>
          <w:lang w:eastAsia="en-AU"/>
        </w:rPr>
        <w:t xml:space="preserve">Regulations setting fees must be made by </w:t>
      </w:r>
      <w:r w:rsidR="582BAC30" w:rsidRPr="056D9EDF">
        <w:rPr>
          <w:rFonts w:cs="Arial"/>
          <w:lang w:eastAsia="en-AU"/>
        </w:rPr>
        <w:t xml:space="preserve">August 2023 when </w:t>
      </w:r>
      <w:r w:rsidR="6E26C26E" w:rsidRPr="794B25FD">
        <w:rPr>
          <w:rFonts w:cs="Arial"/>
          <w:lang w:eastAsia="en-AU"/>
        </w:rPr>
        <w:t xml:space="preserve">the </w:t>
      </w:r>
      <w:r w:rsidR="00A829CD">
        <w:rPr>
          <w:rFonts w:cs="Arial"/>
          <w:lang w:eastAsia="en-AU"/>
        </w:rPr>
        <w:t>smoked tobacco</w:t>
      </w:r>
      <w:r w:rsidR="6E26C26E" w:rsidRPr="794B25FD">
        <w:rPr>
          <w:rFonts w:cs="Arial"/>
          <w:lang w:eastAsia="en-AU"/>
        </w:rPr>
        <w:t xml:space="preserve"> retail scheme commences.</w:t>
      </w:r>
    </w:p>
    <w:p w14:paraId="2E74777E" w14:textId="3A50263E" w:rsidR="0018599C" w:rsidRPr="00F24015" w:rsidRDefault="0018599C" w:rsidP="009F2A2A">
      <w:pPr>
        <w:pStyle w:val="Heading3"/>
        <w:spacing w:after="120"/>
        <w:rPr>
          <w:rFonts w:ascii="Arial" w:hAnsi="Arial" w:cs="Arial"/>
          <w:lang w:val="en-NZ"/>
        </w:rPr>
      </w:pPr>
      <w:r w:rsidRPr="00F24015">
        <w:rPr>
          <w:rFonts w:ascii="Arial" w:hAnsi="Arial" w:cs="Arial"/>
          <w:lang w:val="en-NZ"/>
        </w:rPr>
        <w:t>Policy Rationale: Why a user charge</w:t>
      </w:r>
      <w:r w:rsidR="31AA56CD" w:rsidRPr="056D9EDF">
        <w:rPr>
          <w:rFonts w:ascii="Arial" w:hAnsi="Arial" w:cs="Arial"/>
          <w:lang w:val="en-NZ"/>
        </w:rPr>
        <w:t xml:space="preserve"> a</w:t>
      </w:r>
      <w:r w:rsidRPr="056D9EDF">
        <w:rPr>
          <w:rFonts w:ascii="Arial" w:hAnsi="Arial" w:cs="Arial"/>
          <w:lang w:val="en-NZ"/>
        </w:rPr>
        <w:t>nd</w:t>
      </w:r>
      <w:r w:rsidRPr="00F24015">
        <w:rPr>
          <w:rFonts w:ascii="Arial" w:hAnsi="Arial" w:cs="Arial"/>
          <w:lang w:val="en-NZ"/>
        </w:rPr>
        <w:t xml:space="preserve"> what type is most appropriate?</w:t>
      </w:r>
    </w:p>
    <w:p w14:paraId="4518D69E" w14:textId="17983957" w:rsidR="0018599C" w:rsidRPr="00F24015" w:rsidRDefault="0018599C" w:rsidP="0018599C">
      <w:pPr>
        <w:spacing w:after="120" w:line="240" w:lineRule="auto"/>
        <w:rPr>
          <w:rFonts w:cs="Arial"/>
          <w:lang w:eastAsia="en-AU"/>
        </w:rPr>
      </w:pPr>
      <w:r w:rsidRPr="00F24015">
        <w:rPr>
          <w:rFonts w:cs="Arial"/>
          <w:lang w:eastAsia="en-AU"/>
        </w:rPr>
        <w:t xml:space="preserve">It is appropriate for the industry to meet the costs of establishing and managing the regulatory regime (including assessment and registration) as the scheme enables them to continue </w:t>
      </w:r>
      <w:r w:rsidR="5473008B" w:rsidRPr="007D16B3">
        <w:rPr>
          <w:rFonts w:cs="Arial"/>
          <w:lang w:eastAsia="en-AU"/>
        </w:rPr>
        <w:t>import</w:t>
      </w:r>
      <w:r w:rsidR="6B665AFA" w:rsidRPr="007D16B3">
        <w:rPr>
          <w:rFonts w:cs="Arial"/>
          <w:lang w:eastAsia="en-AU"/>
        </w:rPr>
        <w:t>ing</w:t>
      </w:r>
      <w:r w:rsidR="5473008B" w:rsidRPr="007D16B3">
        <w:rPr>
          <w:rFonts w:cs="Arial"/>
          <w:lang w:eastAsia="en-AU"/>
        </w:rPr>
        <w:t>, manufactur</w:t>
      </w:r>
      <w:r w:rsidR="40EAEFB1" w:rsidRPr="007D16B3">
        <w:rPr>
          <w:rFonts w:cs="Arial"/>
          <w:lang w:eastAsia="en-AU"/>
        </w:rPr>
        <w:t>ing</w:t>
      </w:r>
      <w:r w:rsidR="5473008B" w:rsidRPr="007D16B3">
        <w:rPr>
          <w:rFonts w:cs="Arial"/>
          <w:lang w:eastAsia="en-AU"/>
        </w:rPr>
        <w:t xml:space="preserve">, </w:t>
      </w:r>
      <w:proofErr w:type="gramStart"/>
      <w:r w:rsidR="5473008B" w:rsidRPr="007D16B3">
        <w:rPr>
          <w:rFonts w:cs="Arial"/>
          <w:lang w:eastAsia="en-AU"/>
        </w:rPr>
        <w:t>distribut</w:t>
      </w:r>
      <w:r w:rsidR="284F5A87" w:rsidRPr="007D16B3">
        <w:rPr>
          <w:rFonts w:cs="Arial"/>
          <w:lang w:eastAsia="en-AU"/>
        </w:rPr>
        <w:t>ing</w:t>
      </w:r>
      <w:proofErr w:type="gramEnd"/>
      <w:r w:rsidRPr="00F24015">
        <w:rPr>
          <w:rFonts w:cs="Arial"/>
          <w:lang w:eastAsia="en-AU"/>
        </w:rPr>
        <w:t xml:space="preserve"> and </w:t>
      </w:r>
      <w:r w:rsidR="5473008B" w:rsidRPr="1B3F6EEA">
        <w:rPr>
          <w:rFonts w:cs="Arial"/>
          <w:lang w:eastAsia="en-AU"/>
        </w:rPr>
        <w:t>sell</w:t>
      </w:r>
      <w:r w:rsidR="174836FF" w:rsidRPr="1B3F6EEA">
        <w:rPr>
          <w:rFonts w:cs="Arial"/>
          <w:lang w:eastAsia="en-AU"/>
        </w:rPr>
        <w:t>ing</w:t>
      </w:r>
      <w:r w:rsidRPr="00F24015">
        <w:rPr>
          <w:rFonts w:cs="Arial"/>
          <w:lang w:eastAsia="en-AU"/>
        </w:rPr>
        <w:t xml:space="preserve"> products. </w:t>
      </w:r>
      <w:r w:rsidRPr="007D16B3">
        <w:rPr>
          <w:rFonts w:cs="Arial"/>
          <w:lang w:eastAsia="en-AU"/>
        </w:rPr>
        <w:t xml:space="preserve"> </w:t>
      </w:r>
    </w:p>
    <w:p w14:paraId="64EE4DED" w14:textId="77777777" w:rsidR="0018599C" w:rsidRPr="00F24015" w:rsidRDefault="0018599C" w:rsidP="009F2A2A">
      <w:pPr>
        <w:spacing w:after="120" w:line="240" w:lineRule="auto"/>
        <w:rPr>
          <w:rFonts w:cs="Arial"/>
          <w:lang w:eastAsia="en-AU"/>
        </w:rPr>
      </w:pPr>
      <w:r w:rsidRPr="00F24015">
        <w:rPr>
          <w:rFonts w:cs="Arial"/>
          <w:lang w:eastAsia="en-AU"/>
        </w:rPr>
        <w:t>The following table provides the Ministry’s assessment of the outputs for the new regulatory scheme:</w:t>
      </w:r>
    </w:p>
    <w:p w14:paraId="17421C3C" w14:textId="1F85ADC9" w:rsidR="36C91029" w:rsidRDefault="36C91029" w:rsidP="00A40C91">
      <w:pPr>
        <w:spacing w:after="60" w:line="240" w:lineRule="auto"/>
        <w:rPr>
          <w:rFonts w:cs="Arial"/>
          <w:b/>
          <w:bCs/>
          <w:sz w:val="20"/>
          <w:lang w:eastAsia="en-AU"/>
        </w:rPr>
      </w:pPr>
      <w:r w:rsidRPr="1B502AF9">
        <w:rPr>
          <w:rFonts w:cs="Arial"/>
          <w:b/>
          <w:bCs/>
          <w:sz w:val="20"/>
          <w:lang w:eastAsia="en-AU"/>
        </w:rPr>
        <w:t xml:space="preserve">Table </w:t>
      </w:r>
      <w:r w:rsidR="008B7786">
        <w:rPr>
          <w:rFonts w:cs="Arial"/>
          <w:b/>
          <w:bCs/>
          <w:sz w:val="20"/>
          <w:lang w:eastAsia="en-AU"/>
        </w:rPr>
        <w:t>1</w:t>
      </w:r>
      <w:r w:rsidRPr="1B502AF9">
        <w:rPr>
          <w:rFonts w:cs="Arial"/>
          <w:b/>
          <w:bCs/>
          <w:sz w:val="20"/>
          <w:lang w:eastAsia="en-AU"/>
        </w:rPr>
        <w:t>:</w:t>
      </w: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122"/>
        <w:gridCol w:w="4824"/>
        <w:gridCol w:w="2070"/>
      </w:tblGrid>
      <w:tr w:rsidR="0018599C" w:rsidRPr="00F24015" w14:paraId="23972BA0" w14:textId="77777777" w:rsidTr="794B25FD">
        <w:tc>
          <w:tcPr>
            <w:tcW w:w="2122" w:type="dxa"/>
          </w:tcPr>
          <w:p w14:paraId="4F71EE16" w14:textId="77777777" w:rsidR="0018599C" w:rsidRPr="00F24015" w:rsidRDefault="0018599C" w:rsidP="0025453F">
            <w:pPr>
              <w:spacing w:before="60" w:after="60" w:line="240" w:lineRule="auto"/>
              <w:jc w:val="left"/>
              <w:rPr>
                <w:rFonts w:cs="Arial"/>
                <w:b/>
                <w:sz w:val="16"/>
                <w:szCs w:val="16"/>
                <w:lang w:eastAsia="en-AU"/>
              </w:rPr>
            </w:pPr>
            <w:bookmarkStart w:id="9" w:name="_Hlk51843797"/>
            <w:r w:rsidRPr="00F24015">
              <w:rPr>
                <w:rFonts w:cs="Arial"/>
                <w:b/>
                <w:sz w:val="16"/>
                <w:szCs w:val="16"/>
                <w:lang w:eastAsia="en-AU"/>
              </w:rPr>
              <w:t>Output</w:t>
            </w:r>
          </w:p>
        </w:tc>
        <w:tc>
          <w:tcPr>
            <w:tcW w:w="4824" w:type="dxa"/>
          </w:tcPr>
          <w:p w14:paraId="60C79550" w14:textId="77777777" w:rsidR="0018599C" w:rsidRPr="00F24015" w:rsidRDefault="0018599C" w:rsidP="0025453F">
            <w:pPr>
              <w:spacing w:before="60" w:after="60" w:line="240" w:lineRule="auto"/>
              <w:jc w:val="left"/>
              <w:rPr>
                <w:rFonts w:cs="Arial"/>
                <w:b/>
                <w:sz w:val="16"/>
                <w:szCs w:val="16"/>
                <w:lang w:eastAsia="en-AU"/>
              </w:rPr>
            </w:pPr>
            <w:r w:rsidRPr="00F24015">
              <w:rPr>
                <w:rFonts w:cs="Arial"/>
                <w:b/>
                <w:sz w:val="16"/>
                <w:szCs w:val="16"/>
                <w:lang w:eastAsia="en-AU"/>
              </w:rPr>
              <w:t>Type of good</w:t>
            </w:r>
          </w:p>
        </w:tc>
        <w:tc>
          <w:tcPr>
            <w:tcW w:w="2070" w:type="dxa"/>
          </w:tcPr>
          <w:p w14:paraId="63B7F74D" w14:textId="77777777" w:rsidR="0018599C" w:rsidRPr="00F24015" w:rsidRDefault="0018599C" w:rsidP="0025453F">
            <w:pPr>
              <w:spacing w:before="60" w:after="60" w:line="240" w:lineRule="auto"/>
              <w:jc w:val="left"/>
              <w:rPr>
                <w:rFonts w:cs="Arial"/>
                <w:b/>
                <w:sz w:val="16"/>
                <w:szCs w:val="16"/>
                <w:lang w:eastAsia="en-AU"/>
              </w:rPr>
            </w:pPr>
            <w:r w:rsidRPr="00F24015">
              <w:rPr>
                <w:rFonts w:cs="Arial"/>
                <w:b/>
                <w:sz w:val="16"/>
                <w:szCs w:val="16"/>
                <w:lang w:eastAsia="en-AU"/>
              </w:rPr>
              <w:t>Recommendation</w:t>
            </w:r>
          </w:p>
        </w:tc>
      </w:tr>
      <w:tr w:rsidR="0018599C" w:rsidRPr="00F24015" w14:paraId="2B8A029C" w14:textId="77777777" w:rsidTr="794B25FD">
        <w:trPr>
          <w:trHeight w:val="420"/>
        </w:trPr>
        <w:tc>
          <w:tcPr>
            <w:tcW w:w="2122" w:type="dxa"/>
          </w:tcPr>
          <w:p w14:paraId="79716D1E" w14:textId="77777777" w:rsidR="0018599C" w:rsidRPr="00F24015" w:rsidRDefault="0018599C" w:rsidP="0025453F">
            <w:pPr>
              <w:spacing w:before="60" w:after="60" w:line="240" w:lineRule="auto"/>
              <w:jc w:val="left"/>
              <w:rPr>
                <w:rFonts w:cs="Arial"/>
                <w:sz w:val="16"/>
                <w:szCs w:val="16"/>
                <w:lang w:eastAsia="en-AU"/>
              </w:rPr>
            </w:pPr>
            <w:r w:rsidRPr="00F24015">
              <w:rPr>
                <w:rFonts w:cs="Arial"/>
                <w:sz w:val="16"/>
                <w:szCs w:val="16"/>
                <w:lang w:eastAsia="en-AU"/>
              </w:rPr>
              <w:t>Policy advice</w:t>
            </w:r>
          </w:p>
        </w:tc>
        <w:tc>
          <w:tcPr>
            <w:tcW w:w="4824" w:type="dxa"/>
          </w:tcPr>
          <w:p w14:paraId="0F74097E" w14:textId="77777777" w:rsidR="0018599C" w:rsidRPr="00F24015" w:rsidRDefault="0018599C" w:rsidP="0025453F">
            <w:pPr>
              <w:spacing w:before="60" w:after="60" w:line="240" w:lineRule="auto"/>
              <w:jc w:val="left"/>
              <w:rPr>
                <w:rFonts w:cs="Arial"/>
                <w:sz w:val="16"/>
                <w:szCs w:val="16"/>
                <w:lang w:eastAsia="en-AU"/>
              </w:rPr>
            </w:pPr>
            <w:r w:rsidRPr="00F24015">
              <w:rPr>
                <w:rFonts w:cs="Arial"/>
                <w:sz w:val="16"/>
                <w:szCs w:val="16"/>
                <w:lang w:eastAsia="en-AU"/>
              </w:rPr>
              <w:t>Public – to maintain independence of advice to the Minister</w:t>
            </w:r>
          </w:p>
        </w:tc>
        <w:tc>
          <w:tcPr>
            <w:tcW w:w="2070" w:type="dxa"/>
          </w:tcPr>
          <w:p w14:paraId="719CE855" w14:textId="77777777" w:rsidR="0018599C" w:rsidRPr="00F24015" w:rsidRDefault="0018599C" w:rsidP="0025453F">
            <w:pPr>
              <w:spacing w:before="60" w:after="60" w:line="240" w:lineRule="auto"/>
              <w:jc w:val="left"/>
              <w:rPr>
                <w:rFonts w:cs="Arial"/>
                <w:sz w:val="16"/>
                <w:szCs w:val="16"/>
                <w:lang w:eastAsia="en-AU"/>
              </w:rPr>
            </w:pPr>
            <w:r w:rsidRPr="00F24015">
              <w:rPr>
                <w:rFonts w:cs="Arial"/>
                <w:sz w:val="16"/>
                <w:szCs w:val="16"/>
                <w:lang w:eastAsia="en-AU"/>
              </w:rPr>
              <w:t>Crown pays</w:t>
            </w:r>
          </w:p>
        </w:tc>
      </w:tr>
      <w:tr w:rsidR="0018599C" w:rsidRPr="00F24015" w14:paraId="050AC513" w14:textId="77777777" w:rsidTr="794B25FD">
        <w:trPr>
          <w:trHeight w:val="597"/>
        </w:trPr>
        <w:tc>
          <w:tcPr>
            <w:tcW w:w="2122" w:type="dxa"/>
          </w:tcPr>
          <w:p w14:paraId="6892ECB7" w14:textId="77777777" w:rsidR="0018599C" w:rsidRPr="00F24015" w:rsidRDefault="0018599C" w:rsidP="0025453F">
            <w:pPr>
              <w:spacing w:before="60" w:after="60" w:line="240" w:lineRule="auto"/>
              <w:jc w:val="left"/>
              <w:rPr>
                <w:rFonts w:cs="Arial"/>
                <w:sz w:val="16"/>
                <w:szCs w:val="16"/>
                <w:lang w:eastAsia="en-AU"/>
              </w:rPr>
            </w:pPr>
            <w:r w:rsidRPr="00F24015">
              <w:rPr>
                <w:rFonts w:cs="Arial"/>
                <w:sz w:val="16"/>
                <w:szCs w:val="16"/>
                <w:lang w:eastAsia="en-AU"/>
              </w:rPr>
              <w:t>Assessment and approval of smoked tobacco retailers</w:t>
            </w:r>
          </w:p>
        </w:tc>
        <w:tc>
          <w:tcPr>
            <w:tcW w:w="4824" w:type="dxa"/>
          </w:tcPr>
          <w:p w14:paraId="679024B6" w14:textId="77777777" w:rsidR="0018599C" w:rsidRPr="00F24015" w:rsidRDefault="0018599C" w:rsidP="0043191E">
            <w:pPr>
              <w:spacing w:before="60" w:after="60" w:line="240" w:lineRule="auto"/>
              <w:jc w:val="left"/>
              <w:rPr>
                <w:rFonts w:cs="Arial"/>
                <w:sz w:val="16"/>
                <w:szCs w:val="16"/>
                <w:lang w:eastAsia="en-AU"/>
              </w:rPr>
            </w:pPr>
            <w:r w:rsidRPr="794B25FD">
              <w:rPr>
                <w:rFonts w:cs="Arial"/>
                <w:sz w:val="16"/>
                <w:szCs w:val="16"/>
                <w:lang w:eastAsia="en-AU"/>
              </w:rPr>
              <w:t>Private – the benefits can be directly attributed to those wanting to sell smoked tobacco products</w:t>
            </w:r>
          </w:p>
        </w:tc>
        <w:tc>
          <w:tcPr>
            <w:tcW w:w="2070" w:type="dxa"/>
          </w:tcPr>
          <w:p w14:paraId="1FDD3A1A" w14:textId="45DC711B" w:rsidR="0018599C" w:rsidRPr="00F24015" w:rsidRDefault="00307A6D" w:rsidP="0025453F">
            <w:pPr>
              <w:spacing w:before="60" w:after="60" w:line="240" w:lineRule="auto"/>
              <w:jc w:val="left"/>
              <w:rPr>
                <w:rFonts w:cs="Arial"/>
                <w:sz w:val="16"/>
                <w:szCs w:val="16"/>
                <w:lang w:eastAsia="en-AU"/>
              </w:rPr>
            </w:pPr>
            <w:r>
              <w:rPr>
                <w:rFonts w:cs="Arial"/>
                <w:sz w:val="16"/>
                <w:szCs w:val="16"/>
                <w:lang w:eastAsia="en-AU"/>
              </w:rPr>
              <w:t>Applicant pays</w:t>
            </w:r>
          </w:p>
        </w:tc>
      </w:tr>
      <w:tr w:rsidR="0018599C" w:rsidRPr="00F24015" w14:paraId="05946927" w14:textId="77777777" w:rsidTr="794B25FD">
        <w:trPr>
          <w:trHeight w:val="605"/>
        </w:trPr>
        <w:tc>
          <w:tcPr>
            <w:tcW w:w="2122" w:type="dxa"/>
          </w:tcPr>
          <w:p w14:paraId="09372446" w14:textId="77777777" w:rsidR="0018599C" w:rsidRPr="00F24015" w:rsidRDefault="0018599C" w:rsidP="0025453F">
            <w:pPr>
              <w:spacing w:before="60" w:after="60" w:line="240" w:lineRule="auto"/>
              <w:jc w:val="left"/>
              <w:rPr>
                <w:rFonts w:cs="Arial"/>
                <w:sz w:val="16"/>
                <w:szCs w:val="16"/>
                <w:lang w:eastAsia="en-AU"/>
              </w:rPr>
            </w:pPr>
            <w:r w:rsidRPr="00F24015">
              <w:rPr>
                <w:rFonts w:cs="Arial"/>
                <w:sz w:val="16"/>
                <w:szCs w:val="16"/>
                <w:lang w:eastAsia="en-AU"/>
              </w:rPr>
              <w:t>Assessment and approval of smoked tobacco products</w:t>
            </w:r>
          </w:p>
        </w:tc>
        <w:tc>
          <w:tcPr>
            <w:tcW w:w="4824" w:type="dxa"/>
          </w:tcPr>
          <w:p w14:paraId="23775804" w14:textId="77777777" w:rsidR="0018599C" w:rsidRPr="00F24015" w:rsidRDefault="0018599C" w:rsidP="0043191E">
            <w:pPr>
              <w:spacing w:before="60" w:after="60" w:line="240" w:lineRule="auto"/>
              <w:jc w:val="left"/>
              <w:rPr>
                <w:rFonts w:cs="Arial"/>
                <w:sz w:val="16"/>
                <w:szCs w:val="16"/>
                <w:lang w:eastAsia="en-AU"/>
              </w:rPr>
            </w:pPr>
            <w:r w:rsidRPr="00F24015">
              <w:rPr>
                <w:rFonts w:cs="Arial"/>
                <w:sz w:val="16"/>
                <w:szCs w:val="16"/>
                <w:lang w:eastAsia="en-AU"/>
              </w:rPr>
              <w:t>Private – the benefits can be directly attributed to those wanting to import and/or manufacture smoked tobacco products</w:t>
            </w:r>
          </w:p>
        </w:tc>
        <w:tc>
          <w:tcPr>
            <w:tcW w:w="2070" w:type="dxa"/>
          </w:tcPr>
          <w:p w14:paraId="347848FA" w14:textId="77777777" w:rsidR="0018599C" w:rsidRPr="00F24015" w:rsidRDefault="0018599C" w:rsidP="0025453F">
            <w:pPr>
              <w:spacing w:before="60" w:after="60" w:line="240" w:lineRule="auto"/>
              <w:jc w:val="left"/>
              <w:rPr>
                <w:rFonts w:cs="Arial"/>
                <w:sz w:val="16"/>
                <w:szCs w:val="16"/>
                <w:lang w:eastAsia="en-AU"/>
              </w:rPr>
            </w:pPr>
            <w:r w:rsidRPr="00F24015">
              <w:rPr>
                <w:rFonts w:cs="Arial"/>
                <w:sz w:val="16"/>
                <w:szCs w:val="16"/>
                <w:lang w:eastAsia="en-AU"/>
              </w:rPr>
              <w:t>Industry pays</w:t>
            </w:r>
          </w:p>
        </w:tc>
      </w:tr>
      <w:tr w:rsidR="0018599C" w:rsidRPr="00F24015" w14:paraId="50A8AA5D" w14:textId="77777777" w:rsidTr="794B25FD">
        <w:trPr>
          <w:trHeight w:val="605"/>
        </w:trPr>
        <w:tc>
          <w:tcPr>
            <w:tcW w:w="2122" w:type="dxa"/>
          </w:tcPr>
          <w:p w14:paraId="2992B7D7" w14:textId="77777777" w:rsidR="0018599C" w:rsidRPr="00F24015" w:rsidRDefault="0018599C" w:rsidP="0025453F">
            <w:pPr>
              <w:spacing w:before="60" w:after="60" w:line="240" w:lineRule="auto"/>
              <w:jc w:val="left"/>
              <w:rPr>
                <w:rFonts w:cs="Arial"/>
                <w:sz w:val="16"/>
                <w:szCs w:val="16"/>
                <w:lang w:eastAsia="en-AU"/>
              </w:rPr>
            </w:pPr>
            <w:r w:rsidRPr="00F24015">
              <w:rPr>
                <w:rFonts w:cs="Arial"/>
                <w:sz w:val="16"/>
                <w:szCs w:val="16"/>
                <w:lang w:eastAsia="en-AU"/>
              </w:rPr>
              <w:t>Assessment and temporary approval of smoked tobacco products</w:t>
            </w:r>
          </w:p>
        </w:tc>
        <w:tc>
          <w:tcPr>
            <w:tcW w:w="4824" w:type="dxa"/>
          </w:tcPr>
          <w:p w14:paraId="7CA36F32" w14:textId="77777777" w:rsidR="0018599C" w:rsidRPr="00F24015" w:rsidRDefault="0018599C" w:rsidP="0043191E">
            <w:pPr>
              <w:spacing w:before="60" w:after="60" w:line="240" w:lineRule="auto"/>
              <w:jc w:val="left"/>
              <w:rPr>
                <w:rFonts w:cs="Arial"/>
                <w:sz w:val="16"/>
                <w:szCs w:val="16"/>
                <w:lang w:eastAsia="en-AU"/>
              </w:rPr>
            </w:pPr>
            <w:r w:rsidRPr="00F24015">
              <w:rPr>
                <w:rFonts w:cs="Arial"/>
                <w:sz w:val="16"/>
                <w:szCs w:val="16"/>
                <w:lang w:eastAsia="en-AU"/>
              </w:rPr>
              <w:t>Private – the benefits can be directly attributed to those wanting to import and/or manufacture smoked tobacco products</w:t>
            </w:r>
          </w:p>
        </w:tc>
        <w:tc>
          <w:tcPr>
            <w:tcW w:w="2070" w:type="dxa"/>
          </w:tcPr>
          <w:p w14:paraId="24EDC4EE" w14:textId="77777777" w:rsidR="0018599C" w:rsidRPr="00F24015" w:rsidRDefault="0018599C" w:rsidP="0025453F">
            <w:pPr>
              <w:spacing w:before="60" w:after="60" w:line="240" w:lineRule="auto"/>
              <w:rPr>
                <w:rFonts w:cs="Arial"/>
                <w:sz w:val="16"/>
                <w:szCs w:val="16"/>
                <w:lang w:eastAsia="en-AU"/>
              </w:rPr>
            </w:pPr>
            <w:r w:rsidRPr="00F24015">
              <w:rPr>
                <w:rFonts w:cs="Arial"/>
                <w:sz w:val="16"/>
                <w:szCs w:val="16"/>
                <w:lang w:eastAsia="en-AU"/>
              </w:rPr>
              <w:t>Industry pays</w:t>
            </w:r>
          </w:p>
        </w:tc>
      </w:tr>
      <w:tr w:rsidR="0018599C" w:rsidRPr="00F24015" w14:paraId="738025CC" w14:textId="77777777" w:rsidTr="794B25FD">
        <w:trPr>
          <w:trHeight w:val="541"/>
        </w:trPr>
        <w:tc>
          <w:tcPr>
            <w:tcW w:w="2122" w:type="dxa"/>
          </w:tcPr>
          <w:p w14:paraId="719C8BB2" w14:textId="77777777" w:rsidR="0018599C" w:rsidRPr="00F24015" w:rsidRDefault="0018599C" w:rsidP="0025453F">
            <w:pPr>
              <w:spacing w:before="60" w:after="60" w:line="240" w:lineRule="auto"/>
              <w:jc w:val="left"/>
              <w:rPr>
                <w:rFonts w:cs="Arial"/>
                <w:sz w:val="16"/>
                <w:szCs w:val="16"/>
                <w:lang w:eastAsia="en-AU"/>
              </w:rPr>
            </w:pPr>
            <w:r w:rsidRPr="00F24015">
              <w:rPr>
                <w:rFonts w:cs="Arial"/>
                <w:sz w:val="16"/>
                <w:szCs w:val="16"/>
                <w:lang w:eastAsia="en-AU"/>
              </w:rPr>
              <w:t>Registration of smoked tobacco distributors and general retailers of notifiable products (including vapes)</w:t>
            </w:r>
          </w:p>
        </w:tc>
        <w:tc>
          <w:tcPr>
            <w:tcW w:w="4824" w:type="dxa"/>
          </w:tcPr>
          <w:p w14:paraId="1DA82AAC" w14:textId="77777777" w:rsidR="0018599C" w:rsidRPr="00F24015" w:rsidRDefault="0018599C" w:rsidP="0043191E">
            <w:pPr>
              <w:spacing w:before="60" w:after="60" w:line="240" w:lineRule="auto"/>
              <w:jc w:val="left"/>
              <w:rPr>
                <w:rFonts w:cs="Arial"/>
                <w:sz w:val="16"/>
                <w:szCs w:val="16"/>
                <w:lang w:eastAsia="en-AU"/>
              </w:rPr>
            </w:pPr>
            <w:r w:rsidRPr="00F24015">
              <w:rPr>
                <w:rFonts w:cs="Arial"/>
                <w:sz w:val="16"/>
                <w:szCs w:val="16"/>
                <w:lang w:eastAsia="en-AU"/>
              </w:rPr>
              <w:t>Private – the benefits can be directly attributed to those wanting to sell and distribute smoked tobacco products, and those wanting to sell notifiable products (including vapes)</w:t>
            </w:r>
          </w:p>
        </w:tc>
        <w:tc>
          <w:tcPr>
            <w:tcW w:w="2070" w:type="dxa"/>
          </w:tcPr>
          <w:p w14:paraId="5779B777" w14:textId="77777777" w:rsidR="0018599C" w:rsidRPr="00F24015" w:rsidRDefault="0018599C" w:rsidP="0025453F">
            <w:pPr>
              <w:spacing w:before="60" w:after="60" w:line="240" w:lineRule="auto"/>
              <w:jc w:val="left"/>
              <w:rPr>
                <w:rFonts w:cs="Arial"/>
                <w:sz w:val="16"/>
                <w:szCs w:val="16"/>
                <w:lang w:eastAsia="en-AU"/>
              </w:rPr>
            </w:pPr>
            <w:r w:rsidRPr="00F24015">
              <w:rPr>
                <w:rFonts w:cs="Arial"/>
                <w:sz w:val="16"/>
                <w:szCs w:val="16"/>
                <w:lang w:eastAsia="en-AU"/>
              </w:rPr>
              <w:t>Industry pays</w:t>
            </w:r>
          </w:p>
        </w:tc>
      </w:tr>
    </w:tbl>
    <w:bookmarkEnd w:id="9"/>
    <w:p w14:paraId="6655F98A" w14:textId="3742A66C" w:rsidR="00E57339" w:rsidRPr="00F24015" w:rsidRDefault="49A8F230" w:rsidP="00E75692">
      <w:pPr>
        <w:spacing w:before="60" w:line="240" w:lineRule="auto"/>
        <w:rPr>
          <w:rFonts w:cs="Arial"/>
          <w:i/>
          <w:iCs/>
          <w:sz w:val="16"/>
          <w:szCs w:val="16"/>
          <w:lang w:eastAsia="en-AU"/>
        </w:rPr>
      </w:pPr>
      <w:r w:rsidRPr="056D9EDF">
        <w:rPr>
          <w:rFonts w:cs="Arial"/>
          <w:i/>
          <w:iCs/>
          <w:sz w:val="16"/>
          <w:szCs w:val="16"/>
          <w:lang w:eastAsia="en-AU"/>
        </w:rPr>
        <w:t xml:space="preserve">NB: </w:t>
      </w:r>
      <w:r w:rsidR="0018599C" w:rsidRPr="056D9EDF">
        <w:rPr>
          <w:rFonts w:cs="Arial"/>
          <w:i/>
          <w:iCs/>
          <w:sz w:val="16"/>
          <w:szCs w:val="16"/>
          <w:lang w:eastAsia="en-AU"/>
        </w:rPr>
        <w:t>In this table, industry refers to retailers, manufacturers and/or importers of smoked tobacco and notifiable product</w:t>
      </w:r>
    </w:p>
    <w:p w14:paraId="6C9A5B40" w14:textId="6A28DF3F" w:rsidR="0018599C" w:rsidRPr="00F24015" w:rsidRDefault="0018599C" w:rsidP="009F2A2A">
      <w:pPr>
        <w:pStyle w:val="Heading3"/>
        <w:spacing w:after="120"/>
        <w:rPr>
          <w:rFonts w:ascii="Arial" w:hAnsi="Arial" w:cs="Arial"/>
          <w:lang w:val="en-NZ"/>
        </w:rPr>
      </w:pPr>
      <w:r w:rsidRPr="00F24015">
        <w:rPr>
          <w:rFonts w:ascii="Arial" w:hAnsi="Arial" w:cs="Arial"/>
          <w:lang w:val="en-NZ"/>
        </w:rPr>
        <w:t>High level cost recovery model</w:t>
      </w:r>
      <w:r w:rsidR="2456A3BF" w:rsidRPr="25E877F3">
        <w:rPr>
          <w:rFonts w:ascii="Arial" w:hAnsi="Arial" w:cs="Arial"/>
          <w:lang w:val="en-NZ"/>
        </w:rPr>
        <w:t xml:space="preserve">: </w:t>
      </w:r>
      <w:r w:rsidRPr="00F24015">
        <w:rPr>
          <w:rFonts w:ascii="Arial" w:hAnsi="Arial" w:cs="Arial"/>
          <w:lang w:val="en-NZ"/>
        </w:rPr>
        <w:t>the level of the proposed fee and its cost components</w:t>
      </w:r>
    </w:p>
    <w:p w14:paraId="4BD75274" w14:textId="526DF23F" w:rsidR="0018599C" w:rsidRPr="00F24015" w:rsidRDefault="0018599C" w:rsidP="009F2A2A">
      <w:pPr>
        <w:spacing w:after="120" w:line="240" w:lineRule="auto"/>
        <w:rPr>
          <w:rFonts w:cs="Arial"/>
        </w:rPr>
      </w:pPr>
      <w:r w:rsidRPr="00F24015">
        <w:rPr>
          <w:rFonts w:cs="Arial"/>
        </w:rPr>
        <w:t xml:space="preserve">The scheme will be </w:t>
      </w:r>
      <w:r w:rsidR="028C67D5" w:rsidRPr="00F24015">
        <w:rPr>
          <w:rFonts w:cs="Arial"/>
        </w:rPr>
        <w:t>partially</w:t>
      </w:r>
      <w:r w:rsidRPr="00F24015">
        <w:rPr>
          <w:rFonts w:cs="Arial"/>
        </w:rPr>
        <w:t xml:space="preserve"> cost-recovered through fees. The proposed fees are as follows:</w:t>
      </w:r>
    </w:p>
    <w:p w14:paraId="4265BBCC" w14:textId="7A4B1E51" w:rsidR="094E55FA" w:rsidRDefault="094E55FA" w:rsidP="00A40C91">
      <w:pPr>
        <w:spacing w:after="60" w:line="240" w:lineRule="auto"/>
        <w:rPr>
          <w:rFonts w:cs="Arial"/>
        </w:rPr>
      </w:pPr>
      <w:r w:rsidRPr="1B502AF9">
        <w:rPr>
          <w:rFonts w:cs="Arial"/>
          <w:b/>
          <w:bCs/>
          <w:sz w:val="20"/>
        </w:rPr>
        <w:t xml:space="preserve">Table </w:t>
      </w:r>
      <w:r w:rsidR="008B7786">
        <w:rPr>
          <w:rFonts w:cs="Arial"/>
          <w:b/>
          <w:bCs/>
          <w:sz w:val="20"/>
        </w:rPr>
        <w:t>2</w:t>
      </w:r>
      <w:r w:rsidRPr="1B502AF9">
        <w:rPr>
          <w:rFonts w:cs="Arial"/>
          <w:b/>
          <w:bCs/>
          <w:sz w:val="20"/>
        </w:rPr>
        <w:t>:</w:t>
      </w:r>
    </w:p>
    <w:tbl>
      <w:tblPr>
        <w:tblStyle w:val="TableGrid1"/>
        <w:tblW w:w="8521" w:type="dxa"/>
        <w:tblInd w:w="61" w:type="dxa"/>
        <w:tblLook w:val="04A0" w:firstRow="1" w:lastRow="0" w:firstColumn="1" w:lastColumn="0" w:noHBand="0" w:noVBand="1"/>
      </w:tblPr>
      <w:tblGrid>
        <w:gridCol w:w="2526"/>
        <w:gridCol w:w="1090"/>
        <w:gridCol w:w="4905"/>
      </w:tblGrid>
      <w:tr w:rsidR="0018599C" w:rsidRPr="00F24015" w14:paraId="12F3FA72" w14:textId="77777777" w:rsidTr="14E07CEB">
        <w:trPr>
          <w:trHeight w:val="447"/>
        </w:trPr>
        <w:tc>
          <w:tcPr>
            <w:tcW w:w="2526" w:type="dxa"/>
          </w:tcPr>
          <w:p w14:paraId="1E830F33" w14:textId="77777777" w:rsidR="0018599C" w:rsidRPr="00F24015" w:rsidRDefault="0018599C" w:rsidP="0025453F">
            <w:pPr>
              <w:spacing w:before="60" w:after="60" w:line="240" w:lineRule="auto"/>
              <w:jc w:val="left"/>
              <w:rPr>
                <w:rFonts w:cs="Arial"/>
                <w:b/>
                <w:bCs/>
                <w:sz w:val="16"/>
                <w:szCs w:val="16"/>
              </w:rPr>
            </w:pPr>
            <w:r w:rsidRPr="00F24015">
              <w:rPr>
                <w:rFonts w:cs="Arial"/>
                <w:b/>
                <w:bCs/>
                <w:sz w:val="16"/>
                <w:szCs w:val="16"/>
              </w:rPr>
              <w:t xml:space="preserve">Fee </w:t>
            </w:r>
          </w:p>
        </w:tc>
        <w:tc>
          <w:tcPr>
            <w:tcW w:w="1090" w:type="dxa"/>
          </w:tcPr>
          <w:p w14:paraId="24EACFF3" w14:textId="77777777" w:rsidR="0018599C" w:rsidRPr="00F24015" w:rsidRDefault="0018599C" w:rsidP="0025453F">
            <w:pPr>
              <w:spacing w:before="60" w:after="60" w:line="240" w:lineRule="auto"/>
              <w:jc w:val="left"/>
              <w:rPr>
                <w:rFonts w:cs="Arial"/>
                <w:b/>
                <w:bCs/>
                <w:sz w:val="16"/>
                <w:szCs w:val="16"/>
              </w:rPr>
            </w:pPr>
            <w:r w:rsidRPr="00F24015">
              <w:rPr>
                <w:rFonts w:cs="Arial"/>
                <w:b/>
                <w:bCs/>
                <w:sz w:val="16"/>
                <w:szCs w:val="16"/>
              </w:rPr>
              <w:t>Amount (excl. GST)</w:t>
            </w:r>
          </w:p>
        </w:tc>
        <w:tc>
          <w:tcPr>
            <w:tcW w:w="4905" w:type="dxa"/>
          </w:tcPr>
          <w:p w14:paraId="5F386E7F" w14:textId="77777777" w:rsidR="0018599C" w:rsidRPr="00F24015" w:rsidRDefault="0018599C" w:rsidP="0025453F">
            <w:pPr>
              <w:spacing w:before="60" w:after="60" w:line="240" w:lineRule="auto"/>
              <w:jc w:val="left"/>
              <w:rPr>
                <w:rFonts w:cs="Arial"/>
                <w:b/>
                <w:bCs/>
                <w:sz w:val="16"/>
                <w:szCs w:val="16"/>
              </w:rPr>
            </w:pPr>
            <w:r w:rsidRPr="00F24015">
              <w:rPr>
                <w:rFonts w:cs="Arial"/>
                <w:b/>
                <w:bCs/>
                <w:sz w:val="16"/>
                <w:szCs w:val="16"/>
              </w:rPr>
              <w:t>Recovering costs for</w:t>
            </w:r>
          </w:p>
        </w:tc>
      </w:tr>
      <w:tr w:rsidR="0018599C" w:rsidRPr="00F24015" w14:paraId="5962B869" w14:textId="77777777" w:rsidTr="14E07CEB">
        <w:trPr>
          <w:trHeight w:val="217"/>
        </w:trPr>
        <w:tc>
          <w:tcPr>
            <w:tcW w:w="2526" w:type="dxa"/>
          </w:tcPr>
          <w:p w14:paraId="34DBA801" w14:textId="77777777" w:rsidR="0018599C" w:rsidRPr="00F24015" w:rsidRDefault="0018599C" w:rsidP="0025453F">
            <w:pPr>
              <w:spacing w:before="60" w:after="60" w:line="240" w:lineRule="auto"/>
              <w:jc w:val="left"/>
              <w:rPr>
                <w:rFonts w:cs="Arial"/>
                <w:sz w:val="20"/>
              </w:rPr>
            </w:pPr>
            <w:r w:rsidRPr="00F24015">
              <w:rPr>
                <w:rFonts w:eastAsia="Segoe UI" w:cs="Arial"/>
                <w:sz w:val="20"/>
              </w:rPr>
              <w:t>Assessment fee for applications to be an approved smoked tobacco retailer</w:t>
            </w:r>
          </w:p>
        </w:tc>
        <w:tc>
          <w:tcPr>
            <w:tcW w:w="1090" w:type="dxa"/>
          </w:tcPr>
          <w:p w14:paraId="69C8F7DE" w14:textId="0A4148A5" w:rsidR="0018599C" w:rsidRPr="00F24015" w:rsidRDefault="00BB359F" w:rsidP="0024288E">
            <w:pPr>
              <w:pStyle w:val="TableText0"/>
              <w:jc w:val="left"/>
              <w:rPr>
                <w:rFonts w:ascii="Arial" w:eastAsia="Segoe UI" w:hAnsi="Arial" w:cs="Arial"/>
                <w:sz w:val="20"/>
              </w:rPr>
            </w:pPr>
            <w:r w:rsidRPr="00F24015">
              <w:rPr>
                <w:rFonts w:ascii="Arial" w:eastAsia="Segoe UI" w:hAnsi="Arial" w:cs="Arial"/>
                <w:sz w:val="20"/>
              </w:rPr>
              <w:t>$1,475</w:t>
            </w:r>
            <w:r w:rsidR="0024288E">
              <w:rPr>
                <w:rFonts w:ascii="Arial" w:eastAsia="Segoe UI" w:hAnsi="Arial" w:cs="Arial"/>
                <w:sz w:val="20"/>
              </w:rPr>
              <w:t xml:space="preserve"> per premise</w:t>
            </w:r>
          </w:p>
          <w:p w14:paraId="5DD9E0C1" w14:textId="77777777" w:rsidR="0018599C" w:rsidRPr="00F24015" w:rsidRDefault="0018599C" w:rsidP="0025453F">
            <w:pPr>
              <w:spacing w:before="60" w:after="60" w:line="240" w:lineRule="auto"/>
              <w:jc w:val="right"/>
              <w:rPr>
                <w:rFonts w:cs="Arial"/>
                <w:sz w:val="20"/>
              </w:rPr>
            </w:pPr>
          </w:p>
        </w:tc>
        <w:tc>
          <w:tcPr>
            <w:tcW w:w="4905" w:type="dxa"/>
          </w:tcPr>
          <w:p w14:paraId="21226307" w14:textId="77777777" w:rsidR="00FE3ECA" w:rsidRPr="00FB79BB" w:rsidRDefault="00FE3ECA" w:rsidP="0043191E">
            <w:pPr>
              <w:pStyle w:val="TableText0"/>
              <w:rPr>
                <w:rFonts w:ascii="Arial" w:eastAsia="Segoe UI" w:hAnsi="Arial" w:cs="Arial"/>
                <w:sz w:val="20"/>
              </w:rPr>
            </w:pPr>
            <w:r w:rsidRPr="00FB79BB">
              <w:rPr>
                <w:rFonts w:ascii="Arial" w:eastAsia="Segoe UI" w:hAnsi="Arial" w:cs="Arial"/>
                <w:sz w:val="20"/>
              </w:rPr>
              <w:t>Receive and check application; assess and score against published criteria; review; calculate application ranking; send final assessment to applicant; publish on approved smoked tobacco retailer register.</w:t>
            </w:r>
          </w:p>
          <w:p w14:paraId="0A90358A" w14:textId="0E135180" w:rsidR="00A83562" w:rsidRPr="00F24015" w:rsidRDefault="00A83562" w:rsidP="0043191E">
            <w:pPr>
              <w:spacing w:before="60" w:after="60" w:line="240" w:lineRule="auto"/>
              <w:rPr>
                <w:rFonts w:cs="Arial"/>
                <w:sz w:val="20"/>
              </w:rPr>
            </w:pPr>
            <w:r w:rsidRPr="4099EED7">
              <w:rPr>
                <w:rFonts w:cs="Arial"/>
                <w:i/>
                <w:iCs/>
                <w:sz w:val="20"/>
              </w:rPr>
              <w:t xml:space="preserve">*Does not include costs for store visit. See </w:t>
            </w:r>
            <w:r w:rsidR="007946D9" w:rsidRPr="4099EED7">
              <w:rPr>
                <w:rFonts w:cs="Arial"/>
                <w:i/>
                <w:iCs/>
                <w:sz w:val="20"/>
              </w:rPr>
              <w:t>options for more information</w:t>
            </w:r>
          </w:p>
        </w:tc>
      </w:tr>
      <w:tr w:rsidR="0018599C" w:rsidRPr="00F24015" w14:paraId="139CA470" w14:textId="77777777" w:rsidTr="14E07CEB">
        <w:trPr>
          <w:trHeight w:val="217"/>
        </w:trPr>
        <w:tc>
          <w:tcPr>
            <w:tcW w:w="2526" w:type="dxa"/>
          </w:tcPr>
          <w:p w14:paraId="3B4986B6" w14:textId="77777777" w:rsidR="0018599C" w:rsidRPr="00F24015" w:rsidRDefault="0018599C" w:rsidP="0025453F">
            <w:pPr>
              <w:spacing w:before="60" w:after="60" w:line="240" w:lineRule="auto"/>
              <w:jc w:val="left"/>
              <w:rPr>
                <w:rFonts w:cs="Arial"/>
                <w:sz w:val="20"/>
              </w:rPr>
            </w:pPr>
            <w:r w:rsidRPr="00F24015">
              <w:rPr>
                <w:rFonts w:eastAsia="Segoe UI" w:cs="Arial"/>
                <w:sz w:val="20"/>
              </w:rPr>
              <w:t>Assessment fee for smoked tobacco product applications</w:t>
            </w:r>
          </w:p>
        </w:tc>
        <w:tc>
          <w:tcPr>
            <w:tcW w:w="1090" w:type="dxa"/>
          </w:tcPr>
          <w:p w14:paraId="0EC1C38B" w14:textId="5B2956E4" w:rsidR="0018599C" w:rsidRPr="00F24015" w:rsidRDefault="0018599C" w:rsidP="0024288E">
            <w:pPr>
              <w:spacing w:before="60" w:after="60" w:line="240" w:lineRule="auto"/>
              <w:jc w:val="left"/>
              <w:rPr>
                <w:rFonts w:cs="Arial"/>
                <w:sz w:val="20"/>
              </w:rPr>
            </w:pPr>
            <w:r w:rsidRPr="00F24015">
              <w:rPr>
                <w:rFonts w:eastAsia="Segoe UI" w:cs="Arial"/>
                <w:sz w:val="20"/>
              </w:rPr>
              <w:t>$13,450</w:t>
            </w:r>
            <w:r w:rsidR="0024288E">
              <w:rPr>
                <w:rFonts w:eastAsia="Segoe UI" w:cs="Arial"/>
                <w:sz w:val="20"/>
              </w:rPr>
              <w:t xml:space="preserve"> per product</w:t>
            </w:r>
          </w:p>
        </w:tc>
        <w:tc>
          <w:tcPr>
            <w:tcW w:w="4905" w:type="dxa"/>
          </w:tcPr>
          <w:p w14:paraId="3A7773A7" w14:textId="3C067E6F" w:rsidR="0018599C" w:rsidRPr="00F24015" w:rsidRDefault="00BC3B0E" w:rsidP="0043191E">
            <w:pPr>
              <w:spacing w:before="60" w:after="60" w:line="240" w:lineRule="auto"/>
              <w:rPr>
                <w:rFonts w:cs="Arial"/>
                <w:sz w:val="20"/>
              </w:rPr>
            </w:pPr>
            <w:r w:rsidRPr="00FE618C">
              <w:rPr>
                <w:rFonts w:cs="Arial"/>
                <w:sz w:val="20"/>
                <w:lang w:val="en-NZ"/>
              </w:rPr>
              <w:t>Receive and check application; review product testing results; seek clarifications (if any); review product constituents; undertake internal peer review; prepare product assessment report; undertake final review; send final assessment to applicant; publish on approved products register</w:t>
            </w:r>
            <w:r>
              <w:rPr>
                <w:rFonts w:cs="Arial"/>
                <w:sz w:val="20"/>
                <w:lang w:val="en-NZ"/>
              </w:rPr>
              <w:t>.</w:t>
            </w:r>
          </w:p>
        </w:tc>
      </w:tr>
      <w:tr w:rsidR="0018599C" w:rsidRPr="00F24015" w14:paraId="5461C931" w14:textId="77777777" w:rsidTr="14E07CEB">
        <w:trPr>
          <w:trHeight w:val="217"/>
        </w:trPr>
        <w:tc>
          <w:tcPr>
            <w:tcW w:w="2526" w:type="dxa"/>
          </w:tcPr>
          <w:p w14:paraId="7B5D1D33" w14:textId="77777777" w:rsidR="0018599C" w:rsidRPr="00F24015" w:rsidRDefault="0018599C" w:rsidP="0025453F">
            <w:pPr>
              <w:spacing w:before="60" w:after="60" w:line="240" w:lineRule="auto"/>
              <w:jc w:val="left"/>
              <w:rPr>
                <w:rFonts w:cs="Arial"/>
                <w:sz w:val="20"/>
              </w:rPr>
            </w:pPr>
            <w:r w:rsidRPr="00F24015">
              <w:rPr>
                <w:rFonts w:eastAsia="Segoe UI" w:cs="Arial"/>
                <w:sz w:val="20"/>
              </w:rPr>
              <w:t>Assessment fee for smoked tobacco product applications (temporary approvals for products that cannot meet product requirements)</w:t>
            </w:r>
          </w:p>
        </w:tc>
        <w:tc>
          <w:tcPr>
            <w:tcW w:w="1090" w:type="dxa"/>
          </w:tcPr>
          <w:p w14:paraId="3E36166D" w14:textId="5ADD1C72" w:rsidR="0018599C" w:rsidRPr="00F24015" w:rsidRDefault="0018599C" w:rsidP="0024288E">
            <w:pPr>
              <w:pStyle w:val="TableText0"/>
              <w:jc w:val="left"/>
              <w:rPr>
                <w:rFonts w:ascii="Arial" w:hAnsi="Arial" w:cs="Arial"/>
                <w:sz w:val="20"/>
              </w:rPr>
            </w:pPr>
            <w:r w:rsidRPr="00F24015">
              <w:rPr>
                <w:rFonts w:ascii="Arial" w:eastAsia="Segoe UI" w:hAnsi="Arial" w:cs="Arial"/>
                <w:sz w:val="20"/>
              </w:rPr>
              <w:t>$2,650</w:t>
            </w:r>
            <w:r w:rsidR="0024288E">
              <w:rPr>
                <w:rFonts w:ascii="Arial" w:eastAsia="Segoe UI" w:hAnsi="Arial" w:cs="Arial"/>
                <w:sz w:val="20"/>
              </w:rPr>
              <w:t xml:space="preserve"> per product</w:t>
            </w:r>
          </w:p>
          <w:p w14:paraId="3C0738D4" w14:textId="77777777" w:rsidR="0018599C" w:rsidRPr="00F24015" w:rsidRDefault="0018599C" w:rsidP="0025453F">
            <w:pPr>
              <w:spacing w:before="60" w:after="60" w:line="240" w:lineRule="auto"/>
              <w:jc w:val="right"/>
              <w:rPr>
                <w:rFonts w:cs="Arial"/>
                <w:sz w:val="20"/>
              </w:rPr>
            </w:pPr>
          </w:p>
        </w:tc>
        <w:tc>
          <w:tcPr>
            <w:tcW w:w="4905" w:type="dxa"/>
          </w:tcPr>
          <w:p w14:paraId="7C1BDFB3" w14:textId="6F576A1F" w:rsidR="0018599C" w:rsidRPr="00F24015" w:rsidRDefault="00B60778" w:rsidP="0043191E">
            <w:pPr>
              <w:spacing w:before="60" w:after="60" w:line="240" w:lineRule="auto"/>
              <w:rPr>
                <w:rFonts w:cs="Arial"/>
                <w:sz w:val="20"/>
              </w:rPr>
            </w:pPr>
            <w:r w:rsidRPr="00FB79BB">
              <w:rPr>
                <w:rFonts w:eastAsia="Segoe UI"/>
                <w:sz w:val="20"/>
              </w:rPr>
              <w:t>Receive and check application; undertake market scan; review product information; seek clarifications (if any); review any additional information provided; undertake peer review; prepare product assessment report; undertake final review; send final assessment to applicant; publish on approved products register</w:t>
            </w:r>
            <w:r w:rsidR="00D94151">
              <w:rPr>
                <w:rFonts w:eastAsia="Segoe UI"/>
                <w:sz w:val="20"/>
              </w:rPr>
              <w:t>.</w:t>
            </w:r>
          </w:p>
        </w:tc>
      </w:tr>
      <w:tr w:rsidR="0018599C" w:rsidRPr="00F24015" w14:paraId="503FDFDD" w14:textId="77777777" w:rsidTr="14E07CEB">
        <w:trPr>
          <w:trHeight w:val="217"/>
        </w:trPr>
        <w:tc>
          <w:tcPr>
            <w:tcW w:w="2526" w:type="dxa"/>
          </w:tcPr>
          <w:p w14:paraId="46703DAF" w14:textId="77777777" w:rsidR="0018599C" w:rsidRPr="00F24015" w:rsidRDefault="0018599C" w:rsidP="0025453F">
            <w:pPr>
              <w:spacing w:before="60" w:after="60" w:line="240" w:lineRule="auto"/>
              <w:jc w:val="left"/>
              <w:rPr>
                <w:rFonts w:cs="Arial"/>
                <w:sz w:val="20"/>
              </w:rPr>
            </w:pPr>
            <w:r w:rsidRPr="00F24015">
              <w:rPr>
                <w:rFonts w:eastAsia="Segoe UI" w:cs="Arial"/>
                <w:sz w:val="20"/>
              </w:rPr>
              <w:t>Registration fee (for smoked tobacco distributors, general vape retailers, and retailers of other notifiable products)</w:t>
            </w:r>
          </w:p>
        </w:tc>
        <w:tc>
          <w:tcPr>
            <w:tcW w:w="1090" w:type="dxa"/>
          </w:tcPr>
          <w:p w14:paraId="5AFB3718" w14:textId="532C436B" w:rsidR="0018599C" w:rsidRPr="00F24015" w:rsidRDefault="126D49FE" w:rsidP="0024288E">
            <w:pPr>
              <w:spacing w:before="60" w:after="60" w:line="240" w:lineRule="auto"/>
              <w:jc w:val="left"/>
              <w:rPr>
                <w:rFonts w:cs="Arial"/>
                <w:sz w:val="20"/>
              </w:rPr>
            </w:pPr>
            <w:r w:rsidRPr="14E07CEB">
              <w:rPr>
                <w:rFonts w:eastAsia="Segoe UI" w:cs="Arial"/>
                <w:sz w:val="20"/>
              </w:rPr>
              <w:t>$80</w:t>
            </w:r>
            <w:r w:rsidR="76F81799" w:rsidRPr="14E07CEB">
              <w:rPr>
                <w:rFonts w:eastAsia="Segoe UI" w:cs="Arial"/>
                <w:sz w:val="20"/>
              </w:rPr>
              <w:t xml:space="preserve"> </w:t>
            </w:r>
            <w:r w:rsidR="65D94CF5" w:rsidRPr="006C792E">
              <w:rPr>
                <w:rFonts w:eastAsia="Segoe UI" w:cs="Arial"/>
                <w:sz w:val="20"/>
              </w:rPr>
              <w:t>per annum</w:t>
            </w:r>
          </w:p>
        </w:tc>
        <w:tc>
          <w:tcPr>
            <w:tcW w:w="4905" w:type="dxa"/>
          </w:tcPr>
          <w:p w14:paraId="727D695C" w14:textId="078F2632" w:rsidR="0018599C" w:rsidRPr="00F24015" w:rsidRDefault="00D94151" w:rsidP="0043191E">
            <w:pPr>
              <w:spacing w:before="60" w:after="60" w:line="240" w:lineRule="auto"/>
              <w:rPr>
                <w:rFonts w:cs="Arial"/>
                <w:sz w:val="20"/>
              </w:rPr>
            </w:pPr>
            <w:r w:rsidRPr="00FB79BB">
              <w:rPr>
                <w:rFonts w:eastAsia="Segoe UI"/>
                <w:sz w:val="20"/>
              </w:rPr>
              <w:t>Receive and check annual registration; seek clarifications (if any); review any additional information provided; publish on participant register where relevant</w:t>
            </w:r>
            <w:r>
              <w:rPr>
                <w:rFonts w:eastAsia="Segoe UI"/>
                <w:sz w:val="20"/>
              </w:rPr>
              <w:t>.</w:t>
            </w:r>
          </w:p>
        </w:tc>
      </w:tr>
    </w:tbl>
    <w:p w14:paraId="6DE2BA2D" w14:textId="77777777" w:rsidR="0018599C" w:rsidRPr="00F24015" w:rsidRDefault="0018599C" w:rsidP="0018599C">
      <w:pPr>
        <w:spacing w:after="0" w:line="240" w:lineRule="auto"/>
        <w:rPr>
          <w:rFonts w:cs="Arial"/>
          <w:sz w:val="16"/>
          <w:szCs w:val="16"/>
        </w:rPr>
      </w:pPr>
    </w:p>
    <w:p w14:paraId="5A8D008F" w14:textId="157F70F4" w:rsidR="0018599C" w:rsidRDefault="126D49FE" w:rsidP="002B0B46">
      <w:pPr>
        <w:spacing w:after="120" w:line="240" w:lineRule="auto"/>
        <w:rPr>
          <w:rFonts w:eastAsia="Segoe UI" w:cs="Arial"/>
        </w:rPr>
      </w:pPr>
      <w:r w:rsidRPr="14E07CEB">
        <w:rPr>
          <w:rFonts w:cs="Arial"/>
        </w:rPr>
        <w:t xml:space="preserve">These fee estimates are based on assumptions around </w:t>
      </w:r>
      <w:r w:rsidRPr="14E07CEB">
        <w:rPr>
          <w:rFonts w:eastAsia="Segoe UI" w:cs="Arial"/>
        </w:rPr>
        <w:t>the average</w:t>
      </w:r>
      <w:r w:rsidR="74E4C4FA" w:rsidRPr="14E07CEB">
        <w:rPr>
          <w:rFonts w:eastAsia="Segoe UI" w:cs="Arial"/>
        </w:rPr>
        <w:t xml:space="preserve"> resourc</w:t>
      </w:r>
      <w:r w:rsidR="125513E2" w:rsidRPr="14E07CEB">
        <w:rPr>
          <w:rFonts w:eastAsia="Segoe UI" w:cs="Arial"/>
        </w:rPr>
        <w:t>ing</w:t>
      </w:r>
      <w:r w:rsidRPr="14E07CEB">
        <w:rPr>
          <w:rFonts w:eastAsia="Segoe UI" w:cs="Arial"/>
        </w:rPr>
        <w:t xml:space="preserve"> required to process each application or registration. </w:t>
      </w:r>
      <w:r w:rsidR="0F25648A" w:rsidRPr="14E07CEB">
        <w:rPr>
          <w:rFonts w:eastAsia="Segoe UI" w:cs="Arial"/>
        </w:rPr>
        <w:t>Three</w:t>
      </w:r>
      <w:r w:rsidR="68962B7B" w:rsidRPr="14E07CEB">
        <w:rPr>
          <w:rFonts w:eastAsia="Segoe UI" w:cs="Arial"/>
        </w:rPr>
        <w:t xml:space="preserve"> scenarios have been modelled</w:t>
      </w:r>
      <w:r w:rsidR="7D831333" w:rsidRPr="14E07CEB">
        <w:rPr>
          <w:rFonts w:eastAsia="Segoe UI" w:cs="Arial"/>
        </w:rPr>
        <w:t xml:space="preserve"> as shown in table </w:t>
      </w:r>
      <w:r w:rsidR="7F0233D6" w:rsidRPr="14E07CEB">
        <w:rPr>
          <w:rFonts w:eastAsia="Segoe UI" w:cs="Arial"/>
        </w:rPr>
        <w:t>3</w:t>
      </w:r>
      <w:r w:rsidR="68962B7B" w:rsidRPr="14E07CEB">
        <w:rPr>
          <w:rFonts w:eastAsia="Segoe UI" w:cs="Arial"/>
        </w:rPr>
        <w:t>.</w:t>
      </w:r>
      <w:r w:rsidR="2AF09821" w:rsidRPr="14E07CEB">
        <w:rPr>
          <w:rFonts w:eastAsia="Segoe UI" w:cs="Arial"/>
        </w:rPr>
        <w:t xml:space="preserve"> </w:t>
      </w:r>
      <w:r w:rsidR="7FE43219" w:rsidRPr="14E07CEB">
        <w:rPr>
          <w:rFonts w:eastAsia="Segoe UI" w:cs="Arial"/>
        </w:rPr>
        <w:t xml:space="preserve">No applications for approved smoked tobacco retailers are </w:t>
      </w:r>
      <w:r w:rsidR="05E10130" w:rsidRPr="14E07CEB">
        <w:rPr>
          <w:rFonts w:eastAsia="Segoe UI" w:cs="Arial"/>
        </w:rPr>
        <w:t>included</w:t>
      </w:r>
      <w:r w:rsidR="7100F94C" w:rsidRPr="14E07CEB">
        <w:rPr>
          <w:rFonts w:eastAsia="Segoe UI" w:cs="Arial"/>
        </w:rPr>
        <w:t xml:space="preserve"> </w:t>
      </w:r>
      <w:r w:rsidR="5F1C4891" w:rsidRPr="14E07CEB">
        <w:rPr>
          <w:rFonts w:eastAsia="Segoe UI" w:cs="Arial"/>
        </w:rPr>
        <w:t>after the first year (2023/24)</w:t>
      </w:r>
      <w:r w:rsidR="226E8F90" w:rsidRPr="14E07CEB">
        <w:rPr>
          <w:rFonts w:eastAsia="Segoe UI" w:cs="Arial"/>
        </w:rPr>
        <w:t>, however it is possible that applications will be</w:t>
      </w:r>
      <w:r w:rsidR="7D831333" w:rsidRPr="14E07CEB">
        <w:rPr>
          <w:rFonts w:eastAsia="Segoe UI" w:cs="Arial"/>
        </w:rPr>
        <w:t xml:space="preserve"> sought.</w:t>
      </w:r>
    </w:p>
    <w:p w14:paraId="0214AFDF" w14:textId="403237D8" w:rsidR="0EDF47B7" w:rsidRDefault="0EDF47B7" w:rsidP="00A40C91">
      <w:pPr>
        <w:spacing w:after="60"/>
        <w:rPr>
          <w:rFonts w:eastAsia="Segoe UI" w:cs="Arial"/>
          <w:b/>
          <w:bCs/>
          <w:sz w:val="18"/>
          <w:szCs w:val="18"/>
        </w:rPr>
      </w:pPr>
      <w:r w:rsidRPr="1B502AF9">
        <w:rPr>
          <w:rFonts w:eastAsia="Segoe UI" w:cs="Arial"/>
          <w:b/>
          <w:bCs/>
          <w:sz w:val="20"/>
        </w:rPr>
        <w:t xml:space="preserve">Table </w:t>
      </w:r>
      <w:r w:rsidR="008B7786">
        <w:rPr>
          <w:rFonts w:eastAsia="Segoe UI" w:cs="Arial"/>
          <w:b/>
          <w:bCs/>
          <w:sz w:val="20"/>
        </w:rPr>
        <w:t>3</w:t>
      </w:r>
      <w:r w:rsidRPr="1B502AF9">
        <w:rPr>
          <w:rFonts w:eastAsia="Segoe UI" w:cs="Arial"/>
          <w:b/>
          <w:bCs/>
          <w:sz w:val="20"/>
        </w:rPr>
        <w:t>:</w:t>
      </w:r>
    </w:p>
    <w:tbl>
      <w:tblPr>
        <w:tblW w:w="0" w:type="auto"/>
        <w:tblLayout w:type="fixed"/>
        <w:tblLook w:val="04A0" w:firstRow="1" w:lastRow="0" w:firstColumn="1" w:lastColumn="0" w:noHBand="0" w:noVBand="1"/>
      </w:tblPr>
      <w:tblGrid>
        <w:gridCol w:w="4810"/>
        <w:gridCol w:w="706"/>
        <w:gridCol w:w="707"/>
        <w:gridCol w:w="707"/>
        <w:gridCol w:w="706"/>
        <w:gridCol w:w="707"/>
        <w:gridCol w:w="707"/>
      </w:tblGrid>
      <w:tr w:rsidR="001160E2" w14:paraId="7908EDB3" w14:textId="77777777" w:rsidTr="00D061DE">
        <w:trPr>
          <w:trHeight w:val="410"/>
        </w:trPr>
        <w:tc>
          <w:tcPr>
            <w:tcW w:w="4810" w:type="dxa"/>
            <w:tcBorders>
              <w:top w:val="single" w:sz="8" w:space="0" w:color="auto"/>
              <w:left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14:paraId="6C15B8A9" w14:textId="1BF35E91" w:rsidR="009814BF" w:rsidRDefault="009814BF" w:rsidP="0025453F">
            <w:pPr>
              <w:spacing w:before="60" w:after="60" w:line="240" w:lineRule="auto"/>
              <w:rPr>
                <w:rFonts w:eastAsia="Calibri" w:cs="Arial"/>
                <w:b/>
                <w:bCs/>
                <w:sz w:val="16"/>
                <w:szCs w:val="16"/>
                <w:lang w:val="en-NZ" w:eastAsia="en-AU"/>
              </w:rPr>
            </w:pPr>
            <w:r>
              <w:rPr>
                <w:rFonts w:eastAsia="Calibri" w:cs="Arial"/>
                <w:b/>
                <w:bCs/>
                <w:sz w:val="16"/>
                <w:szCs w:val="16"/>
                <w:lang w:val="en-NZ" w:eastAsia="en-AU"/>
              </w:rPr>
              <w:t>Fee Type</w:t>
            </w:r>
          </w:p>
        </w:tc>
        <w:tc>
          <w:tcPr>
            <w:tcW w:w="2120" w:type="dxa"/>
            <w:gridSpan w:val="3"/>
            <w:tcBorders>
              <w:top w:val="single" w:sz="8" w:space="0" w:color="auto"/>
              <w:left w:val="nil"/>
              <w:right w:val="single" w:sz="8" w:space="0" w:color="auto"/>
            </w:tcBorders>
            <w:shd w:val="clear" w:color="auto" w:fill="A6A6A6" w:themeFill="background1" w:themeFillShade="A6"/>
            <w:tcMar>
              <w:top w:w="0" w:type="dxa"/>
              <w:left w:w="108" w:type="dxa"/>
              <w:bottom w:w="0" w:type="dxa"/>
              <w:right w:w="108" w:type="dxa"/>
            </w:tcMar>
            <w:vAlign w:val="center"/>
          </w:tcPr>
          <w:p w14:paraId="185A1D5D" w14:textId="17F17805" w:rsidR="009814BF" w:rsidRPr="009814BF" w:rsidRDefault="009814BF" w:rsidP="0025453F">
            <w:pPr>
              <w:spacing w:before="60" w:after="60" w:line="240" w:lineRule="auto"/>
              <w:jc w:val="center"/>
              <w:rPr>
                <w:rFonts w:eastAsia="Calibri" w:cs="Arial"/>
                <w:b/>
                <w:bCs/>
                <w:sz w:val="16"/>
                <w:szCs w:val="16"/>
                <w:lang w:val="en-NZ" w:eastAsia="en-AU"/>
              </w:rPr>
            </w:pPr>
            <w:r w:rsidRPr="009814BF">
              <w:rPr>
                <w:rFonts w:eastAsia="Calibri" w:cs="Arial"/>
                <w:b/>
                <w:bCs/>
                <w:sz w:val="16"/>
                <w:szCs w:val="16"/>
                <w:lang w:val="en-NZ" w:eastAsia="en-AU"/>
              </w:rPr>
              <w:t>Volume</w:t>
            </w:r>
            <w:r w:rsidR="006750E7">
              <w:rPr>
                <w:rFonts w:eastAsia="Calibri" w:cs="Arial"/>
                <w:b/>
                <w:bCs/>
                <w:sz w:val="16"/>
                <w:szCs w:val="16"/>
                <w:lang w:val="en-NZ" w:eastAsia="en-AU"/>
              </w:rPr>
              <w:t xml:space="preserve"> (</w:t>
            </w:r>
            <w:r w:rsidRPr="009814BF">
              <w:rPr>
                <w:rFonts w:eastAsia="Calibri" w:cs="Arial"/>
                <w:b/>
                <w:bCs/>
                <w:sz w:val="16"/>
                <w:szCs w:val="16"/>
                <w:lang w:val="en-NZ" w:eastAsia="en-AU"/>
              </w:rPr>
              <w:t>2023/24</w:t>
            </w:r>
            <w:r w:rsidR="006750E7">
              <w:rPr>
                <w:rFonts w:eastAsia="Calibri" w:cs="Arial"/>
                <w:b/>
                <w:bCs/>
                <w:sz w:val="16"/>
                <w:szCs w:val="16"/>
                <w:lang w:val="en-NZ" w:eastAsia="en-AU"/>
              </w:rPr>
              <w:t>)</w:t>
            </w:r>
          </w:p>
        </w:tc>
        <w:tc>
          <w:tcPr>
            <w:tcW w:w="2120" w:type="dxa"/>
            <w:gridSpan w:val="3"/>
            <w:tcBorders>
              <w:top w:val="single" w:sz="8" w:space="0" w:color="auto"/>
              <w:left w:val="nil"/>
              <w:right w:val="single" w:sz="8" w:space="0" w:color="auto"/>
            </w:tcBorders>
            <w:shd w:val="clear" w:color="auto" w:fill="A6A6A6" w:themeFill="background1" w:themeFillShade="A6"/>
            <w:tcMar>
              <w:top w:w="0" w:type="dxa"/>
              <w:left w:w="108" w:type="dxa"/>
              <w:bottom w:w="0" w:type="dxa"/>
              <w:right w:w="108" w:type="dxa"/>
            </w:tcMar>
            <w:vAlign w:val="center"/>
          </w:tcPr>
          <w:p w14:paraId="542536E6" w14:textId="6BEFE7B2" w:rsidR="009814BF" w:rsidRPr="009814BF" w:rsidRDefault="009814BF" w:rsidP="0025453F">
            <w:pPr>
              <w:spacing w:before="60" w:after="60" w:line="240" w:lineRule="auto"/>
              <w:jc w:val="center"/>
              <w:rPr>
                <w:rFonts w:eastAsia="Calibri" w:cs="Arial"/>
                <w:b/>
                <w:bCs/>
                <w:sz w:val="16"/>
                <w:szCs w:val="16"/>
                <w:lang w:val="en-NZ" w:eastAsia="en-AU"/>
              </w:rPr>
            </w:pPr>
            <w:r w:rsidRPr="009814BF">
              <w:rPr>
                <w:rFonts w:eastAsia="Calibri" w:cs="Arial"/>
                <w:b/>
                <w:bCs/>
                <w:sz w:val="16"/>
                <w:szCs w:val="16"/>
                <w:lang w:val="en-NZ" w:eastAsia="en-AU"/>
              </w:rPr>
              <w:t xml:space="preserve">Volume </w:t>
            </w:r>
            <w:r w:rsidR="008C231A">
              <w:rPr>
                <w:rFonts w:eastAsia="Calibri" w:cs="Arial"/>
                <w:b/>
                <w:bCs/>
                <w:sz w:val="16"/>
                <w:szCs w:val="16"/>
                <w:lang w:val="en-NZ" w:eastAsia="en-AU"/>
              </w:rPr>
              <w:t>(</w:t>
            </w:r>
            <w:r w:rsidR="00380B1C">
              <w:rPr>
                <w:rFonts w:eastAsia="Calibri" w:cs="Arial"/>
                <w:b/>
                <w:bCs/>
                <w:sz w:val="16"/>
                <w:szCs w:val="16"/>
                <w:lang w:val="en-NZ" w:eastAsia="en-AU"/>
              </w:rPr>
              <w:t>out</w:t>
            </w:r>
            <w:r w:rsidRPr="009814BF">
              <w:rPr>
                <w:rFonts w:eastAsia="Calibri" w:cs="Arial"/>
                <w:b/>
                <w:bCs/>
                <w:sz w:val="16"/>
                <w:szCs w:val="16"/>
                <w:lang w:val="en-NZ" w:eastAsia="en-AU"/>
              </w:rPr>
              <w:t>years</w:t>
            </w:r>
            <w:r w:rsidR="00380B1C">
              <w:rPr>
                <w:rFonts w:eastAsia="Calibri" w:cs="Arial"/>
                <w:b/>
                <w:bCs/>
                <w:sz w:val="16"/>
                <w:szCs w:val="16"/>
                <w:lang w:val="en-NZ" w:eastAsia="en-AU"/>
              </w:rPr>
              <w:t xml:space="preserve">) </w:t>
            </w:r>
          </w:p>
        </w:tc>
      </w:tr>
      <w:tr w:rsidR="001160E2" w14:paraId="019741B9" w14:textId="77777777" w:rsidTr="00D061DE">
        <w:trPr>
          <w:trHeight w:val="252"/>
        </w:trPr>
        <w:tc>
          <w:tcPr>
            <w:tcW w:w="4810" w:type="dxa"/>
            <w:tcBorders>
              <w:left w:val="single" w:sz="8" w:space="0" w:color="auto"/>
              <w:bottom w:val="single" w:sz="8" w:space="0" w:color="BFBFBF" w:themeColor="background1" w:themeShade="BF"/>
              <w:right w:val="single" w:sz="8" w:space="0" w:color="auto"/>
            </w:tcBorders>
            <w:shd w:val="clear" w:color="auto" w:fill="D9D9D9" w:themeFill="background1" w:themeFillShade="D9"/>
            <w:tcMar>
              <w:top w:w="0" w:type="dxa"/>
              <w:left w:w="108" w:type="dxa"/>
              <w:bottom w:w="0" w:type="dxa"/>
              <w:right w:w="108" w:type="dxa"/>
            </w:tcMar>
            <w:vAlign w:val="center"/>
          </w:tcPr>
          <w:p w14:paraId="243DE614" w14:textId="77777777" w:rsidR="001160E2" w:rsidRDefault="001160E2" w:rsidP="0025453F">
            <w:pPr>
              <w:spacing w:before="60" w:after="60" w:line="240" w:lineRule="auto"/>
              <w:rPr>
                <w:rFonts w:eastAsia="Calibri" w:cs="Arial"/>
                <w:b/>
                <w:bCs/>
                <w:sz w:val="16"/>
                <w:szCs w:val="16"/>
                <w:lang w:val="en-NZ" w:eastAsia="en-AU"/>
              </w:rPr>
            </w:pPr>
          </w:p>
        </w:tc>
        <w:tc>
          <w:tcPr>
            <w:tcW w:w="2120" w:type="dxa"/>
            <w:gridSpan w:val="3"/>
            <w:tcBorders>
              <w:left w:val="nil"/>
              <w:bottom w:val="single" w:sz="8" w:space="0" w:color="BFBFBF" w:themeColor="background1" w:themeShade="BF"/>
              <w:right w:val="single" w:sz="8" w:space="0" w:color="auto"/>
            </w:tcBorders>
            <w:shd w:val="clear" w:color="auto" w:fill="D9D9D9" w:themeFill="background1" w:themeFillShade="D9"/>
            <w:tcMar>
              <w:top w:w="0" w:type="dxa"/>
              <w:left w:w="108" w:type="dxa"/>
              <w:bottom w:w="0" w:type="dxa"/>
              <w:right w:w="108" w:type="dxa"/>
            </w:tcMar>
            <w:vAlign w:val="center"/>
          </w:tcPr>
          <w:p w14:paraId="75B05B1D" w14:textId="2596273E" w:rsidR="001160E2" w:rsidRPr="009814BF" w:rsidRDefault="001160E2" w:rsidP="0025453F">
            <w:pPr>
              <w:spacing w:before="60" w:after="60" w:line="240" w:lineRule="auto"/>
              <w:jc w:val="center"/>
              <w:rPr>
                <w:rFonts w:eastAsia="Calibri" w:cs="Arial"/>
                <w:b/>
                <w:bCs/>
                <w:sz w:val="16"/>
                <w:szCs w:val="16"/>
                <w:lang w:val="en-NZ" w:eastAsia="en-AU"/>
              </w:rPr>
            </w:pPr>
            <w:r>
              <w:rPr>
                <w:rFonts w:eastAsia="Calibri" w:cs="Arial"/>
                <w:b/>
                <w:bCs/>
                <w:sz w:val="16"/>
                <w:szCs w:val="16"/>
                <w:lang w:val="en-NZ" w:eastAsia="en-AU"/>
              </w:rPr>
              <w:t>Scenario</w:t>
            </w:r>
          </w:p>
        </w:tc>
        <w:tc>
          <w:tcPr>
            <w:tcW w:w="2120" w:type="dxa"/>
            <w:gridSpan w:val="3"/>
            <w:tcBorders>
              <w:left w:val="nil"/>
              <w:bottom w:val="single" w:sz="8" w:space="0" w:color="BFBFBF" w:themeColor="background1" w:themeShade="BF"/>
              <w:right w:val="single" w:sz="8" w:space="0" w:color="auto"/>
            </w:tcBorders>
            <w:shd w:val="clear" w:color="auto" w:fill="D9D9D9" w:themeFill="background1" w:themeFillShade="D9"/>
            <w:tcMar>
              <w:top w:w="0" w:type="dxa"/>
              <w:left w:w="108" w:type="dxa"/>
              <w:bottom w:w="0" w:type="dxa"/>
              <w:right w:w="108" w:type="dxa"/>
            </w:tcMar>
            <w:vAlign w:val="center"/>
          </w:tcPr>
          <w:p w14:paraId="09A45D2D" w14:textId="1AA36313" w:rsidR="001160E2" w:rsidRPr="009814BF" w:rsidRDefault="001160E2" w:rsidP="0025453F">
            <w:pPr>
              <w:spacing w:before="60" w:after="60" w:line="240" w:lineRule="auto"/>
              <w:jc w:val="center"/>
              <w:rPr>
                <w:rFonts w:eastAsia="Calibri" w:cs="Arial"/>
                <w:b/>
                <w:bCs/>
                <w:sz w:val="16"/>
                <w:szCs w:val="16"/>
                <w:lang w:val="en-NZ" w:eastAsia="en-AU"/>
              </w:rPr>
            </w:pPr>
            <w:r>
              <w:rPr>
                <w:rFonts w:eastAsia="Calibri" w:cs="Arial"/>
                <w:b/>
                <w:bCs/>
                <w:sz w:val="16"/>
                <w:szCs w:val="16"/>
                <w:lang w:val="en-NZ" w:eastAsia="en-AU"/>
              </w:rPr>
              <w:t>Scenario</w:t>
            </w:r>
          </w:p>
        </w:tc>
      </w:tr>
      <w:tr w:rsidR="00F95FC0" w14:paraId="0C0A05E2" w14:textId="77777777" w:rsidTr="00BF647C">
        <w:trPr>
          <w:trHeight w:val="252"/>
        </w:trPr>
        <w:tc>
          <w:tcPr>
            <w:tcW w:w="4810" w:type="dxa"/>
            <w:tcBorders>
              <w:top w:val="single" w:sz="8" w:space="0" w:color="BFBFBF" w:themeColor="background1" w:themeShade="BF"/>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5D7B64FE" w14:textId="3E2D93DF" w:rsidR="00F95FC0" w:rsidRDefault="00F95FC0" w:rsidP="0025453F">
            <w:pPr>
              <w:spacing w:before="60" w:after="60" w:line="240" w:lineRule="auto"/>
              <w:rPr>
                <w:rFonts w:eastAsia="Calibri" w:cs="Arial"/>
                <w:b/>
                <w:bCs/>
                <w:sz w:val="16"/>
                <w:szCs w:val="16"/>
                <w:lang w:val="en-NZ" w:eastAsia="en-AU"/>
              </w:rPr>
            </w:pPr>
          </w:p>
        </w:tc>
        <w:tc>
          <w:tcPr>
            <w:tcW w:w="706" w:type="dxa"/>
            <w:tcBorders>
              <w:top w:val="single" w:sz="8" w:space="0" w:color="BFBFBF" w:themeColor="background1" w:themeShade="BF"/>
              <w:left w:val="nil"/>
              <w:bottom w:val="single" w:sz="8" w:space="0" w:color="auto"/>
              <w:right w:val="single" w:sz="8" w:space="0" w:color="BFBFBF" w:themeColor="background1" w:themeShade="BF"/>
            </w:tcBorders>
            <w:shd w:val="clear" w:color="auto" w:fill="D9D9D9" w:themeFill="background1" w:themeFillShade="D9"/>
            <w:tcMar>
              <w:top w:w="0" w:type="dxa"/>
              <w:left w:w="28" w:type="dxa"/>
              <w:bottom w:w="0" w:type="dxa"/>
              <w:right w:w="28" w:type="dxa"/>
            </w:tcMar>
            <w:vAlign w:val="center"/>
          </w:tcPr>
          <w:p w14:paraId="4CAC05AD" w14:textId="12D654DA" w:rsidR="00F95FC0" w:rsidRDefault="00F95FC0" w:rsidP="0025453F">
            <w:pPr>
              <w:spacing w:before="60" w:after="60" w:line="240" w:lineRule="auto"/>
              <w:jc w:val="center"/>
              <w:rPr>
                <w:rFonts w:eastAsia="Calibri" w:cs="Arial"/>
                <w:b/>
                <w:bCs/>
                <w:sz w:val="16"/>
                <w:szCs w:val="16"/>
                <w:lang w:val="en-NZ" w:eastAsia="en-AU"/>
              </w:rPr>
            </w:pPr>
            <w:r>
              <w:rPr>
                <w:rFonts w:eastAsia="Calibri" w:cs="Arial"/>
                <w:b/>
                <w:bCs/>
                <w:sz w:val="16"/>
                <w:szCs w:val="16"/>
                <w:lang w:val="en-NZ" w:eastAsia="en-AU"/>
              </w:rPr>
              <w:t>Low</w:t>
            </w:r>
          </w:p>
        </w:tc>
        <w:tc>
          <w:tcPr>
            <w:tcW w:w="70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shd w:val="clear" w:color="auto" w:fill="D9D9D9" w:themeFill="background1" w:themeFillShade="D9"/>
            <w:tcMar>
              <w:left w:w="28" w:type="dxa"/>
              <w:right w:w="28" w:type="dxa"/>
            </w:tcMar>
            <w:vAlign w:val="center"/>
          </w:tcPr>
          <w:p w14:paraId="7E62AC70" w14:textId="06F45954" w:rsidR="00F95FC0" w:rsidRDefault="00F95FC0" w:rsidP="0025453F">
            <w:pPr>
              <w:spacing w:before="60" w:after="60" w:line="240" w:lineRule="auto"/>
              <w:jc w:val="center"/>
              <w:rPr>
                <w:rFonts w:eastAsia="Calibri" w:cs="Arial"/>
                <w:b/>
                <w:bCs/>
                <w:sz w:val="16"/>
                <w:szCs w:val="16"/>
                <w:lang w:val="en-NZ" w:eastAsia="en-AU"/>
              </w:rPr>
            </w:pPr>
            <w:r>
              <w:rPr>
                <w:rFonts w:eastAsia="Calibri" w:cs="Arial"/>
                <w:b/>
                <w:bCs/>
                <w:sz w:val="16"/>
                <w:szCs w:val="16"/>
                <w:lang w:val="en-NZ" w:eastAsia="en-AU"/>
              </w:rPr>
              <w:t>Med</w:t>
            </w:r>
          </w:p>
        </w:tc>
        <w:tc>
          <w:tcPr>
            <w:tcW w:w="707" w:type="dxa"/>
            <w:tcBorders>
              <w:top w:val="single" w:sz="8" w:space="0" w:color="BFBFBF" w:themeColor="background1" w:themeShade="BF"/>
              <w:left w:val="single" w:sz="8" w:space="0" w:color="BFBFBF" w:themeColor="background1" w:themeShade="BF"/>
              <w:bottom w:val="single" w:sz="8" w:space="0" w:color="auto"/>
              <w:right w:val="single" w:sz="8" w:space="0" w:color="auto"/>
            </w:tcBorders>
            <w:shd w:val="clear" w:color="auto" w:fill="D9D9D9" w:themeFill="background1" w:themeFillShade="D9"/>
            <w:tcMar>
              <w:left w:w="28" w:type="dxa"/>
              <w:right w:w="28" w:type="dxa"/>
            </w:tcMar>
            <w:vAlign w:val="center"/>
          </w:tcPr>
          <w:p w14:paraId="1A4B0BAB" w14:textId="3BAD80EC" w:rsidR="00F95FC0" w:rsidRDefault="00F95FC0" w:rsidP="0025453F">
            <w:pPr>
              <w:spacing w:before="60" w:after="60" w:line="240" w:lineRule="auto"/>
              <w:jc w:val="center"/>
              <w:rPr>
                <w:rFonts w:eastAsia="Calibri" w:cs="Arial"/>
                <w:b/>
                <w:bCs/>
                <w:sz w:val="16"/>
                <w:szCs w:val="16"/>
                <w:lang w:val="en-NZ" w:eastAsia="en-AU"/>
              </w:rPr>
            </w:pPr>
            <w:r>
              <w:rPr>
                <w:rFonts w:eastAsia="Calibri" w:cs="Arial"/>
                <w:b/>
                <w:bCs/>
                <w:sz w:val="16"/>
                <w:szCs w:val="16"/>
                <w:lang w:val="en-NZ" w:eastAsia="en-AU"/>
              </w:rPr>
              <w:t>High</w:t>
            </w:r>
          </w:p>
        </w:tc>
        <w:tc>
          <w:tcPr>
            <w:tcW w:w="706" w:type="dxa"/>
            <w:tcBorders>
              <w:top w:val="single" w:sz="8" w:space="0" w:color="BFBFBF" w:themeColor="background1" w:themeShade="BF"/>
              <w:left w:val="nil"/>
              <w:bottom w:val="single" w:sz="8" w:space="0" w:color="auto"/>
              <w:right w:val="single" w:sz="8" w:space="0" w:color="BFBFBF" w:themeColor="background1" w:themeShade="BF"/>
            </w:tcBorders>
            <w:shd w:val="clear" w:color="auto" w:fill="D9D9D9" w:themeFill="background1" w:themeFillShade="D9"/>
            <w:tcMar>
              <w:top w:w="0" w:type="dxa"/>
              <w:left w:w="28" w:type="dxa"/>
              <w:bottom w:w="0" w:type="dxa"/>
              <w:right w:w="28" w:type="dxa"/>
            </w:tcMar>
            <w:vAlign w:val="center"/>
          </w:tcPr>
          <w:p w14:paraId="37E5F66E" w14:textId="2D2F50BB" w:rsidR="00F95FC0" w:rsidRDefault="00F95FC0" w:rsidP="0025453F">
            <w:pPr>
              <w:spacing w:before="60" w:after="60" w:line="240" w:lineRule="auto"/>
              <w:jc w:val="center"/>
              <w:rPr>
                <w:rFonts w:eastAsia="Calibri" w:cs="Arial"/>
                <w:b/>
                <w:bCs/>
                <w:sz w:val="16"/>
                <w:szCs w:val="16"/>
                <w:lang w:val="en-NZ" w:eastAsia="en-AU"/>
              </w:rPr>
            </w:pPr>
            <w:r>
              <w:rPr>
                <w:rFonts w:eastAsia="Calibri" w:cs="Arial"/>
                <w:b/>
                <w:bCs/>
                <w:sz w:val="16"/>
                <w:szCs w:val="16"/>
                <w:lang w:val="en-NZ" w:eastAsia="en-AU"/>
              </w:rPr>
              <w:t>Low</w:t>
            </w:r>
          </w:p>
        </w:tc>
        <w:tc>
          <w:tcPr>
            <w:tcW w:w="70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shd w:val="clear" w:color="auto" w:fill="D9D9D9" w:themeFill="background1" w:themeFillShade="D9"/>
            <w:tcMar>
              <w:left w:w="28" w:type="dxa"/>
              <w:right w:w="28" w:type="dxa"/>
            </w:tcMar>
            <w:vAlign w:val="center"/>
          </w:tcPr>
          <w:p w14:paraId="0C2B9CE0" w14:textId="0B38E2D0" w:rsidR="00F95FC0" w:rsidRDefault="00F95FC0" w:rsidP="0025453F">
            <w:pPr>
              <w:spacing w:before="60" w:after="60" w:line="240" w:lineRule="auto"/>
              <w:jc w:val="center"/>
              <w:rPr>
                <w:rFonts w:eastAsia="Calibri" w:cs="Arial"/>
                <w:b/>
                <w:bCs/>
                <w:sz w:val="16"/>
                <w:szCs w:val="16"/>
                <w:lang w:val="en-NZ" w:eastAsia="en-AU"/>
              </w:rPr>
            </w:pPr>
            <w:r>
              <w:rPr>
                <w:rFonts w:eastAsia="Calibri" w:cs="Arial"/>
                <w:b/>
                <w:bCs/>
                <w:sz w:val="16"/>
                <w:szCs w:val="16"/>
                <w:lang w:val="en-NZ" w:eastAsia="en-AU"/>
              </w:rPr>
              <w:t>Med</w:t>
            </w:r>
          </w:p>
        </w:tc>
        <w:tc>
          <w:tcPr>
            <w:tcW w:w="707" w:type="dxa"/>
            <w:tcBorders>
              <w:top w:val="single" w:sz="8" w:space="0" w:color="BFBFBF" w:themeColor="background1" w:themeShade="BF"/>
              <w:left w:val="single" w:sz="8" w:space="0" w:color="BFBFBF" w:themeColor="background1" w:themeShade="BF"/>
              <w:bottom w:val="single" w:sz="8" w:space="0" w:color="auto"/>
              <w:right w:val="single" w:sz="8" w:space="0" w:color="auto"/>
            </w:tcBorders>
            <w:shd w:val="clear" w:color="auto" w:fill="D9D9D9" w:themeFill="background1" w:themeFillShade="D9"/>
            <w:tcMar>
              <w:left w:w="28" w:type="dxa"/>
              <w:right w:w="28" w:type="dxa"/>
            </w:tcMar>
            <w:vAlign w:val="center"/>
          </w:tcPr>
          <w:p w14:paraId="2EBB6D90" w14:textId="206206FA" w:rsidR="00F95FC0" w:rsidRDefault="00F95FC0" w:rsidP="0025453F">
            <w:pPr>
              <w:spacing w:before="60" w:after="60" w:line="240" w:lineRule="auto"/>
              <w:jc w:val="center"/>
              <w:rPr>
                <w:rFonts w:eastAsia="Calibri" w:cs="Arial"/>
                <w:b/>
                <w:bCs/>
                <w:sz w:val="16"/>
                <w:szCs w:val="16"/>
                <w:lang w:val="en-NZ" w:eastAsia="en-AU"/>
              </w:rPr>
            </w:pPr>
            <w:r>
              <w:rPr>
                <w:rFonts w:eastAsia="Calibri" w:cs="Arial"/>
                <w:b/>
                <w:bCs/>
                <w:sz w:val="16"/>
                <w:szCs w:val="16"/>
                <w:lang w:val="en-NZ" w:eastAsia="en-AU"/>
              </w:rPr>
              <w:t>High</w:t>
            </w:r>
          </w:p>
        </w:tc>
      </w:tr>
      <w:tr w:rsidR="00F95FC0" w14:paraId="4539FC45" w14:textId="77777777" w:rsidTr="006D77CA">
        <w:trPr>
          <w:trHeight w:val="252"/>
        </w:trPr>
        <w:tc>
          <w:tcPr>
            <w:tcW w:w="4810" w:type="dxa"/>
            <w:tcBorders>
              <w:top w:val="single" w:sz="8" w:space="0" w:color="auto"/>
              <w:left w:val="single" w:sz="8" w:space="0" w:color="auto"/>
              <w:bottom w:val="single" w:sz="8" w:space="0" w:color="BFBFBF" w:themeColor="background1" w:themeShade="BF"/>
              <w:right w:val="single" w:sz="8" w:space="0" w:color="auto"/>
            </w:tcBorders>
            <w:tcMar>
              <w:top w:w="0" w:type="dxa"/>
              <w:left w:w="108" w:type="dxa"/>
              <w:bottom w:w="0" w:type="dxa"/>
              <w:right w:w="108" w:type="dxa"/>
            </w:tcMar>
            <w:vAlign w:val="bottom"/>
          </w:tcPr>
          <w:p w14:paraId="6693DCCB" w14:textId="3FA3427E" w:rsidR="00F95FC0" w:rsidRDefault="00F95FC0" w:rsidP="0025453F">
            <w:pPr>
              <w:spacing w:before="60" w:after="60" w:line="240" w:lineRule="auto"/>
              <w:rPr>
                <w:rFonts w:eastAsia="Calibri" w:cs="Arial"/>
                <w:sz w:val="16"/>
                <w:szCs w:val="16"/>
                <w:lang w:val="en-NZ" w:eastAsia="en-AU"/>
              </w:rPr>
            </w:pPr>
            <w:r w:rsidRPr="009814BF">
              <w:rPr>
                <w:rFonts w:eastAsia="Calibri" w:cs="Arial"/>
                <w:sz w:val="16"/>
                <w:szCs w:val="16"/>
                <w:lang w:val="en-NZ" w:eastAsia="en-AU"/>
              </w:rPr>
              <w:t>Applications to be an approved smoked tobacco retailer</w:t>
            </w:r>
          </w:p>
        </w:tc>
        <w:tc>
          <w:tcPr>
            <w:tcW w:w="706" w:type="dxa"/>
            <w:tcBorders>
              <w:top w:val="single" w:sz="8" w:space="0" w:color="auto"/>
              <w:left w:val="nil"/>
              <w:bottom w:val="single" w:sz="8" w:space="0" w:color="BFBFBF" w:themeColor="background1" w:themeShade="BF"/>
              <w:right w:val="single" w:sz="8" w:space="0" w:color="BFBFBF" w:themeColor="background1" w:themeShade="BF"/>
            </w:tcBorders>
            <w:noWrap/>
            <w:tcMar>
              <w:top w:w="0" w:type="dxa"/>
              <w:left w:w="0" w:type="dxa"/>
              <w:bottom w:w="0" w:type="dxa"/>
              <w:right w:w="11" w:type="dxa"/>
            </w:tcMar>
            <w:vAlign w:val="center"/>
          </w:tcPr>
          <w:p w14:paraId="7DD21043" w14:textId="68A11AF4" w:rsidR="00F95FC0"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500</w:t>
            </w:r>
          </w:p>
        </w:tc>
        <w:tc>
          <w:tcPr>
            <w:tcW w:w="70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noWrap/>
            <w:tcMar>
              <w:left w:w="0" w:type="dxa"/>
              <w:right w:w="11" w:type="dxa"/>
            </w:tcMar>
            <w:vAlign w:val="center"/>
          </w:tcPr>
          <w:p w14:paraId="7EC6D239" w14:textId="4A97C29D" w:rsidR="00F95FC0"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5</w:t>
            </w:r>
            <w:r w:rsidR="00BF647C">
              <w:rPr>
                <w:rFonts w:eastAsia="Calibri" w:cs="Arial"/>
                <w:sz w:val="16"/>
                <w:szCs w:val="16"/>
                <w:lang w:val="en-NZ" w:eastAsia="en-AU"/>
              </w:rPr>
              <w:t>,</w:t>
            </w:r>
            <w:r>
              <w:rPr>
                <w:rFonts w:eastAsia="Calibri" w:cs="Arial"/>
                <w:sz w:val="16"/>
                <w:szCs w:val="16"/>
                <w:lang w:val="en-NZ" w:eastAsia="en-AU"/>
              </w:rPr>
              <w:t>000</w:t>
            </w:r>
          </w:p>
        </w:tc>
        <w:tc>
          <w:tcPr>
            <w:tcW w:w="707" w:type="dxa"/>
            <w:tcBorders>
              <w:top w:val="single" w:sz="8" w:space="0" w:color="auto"/>
              <w:left w:val="single" w:sz="8" w:space="0" w:color="BFBFBF" w:themeColor="background1" w:themeShade="BF"/>
              <w:bottom w:val="single" w:sz="8" w:space="0" w:color="BFBFBF" w:themeColor="background1" w:themeShade="BF"/>
              <w:right w:val="single" w:sz="8" w:space="0" w:color="auto"/>
            </w:tcBorders>
            <w:noWrap/>
            <w:tcMar>
              <w:left w:w="0" w:type="dxa"/>
              <w:right w:w="11" w:type="dxa"/>
            </w:tcMar>
            <w:vAlign w:val="center"/>
          </w:tcPr>
          <w:p w14:paraId="518A3FD2" w14:textId="3B11D22F" w:rsidR="00F95FC0"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8</w:t>
            </w:r>
            <w:r w:rsidR="00BF647C">
              <w:rPr>
                <w:rFonts w:eastAsia="Calibri" w:cs="Arial"/>
                <w:sz w:val="16"/>
                <w:szCs w:val="16"/>
                <w:lang w:val="en-NZ" w:eastAsia="en-AU"/>
              </w:rPr>
              <w:t>,</w:t>
            </w:r>
            <w:r>
              <w:rPr>
                <w:rFonts w:eastAsia="Calibri" w:cs="Arial"/>
                <w:sz w:val="16"/>
                <w:szCs w:val="16"/>
                <w:lang w:val="en-NZ" w:eastAsia="en-AU"/>
              </w:rPr>
              <w:t>000</w:t>
            </w:r>
          </w:p>
        </w:tc>
        <w:tc>
          <w:tcPr>
            <w:tcW w:w="706" w:type="dxa"/>
            <w:tcBorders>
              <w:top w:val="single" w:sz="8" w:space="0" w:color="auto"/>
              <w:left w:val="nil"/>
              <w:bottom w:val="single" w:sz="8" w:space="0" w:color="BFBFBF" w:themeColor="background1" w:themeShade="BF"/>
              <w:right w:val="single" w:sz="8" w:space="0" w:color="BFBFBF" w:themeColor="background1" w:themeShade="BF"/>
            </w:tcBorders>
            <w:noWrap/>
            <w:tcMar>
              <w:top w:w="0" w:type="dxa"/>
              <w:left w:w="0" w:type="dxa"/>
              <w:bottom w:w="0" w:type="dxa"/>
              <w:right w:w="11" w:type="dxa"/>
            </w:tcMar>
            <w:vAlign w:val="center"/>
          </w:tcPr>
          <w:p w14:paraId="0111B390" w14:textId="77AB7809" w:rsidR="00F95FC0"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0</w:t>
            </w:r>
          </w:p>
        </w:tc>
        <w:tc>
          <w:tcPr>
            <w:tcW w:w="70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noWrap/>
            <w:tcMar>
              <w:left w:w="0" w:type="dxa"/>
              <w:right w:w="11" w:type="dxa"/>
            </w:tcMar>
            <w:vAlign w:val="center"/>
          </w:tcPr>
          <w:p w14:paraId="1F223DEF" w14:textId="0828F512" w:rsidR="00F95FC0"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0</w:t>
            </w:r>
          </w:p>
        </w:tc>
        <w:tc>
          <w:tcPr>
            <w:tcW w:w="707" w:type="dxa"/>
            <w:tcBorders>
              <w:top w:val="single" w:sz="8" w:space="0" w:color="auto"/>
              <w:left w:val="single" w:sz="8" w:space="0" w:color="BFBFBF" w:themeColor="background1" w:themeShade="BF"/>
              <w:bottom w:val="single" w:sz="8" w:space="0" w:color="BFBFBF" w:themeColor="background1" w:themeShade="BF"/>
              <w:right w:val="single" w:sz="8" w:space="0" w:color="auto"/>
            </w:tcBorders>
            <w:noWrap/>
            <w:tcMar>
              <w:left w:w="0" w:type="dxa"/>
              <w:right w:w="11" w:type="dxa"/>
            </w:tcMar>
            <w:vAlign w:val="center"/>
          </w:tcPr>
          <w:p w14:paraId="3FBF4098" w14:textId="264E7A80" w:rsidR="00F95FC0"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0</w:t>
            </w:r>
          </w:p>
        </w:tc>
      </w:tr>
      <w:tr w:rsidR="00F95FC0" w14:paraId="208CB995" w14:textId="77777777" w:rsidTr="006D77CA">
        <w:trPr>
          <w:trHeight w:val="252"/>
        </w:trPr>
        <w:tc>
          <w:tcPr>
            <w:tcW w:w="4810" w:type="dxa"/>
            <w:tcBorders>
              <w:top w:val="single" w:sz="8" w:space="0" w:color="BFBFBF" w:themeColor="background1" w:themeShade="BF"/>
              <w:left w:val="single" w:sz="8" w:space="0" w:color="auto"/>
              <w:bottom w:val="single" w:sz="8" w:space="0" w:color="BFBFBF" w:themeColor="background1" w:themeShade="BF"/>
              <w:right w:val="single" w:sz="8" w:space="0" w:color="auto"/>
            </w:tcBorders>
            <w:tcMar>
              <w:top w:w="0" w:type="dxa"/>
              <w:left w:w="108" w:type="dxa"/>
              <w:bottom w:w="0" w:type="dxa"/>
              <w:right w:w="108" w:type="dxa"/>
            </w:tcMar>
            <w:vAlign w:val="bottom"/>
          </w:tcPr>
          <w:p w14:paraId="69D01EA2" w14:textId="60AD1D9B" w:rsidR="00F95FC0" w:rsidRPr="621AC7E1" w:rsidRDefault="00F95FC0" w:rsidP="0025453F">
            <w:pPr>
              <w:spacing w:before="60" w:after="60" w:line="240" w:lineRule="auto"/>
              <w:rPr>
                <w:rFonts w:eastAsia="Calibri" w:cs="Arial"/>
                <w:sz w:val="16"/>
                <w:szCs w:val="16"/>
                <w:lang w:val="en-NZ" w:eastAsia="en-AU"/>
              </w:rPr>
            </w:pPr>
            <w:r>
              <w:rPr>
                <w:rFonts w:eastAsia="Calibri" w:cs="Arial"/>
                <w:sz w:val="16"/>
                <w:szCs w:val="16"/>
                <w:lang w:val="en-NZ" w:eastAsia="en-AU"/>
              </w:rPr>
              <w:t>Smoked tobacco product applications</w:t>
            </w:r>
          </w:p>
        </w:tc>
        <w:tc>
          <w:tcPr>
            <w:tcW w:w="70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noWrap/>
            <w:tcMar>
              <w:top w:w="0" w:type="dxa"/>
              <w:left w:w="0" w:type="dxa"/>
              <w:bottom w:w="0" w:type="dxa"/>
              <w:right w:w="11" w:type="dxa"/>
            </w:tcMar>
            <w:vAlign w:val="center"/>
          </w:tcPr>
          <w:p w14:paraId="56462CF7" w14:textId="44F1EE51"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0</w:t>
            </w:r>
          </w:p>
        </w:tc>
        <w:tc>
          <w:tcPr>
            <w:tcW w:w="7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noWrap/>
            <w:tcMar>
              <w:left w:w="0" w:type="dxa"/>
              <w:right w:w="11" w:type="dxa"/>
            </w:tcMar>
            <w:vAlign w:val="center"/>
          </w:tcPr>
          <w:p w14:paraId="5D37D4B3" w14:textId="0793E147"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5</w:t>
            </w:r>
          </w:p>
        </w:tc>
        <w:tc>
          <w:tcPr>
            <w:tcW w:w="7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auto"/>
            </w:tcBorders>
            <w:noWrap/>
            <w:tcMar>
              <w:left w:w="0" w:type="dxa"/>
              <w:right w:w="11" w:type="dxa"/>
            </w:tcMar>
            <w:vAlign w:val="center"/>
          </w:tcPr>
          <w:p w14:paraId="703425B5" w14:textId="4F362414"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8</w:t>
            </w:r>
          </w:p>
        </w:tc>
        <w:tc>
          <w:tcPr>
            <w:tcW w:w="70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noWrap/>
            <w:tcMar>
              <w:top w:w="0" w:type="dxa"/>
              <w:left w:w="0" w:type="dxa"/>
              <w:bottom w:w="0" w:type="dxa"/>
              <w:right w:w="11" w:type="dxa"/>
            </w:tcMar>
            <w:vAlign w:val="center"/>
          </w:tcPr>
          <w:p w14:paraId="4E0DFD4E" w14:textId="04AF7D79"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0</w:t>
            </w:r>
          </w:p>
        </w:tc>
        <w:tc>
          <w:tcPr>
            <w:tcW w:w="7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noWrap/>
            <w:tcMar>
              <w:left w:w="0" w:type="dxa"/>
              <w:right w:w="11" w:type="dxa"/>
            </w:tcMar>
            <w:vAlign w:val="center"/>
          </w:tcPr>
          <w:p w14:paraId="09BB86E2" w14:textId="5B6D2D59"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2</w:t>
            </w:r>
          </w:p>
        </w:tc>
        <w:tc>
          <w:tcPr>
            <w:tcW w:w="7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auto"/>
            </w:tcBorders>
            <w:noWrap/>
            <w:tcMar>
              <w:left w:w="0" w:type="dxa"/>
              <w:right w:w="11" w:type="dxa"/>
            </w:tcMar>
            <w:vAlign w:val="center"/>
          </w:tcPr>
          <w:p w14:paraId="1B97906F" w14:textId="0671977C"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4</w:t>
            </w:r>
          </w:p>
        </w:tc>
      </w:tr>
      <w:tr w:rsidR="00F95FC0" w14:paraId="10541DAB" w14:textId="77777777" w:rsidTr="006D77CA">
        <w:trPr>
          <w:trHeight w:val="252"/>
        </w:trPr>
        <w:tc>
          <w:tcPr>
            <w:tcW w:w="4810" w:type="dxa"/>
            <w:tcBorders>
              <w:top w:val="single" w:sz="8" w:space="0" w:color="BFBFBF" w:themeColor="background1" w:themeShade="BF"/>
              <w:left w:val="single" w:sz="8" w:space="0" w:color="auto"/>
              <w:bottom w:val="single" w:sz="8" w:space="0" w:color="BFBFBF" w:themeColor="background1" w:themeShade="BF"/>
              <w:right w:val="single" w:sz="8" w:space="0" w:color="auto"/>
            </w:tcBorders>
            <w:tcMar>
              <w:top w:w="0" w:type="dxa"/>
              <w:left w:w="108" w:type="dxa"/>
              <w:bottom w:w="0" w:type="dxa"/>
              <w:right w:w="108" w:type="dxa"/>
            </w:tcMar>
            <w:vAlign w:val="bottom"/>
          </w:tcPr>
          <w:p w14:paraId="77DB3F79" w14:textId="2DD7A369" w:rsidR="00F95FC0" w:rsidRPr="621AC7E1" w:rsidRDefault="00F95FC0" w:rsidP="0025453F">
            <w:pPr>
              <w:spacing w:before="60" w:after="60" w:line="240" w:lineRule="auto"/>
              <w:rPr>
                <w:rFonts w:eastAsia="Calibri" w:cs="Arial"/>
                <w:sz w:val="16"/>
                <w:szCs w:val="16"/>
                <w:lang w:val="en-NZ" w:eastAsia="en-AU"/>
              </w:rPr>
            </w:pPr>
            <w:r>
              <w:rPr>
                <w:rFonts w:eastAsia="Calibri" w:cs="Arial"/>
                <w:sz w:val="16"/>
                <w:szCs w:val="16"/>
                <w:lang w:val="en-NZ" w:eastAsia="en-AU"/>
              </w:rPr>
              <w:t>Smoked tobacco product – temporary approvals</w:t>
            </w:r>
          </w:p>
        </w:tc>
        <w:tc>
          <w:tcPr>
            <w:tcW w:w="70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noWrap/>
            <w:tcMar>
              <w:top w:w="0" w:type="dxa"/>
              <w:left w:w="0" w:type="dxa"/>
              <w:bottom w:w="0" w:type="dxa"/>
              <w:right w:w="11" w:type="dxa"/>
            </w:tcMar>
            <w:vAlign w:val="center"/>
          </w:tcPr>
          <w:p w14:paraId="2FCC447A" w14:textId="4939AEC1"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25</w:t>
            </w:r>
          </w:p>
        </w:tc>
        <w:tc>
          <w:tcPr>
            <w:tcW w:w="7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noWrap/>
            <w:tcMar>
              <w:left w:w="0" w:type="dxa"/>
              <w:right w:w="11" w:type="dxa"/>
            </w:tcMar>
            <w:vAlign w:val="center"/>
          </w:tcPr>
          <w:p w14:paraId="4A6BC2C1" w14:textId="275420E4"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50</w:t>
            </w:r>
          </w:p>
        </w:tc>
        <w:tc>
          <w:tcPr>
            <w:tcW w:w="7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auto"/>
            </w:tcBorders>
            <w:noWrap/>
            <w:tcMar>
              <w:left w:w="0" w:type="dxa"/>
              <w:right w:w="11" w:type="dxa"/>
            </w:tcMar>
            <w:vAlign w:val="center"/>
          </w:tcPr>
          <w:p w14:paraId="311EFF17" w14:textId="50C5AEFB"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75</w:t>
            </w:r>
          </w:p>
        </w:tc>
        <w:tc>
          <w:tcPr>
            <w:tcW w:w="70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noWrap/>
            <w:tcMar>
              <w:top w:w="0" w:type="dxa"/>
              <w:left w:w="0" w:type="dxa"/>
              <w:bottom w:w="0" w:type="dxa"/>
              <w:right w:w="11" w:type="dxa"/>
            </w:tcMar>
            <w:vAlign w:val="center"/>
          </w:tcPr>
          <w:p w14:paraId="48087BAC" w14:textId="319BBD8A"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25</w:t>
            </w:r>
          </w:p>
        </w:tc>
        <w:tc>
          <w:tcPr>
            <w:tcW w:w="7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noWrap/>
            <w:tcMar>
              <w:left w:w="0" w:type="dxa"/>
              <w:right w:w="11" w:type="dxa"/>
            </w:tcMar>
            <w:vAlign w:val="center"/>
          </w:tcPr>
          <w:p w14:paraId="087D5DB7" w14:textId="5EB6AF19"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50</w:t>
            </w:r>
          </w:p>
        </w:tc>
        <w:tc>
          <w:tcPr>
            <w:tcW w:w="7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auto"/>
            </w:tcBorders>
            <w:noWrap/>
            <w:tcMar>
              <w:left w:w="0" w:type="dxa"/>
              <w:right w:w="11" w:type="dxa"/>
            </w:tcMar>
            <w:vAlign w:val="center"/>
          </w:tcPr>
          <w:p w14:paraId="0D2CF232" w14:textId="34B48B0B"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75</w:t>
            </w:r>
          </w:p>
        </w:tc>
      </w:tr>
      <w:tr w:rsidR="00F95FC0" w14:paraId="10794B94" w14:textId="77777777" w:rsidTr="006D77CA">
        <w:trPr>
          <w:trHeight w:val="252"/>
        </w:trPr>
        <w:tc>
          <w:tcPr>
            <w:tcW w:w="4810" w:type="dxa"/>
            <w:tcBorders>
              <w:top w:val="single" w:sz="8" w:space="0" w:color="BFBFBF" w:themeColor="background1" w:themeShade="BF"/>
              <w:left w:val="single" w:sz="8" w:space="0" w:color="auto"/>
              <w:bottom w:val="single" w:sz="8" w:space="0" w:color="auto"/>
              <w:right w:val="single" w:sz="8" w:space="0" w:color="auto"/>
            </w:tcBorders>
            <w:tcMar>
              <w:top w:w="0" w:type="dxa"/>
              <w:left w:w="108" w:type="dxa"/>
              <w:bottom w:w="0" w:type="dxa"/>
              <w:right w:w="108" w:type="dxa"/>
            </w:tcMar>
            <w:vAlign w:val="bottom"/>
          </w:tcPr>
          <w:p w14:paraId="5D9BBC9D" w14:textId="4A52039F" w:rsidR="00F95FC0" w:rsidRPr="621AC7E1" w:rsidRDefault="00F95FC0" w:rsidP="0025453F">
            <w:pPr>
              <w:spacing w:before="60" w:after="60" w:line="240" w:lineRule="auto"/>
              <w:rPr>
                <w:rFonts w:eastAsia="Calibri" w:cs="Arial"/>
                <w:sz w:val="16"/>
                <w:szCs w:val="16"/>
                <w:lang w:val="en-NZ" w:eastAsia="en-AU"/>
              </w:rPr>
            </w:pPr>
            <w:r>
              <w:rPr>
                <w:rFonts w:eastAsia="Calibri" w:cs="Arial"/>
                <w:sz w:val="16"/>
                <w:szCs w:val="16"/>
                <w:lang w:val="en-NZ" w:eastAsia="en-AU"/>
              </w:rPr>
              <w:t>Registrations – smoked tobacco distributors, general vape retailers, retailers of other notifiable products</w:t>
            </w:r>
          </w:p>
        </w:tc>
        <w:tc>
          <w:tcPr>
            <w:tcW w:w="706" w:type="dxa"/>
            <w:tcBorders>
              <w:top w:val="single" w:sz="8" w:space="0" w:color="BFBFBF" w:themeColor="background1" w:themeShade="BF"/>
              <w:left w:val="nil"/>
              <w:bottom w:val="single" w:sz="8" w:space="0" w:color="auto"/>
              <w:right w:val="single" w:sz="8" w:space="0" w:color="BFBFBF" w:themeColor="background1" w:themeShade="BF"/>
            </w:tcBorders>
            <w:noWrap/>
            <w:tcMar>
              <w:top w:w="0" w:type="dxa"/>
              <w:left w:w="0" w:type="dxa"/>
              <w:bottom w:w="0" w:type="dxa"/>
              <w:right w:w="11" w:type="dxa"/>
            </w:tcMar>
            <w:vAlign w:val="center"/>
          </w:tcPr>
          <w:p w14:paraId="7DD38EA5" w14:textId="5D6A11CC"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4,000</w:t>
            </w:r>
          </w:p>
        </w:tc>
        <w:tc>
          <w:tcPr>
            <w:tcW w:w="70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noWrap/>
            <w:tcMar>
              <w:left w:w="0" w:type="dxa"/>
              <w:right w:w="11" w:type="dxa"/>
            </w:tcMar>
            <w:vAlign w:val="center"/>
          </w:tcPr>
          <w:p w14:paraId="38143F83" w14:textId="1AA8CB6F"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5</w:t>
            </w:r>
            <w:r w:rsidR="00BF647C">
              <w:rPr>
                <w:rFonts w:eastAsia="Calibri" w:cs="Arial"/>
                <w:sz w:val="16"/>
                <w:szCs w:val="16"/>
                <w:lang w:val="en-NZ" w:eastAsia="en-AU"/>
              </w:rPr>
              <w:t>,</w:t>
            </w:r>
            <w:r>
              <w:rPr>
                <w:rFonts w:eastAsia="Calibri" w:cs="Arial"/>
                <w:sz w:val="16"/>
                <w:szCs w:val="16"/>
                <w:lang w:val="en-NZ" w:eastAsia="en-AU"/>
              </w:rPr>
              <w:t>000</w:t>
            </w:r>
          </w:p>
        </w:tc>
        <w:tc>
          <w:tcPr>
            <w:tcW w:w="707" w:type="dxa"/>
            <w:tcBorders>
              <w:top w:val="single" w:sz="8" w:space="0" w:color="BFBFBF" w:themeColor="background1" w:themeShade="BF"/>
              <w:left w:val="single" w:sz="8" w:space="0" w:color="BFBFBF" w:themeColor="background1" w:themeShade="BF"/>
              <w:bottom w:val="single" w:sz="8" w:space="0" w:color="auto"/>
              <w:right w:val="single" w:sz="8" w:space="0" w:color="auto"/>
            </w:tcBorders>
            <w:noWrap/>
            <w:tcMar>
              <w:left w:w="0" w:type="dxa"/>
              <w:right w:w="11" w:type="dxa"/>
            </w:tcMar>
            <w:vAlign w:val="center"/>
          </w:tcPr>
          <w:p w14:paraId="3A9FC65A" w14:textId="35B9240D"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10</w:t>
            </w:r>
            <w:r w:rsidR="00BF647C">
              <w:rPr>
                <w:rFonts w:eastAsia="Calibri" w:cs="Arial"/>
                <w:sz w:val="16"/>
                <w:szCs w:val="16"/>
                <w:lang w:val="en-NZ" w:eastAsia="en-AU"/>
              </w:rPr>
              <w:t>,</w:t>
            </w:r>
            <w:r>
              <w:rPr>
                <w:rFonts w:eastAsia="Calibri" w:cs="Arial"/>
                <w:sz w:val="16"/>
                <w:szCs w:val="16"/>
                <w:lang w:val="en-NZ" w:eastAsia="en-AU"/>
              </w:rPr>
              <w:t>000</w:t>
            </w:r>
          </w:p>
        </w:tc>
        <w:tc>
          <w:tcPr>
            <w:tcW w:w="706" w:type="dxa"/>
            <w:tcBorders>
              <w:top w:val="single" w:sz="8" w:space="0" w:color="BFBFBF" w:themeColor="background1" w:themeShade="BF"/>
              <w:left w:val="nil"/>
              <w:bottom w:val="single" w:sz="8" w:space="0" w:color="auto"/>
              <w:right w:val="single" w:sz="8" w:space="0" w:color="BFBFBF" w:themeColor="background1" w:themeShade="BF"/>
            </w:tcBorders>
            <w:noWrap/>
            <w:tcMar>
              <w:top w:w="0" w:type="dxa"/>
              <w:left w:w="0" w:type="dxa"/>
              <w:bottom w:w="0" w:type="dxa"/>
              <w:right w:w="11" w:type="dxa"/>
            </w:tcMar>
            <w:vAlign w:val="center"/>
          </w:tcPr>
          <w:p w14:paraId="63FFBC22" w14:textId="58912A74"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4</w:t>
            </w:r>
            <w:r w:rsidR="00BF647C">
              <w:rPr>
                <w:rFonts w:eastAsia="Calibri" w:cs="Arial"/>
                <w:sz w:val="16"/>
                <w:szCs w:val="16"/>
                <w:lang w:val="en-NZ" w:eastAsia="en-AU"/>
              </w:rPr>
              <w:t>,</w:t>
            </w:r>
            <w:r>
              <w:rPr>
                <w:rFonts w:eastAsia="Calibri" w:cs="Arial"/>
                <w:sz w:val="16"/>
                <w:szCs w:val="16"/>
                <w:lang w:val="en-NZ" w:eastAsia="en-AU"/>
              </w:rPr>
              <w:t>000</w:t>
            </w:r>
          </w:p>
        </w:tc>
        <w:tc>
          <w:tcPr>
            <w:tcW w:w="70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noWrap/>
            <w:tcMar>
              <w:left w:w="0" w:type="dxa"/>
              <w:right w:w="11" w:type="dxa"/>
            </w:tcMar>
            <w:vAlign w:val="center"/>
          </w:tcPr>
          <w:p w14:paraId="64E155F1" w14:textId="541688C5"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5</w:t>
            </w:r>
            <w:r w:rsidR="00BF647C">
              <w:rPr>
                <w:rFonts w:eastAsia="Calibri" w:cs="Arial"/>
                <w:sz w:val="16"/>
                <w:szCs w:val="16"/>
                <w:lang w:val="en-NZ" w:eastAsia="en-AU"/>
              </w:rPr>
              <w:t>,</w:t>
            </w:r>
            <w:r>
              <w:rPr>
                <w:rFonts w:eastAsia="Calibri" w:cs="Arial"/>
                <w:sz w:val="16"/>
                <w:szCs w:val="16"/>
                <w:lang w:val="en-NZ" w:eastAsia="en-AU"/>
              </w:rPr>
              <w:t>000</w:t>
            </w:r>
          </w:p>
        </w:tc>
        <w:tc>
          <w:tcPr>
            <w:tcW w:w="707" w:type="dxa"/>
            <w:tcBorders>
              <w:top w:val="single" w:sz="8" w:space="0" w:color="BFBFBF" w:themeColor="background1" w:themeShade="BF"/>
              <w:left w:val="single" w:sz="8" w:space="0" w:color="BFBFBF" w:themeColor="background1" w:themeShade="BF"/>
              <w:bottom w:val="single" w:sz="8" w:space="0" w:color="auto"/>
              <w:right w:val="single" w:sz="8" w:space="0" w:color="auto"/>
            </w:tcBorders>
            <w:noWrap/>
            <w:tcMar>
              <w:left w:w="0" w:type="dxa"/>
              <w:right w:w="11" w:type="dxa"/>
            </w:tcMar>
            <w:vAlign w:val="center"/>
          </w:tcPr>
          <w:p w14:paraId="1E893314" w14:textId="7F89C53B" w:rsidR="00F95FC0" w:rsidRPr="621AC7E1" w:rsidRDefault="00F95FC0" w:rsidP="0025453F">
            <w:pPr>
              <w:spacing w:before="60" w:after="60" w:line="240" w:lineRule="auto"/>
              <w:ind w:right="125"/>
              <w:jc w:val="right"/>
              <w:rPr>
                <w:rFonts w:eastAsia="Calibri" w:cs="Arial"/>
                <w:sz w:val="16"/>
                <w:szCs w:val="16"/>
                <w:lang w:val="en-NZ" w:eastAsia="en-AU"/>
              </w:rPr>
            </w:pPr>
            <w:r>
              <w:rPr>
                <w:rFonts w:eastAsia="Calibri" w:cs="Arial"/>
                <w:sz w:val="16"/>
                <w:szCs w:val="16"/>
                <w:lang w:val="en-NZ" w:eastAsia="en-AU"/>
              </w:rPr>
              <w:t>10</w:t>
            </w:r>
            <w:r w:rsidR="00BF647C">
              <w:rPr>
                <w:rFonts w:eastAsia="Calibri" w:cs="Arial"/>
                <w:sz w:val="16"/>
                <w:szCs w:val="16"/>
                <w:lang w:val="en-NZ" w:eastAsia="en-AU"/>
              </w:rPr>
              <w:t>,</w:t>
            </w:r>
            <w:r>
              <w:rPr>
                <w:rFonts w:eastAsia="Calibri" w:cs="Arial"/>
                <w:sz w:val="16"/>
                <w:szCs w:val="16"/>
                <w:lang w:val="en-NZ" w:eastAsia="en-AU"/>
              </w:rPr>
              <w:t>000</w:t>
            </w:r>
          </w:p>
        </w:tc>
      </w:tr>
    </w:tbl>
    <w:p w14:paraId="3BA3B853" w14:textId="22DB1F75" w:rsidR="00F64A96" w:rsidRPr="00F24015" w:rsidRDefault="00F64A96" w:rsidP="00F22128">
      <w:pPr>
        <w:spacing w:before="120" w:after="120" w:line="240" w:lineRule="auto"/>
        <w:rPr>
          <w:rFonts w:cs="Arial"/>
        </w:rPr>
      </w:pPr>
      <w:r w:rsidRPr="00F24015">
        <w:rPr>
          <w:rFonts w:cs="Arial"/>
        </w:rPr>
        <w:t>The</w:t>
      </w:r>
      <w:r w:rsidR="006037E6">
        <w:rPr>
          <w:rFonts w:cs="Arial"/>
        </w:rPr>
        <w:t xml:space="preserve"> money recovered</w:t>
      </w:r>
      <w:r w:rsidR="00486F11">
        <w:rPr>
          <w:rFonts w:cs="Arial"/>
        </w:rPr>
        <w:t xml:space="preserve"> </w:t>
      </w:r>
      <w:r w:rsidRPr="00F24015">
        <w:rPr>
          <w:rFonts w:cs="Arial"/>
        </w:rPr>
        <w:t xml:space="preserve">from applications will be directly </w:t>
      </w:r>
      <w:r w:rsidRPr="19AFD816">
        <w:rPr>
          <w:rFonts w:cs="Arial"/>
        </w:rPr>
        <w:t>proportiona</w:t>
      </w:r>
      <w:r w:rsidR="6570DF7B" w:rsidRPr="19AFD816">
        <w:rPr>
          <w:rFonts w:cs="Arial"/>
        </w:rPr>
        <w:t>te</w:t>
      </w:r>
      <w:r w:rsidRPr="00F24015">
        <w:rPr>
          <w:rFonts w:cs="Arial"/>
        </w:rPr>
        <w:t xml:space="preserve"> to the number of applications received, and cost-recovery therefore </w:t>
      </w:r>
      <w:r w:rsidR="00C8274B">
        <w:rPr>
          <w:rFonts w:cs="Arial"/>
        </w:rPr>
        <w:t>directly correlates</w:t>
      </w:r>
      <w:r w:rsidRPr="00F24015">
        <w:rPr>
          <w:rFonts w:cs="Arial"/>
        </w:rPr>
        <w:t xml:space="preserve"> to the volume of application fees.</w:t>
      </w:r>
    </w:p>
    <w:p w14:paraId="30D53D46" w14:textId="33EA97FE" w:rsidR="0D470759" w:rsidRDefault="11AF6EB7" w:rsidP="00F22128">
      <w:pPr>
        <w:spacing w:after="120" w:line="240" w:lineRule="auto"/>
        <w:rPr>
          <w:rFonts w:eastAsia="Segoe UI" w:cs="Arial"/>
        </w:rPr>
      </w:pPr>
      <w:r w:rsidRPr="3C4E5589">
        <w:rPr>
          <w:rFonts w:eastAsia="Segoe UI" w:cs="Arial"/>
        </w:rPr>
        <w:t>Modelled costs</w:t>
      </w:r>
      <w:r w:rsidR="58D5E9B1" w:rsidRPr="3C4E5589">
        <w:rPr>
          <w:rFonts w:eastAsia="Segoe UI" w:cs="Arial"/>
        </w:rPr>
        <w:t xml:space="preserve"> and funding</w:t>
      </w:r>
      <w:r w:rsidRPr="3C4E5589">
        <w:rPr>
          <w:rFonts w:eastAsia="Segoe UI" w:cs="Arial"/>
        </w:rPr>
        <w:t xml:space="preserve"> for </w:t>
      </w:r>
      <w:r w:rsidR="67D465E0" w:rsidRPr="3C4E5589">
        <w:rPr>
          <w:rFonts w:eastAsia="Segoe UI" w:cs="Arial"/>
        </w:rPr>
        <w:t xml:space="preserve">the </w:t>
      </w:r>
      <w:r w:rsidR="17E5FC46" w:rsidRPr="3C4E5589">
        <w:rPr>
          <w:rFonts w:eastAsia="Segoe UI" w:cs="Arial"/>
        </w:rPr>
        <w:t>scenario with</w:t>
      </w:r>
      <w:r w:rsidR="78F95479" w:rsidRPr="3C4E5589">
        <w:rPr>
          <w:rFonts w:eastAsia="Segoe UI" w:cs="Arial"/>
        </w:rPr>
        <w:t xml:space="preserve"> a medium volume of applications</w:t>
      </w:r>
      <w:r w:rsidRPr="3C4E5589">
        <w:rPr>
          <w:rFonts w:eastAsia="Segoe UI" w:cs="Arial"/>
        </w:rPr>
        <w:t xml:space="preserve"> </w:t>
      </w:r>
      <w:r w:rsidR="501A7CF9" w:rsidRPr="3C4E5589">
        <w:rPr>
          <w:rFonts w:eastAsia="Segoe UI" w:cs="Arial"/>
        </w:rPr>
        <w:t>is</w:t>
      </w:r>
      <w:r w:rsidRPr="3C4E5589">
        <w:rPr>
          <w:rFonts w:eastAsia="Segoe UI" w:cs="Arial"/>
        </w:rPr>
        <w:t xml:space="preserve"> presented in table </w:t>
      </w:r>
      <w:r w:rsidR="00EA1459">
        <w:rPr>
          <w:rFonts w:eastAsia="Segoe UI" w:cs="Arial"/>
        </w:rPr>
        <w:t>4</w:t>
      </w:r>
      <w:r w:rsidRPr="3C4E5589">
        <w:rPr>
          <w:rFonts w:eastAsia="Segoe UI" w:cs="Arial"/>
        </w:rPr>
        <w:t xml:space="preserve"> below:</w:t>
      </w:r>
    </w:p>
    <w:p w14:paraId="3428D97C" w14:textId="7B0027C2" w:rsidR="28E41E55" w:rsidRDefault="28E41E55" w:rsidP="00A40C91">
      <w:pPr>
        <w:spacing w:after="60"/>
        <w:rPr>
          <w:rFonts w:eastAsia="Segoe UI" w:cs="Arial"/>
          <w:b/>
          <w:bCs/>
          <w:sz w:val="18"/>
          <w:szCs w:val="18"/>
        </w:rPr>
      </w:pPr>
      <w:r w:rsidRPr="1B502AF9">
        <w:rPr>
          <w:rFonts w:eastAsia="Segoe UI" w:cs="Arial"/>
          <w:b/>
          <w:bCs/>
          <w:sz w:val="20"/>
        </w:rPr>
        <w:t>Table</w:t>
      </w:r>
      <w:r w:rsidR="008B7786">
        <w:rPr>
          <w:rFonts w:eastAsia="Segoe UI" w:cs="Arial"/>
          <w:b/>
          <w:bCs/>
          <w:sz w:val="20"/>
        </w:rPr>
        <w:t xml:space="preserve"> 4</w:t>
      </w:r>
      <w:r w:rsidRPr="1B502AF9">
        <w:rPr>
          <w:rFonts w:eastAsia="Segoe UI" w:cs="Arial"/>
          <w:b/>
          <w:bCs/>
          <w:sz w:val="20"/>
        </w:rPr>
        <w:t>:</w:t>
      </w:r>
    </w:p>
    <w:tbl>
      <w:tblPr>
        <w:tblW w:w="0" w:type="auto"/>
        <w:tblLook w:val="04A0" w:firstRow="1" w:lastRow="0" w:firstColumn="1" w:lastColumn="0" w:noHBand="0" w:noVBand="1"/>
      </w:tblPr>
      <w:tblGrid>
        <w:gridCol w:w="3567"/>
        <w:gridCol w:w="1246"/>
        <w:gridCol w:w="1328"/>
        <w:gridCol w:w="1246"/>
        <w:gridCol w:w="1286"/>
      </w:tblGrid>
      <w:tr w:rsidR="00061B64" w14:paraId="4F35D5C6" w14:textId="77777777" w:rsidTr="00700A6B">
        <w:trPr>
          <w:trHeight w:val="276"/>
        </w:trPr>
        <w:tc>
          <w:tcPr>
            <w:tcW w:w="3567" w:type="dxa"/>
            <w:tcBorders>
              <w:top w:val="single" w:sz="8" w:space="0" w:color="auto"/>
              <w:left w:val="single" w:sz="8" w:space="0" w:color="auto"/>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tcPr>
          <w:p w14:paraId="1BBA18A6" w14:textId="643FC045" w:rsidR="00061B64" w:rsidRDefault="00FC1006" w:rsidP="0025453F">
            <w:pPr>
              <w:spacing w:before="60" w:after="60" w:line="240" w:lineRule="auto"/>
              <w:rPr>
                <w:rFonts w:eastAsia="Calibri" w:cs="Arial"/>
                <w:b/>
                <w:bCs/>
                <w:sz w:val="16"/>
                <w:szCs w:val="16"/>
                <w:lang w:val="en-NZ" w:eastAsia="en-AU"/>
              </w:rPr>
            </w:pPr>
            <w:r>
              <w:rPr>
                <w:rFonts w:eastAsia="Calibri" w:cs="Arial"/>
                <w:b/>
                <w:bCs/>
                <w:sz w:val="16"/>
                <w:szCs w:val="16"/>
                <w:lang w:val="en-NZ" w:eastAsia="en-AU"/>
              </w:rPr>
              <w:t xml:space="preserve">Forecast (Medium </w:t>
            </w:r>
            <w:r w:rsidR="000000C0">
              <w:rPr>
                <w:rFonts w:eastAsia="Calibri" w:cs="Arial"/>
                <w:b/>
                <w:bCs/>
                <w:sz w:val="16"/>
                <w:szCs w:val="16"/>
                <w:lang w:val="en-NZ" w:eastAsia="en-AU"/>
              </w:rPr>
              <w:t>Scenario)</w:t>
            </w:r>
          </w:p>
        </w:tc>
        <w:tc>
          <w:tcPr>
            <w:tcW w:w="1246"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tcPr>
          <w:p w14:paraId="192160C4" w14:textId="59FB01DD" w:rsidR="00061B64" w:rsidRPr="00B02DFA" w:rsidRDefault="00061B64" w:rsidP="0025453F">
            <w:pPr>
              <w:spacing w:before="60" w:after="60" w:line="240" w:lineRule="auto"/>
              <w:rPr>
                <w:rFonts w:eastAsia="Calibri" w:cs="Arial"/>
                <w:b/>
                <w:bCs/>
                <w:sz w:val="16"/>
                <w:szCs w:val="16"/>
                <w:lang w:val="en-NZ" w:eastAsia="en-AU"/>
              </w:rPr>
            </w:pPr>
            <w:r w:rsidRPr="00B02DFA">
              <w:rPr>
                <w:rFonts w:eastAsia="Calibri" w:cs="Arial"/>
                <w:b/>
                <w:bCs/>
                <w:sz w:val="16"/>
                <w:szCs w:val="16"/>
                <w:lang w:val="en-NZ" w:eastAsia="en-AU"/>
              </w:rPr>
              <w:t>2022/23</w:t>
            </w:r>
          </w:p>
        </w:tc>
        <w:tc>
          <w:tcPr>
            <w:tcW w:w="1328"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tcPr>
          <w:p w14:paraId="0657DA7B" w14:textId="02FB8E9D" w:rsidR="00061B64" w:rsidRPr="00B02DFA" w:rsidRDefault="00061B64" w:rsidP="0025453F">
            <w:pPr>
              <w:spacing w:before="60" w:after="60" w:line="240" w:lineRule="auto"/>
              <w:rPr>
                <w:rFonts w:eastAsia="Calibri" w:cs="Arial"/>
                <w:b/>
                <w:bCs/>
                <w:sz w:val="16"/>
                <w:szCs w:val="16"/>
                <w:lang w:val="en-NZ" w:eastAsia="en-AU"/>
              </w:rPr>
            </w:pPr>
            <w:r w:rsidRPr="00B02DFA">
              <w:rPr>
                <w:rFonts w:eastAsia="Calibri" w:cs="Arial"/>
                <w:b/>
                <w:bCs/>
                <w:sz w:val="16"/>
                <w:szCs w:val="16"/>
                <w:lang w:val="en-NZ" w:eastAsia="en-AU"/>
              </w:rPr>
              <w:t>2023/24</w:t>
            </w:r>
          </w:p>
        </w:tc>
        <w:tc>
          <w:tcPr>
            <w:tcW w:w="1246" w:type="dxa"/>
            <w:tcBorders>
              <w:top w:val="single" w:sz="8" w:space="0" w:color="auto"/>
              <w:left w:val="nil"/>
              <w:bottom w:val="single" w:sz="4" w:space="0" w:color="auto"/>
              <w:right w:val="double" w:sz="4" w:space="0" w:color="auto"/>
            </w:tcBorders>
            <w:shd w:val="clear" w:color="auto" w:fill="A6A6A6" w:themeFill="background1" w:themeFillShade="A6"/>
            <w:tcMar>
              <w:top w:w="0" w:type="dxa"/>
              <w:left w:w="108" w:type="dxa"/>
              <w:bottom w:w="0" w:type="dxa"/>
              <w:right w:w="108" w:type="dxa"/>
            </w:tcMar>
            <w:vAlign w:val="center"/>
          </w:tcPr>
          <w:p w14:paraId="5CA14429" w14:textId="2E0D9EC2" w:rsidR="00061B64" w:rsidRPr="00B02DFA" w:rsidRDefault="00061B64" w:rsidP="0025453F">
            <w:pPr>
              <w:spacing w:before="60" w:after="60" w:line="240" w:lineRule="auto"/>
              <w:rPr>
                <w:rFonts w:eastAsia="Calibri" w:cs="Arial"/>
                <w:b/>
                <w:bCs/>
                <w:sz w:val="16"/>
                <w:szCs w:val="16"/>
                <w:lang w:val="en-NZ" w:eastAsia="en-AU"/>
              </w:rPr>
            </w:pPr>
            <w:r w:rsidRPr="00B02DFA">
              <w:rPr>
                <w:rFonts w:eastAsia="Calibri" w:cs="Arial"/>
                <w:b/>
                <w:bCs/>
                <w:sz w:val="16"/>
                <w:szCs w:val="16"/>
                <w:lang w:val="en-NZ" w:eastAsia="en-AU"/>
              </w:rPr>
              <w:t>2024/25</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tcPr>
          <w:p w14:paraId="647B3175" w14:textId="13D95285" w:rsidR="00061B64" w:rsidRDefault="00061B64" w:rsidP="0025453F">
            <w:pPr>
              <w:spacing w:before="60" w:after="60" w:line="240" w:lineRule="auto"/>
              <w:rPr>
                <w:rFonts w:eastAsia="Calibri" w:cs="Arial"/>
                <w:b/>
                <w:bCs/>
                <w:sz w:val="16"/>
                <w:szCs w:val="16"/>
                <w:lang w:val="en-NZ" w:eastAsia="en-AU"/>
              </w:rPr>
            </w:pPr>
            <w:r>
              <w:rPr>
                <w:rFonts w:eastAsia="Calibri" w:cs="Arial"/>
                <w:b/>
                <w:bCs/>
                <w:sz w:val="16"/>
                <w:szCs w:val="16"/>
                <w:lang w:val="en-NZ" w:eastAsia="en-AU"/>
              </w:rPr>
              <w:t>2025</w:t>
            </w:r>
            <w:r w:rsidR="008331C3">
              <w:rPr>
                <w:rFonts w:eastAsia="Calibri" w:cs="Arial"/>
                <w:b/>
                <w:bCs/>
                <w:sz w:val="16"/>
                <w:szCs w:val="16"/>
                <w:lang w:val="en-NZ" w:eastAsia="en-AU"/>
              </w:rPr>
              <w:t>/26 and outyears</w:t>
            </w:r>
          </w:p>
        </w:tc>
      </w:tr>
      <w:tr w:rsidR="00061B64" w14:paraId="63BA1904" w14:textId="77777777" w:rsidTr="00700A6B">
        <w:trPr>
          <w:trHeight w:val="276"/>
        </w:trPr>
        <w:tc>
          <w:tcPr>
            <w:tcW w:w="3567" w:type="dxa"/>
            <w:tcBorders>
              <w:top w:val="single" w:sz="4" w:space="0" w:color="auto"/>
              <w:left w:val="single" w:sz="4" w:space="0" w:color="auto"/>
              <w:bottom w:val="single" w:sz="4" w:space="0" w:color="BFBFBF" w:themeColor="background1" w:themeShade="BF"/>
              <w:right w:val="single" w:sz="4" w:space="0" w:color="auto"/>
            </w:tcBorders>
            <w:tcMar>
              <w:top w:w="0" w:type="dxa"/>
              <w:left w:w="108" w:type="dxa"/>
              <w:bottom w:w="0" w:type="dxa"/>
              <w:right w:w="108" w:type="dxa"/>
            </w:tcMar>
            <w:vAlign w:val="center"/>
          </w:tcPr>
          <w:p w14:paraId="28C70DD3" w14:textId="15C8662B" w:rsidR="00061B64" w:rsidRDefault="00750268" w:rsidP="0025453F">
            <w:pPr>
              <w:spacing w:before="60" w:after="60" w:line="240" w:lineRule="auto"/>
              <w:rPr>
                <w:rFonts w:eastAsia="Calibri" w:cs="Arial"/>
                <w:sz w:val="16"/>
                <w:szCs w:val="16"/>
                <w:lang w:val="en-NZ" w:eastAsia="en-AU"/>
              </w:rPr>
            </w:pPr>
            <w:r>
              <w:rPr>
                <w:rFonts w:eastAsia="Calibri" w:cs="Arial"/>
                <w:sz w:val="16"/>
                <w:szCs w:val="16"/>
                <w:lang w:val="en-NZ" w:eastAsia="en-AU"/>
              </w:rPr>
              <w:t xml:space="preserve">Establishment and </w:t>
            </w:r>
            <w:r w:rsidR="005C3757">
              <w:rPr>
                <w:rFonts w:eastAsia="Calibri" w:cs="Arial"/>
                <w:sz w:val="16"/>
                <w:szCs w:val="16"/>
                <w:lang w:val="en-NZ" w:eastAsia="en-AU"/>
              </w:rPr>
              <w:t>o</w:t>
            </w:r>
            <w:r w:rsidR="00061B64" w:rsidRPr="621AC7E1">
              <w:rPr>
                <w:rFonts w:eastAsia="Calibri" w:cs="Arial"/>
                <w:sz w:val="16"/>
                <w:szCs w:val="16"/>
                <w:lang w:val="en-NZ" w:eastAsia="en-AU"/>
              </w:rPr>
              <w:t xml:space="preserve">perating </w:t>
            </w:r>
            <w:r>
              <w:rPr>
                <w:rFonts w:eastAsia="Calibri" w:cs="Arial"/>
                <w:sz w:val="16"/>
                <w:szCs w:val="16"/>
                <w:lang w:val="en-NZ" w:eastAsia="en-AU"/>
              </w:rPr>
              <w:t>c</w:t>
            </w:r>
            <w:r w:rsidR="00061B64" w:rsidRPr="621AC7E1">
              <w:rPr>
                <w:rFonts w:eastAsia="Calibri" w:cs="Arial"/>
                <w:sz w:val="16"/>
                <w:szCs w:val="16"/>
                <w:lang w:val="en-NZ" w:eastAsia="en-AU"/>
              </w:rPr>
              <w:t>osts</w:t>
            </w:r>
            <w:r w:rsidR="00061B64">
              <w:rPr>
                <w:rFonts w:eastAsia="Calibri" w:cs="Arial"/>
                <w:sz w:val="16"/>
                <w:szCs w:val="16"/>
                <w:lang w:val="en-NZ" w:eastAsia="en-AU"/>
              </w:rPr>
              <w:t xml:space="preserve"> – </w:t>
            </w:r>
            <w:r w:rsidR="00272AC3">
              <w:rPr>
                <w:rFonts w:eastAsia="Calibri" w:cs="Arial"/>
                <w:sz w:val="16"/>
                <w:szCs w:val="16"/>
                <w:lang w:val="en-NZ" w:eastAsia="en-AU"/>
              </w:rPr>
              <w:t>estimate incl</w:t>
            </w:r>
            <w:r w:rsidR="009B1595">
              <w:rPr>
                <w:rFonts w:eastAsia="Calibri" w:cs="Arial"/>
                <w:sz w:val="16"/>
                <w:szCs w:val="16"/>
                <w:lang w:val="en-NZ" w:eastAsia="en-AU"/>
              </w:rPr>
              <w:t>.</w:t>
            </w:r>
            <w:r w:rsidR="00061B64">
              <w:rPr>
                <w:rFonts w:eastAsia="Calibri" w:cs="Arial"/>
                <w:sz w:val="16"/>
                <w:szCs w:val="16"/>
                <w:lang w:val="en-NZ" w:eastAsia="en-AU"/>
              </w:rPr>
              <w:t xml:space="preserve"> </w:t>
            </w:r>
            <w:r w:rsidR="1D1B9093" w:rsidRPr="19AFD816">
              <w:rPr>
                <w:rFonts w:eastAsia="Calibri" w:cs="Arial"/>
                <w:sz w:val="16"/>
                <w:szCs w:val="16"/>
                <w:lang w:val="en-NZ" w:eastAsia="en-AU"/>
              </w:rPr>
              <w:t>r</w:t>
            </w:r>
            <w:r w:rsidR="16BBB8E9" w:rsidRPr="19AFD816">
              <w:rPr>
                <w:rFonts w:eastAsia="Calibri" w:cs="Arial"/>
                <w:sz w:val="16"/>
                <w:szCs w:val="16"/>
                <w:lang w:val="en-NZ" w:eastAsia="en-AU"/>
              </w:rPr>
              <w:t>egulator</w:t>
            </w:r>
            <w:r>
              <w:rPr>
                <w:rFonts w:eastAsia="Calibri" w:cs="Arial"/>
                <w:sz w:val="16"/>
                <w:szCs w:val="16"/>
                <w:lang w:val="en-NZ" w:eastAsia="en-AU"/>
              </w:rPr>
              <w:t xml:space="preserve"> </w:t>
            </w:r>
            <w:r w:rsidR="00E32C14">
              <w:rPr>
                <w:rFonts w:eastAsia="Calibri" w:cs="Arial"/>
                <w:sz w:val="16"/>
                <w:szCs w:val="16"/>
                <w:lang w:val="en-NZ" w:eastAsia="en-AU"/>
              </w:rPr>
              <w:t xml:space="preserve">and </w:t>
            </w:r>
            <w:r w:rsidR="041CE84C" w:rsidRPr="19AFD816">
              <w:rPr>
                <w:rFonts w:eastAsia="Calibri" w:cs="Arial"/>
                <w:sz w:val="16"/>
                <w:szCs w:val="16"/>
                <w:lang w:val="en-NZ" w:eastAsia="en-AU"/>
              </w:rPr>
              <w:t xml:space="preserve">baseline </w:t>
            </w:r>
            <w:r w:rsidR="0AA9300C" w:rsidRPr="19AFD816">
              <w:rPr>
                <w:rFonts w:eastAsia="Calibri" w:cs="Arial"/>
                <w:sz w:val="16"/>
                <w:szCs w:val="16"/>
                <w:lang w:val="en-NZ" w:eastAsia="en-AU"/>
              </w:rPr>
              <w:t>c</w:t>
            </w:r>
            <w:r w:rsidR="16BBB8E9" w:rsidRPr="19AFD816">
              <w:rPr>
                <w:rFonts w:eastAsia="Calibri" w:cs="Arial"/>
                <w:sz w:val="16"/>
                <w:szCs w:val="16"/>
                <w:lang w:val="en-NZ" w:eastAsia="en-AU"/>
              </w:rPr>
              <w:t>ompliance</w:t>
            </w:r>
          </w:p>
        </w:tc>
        <w:tc>
          <w:tcPr>
            <w:tcW w:w="1246" w:type="dxa"/>
            <w:tcBorders>
              <w:top w:val="single" w:sz="4" w:space="0" w:color="auto"/>
              <w:left w:val="single" w:sz="4" w:space="0" w:color="auto"/>
              <w:bottom w:val="single" w:sz="4" w:space="0" w:color="BFBFBF" w:themeColor="background1" w:themeShade="BF"/>
              <w:right w:val="single" w:sz="4" w:space="0" w:color="auto"/>
            </w:tcBorders>
            <w:tcMar>
              <w:top w:w="0" w:type="dxa"/>
              <w:left w:w="108" w:type="dxa"/>
              <w:bottom w:w="0" w:type="dxa"/>
              <w:right w:w="108" w:type="dxa"/>
            </w:tcMar>
            <w:vAlign w:val="center"/>
          </w:tcPr>
          <w:p w14:paraId="17560512" w14:textId="661E559E" w:rsidR="00061B64" w:rsidRDefault="00061B64" w:rsidP="0025453F">
            <w:pPr>
              <w:spacing w:before="60" w:after="60" w:line="240" w:lineRule="auto"/>
              <w:ind w:right="124"/>
              <w:jc w:val="right"/>
              <w:rPr>
                <w:rFonts w:eastAsia="Calibri" w:cs="Arial"/>
                <w:sz w:val="16"/>
                <w:szCs w:val="16"/>
                <w:lang w:val="en-NZ" w:eastAsia="en-AU"/>
              </w:rPr>
            </w:pPr>
            <w:r>
              <w:rPr>
                <w:rFonts w:eastAsia="Calibri" w:cs="Arial"/>
                <w:sz w:val="16"/>
                <w:szCs w:val="16"/>
                <w:lang w:val="en-NZ" w:eastAsia="en-AU"/>
              </w:rPr>
              <w:t>$</w:t>
            </w:r>
            <w:r w:rsidR="008143D7">
              <w:rPr>
                <w:rFonts w:eastAsia="Calibri" w:cs="Arial"/>
                <w:sz w:val="16"/>
                <w:szCs w:val="16"/>
                <w:lang w:val="en-NZ" w:eastAsia="en-AU"/>
              </w:rPr>
              <w:t xml:space="preserve"> </w:t>
            </w:r>
            <w:r>
              <w:rPr>
                <w:rFonts w:eastAsia="Calibri" w:cs="Arial"/>
                <w:sz w:val="16"/>
                <w:szCs w:val="16"/>
                <w:lang w:val="en-NZ" w:eastAsia="en-AU"/>
              </w:rPr>
              <w:t>4,333,000</w:t>
            </w:r>
          </w:p>
        </w:tc>
        <w:tc>
          <w:tcPr>
            <w:tcW w:w="1328" w:type="dxa"/>
            <w:tcBorders>
              <w:top w:val="single" w:sz="4" w:space="0" w:color="auto"/>
              <w:left w:val="single" w:sz="4" w:space="0" w:color="auto"/>
              <w:bottom w:val="single" w:sz="4" w:space="0" w:color="BFBFBF" w:themeColor="background1" w:themeShade="BF"/>
              <w:right w:val="single" w:sz="4" w:space="0" w:color="auto"/>
            </w:tcBorders>
            <w:tcMar>
              <w:top w:w="0" w:type="dxa"/>
              <w:left w:w="108" w:type="dxa"/>
              <w:bottom w:w="0" w:type="dxa"/>
              <w:right w:w="108" w:type="dxa"/>
            </w:tcMar>
            <w:vAlign w:val="center"/>
          </w:tcPr>
          <w:p w14:paraId="43285D55" w14:textId="56DECCD5" w:rsidR="00061B64" w:rsidRDefault="00061B64" w:rsidP="0025453F">
            <w:pPr>
              <w:spacing w:before="60" w:after="60" w:line="240" w:lineRule="auto"/>
              <w:ind w:right="124"/>
              <w:jc w:val="right"/>
              <w:rPr>
                <w:rFonts w:eastAsia="Calibri" w:cs="Arial"/>
                <w:sz w:val="16"/>
                <w:szCs w:val="16"/>
                <w:lang w:val="en-NZ" w:eastAsia="en-AU"/>
              </w:rPr>
            </w:pPr>
            <w:r w:rsidRPr="621AC7E1">
              <w:rPr>
                <w:rFonts w:eastAsia="Calibri" w:cs="Arial"/>
                <w:sz w:val="16"/>
                <w:szCs w:val="16"/>
                <w:lang w:val="en-NZ" w:eastAsia="en-AU"/>
              </w:rPr>
              <w:t>$</w:t>
            </w:r>
            <w:r w:rsidR="008143D7">
              <w:rPr>
                <w:rFonts w:eastAsia="Calibri" w:cs="Arial"/>
                <w:sz w:val="16"/>
                <w:szCs w:val="16"/>
                <w:lang w:val="en-NZ" w:eastAsia="en-AU"/>
              </w:rPr>
              <w:t xml:space="preserve"> </w:t>
            </w:r>
            <w:r>
              <w:rPr>
                <w:rFonts w:eastAsia="Calibri" w:cs="Arial"/>
                <w:sz w:val="16"/>
                <w:szCs w:val="16"/>
                <w:lang w:val="en-NZ" w:eastAsia="en-AU"/>
              </w:rPr>
              <w:t>9,787,000</w:t>
            </w:r>
          </w:p>
        </w:tc>
        <w:tc>
          <w:tcPr>
            <w:tcW w:w="1246" w:type="dxa"/>
            <w:tcBorders>
              <w:top w:val="single" w:sz="4" w:space="0" w:color="auto"/>
              <w:left w:val="single" w:sz="4" w:space="0" w:color="auto"/>
              <w:bottom w:val="single" w:sz="4" w:space="0" w:color="BFBFBF" w:themeColor="background1" w:themeShade="BF"/>
              <w:right w:val="single" w:sz="4" w:space="0" w:color="auto"/>
            </w:tcBorders>
            <w:tcMar>
              <w:top w:w="0" w:type="dxa"/>
              <w:left w:w="108" w:type="dxa"/>
              <w:bottom w:w="0" w:type="dxa"/>
              <w:right w:w="108" w:type="dxa"/>
            </w:tcMar>
            <w:vAlign w:val="center"/>
          </w:tcPr>
          <w:p w14:paraId="6C20B859" w14:textId="08E3E7B2" w:rsidR="00061B64" w:rsidRDefault="00061B64" w:rsidP="0025453F">
            <w:pPr>
              <w:spacing w:before="60" w:after="60" w:line="240" w:lineRule="auto"/>
              <w:ind w:right="124"/>
              <w:jc w:val="right"/>
              <w:rPr>
                <w:rFonts w:eastAsia="Calibri" w:cs="Arial"/>
                <w:sz w:val="16"/>
                <w:szCs w:val="16"/>
                <w:lang w:val="en-NZ" w:eastAsia="en-AU"/>
              </w:rPr>
            </w:pPr>
            <w:r>
              <w:rPr>
                <w:rFonts w:eastAsia="Calibri" w:cs="Arial"/>
                <w:sz w:val="16"/>
                <w:szCs w:val="16"/>
                <w:lang w:val="en-NZ" w:eastAsia="en-AU"/>
              </w:rPr>
              <w:t>$</w:t>
            </w:r>
            <w:r w:rsidR="008143D7">
              <w:rPr>
                <w:rFonts w:eastAsia="Calibri" w:cs="Arial"/>
                <w:sz w:val="16"/>
                <w:szCs w:val="16"/>
                <w:lang w:val="en-NZ" w:eastAsia="en-AU"/>
              </w:rPr>
              <w:t xml:space="preserve"> </w:t>
            </w:r>
            <w:r>
              <w:rPr>
                <w:rFonts w:eastAsia="Calibri" w:cs="Arial"/>
                <w:sz w:val="16"/>
                <w:szCs w:val="16"/>
                <w:lang w:val="en-NZ" w:eastAsia="en-AU"/>
              </w:rPr>
              <w:t>5,518,000</w:t>
            </w:r>
          </w:p>
        </w:tc>
        <w:tc>
          <w:tcPr>
            <w:tcW w:w="1286" w:type="dxa"/>
            <w:tcBorders>
              <w:top w:val="single" w:sz="4" w:space="0" w:color="auto"/>
              <w:left w:val="single" w:sz="4" w:space="0" w:color="auto"/>
              <w:bottom w:val="single" w:sz="4" w:space="0" w:color="BFBFBF" w:themeColor="background1" w:themeShade="BF"/>
              <w:right w:val="single" w:sz="4" w:space="0" w:color="auto"/>
            </w:tcBorders>
            <w:tcMar>
              <w:top w:w="0" w:type="dxa"/>
              <w:left w:w="108" w:type="dxa"/>
              <w:bottom w:w="0" w:type="dxa"/>
              <w:right w:w="108" w:type="dxa"/>
            </w:tcMar>
            <w:vAlign w:val="center"/>
          </w:tcPr>
          <w:p w14:paraId="1ECAE441" w14:textId="2A3C4B37" w:rsidR="00061B64" w:rsidRDefault="008331C3" w:rsidP="0025453F">
            <w:pPr>
              <w:spacing w:before="60" w:after="60" w:line="240" w:lineRule="auto"/>
              <w:ind w:right="124"/>
              <w:jc w:val="right"/>
              <w:rPr>
                <w:rFonts w:eastAsia="Calibri" w:cs="Arial"/>
                <w:sz w:val="16"/>
                <w:szCs w:val="16"/>
                <w:lang w:val="en-NZ" w:eastAsia="en-AU"/>
              </w:rPr>
            </w:pPr>
            <w:r>
              <w:rPr>
                <w:rFonts w:eastAsia="Calibri" w:cs="Arial"/>
                <w:sz w:val="16"/>
                <w:szCs w:val="16"/>
                <w:lang w:val="en-NZ" w:eastAsia="en-AU"/>
              </w:rPr>
              <w:t>$</w:t>
            </w:r>
            <w:r w:rsidR="008143D7">
              <w:rPr>
                <w:rFonts w:eastAsia="Calibri" w:cs="Arial"/>
                <w:sz w:val="16"/>
                <w:szCs w:val="16"/>
                <w:lang w:val="en-NZ" w:eastAsia="en-AU"/>
              </w:rPr>
              <w:t xml:space="preserve"> </w:t>
            </w:r>
            <w:r w:rsidR="00A00588">
              <w:rPr>
                <w:rFonts w:eastAsia="Calibri" w:cs="Arial"/>
                <w:sz w:val="16"/>
                <w:szCs w:val="16"/>
                <w:lang w:val="en-NZ" w:eastAsia="en-AU"/>
              </w:rPr>
              <w:t>4,765,000</w:t>
            </w:r>
          </w:p>
        </w:tc>
      </w:tr>
      <w:tr w:rsidR="00A00588" w14:paraId="4874F7DA" w14:textId="77777777" w:rsidTr="00700A6B">
        <w:trPr>
          <w:trHeight w:val="276"/>
        </w:trPr>
        <w:tc>
          <w:tcPr>
            <w:tcW w:w="356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Mar>
              <w:top w:w="0" w:type="dxa"/>
              <w:left w:w="108" w:type="dxa"/>
              <w:bottom w:w="0" w:type="dxa"/>
              <w:right w:w="108" w:type="dxa"/>
            </w:tcMar>
            <w:vAlign w:val="center"/>
          </w:tcPr>
          <w:p w14:paraId="79163E42" w14:textId="69B7B734" w:rsidR="00A00588" w:rsidRPr="621AC7E1" w:rsidRDefault="00A00588" w:rsidP="0025453F">
            <w:pPr>
              <w:spacing w:before="60" w:after="60" w:line="240" w:lineRule="auto"/>
              <w:rPr>
                <w:rFonts w:eastAsia="Calibri" w:cs="Arial"/>
                <w:sz w:val="16"/>
                <w:szCs w:val="16"/>
                <w:lang w:val="en-NZ" w:eastAsia="en-AU"/>
              </w:rPr>
            </w:pPr>
            <w:r>
              <w:rPr>
                <w:rFonts w:eastAsia="Calibri" w:cs="Arial"/>
                <w:sz w:val="16"/>
                <w:szCs w:val="16"/>
                <w:lang w:val="en-NZ" w:eastAsia="en-AU"/>
              </w:rPr>
              <w:t>Forecast income from fees</w:t>
            </w:r>
          </w:p>
        </w:tc>
        <w:tc>
          <w:tcPr>
            <w:tcW w:w="124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Mar>
              <w:top w:w="0" w:type="dxa"/>
              <w:left w:w="108" w:type="dxa"/>
              <w:bottom w:w="0" w:type="dxa"/>
              <w:right w:w="108" w:type="dxa"/>
            </w:tcMar>
            <w:vAlign w:val="center"/>
          </w:tcPr>
          <w:p w14:paraId="655F5280" w14:textId="1FBCB75E" w:rsidR="00A00588" w:rsidRPr="621AC7E1" w:rsidRDefault="00FB0078" w:rsidP="0025453F">
            <w:pPr>
              <w:spacing w:before="60" w:after="60" w:line="240" w:lineRule="auto"/>
              <w:ind w:right="124"/>
              <w:jc w:val="right"/>
              <w:rPr>
                <w:rFonts w:eastAsia="Calibri" w:cs="Arial"/>
                <w:sz w:val="16"/>
                <w:szCs w:val="16"/>
                <w:lang w:val="en-NZ" w:eastAsia="en-AU"/>
              </w:rPr>
            </w:pPr>
            <w:r>
              <w:rPr>
                <w:rFonts w:eastAsia="Calibri" w:cs="Arial"/>
                <w:sz w:val="16"/>
                <w:szCs w:val="16"/>
                <w:lang w:val="en-NZ" w:eastAsia="en-AU"/>
              </w:rPr>
              <w:t>$ 0</w:t>
            </w:r>
          </w:p>
        </w:tc>
        <w:tc>
          <w:tcPr>
            <w:tcW w:w="1328" w:type="dxa"/>
            <w:tcBorders>
              <w:top w:val="single" w:sz="4" w:space="0" w:color="BFBFBF" w:themeColor="background1" w:themeShade="BF"/>
              <w:left w:val="single" w:sz="4" w:space="0" w:color="auto"/>
              <w:bottom w:val="single" w:sz="4" w:space="0" w:color="BFBFBF" w:themeColor="background1" w:themeShade="BF"/>
              <w:right w:val="single" w:sz="4" w:space="0" w:color="auto"/>
            </w:tcBorders>
            <w:tcMar>
              <w:top w:w="0" w:type="dxa"/>
              <w:left w:w="108" w:type="dxa"/>
              <w:bottom w:w="0" w:type="dxa"/>
              <w:right w:w="108" w:type="dxa"/>
            </w:tcMar>
            <w:vAlign w:val="center"/>
          </w:tcPr>
          <w:p w14:paraId="14ECE154" w14:textId="66AEB190" w:rsidR="00A00588" w:rsidRPr="621AC7E1" w:rsidRDefault="00A00588" w:rsidP="0025453F">
            <w:pPr>
              <w:spacing w:before="60" w:after="60" w:line="240" w:lineRule="auto"/>
              <w:ind w:right="124"/>
              <w:jc w:val="right"/>
              <w:rPr>
                <w:rFonts w:eastAsia="Calibri" w:cs="Arial"/>
                <w:sz w:val="16"/>
                <w:szCs w:val="16"/>
                <w:lang w:val="en-NZ" w:eastAsia="en-AU"/>
              </w:rPr>
            </w:pPr>
            <w:r w:rsidRPr="00EF5D0C">
              <w:rPr>
                <w:rFonts w:eastAsia="Calibri" w:cs="Arial"/>
                <w:sz w:val="16"/>
                <w:szCs w:val="16"/>
                <w:lang w:val="en-NZ" w:eastAsia="en-AU"/>
              </w:rPr>
              <w:t>$</w:t>
            </w:r>
            <w:r w:rsidR="00EF5D0C">
              <w:rPr>
                <w:rFonts w:eastAsia="Calibri" w:cs="Arial"/>
                <w:sz w:val="16"/>
                <w:szCs w:val="16"/>
                <w:lang w:val="en-NZ" w:eastAsia="en-AU"/>
              </w:rPr>
              <w:t xml:space="preserve"> </w:t>
            </w:r>
            <w:r w:rsidRPr="00EF5D0C">
              <w:rPr>
                <w:rFonts w:eastAsia="Calibri" w:cs="Arial"/>
                <w:sz w:val="16"/>
                <w:szCs w:val="16"/>
                <w:lang w:val="en-NZ" w:eastAsia="en-AU"/>
              </w:rPr>
              <w:t xml:space="preserve">7,982,500 </w:t>
            </w:r>
          </w:p>
        </w:tc>
        <w:tc>
          <w:tcPr>
            <w:tcW w:w="124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Mar>
              <w:top w:w="0" w:type="dxa"/>
              <w:left w:w="108" w:type="dxa"/>
              <w:bottom w:w="0" w:type="dxa"/>
              <w:right w:w="108" w:type="dxa"/>
            </w:tcMar>
            <w:vAlign w:val="center"/>
          </w:tcPr>
          <w:p w14:paraId="5E8D0B69" w14:textId="1FE60D9C" w:rsidR="00A00588" w:rsidRPr="621AC7E1" w:rsidRDefault="00A00588" w:rsidP="0025453F">
            <w:pPr>
              <w:spacing w:before="60" w:after="60" w:line="240" w:lineRule="auto"/>
              <w:ind w:right="124"/>
              <w:jc w:val="right"/>
              <w:rPr>
                <w:rFonts w:eastAsia="Calibri" w:cs="Arial"/>
                <w:sz w:val="16"/>
                <w:szCs w:val="16"/>
                <w:lang w:val="en-NZ" w:eastAsia="en-AU"/>
              </w:rPr>
            </w:pPr>
            <w:r w:rsidRPr="00EF5D0C">
              <w:rPr>
                <w:rFonts w:eastAsia="Calibri" w:cs="Arial"/>
                <w:sz w:val="16"/>
                <w:szCs w:val="16"/>
                <w:lang w:val="en-NZ" w:eastAsia="en-AU"/>
              </w:rPr>
              <w:t xml:space="preserve"> $ 565,500 </w:t>
            </w:r>
          </w:p>
        </w:tc>
        <w:tc>
          <w:tcPr>
            <w:tcW w:w="128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Mar>
              <w:top w:w="0" w:type="dxa"/>
              <w:left w:w="108" w:type="dxa"/>
              <w:bottom w:w="0" w:type="dxa"/>
              <w:right w:w="108" w:type="dxa"/>
            </w:tcMar>
            <w:vAlign w:val="center"/>
          </w:tcPr>
          <w:p w14:paraId="63FBA850" w14:textId="1C86381D" w:rsidR="00A00588" w:rsidRPr="621AC7E1" w:rsidRDefault="00EF5D0C" w:rsidP="0025453F">
            <w:pPr>
              <w:spacing w:before="60" w:after="60" w:line="240" w:lineRule="auto"/>
              <w:ind w:right="124"/>
              <w:jc w:val="right"/>
              <w:rPr>
                <w:rFonts w:eastAsia="Calibri" w:cs="Arial"/>
                <w:sz w:val="16"/>
                <w:szCs w:val="16"/>
                <w:lang w:val="en-NZ" w:eastAsia="en-AU"/>
              </w:rPr>
            </w:pPr>
            <w:r>
              <w:rPr>
                <w:rFonts w:eastAsia="Calibri" w:cs="Arial"/>
                <w:sz w:val="16"/>
                <w:szCs w:val="16"/>
                <w:lang w:val="en-NZ" w:eastAsia="en-AU"/>
              </w:rPr>
              <w:t xml:space="preserve">$ </w:t>
            </w:r>
            <w:r w:rsidR="00A00588" w:rsidRPr="00EF5D0C">
              <w:rPr>
                <w:rFonts w:eastAsia="Calibri" w:cs="Arial"/>
                <w:sz w:val="16"/>
                <w:szCs w:val="16"/>
                <w:lang w:val="en-NZ" w:eastAsia="en-AU"/>
              </w:rPr>
              <w:t xml:space="preserve">565,500 </w:t>
            </w:r>
          </w:p>
        </w:tc>
      </w:tr>
      <w:tr w:rsidR="00A00588" w14:paraId="0C783993" w14:textId="77777777" w:rsidTr="00700A6B">
        <w:trPr>
          <w:trHeight w:val="276"/>
        </w:trPr>
        <w:tc>
          <w:tcPr>
            <w:tcW w:w="3567" w:type="dxa"/>
            <w:tcBorders>
              <w:top w:val="single" w:sz="4" w:space="0" w:color="BFBFBF" w:themeColor="background1" w:themeShade="BF"/>
              <w:left w:val="single" w:sz="4" w:space="0" w:color="auto"/>
              <w:bottom w:val="single" w:sz="4" w:space="0" w:color="auto"/>
              <w:right w:val="single" w:sz="4" w:space="0" w:color="auto"/>
            </w:tcBorders>
            <w:tcMar>
              <w:top w:w="0" w:type="dxa"/>
              <w:left w:w="108" w:type="dxa"/>
              <w:bottom w:w="0" w:type="dxa"/>
              <w:right w:w="108" w:type="dxa"/>
            </w:tcMar>
            <w:vAlign w:val="center"/>
          </w:tcPr>
          <w:p w14:paraId="1CC28001" w14:textId="675C35FE" w:rsidR="00A00588" w:rsidRPr="621AC7E1" w:rsidRDefault="00824D2D" w:rsidP="0025453F">
            <w:pPr>
              <w:spacing w:before="60" w:after="60" w:line="240" w:lineRule="auto"/>
              <w:rPr>
                <w:rFonts w:eastAsia="Calibri" w:cs="Arial"/>
                <w:sz w:val="16"/>
                <w:szCs w:val="16"/>
                <w:lang w:val="en-NZ" w:eastAsia="en-AU"/>
              </w:rPr>
            </w:pPr>
            <w:r>
              <w:rPr>
                <w:rFonts w:eastAsia="Calibri" w:cs="Arial"/>
                <w:sz w:val="16"/>
                <w:szCs w:val="16"/>
                <w:lang w:val="en-NZ" w:eastAsia="en-AU"/>
              </w:rPr>
              <w:t>Crown funding</w:t>
            </w:r>
          </w:p>
        </w:tc>
        <w:tc>
          <w:tcPr>
            <w:tcW w:w="1246" w:type="dxa"/>
            <w:tcBorders>
              <w:top w:val="single" w:sz="4" w:space="0" w:color="BFBFBF" w:themeColor="background1" w:themeShade="BF"/>
              <w:left w:val="single" w:sz="4" w:space="0" w:color="auto"/>
              <w:bottom w:val="single" w:sz="4" w:space="0" w:color="auto"/>
              <w:right w:val="single" w:sz="4" w:space="0" w:color="auto"/>
            </w:tcBorders>
            <w:tcMar>
              <w:top w:w="0" w:type="dxa"/>
              <w:left w:w="108" w:type="dxa"/>
              <w:bottom w:w="0" w:type="dxa"/>
              <w:right w:w="108" w:type="dxa"/>
            </w:tcMar>
            <w:vAlign w:val="center"/>
          </w:tcPr>
          <w:p w14:paraId="6CB56587" w14:textId="34C78A08" w:rsidR="00A00588" w:rsidRPr="621AC7E1" w:rsidRDefault="00263AE2" w:rsidP="0025453F">
            <w:pPr>
              <w:spacing w:before="60" w:after="60" w:line="240" w:lineRule="auto"/>
              <w:ind w:right="124"/>
              <w:jc w:val="right"/>
              <w:rPr>
                <w:rFonts w:eastAsia="Calibri" w:cs="Arial"/>
                <w:sz w:val="16"/>
                <w:szCs w:val="16"/>
                <w:lang w:val="en-NZ" w:eastAsia="en-AU"/>
              </w:rPr>
            </w:pPr>
            <w:r>
              <w:rPr>
                <w:rFonts w:eastAsia="Calibri" w:cs="Arial"/>
                <w:sz w:val="16"/>
                <w:szCs w:val="16"/>
                <w:lang w:val="en-NZ" w:eastAsia="en-AU"/>
              </w:rPr>
              <w:t>$</w:t>
            </w:r>
            <w:r w:rsidR="008143D7">
              <w:rPr>
                <w:rFonts w:eastAsia="Calibri" w:cs="Arial"/>
                <w:sz w:val="16"/>
                <w:szCs w:val="16"/>
                <w:lang w:val="en-NZ" w:eastAsia="en-AU"/>
              </w:rPr>
              <w:t xml:space="preserve"> </w:t>
            </w:r>
            <w:r>
              <w:rPr>
                <w:rFonts w:eastAsia="Calibri" w:cs="Arial"/>
                <w:sz w:val="16"/>
                <w:szCs w:val="16"/>
                <w:lang w:val="en-NZ" w:eastAsia="en-AU"/>
              </w:rPr>
              <w:t>4,333,000</w:t>
            </w:r>
          </w:p>
        </w:tc>
        <w:tc>
          <w:tcPr>
            <w:tcW w:w="1328" w:type="dxa"/>
            <w:tcBorders>
              <w:top w:val="single" w:sz="4" w:space="0" w:color="BFBFBF" w:themeColor="background1" w:themeShade="BF"/>
              <w:left w:val="single" w:sz="4" w:space="0" w:color="auto"/>
              <w:bottom w:val="single" w:sz="4" w:space="0" w:color="auto"/>
              <w:right w:val="single" w:sz="4" w:space="0" w:color="auto"/>
            </w:tcBorders>
            <w:tcMar>
              <w:top w:w="0" w:type="dxa"/>
              <w:left w:w="108" w:type="dxa"/>
              <w:bottom w:w="0" w:type="dxa"/>
              <w:right w:w="108" w:type="dxa"/>
            </w:tcMar>
            <w:vAlign w:val="center"/>
          </w:tcPr>
          <w:p w14:paraId="0604CA9B" w14:textId="113CDB1D" w:rsidR="00A00588" w:rsidRPr="621AC7E1" w:rsidRDefault="00A24E78" w:rsidP="0025453F">
            <w:pPr>
              <w:spacing w:before="60" w:after="60" w:line="240" w:lineRule="auto"/>
              <w:ind w:right="124"/>
              <w:jc w:val="right"/>
              <w:rPr>
                <w:rFonts w:eastAsia="Calibri" w:cs="Arial"/>
                <w:sz w:val="16"/>
                <w:szCs w:val="16"/>
                <w:lang w:val="en-NZ" w:eastAsia="en-AU"/>
              </w:rPr>
            </w:pPr>
            <w:r>
              <w:rPr>
                <w:rFonts w:eastAsia="Calibri" w:cs="Arial"/>
                <w:sz w:val="16"/>
                <w:szCs w:val="16"/>
                <w:lang w:val="en-NZ" w:eastAsia="en-AU"/>
              </w:rPr>
              <w:t>$</w:t>
            </w:r>
            <w:r w:rsidR="008143D7">
              <w:rPr>
                <w:rFonts w:eastAsia="Calibri" w:cs="Arial"/>
                <w:sz w:val="16"/>
                <w:szCs w:val="16"/>
                <w:lang w:val="en-NZ" w:eastAsia="en-AU"/>
              </w:rPr>
              <w:t xml:space="preserve"> </w:t>
            </w:r>
            <w:r w:rsidR="00F11B57">
              <w:rPr>
                <w:rFonts w:eastAsia="Calibri" w:cs="Arial"/>
                <w:sz w:val="16"/>
                <w:szCs w:val="16"/>
                <w:lang w:val="en-NZ" w:eastAsia="en-AU"/>
              </w:rPr>
              <w:t>9</w:t>
            </w:r>
            <w:r>
              <w:rPr>
                <w:rFonts w:eastAsia="Calibri" w:cs="Arial"/>
                <w:sz w:val="16"/>
                <w:szCs w:val="16"/>
                <w:lang w:val="en-NZ" w:eastAsia="en-AU"/>
              </w:rPr>
              <w:t>,</w:t>
            </w:r>
            <w:r w:rsidR="00F11B57">
              <w:rPr>
                <w:rFonts w:eastAsia="Calibri" w:cs="Arial"/>
                <w:sz w:val="16"/>
                <w:szCs w:val="16"/>
                <w:lang w:val="en-NZ" w:eastAsia="en-AU"/>
              </w:rPr>
              <w:t>241</w:t>
            </w:r>
            <w:r>
              <w:rPr>
                <w:rFonts w:eastAsia="Calibri" w:cs="Arial"/>
                <w:sz w:val="16"/>
                <w:szCs w:val="16"/>
                <w:lang w:val="en-NZ" w:eastAsia="en-AU"/>
              </w:rPr>
              <w:t>,</w:t>
            </w:r>
            <w:r w:rsidR="00F11B57">
              <w:rPr>
                <w:rFonts w:eastAsia="Calibri" w:cs="Arial"/>
                <w:sz w:val="16"/>
                <w:szCs w:val="16"/>
                <w:lang w:val="en-NZ" w:eastAsia="en-AU"/>
              </w:rPr>
              <w:t>000</w:t>
            </w:r>
          </w:p>
        </w:tc>
        <w:tc>
          <w:tcPr>
            <w:tcW w:w="1246" w:type="dxa"/>
            <w:tcBorders>
              <w:top w:val="single" w:sz="4" w:space="0" w:color="BFBFBF" w:themeColor="background1" w:themeShade="BF"/>
              <w:left w:val="single" w:sz="4" w:space="0" w:color="auto"/>
              <w:bottom w:val="single" w:sz="4" w:space="0" w:color="auto"/>
              <w:right w:val="single" w:sz="4" w:space="0" w:color="auto"/>
            </w:tcBorders>
            <w:tcMar>
              <w:top w:w="0" w:type="dxa"/>
              <w:left w:w="108" w:type="dxa"/>
              <w:bottom w:w="0" w:type="dxa"/>
              <w:right w:w="108" w:type="dxa"/>
            </w:tcMar>
            <w:vAlign w:val="center"/>
          </w:tcPr>
          <w:p w14:paraId="00DD58C8" w14:textId="3C64FA52" w:rsidR="00A00588" w:rsidRPr="621AC7E1" w:rsidRDefault="00A24E78" w:rsidP="0025453F">
            <w:pPr>
              <w:spacing w:before="60" w:after="60" w:line="240" w:lineRule="auto"/>
              <w:ind w:right="124"/>
              <w:jc w:val="right"/>
              <w:rPr>
                <w:rFonts w:eastAsia="Calibri" w:cs="Arial"/>
                <w:sz w:val="16"/>
                <w:szCs w:val="16"/>
                <w:lang w:val="en-NZ" w:eastAsia="en-AU"/>
              </w:rPr>
            </w:pPr>
            <w:r>
              <w:rPr>
                <w:rFonts w:eastAsia="Calibri" w:cs="Arial"/>
                <w:sz w:val="16"/>
                <w:szCs w:val="16"/>
                <w:lang w:val="en-NZ" w:eastAsia="en-AU"/>
              </w:rPr>
              <w:t>$</w:t>
            </w:r>
            <w:r w:rsidR="008143D7">
              <w:rPr>
                <w:rFonts w:eastAsia="Calibri" w:cs="Arial"/>
                <w:sz w:val="16"/>
                <w:szCs w:val="16"/>
                <w:lang w:val="en-NZ" w:eastAsia="en-AU"/>
              </w:rPr>
              <w:t xml:space="preserve"> </w:t>
            </w:r>
            <w:r w:rsidR="00D90808">
              <w:rPr>
                <w:rFonts w:eastAsia="Calibri" w:cs="Arial"/>
                <w:sz w:val="16"/>
                <w:szCs w:val="16"/>
                <w:lang w:val="en-NZ" w:eastAsia="en-AU"/>
              </w:rPr>
              <w:t>5</w:t>
            </w:r>
            <w:r>
              <w:rPr>
                <w:rFonts w:eastAsia="Calibri" w:cs="Arial"/>
                <w:sz w:val="16"/>
                <w:szCs w:val="16"/>
                <w:lang w:val="en-NZ" w:eastAsia="en-AU"/>
              </w:rPr>
              <w:t>,</w:t>
            </w:r>
            <w:r w:rsidR="00D90808">
              <w:rPr>
                <w:rFonts w:eastAsia="Calibri" w:cs="Arial"/>
                <w:sz w:val="16"/>
                <w:szCs w:val="16"/>
                <w:lang w:val="en-NZ" w:eastAsia="en-AU"/>
              </w:rPr>
              <w:t>718</w:t>
            </w:r>
            <w:r>
              <w:rPr>
                <w:rFonts w:eastAsia="Calibri" w:cs="Arial"/>
                <w:sz w:val="16"/>
                <w:szCs w:val="16"/>
                <w:lang w:val="en-NZ" w:eastAsia="en-AU"/>
              </w:rPr>
              <w:t>,</w:t>
            </w:r>
            <w:r w:rsidR="00D90808">
              <w:rPr>
                <w:rFonts w:eastAsia="Calibri" w:cs="Arial"/>
                <w:sz w:val="16"/>
                <w:szCs w:val="16"/>
                <w:lang w:val="en-NZ" w:eastAsia="en-AU"/>
              </w:rPr>
              <w:t>000</w:t>
            </w:r>
          </w:p>
        </w:tc>
        <w:tc>
          <w:tcPr>
            <w:tcW w:w="1286" w:type="dxa"/>
            <w:tcBorders>
              <w:top w:val="single" w:sz="4" w:space="0" w:color="BFBFBF" w:themeColor="background1" w:themeShade="BF"/>
              <w:left w:val="single" w:sz="4" w:space="0" w:color="auto"/>
              <w:bottom w:val="single" w:sz="4" w:space="0" w:color="auto"/>
              <w:right w:val="single" w:sz="4" w:space="0" w:color="auto"/>
            </w:tcBorders>
            <w:tcMar>
              <w:top w:w="0" w:type="dxa"/>
              <w:left w:w="108" w:type="dxa"/>
              <w:bottom w:w="0" w:type="dxa"/>
              <w:right w:w="108" w:type="dxa"/>
            </w:tcMar>
            <w:vAlign w:val="center"/>
          </w:tcPr>
          <w:p w14:paraId="46A3942C" w14:textId="31C7201C" w:rsidR="00A00588" w:rsidRPr="621AC7E1" w:rsidRDefault="00A24E78" w:rsidP="0025453F">
            <w:pPr>
              <w:spacing w:before="60" w:after="60" w:line="240" w:lineRule="auto"/>
              <w:ind w:right="124"/>
              <w:jc w:val="right"/>
              <w:rPr>
                <w:rFonts w:eastAsia="Calibri" w:cs="Arial"/>
                <w:sz w:val="16"/>
                <w:szCs w:val="16"/>
                <w:lang w:val="en-NZ" w:eastAsia="en-AU"/>
              </w:rPr>
            </w:pPr>
            <w:r>
              <w:rPr>
                <w:rFonts w:eastAsia="Calibri" w:cs="Arial"/>
                <w:sz w:val="16"/>
                <w:szCs w:val="16"/>
                <w:lang w:val="en-NZ" w:eastAsia="en-AU"/>
              </w:rPr>
              <w:t>$4,965,000</w:t>
            </w:r>
          </w:p>
        </w:tc>
      </w:tr>
      <w:tr w:rsidR="00EF5D0C" w14:paraId="3E8AF128" w14:textId="77777777" w:rsidTr="00323737">
        <w:trPr>
          <w:trHeight w:val="276"/>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579938" w14:textId="39A1550B" w:rsidR="00EF5D0C" w:rsidRPr="004D5496" w:rsidRDefault="00EF5D0C" w:rsidP="0025453F">
            <w:pPr>
              <w:spacing w:before="60" w:after="60" w:line="240" w:lineRule="auto"/>
              <w:rPr>
                <w:rFonts w:eastAsia="Calibri" w:cs="Arial"/>
                <w:b/>
                <w:bCs/>
                <w:sz w:val="16"/>
                <w:szCs w:val="16"/>
                <w:lang w:val="en-NZ" w:eastAsia="en-AU"/>
              </w:rPr>
            </w:pPr>
            <w:r w:rsidRPr="004D5496">
              <w:rPr>
                <w:rFonts w:eastAsia="Calibri" w:cs="Arial"/>
                <w:b/>
                <w:bCs/>
                <w:sz w:val="16"/>
                <w:szCs w:val="16"/>
                <w:lang w:val="en-NZ" w:eastAsia="en-AU"/>
              </w:rPr>
              <w:t xml:space="preserve">Total </w:t>
            </w:r>
            <w:r w:rsidR="00973DE8">
              <w:rPr>
                <w:rFonts w:eastAsia="Calibri" w:cs="Arial"/>
                <w:b/>
                <w:bCs/>
                <w:sz w:val="16"/>
                <w:szCs w:val="16"/>
                <w:lang w:val="en-NZ" w:eastAsia="en-AU"/>
              </w:rPr>
              <w:t>surplus</w:t>
            </w:r>
            <w:r w:rsidRPr="004D5496">
              <w:rPr>
                <w:rFonts w:eastAsia="Calibri" w:cs="Arial"/>
                <w:b/>
                <w:bCs/>
                <w:sz w:val="16"/>
                <w:szCs w:val="16"/>
                <w:lang w:val="en-NZ" w:eastAsia="en-AU"/>
              </w:rPr>
              <w:t>/</w:t>
            </w:r>
            <w:r w:rsidR="00973DE8">
              <w:rPr>
                <w:rFonts w:eastAsia="Calibri" w:cs="Arial"/>
                <w:b/>
                <w:bCs/>
                <w:sz w:val="16"/>
                <w:szCs w:val="16"/>
                <w:lang w:val="en-NZ" w:eastAsia="en-AU"/>
              </w:rPr>
              <w:t>deficit</w:t>
            </w:r>
            <w:r w:rsidRPr="004D5496">
              <w:rPr>
                <w:rFonts w:eastAsia="Calibri" w:cs="Arial"/>
                <w:b/>
                <w:bCs/>
                <w:sz w:val="16"/>
                <w:szCs w:val="16"/>
                <w:lang w:val="en-NZ" w:eastAsia="en-AU"/>
              </w:rPr>
              <w:t>)</w:t>
            </w:r>
          </w:p>
        </w:tc>
        <w:tc>
          <w:tcPr>
            <w:tcW w:w="12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9DAE18" w14:textId="6796D1FB" w:rsidR="00EF5D0C" w:rsidRPr="004D5496" w:rsidRDefault="00EF5D0C" w:rsidP="0025453F">
            <w:pPr>
              <w:spacing w:before="60" w:after="60" w:line="240" w:lineRule="auto"/>
              <w:ind w:right="124"/>
              <w:jc w:val="right"/>
              <w:rPr>
                <w:rFonts w:eastAsia="Calibri" w:cs="Arial"/>
                <w:b/>
                <w:bCs/>
                <w:sz w:val="16"/>
                <w:szCs w:val="16"/>
                <w:lang w:val="en-NZ" w:eastAsia="en-AU"/>
              </w:rPr>
            </w:pPr>
            <w:r w:rsidRPr="004D5496">
              <w:rPr>
                <w:rFonts w:eastAsia="Calibri" w:cs="Arial"/>
                <w:b/>
                <w:bCs/>
                <w:sz w:val="16"/>
                <w:szCs w:val="16"/>
                <w:lang w:val="en-NZ" w:eastAsia="en-AU"/>
              </w:rPr>
              <w:t xml:space="preserve"> $   -   </w:t>
            </w:r>
          </w:p>
        </w:tc>
        <w:tc>
          <w:tcPr>
            <w:tcW w:w="13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2CA3C2" w14:textId="77BD5475" w:rsidR="00EF5D0C" w:rsidRPr="004D5496" w:rsidRDefault="00EF5D0C" w:rsidP="0025453F">
            <w:pPr>
              <w:spacing w:before="60" w:after="60" w:line="240" w:lineRule="auto"/>
              <w:ind w:right="124"/>
              <w:jc w:val="right"/>
              <w:rPr>
                <w:rFonts w:eastAsia="Calibri" w:cs="Arial"/>
                <w:b/>
                <w:bCs/>
                <w:sz w:val="16"/>
                <w:szCs w:val="16"/>
                <w:lang w:val="en-NZ" w:eastAsia="en-AU"/>
              </w:rPr>
            </w:pPr>
            <w:r w:rsidRPr="004D5496">
              <w:rPr>
                <w:rFonts w:eastAsia="Calibri" w:cs="Arial"/>
                <w:b/>
                <w:bCs/>
                <w:sz w:val="16"/>
                <w:szCs w:val="16"/>
                <w:lang w:val="en-NZ" w:eastAsia="en-AU"/>
              </w:rPr>
              <w:t xml:space="preserve"> $7,406,500 </w:t>
            </w:r>
          </w:p>
        </w:tc>
        <w:tc>
          <w:tcPr>
            <w:tcW w:w="12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934FE6" w14:textId="598B0B7F" w:rsidR="00EF5D0C" w:rsidRPr="004D5496" w:rsidRDefault="00EF5D0C" w:rsidP="0025453F">
            <w:pPr>
              <w:spacing w:before="60" w:after="60" w:line="240" w:lineRule="auto"/>
              <w:ind w:right="124"/>
              <w:jc w:val="right"/>
              <w:rPr>
                <w:rFonts w:eastAsia="Calibri" w:cs="Arial"/>
                <w:b/>
                <w:bCs/>
                <w:sz w:val="16"/>
                <w:szCs w:val="16"/>
                <w:lang w:val="en-NZ" w:eastAsia="en-AU"/>
              </w:rPr>
            </w:pPr>
            <w:r w:rsidRPr="004D5496">
              <w:rPr>
                <w:rFonts w:eastAsia="Calibri" w:cs="Arial"/>
                <w:b/>
                <w:bCs/>
                <w:sz w:val="16"/>
                <w:szCs w:val="16"/>
                <w:lang w:val="en-NZ" w:eastAsia="en-AU"/>
              </w:rPr>
              <w:t xml:space="preserve"> $ </w:t>
            </w:r>
            <w:r w:rsidR="008143D7" w:rsidRPr="004D5496">
              <w:rPr>
                <w:rFonts w:eastAsia="Calibri" w:cs="Arial"/>
                <w:b/>
                <w:bCs/>
                <w:sz w:val="16"/>
                <w:szCs w:val="16"/>
                <w:lang w:val="en-NZ" w:eastAsia="en-AU"/>
              </w:rPr>
              <w:t>7</w:t>
            </w:r>
            <w:r w:rsidRPr="004D5496">
              <w:rPr>
                <w:rFonts w:eastAsia="Calibri" w:cs="Arial"/>
                <w:b/>
                <w:bCs/>
                <w:sz w:val="16"/>
                <w:szCs w:val="16"/>
                <w:lang w:val="en-NZ" w:eastAsia="en-AU"/>
              </w:rPr>
              <w:t xml:space="preserve">65,500 </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6CFF4D" w14:textId="21ACE02A" w:rsidR="00EF5D0C" w:rsidRPr="004D5496" w:rsidRDefault="00EF5D0C" w:rsidP="0025453F">
            <w:pPr>
              <w:spacing w:before="60" w:after="60" w:line="240" w:lineRule="auto"/>
              <w:ind w:right="124"/>
              <w:jc w:val="right"/>
              <w:rPr>
                <w:rFonts w:eastAsia="Calibri" w:cs="Arial"/>
                <w:b/>
                <w:bCs/>
                <w:sz w:val="16"/>
                <w:szCs w:val="16"/>
                <w:lang w:val="en-NZ" w:eastAsia="en-AU"/>
              </w:rPr>
            </w:pPr>
            <w:r w:rsidRPr="004D5496">
              <w:rPr>
                <w:rFonts w:eastAsia="Calibri" w:cs="Arial"/>
                <w:b/>
                <w:bCs/>
                <w:sz w:val="16"/>
                <w:szCs w:val="16"/>
                <w:lang w:val="en-NZ" w:eastAsia="en-AU"/>
              </w:rPr>
              <w:t xml:space="preserve">$ 765,500 </w:t>
            </w:r>
          </w:p>
        </w:tc>
      </w:tr>
    </w:tbl>
    <w:p w14:paraId="73AAD8A9" w14:textId="707AD051" w:rsidR="007C76BB" w:rsidRDefault="009E64CB" w:rsidP="009F2A2A">
      <w:pPr>
        <w:spacing w:before="120" w:line="240" w:lineRule="auto"/>
        <w:rPr>
          <w:rFonts w:cs="Arial"/>
          <w:lang w:eastAsia="en-AU"/>
        </w:rPr>
      </w:pPr>
      <w:r>
        <w:rPr>
          <w:rFonts w:cs="Arial"/>
          <w:lang w:eastAsia="en-AU"/>
        </w:rPr>
        <w:t xml:space="preserve">The operating costs include setting up the </w:t>
      </w:r>
      <w:r w:rsidR="00E21B24">
        <w:rPr>
          <w:rFonts w:cs="Arial"/>
          <w:lang w:eastAsia="en-AU"/>
        </w:rPr>
        <w:t>s</w:t>
      </w:r>
      <w:r>
        <w:rPr>
          <w:rFonts w:cs="Arial"/>
          <w:lang w:eastAsia="en-AU"/>
        </w:rPr>
        <w:t>moked tobacco regulator</w:t>
      </w:r>
      <w:r w:rsidR="0021386A">
        <w:rPr>
          <w:rFonts w:cs="Arial"/>
          <w:lang w:eastAsia="en-AU"/>
        </w:rPr>
        <w:t xml:space="preserve"> </w:t>
      </w:r>
      <w:r w:rsidR="1B197840" w:rsidRPr="62ED4635">
        <w:rPr>
          <w:rFonts w:ascii="Roboto" w:eastAsia="Roboto" w:hAnsi="Roboto" w:cs="Roboto"/>
          <w:color w:val="111111"/>
          <w:sz w:val="21"/>
          <w:szCs w:val="21"/>
        </w:rPr>
        <w:t>—</w:t>
      </w:r>
      <w:r w:rsidR="0021386A">
        <w:rPr>
          <w:rFonts w:cs="Arial"/>
          <w:lang w:eastAsia="en-AU"/>
        </w:rPr>
        <w:t xml:space="preserve"> </w:t>
      </w:r>
      <w:r w:rsidR="00E21B24">
        <w:rPr>
          <w:rFonts w:cs="Arial"/>
          <w:lang w:eastAsia="en-AU"/>
        </w:rPr>
        <w:t>for example</w:t>
      </w:r>
      <w:r w:rsidR="714DD9C9" w:rsidRPr="07438D2C">
        <w:rPr>
          <w:rFonts w:cs="Arial"/>
          <w:lang w:eastAsia="en-AU"/>
        </w:rPr>
        <w:t>,</w:t>
      </w:r>
      <w:r w:rsidR="00E21B24">
        <w:rPr>
          <w:rFonts w:cs="Arial"/>
          <w:lang w:eastAsia="en-AU"/>
        </w:rPr>
        <w:t xml:space="preserve"> </w:t>
      </w:r>
      <w:r w:rsidR="0021386A">
        <w:rPr>
          <w:rFonts w:cs="Arial"/>
          <w:lang w:eastAsia="en-AU"/>
        </w:rPr>
        <w:t xml:space="preserve">HR costs and IT system costs, as well as </w:t>
      </w:r>
      <w:r w:rsidR="007C76BB">
        <w:rPr>
          <w:rFonts w:cs="Arial"/>
          <w:lang w:eastAsia="en-AU"/>
        </w:rPr>
        <w:t>processing applications and some monitoring costs.</w:t>
      </w:r>
      <w:r w:rsidR="0021386A">
        <w:rPr>
          <w:rFonts w:cs="Arial"/>
          <w:lang w:eastAsia="en-AU"/>
        </w:rPr>
        <w:t xml:space="preserve"> </w:t>
      </w:r>
      <w:r>
        <w:rPr>
          <w:rFonts w:cs="Arial"/>
          <w:lang w:eastAsia="en-AU"/>
        </w:rPr>
        <w:t xml:space="preserve"> </w:t>
      </w:r>
    </w:p>
    <w:p w14:paraId="419247D6" w14:textId="550CD87C" w:rsidR="726DBF2F" w:rsidRDefault="004D5496" w:rsidP="009F2A2A">
      <w:pPr>
        <w:spacing w:after="120" w:line="240" w:lineRule="auto"/>
        <w:rPr>
          <w:rFonts w:cs="Arial"/>
          <w:lang w:eastAsia="en-AU"/>
        </w:rPr>
      </w:pPr>
      <w:r>
        <w:rPr>
          <w:rFonts w:cs="Arial"/>
          <w:lang w:eastAsia="en-AU"/>
        </w:rPr>
        <w:t xml:space="preserve">Overall, </w:t>
      </w:r>
      <w:r w:rsidR="00CA7C3C">
        <w:rPr>
          <w:rFonts w:cs="Arial"/>
          <w:lang w:eastAsia="en-AU"/>
        </w:rPr>
        <w:t xml:space="preserve">the ongoing </w:t>
      </w:r>
      <w:r w:rsidR="000B0F19">
        <w:rPr>
          <w:rFonts w:cs="Arial"/>
          <w:lang w:eastAsia="en-AU"/>
        </w:rPr>
        <w:t>surplus/deficit</w:t>
      </w:r>
      <w:r w:rsidR="00CA7C3C">
        <w:rPr>
          <w:rFonts w:cs="Arial"/>
          <w:lang w:eastAsia="en-AU"/>
        </w:rPr>
        <w:t xml:space="preserve"> </w:t>
      </w:r>
      <w:r w:rsidR="00BF6F8F">
        <w:rPr>
          <w:rFonts w:cs="Arial"/>
          <w:lang w:eastAsia="en-AU"/>
        </w:rPr>
        <w:t>for 2025</w:t>
      </w:r>
      <w:r w:rsidR="00B365E3">
        <w:rPr>
          <w:rFonts w:cs="Arial"/>
          <w:lang w:eastAsia="en-AU"/>
        </w:rPr>
        <w:t xml:space="preserve">/26 </w:t>
      </w:r>
      <w:r w:rsidR="00BF6F8F">
        <w:rPr>
          <w:rFonts w:cs="Arial"/>
          <w:lang w:eastAsia="en-AU"/>
        </w:rPr>
        <w:t>and o</w:t>
      </w:r>
      <w:r w:rsidR="00B365E3">
        <w:rPr>
          <w:rFonts w:cs="Arial"/>
          <w:lang w:eastAsia="en-AU"/>
        </w:rPr>
        <w:t xml:space="preserve">utyears </w:t>
      </w:r>
      <w:r w:rsidR="00CA7C3C">
        <w:rPr>
          <w:rFonts w:cs="Arial"/>
          <w:lang w:eastAsia="en-AU"/>
        </w:rPr>
        <w:t xml:space="preserve">is </w:t>
      </w:r>
      <w:r w:rsidR="00345584">
        <w:rPr>
          <w:rFonts w:cs="Arial"/>
          <w:lang w:eastAsia="en-AU"/>
        </w:rPr>
        <w:t xml:space="preserve">expected to </w:t>
      </w:r>
      <w:r w:rsidR="00252AA2">
        <w:rPr>
          <w:rFonts w:cs="Arial"/>
          <w:lang w:eastAsia="en-AU"/>
        </w:rPr>
        <w:t xml:space="preserve">be $765,500 </w:t>
      </w:r>
      <w:r w:rsidR="002023C5">
        <w:rPr>
          <w:rFonts w:cs="Arial"/>
          <w:lang w:eastAsia="en-AU"/>
        </w:rPr>
        <w:t>f</w:t>
      </w:r>
      <w:r w:rsidR="00D42974">
        <w:rPr>
          <w:rFonts w:cs="Arial"/>
          <w:lang w:eastAsia="en-AU"/>
        </w:rPr>
        <w:t>o</w:t>
      </w:r>
      <w:r w:rsidR="002023C5">
        <w:rPr>
          <w:rFonts w:cs="Arial"/>
          <w:lang w:eastAsia="en-AU"/>
        </w:rPr>
        <w:t xml:space="preserve">r a medium volume of applications and </w:t>
      </w:r>
      <w:r w:rsidR="006C39D2">
        <w:rPr>
          <w:rFonts w:cs="Arial"/>
          <w:lang w:eastAsia="en-AU"/>
        </w:rPr>
        <w:t xml:space="preserve">range between </w:t>
      </w:r>
      <w:r w:rsidR="004E7581">
        <w:rPr>
          <w:rFonts w:cs="Arial"/>
          <w:lang w:eastAsia="en-AU"/>
        </w:rPr>
        <w:t xml:space="preserve">a </w:t>
      </w:r>
      <w:r w:rsidR="000B0F19">
        <w:rPr>
          <w:rFonts w:cs="Arial"/>
          <w:lang w:eastAsia="en-AU"/>
        </w:rPr>
        <w:t xml:space="preserve">surplus </w:t>
      </w:r>
      <w:r w:rsidR="009B0820">
        <w:rPr>
          <w:rFonts w:cs="Arial"/>
          <w:lang w:eastAsia="en-AU"/>
        </w:rPr>
        <w:t>of $</w:t>
      </w:r>
      <w:r w:rsidR="000C2EA9">
        <w:rPr>
          <w:rFonts w:cs="Arial"/>
          <w:lang w:eastAsia="en-AU"/>
        </w:rPr>
        <w:t xml:space="preserve">1,439,225 </w:t>
      </w:r>
      <w:r w:rsidR="00141C4A">
        <w:rPr>
          <w:rFonts w:cs="Arial"/>
          <w:lang w:eastAsia="en-AU"/>
        </w:rPr>
        <w:t xml:space="preserve">per annum </w:t>
      </w:r>
      <w:r w:rsidR="00BF6F8F">
        <w:rPr>
          <w:rFonts w:cs="Arial"/>
          <w:lang w:eastAsia="en-AU"/>
        </w:rPr>
        <w:t>for a scenario w</w:t>
      </w:r>
      <w:r w:rsidR="00E11ED9">
        <w:rPr>
          <w:rFonts w:cs="Arial"/>
          <w:lang w:eastAsia="en-AU"/>
        </w:rPr>
        <w:t>h</w:t>
      </w:r>
      <w:r w:rsidR="00BF6F8F">
        <w:rPr>
          <w:rFonts w:cs="Arial"/>
          <w:lang w:eastAsia="en-AU"/>
        </w:rPr>
        <w:t>ere few applications</w:t>
      </w:r>
      <w:r w:rsidR="00E11ED9">
        <w:rPr>
          <w:rFonts w:cs="Arial"/>
          <w:lang w:eastAsia="en-AU"/>
        </w:rPr>
        <w:t xml:space="preserve"> are received and a </w:t>
      </w:r>
      <w:r w:rsidR="000B0F19">
        <w:rPr>
          <w:rFonts w:cs="Arial"/>
          <w:lang w:eastAsia="en-AU"/>
        </w:rPr>
        <w:t>deficit</w:t>
      </w:r>
      <w:r w:rsidR="00E11ED9">
        <w:rPr>
          <w:rFonts w:cs="Arial"/>
          <w:lang w:eastAsia="en-AU"/>
        </w:rPr>
        <w:t xml:space="preserve"> of </w:t>
      </w:r>
      <w:r w:rsidR="004E7581">
        <w:rPr>
          <w:rFonts w:cs="Arial"/>
          <w:lang w:eastAsia="en-AU"/>
        </w:rPr>
        <w:t>$1,793,</w:t>
      </w:r>
      <w:r w:rsidR="000132EF">
        <w:rPr>
          <w:rFonts w:cs="Arial"/>
          <w:lang w:eastAsia="en-AU"/>
        </w:rPr>
        <w:t xml:space="preserve">709 </w:t>
      </w:r>
      <w:r w:rsidR="00141C4A">
        <w:rPr>
          <w:rFonts w:cs="Arial"/>
          <w:lang w:eastAsia="en-AU"/>
        </w:rPr>
        <w:t xml:space="preserve">per annum </w:t>
      </w:r>
      <w:r w:rsidR="00B13925">
        <w:rPr>
          <w:rFonts w:cs="Arial"/>
          <w:lang w:eastAsia="en-AU"/>
        </w:rPr>
        <w:t xml:space="preserve">when many applications are received. </w:t>
      </w:r>
    </w:p>
    <w:p w14:paraId="30AB22AC" w14:textId="78C13CF3" w:rsidR="3A1B6ABA" w:rsidRDefault="3ADC742D" w:rsidP="705458C4">
      <w:pPr>
        <w:spacing w:after="120" w:line="240" w:lineRule="auto"/>
        <w:rPr>
          <w:rFonts w:cs="Arial"/>
        </w:rPr>
      </w:pPr>
      <w:r w:rsidRPr="3C4E5589">
        <w:rPr>
          <w:rFonts w:cs="Arial"/>
        </w:rPr>
        <w:t>Actual retail application volumes will only be known once the retail scheme is underway</w:t>
      </w:r>
      <w:r w:rsidR="00355C4E">
        <w:rPr>
          <w:rFonts w:cs="Arial"/>
        </w:rPr>
        <w:t>. A</w:t>
      </w:r>
      <w:r w:rsidR="092EFB69" w:rsidRPr="3C4E5589">
        <w:rPr>
          <w:rFonts w:cs="Arial"/>
        </w:rPr>
        <w:t xml:space="preserve">ll </w:t>
      </w:r>
      <w:r w:rsidRPr="3C4E5589">
        <w:rPr>
          <w:rFonts w:cs="Arial"/>
        </w:rPr>
        <w:t xml:space="preserve">fees will be reviewed </w:t>
      </w:r>
      <w:r w:rsidR="1982182F" w:rsidRPr="3C4E5589">
        <w:rPr>
          <w:rFonts w:cs="Arial"/>
        </w:rPr>
        <w:t xml:space="preserve">as part of </w:t>
      </w:r>
      <w:r w:rsidR="0F1B1E60" w:rsidRPr="3C4E5589">
        <w:rPr>
          <w:rFonts w:cs="Arial"/>
        </w:rPr>
        <w:t>the</w:t>
      </w:r>
      <w:r w:rsidR="1982182F" w:rsidRPr="3C4E5589">
        <w:rPr>
          <w:rFonts w:cs="Arial"/>
        </w:rPr>
        <w:t xml:space="preserve"> overall review of the </w:t>
      </w:r>
      <w:r w:rsidR="000C7983">
        <w:rPr>
          <w:rFonts w:cs="Arial"/>
        </w:rPr>
        <w:t xml:space="preserve">Amendment </w:t>
      </w:r>
      <w:r w:rsidR="1982182F" w:rsidRPr="3C4E5589">
        <w:rPr>
          <w:rFonts w:cs="Arial"/>
        </w:rPr>
        <w:t>Act and the operation</w:t>
      </w:r>
      <w:r w:rsidR="4B1A4D6C" w:rsidRPr="3C4E5589">
        <w:rPr>
          <w:rFonts w:cs="Arial"/>
        </w:rPr>
        <w:t xml:space="preserve"> of the </w:t>
      </w:r>
      <w:r w:rsidR="1982182F" w:rsidRPr="3C4E5589">
        <w:rPr>
          <w:rFonts w:cs="Arial"/>
        </w:rPr>
        <w:t>scheme</w:t>
      </w:r>
      <w:r w:rsidR="05F4AAA7" w:rsidRPr="3C4E5589">
        <w:rPr>
          <w:rFonts w:cs="Arial"/>
        </w:rPr>
        <w:t xml:space="preserve"> no later than 1 January 20</w:t>
      </w:r>
      <w:r w:rsidR="20F9C837" w:rsidRPr="3C4E5589">
        <w:rPr>
          <w:rFonts w:cs="Arial"/>
        </w:rPr>
        <w:t>29</w:t>
      </w:r>
      <w:r w:rsidR="1982182F" w:rsidRPr="3C4E5589">
        <w:rPr>
          <w:rFonts w:cs="Arial"/>
        </w:rPr>
        <w:t>.</w:t>
      </w:r>
    </w:p>
    <w:p w14:paraId="3079E60A" w14:textId="49D8D517" w:rsidR="008B7786" w:rsidRDefault="00674970">
      <w:pPr>
        <w:spacing w:after="0" w:line="240" w:lineRule="auto"/>
        <w:rPr>
          <w:rFonts w:cs="Arial"/>
          <w:lang w:val="en-NZ"/>
        </w:rPr>
      </w:pPr>
      <w:r w:rsidRPr="00F24015">
        <w:rPr>
          <w:rFonts w:cs="Arial"/>
          <w:lang w:val="en-NZ"/>
        </w:rPr>
        <w:t xml:space="preserve"> </w:t>
      </w:r>
    </w:p>
    <w:p w14:paraId="679E9577" w14:textId="1D65C91E" w:rsidR="000767FA" w:rsidRDefault="008B7786">
      <w:pPr>
        <w:spacing w:after="0" w:line="240" w:lineRule="auto"/>
        <w:rPr>
          <w:rFonts w:cs="Arial"/>
          <w:lang w:val="en-NZ"/>
        </w:rPr>
      </w:pPr>
      <w:r>
        <w:rPr>
          <w:rFonts w:cs="Arial"/>
          <w:lang w:val="en-NZ"/>
        </w:rPr>
        <w:br w:type="page"/>
      </w:r>
    </w:p>
    <w:p w14:paraId="3E327532" w14:textId="28E33BCD" w:rsidR="00C53DAC" w:rsidRDefault="00F16C50" w:rsidP="00CD4B62">
      <w:pPr>
        <w:pStyle w:val="Heading2"/>
        <w:rPr>
          <w:lang w:val="en-NZ"/>
        </w:rPr>
      </w:pPr>
      <w:r w:rsidRPr="00A864A5">
        <w:rPr>
          <w:lang w:val="en-NZ"/>
        </w:rPr>
        <w:t xml:space="preserve">Section 1: </w:t>
      </w:r>
      <w:r w:rsidR="0022201B">
        <w:rPr>
          <w:lang w:val="en-NZ"/>
        </w:rPr>
        <w:t>Diagnos</w:t>
      </w:r>
      <w:r w:rsidR="001C4A82">
        <w:rPr>
          <w:lang w:val="en-NZ"/>
        </w:rPr>
        <w:t>ing</w:t>
      </w:r>
      <w:r w:rsidR="0022201B">
        <w:rPr>
          <w:lang w:val="en-NZ"/>
        </w:rPr>
        <w:t xml:space="preserve"> the policy problem</w:t>
      </w:r>
    </w:p>
    <w:p w14:paraId="64AB8715" w14:textId="0E9284DC" w:rsidR="00FC3ADA" w:rsidRPr="00FC3ADA" w:rsidRDefault="007E4F5A" w:rsidP="006D02A7">
      <w:pPr>
        <w:pStyle w:val="Heading3"/>
        <w:spacing w:after="120"/>
        <w:rPr>
          <w:lang w:val="en-NZ"/>
        </w:rPr>
      </w:pPr>
      <w:r>
        <w:rPr>
          <w:lang w:val="en-NZ"/>
        </w:rPr>
        <w:t xml:space="preserve">What is the context behind the </w:t>
      </w:r>
      <w:r w:rsidR="008E4014">
        <w:rPr>
          <w:lang w:val="en-NZ"/>
        </w:rPr>
        <w:t xml:space="preserve">policy </w:t>
      </w:r>
      <w:r>
        <w:rPr>
          <w:lang w:val="en-NZ"/>
        </w:rPr>
        <w:t>problem</w:t>
      </w:r>
      <w:r w:rsidR="000F740F">
        <w:rPr>
          <w:lang w:val="en-NZ"/>
        </w:rPr>
        <w:t xml:space="preserve"> and </w:t>
      </w:r>
      <w:r w:rsidR="00E0257A">
        <w:rPr>
          <w:lang w:val="en-NZ"/>
        </w:rPr>
        <w:t>how is the s</w:t>
      </w:r>
      <w:r w:rsidR="000F740F">
        <w:rPr>
          <w:lang w:val="en-NZ"/>
        </w:rPr>
        <w:t>tatus quo</w:t>
      </w:r>
      <w:r w:rsidR="00E0257A">
        <w:rPr>
          <w:lang w:val="en-NZ"/>
        </w:rPr>
        <w:t xml:space="preserve"> expected to develop</w:t>
      </w:r>
      <w:r>
        <w:rPr>
          <w:lang w:val="en-NZ"/>
        </w:rPr>
        <w:t>?</w:t>
      </w:r>
    </w:p>
    <w:p w14:paraId="7FC4BE2D" w14:textId="77777777" w:rsidR="007663B2" w:rsidRDefault="007663B2" w:rsidP="00A81B17">
      <w:pPr>
        <w:spacing w:before="120" w:after="120"/>
      </w:pPr>
      <w:r w:rsidRPr="064907D3">
        <w:rPr>
          <w:b/>
          <w:color w:val="000000" w:themeColor="text1"/>
        </w:rPr>
        <w:t>Smoked tobacco</w:t>
      </w:r>
    </w:p>
    <w:p w14:paraId="7B5E0AC7" w14:textId="68D9E948" w:rsidR="00380CE4" w:rsidRPr="00B9289C" w:rsidRDefault="0D15A581" w:rsidP="00B9289C">
      <w:pPr>
        <w:pStyle w:val="Number"/>
        <w:numPr>
          <w:ilvl w:val="0"/>
          <w:numId w:val="0"/>
        </w:numPr>
        <w:spacing w:before="0" w:after="240"/>
        <w:rPr>
          <w:rFonts w:ascii="Arial" w:hAnsi="Arial" w:cs="Arial"/>
          <w:sz w:val="22"/>
          <w:szCs w:val="22"/>
          <w:lang w:val="en-GB"/>
        </w:rPr>
      </w:pPr>
      <w:r w:rsidRPr="14E07CEB">
        <w:rPr>
          <w:rFonts w:ascii="Arial" w:hAnsi="Arial" w:cs="Arial"/>
          <w:sz w:val="22"/>
          <w:szCs w:val="22"/>
          <w:lang w:val="en-GB"/>
        </w:rPr>
        <w:t xml:space="preserve">Aotearoa </w:t>
      </w:r>
      <w:r w:rsidR="63166AE2" w:rsidRPr="14E07CEB">
        <w:rPr>
          <w:rFonts w:ascii="Arial" w:hAnsi="Arial" w:cs="Arial"/>
          <w:sz w:val="22"/>
          <w:szCs w:val="22"/>
          <w:lang w:val="en-GB"/>
        </w:rPr>
        <w:t xml:space="preserve">has a goal to reduce daily smoking rates to less than </w:t>
      </w:r>
      <w:r w:rsidR="1281C9EE" w:rsidRPr="14E07CEB">
        <w:rPr>
          <w:rFonts w:ascii="Arial" w:hAnsi="Arial" w:cs="Arial"/>
          <w:sz w:val="22"/>
          <w:szCs w:val="22"/>
          <w:lang w:val="en-GB"/>
        </w:rPr>
        <w:t>5%</w:t>
      </w:r>
      <w:r w:rsidR="63166AE2" w:rsidRPr="14E07CEB">
        <w:rPr>
          <w:rFonts w:ascii="Arial" w:hAnsi="Arial" w:cs="Arial"/>
          <w:sz w:val="22"/>
          <w:szCs w:val="22"/>
          <w:lang w:val="en-GB"/>
        </w:rPr>
        <w:t xml:space="preserve"> across all population groups by 2025 (the </w:t>
      </w:r>
      <w:r w:rsidR="23115EB9" w:rsidRPr="14E07CEB">
        <w:rPr>
          <w:rFonts w:ascii="Arial" w:hAnsi="Arial" w:cs="Arial"/>
          <w:sz w:val="22"/>
          <w:szCs w:val="22"/>
          <w:lang w:val="en-GB"/>
        </w:rPr>
        <w:t>S</w:t>
      </w:r>
      <w:r w:rsidR="63166AE2" w:rsidRPr="14E07CEB">
        <w:rPr>
          <w:rFonts w:ascii="Arial" w:hAnsi="Arial" w:cs="Arial"/>
          <w:sz w:val="22"/>
          <w:szCs w:val="22"/>
          <w:lang w:val="en-GB"/>
        </w:rPr>
        <w:t xml:space="preserve">mokefree 2025 goal). </w:t>
      </w:r>
      <w:r w:rsidR="59602157" w:rsidRPr="14E07CEB">
        <w:rPr>
          <w:rFonts w:ascii="Arial" w:hAnsi="Arial" w:cs="Arial"/>
          <w:sz w:val="22"/>
          <w:szCs w:val="22"/>
          <w:lang w:val="en-GB"/>
        </w:rPr>
        <w:t>While smoking rates have declined overall, Māori, Pacific peoples, and those living in the most disadvantaged areas continue to have disproportionately higher smoking rates and experience greater health inequities from smoking.</w:t>
      </w:r>
      <w:r w:rsidR="54C6109F" w:rsidRPr="14E07CEB">
        <w:rPr>
          <w:rFonts w:ascii="Arial" w:hAnsi="Arial" w:cs="Arial"/>
          <w:sz w:val="22"/>
          <w:szCs w:val="22"/>
          <w:lang w:val="en-GB"/>
        </w:rPr>
        <w:t xml:space="preserve"> Disabled people also have</w:t>
      </w:r>
      <w:r w:rsidR="2C08A089" w:rsidRPr="14E07CEB">
        <w:rPr>
          <w:rFonts w:ascii="Arial" w:hAnsi="Arial" w:cs="Arial"/>
          <w:sz w:val="22"/>
          <w:szCs w:val="22"/>
          <w:lang w:val="en-GB"/>
        </w:rPr>
        <w:t xml:space="preserve"> higher smoking rates, with </w:t>
      </w:r>
      <w:r w:rsidR="5AB1324F" w:rsidRPr="14E07CEB">
        <w:rPr>
          <w:rFonts w:ascii="Arial" w:hAnsi="Arial" w:cs="Arial"/>
          <w:sz w:val="22"/>
          <w:szCs w:val="22"/>
          <w:lang w:val="en-GB"/>
        </w:rPr>
        <w:t>disabled adults more than twice as likely to be daily smokers than non-disabled adults, and almost 3 times as likely to be heavy smokers.</w:t>
      </w:r>
    </w:p>
    <w:p w14:paraId="56FFC0B4" w14:textId="425C9D14" w:rsidR="00B623D2" w:rsidRPr="00527AF4" w:rsidRDefault="0E908CA4" w:rsidP="006D02A7">
      <w:pPr>
        <w:spacing w:before="120" w:after="120" w:line="240" w:lineRule="auto"/>
        <w:rPr>
          <w:rFonts w:cs="Arial"/>
        </w:rPr>
      </w:pPr>
      <w:r w:rsidRPr="4A72D773">
        <w:rPr>
          <w:rFonts w:cs="Arial"/>
        </w:rPr>
        <w:t>To accelerate progress towards achieving the Smokefree goal, the</w:t>
      </w:r>
      <w:r w:rsidRPr="66206E9C">
        <w:rPr>
          <w:rFonts w:cs="Arial"/>
        </w:rPr>
        <w:t xml:space="preserve"> Government released the </w:t>
      </w:r>
      <w:r w:rsidR="299D3051" w:rsidRPr="6CFC9BCF">
        <w:rPr>
          <w:rFonts w:cs="Arial"/>
        </w:rPr>
        <w:t xml:space="preserve">Smokefree Aotearoa </w:t>
      </w:r>
      <w:r w:rsidR="299D3051" w:rsidRPr="1B112A8E">
        <w:rPr>
          <w:rFonts w:cs="Arial"/>
        </w:rPr>
        <w:t>2025</w:t>
      </w:r>
      <w:r w:rsidR="56EBED79" w:rsidRPr="47D3729D">
        <w:rPr>
          <w:rFonts w:cs="Arial"/>
        </w:rPr>
        <w:t xml:space="preserve"> </w:t>
      </w:r>
      <w:r w:rsidR="52E89013" w:rsidRPr="007D16B3">
        <w:rPr>
          <w:rFonts w:cs="Arial"/>
        </w:rPr>
        <w:t>A</w:t>
      </w:r>
      <w:r w:rsidR="3527C6FB" w:rsidRPr="007D16B3">
        <w:rPr>
          <w:rFonts w:cs="Arial"/>
        </w:rPr>
        <w:t xml:space="preserve">ction </w:t>
      </w:r>
      <w:r w:rsidR="58C5C45D" w:rsidRPr="007D16B3">
        <w:rPr>
          <w:rFonts w:cs="Arial"/>
        </w:rPr>
        <w:t>P</w:t>
      </w:r>
      <w:r w:rsidR="3527C6FB" w:rsidRPr="007D16B3">
        <w:rPr>
          <w:rFonts w:cs="Arial"/>
        </w:rPr>
        <w:t>lan</w:t>
      </w:r>
      <w:r w:rsidR="3527C6FB" w:rsidRPr="3C54E44B">
        <w:rPr>
          <w:rFonts w:cs="Arial"/>
        </w:rPr>
        <w:t xml:space="preserve"> </w:t>
      </w:r>
      <w:r w:rsidR="7FF6D92D" w:rsidRPr="3C54E44B">
        <w:rPr>
          <w:rFonts w:cs="Arial"/>
        </w:rPr>
        <w:t>in December</w:t>
      </w:r>
      <w:r w:rsidRPr="66206E9C">
        <w:rPr>
          <w:rFonts w:cs="Arial"/>
        </w:rPr>
        <w:t xml:space="preserve"> 2021.</w:t>
      </w:r>
      <w:r w:rsidR="00BB0D3C">
        <w:rPr>
          <w:rFonts w:cs="Arial"/>
        </w:rPr>
        <w:t xml:space="preserve"> </w:t>
      </w:r>
      <w:r w:rsidR="00D90F40">
        <w:rPr>
          <w:rFonts w:cs="Arial"/>
        </w:rPr>
        <w:t xml:space="preserve">Legislative change was a </w:t>
      </w:r>
      <w:r w:rsidR="0014106D">
        <w:rPr>
          <w:rFonts w:cs="Arial"/>
        </w:rPr>
        <w:t xml:space="preserve">key focus area of the </w:t>
      </w:r>
      <w:r w:rsidRPr="66206E9C">
        <w:rPr>
          <w:rFonts w:cs="Arial"/>
        </w:rPr>
        <w:t xml:space="preserve">action plan </w:t>
      </w:r>
      <w:r w:rsidR="002D295C">
        <w:rPr>
          <w:rFonts w:cs="Arial"/>
        </w:rPr>
        <w:t xml:space="preserve">and </w:t>
      </w:r>
      <w:r w:rsidR="00CA1A9E">
        <w:rPr>
          <w:rFonts w:cs="Arial"/>
        </w:rPr>
        <w:t xml:space="preserve">the </w:t>
      </w:r>
      <w:r w:rsidR="00F579B2">
        <w:rPr>
          <w:rFonts w:cs="Arial"/>
        </w:rPr>
        <w:t>Amendment Ac</w:t>
      </w:r>
      <w:r w:rsidR="002E5B9A">
        <w:rPr>
          <w:rFonts w:cs="Arial"/>
        </w:rPr>
        <w:t>t</w:t>
      </w:r>
      <w:r w:rsidR="00BD1566">
        <w:rPr>
          <w:rFonts w:cs="Arial"/>
        </w:rPr>
        <w:t xml:space="preserve"> </w:t>
      </w:r>
      <w:r w:rsidR="00DE2309">
        <w:rPr>
          <w:rFonts w:cs="Arial"/>
        </w:rPr>
        <w:t>was passed in December 2022.</w:t>
      </w:r>
    </w:p>
    <w:p w14:paraId="155CCA33" w14:textId="66CEB370" w:rsidR="2E5818D7" w:rsidRPr="00A81B17" w:rsidRDefault="2E5818D7" w:rsidP="00A81B17">
      <w:pPr>
        <w:spacing w:before="120" w:after="120"/>
        <w:rPr>
          <w:b/>
          <w:color w:val="000000" w:themeColor="text1"/>
        </w:rPr>
      </w:pPr>
      <w:r w:rsidRPr="064907D3">
        <w:rPr>
          <w:b/>
          <w:color w:val="000000" w:themeColor="text1"/>
        </w:rPr>
        <w:t>Smoked tobacco</w:t>
      </w:r>
    </w:p>
    <w:p w14:paraId="6C37574C" w14:textId="697645ED" w:rsidR="00BF7C73" w:rsidRPr="00527AF4" w:rsidRDefault="48AD8489" w:rsidP="00A81B17">
      <w:pPr>
        <w:spacing w:after="120"/>
        <w:rPr>
          <w:rFonts w:cs="Arial"/>
        </w:rPr>
      </w:pPr>
      <w:r w:rsidRPr="74A0F96B">
        <w:rPr>
          <w:rFonts w:cs="Arial"/>
        </w:rPr>
        <w:t>T</w:t>
      </w:r>
      <w:r w:rsidR="516CADFA" w:rsidRPr="74A0F96B">
        <w:rPr>
          <w:rFonts w:cs="Arial"/>
        </w:rPr>
        <w:t>he</w:t>
      </w:r>
      <w:r w:rsidR="516CADFA" w:rsidRPr="294C9F55">
        <w:rPr>
          <w:rFonts w:cs="Arial"/>
        </w:rPr>
        <w:t xml:space="preserve"> Amendment Act</w:t>
      </w:r>
      <w:r w:rsidR="0A5E79A8" w:rsidRPr="294C9F55">
        <w:rPr>
          <w:rFonts w:cs="Arial"/>
        </w:rPr>
        <w:t xml:space="preserve"> </w:t>
      </w:r>
      <w:r w:rsidR="19291580" w:rsidRPr="294C9F55">
        <w:rPr>
          <w:rFonts w:cs="Arial"/>
        </w:rPr>
        <w:t>introduce</w:t>
      </w:r>
      <w:r w:rsidR="0C64524D" w:rsidRPr="294C9F55">
        <w:rPr>
          <w:rFonts w:cs="Arial"/>
        </w:rPr>
        <w:t>s</w:t>
      </w:r>
      <w:r w:rsidR="19291580" w:rsidRPr="294C9F55">
        <w:rPr>
          <w:rFonts w:cs="Arial"/>
        </w:rPr>
        <w:t xml:space="preserve"> measures to achieve the following</w:t>
      </w:r>
      <w:r w:rsidR="00A81B17">
        <w:rPr>
          <w:rFonts w:cs="Arial"/>
        </w:rPr>
        <w:t xml:space="preserve"> objectives</w:t>
      </w:r>
      <w:r w:rsidR="19291580" w:rsidRPr="294C9F55">
        <w:rPr>
          <w:rFonts w:cs="Arial"/>
        </w:rPr>
        <w:t>:</w:t>
      </w:r>
    </w:p>
    <w:p w14:paraId="7718E892" w14:textId="4F293A98" w:rsidR="00594983" w:rsidRPr="005315CD" w:rsidRDefault="19291580" w:rsidP="00131678">
      <w:pPr>
        <w:pStyle w:val="ReportBody-MOH"/>
        <w:numPr>
          <w:ilvl w:val="0"/>
          <w:numId w:val="9"/>
        </w:numPr>
        <w:ind w:left="426" w:hanging="426"/>
        <w:rPr>
          <w:rFonts w:ascii="Arial" w:hAnsi="Arial"/>
          <w:kern w:val="0"/>
          <w:lang w:eastAsia="en-GB"/>
        </w:rPr>
      </w:pPr>
      <w:r w:rsidRPr="005315CD">
        <w:rPr>
          <w:rFonts w:ascii="Arial" w:hAnsi="Arial"/>
          <w:kern w:val="0"/>
          <w:lang w:eastAsia="en-GB"/>
        </w:rPr>
        <w:t xml:space="preserve">significantly </w:t>
      </w:r>
      <w:r w:rsidR="3765B07D" w:rsidRPr="005315CD">
        <w:rPr>
          <w:rFonts w:ascii="Arial" w:hAnsi="Arial"/>
          <w:kern w:val="0"/>
          <w:lang w:eastAsia="en-GB"/>
        </w:rPr>
        <w:t>reduc</w:t>
      </w:r>
      <w:r w:rsidR="4FD5CDA7" w:rsidRPr="005315CD">
        <w:rPr>
          <w:rFonts w:ascii="Arial" w:hAnsi="Arial"/>
          <w:kern w:val="0"/>
          <w:lang w:eastAsia="en-GB"/>
        </w:rPr>
        <w:t>ing</w:t>
      </w:r>
      <w:r w:rsidRPr="005315CD">
        <w:rPr>
          <w:rFonts w:ascii="Arial" w:hAnsi="Arial"/>
          <w:kern w:val="0"/>
          <w:lang w:eastAsia="en-GB"/>
        </w:rPr>
        <w:t xml:space="preserve"> retail availability of smoked tobacco products (by capping the number of retail stores </w:t>
      </w:r>
      <w:r w:rsidR="18CAB61F" w:rsidRPr="005315CD">
        <w:rPr>
          <w:rFonts w:ascii="Arial" w:hAnsi="Arial"/>
          <w:kern w:val="0"/>
          <w:lang w:eastAsia="en-GB"/>
        </w:rPr>
        <w:t>to a maximum of 600</w:t>
      </w:r>
      <w:r w:rsidR="71161C61" w:rsidRPr="005315CD">
        <w:rPr>
          <w:rFonts w:ascii="Arial" w:hAnsi="Arial"/>
          <w:kern w:val="0"/>
          <w:lang w:eastAsia="en-GB"/>
        </w:rPr>
        <w:t xml:space="preserve"> </w:t>
      </w:r>
      <w:r w:rsidRPr="005315CD">
        <w:rPr>
          <w:rFonts w:ascii="Arial" w:hAnsi="Arial"/>
          <w:kern w:val="0"/>
          <w:lang w:eastAsia="en-GB"/>
        </w:rPr>
        <w:t xml:space="preserve">and restricting where </w:t>
      </w:r>
      <w:r w:rsidR="73B6926F" w:rsidRPr="005315CD">
        <w:rPr>
          <w:rFonts w:ascii="Arial" w:hAnsi="Arial"/>
          <w:kern w:val="0"/>
          <w:lang w:eastAsia="en-GB"/>
        </w:rPr>
        <w:t>they can be sold</w:t>
      </w:r>
      <w:r w:rsidR="71161C61" w:rsidRPr="005315CD">
        <w:rPr>
          <w:rFonts w:ascii="Arial" w:hAnsi="Arial"/>
          <w:kern w:val="0"/>
          <w:lang w:eastAsia="en-GB"/>
        </w:rPr>
        <w:t xml:space="preserve"> </w:t>
      </w:r>
      <w:r w:rsidRPr="005315CD">
        <w:rPr>
          <w:rFonts w:ascii="Arial" w:hAnsi="Arial"/>
          <w:kern w:val="0"/>
          <w:lang w:eastAsia="en-GB"/>
        </w:rPr>
        <w:t>and who can sell them)</w:t>
      </w:r>
    </w:p>
    <w:p w14:paraId="24E528B1" w14:textId="154CD662" w:rsidR="00BF7C73" w:rsidRPr="005315CD" w:rsidRDefault="009F2E93" w:rsidP="00131678">
      <w:pPr>
        <w:pStyle w:val="ReportBody-MOH"/>
        <w:numPr>
          <w:ilvl w:val="0"/>
          <w:numId w:val="9"/>
        </w:numPr>
        <w:ind w:left="426" w:hanging="426"/>
        <w:rPr>
          <w:rFonts w:ascii="Arial" w:hAnsi="Arial"/>
          <w:kern w:val="0"/>
          <w:lang w:eastAsia="en-GB"/>
        </w:rPr>
      </w:pPr>
      <w:r w:rsidRPr="005315CD">
        <w:rPr>
          <w:rFonts w:ascii="Arial" w:hAnsi="Arial"/>
          <w:kern w:val="0"/>
          <w:lang w:eastAsia="en-GB"/>
        </w:rPr>
        <w:t>prohibiting the sale of smoked tobacco products</w:t>
      </w:r>
      <w:r w:rsidR="008348D0" w:rsidRPr="005315CD">
        <w:rPr>
          <w:rFonts w:ascii="Arial" w:hAnsi="Arial"/>
          <w:kern w:val="0"/>
          <w:lang w:eastAsia="en-GB"/>
        </w:rPr>
        <w:t xml:space="preserve"> to</w:t>
      </w:r>
      <w:r w:rsidR="19291580" w:rsidRPr="005315CD">
        <w:rPr>
          <w:rFonts w:ascii="Arial" w:hAnsi="Arial"/>
          <w:kern w:val="0"/>
          <w:lang w:eastAsia="en-GB"/>
        </w:rPr>
        <w:t xml:space="preserve"> </w:t>
      </w:r>
      <w:r w:rsidR="590ED9B7" w:rsidRPr="005315CD">
        <w:rPr>
          <w:rFonts w:ascii="Arial" w:hAnsi="Arial"/>
          <w:kern w:val="0"/>
          <w:lang w:eastAsia="en-GB"/>
        </w:rPr>
        <w:t xml:space="preserve">those born on or after 1 January 2009 </w:t>
      </w:r>
      <w:r w:rsidR="19291580" w:rsidRPr="005315CD">
        <w:rPr>
          <w:rFonts w:ascii="Arial" w:hAnsi="Arial"/>
          <w:kern w:val="0"/>
          <w:lang w:eastAsia="en-GB"/>
        </w:rPr>
        <w:t xml:space="preserve">(the </w:t>
      </w:r>
      <w:r w:rsidR="738B69CA" w:rsidRPr="005315CD">
        <w:rPr>
          <w:rFonts w:ascii="Arial" w:hAnsi="Arial"/>
          <w:kern w:val="0"/>
          <w:lang w:eastAsia="en-GB"/>
        </w:rPr>
        <w:t>s</w:t>
      </w:r>
      <w:r w:rsidR="19291580" w:rsidRPr="005315CD">
        <w:rPr>
          <w:rFonts w:ascii="Arial" w:hAnsi="Arial"/>
          <w:kern w:val="0"/>
          <w:lang w:eastAsia="en-GB"/>
        </w:rPr>
        <w:t xml:space="preserve">mokefree </w:t>
      </w:r>
      <w:r w:rsidR="7EC86335" w:rsidRPr="005315CD">
        <w:rPr>
          <w:rFonts w:ascii="Arial" w:hAnsi="Arial"/>
          <w:kern w:val="0"/>
          <w:lang w:eastAsia="en-GB"/>
        </w:rPr>
        <w:t>g</w:t>
      </w:r>
      <w:r w:rsidR="19291580" w:rsidRPr="005315CD">
        <w:rPr>
          <w:rFonts w:ascii="Arial" w:hAnsi="Arial"/>
          <w:kern w:val="0"/>
          <w:lang w:eastAsia="en-GB"/>
        </w:rPr>
        <w:t xml:space="preserve">eneration </w:t>
      </w:r>
      <w:r w:rsidR="6F8E0D37" w:rsidRPr="005315CD">
        <w:rPr>
          <w:rFonts w:ascii="Arial" w:hAnsi="Arial"/>
          <w:kern w:val="0"/>
          <w:lang w:eastAsia="en-GB"/>
        </w:rPr>
        <w:t>p</w:t>
      </w:r>
      <w:r w:rsidR="19291580" w:rsidRPr="005315CD">
        <w:rPr>
          <w:rFonts w:ascii="Arial" w:hAnsi="Arial"/>
          <w:kern w:val="0"/>
          <w:lang w:eastAsia="en-GB"/>
        </w:rPr>
        <w:t>olicy)</w:t>
      </w:r>
    </w:p>
    <w:p w14:paraId="4968E00F" w14:textId="0C5B59CC" w:rsidR="00BF7C73" w:rsidRPr="002B3186" w:rsidRDefault="2356C3DE" w:rsidP="00131678">
      <w:pPr>
        <w:pStyle w:val="ReportBody-MOH"/>
        <w:numPr>
          <w:ilvl w:val="0"/>
          <w:numId w:val="9"/>
        </w:numPr>
        <w:ind w:left="426" w:hanging="426"/>
        <w:rPr>
          <w:rFonts w:ascii="Arial" w:hAnsi="Arial"/>
          <w:lang w:val="en-GB" w:eastAsia="en-GB"/>
        </w:rPr>
      </w:pPr>
      <w:r w:rsidRPr="005315CD">
        <w:rPr>
          <w:rFonts w:ascii="Arial" w:hAnsi="Arial"/>
          <w:kern w:val="0"/>
          <w:lang w:eastAsia="en-GB"/>
        </w:rPr>
        <w:t>reduc</w:t>
      </w:r>
      <w:r w:rsidR="491CAEA8" w:rsidRPr="005315CD">
        <w:rPr>
          <w:rFonts w:ascii="Arial" w:hAnsi="Arial"/>
          <w:kern w:val="0"/>
          <w:lang w:eastAsia="en-GB"/>
        </w:rPr>
        <w:t>ing</w:t>
      </w:r>
      <w:r w:rsidRPr="0066220C">
        <w:rPr>
          <w:rFonts w:ascii="Arial" w:hAnsi="Arial"/>
          <w:kern w:val="0"/>
          <w:lang w:val="en-GB" w:eastAsia="en-GB"/>
        </w:rPr>
        <w:t xml:space="preserve"> the appeal and addictiveness of smoked tobacco products (by only allowing the sale of </w:t>
      </w:r>
      <w:r w:rsidR="008706AF" w:rsidRPr="0066220C">
        <w:rPr>
          <w:rFonts w:ascii="Arial" w:hAnsi="Arial"/>
          <w:kern w:val="0"/>
          <w:lang w:val="en-GB" w:eastAsia="en-GB"/>
        </w:rPr>
        <w:t xml:space="preserve">products </w:t>
      </w:r>
      <w:r w:rsidR="008706AF">
        <w:rPr>
          <w:rFonts w:ascii="Arial" w:hAnsi="Arial"/>
          <w:kern w:val="0"/>
          <w:lang w:val="en-GB" w:eastAsia="en-GB"/>
        </w:rPr>
        <w:t xml:space="preserve">that meet </w:t>
      </w:r>
      <w:r w:rsidRPr="0066220C">
        <w:rPr>
          <w:rFonts w:ascii="Arial" w:hAnsi="Arial"/>
          <w:kern w:val="0"/>
          <w:lang w:val="en-GB" w:eastAsia="en-GB"/>
        </w:rPr>
        <w:t>low</w:t>
      </w:r>
      <w:r w:rsidR="008706AF">
        <w:rPr>
          <w:rFonts w:ascii="Arial" w:hAnsi="Arial"/>
          <w:kern w:val="0"/>
          <w:lang w:val="en-GB" w:eastAsia="en-GB"/>
        </w:rPr>
        <w:t>-</w:t>
      </w:r>
      <w:r w:rsidRPr="0066220C">
        <w:rPr>
          <w:rFonts w:ascii="Arial" w:hAnsi="Arial"/>
          <w:kern w:val="0"/>
          <w:lang w:val="en-GB" w:eastAsia="en-GB"/>
        </w:rPr>
        <w:t>nicotine</w:t>
      </w:r>
      <w:r w:rsidR="008706AF">
        <w:rPr>
          <w:rFonts w:ascii="Arial" w:hAnsi="Arial"/>
          <w:kern w:val="0"/>
          <w:lang w:val="en-GB" w:eastAsia="en-GB"/>
        </w:rPr>
        <w:t xml:space="preserve"> and other standards</w:t>
      </w:r>
      <w:r w:rsidRPr="0066220C">
        <w:rPr>
          <w:rFonts w:ascii="Arial" w:hAnsi="Arial"/>
          <w:kern w:val="0"/>
          <w:lang w:val="en-GB" w:eastAsia="en-GB"/>
        </w:rPr>
        <w:t xml:space="preserve">) </w:t>
      </w:r>
    </w:p>
    <w:p w14:paraId="5BC98FE8" w14:textId="01494592" w:rsidR="008348D0" w:rsidRDefault="19291580" w:rsidP="006D02A7">
      <w:pPr>
        <w:pStyle w:val="FootnoteText"/>
        <w:spacing w:after="120"/>
        <w:ind w:left="0" w:firstLine="0"/>
        <w:rPr>
          <w:rFonts w:cs="Arial"/>
          <w:sz w:val="22"/>
          <w:lang w:val="en-NZ"/>
        </w:rPr>
      </w:pPr>
      <w:r w:rsidRPr="00EC402F">
        <w:rPr>
          <w:rFonts w:cs="Arial"/>
          <w:sz w:val="22"/>
          <w:lang w:val="en-NZ"/>
        </w:rPr>
        <w:t>A regulatory regime is needed to oversee and monitor the</w:t>
      </w:r>
      <w:r w:rsidR="3C47A554" w:rsidRPr="00EC402F">
        <w:rPr>
          <w:rFonts w:cs="Arial"/>
          <w:sz w:val="22"/>
          <w:lang w:val="en-NZ"/>
        </w:rPr>
        <w:t>se changes</w:t>
      </w:r>
      <w:r w:rsidR="5F568BC4" w:rsidRPr="00EC402F">
        <w:rPr>
          <w:rFonts w:cs="Arial"/>
          <w:sz w:val="22"/>
          <w:lang w:val="en-NZ"/>
        </w:rPr>
        <w:t>.</w:t>
      </w:r>
      <w:r w:rsidRPr="00EC402F">
        <w:rPr>
          <w:rFonts w:cs="Arial"/>
          <w:sz w:val="22"/>
          <w:lang w:val="en-NZ"/>
        </w:rPr>
        <w:t xml:space="preserve"> </w:t>
      </w:r>
      <w:r w:rsidR="15491DAF" w:rsidRPr="00EC402F">
        <w:rPr>
          <w:rFonts w:cs="Arial"/>
          <w:sz w:val="22"/>
          <w:lang w:val="en-NZ"/>
        </w:rPr>
        <w:t>It</w:t>
      </w:r>
      <w:r w:rsidRPr="00EC402F">
        <w:rPr>
          <w:rFonts w:cs="Arial"/>
          <w:sz w:val="22"/>
          <w:lang w:val="en-NZ"/>
        </w:rPr>
        <w:t xml:space="preserve"> must be stood up in sufficient time for the retail and products restrictions </w:t>
      </w:r>
      <w:r w:rsidR="22CD69F8" w:rsidRPr="00EC402F">
        <w:rPr>
          <w:rFonts w:cs="Arial"/>
          <w:sz w:val="22"/>
          <w:lang w:val="en-NZ"/>
        </w:rPr>
        <w:t>to</w:t>
      </w:r>
      <w:r w:rsidRPr="00EC402F">
        <w:rPr>
          <w:rFonts w:cs="Arial"/>
          <w:sz w:val="22"/>
          <w:lang w:val="en-NZ"/>
        </w:rPr>
        <w:t xml:space="preserve"> commence</w:t>
      </w:r>
      <w:r w:rsidR="000010D9">
        <w:rPr>
          <w:rFonts w:cs="Arial"/>
          <w:sz w:val="22"/>
          <w:lang w:val="en-NZ"/>
        </w:rPr>
        <w:t xml:space="preserve"> (o</w:t>
      </w:r>
      <w:r w:rsidR="008348D0" w:rsidRPr="00EC402F">
        <w:rPr>
          <w:rFonts w:cs="Arial"/>
          <w:sz w:val="22"/>
          <w:lang w:val="en-NZ"/>
        </w:rPr>
        <w:t>nly approved retailers can sell smoked tobacco products from 1 July 2024, and only low nicotine products can be sold from 1 April 2025</w:t>
      </w:r>
      <w:r w:rsidR="000010D9">
        <w:rPr>
          <w:rFonts w:cs="Arial"/>
          <w:sz w:val="22"/>
          <w:lang w:val="en-NZ"/>
        </w:rPr>
        <w:t>)</w:t>
      </w:r>
      <w:r w:rsidR="008348D0" w:rsidRPr="00EC402F">
        <w:rPr>
          <w:rFonts w:cs="Arial"/>
          <w:sz w:val="22"/>
          <w:lang w:val="en-NZ"/>
        </w:rPr>
        <w:t>.</w:t>
      </w:r>
    </w:p>
    <w:p w14:paraId="2BA54735" w14:textId="5043F194" w:rsidR="00FD63A4" w:rsidRDefault="62C72B38" w:rsidP="00FD63A4">
      <w:pPr>
        <w:spacing w:before="120" w:after="120" w:line="240" w:lineRule="auto"/>
        <w:rPr>
          <w:lang w:val="en-NZ"/>
        </w:rPr>
      </w:pPr>
      <w:r w:rsidRPr="14E07CEB">
        <w:rPr>
          <w:lang w:val="en-NZ"/>
        </w:rPr>
        <w:t xml:space="preserve">The new legislative measures, and the regulations needed to implement them, have been designed to address the inequities that smoking causes for Māori and </w:t>
      </w:r>
      <w:r w:rsidR="3D5A6584" w:rsidRPr="14E07CEB">
        <w:rPr>
          <w:lang w:val="en-NZ"/>
        </w:rPr>
        <w:t>are</w:t>
      </w:r>
      <w:r w:rsidRPr="14E07CEB">
        <w:rPr>
          <w:lang w:val="en-NZ"/>
        </w:rPr>
        <w:t xml:space="preserve"> an integral part of the Crown’s obligations under Te Tiriti o Waitangi. Modelling projected that these legislative changes would significantly reduce the inequity gap in health outcomes between Māori and non-Māori. By 2040, it is estimated that these policies will reduce the gap in all-cause mortality for Māori aged over 45 by 22.9%.</w:t>
      </w:r>
    </w:p>
    <w:p w14:paraId="33D9FE60" w14:textId="77777777" w:rsidR="00FD63A4" w:rsidRPr="00527AF4" w:rsidRDefault="00FD63A4" w:rsidP="00FD63A4">
      <w:pPr>
        <w:spacing w:before="120" w:after="120"/>
        <w:rPr>
          <w:rFonts w:cs="Arial"/>
          <w:lang w:val="en-NZ"/>
        </w:rPr>
      </w:pPr>
      <w:r w:rsidRPr="2AD34044">
        <w:rPr>
          <w:rFonts w:cs="Arial"/>
          <w:lang w:val="en-NZ"/>
        </w:rPr>
        <w:t>The policies will also support equity in other marginalised communities that have high rates of smoking and vaping, including LGBTQ+ people. Non-heterosexual men, for example, report higher rates of smoking and vaping use than the general population.</w:t>
      </w:r>
    </w:p>
    <w:p w14:paraId="29095295" w14:textId="38E160B8" w:rsidR="00BF7C73" w:rsidRPr="003F5A76" w:rsidRDefault="00BF7C73" w:rsidP="006D02A7">
      <w:pPr>
        <w:pStyle w:val="Heading4"/>
        <w:spacing w:after="120"/>
        <w:rPr>
          <w:b w:val="0"/>
          <w:bCs w:val="0"/>
          <w:lang w:val="en-NZ"/>
        </w:rPr>
      </w:pPr>
      <w:r w:rsidRPr="003F5A76">
        <w:rPr>
          <w:lang w:val="en-NZ"/>
        </w:rPr>
        <w:t>Vap</w:t>
      </w:r>
      <w:r w:rsidRPr="4F8A95A8">
        <w:rPr>
          <w:lang w:val="en-NZ"/>
        </w:rPr>
        <w:t>ing</w:t>
      </w:r>
    </w:p>
    <w:p w14:paraId="3FD3D329" w14:textId="71D1F145" w:rsidR="00BF7C73" w:rsidRPr="003F5A76" w:rsidRDefault="19291580" w:rsidP="006D02A7">
      <w:pPr>
        <w:pStyle w:val="CabStandard"/>
        <w:numPr>
          <w:ilvl w:val="0"/>
          <w:numId w:val="0"/>
        </w:numPr>
        <w:spacing w:before="120"/>
        <w:rPr>
          <w:sz w:val="22"/>
          <w:szCs w:val="22"/>
        </w:rPr>
      </w:pPr>
      <w:r w:rsidRPr="34A26961">
        <w:rPr>
          <w:sz w:val="22"/>
          <w:szCs w:val="22"/>
          <w:lang w:val="en-NZ"/>
        </w:rPr>
        <w:t xml:space="preserve">Vaping was </w:t>
      </w:r>
      <w:r w:rsidR="70FAD041" w:rsidRPr="34A26961">
        <w:rPr>
          <w:sz w:val="22"/>
          <w:szCs w:val="22"/>
          <w:lang w:val="en-NZ"/>
        </w:rPr>
        <w:t xml:space="preserve">first </w:t>
      </w:r>
      <w:r w:rsidRPr="34A26961">
        <w:rPr>
          <w:sz w:val="22"/>
          <w:szCs w:val="22"/>
          <w:lang w:val="en-NZ"/>
        </w:rPr>
        <w:t xml:space="preserve">regulated </w:t>
      </w:r>
      <w:r w:rsidR="77489610" w:rsidRPr="19AFD816">
        <w:rPr>
          <w:sz w:val="22"/>
          <w:szCs w:val="22"/>
          <w:lang w:val="en-NZ"/>
        </w:rPr>
        <w:t>by</w:t>
      </w:r>
      <w:r w:rsidRPr="34A26961">
        <w:rPr>
          <w:sz w:val="22"/>
          <w:szCs w:val="22"/>
          <w:lang w:val="en-NZ"/>
        </w:rPr>
        <w:t xml:space="preserve"> the </w:t>
      </w:r>
      <w:r w:rsidR="77489610" w:rsidRPr="19AFD816">
        <w:rPr>
          <w:sz w:val="22"/>
          <w:szCs w:val="22"/>
          <w:lang w:val="en-NZ"/>
        </w:rPr>
        <w:t>Smokefree Environments and Regulated Products (Vaping) Amendment Act</w:t>
      </w:r>
      <w:r w:rsidRPr="34A26961">
        <w:rPr>
          <w:sz w:val="22"/>
          <w:szCs w:val="22"/>
          <w:lang w:val="en-NZ"/>
        </w:rPr>
        <w:t xml:space="preserve"> 2020</w:t>
      </w:r>
      <w:r w:rsidR="31F81DF3" w:rsidRPr="219E7C1F">
        <w:rPr>
          <w:sz w:val="22"/>
          <w:szCs w:val="22"/>
          <w:lang w:val="en-NZ"/>
        </w:rPr>
        <w:t>, which</w:t>
      </w:r>
      <w:r w:rsidR="4F0ED92A" w:rsidRPr="34A26961">
        <w:rPr>
          <w:sz w:val="22"/>
          <w:szCs w:val="22"/>
          <w:lang w:val="en-NZ"/>
        </w:rPr>
        <w:t xml:space="preserve"> aimed to provide a balance between ensuring smokers had access to a regulated</w:t>
      </w:r>
      <w:r w:rsidR="390A4173" w:rsidRPr="36422D81">
        <w:rPr>
          <w:sz w:val="22"/>
          <w:szCs w:val="22"/>
          <w:lang w:val="en-NZ"/>
        </w:rPr>
        <w:t>,</w:t>
      </w:r>
      <w:r w:rsidR="4F0ED92A" w:rsidRPr="34A26961">
        <w:rPr>
          <w:sz w:val="22"/>
          <w:szCs w:val="22"/>
          <w:lang w:val="en-NZ"/>
        </w:rPr>
        <w:t xml:space="preserve"> </w:t>
      </w:r>
      <w:r w:rsidR="5B72A4E3" w:rsidRPr="34A26961">
        <w:rPr>
          <w:sz w:val="22"/>
          <w:szCs w:val="22"/>
          <w:lang w:val="en-NZ"/>
        </w:rPr>
        <w:t xml:space="preserve">less </w:t>
      </w:r>
      <w:proofErr w:type="gramStart"/>
      <w:r w:rsidR="5B72A4E3" w:rsidRPr="34A26961">
        <w:rPr>
          <w:sz w:val="22"/>
          <w:szCs w:val="22"/>
          <w:lang w:val="en-NZ"/>
        </w:rPr>
        <w:t>harmful</w:t>
      </w:r>
      <w:proofErr w:type="gramEnd"/>
      <w:r w:rsidR="5B72A4E3" w:rsidRPr="34A26961">
        <w:rPr>
          <w:sz w:val="22"/>
          <w:szCs w:val="22"/>
          <w:lang w:val="en-NZ"/>
        </w:rPr>
        <w:t xml:space="preserve"> </w:t>
      </w:r>
      <w:r w:rsidR="65B67738" w:rsidRPr="36422D81">
        <w:rPr>
          <w:sz w:val="22"/>
          <w:szCs w:val="22"/>
          <w:lang w:val="en-NZ"/>
        </w:rPr>
        <w:t>and</w:t>
      </w:r>
      <w:r w:rsidR="41E4429E" w:rsidRPr="36422D81">
        <w:rPr>
          <w:sz w:val="22"/>
          <w:szCs w:val="22"/>
          <w:lang w:val="en-NZ"/>
        </w:rPr>
        <w:t xml:space="preserve"> </w:t>
      </w:r>
      <w:r w:rsidR="71097BD1" w:rsidRPr="007D16B3">
        <w:rPr>
          <w:sz w:val="22"/>
          <w:szCs w:val="22"/>
          <w:lang w:val="en-NZ"/>
        </w:rPr>
        <w:t>less costly</w:t>
      </w:r>
      <w:r w:rsidR="3E75D0AC" w:rsidRPr="36422D81">
        <w:rPr>
          <w:sz w:val="22"/>
          <w:szCs w:val="22"/>
          <w:lang w:val="en-NZ"/>
        </w:rPr>
        <w:t xml:space="preserve"> </w:t>
      </w:r>
      <w:r w:rsidR="4F0ED92A" w:rsidRPr="34A26961">
        <w:rPr>
          <w:sz w:val="22"/>
          <w:szCs w:val="22"/>
          <w:lang w:val="en-NZ"/>
        </w:rPr>
        <w:t xml:space="preserve">alternative to smoking, while protecting </w:t>
      </w:r>
      <w:r w:rsidR="01105517" w:rsidRPr="34A26961">
        <w:rPr>
          <w:sz w:val="22"/>
          <w:szCs w:val="22"/>
          <w:lang w:val="en-NZ"/>
        </w:rPr>
        <w:t>non-smokers – especially young people – from the risks associated with vaping.</w:t>
      </w:r>
      <w:r w:rsidR="00BF7C73" w:rsidRPr="65340990" w:rsidDel="70FAD041">
        <w:rPr>
          <w:sz w:val="22"/>
          <w:szCs w:val="22"/>
          <w:lang w:val="en-NZ"/>
        </w:rPr>
        <w:t xml:space="preserve"> </w:t>
      </w:r>
      <w:r w:rsidR="00BF7C73" w:rsidRPr="34A26961" w:rsidDel="19291580">
        <w:rPr>
          <w:sz w:val="22"/>
          <w:szCs w:val="22"/>
        </w:rPr>
        <w:t xml:space="preserve">However, </w:t>
      </w:r>
      <w:r w:rsidR="51FA5AD6" w:rsidRPr="65340990">
        <w:rPr>
          <w:sz w:val="22"/>
          <w:szCs w:val="22"/>
        </w:rPr>
        <w:t>v</w:t>
      </w:r>
      <w:r w:rsidRPr="65340990">
        <w:rPr>
          <w:sz w:val="22"/>
          <w:szCs w:val="22"/>
        </w:rPr>
        <w:t xml:space="preserve">aping rates </w:t>
      </w:r>
      <w:r w:rsidR="31330BC9" w:rsidRPr="65340990">
        <w:rPr>
          <w:sz w:val="22"/>
          <w:szCs w:val="22"/>
        </w:rPr>
        <w:t>among</w:t>
      </w:r>
      <w:r w:rsidRPr="65340990">
        <w:rPr>
          <w:sz w:val="22"/>
          <w:szCs w:val="22"/>
        </w:rPr>
        <w:t xml:space="preserve"> young people have</w:t>
      </w:r>
      <w:r w:rsidR="2C5EC97D" w:rsidRPr="65340990">
        <w:rPr>
          <w:sz w:val="22"/>
          <w:szCs w:val="22"/>
        </w:rPr>
        <w:t xml:space="preserve"> </w:t>
      </w:r>
      <w:r w:rsidRPr="65340990">
        <w:rPr>
          <w:sz w:val="22"/>
          <w:szCs w:val="22"/>
        </w:rPr>
        <w:t>rise</w:t>
      </w:r>
      <w:r w:rsidR="4F57C5EE" w:rsidRPr="65340990">
        <w:rPr>
          <w:sz w:val="22"/>
          <w:szCs w:val="22"/>
        </w:rPr>
        <w:t>n significantly in the past few years</w:t>
      </w:r>
      <w:r w:rsidRPr="65340990">
        <w:rPr>
          <w:sz w:val="22"/>
          <w:szCs w:val="22"/>
        </w:rPr>
        <w:t>.</w:t>
      </w:r>
    </w:p>
    <w:p w14:paraId="5B43F71D" w14:textId="0DDDBB37" w:rsidR="00BF7C73" w:rsidRPr="003D0DA7" w:rsidRDefault="5120756F" w:rsidP="006D02A7">
      <w:pPr>
        <w:pStyle w:val="CabStandard"/>
        <w:numPr>
          <w:ilvl w:val="0"/>
          <w:numId w:val="0"/>
        </w:numPr>
        <w:spacing w:before="120" w:after="120"/>
        <w:rPr>
          <w:sz w:val="22"/>
          <w:szCs w:val="22"/>
          <w:lang w:val="en-NZ"/>
        </w:rPr>
      </w:pPr>
      <w:r w:rsidRPr="003D0DA7">
        <w:rPr>
          <w:sz w:val="22"/>
          <w:szCs w:val="22"/>
          <w:lang w:val="en-NZ"/>
        </w:rPr>
        <w:t>Vaping</w:t>
      </w:r>
      <w:r w:rsidRPr="003D0DA7" w:rsidDel="00A54A79">
        <w:rPr>
          <w:sz w:val="22"/>
          <w:szCs w:val="22"/>
          <w:lang w:val="en-NZ"/>
        </w:rPr>
        <w:t xml:space="preserve"> </w:t>
      </w:r>
      <w:r w:rsidRPr="003D0DA7">
        <w:rPr>
          <w:sz w:val="22"/>
          <w:szCs w:val="22"/>
          <w:lang w:val="en-NZ"/>
        </w:rPr>
        <w:t xml:space="preserve">rates </w:t>
      </w:r>
      <w:r w:rsidR="2F25D4C7" w:rsidRPr="003D0DA7">
        <w:rPr>
          <w:sz w:val="22"/>
          <w:szCs w:val="22"/>
          <w:lang w:val="en-NZ"/>
        </w:rPr>
        <w:t xml:space="preserve">are higher </w:t>
      </w:r>
      <w:r w:rsidRPr="003D0DA7">
        <w:rPr>
          <w:sz w:val="22"/>
          <w:szCs w:val="22"/>
          <w:lang w:val="en-NZ"/>
        </w:rPr>
        <w:t>for Māori, Pacific</w:t>
      </w:r>
      <w:r w:rsidR="25E2D765" w:rsidRPr="003D0DA7">
        <w:rPr>
          <w:sz w:val="22"/>
          <w:szCs w:val="22"/>
          <w:lang w:val="en-NZ"/>
        </w:rPr>
        <w:t xml:space="preserve">, </w:t>
      </w:r>
      <w:r w:rsidR="2C7803F2" w:rsidRPr="003D0DA7">
        <w:rPr>
          <w:sz w:val="22"/>
          <w:szCs w:val="22"/>
          <w:lang w:val="en-NZ"/>
        </w:rPr>
        <w:t xml:space="preserve">people </w:t>
      </w:r>
      <w:r w:rsidR="780848D7" w:rsidRPr="003D0DA7">
        <w:rPr>
          <w:sz w:val="22"/>
          <w:szCs w:val="22"/>
          <w:lang w:val="en-NZ"/>
        </w:rPr>
        <w:t>attend</w:t>
      </w:r>
      <w:r w:rsidR="2DF92C46" w:rsidRPr="003D0DA7">
        <w:rPr>
          <w:sz w:val="22"/>
          <w:szCs w:val="22"/>
          <w:lang w:val="en-NZ"/>
        </w:rPr>
        <w:t>ing</w:t>
      </w:r>
      <w:r w:rsidR="08195B37" w:rsidRPr="003D0DA7">
        <w:rPr>
          <w:sz w:val="22"/>
          <w:szCs w:val="22"/>
          <w:lang w:val="en-NZ"/>
        </w:rPr>
        <w:t xml:space="preserve"> </w:t>
      </w:r>
      <w:r w:rsidR="25E2D765" w:rsidRPr="003D0DA7">
        <w:rPr>
          <w:sz w:val="22"/>
          <w:szCs w:val="22"/>
          <w:lang w:val="en-NZ"/>
        </w:rPr>
        <w:t>low</w:t>
      </w:r>
      <w:r w:rsidR="08195B37" w:rsidRPr="003D0DA7">
        <w:rPr>
          <w:sz w:val="22"/>
          <w:szCs w:val="22"/>
          <w:lang w:val="en-NZ"/>
        </w:rPr>
        <w:t xml:space="preserve"> and mid-decile schools and </w:t>
      </w:r>
      <w:r w:rsidRPr="003D0DA7">
        <w:rPr>
          <w:sz w:val="22"/>
          <w:szCs w:val="22"/>
          <w:lang w:val="en-NZ"/>
        </w:rPr>
        <w:t>gender-diverse</w:t>
      </w:r>
      <w:r w:rsidR="08195B37" w:rsidRPr="003D0DA7">
        <w:rPr>
          <w:sz w:val="22"/>
          <w:szCs w:val="22"/>
          <w:lang w:val="en-NZ"/>
        </w:rPr>
        <w:t xml:space="preserve"> youth</w:t>
      </w:r>
      <w:r w:rsidRPr="003D0DA7">
        <w:rPr>
          <w:sz w:val="22"/>
          <w:szCs w:val="22"/>
          <w:lang w:val="en-NZ"/>
        </w:rPr>
        <w:t xml:space="preserve"> than other</w:t>
      </w:r>
      <w:r w:rsidR="08195B37" w:rsidRPr="003D0DA7">
        <w:rPr>
          <w:sz w:val="22"/>
          <w:szCs w:val="22"/>
          <w:lang w:val="en-NZ"/>
        </w:rPr>
        <w:t xml:space="preserve"> groups</w:t>
      </w:r>
      <w:r w:rsidRPr="003D0DA7">
        <w:rPr>
          <w:sz w:val="22"/>
          <w:szCs w:val="22"/>
          <w:lang w:val="en-NZ"/>
        </w:rPr>
        <w:t>.</w:t>
      </w:r>
      <w:r w:rsidR="00A54A79">
        <w:rPr>
          <w:rStyle w:val="FootnoteReference"/>
          <w:szCs w:val="22"/>
          <w:lang w:val="en-NZ"/>
        </w:rPr>
        <w:footnoteReference w:id="2"/>
      </w:r>
      <w:r w:rsidRPr="003D0DA7">
        <w:rPr>
          <w:sz w:val="22"/>
          <w:szCs w:val="22"/>
          <w:lang w:val="en-NZ"/>
        </w:rPr>
        <w:t xml:space="preserve"> </w:t>
      </w:r>
      <w:r w:rsidR="19291580" w:rsidRPr="003D0DA7">
        <w:rPr>
          <w:sz w:val="22"/>
          <w:szCs w:val="22"/>
          <w:lang w:val="en-NZ"/>
        </w:rPr>
        <w:t xml:space="preserve">New Zealand Health Survey data </w:t>
      </w:r>
      <w:r w:rsidR="7ABE2415" w:rsidRPr="003D0DA7">
        <w:rPr>
          <w:sz w:val="22"/>
          <w:szCs w:val="22"/>
          <w:lang w:val="en-NZ"/>
        </w:rPr>
        <w:t>show</w:t>
      </w:r>
      <w:r w:rsidR="46D9DF3C" w:rsidRPr="003D0DA7">
        <w:rPr>
          <w:sz w:val="22"/>
          <w:szCs w:val="22"/>
          <w:lang w:val="en-NZ"/>
        </w:rPr>
        <w:t>s</w:t>
      </w:r>
      <w:r w:rsidR="19291580" w:rsidRPr="003D0DA7">
        <w:rPr>
          <w:sz w:val="22"/>
          <w:szCs w:val="22"/>
          <w:lang w:val="en-NZ"/>
        </w:rPr>
        <w:t xml:space="preserve"> that daily </w:t>
      </w:r>
      <w:r w:rsidR="1E3E5A60" w:rsidRPr="003D0DA7">
        <w:rPr>
          <w:sz w:val="22"/>
          <w:szCs w:val="22"/>
          <w:lang w:val="en-NZ"/>
        </w:rPr>
        <w:t>vaping</w:t>
      </w:r>
      <w:r w:rsidR="19291580" w:rsidRPr="003D0DA7">
        <w:rPr>
          <w:sz w:val="22"/>
          <w:szCs w:val="22"/>
          <w:lang w:val="en-NZ"/>
        </w:rPr>
        <w:t xml:space="preserve"> by 15 to 17</w:t>
      </w:r>
      <w:r w:rsidR="008B7786">
        <w:rPr>
          <w:sz w:val="22"/>
          <w:szCs w:val="22"/>
          <w:lang w:val="en-NZ"/>
        </w:rPr>
        <w:t xml:space="preserve"> </w:t>
      </w:r>
      <w:r w:rsidR="19291580" w:rsidRPr="003D0DA7">
        <w:rPr>
          <w:sz w:val="22"/>
          <w:szCs w:val="22"/>
          <w:lang w:val="en-NZ"/>
        </w:rPr>
        <w:t>year</w:t>
      </w:r>
      <w:r w:rsidR="4D3A1883" w:rsidRPr="003D0DA7">
        <w:rPr>
          <w:sz w:val="22"/>
          <w:szCs w:val="22"/>
          <w:lang w:val="en-NZ"/>
        </w:rPr>
        <w:t>-</w:t>
      </w:r>
      <w:r w:rsidR="19291580" w:rsidRPr="003D0DA7">
        <w:rPr>
          <w:sz w:val="22"/>
          <w:szCs w:val="22"/>
          <w:lang w:val="en-NZ"/>
        </w:rPr>
        <w:t>olds increased from 1.7</w:t>
      </w:r>
      <w:r w:rsidR="008B7786">
        <w:rPr>
          <w:sz w:val="22"/>
          <w:szCs w:val="22"/>
          <w:lang w:val="en-NZ"/>
        </w:rPr>
        <w:t>%</w:t>
      </w:r>
      <w:r w:rsidR="19291580" w:rsidRPr="003D0DA7">
        <w:rPr>
          <w:sz w:val="22"/>
          <w:szCs w:val="22"/>
          <w:lang w:val="en-NZ"/>
        </w:rPr>
        <w:t xml:space="preserve"> in 2018</w:t>
      </w:r>
      <w:r w:rsidR="008B7786">
        <w:rPr>
          <w:sz w:val="22"/>
          <w:szCs w:val="22"/>
          <w:lang w:val="en-NZ"/>
        </w:rPr>
        <w:t>/</w:t>
      </w:r>
      <w:r w:rsidR="19291580" w:rsidRPr="003D0DA7">
        <w:rPr>
          <w:sz w:val="22"/>
          <w:szCs w:val="22"/>
          <w:lang w:val="en-NZ"/>
        </w:rPr>
        <w:t>19 to 8</w:t>
      </w:r>
      <w:r w:rsidR="69D1A6FA" w:rsidRPr="003D0DA7">
        <w:rPr>
          <w:sz w:val="22"/>
          <w:szCs w:val="22"/>
          <w:lang w:val="en-NZ"/>
        </w:rPr>
        <w:t>.1</w:t>
      </w:r>
      <w:r w:rsidR="008B7786">
        <w:rPr>
          <w:sz w:val="22"/>
          <w:szCs w:val="22"/>
          <w:lang w:val="en-NZ"/>
        </w:rPr>
        <w:t>%</w:t>
      </w:r>
      <w:r w:rsidR="19291580" w:rsidRPr="003D0DA7">
        <w:rPr>
          <w:sz w:val="22"/>
          <w:szCs w:val="22"/>
          <w:lang w:val="en-NZ"/>
        </w:rPr>
        <w:t xml:space="preserve"> in 202</w:t>
      </w:r>
      <w:r w:rsidR="225F8D7B" w:rsidRPr="003D0DA7">
        <w:rPr>
          <w:sz w:val="22"/>
          <w:szCs w:val="22"/>
          <w:lang w:val="en-NZ"/>
        </w:rPr>
        <w:t>1</w:t>
      </w:r>
      <w:r w:rsidR="008B7786">
        <w:rPr>
          <w:sz w:val="22"/>
          <w:szCs w:val="22"/>
          <w:lang w:val="en-NZ"/>
        </w:rPr>
        <w:t>/</w:t>
      </w:r>
      <w:r w:rsidR="7ABE2415" w:rsidRPr="003D0DA7">
        <w:rPr>
          <w:sz w:val="22"/>
          <w:szCs w:val="22"/>
          <w:lang w:val="en-NZ"/>
        </w:rPr>
        <w:t>2</w:t>
      </w:r>
      <w:r w:rsidR="551D9FAA" w:rsidRPr="003D0DA7">
        <w:rPr>
          <w:sz w:val="22"/>
          <w:szCs w:val="22"/>
          <w:lang w:val="en-NZ"/>
        </w:rPr>
        <w:t>2</w:t>
      </w:r>
      <w:r w:rsidR="19291580" w:rsidRPr="003D0DA7">
        <w:rPr>
          <w:sz w:val="22"/>
          <w:szCs w:val="22"/>
          <w:lang w:val="en-NZ"/>
        </w:rPr>
        <w:t>.</w:t>
      </w:r>
      <w:r w:rsidR="00594983">
        <w:rPr>
          <w:rStyle w:val="FootnoteReference"/>
          <w:szCs w:val="22"/>
          <w:lang w:val="en-NZ"/>
        </w:rPr>
        <w:footnoteReference w:id="3"/>
      </w:r>
      <w:r w:rsidR="19291580" w:rsidRPr="003D0DA7">
        <w:rPr>
          <w:sz w:val="22"/>
          <w:szCs w:val="22"/>
          <w:lang w:val="en-NZ"/>
        </w:rPr>
        <w:t xml:space="preserve"> The most recent ASH year 10 survey (2022) found that 10.1</w:t>
      </w:r>
      <w:r w:rsidR="008B7786">
        <w:rPr>
          <w:sz w:val="22"/>
          <w:szCs w:val="22"/>
          <w:lang w:val="en-NZ"/>
        </w:rPr>
        <w:t>%</w:t>
      </w:r>
      <w:r w:rsidR="19291580" w:rsidRPr="003D0DA7">
        <w:rPr>
          <w:sz w:val="22"/>
          <w:szCs w:val="22"/>
          <w:lang w:val="en-NZ"/>
        </w:rPr>
        <w:t xml:space="preserve"> of year </w:t>
      </w:r>
      <w:r w:rsidR="008B7786">
        <w:rPr>
          <w:sz w:val="22"/>
          <w:szCs w:val="22"/>
          <w:lang w:val="en-NZ"/>
        </w:rPr>
        <w:t>10</w:t>
      </w:r>
      <w:r w:rsidR="19291580" w:rsidRPr="003D0DA7">
        <w:rPr>
          <w:sz w:val="22"/>
          <w:szCs w:val="22"/>
          <w:lang w:val="en-NZ"/>
        </w:rPr>
        <w:t xml:space="preserve"> students reported vaping daily.</w:t>
      </w:r>
      <w:r w:rsidR="00A54A79">
        <w:rPr>
          <w:rStyle w:val="FootnoteReference"/>
          <w:szCs w:val="22"/>
          <w:lang w:val="en-NZ"/>
        </w:rPr>
        <w:footnoteReference w:id="4"/>
      </w:r>
      <w:r w:rsidR="4B8BE784" w:rsidRPr="003D0DA7">
        <w:rPr>
          <w:sz w:val="22"/>
          <w:szCs w:val="22"/>
          <w:lang w:val="en-NZ"/>
        </w:rPr>
        <w:t xml:space="preserve"> Daily vaping rates among Māori</w:t>
      </w:r>
      <w:r w:rsidR="038E4230" w:rsidRPr="003D0DA7">
        <w:rPr>
          <w:sz w:val="22"/>
          <w:szCs w:val="22"/>
          <w:lang w:val="en-NZ"/>
        </w:rPr>
        <w:t xml:space="preserve"> youth</w:t>
      </w:r>
      <w:r w:rsidR="4B8BE784" w:rsidRPr="003D0DA7">
        <w:rPr>
          <w:sz w:val="22"/>
          <w:szCs w:val="22"/>
          <w:lang w:val="en-NZ"/>
        </w:rPr>
        <w:t xml:space="preserve"> </w:t>
      </w:r>
      <w:r w:rsidR="6D64E4B7" w:rsidRPr="003D0DA7">
        <w:rPr>
          <w:sz w:val="22"/>
          <w:szCs w:val="22"/>
          <w:lang w:val="en-NZ"/>
        </w:rPr>
        <w:t>ha</w:t>
      </w:r>
      <w:r w:rsidR="2B87591A" w:rsidRPr="003D0DA7">
        <w:rPr>
          <w:sz w:val="22"/>
          <w:szCs w:val="22"/>
          <w:lang w:val="en-NZ"/>
        </w:rPr>
        <w:t>ve</w:t>
      </w:r>
      <w:r w:rsidR="6D64E4B7" w:rsidRPr="003D0DA7">
        <w:rPr>
          <w:sz w:val="22"/>
          <w:szCs w:val="22"/>
          <w:lang w:val="en-NZ"/>
        </w:rPr>
        <w:t xml:space="preserve"> increased significantly </w:t>
      </w:r>
      <w:r w:rsidR="051329F0" w:rsidRPr="003D0DA7">
        <w:rPr>
          <w:sz w:val="22"/>
          <w:szCs w:val="22"/>
          <w:lang w:val="en-NZ"/>
        </w:rPr>
        <w:t>in this time period, particularly for Māori girls</w:t>
      </w:r>
      <w:r w:rsidR="3C3D5282" w:rsidRPr="003D0DA7">
        <w:rPr>
          <w:sz w:val="22"/>
          <w:szCs w:val="22"/>
          <w:lang w:val="en-NZ"/>
        </w:rPr>
        <w:t xml:space="preserve"> (from </w:t>
      </w:r>
      <w:r w:rsidR="34D83590" w:rsidRPr="003D0DA7">
        <w:rPr>
          <w:sz w:val="22"/>
          <w:szCs w:val="22"/>
          <w:lang w:val="en-NZ"/>
        </w:rPr>
        <w:t>5.2</w:t>
      </w:r>
      <w:r w:rsidR="008B7786">
        <w:rPr>
          <w:sz w:val="22"/>
          <w:szCs w:val="22"/>
          <w:lang w:val="en-NZ"/>
        </w:rPr>
        <w:t>%</w:t>
      </w:r>
      <w:r w:rsidR="34D83590" w:rsidRPr="003D0DA7">
        <w:rPr>
          <w:sz w:val="22"/>
          <w:szCs w:val="22"/>
          <w:lang w:val="en-NZ"/>
        </w:rPr>
        <w:t xml:space="preserve"> </w:t>
      </w:r>
      <w:r w:rsidR="3C3D5282" w:rsidRPr="003D0DA7">
        <w:rPr>
          <w:sz w:val="22"/>
          <w:szCs w:val="22"/>
          <w:lang w:val="en-NZ"/>
        </w:rPr>
        <w:t>to 25.2</w:t>
      </w:r>
      <w:r w:rsidR="008B7786">
        <w:rPr>
          <w:sz w:val="22"/>
          <w:szCs w:val="22"/>
          <w:lang w:val="en-NZ"/>
        </w:rPr>
        <w:t>%</w:t>
      </w:r>
      <w:r w:rsidR="3C3D5282" w:rsidRPr="003D0DA7">
        <w:rPr>
          <w:sz w:val="22"/>
          <w:szCs w:val="22"/>
          <w:lang w:val="en-NZ"/>
        </w:rPr>
        <w:t>)</w:t>
      </w:r>
      <w:r>
        <w:rPr>
          <w:rStyle w:val="FootnoteReference"/>
          <w:szCs w:val="22"/>
          <w:lang w:val="en-NZ"/>
        </w:rPr>
        <w:footnoteReference w:id="5"/>
      </w:r>
      <w:r w:rsidR="3C3D5282" w:rsidRPr="003D0DA7">
        <w:rPr>
          <w:sz w:val="22"/>
          <w:szCs w:val="22"/>
          <w:lang w:val="en-NZ"/>
        </w:rPr>
        <w:t>.</w:t>
      </w:r>
    </w:p>
    <w:p w14:paraId="478EFC4A" w14:textId="553E55CF" w:rsidR="00E901E5" w:rsidRPr="00E901E5" w:rsidRDefault="007D78A1" w:rsidP="00A40C91">
      <w:pPr>
        <w:pStyle w:val="Heading3"/>
        <w:spacing w:before="120" w:after="120"/>
        <w:rPr>
          <w:lang w:val="en-NZ"/>
        </w:rPr>
      </w:pPr>
      <w:r w:rsidRPr="00A864A5">
        <w:rPr>
          <w:lang w:val="en-NZ"/>
        </w:rPr>
        <w:t>What is the policy problem</w:t>
      </w:r>
      <w:r w:rsidR="002352C4">
        <w:rPr>
          <w:lang w:val="en-NZ"/>
        </w:rPr>
        <w:t xml:space="preserve"> or opportunity</w:t>
      </w:r>
      <w:r w:rsidRPr="00A864A5">
        <w:rPr>
          <w:lang w:val="en-NZ"/>
        </w:rPr>
        <w:t>?</w:t>
      </w:r>
    </w:p>
    <w:p w14:paraId="49A7D129" w14:textId="53A0BE1B" w:rsidR="00381373" w:rsidRPr="00D3424D" w:rsidRDefault="00381373" w:rsidP="0095448E">
      <w:pPr>
        <w:spacing w:after="120"/>
        <w:rPr>
          <w:rFonts w:cs="Arial"/>
          <w:lang w:val="en-NZ"/>
        </w:rPr>
      </w:pPr>
      <w:r w:rsidRPr="00D3424D">
        <w:rPr>
          <w:rFonts w:cs="Arial"/>
          <w:lang w:val="en-NZ"/>
        </w:rPr>
        <w:t xml:space="preserve">Regulations (and other instruments) are needed to bring </w:t>
      </w:r>
      <w:proofErr w:type="gramStart"/>
      <w:r w:rsidRPr="00D3424D">
        <w:rPr>
          <w:rFonts w:cs="Arial"/>
          <w:lang w:val="en-NZ"/>
        </w:rPr>
        <w:t>a number of</w:t>
      </w:r>
      <w:proofErr w:type="gramEnd"/>
      <w:r w:rsidRPr="00D3424D">
        <w:rPr>
          <w:rFonts w:cs="Arial"/>
          <w:lang w:val="en-NZ"/>
        </w:rPr>
        <w:t xml:space="preserve"> provisions of the </w:t>
      </w:r>
      <w:r w:rsidR="000C7983">
        <w:rPr>
          <w:rFonts w:cs="Arial"/>
          <w:lang w:val="en-NZ"/>
        </w:rPr>
        <w:t xml:space="preserve">Amendment </w:t>
      </w:r>
      <w:r w:rsidRPr="00D3424D">
        <w:rPr>
          <w:rFonts w:cs="Arial"/>
          <w:lang w:val="en-NZ"/>
        </w:rPr>
        <w:t>Act into full effect and stand up the Smoked Tobacco Regulatory Regime. This includes requirements relating to:</w:t>
      </w:r>
    </w:p>
    <w:p w14:paraId="460FDD6C" w14:textId="77777777" w:rsidR="00381373" w:rsidRPr="00D3424D" w:rsidRDefault="00381373" w:rsidP="00131678">
      <w:pPr>
        <w:pStyle w:val="ReportBody-MOH"/>
        <w:numPr>
          <w:ilvl w:val="0"/>
          <w:numId w:val="9"/>
        </w:numPr>
        <w:ind w:left="426" w:hanging="426"/>
        <w:rPr>
          <w:rFonts w:ascii="Arial" w:hAnsi="Arial"/>
        </w:rPr>
      </w:pPr>
      <w:r w:rsidRPr="00D3424D">
        <w:rPr>
          <w:rFonts w:ascii="Arial" w:hAnsi="Arial"/>
        </w:rPr>
        <w:t>the smoked tobacco retail scheme, including minimum approval requirements, and decision-making criteria</w:t>
      </w:r>
    </w:p>
    <w:p w14:paraId="69AE55AB" w14:textId="51B1952C" w:rsidR="00381373" w:rsidRPr="00D3424D" w:rsidRDefault="00381373" w:rsidP="00131678">
      <w:pPr>
        <w:pStyle w:val="ReportBody-MOH"/>
        <w:numPr>
          <w:ilvl w:val="0"/>
          <w:numId w:val="9"/>
        </w:numPr>
        <w:ind w:left="426" w:hanging="426"/>
        <w:rPr>
          <w:rFonts w:ascii="Arial" w:hAnsi="Arial"/>
        </w:rPr>
      </w:pPr>
      <w:r w:rsidRPr="00D3424D">
        <w:rPr>
          <w:rFonts w:ascii="Arial" w:hAnsi="Arial"/>
        </w:rPr>
        <w:t xml:space="preserve">low nicotine testing </w:t>
      </w:r>
      <w:r w:rsidR="1E993124" w:rsidRPr="00D3424D">
        <w:rPr>
          <w:rFonts w:ascii="Arial" w:hAnsi="Arial"/>
        </w:rPr>
        <w:t>and product</w:t>
      </w:r>
      <w:r w:rsidR="2A40B3A4" w:rsidRPr="00D3424D">
        <w:rPr>
          <w:rFonts w:ascii="Arial" w:hAnsi="Arial"/>
        </w:rPr>
        <w:t xml:space="preserve"> </w:t>
      </w:r>
      <w:r w:rsidRPr="00D3424D">
        <w:rPr>
          <w:rFonts w:ascii="Arial" w:hAnsi="Arial"/>
        </w:rPr>
        <w:t>requirements</w:t>
      </w:r>
    </w:p>
    <w:p w14:paraId="60196E5D" w14:textId="091C4146" w:rsidR="00381373" w:rsidRPr="00D3424D" w:rsidRDefault="00381373" w:rsidP="00131678">
      <w:pPr>
        <w:pStyle w:val="ReportBody-MOH"/>
        <w:numPr>
          <w:ilvl w:val="0"/>
          <w:numId w:val="9"/>
        </w:numPr>
        <w:ind w:left="426" w:hanging="426"/>
        <w:rPr>
          <w:rFonts w:ascii="Arial" w:hAnsi="Arial"/>
        </w:rPr>
      </w:pPr>
      <w:r w:rsidRPr="00D3424D">
        <w:rPr>
          <w:rFonts w:ascii="Arial" w:hAnsi="Arial"/>
        </w:rPr>
        <w:t>new notification requirements for distributors and retailers</w:t>
      </w:r>
    </w:p>
    <w:p w14:paraId="4AABDF8B" w14:textId="5A210E00" w:rsidR="00381373" w:rsidRPr="00D3424D" w:rsidRDefault="00381373" w:rsidP="00131678">
      <w:pPr>
        <w:pStyle w:val="ReportBody-MOH"/>
        <w:numPr>
          <w:ilvl w:val="0"/>
          <w:numId w:val="9"/>
        </w:numPr>
        <w:ind w:left="426" w:hanging="426"/>
        <w:rPr>
          <w:rFonts w:ascii="Arial" w:hAnsi="Arial"/>
        </w:rPr>
      </w:pPr>
      <w:r w:rsidRPr="00D3424D">
        <w:rPr>
          <w:rFonts w:ascii="Arial" w:hAnsi="Arial"/>
        </w:rPr>
        <w:t>fees to enable the scheme to be cost-recovered.</w:t>
      </w:r>
    </w:p>
    <w:p w14:paraId="5CB356EB" w14:textId="20A1DFA2" w:rsidR="00381373" w:rsidRPr="00D3424D" w:rsidRDefault="64063E6F" w:rsidP="00381373">
      <w:pPr>
        <w:spacing w:after="120" w:line="240" w:lineRule="auto"/>
        <w:rPr>
          <w:rFonts w:cs="Arial"/>
        </w:rPr>
      </w:pPr>
      <w:r w:rsidRPr="00D3424D">
        <w:rPr>
          <w:rFonts w:cs="Arial"/>
        </w:rPr>
        <w:t>To</w:t>
      </w:r>
      <w:r w:rsidR="00381373" w:rsidRPr="00D3424D" w:rsidDel="64063E6F">
        <w:rPr>
          <w:rFonts w:cs="Arial"/>
        </w:rPr>
        <w:t xml:space="preserve"> </w:t>
      </w:r>
      <w:r w:rsidR="4BEE1E66" w:rsidRPr="00D3424D">
        <w:rPr>
          <w:rFonts w:cs="Arial"/>
        </w:rPr>
        <w:t>shift</w:t>
      </w:r>
      <w:r w:rsidR="3F7108F1" w:rsidRPr="00D3424D">
        <w:rPr>
          <w:rFonts w:cs="Arial"/>
        </w:rPr>
        <w:t xml:space="preserve"> the</w:t>
      </w:r>
      <w:r w:rsidRPr="00D3424D">
        <w:rPr>
          <w:rFonts w:cs="Arial"/>
        </w:rPr>
        <w:t xml:space="preserve"> </w:t>
      </w:r>
      <w:r w:rsidR="4BEE1E66" w:rsidRPr="00D3424D">
        <w:rPr>
          <w:rFonts w:cs="Arial"/>
        </w:rPr>
        <w:t xml:space="preserve">balance of the </w:t>
      </w:r>
      <w:r w:rsidR="15126110" w:rsidRPr="00D3424D">
        <w:rPr>
          <w:rFonts w:cs="Arial"/>
        </w:rPr>
        <w:t xml:space="preserve">vaping </w:t>
      </w:r>
      <w:r w:rsidR="4C421F52" w:rsidRPr="00D3424D">
        <w:rPr>
          <w:rFonts w:cs="Arial"/>
        </w:rPr>
        <w:t>regulat</w:t>
      </w:r>
      <w:r w:rsidR="7A3074B4" w:rsidRPr="00D3424D">
        <w:rPr>
          <w:rFonts w:cs="Arial"/>
        </w:rPr>
        <w:t xml:space="preserve">ory regime towards </w:t>
      </w:r>
      <w:r w:rsidR="00DB1807">
        <w:rPr>
          <w:rFonts w:cs="Arial"/>
        </w:rPr>
        <w:t xml:space="preserve">improving safety and </w:t>
      </w:r>
      <w:r w:rsidR="7D86A5E6" w:rsidRPr="00D3424D">
        <w:rPr>
          <w:rFonts w:cs="Arial"/>
        </w:rPr>
        <w:t>better</w:t>
      </w:r>
      <w:r w:rsidR="7A3074B4" w:rsidRPr="00D3424D">
        <w:rPr>
          <w:rFonts w:cs="Arial"/>
        </w:rPr>
        <w:t xml:space="preserve"> </w:t>
      </w:r>
      <w:r w:rsidR="6331C216" w:rsidRPr="00D3424D">
        <w:rPr>
          <w:rFonts w:cs="Arial"/>
        </w:rPr>
        <w:t>protect</w:t>
      </w:r>
      <w:r w:rsidR="44A375C6" w:rsidRPr="00D3424D">
        <w:rPr>
          <w:rFonts w:cs="Arial"/>
        </w:rPr>
        <w:t>ing</w:t>
      </w:r>
      <w:r w:rsidR="3E6A6D70" w:rsidRPr="00D3424D">
        <w:rPr>
          <w:rFonts w:cs="Arial"/>
        </w:rPr>
        <w:t xml:space="preserve"> young people</w:t>
      </w:r>
      <w:r w:rsidR="0A5E2FD9" w:rsidRPr="00D3424D">
        <w:rPr>
          <w:rFonts w:cs="Arial"/>
        </w:rPr>
        <w:t>,</w:t>
      </w:r>
      <w:r w:rsidRPr="00D3424D">
        <w:rPr>
          <w:rFonts w:cs="Arial"/>
        </w:rPr>
        <w:t xml:space="preserve"> </w:t>
      </w:r>
      <w:r w:rsidR="556574FB" w:rsidRPr="00D3424D">
        <w:rPr>
          <w:rFonts w:cs="Arial"/>
        </w:rPr>
        <w:t>the Ministry</w:t>
      </w:r>
      <w:r w:rsidRPr="00D3424D">
        <w:rPr>
          <w:rFonts w:cs="Arial"/>
        </w:rPr>
        <w:t xml:space="preserve"> consulted on:</w:t>
      </w:r>
    </w:p>
    <w:p w14:paraId="671A701A" w14:textId="0A21E96E" w:rsidR="00381373" w:rsidRPr="00D3424D" w:rsidRDefault="723AACB9" w:rsidP="00131678">
      <w:pPr>
        <w:pStyle w:val="ReportBody-MOH"/>
        <w:numPr>
          <w:ilvl w:val="0"/>
          <w:numId w:val="9"/>
        </w:numPr>
        <w:ind w:left="426" w:hanging="426"/>
        <w:rPr>
          <w:rFonts w:ascii="Arial" w:hAnsi="Arial"/>
        </w:rPr>
      </w:pPr>
      <w:r w:rsidRPr="00D3424D">
        <w:rPr>
          <w:rFonts w:ascii="Arial" w:hAnsi="Arial"/>
        </w:rPr>
        <w:t xml:space="preserve">changing </w:t>
      </w:r>
      <w:r w:rsidR="64063E6F" w:rsidRPr="00D3424D">
        <w:rPr>
          <w:rFonts w:ascii="Arial" w:hAnsi="Arial"/>
        </w:rPr>
        <w:t xml:space="preserve">the way </w:t>
      </w:r>
      <w:r w:rsidR="7E48EA3D" w:rsidRPr="00D3424D">
        <w:rPr>
          <w:rFonts w:ascii="Arial" w:hAnsi="Arial"/>
        </w:rPr>
        <w:t>vap</w:t>
      </w:r>
      <w:r w:rsidR="1D213330" w:rsidRPr="00D3424D">
        <w:rPr>
          <w:rFonts w:ascii="Arial" w:hAnsi="Arial"/>
        </w:rPr>
        <w:t>e</w:t>
      </w:r>
      <w:r w:rsidR="64063E6F" w:rsidRPr="00D3424D">
        <w:rPr>
          <w:rFonts w:ascii="Arial" w:hAnsi="Arial"/>
        </w:rPr>
        <w:t xml:space="preserve"> flavours </w:t>
      </w:r>
      <w:r w:rsidR="3B34441E" w:rsidRPr="00D3424D">
        <w:rPr>
          <w:rFonts w:ascii="Arial" w:hAnsi="Arial"/>
        </w:rPr>
        <w:t>can b</w:t>
      </w:r>
      <w:r w:rsidR="64063E6F" w:rsidRPr="00D3424D">
        <w:rPr>
          <w:rFonts w:ascii="Arial" w:hAnsi="Arial"/>
        </w:rPr>
        <w:t xml:space="preserve">e described </w:t>
      </w:r>
    </w:p>
    <w:p w14:paraId="7C4B8383" w14:textId="74190AB3" w:rsidR="00381373" w:rsidRPr="00D3424D" w:rsidRDefault="7DC86D93" w:rsidP="00131678">
      <w:pPr>
        <w:pStyle w:val="ReportBody-MOH"/>
        <w:numPr>
          <w:ilvl w:val="0"/>
          <w:numId w:val="9"/>
        </w:numPr>
        <w:ind w:left="426" w:hanging="426"/>
        <w:rPr>
          <w:rFonts w:ascii="Arial" w:hAnsi="Arial"/>
        </w:rPr>
      </w:pPr>
      <w:r w:rsidRPr="00D3424D">
        <w:rPr>
          <w:rFonts w:ascii="Arial" w:hAnsi="Arial"/>
        </w:rPr>
        <w:t xml:space="preserve">new </w:t>
      </w:r>
      <w:r w:rsidR="64063E6F" w:rsidRPr="00D3424D">
        <w:rPr>
          <w:rFonts w:ascii="Arial" w:hAnsi="Arial"/>
        </w:rPr>
        <w:t xml:space="preserve">product safety </w:t>
      </w:r>
      <w:r w:rsidR="00DE1116">
        <w:rPr>
          <w:rFonts w:ascii="Arial" w:hAnsi="Arial"/>
        </w:rPr>
        <w:t>requirements</w:t>
      </w:r>
      <w:r w:rsidR="64063E6F" w:rsidRPr="00D3424D">
        <w:rPr>
          <w:rFonts w:ascii="Arial" w:hAnsi="Arial"/>
        </w:rPr>
        <w:t xml:space="preserve">, including </w:t>
      </w:r>
      <w:r w:rsidR="00513E84">
        <w:rPr>
          <w:rFonts w:ascii="Arial" w:hAnsi="Arial"/>
        </w:rPr>
        <w:t>requirements f</w:t>
      </w:r>
      <w:r w:rsidR="00C676EA">
        <w:rPr>
          <w:rFonts w:ascii="Arial" w:hAnsi="Arial"/>
        </w:rPr>
        <w:t>or</w:t>
      </w:r>
      <w:r w:rsidR="00513E84">
        <w:rPr>
          <w:rFonts w:ascii="Arial" w:hAnsi="Arial"/>
        </w:rPr>
        <w:t xml:space="preserve"> child safety mechanisms and replace</w:t>
      </w:r>
      <w:r w:rsidR="00C676EA">
        <w:rPr>
          <w:rFonts w:ascii="Arial" w:hAnsi="Arial"/>
        </w:rPr>
        <w:t xml:space="preserve">able batteries, and </w:t>
      </w:r>
      <w:r w:rsidR="64063E6F" w:rsidRPr="00D3424D">
        <w:rPr>
          <w:rFonts w:ascii="Arial" w:hAnsi="Arial"/>
        </w:rPr>
        <w:t>nicotine levels in disposable vapes</w:t>
      </w:r>
    </w:p>
    <w:p w14:paraId="04559D9C" w14:textId="24CA01E3" w:rsidR="00651C55" w:rsidRPr="00D3424D" w:rsidRDefault="2AD02165" w:rsidP="00131678">
      <w:pPr>
        <w:pStyle w:val="ReportBody-MOH"/>
        <w:numPr>
          <w:ilvl w:val="0"/>
          <w:numId w:val="9"/>
        </w:numPr>
        <w:ind w:left="426" w:hanging="426"/>
        <w:rPr>
          <w:rFonts w:ascii="Arial" w:hAnsi="Arial"/>
        </w:rPr>
      </w:pPr>
      <w:r w:rsidRPr="00D3424D">
        <w:rPr>
          <w:rFonts w:ascii="Arial" w:hAnsi="Arial"/>
        </w:rPr>
        <w:t xml:space="preserve">new </w:t>
      </w:r>
      <w:r w:rsidR="64063E6F" w:rsidRPr="00D3424D">
        <w:rPr>
          <w:rFonts w:ascii="Arial" w:hAnsi="Arial"/>
        </w:rPr>
        <w:t>proximity restrictions for Specialist Vape Retailers</w:t>
      </w:r>
      <w:r w:rsidR="19A73E86" w:rsidRPr="00D3424D">
        <w:rPr>
          <w:rFonts w:ascii="Arial" w:hAnsi="Arial"/>
        </w:rPr>
        <w:t>.</w:t>
      </w:r>
    </w:p>
    <w:p w14:paraId="18E7F6DB" w14:textId="25749DD9" w:rsidR="00C14F4E" w:rsidRPr="007A5005" w:rsidRDefault="572C5D1A" w:rsidP="000963D3">
      <w:pPr>
        <w:pStyle w:val="Heading3"/>
        <w:spacing w:before="120" w:after="120"/>
        <w:rPr>
          <w:lang w:val="en-NZ"/>
        </w:rPr>
      </w:pPr>
      <w:r w:rsidRPr="33A45F9F">
        <w:rPr>
          <w:lang w:val="en-NZ"/>
        </w:rPr>
        <w:t>What do the stakeholders think of the problem</w:t>
      </w:r>
    </w:p>
    <w:p w14:paraId="280BFFBA" w14:textId="49EB4775" w:rsidR="00EA45F2" w:rsidRPr="00D3424D" w:rsidRDefault="00EA45F2" w:rsidP="006D02A7">
      <w:pPr>
        <w:spacing w:after="120"/>
        <w:rPr>
          <w:rFonts w:cs="Arial"/>
          <w:lang w:val="en-NZ"/>
        </w:rPr>
      </w:pPr>
      <w:r w:rsidRPr="00D3424D">
        <w:rPr>
          <w:rFonts w:cs="Arial"/>
          <w:lang w:val="en-NZ"/>
        </w:rPr>
        <w:t>Key stakeholders include:</w:t>
      </w:r>
    </w:p>
    <w:p w14:paraId="4646D85B" w14:textId="49EB4775" w:rsidR="3A2411B9" w:rsidRPr="00D3424D" w:rsidRDefault="3A2411B9" w:rsidP="00131678">
      <w:pPr>
        <w:pStyle w:val="ReportBody-MOH"/>
        <w:numPr>
          <w:ilvl w:val="0"/>
          <w:numId w:val="9"/>
        </w:numPr>
        <w:ind w:left="426" w:hanging="426"/>
        <w:rPr>
          <w:rFonts w:ascii="Arial" w:hAnsi="Arial"/>
        </w:rPr>
      </w:pPr>
      <w:r w:rsidRPr="00D3424D">
        <w:rPr>
          <w:rFonts w:ascii="Arial" w:hAnsi="Arial"/>
        </w:rPr>
        <w:t xml:space="preserve">iwi, </w:t>
      </w:r>
      <w:proofErr w:type="spellStart"/>
      <w:r w:rsidRPr="00D3424D">
        <w:rPr>
          <w:rFonts w:ascii="Arial" w:hAnsi="Arial"/>
        </w:rPr>
        <w:t>hapū</w:t>
      </w:r>
      <w:proofErr w:type="spellEnd"/>
      <w:r w:rsidRPr="00D3424D">
        <w:rPr>
          <w:rFonts w:ascii="Arial" w:hAnsi="Arial"/>
        </w:rPr>
        <w:t xml:space="preserve"> and </w:t>
      </w:r>
      <w:proofErr w:type="spellStart"/>
      <w:r w:rsidRPr="00D3424D">
        <w:rPr>
          <w:rFonts w:ascii="Arial" w:hAnsi="Arial"/>
        </w:rPr>
        <w:t>whānau</w:t>
      </w:r>
      <w:proofErr w:type="spellEnd"/>
      <w:r w:rsidRPr="00D3424D">
        <w:rPr>
          <w:rFonts w:ascii="Arial" w:hAnsi="Arial"/>
        </w:rPr>
        <w:t xml:space="preserve"> Māori</w:t>
      </w:r>
    </w:p>
    <w:p w14:paraId="5A1D24CD" w14:textId="5662E740" w:rsidR="00165983" w:rsidRPr="00D3424D" w:rsidRDefault="6DC3B13C" w:rsidP="00131678">
      <w:pPr>
        <w:pStyle w:val="ReportBody-MOH"/>
        <w:numPr>
          <w:ilvl w:val="0"/>
          <w:numId w:val="9"/>
        </w:numPr>
        <w:ind w:left="426" w:hanging="426"/>
        <w:rPr>
          <w:rFonts w:ascii="Arial" w:hAnsi="Arial"/>
        </w:rPr>
      </w:pPr>
      <w:r w:rsidRPr="00D3424D">
        <w:rPr>
          <w:rFonts w:ascii="Arial" w:hAnsi="Arial"/>
        </w:rPr>
        <w:t xml:space="preserve">people who smoke tobacco and/or vape and their </w:t>
      </w:r>
      <w:r w:rsidR="67CC500F" w:rsidRPr="00D3424D">
        <w:rPr>
          <w:rFonts w:ascii="Arial" w:hAnsi="Arial"/>
        </w:rPr>
        <w:t>wh</w:t>
      </w:r>
      <w:r w:rsidR="56E660A7" w:rsidRPr="00D3424D">
        <w:rPr>
          <w:rFonts w:ascii="Arial" w:hAnsi="Arial"/>
        </w:rPr>
        <w:t>ā</w:t>
      </w:r>
      <w:r w:rsidR="67CC500F" w:rsidRPr="00D3424D">
        <w:rPr>
          <w:rFonts w:ascii="Arial" w:hAnsi="Arial"/>
        </w:rPr>
        <w:t>nau</w:t>
      </w:r>
      <w:r w:rsidRPr="00D3424D">
        <w:rPr>
          <w:rFonts w:ascii="Arial" w:hAnsi="Arial"/>
        </w:rPr>
        <w:t xml:space="preserve"> and communities</w:t>
      </w:r>
      <w:r w:rsidR="4905BC66" w:rsidRPr="00D3424D">
        <w:rPr>
          <w:rFonts w:ascii="Arial" w:hAnsi="Arial"/>
        </w:rPr>
        <w:t>,</w:t>
      </w:r>
      <w:r w:rsidRPr="00D3424D">
        <w:rPr>
          <w:rFonts w:ascii="Arial" w:hAnsi="Arial"/>
        </w:rPr>
        <w:t xml:space="preserve"> health sector agencies, health practitioners and researchers</w:t>
      </w:r>
    </w:p>
    <w:p w14:paraId="643B2FCC" w14:textId="7DB01D8A" w:rsidR="007905AE" w:rsidRPr="00D3424D" w:rsidRDefault="07F81268" w:rsidP="00131678">
      <w:pPr>
        <w:pStyle w:val="ReportBody-MOH"/>
        <w:numPr>
          <w:ilvl w:val="0"/>
          <w:numId w:val="9"/>
        </w:numPr>
        <w:ind w:left="426" w:hanging="426"/>
        <w:rPr>
          <w:rFonts w:ascii="Arial" w:hAnsi="Arial"/>
        </w:rPr>
      </w:pPr>
      <w:r w:rsidRPr="00D3424D">
        <w:rPr>
          <w:rFonts w:ascii="Arial" w:hAnsi="Arial"/>
        </w:rPr>
        <w:t>the tobacco</w:t>
      </w:r>
      <w:r w:rsidR="10DB9E8B" w:rsidRPr="00D3424D">
        <w:rPr>
          <w:rFonts w:ascii="Arial" w:hAnsi="Arial"/>
        </w:rPr>
        <w:t xml:space="preserve"> and vaping</w:t>
      </w:r>
      <w:r w:rsidRPr="00D3424D">
        <w:rPr>
          <w:rFonts w:ascii="Arial" w:hAnsi="Arial"/>
        </w:rPr>
        <w:t xml:space="preserve"> industr</w:t>
      </w:r>
      <w:r w:rsidR="01483929" w:rsidRPr="00D3424D">
        <w:rPr>
          <w:rFonts w:ascii="Arial" w:hAnsi="Arial"/>
        </w:rPr>
        <w:t>ies</w:t>
      </w:r>
      <w:r w:rsidRPr="00D3424D">
        <w:rPr>
          <w:rFonts w:ascii="Arial" w:hAnsi="Arial"/>
        </w:rPr>
        <w:t xml:space="preserve"> (manufacturers, </w:t>
      </w:r>
      <w:proofErr w:type="gramStart"/>
      <w:r w:rsidRPr="00D3424D">
        <w:rPr>
          <w:rFonts w:ascii="Arial" w:hAnsi="Arial"/>
        </w:rPr>
        <w:t>importers</w:t>
      </w:r>
      <w:proofErr w:type="gramEnd"/>
      <w:r w:rsidR="1805F1A0" w:rsidRPr="00D3424D">
        <w:rPr>
          <w:rFonts w:ascii="Arial" w:hAnsi="Arial"/>
        </w:rPr>
        <w:t xml:space="preserve"> and </w:t>
      </w:r>
      <w:r w:rsidR="6AAF24BA" w:rsidRPr="00D3424D">
        <w:rPr>
          <w:rFonts w:ascii="Arial" w:hAnsi="Arial"/>
        </w:rPr>
        <w:t>distributors</w:t>
      </w:r>
      <w:r w:rsidRPr="00D3424D">
        <w:rPr>
          <w:rFonts w:ascii="Arial" w:hAnsi="Arial"/>
        </w:rPr>
        <w:t>)</w:t>
      </w:r>
    </w:p>
    <w:p w14:paraId="19EDCE76" w14:textId="5F05381F" w:rsidR="007905AE" w:rsidRPr="00D3424D" w:rsidRDefault="5D355698" w:rsidP="00131678">
      <w:pPr>
        <w:pStyle w:val="ReportBody-MOH"/>
        <w:numPr>
          <w:ilvl w:val="0"/>
          <w:numId w:val="9"/>
        </w:numPr>
        <w:ind w:left="426" w:hanging="426"/>
        <w:rPr>
          <w:rFonts w:ascii="Arial" w:hAnsi="Arial"/>
        </w:rPr>
      </w:pPr>
      <w:r w:rsidRPr="00D3424D">
        <w:rPr>
          <w:rFonts w:ascii="Arial" w:hAnsi="Arial"/>
        </w:rPr>
        <w:t>smoked tobacco and general vape retailers</w:t>
      </w:r>
    </w:p>
    <w:p w14:paraId="3235D2C3" w14:textId="27EA633E" w:rsidR="007905AE" w:rsidRPr="00D3424D" w:rsidRDefault="004F02C6" w:rsidP="00131678">
      <w:pPr>
        <w:pStyle w:val="ReportBody-MOH"/>
        <w:numPr>
          <w:ilvl w:val="0"/>
          <w:numId w:val="9"/>
        </w:numPr>
        <w:ind w:left="426" w:hanging="426"/>
        <w:rPr>
          <w:rFonts w:ascii="Arial" w:hAnsi="Arial"/>
        </w:rPr>
      </w:pPr>
      <w:r>
        <w:rPr>
          <w:rFonts w:ascii="Arial" w:hAnsi="Arial"/>
        </w:rPr>
        <w:t>S</w:t>
      </w:r>
      <w:r w:rsidR="5D355698" w:rsidRPr="00D3424D">
        <w:rPr>
          <w:rFonts w:ascii="Arial" w:hAnsi="Arial"/>
        </w:rPr>
        <w:t xml:space="preserve">pecialist </w:t>
      </w:r>
      <w:r>
        <w:rPr>
          <w:rFonts w:ascii="Arial" w:hAnsi="Arial"/>
        </w:rPr>
        <w:t>V</w:t>
      </w:r>
      <w:r w:rsidR="5D355698" w:rsidRPr="00D3424D">
        <w:rPr>
          <w:rFonts w:ascii="Arial" w:hAnsi="Arial"/>
        </w:rPr>
        <w:t xml:space="preserve">ape </w:t>
      </w:r>
      <w:r>
        <w:rPr>
          <w:rFonts w:ascii="Arial" w:hAnsi="Arial"/>
        </w:rPr>
        <w:t>R</w:t>
      </w:r>
      <w:r w:rsidR="5D355698" w:rsidRPr="00D3424D">
        <w:rPr>
          <w:rFonts w:ascii="Arial" w:hAnsi="Arial"/>
        </w:rPr>
        <w:t>et</w:t>
      </w:r>
      <w:r w:rsidR="10270E3B" w:rsidRPr="00D3424D">
        <w:rPr>
          <w:rFonts w:ascii="Arial" w:hAnsi="Arial"/>
        </w:rPr>
        <w:t>ai</w:t>
      </w:r>
      <w:r w:rsidR="5D355698" w:rsidRPr="00D3424D">
        <w:rPr>
          <w:rFonts w:ascii="Arial" w:hAnsi="Arial"/>
        </w:rPr>
        <w:t>lers</w:t>
      </w:r>
    </w:p>
    <w:p w14:paraId="68C3E008" w14:textId="0E6EAB89" w:rsidR="00A16D2B" w:rsidRPr="00D3424D" w:rsidRDefault="5D0B3F36" w:rsidP="00131678">
      <w:pPr>
        <w:pStyle w:val="ReportBody-MOH"/>
        <w:numPr>
          <w:ilvl w:val="0"/>
          <w:numId w:val="9"/>
        </w:numPr>
        <w:ind w:left="426" w:hanging="426"/>
        <w:rPr>
          <w:rFonts w:ascii="Arial" w:hAnsi="Arial"/>
        </w:rPr>
      </w:pPr>
      <w:r w:rsidRPr="00D3424D">
        <w:rPr>
          <w:rFonts w:ascii="Arial" w:hAnsi="Arial"/>
        </w:rPr>
        <w:t>industry bodies</w:t>
      </w:r>
      <w:r w:rsidR="2FB66B44" w:rsidRPr="00D3424D">
        <w:rPr>
          <w:rFonts w:ascii="Arial" w:hAnsi="Arial"/>
        </w:rPr>
        <w:t>.</w:t>
      </w:r>
    </w:p>
    <w:p w14:paraId="5BCDDEC7" w14:textId="28EE7DD3" w:rsidR="00731C1D" w:rsidRDefault="362E34D8" w:rsidP="00B44DD2">
      <w:pPr>
        <w:spacing w:after="120" w:line="240" w:lineRule="auto"/>
        <w:rPr>
          <w:rFonts w:cs="Arial"/>
          <w:lang w:eastAsia="en-AU"/>
        </w:rPr>
      </w:pPr>
      <w:r w:rsidRPr="00D3424D">
        <w:rPr>
          <w:rFonts w:cs="Arial"/>
          <w:lang w:eastAsia="en-AU"/>
        </w:rPr>
        <w:t>The Ministry</w:t>
      </w:r>
      <w:r w:rsidR="1F74CBFC" w:rsidRPr="00D3424D">
        <w:rPr>
          <w:rFonts w:cs="Arial"/>
          <w:lang w:eastAsia="en-AU"/>
        </w:rPr>
        <w:t xml:space="preserve"> </w:t>
      </w:r>
      <w:r w:rsidRPr="00D3424D">
        <w:rPr>
          <w:rFonts w:cs="Arial"/>
          <w:lang w:eastAsia="en-AU"/>
        </w:rPr>
        <w:t xml:space="preserve">publicly </w:t>
      </w:r>
      <w:r w:rsidR="1F74CBFC" w:rsidRPr="00D3424D">
        <w:rPr>
          <w:rFonts w:cs="Arial"/>
          <w:lang w:eastAsia="en-AU"/>
        </w:rPr>
        <w:t>consulted on the regulatory proposals</w:t>
      </w:r>
      <w:r w:rsidR="2B149F9E" w:rsidRPr="00D3424D">
        <w:rPr>
          <w:rFonts w:cs="Arial"/>
          <w:lang w:eastAsia="en-AU"/>
        </w:rPr>
        <w:t xml:space="preserve"> </w:t>
      </w:r>
      <w:r w:rsidRPr="00D3424D">
        <w:rPr>
          <w:rFonts w:cs="Arial"/>
          <w:lang w:eastAsia="en-AU"/>
        </w:rPr>
        <w:t>from 4 January to 15 March 2023</w:t>
      </w:r>
      <w:r w:rsidR="1F74CBFC" w:rsidRPr="00D3424D">
        <w:rPr>
          <w:rFonts w:cs="Arial"/>
          <w:lang w:eastAsia="en-AU"/>
        </w:rPr>
        <w:t>.</w:t>
      </w:r>
      <w:r w:rsidR="070F9B2C" w:rsidRPr="00D3424D">
        <w:rPr>
          <w:rFonts w:cs="Arial"/>
          <w:lang w:eastAsia="en-AU"/>
        </w:rPr>
        <w:t xml:space="preserve"> </w:t>
      </w:r>
      <w:r w:rsidR="29FF3906" w:rsidRPr="00D3424D">
        <w:rPr>
          <w:rFonts w:cs="Arial"/>
          <w:lang w:eastAsia="en-AU"/>
        </w:rPr>
        <w:t>M</w:t>
      </w:r>
      <w:r w:rsidR="070F9B2C" w:rsidRPr="00D3424D">
        <w:rPr>
          <w:rFonts w:cs="Arial"/>
          <w:lang w:eastAsia="en-AU"/>
        </w:rPr>
        <w:t xml:space="preserve">ore than 2,700 </w:t>
      </w:r>
      <w:r w:rsidR="18EEBEF1" w:rsidRPr="00D3424D">
        <w:rPr>
          <w:rFonts w:cs="Arial"/>
          <w:lang w:eastAsia="en-AU"/>
        </w:rPr>
        <w:t xml:space="preserve">written </w:t>
      </w:r>
      <w:r w:rsidR="070F9B2C" w:rsidRPr="00D3424D">
        <w:rPr>
          <w:rFonts w:cs="Arial"/>
          <w:lang w:eastAsia="en-AU"/>
        </w:rPr>
        <w:t xml:space="preserve">submissions </w:t>
      </w:r>
      <w:r w:rsidR="29FF3906" w:rsidRPr="00D3424D">
        <w:rPr>
          <w:rFonts w:cs="Arial"/>
          <w:lang w:eastAsia="en-AU"/>
        </w:rPr>
        <w:t>were received</w:t>
      </w:r>
      <w:r w:rsidR="227F4BD3" w:rsidRPr="00D3424D">
        <w:rPr>
          <w:rFonts w:cs="Arial"/>
          <w:lang w:eastAsia="en-AU"/>
        </w:rPr>
        <w:t xml:space="preserve">. </w:t>
      </w:r>
      <w:r w:rsidR="2FDDD0AE" w:rsidRPr="00D3424D">
        <w:rPr>
          <w:rFonts w:cs="Arial"/>
          <w:lang w:eastAsia="en-AU"/>
        </w:rPr>
        <w:t>In addition to online consultation, t</w:t>
      </w:r>
      <w:r w:rsidR="227F4BD3" w:rsidRPr="00D3424D">
        <w:rPr>
          <w:rFonts w:cs="Arial"/>
          <w:lang w:eastAsia="en-AU"/>
        </w:rPr>
        <w:t>he Ministry held</w:t>
      </w:r>
      <w:r w:rsidR="040BE073" w:rsidRPr="00D3424D">
        <w:rPr>
          <w:rFonts w:cs="Arial"/>
          <w:lang w:eastAsia="en-AU"/>
        </w:rPr>
        <w:t xml:space="preserve"> </w:t>
      </w:r>
      <w:r w:rsidR="2BBA8E0C" w:rsidRPr="00D3424D">
        <w:rPr>
          <w:rFonts w:cs="Arial"/>
          <w:lang w:eastAsia="en-AU"/>
        </w:rPr>
        <w:t xml:space="preserve">face-to-face </w:t>
      </w:r>
      <w:r w:rsidR="2FDDD0AE" w:rsidRPr="00D3424D">
        <w:rPr>
          <w:rFonts w:cs="Arial"/>
          <w:lang w:eastAsia="en-AU"/>
        </w:rPr>
        <w:t xml:space="preserve">and </w:t>
      </w:r>
      <w:r w:rsidR="474BAD20" w:rsidRPr="00D3424D">
        <w:rPr>
          <w:rFonts w:cs="Arial"/>
          <w:lang w:eastAsia="en-AU"/>
        </w:rPr>
        <w:t>online</w:t>
      </w:r>
      <w:r w:rsidR="2FDDD0AE" w:rsidRPr="00D3424D">
        <w:rPr>
          <w:rFonts w:cs="Arial"/>
          <w:lang w:eastAsia="en-AU"/>
        </w:rPr>
        <w:t xml:space="preserve"> hui and </w:t>
      </w:r>
      <w:proofErr w:type="spellStart"/>
      <w:r w:rsidR="2FDDD0AE" w:rsidRPr="00D3424D">
        <w:rPr>
          <w:rFonts w:cs="Arial"/>
          <w:lang w:eastAsia="en-AU"/>
        </w:rPr>
        <w:t>fono</w:t>
      </w:r>
      <w:proofErr w:type="spellEnd"/>
      <w:r w:rsidRPr="00D3424D">
        <w:rPr>
          <w:rFonts w:cs="Arial"/>
          <w:lang w:eastAsia="en-AU"/>
        </w:rPr>
        <w:t xml:space="preserve"> with Māori and Pacific communities</w:t>
      </w:r>
      <w:r w:rsidRPr="019AD5A0">
        <w:rPr>
          <w:rFonts w:cs="Arial"/>
          <w:lang w:eastAsia="en-AU"/>
        </w:rPr>
        <w:t>.</w:t>
      </w:r>
      <w:r w:rsidR="5156C912" w:rsidRPr="019AD5A0">
        <w:rPr>
          <w:rFonts w:cs="Arial"/>
          <w:lang w:eastAsia="en-AU"/>
        </w:rPr>
        <w:t xml:space="preserve"> </w:t>
      </w:r>
      <w:r w:rsidR="2FDDD0AE" w:rsidRPr="019AD5A0">
        <w:rPr>
          <w:rFonts w:cs="Arial"/>
          <w:lang w:eastAsia="en-AU"/>
        </w:rPr>
        <w:t xml:space="preserve">Hāpai te Hauora also gathered </w:t>
      </w:r>
      <w:r w:rsidR="75E864FB" w:rsidRPr="019AD5A0">
        <w:rPr>
          <w:rFonts w:cs="Arial"/>
          <w:lang w:eastAsia="en-AU"/>
        </w:rPr>
        <w:t>492 submissions from Māori and Pacific people</w:t>
      </w:r>
      <w:r w:rsidR="47394C47" w:rsidRPr="019AD5A0">
        <w:rPr>
          <w:rFonts w:cs="Arial"/>
          <w:lang w:eastAsia="en-AU"/>
        </w:rPr>
        <w:t xml:space="preserve"> at cultural events throughout the consultation period. </w:t>
      </w:r>
      <w:r w:rsidR="00F239EC">
        <w:rPr>
          <w:rFonts w:cs="Arial"/>
          <w:lang w:eastAsia="en-AU"/>
        </w:rPr>
        <w:t xml:space="preserve">Consultation feedback </w:t>
      </w:r>
      <w:r w:rsidR="00BF6823">
        <w:rPr>
          <w:rFonts w:cs="Arial"/>
          <w:lang w:eastAsia="en-AU"/>
        </w:rPr>
        <w:t>has been</w:t>
      </w:r>
      <w:r w:rsidR="00CA04CE">
        <w:rPr>
          <w:rFonts w:cs="Arial"/>
          <w:lang w:eastAsia="en-AU"/>
        </w:rPr>
        <w:t xml:space="preserve"> included as part of the options analysis </w:t>
      </w:r>
      <w:r w:rsidR="00BF6823">
        <w:rPr>
          <w:rFonts w:cs="Arial"/>
          <w:lang w:eastAsia="en-AU"/>
        </w:rPr>
        <w:t xml:space="preserve">in </w:t>
      </w:r>
      <w:r w:rsidR="003620FF">
        <w:rPr>
          <w:rFonts w:cs="Arial"/>
          <w:lang w:eastAsia="en-AU"/>
        </w:rPr>
        <w:t>Section 2.</w:t>
      </w:r>
    </w:p>
    <w:p w14:paraId="59BB5BCF" w14:textId="1CF0BDDD" w:rsidR="007037C4" w:rsidRPr="00847E6E" w:rsidRDefault="007037C4" w:rsidP="000963D3">
      <w:pPr>
        <w:pStyle w:val="Heading3"/>
        <w:spacing w:before="120" w:after="120"/>
        <w:rPr>
          <w:lang w:val="en-NZ"/>
        </w:rPr>
      </w:pPr>
      <w:r w:rsidRPr="00A864A5">
        <w:rPr>
          <w:lang w:val="en-NZ"/>
        </w:rPr>
        <w:t xml:space="preserve">What objectives </w:t>
      </w:r>
      <w:r w:rsidR="00CB08AA">
        <w:rPr>
          <w:lang w:val="en-NZ"/>
        </w:rPr>
        <w:t xml:space="preserve">are </w:t>
      </w:r>
      <w:r w:rsidR="00D6670E">
        <w:rPr>
          <w:lang w:val="en-NZ"/>
        </w:rPr>
        <w:t>sought</w:t>
      </w:r>
      <w:r w:rsidRPr="00A864A5">
        <w:rPr>
          <w:lang w:val="en-NZ"/>
        </w:rPr>
        <w:t xml:space="preserve"> in relation to th</w:t>
      </w:r>
      <w:r w:rsidR="0052670F">
        <w:rPr>
          <w:lang w:val="en-NZ"/>
        </w:rPr>
        <w:t>e</w:t>
      </w:r>
      <w:r w:rsidRPr="00A864A5">
        <w:rPr>
          <w:lang w:val="en-NZ"/>
        </w:rPr>
        <w:t xml:space="preserve"> policy problem?</w:t>
      </w:r>
    </w:p>
    <w:bookmarkEnd w:id="4"/>
    <w:bookmarkEnd w:id="5"/>
    <w:bookmarkEnd w:id="6"/>
    <w:bookmarkEnd w:id="7"/>
    <w:bookmarkEnd w:id="8"/>
    <w:p w14:paraId="0089F0DE" w14:textId="7810472A" w:rsidR="00A364D2" w:rsidRDefault="00A364D2" w:rsidP="006D02A7">
      <w:pPr>
        <w:spacing w:after="120"/>
        <w:rPr>
          <w:rFonts w:cs="Arial"/>
          <w:lang w:val="en-NZ"/>
        </w:rPr>
      </w:pPr>
      <w:r w:rsidRPr="58911DBF">
        <w:rPr>
          <w:rFonts w:cs="Arial"/>
          <w:lang w:val="en-NZ"/>
        </w:rPr>
        <w:t xml:space="preserve">The proposed regulations for </w:t>
      </w:r>
      <w:r w:rsidR="006F4D5C">
        <w:rPr>
          <w:rFonts w:cs="Arial"/>
          <w:lang w:val="en-NZ"/>
        </w:rPr>
        <w:t>s</w:t>
      </w:r>
      <w:r w:rsidRPr="58911DBF">
        <w:rPr>
          <w:rFonts w:cs="Arial"/>
          <w:lang w:val="en-NZ"/>
        </w:rPr>
        <w:t xml:space="preserve">moked </w:t>
      </w:r>
      <w:r w:rsidR="006F4D5C">
        <w:rPr>
          <w:rFonts w:cs="Arial"/>
          <w:lang w:val="en-NZ"/>
        </w:rPr>
        <w:t>t</w:t>
      </w:r>
      <w:r w:rsidRPr="58911DBF">
        <w:rPr>
          <w:rFonts w:cs="Arial"/>
          <w:lang w:val="en-NZ"/>
        </w:rPr>
        <w:t xml:space="preserve">obacco </w:t>
      </w:r>
      <w:r w:rsidR="00854F48">
        <w:rPr>
          <w:rFonts w:cs="Arial"/>
          <w:lang w:val="en-NZ"/>
        </w:rPr>
        <w:t>products</w:t>
      </w:r>
      <w:r w:rsidRPr="58911DBF">
        <w:rPr>
          <w:rFonts w:cs="Arial"/>
          <w:lang w:val="en-NZ"/>
        </w:rPr>
        <w:t xml:space="preserve"> will operationalise the new provisions </w:t>
      </w:r>
      <w:r w:rsidR="66A0ADC1" w:rsidRPr="2C235B20">
        <w:rPr>
          <w:rFonts w:cs="Arial"/>
          <w:lang w:val="en-NZ"/>
        </w:rPr>
        <w:t>of</w:t>
      </w:r>
      <w:r w:rsidRPr="58911DBF">
        <w:rPr>
          <w:rFonts w:cs="Arial"/>
          <w:lang w:val="en-NZ"/>
        </w:rPr>
        <w:t xml:space="preserve"> the Amendment Act</w:t>
      </w:r>
      <w:r w:rsidR="37607231" w:rsidRPr="6B8BC61A">
        <w:rPr>
          <w:rFonts w:cs="Arial"/>
          <w:lang w:val="en-NZ"/>
        </w:rPr>
        <w:t>.</w:t>
      </w:r>
      <w:r w:rsidRPr="58911DBF">
        <w:rPr>
          <w:rFonts w:cs="Arial"/>
          <w:lang w:val="en-NZ"/>
        </w:rPr>
        <w:t xml:space="preserve"> </w:t>
      </w:r>
      <w:r w:rsidR="37607231" w:rsidRPr="704E2E3C">
        <w:rPr>
          <w:rFonts w:cs="Arial"/>
          <w:lang w:val="en-NZ"/>
        </w:rPr>
        <w:t>They will</w:t>
      </w:r>
      <w:r w:rsidR="09E9F5B6" w:rsidRPr="704E2E3C">
        <w:rPr>
          <w:rFonts w:cs="Arial"/>
          <w:lang w:val="en-NZ"/>
        </w:rPr>
        <w:t xml:space="preserve"> </w:t>
      </w:r>
      <w:r w:rsidR="008E5AB9">
        <w:rPr>
          <w:rFonts w:cs="Arial"/>
          <w:lang w:val="en-NZ"/>
        </w:rPr>
        <w:t xml:space="preserve">ensure the measures </w:t>
      </w:r>
      <w:r w:rsidR="000D65CD">
        <w:rPr>
          <w:rFonts w:cs="Arial"/>
          <w:lang w:val="en-NZ"/>
        </w:rPr>
        <w:t xml:space="preserve">are implemented in a manner that will </w:t>
      </w:r>
      <w:r w:rsidR="05EDDD23" w:rsidRPr="1AA1C5D3">
        <w:rPr>
          <w:rFonts w:cs="Arial"/>
          <w:lang w:val="en-NZ"/>
        </w:rPr>
        <w:t>achieve</w:t>
      </w:r>
      <w:r w:rsidRPr="58911DBF">
        <w:rPr>
          <w:rFonts w:cs="Arial"/>
          <w:lang w:val="en-NZ"/>
        </w:rPr>
        <w:t xml:space="preserve"> the </w:t>
      </w:r>
      <w:r w:rsidRPr="007D16B3">
        <w:rPr>
          <w:rFonts w:cs="Arial"/>
          <w:lang w:val="en-NZ"/>
        </w:rPr>
        <w:t>objective</w:t>
      </w:r>
      <w:r w:rsidR="000D65CD">
        <w:rPr>
          <w:rFonts w:cs="Arial"/>
          <w:lang w:val="en-NZ"/>
        </w:rPr>
        <w:t>s</w:t>
      </w:r>
      <w:r w:rsidRPr="58911DBF">
        <w:rPr>
          <w:rFonts w:cs="Arial"/>
          <w:lang w:val="en-NZ"/>
        </w:rPr>
        <w:t xml:space="preserve"> of reducing the availability</w:t>
      </w:r>
      <w:r w:rsidR="6E683CE8" w:rsidRPr="60C5524F">
        <w:rPr>
          <w:rFonts w:cs="Arial"/>
          <w:lang w:val="en-NZ"/>
        </w:rPr>
        <w:t xml:space="preserve">, </w:t>
      </w:r>
      <w:proofErr w:type="gramStart"/>
      <w:r w:rsidR="6E683CE8" w:rsidRPr="60C5524F">
        <w:rPr>
          <w:rFonts w:cs="Arial"/>
          <w:lang w:val="en-NZ"/>
        </w:rPr>
        <w:t>appeal</w:t>
      </w:r>
      <w:proofErr w:type="gramEnd"/>
      <w:r w:rsidR="6E683CE8" w:rsidRPr="60C5524F">
        <w:rPr>
          <w:rFonts w:cs="Arial"/>
          <w:lang w:val="en-NZ"/>
        </w:rPr>
        <w:t xml:space="preserve"> and addictivenes</w:t>
      </w:r>
      <w:r w:rsidR="002D6B24">
        <w:rPr>
          <w:rFonts w:cs="Arial"/>
          <w:lang w:val="en-NZ"/>
        </w:rPr>
        <w:t>s</w:t>
      </w:r>
      <w:r w:rsidRPr="58911DBF">
        <w:rPr>
          <w:rFonts w:cs="Arial"/>
          <w:lang w:val="en-NZ"/>
        </w:rPr>
        <w:t xml:space="preserve"> of smoked tobacco products</w:t>
      </w:r>
      <w:r w:rsidR="59345437" w:rsidRPr="007D16B3">
        <w:rPr>
          <w:rFonts w:cs="Arial"/>
          <w:lang w:val="en-NZ"/>
        </w:rPr>
        <w:t>.</w:t>
      </w:r>
      <w:r w:rsidR="59345437" w:rsidRPr="60C5524F">
        <w:rPr>
          <w:rFonts w:cs="Arial"/>
          <w:lang w:val="en-NZ"/>
        </w:rPr>
        <w:t xml:space="preserve"> </w:t>
      </w:r>
    </w:p>
    <w:p w14:paraId="2CBE4634" w14:textId="77777777" w:rsidR="007E571C" w:rsidRDefault="007E571C" w:rsidP="007E571C">
      <w:pPr>
        <w:spacing w:after="120"/>
        <w:rPr>
          <w:color w:val="000000" w:themeColor="text1"/>
          <w:lang w:val="en-NZ"/>
        </w:rPr>
      </w:pPr>
      <w:r>
        <w:rPr>
          <w:rFonts w:cs="Arial"/>
          <w:lang w:val="en-NZ"/>
        </w:rPr>
        <w:t xml:space="preserve">Giving effect to these regulations will support the </w:t>
      </w:r>
      <w:r w:rsidRPr="28343F91">
        <w:rPr>
          <w:rFonts w:cs="Arial"/>
          <w:lang w:val="en-NZ"/>
        </w:rPr>
        <w:t>action plan</w:t>
      </w:r>
      <w:r>
        <w:rPr>
          <w:rFonts w:cs="Arial"/>
          <w:lang w:val="en-NZ"/>
        </w:rPr>
        <w:t xml:space="preserve"> objectives of </w:t>
      </w:r>
      <w:r w:rsidRPr="28343F91">
        <w:rPr>
          <w:color w:val="000000" w:themeColor="text1"/>
          <w:lang w:val="en-NZ"/>
        </w:rPr>
        <w:t>eliminat</w:t>
      </w:r>
      <w:r>
        <w:rPr>
          <w:color w:val="000000" w:themeColor="text1"/>
          <w:lang w:val="en-NZ"/>
        </w:rPr>
        <w:t>ing</w:t>
      </w:r>
      <w:r w:rsidRPr="28343F91">
        <w:rPr>
          <w:color w:val="000000" w:themeColor="text1"/>
          <w:lang w:val="en-NZ"/>
        </w:rPr>
        <w:t xml:space="preserve"> inequities in smoking rates and smoking-related illness and increas</w:t>
      </w:r>
      <w:r>
        <w:rPr>
          <w:color w:val="000000" w:themeColor="text1"/>
          <w:lang w:val="en-NZ"/>
        </w:rPr>
        <w:t>ing</w:t>
      </w:r>
      <w:r w:rsidRPr="28343F91">
        <w:rPr>
          <w:color w:val="000000" w:themeColor="text1"/>
          <w:lang w:val="en-NZ"/>
        </w:rPr>
        <w:t xml:space="preserve"> the number of people who successfully quit smoking.</w:t>
      </w:r>
    </w:p>
    <w:p w14:paraId="24A1C335" w14:textId="0F959026" w:rsidR="008B7786" w:rsidRDefault="7FA1C1BA" w:rsidP="006D02A7">
      <w:pPr>
        <w:spacing w:after="120"/>
        <w:rPr>
          <w:color w:val="000000" w:themeColor="text1"/>
          <w:lang w:val="en-NZ"/>
        </w:rPr>
      </w:pPr>
      <w:r w:rsidRPr="007D16B3">
        <w:rPr>
          <w:rFonts w:cs="Arial"/>
          <w:lang w:val="en-NZ"/>
        </w:rPr>
        <w:t>Proposals</w:t>
      </w:r>
      <w:r w:rsidRPr="60C5524F">
        <w:rPr>
          <w:rFonts w:cs="Arial"/>
          <w:lang w:val="en-NZ"/>
        </w:rPr>
        <w:t xml:space="preserve"> to</w:t>
      </w:r>
      <w:r w:rsidR="7A327F8D" w:rsidRPr="60C5524F">
        <w:rPr>
          <w:rFonts w:cs="Arial"/>
          <w:lang w:val="en-NZ"/>
        </w:rPr>
        <w:t xml:space="preserve"> </w:t>
      </w:r>
      <w:r w:rsidR="00A364D2" w:rsidRPr="007D16B3">
        <w:rPr>
          <w:rFonts w:cs="Arial"/>
          <w:lang w:val="en-NZ"/>
        </w:rPr>
        <w:t>tighten</w:t>
      </w:r>
      <w:r w:rsidR="00A364D2">
        <w:rPr>
          <w:rFonts w:cs="Arial"/>
          <w:lang w:val="en-NZ"/>
        </w:rPr>
        <w:t xml:space="preserve"> existing regulations for </w:t>
      </w:r>
      <w:r w:rsidR="65C7370C" w:rsidRPr="18D039BF">
        <w:rPr>
          <w:rFonts w:cs="Arial"/>
          <w:lang w:val="en-NZ"/>
        </w:rPr>
        <w:t>vap</w:t>
      </w:r>
      <w:r w:rsidR="04DB1FE7" w:rsidRPr="18D039BF">
        <w:rPr>
          <w:rFonts w:cs="Arial"/>
          <w:lang w:val="en-NZ"/>
        </w:rPr>
        <w:t>ing</w:t>
      </w:r>
      <w:r w:rsidR="00A364D2">
        <w:rPr>
          <w:rFonts w:cs="Arial"/>
          <w:lang w:val="en-NZ"/>
        </w:rPr>
        <w:t xml:space="preserve"> products will help </w:t>
      </w:r>
      <w:r w:rsidR="0AF43D37" w:rsidRPr="60C5524F">
        <w:rPr>
          <w:rFonts w:cs="Arial"/>
          <w:lang w:val="en-NZ"/>
        </w:rPr>
        <w:t>to</w:t>
      </w:r>
      <w:r w:rsidR="7A327F8D" w:rsidRPr="60C5524F">
        <w:rPr>
          <w:rFonts w:cs="Arial"/>
          <w:lang w:val="en-NZ"/>
        </w:rPr>
        <w:t xml:space="preserve"> </w:t>
      </w:r>
      <w:r w:rsidR="00A364D2">
        <w:rPr>
          <w:rFonts w:cs="Arial"/>
          <w:lang w:val="en-NZ"/>
        </w:rPr>
        <w:t>achieve the objective of reducing their appeal to young people</w:t>
      </w:r>
      <w:r w:rsidR="007E571C">
        <w:rPr>
          <w:rFonts w:cs="Arial"/>
          <w:lang w:val="en-NZ"/>
        </w:rPr>
        <w:t xml:space="preserve"> and improving their safety</w:t>
      </w:r>
      <w:r w:rsidR="00A364D2">
        <w:rPr>
          <w:rFonts w:cs="Arial"/>
          <w:lang w:val="en-NZ"/>
        </w:rPr>
        <w:t>.</w:t>
      </w:r>
      <w:r w:rsidR="27EB166C" w:rsidRPr="28343F91">
        <w:rPr>
          <w:rFonts w:cs="Arial"/>
          <w:lang w:val="en-NZ"/>
        </w:rPr>
        <w:t xml:space="preserve"> </w:t>
      </w:r>
    </w:p>
    <w:p w14:paraId="0E791098" w14:textId="77777777" w:rsidR="008B7786" w:rsidRDefault="008B7786">
      <w:pPr>
        <w:spacing w:after="0" w:line="240" w:lineRule="auto"/>
        <w:rPr>
          <w:color w:val="000000" w:themeColor="text1"/>
          <w:lang w:val="en-NZ"/>
        </w:rPr>
      </w:pPr>
      <w:r>
        <w:rPr>
          <w:color w:val="000000" w:themeColor="text1"/>
          <w:lang w:val="en-NZ"/>
        </w:rPr>
        <w:br w:type="page"/>
      </w:r>
    </w:p>
    <w:p w14:paraId="2B635B3D" w14:textId="1A767A59" w:rsidR="008321F8" w:rsidRDefault="00F402DF" w:rsidP="00CD4B62">
      <w:pPr>
        <w:pStyle w:val="Heading2"/>
        <w:rPr>
          <w:lang w:val="en-NZ"/>
        </w:rPr>
      </w:pPr>
      <w:r w:rsidRPr="00A864A5">
        <w:rPr>
          <w:lang w:val="en-NZ"/>
        </w:rPr>
        <w:t xml:space="preserve">Section 2: </w:t>
      </w:r>
      <w:r w:rsidR="001C4A82">
        <w:rPr>
          <w:lang w:val="en-NZ"/>
        </w:rPr>
        <w:t xml:space="preserve">Deciding </w:t>
      </w:r>
      <w:r w:rsidR="005275ED">
        <w:rPr>
          <w:lang w:val="en-NZ"/>
        </w:rPr>
        <w:t>upon an option</w:t>
      </w:r>
      <w:r w:rsidR="007336C9">
        <w:rPr>
          <w:lang w:val="en-NZ"/>
        </w:rPr>
        <w:t xml:space="preserve"> </w:t>
      </w:r>
      <w:r w:rsidR="005C38A2">
        <w:rPr>
          <w:lang w:val="en-NZ"/>
        </w:rPr>
        <w:t>to address the policy problem</w:t>
      </w:r>
    </w:p>
    <w:p w14:paraId="376CC6BB" w14:textId="364850AB" w:rsidR="00BD7640" w:rsidRPr="00D3424D" w:rsidRDefault="00AB3CDC" w:rsidP="000963D3">
      <w:pPr>
        <w:pStyle w:val="Heading3"/>
        <w:spacing w:before="120" w:after="120"/>
        <w:rPr>
          <w:rFonts w:ascii="Arial" w:hAnsi="Arial" w:cs="Arial"/>
          <w:b w:val="0"/>
          <w:color w:val="auto"/>
          <w:spacing w:val="0"/>
          <w:w w:val="100"/>
          <w:sz w:val="22"/>
          <w:szCs w:val="20"/>
          <w:lang w:val="en-NZ"/>
        </w:rPr>
      </w:pPr>
      <w:r w:rsidRPr="00D3424D">
        <w:rPr>
          <w:rFonts w:ascii="Arial" w:hAnsi="Arial" w:cs="Arial"/>
          <w:b w:val="0"/>
          <w:color w:val="auto"/>
          <w:spacing w:val="0"/>
          <w:w w:val="100"/>
          <w:sz w:val="22"/>
          <w:szCs w:val="20"/>
          <w:lang w:val="en-NZ"/>
        </w:rPr>
        <w:t xml:space="preserve">This section </w:t>
      </w:r>
      <w:r w:rsidR="00E42EBD" w:rsidRPr="00D3424D">
        <w:rPr>
          <w:rFonts w:ascii="Arial" w:hAnsi="Arial" w:cs="Arial"/>
          <w:b w:val="0"/>
          <w:color w:val="auto"/>
          <w:spacing w:val="0"/>
          <w:w w:val="100"/>
          <w:sz w:val="22"/>
          <w:szCs w:val="20"/>
          <w:lang w:val="en-NZ"/>
        </w:rPr>
        <w:t xml:space="preserve">analyses options across the following </w:t>
      </w:r>
      <w:r w:rsidR="003817B8" w:rsidRPr="00D3424D">
        <w:rPr>
          <w:rFonts w:ascii="Arial" w:hAnsi="Arial" w:cs="Arial"/>
          <w:b w:val="0"/>
          <w:color w:val="auto"/>
          <w:spacing w:val="0"/>
          <w:w w:val="100"/>
          <w:sz w:val="22"/>
          <w:szCs w:val="20"/>
          <w:lang w:val="en-NZ"/>
        </w:rPr>
        <w:t>areas</w:t>
      </w:r>
      <w:r w:rsidR="007C0C51" w:rsidRPr="00D3424D">
        <w:rPr>
          <w:rFonts w:ascii="Arial" w:hAnsi="Arial" w:cs="Arial"/>
          <w:b w:val="0"/>
          <w:color w:val="auto"/>
          <w:spacing w:val="0"/>
          <w:w w:val="100"/>
          <w:sz w:val="22"/>
          <w:szCs w:val="20"/>
          <w:lang w:val="en-NZ"/>
        </w:rPr>
        <w:t>:</w:t>
      </w:r>
    </w:p>
    <w:p w14:paraId="4CA7DFB3" w14:textId="7A1F68D6" w:rsidR="007C0C51" w:rsidRPr="00D3424D" w:rsidRDefault="003817B8" w:rsidP="00131678">
      <w:pPr>
        <w:pStyle w:val="ReportBody-MOH"/>
        <w:numPr>
          <w:ilvl w:val="0"/>
          <w:numId w:val="9"/>
        </w:numPr>
        <w:ind w:left="426" w:hanging="426"/>
        <w:rPr>
          <w:rFonts w:ascii="Arial" w:hAnsi="Arial"/>
        </w:rPr>
      </w:pPr>
      <w:r w:rsidRPr="00D3424D">
        <w:rPr>
          <w:rFonts w:ascii="Arial" w:hAnsi="Arial"/>
          <w:i/>
          <w:iCs/>
        </w:rPr>
        <w:t>Issue 1</w:t>
      </w:r>
      <w:r w:rsidRPr="00D3424D">
        <w:rPr>
          <w:rFonts w:ascii="Arial" w:hAnsi="Arial"/>
        </w:rPr>
        <w:t xml:space="preserve">: </w:t>
      </w:r>
      <w:r w:rsidR="00D3424D">
        <w:rPr>
          <w:rFonts w:ascii="Arial" w:hAnsi="Arial"/>
        </w:rPr>
        <w:t>a</w:t>
      </w:r>
      <w:r w:rsidR="00745722" w:rsidRPr="00D3424D">
        <w:rPr>
          <w:rFonts w:ascii="Arial" w:hAnsi="Arial"/>
        </w:rPr>
        <w:t>dditional requirements for approval as a smoked tobacco retailer</w:t>
      </w:r>
    </w:p>
    <w:p w14:paraId="647B7635" w14:textId="562DA329" w:rsidR="00602C68" w:rsidRPr="00D3424D" w:rsidRDefault="003817B8" w:rsidP="00131678">
      <w:pPr>
        <w:pStyle w:val="ReportBody-MOH"/>
        <w:numPr>
          <w:ilvl w:val="0"/>
          <w:numId w:val="9"/>
        </w:numPr>
        <w:ind w:left="426" w:hanging="426"/>
        <w:rPr>
          <w:rFonts w:ascii="Arial" w:hAnsi="Arial"/>
        </w:rPr>
      </w:pPr>
      <w:r w:rsidRPr="00D3424D">
        <w:rPr>
          <w:rFonts w:ascii="Arial" w:hAnsi="Arial"/>
          <w:i/>
          <w:iCs/>
        </w:rPr>
        <w:t>Issue 2</w:t>
      </w:r>
      <w:r w:rsidRPr="00D3424D">
        <w:rPr>
          <w:rFonts w:ascii="Arial" w:hAnsi="Arial"/>
        </w:rPr>
        <w:t xml:space="preserve">: </w:t>
      </w:r>
      <w:r w:rsidR="00D3424D">
        <w:rPr>
          <w:rFonts w:ascii="Arial" w:hAnsi="Arial"/>
        </w:rPr>
        <w:t>d</w:t>
      </w:r>
      <w:r w:rsidR="00602C68" w:rsidRPr="00D3424D">
        <w:rPr>
          <w:rFonts w:ascii="Arial" w:hAnsi="Arial"/>
        </w:rPr>
        <w:t>ecision-making criteria for retail applications</w:t>
      </w:r>
    </w:p>
    <w:p w14:paraId="45DB2E29" w14:textId="3A9622FA" w:rsidR="00602C68" w:rsidRPr="00D3424D" w:rsidRDefault="003817B8" w:rsidP="00131678">
      <w:pPr>
        <w:pStyle w:val="ReportBody-MOH"/>
        <w:numPr>
          <w:ilvl w:val="0"/>
          <w:numId w:val="9"/>
        </w:numPr>
        <w:ind w:left="426" w:hanging="426"/>
        <w:rPr>
          <w:rFonts w:ascii="Arial" w:hAnsi="Arial"/>
        </w:rPr>
      </w:pPr>
      <w:r w:rsidRPr="00D3424D">
        <w:rPr>
          <w:rFonts w:ascii="Arial" w:hAnsi="Arial"/>
          <w:i/>
          <w:iCs/>
        </w:rPr>
        <w:t xml:space="preserve">Issue </w:t>
      </w:r>
      <w:r w:rsidR="00BC2D95" w:rsidRPr="00D3424D">
        <w:rPr>
          <w:rFonts w:ascii="Arial" w:hAnsi="Arial"/>
          <w:i/>
          <w:iCs/>
        </w:rPr>
        <w:t>3</w:t>
      </w:r>
      <w:r w:rsidRPr="00D3424D">
        <w:rPr>
          <w:rFonts w:ascii="Arial" w:hAnsi="Arial"/>
        </w:rPr>
        <w:t xml:space="preserve">: </w:t>
      </w:r>
      <w:r w:rsidR="00D3424D">
        <w:rPr>
          <w:rFonts w:ascii="Arial" w:hAnsi="Arial"/>
        </w:rPr>
        <w:t>t</w:t>
      </w:r>
      <w:r w:rsidR="00602C68" w:rsidRPr="00D3424D">
        <w:rPr>
          <w:rFonts w:ascii="Arial" w:hAnsi="Arial"/>
        </w:rPr>
        <w:t>esting and other product requirements for low nicotine smok</w:t>
      </w:r>
      <w:r w:rsidR="006B7D91" w:rsidRPr="00D3424D">
        <w:rPr>
          <w:rFonts w:ascii="Arial" w:hAnsi="Arial"/>
        </w:rPr>
        <w:t>ed tobacco</w:t>
      </w:r>
    </w:p>
    <w:p w14:paraId="74D76CE3" w14:textId="2B1C71FD" w:rsidR="006B7D91" w:rsidRPr="00D3424D" w:rsidRDefault="003817B8" w:rsidP="00131678">
      <w:pPr>
        <w:pStyle w:val="ReportBody-MOH"/>
        <w:numPr>
          <w:ilvl w:val="0"/>
          <w:numId w:val="9"/>
        </w:numPr>
        <w:ind w:left="426" w:hanging="426"/>
        <w:rPr>
          <w:rFonts w:ascii="Arial" w:hAnsi="Arial"/>
        </w:rPr>
      </w:pPr>
      <w:r w:rsidRPr="00D3424D">
        <w:rPr>
          <w:rFonts w:ascii="Arial" w:hAnsi="Arial"/>
          <w:i/>
          <w:iCs/>
        </w:rPr>
        <w:t xml:space="preserve">Issue </w:t>
      </w:r>
      <w:r w:rsidR="00BC2D95" w:rsidRPr="00D3424D">
        <w:rPr>
          <w:rFonts w:ascii="Arial" w:hAnsi="Arial"/>
          <w:i/>
          <w:iCs/>
        </w:rPr>
        <w:t>4</w:t>
      </w:r>
      <w:r w:rsidRPr="00D3424D">
        <w:rPr>
          <w:rFonts w:ascii="Arial" w:hAnsi="Arial"/>
        </w:rPr>
        <w:t xml:space="preserve">: </w:t>
      </w:r>
      <w:r w:rsidR="00D3424D">
        <w:rPr>
          <w:rFonts w:ascii="Arial" w:hAnsi="Arial"/>
        </w:rPr>
        <w:t>f</w:t>
      </w:r>
      <w:r w:rsidR="006B7D91" w:rsidRPr="00D3424D">
        <w:rPr>
          <w:rFonts w:ascii="Arial" w:hAnsi="Arial"/>
        </w:rPr>
        <w:t>ees</w:t>
      </w:r>
    </w:p>
    <w:p w14:paraId="5E1AB97B" w14:textId="2A4EA9F4" w:rsidR="006B7D91" w:rsidRPr="00D3424D" w:rsidRDefault="003817B8" w:rsidP="00131678">
      <w:pPr>
        <w:pStyle w:val="ReportBody-MOH"/>
        <w:numPr>
          <w:ilvl w:val="0"/>
          <w:numId w:val="9"/>
        </w:numPr>
        <w:ind w:left="426" w:hanging="426"/>
        <w:rPr>
          <w:rFonts w:ascii="Arial" w:hAnsi="Arial"/>
        </w:rPr>
      </w:pPr>
      <w:r w:rsidRPr="00D3424D">
        <w:rPr>
          <w:rFonts w:ascii="Arial" w:hAnsi="Arial"/>
          <w:i/>
          <w:iCs/>
        </w:rPr>
        <w:t xml:space="preserve">Issue </w:t>
      </w:r>
      <w:r w:rsidR="00BC2D95" w:rsidRPr="00D3424D">
        <w:rPr>
          <w:rFonts w:ascii="Arial" w:hAnsi="Arial"/>
          <w:i/>
          <w:iCs/>
        </w:rPr>
        <w:t>5</w:t>
      </w:r>
      <w:r w:rsidRPr="00D3424D">
        <w:rPr>
          <w:rFonts w:ascii="Arial" w:hAnsi="Arial"/>
        </w:rPr>
        <w:t xml:space="preserve">: </w:t>
      </w:r>
      <w:r w:rsidR="00D3424D">
        <w:rPr>
          <w:rFonts w:ascii="Arial" w:hAnsi="Arial"/>
        </w:rPr>
        <w:t>n</w:t>
      </w:r>
      <w:r w:rsidR="006B7D91" w:rsidRPr="00D3424D">
        <w:rPr>
          <w:rFonts w:ascii="Arial" w:hAnsi="Arial"/>
        </w:rPr>
        <w:t>otification requirements</w:t>
      </w:r>
    </w:p>
    <w:p w14:paraId="143A537B" w14:textId="31738915" w:rsidR="006B7D91" w:rsidRPr="00D3424D" w:rsidRDefault="003817B8" w:rsidP="00131678">
      <w:pPr>
        <w:pStyle w:val="ReportBody-MOH"/>
        <w:numPr>
          <w:ilvl w:val="0"/>
          <w:numId w:val="9"/>
        </w:numPr>
        <w:ind w:left="426" w:hanging="426"/>
        <w:rPr>
          <w:rFonts w:ascii="Arial" w:hAnsi="Arial"/>
        </w:rPr>
      </w:pPr>
      <w:r w:rsidRPr="00D3424D">
        <w:rPr>
          <w:rFonts w:ascii="Arial" w:hAnsi="Arial"/>
          <w:i/>
          <w:iCs/>
        </w:rPr>
        <w:t xml:space="preserve">Issue </w:t>
      </w:r>
      <w:r w:rsidR="00BC2D95" w:rsidRPr="00D3424D">
        <w:rPr>
          <w:rFonts w:ascii="Arial" w:hAnsi="Arial"/>
          <w:i/>
          <w:iCs/>
        </w:rPr>
        <w:t>6</w:t>
      </w:r>
      <w:r w:rsidRPr="00D3424D">
        <w:rPr>
          <w:rFonts w:ascii="Arial" w:hAnsi="Arial"/>
        </w:rPr>
        <w:t xml:space="preserve">: </w:t>
      </w:r>
      <w:r w:rsidR="00D3424D">
        <w:rPr>
          <w:rFonts w:ascii="Arial" w:hAnsi="Arial"/>
        </w:rPr>
        <w:t>y</w:t>
      </w:r>
      <w:r w:rsidR="00A23E54" w:rsidRPr="00D3424D">
        <w:rPr>
          <w:rFonts w:ascii="Arial" w:hAnsi="Arial"/>
        </w:rPr>
        <w:t>outh vaping- limiting the way flavours are described</w:t>
      </w:r>
    </w:p>
    <w:p w14:paraId="64C02E13" w14:textId="4AC02F0F" w:rsidR="00A23E54" w:rsidRPr="00D3424D" w:rsidRDefault="003817B8" w:rsidP="00131678">
      <w:pPr>
        <w:pStyle w:val="ReportBody-MOH"/>
        <w:numPr>
          <w:ilvl w:val="0"/>
          <w:numId w:val="9"/>
        </w:numPr>
        <w:ind w:left="426" w:hanging="426"/>
        <w:rPr>
          <w:rFonts w:ascii="Arial" w:hAnsi="Arial"/>
        </w:rPr>
      </w:pPr>
      <w:r w:rsidRPr="00D3424D">
        <w:rPr>
          <w:rFonts w:ascii="Arial" w:hAnsi="Arial"/>
          <w:i/>
          <w:iCs/>
        </w:rPr>
        <w:t xml:space="preserve">Issue </w:t>
      </w:r>
      <w:r w:rsidR="00BC2D95" w:rsidRPr="00D3424D">
        <w:rPr>
          <w:rFonts w:ascii="Arial" w:hAnsi="Arial"/>
          <w:i/>
          <w:iCs/>
        </w:rPr>
        <w:t>7</w:t>
      </w:r>
      <w:r w:rsidRPr="00D3424D">
        <w:rPr>
          <w:rFonts w:ascii="Arial" w:hAnsi="Arial"/>
        </w:rPr>
        <w:t xml:space="preserve">: </w:t>
      </w:r>
      <w:r w:rsidR="00D3424D">
        <w:rPr>
          <w:rFonts w:ascii="Arial" w:hAnsi="Arial"/>
        </w:rPr>
        <w:t>y</w:t>
      </w:r>
      <w:r w:rsidR="00A23E54" w:rsidRPr="00D3424D">
        <w:rPr>
          <w:rFonts w:ascii="Arial" w:hAnsi="Arial"/>
        </w:rPr>
        <w:t xml:space="preserve">outh vaping- addressing safety concerns with </w:t>
      </w:r>
      <w:r w:rsidR="00FF61B5">
        <w:rPr>
          <w:rFonts w:ascii="Arial" w:hAnsi="Arial"/>
        </w:rPr>
        <w:t>single-use</w:t>
      </w:r>
      <w:r w:rsidR="00A23E54" w:rsidRPr="00D3424D">
        <w:rPr>
          <w:rFonts w:ascii="Arial" w:hAnsi="Arial"/>
        </w:rPr>
        <w:t xml:space="preserve"> products</w:t>
      </w:r>
    </w:p>
    <w:p w14:paraId="3A93E87E" w14:textId="43CA7598" w:rsidR="00A23E54" w:rsidRPr="00D3424D" w:rsidRDefault="003817B8" w:rsidP="00131678">
      <w:pPr>
        <w:pStyle w:val="ReportBody-MOH"/>
        <w:numPr>
          <w:ilvl w:val="0"/>
          <w:numId w:val="9"/>
        </w:numPr>
        <w:ind w:left="426" w:hanging="426"/>
        <w:rPr>
          <w:rFonts w:ascii="Arial" w:hAnsi="Arial"/>
        </w:rPr>
      </w:pPr>
      <w:r w:rsidRPr="00D3424D">
        <w:rPr>
          <w:rFonts w:ascii="Arial" w:hAnsi="Arial"/>
          <w:i/>
          <w:iCs/>
        </w:rPr>
        <w:t xml:space="preserve">Issue </w:t>
      </w:r>
      <w:r w:rsidR="00BC2D95" w:rsidRPr="00D3424D">
        <w:rPr>
          <w:rFonts w:ascii="Arial" w:hAnsi="Arial"/>
          <w:i/>
          <w:iCs/>
        </w:rPr>
        <w:t>8</w:t>
      </w:r>
      <w:r w:rsidRPr="00D3424D">
        <w:rPr>
          <w:rFonts w:ascii="Arial" w:hAnsi="Arial"/>
        </w:rPr>
        <w:t xml:space="preserve">: </w:t>
      </w:r>
      <w:r w:rsidR="00D3424D">
        <w:rPr>
          <w:rFonts w:ascii="Arial" w:hAnsi="Arial"/>
        </w:rPr>
        <w:t>y</w:t>
      </w:r>
      <w:r w:rsidR="00A23E54" w:rsidRPr="00D3424D">
        <w:rPr>
          <w:rFonts w:ascii="Arial" w:hAnsi="Arial"/>
        </w:rPr>
        <w:t>outh vaping</w:t>
      </w:r>
      <w:r w:rsidRPr="00D3424D">
        <w:rPr>
          <w:rFonts w:ascii="Arial" w:hAnsi="Arial"/>
        </w:rPr>
        <w:t>- proximity restrictions</w:t>
      </w:r>
      <w:r w:rsidR="0095448E" w:rsidRPr="00D3424D">
        <w:rPr>
          <w:rFonts w:ascii="Arial" w:hAnsi="Arial"/>
        </w:rPr>
        <w:t>.</w:t>
      </w:r>
    </w:p>
    <w:p w14:paraId="6F2D13FF" w14:textId="33E6C6FE" w:rsidR="00C07FA5" w:rsidRPr="00D301C1" w:rsidRDefault="008321F8" w:rsidP="000963D3">
      <w:pPr>
        <w:pStyle w:val="Heading3"/>
        <w:spacing w:before="120" w:after="120"/>
        <w:rPr>
          <w:lang w:val="en-NZ"/>
        </w:rPr>
      </w:pPr>
      <w:r w:rsidRPr="00A864A5">
        <w:rPr>
          <w:lang w:val="en-NZ"/>
        </w:rPr>
        <w:t xml:space="preserve">What criteria will </w:t>
      </w:r>
      <w:r w:rsidR="007336C9">
        <w:rPr>
          <w:lang w:val="en-NZ"/>
        </w:rPr>
        <w:t>be used</w:t>
      </w:r>
      <w:r w:rsidR="003A6757">
        <w:rPr>
          <w:lang w:val="en-NZ"/>
        </w:rPr>
        <w:t xml:space="preserve"> to</w:t>
      </w:r>
      <w:r w:rsidRPr="00A864A5">
        <w:rPr>
          <w:lang w:val="en-NZ"/>
        </w:rPr>
        <w:t xml:space="preserve"> </w:t>
      </w:r>
      <w:r w:rsidR="003A6757">
        <w:rPr>
          <w:lang w:val="en-NZ"/>
        </w:rPr>
        <w:t>compare</w:t>
      </w:r>
      <w:r w:rsidRPr="00A864A5">
        <w:rPr>
          <w:lang w:val="en-NZ"/>
        </w:rPr>
        <w:t xml:space="preserve"> option</w:t>
      </w:r>
      <w:r w:rsidR="00A51160">
        <w:rPr>
          <w:lang w:val="en-NZ"/>
        </w:rPr>
        <w:t>s</w:t>
      </w:r>
      <w:r w:rsidRPr="00A864A5">
        <w:rPr>
          <w:lang w:val="en-NZ"/>
        </w:rPr>
        <w:t>?</w:t>
      </w:r>
    </w:p>
    <w:p w14:paraId="35F63954" w14:textId="16C19E46" w:rsidR="00002ACC" w:rsidRPr="00457F71" w:rsidRDefault="04EDD466" w:rsidP="0072598C">
      <w:pPr>
        <w:spacing w:after="120" w:line="240" w:lineRule="auto"/>
        <w:rPr>
          <w:lang w:val="en-NZ"/>
        </w:rPr>
      </w:pPr>
      <w:r w:rsidRPr="5FC4B69B">
        <w:rPr>
          <w:lang w:val="en-NZ"/>
        </w:rPr>
        <w:t xml:space="preserve">The </w:t>
      </w:r>
      <w:r w:rsidR="0069D988" w:rsidRPr="5FC4B69B">
        <w:rPr>
          <w:lang w:val="en-NZ"/>
        </w:rPr>
        <w:t xml:space="preserve">criteria used to compare options for </w:t>
      </w:r>
      <w:r w:rsidR="00BC2D95">
        <w:rPr>
          <w:lang w:val="en-NZ"/>
        </w:rPr>
        <w:t>smoked tobacco</w:t>
      </w:r>
      <w:r w:rsidR="00B858D2">
        <w:rPr>
          <w:lang w:val="en-NZ"/>
        </w:rPr>
        <w:t xml:space="preserve"> (issues 1 to 5)</w:t>
      </w:r>
      <w:r w:rsidRPr="5FC4B69B">
        <w:rPr>
          <w:lang w:val="en-NZ"/>
        </w:rPr>
        <w:t xml:space="preserve"> are:</w:t>
      </w:r>
    </w:p>
    <w:p w14:paraId="5A4DE90A" w14:textId="3D6CF00E" w:rsidR="00D301C1" w:rsidRPr="00D3424D" w:rsidRDefault="000D6C25" w:rsidP="00131678">
      <w:pPr>
        <w:pStyle w:val="ReportBody-MOH"/>
        <w:numPr>
          <w:ilvl w:val="0"/>
          <w:numId w:val="9"/>
        </w:numPr>
        <w:ind w:left="426" w:hanging="426"/>
        <w:rPr>
          <w:rFonts w:ascii="Arial" w:hAnsi="Arial"/>
        </w:rPr>
      </w:pPr>
      <w:r w:rsidRPr="00D3424D">
        <w:rPr>
          <w:rFonts w:ascii="Arial" w:hAnsi="Arial"/>
          <w:b/>
          <w:bCs/>
        </w:rPr>
        <w:t>Reduces inequity</w:t>
      </w:r>
      <w:r w:rsidRPr="00D3424D">
        <w:rPr>
          <w:rFonts w:ascii="Arial" w:hAnsi="Arial"/>
        </w:rPr>
        <w:t xml:space="preserve">: will the </w:t>
      </w:r>
      <w:r w:rsidR="0037001F" w:rsidRPr="00D3424D">
        <w:rPr>
          <w:rFonts w:ascii="Arial" w:hAnsi="Arial"/>
        </w:rPr>
        <w:t>option</w:t>
      </w:r>
      <w:r w:rsidRPr="00D3424D">
        <w:rPr>
          <w:rFonts w:ascii="Arial" w:hAnsi="Arial"/>
        </w:rPr>
        <w:t xml:space="preserve"> reduce inequities in smoking rates and smoking related illnesses</w:t>
      </w:r>
      <w:r w:rsidR="00A627F7" w:rsidRPr="00D3424D">
        <w:rPr>
          <w:rFonts w:ascii="Arial" w:hAnsi="Arial"/>
        </w:rPr>
        <w:t>, particularl</w:t>
      </w:r>
      <w:r w:rsidR="00BF2CF2" w:rsidRPr="00D3424D">
        <w:rPr>
          <w:rFonts w:ascii="Arial" w:hAnsi="Arial"/>
        </w:rPr>
        <w:t>y for Māori and Pacific communities</w:t>
      </w:r>
      <w:r w:rsidRPr="00D3424D">
        <w:rPr>
          <w:rFonts w:ascii="Arial" w:hAnsi="Arial"/>
        </w:rPr>
        <w:t>?</w:t>
      </w:r>
    </w:p>
    <w:p w14:paraId="5D87AD88" w14:textId="7AA27F18" w:rsidR="00EE576A" w:rsidRPr="00D3424D" w:rsidRDefault="3AF40FF6" w:rsidP="00131678">
      <w:pPr>
        <w:pStyle w:val="ReportBody-MOH"/>
        <w:numPr>
          <w:ilvl w:val="0"/>
          <w:numId w:val="9"/>
        </w:numPr>
        <w:ind w:left="426" w:hanging="426"/>
        <w:rPr>
          <w:rFonts w:ascii="Arial" w:hAnsi="Arial"/>
        </w:rPr>
      </w:pPr>
      <w:r w:rsidRPr="00D3424D">
        <w:rPr>
          <w:rFonts w:ascii="Arial" w:hAnsi="Arial"/>
          <w:b/>
          <w:bCs/>
        </w:rPr>
        <w:t>Effectiveness</w:t>
      </w:r>
      <w:r w:rsidRPr="00D3424D">
        <w:rPr>
          <w:rFonts w:ascii="Arial" w:hAnsi="Arial"/>
        </w:rPr>
        <w:t xml:space="preserve">: does the option </w:t>
      </w:r>
      <w:r w:rsidR="00F113E2" w:rsidRPr="00D3424D">
        <w:rPr>
          <w:rFonts w:ascii="Arial" w:hAnsi="Arial"/>
        </w:rPr>
        <w:t>support the</w:t>
      </w:r>
      <w:r w:rsidR="00D61DD8">
        <w:rPr>
          <w:rFonts w:ascii="Arial" w:hAnsi="Arial"/>
        </w:rPr>
        <w:t xml:space="preserve"> measure’s</w:t>
      </w:r>
      <w:r w:rsidR="00F113E2" w:rsidRPr="00D3424D">
        <w:rPr>
          <w:rFonts w:ascii="Arial" w:hAnsi="Arial"/>
        </w:rPr>
        <w:t xml:space="preserve"> </w:t>
      </w:r>
      <w:r w:rsidR="005904BC" w:rsidRPr="00D3424D">
        <w:rPr>
          <w:rFonts w:ascii="Arial" w:hAnsi="Arial"/>
        </w:rPr>
        <w:t>objectives (</w:t>
      </w:r>
      <w:r w:rsidR="541D7FBC" w:rsidRPr="00D3424D">
        <w:rPr>
          <w:rFonts w:ascii="Arial" w:hAnsi="Arial"/>
        </w:rPr>
        <w:t>i</w:t>
      </w:r>
      <w:r w:rsidR="53D609F1" w:rsidRPr="00D3424D">
        <w:rPr>
          <w:rFonts w:ascii="Arial" w:hAnsi="Arial"/>
        </w:rPr>
        <w:t>.</w:t>
      </w:r>
      <w:r w:rsidR="63B548B1" w:rsidRPr="00D3424D">
        <w:rPr>
          <w:rFonts w:ascii="Arial" w:hAnsi="Arial"/>
        </w:rPr>
        <w:t>e</w:t>
      </w:r>
      <w:r w:rsidR="4A9D0F33" w:rsidRPr="00D3424D">
        <w:rPr>
          <w:rFonts w:ascii="Arial" w:hAnsi="Arial"/>
        </w:rPr>
        <w:t>.</w:t>
      </w:r>
      <w:r w:rsidR="63B548B1" w:rsidRPr="00D3424D">
        <w:rPr>
          <w:rFonts w:ascii="Arial" w:hAnsi="Arial"/>
        </w:rPr>
        <w:t>,</w:t>
      </w:r>
      <w:r w:rsidR="005904BC" w:rsidRPr="00D3424D">
        <w:rPr>
          <w:rFonts w:ascii="Arial" w:hAnsi="Arial"/>
        </w:rPr>
        <w:t xml:space="preserve"> </w:t>
      </w:r>
      <w:r w:rsidR="00AA342C" w:rsidRPr="00D3424D">
        <w:rPr>
          <w:rFonts w:ascii="Arial" w:hAnsi="Arial"/>
        </w:rPr>
        <w:t>significantly reduce retail availability of smoked tobacco products; prevent young people from ever taking up smoking; reduce the appeal and addictiveness of smoked tobacco products</w:t>
      </w:r>
      <w:r w:rsidR="006F120A" w:rsidRPr="00D3424D">
        <w:rPr>
          <w:rFonts w:ascii="Arial" w:hAnsi="Arial"/>
        </w:rPr>
        <w:t>)</w:t>
      </w:r>
      <w:r w:rsidR="5F80D0CE" w:rsidRPr="00D3424D">
        <w:rPr>
          <w:rFonts w:ascii="Arial" w:hAnsi="Arial"/>
        </w:rPr>
        <w:t xml:space="preserve">? </w:t>
      </w:r>
    </w:p>
    <w:p w14:paraId="7BB9DBE4" w14:textId="4E33ACDC" w:rsidR="000D6C25" w:rsidRPr="00D3424D" w:rsidRDefault="00F33C30" w:rsidP="00131678">
      <w:pPr>
        <w:pStyle w:val="ReportBody-MOH"/>
        <w:numPr>
          <w:ilvl w:val="0"/>
          <w:numId w:val="9"/>
        </w:numPr>
        <w:ind w:left="426" w:hanging="426"/>
        <w:rPr>
          <w:rFonts w:ascii="Arial" w:hAnsi="Arial"/>
        </w:rPr>
      </w:pPr>
      <w:r w:rsidRPr="00D3424D">
        <w:rPr>
          <w:rFonts w:ascii="Arial" w:hAnsi="Arial"/>
          <w:b/>
          <w:bCs/>
        </w:rPr>
        <w:t>C</w:t>
      </w:r>
      <w:r w:rsidR="000D6C25" w:rsidRPr="00D3424D">
        <w:rPr>
          <w:rFonts w:ascii="Arial" w:hAnsi="Arial"/>
          <w:b/>
          <w:bCs/>
        </w:rPr>
        <w:t>ost</w:t>
      </w:r>
      <w:r w:rsidRPr="00D3424D">
        <w:rPr>
          <w:rFonts w:ascii="Arial" w:hAnsi="Arial"/>
          <w:b/>
          <w:bCs/>
        </w:rPr>
        <w:t xml:space="preserve"> and ease</w:t>
      </w:r>
      <w:r w:rsidR="000D6C25" w:rsidRPr="00D3424D">
        <w:rPr>
          <w:rFonts w:ascii="Arial" w:hAnsi="Arial"/>
          <w:b/>
          <w:bCs/>
        </w:rPr>
        <w:t xml:space="preserve"> of implementation</w:t>
      </w:r>
      <w:r w:rsidR="000D6C25" w:rsidRPr="00D3424D">
        <w:rPr>
          <w:rFonts w:ascii="Arial" w:hAnsi="Arial"/>
        </w:rPr>
        <w:t xml:space="preserve">: is the </w:t>
      </w:r>
      <w:r w:rsidR="0037001F" w:rsidRPr="00D3424D">
        <w:rPr>
          <w:rFonts w:ascii="Arial" w:hAnsi="Arial"/>
        </w:rPr>
        <w:t>option</w:t>
      </w:r>
      <w:r w:rsidR="000D6C25" w:rsidRPr="00D3424D">
        <w:rPr>
          <w:rFonts w:ascii="Arial" w:hAnsi="Arial"/>
        </w:rPr>
        <w:t xml:space="preserve"> able to be implemented </w:t>
      </w:r>
      <w:r w:rsidR="00457F71" w:rsidRPr="00D3424D">
        <w:rPr>
          <w:rFonts w:ascii="Arial" w:hAnsi="Arial"/>
        </w:rPr>
        <w:t>by both Government and industry? Is the cost reasonable to Government and industry?</w:t>
      </w:r>
    </w:p>
    <w:p w14:paraId="50F19AC2" w14:textId="7AADD7FF" w:rsidR="00457F71" w:rsidRPr="00D3424D" w:rsidRDefault="782EDC69" w:rsidP="00131678">
      <w:pPr>
        <w:pStyle w:val="ReportBody-MOH"/>
        <w:numPr>
          <w:ilvl w:val="0"/>
          <w:numId w:val="9"/>
        </w:numPr>
        <w:ind w:left="426" w:hanging="426"/>
        <w:rPr>
          <w:rFonts w:ascii="Arial" w:hAnsi="Arial"/>
        </w:rPr>
      </w:pPr>
      <w:r w:rsidRPr="00D3424D">
        <w:rPr>
          <w:rFonts w:ascii="Arial" w:hAnsi="Arial"/>
          <w:b/>
          <w:bCs/>
        </w:rPr>
        <w:t xml:space="preserve">Clear and workable for </w:t>
      </w:r>
      <w:r w:rsidR="12751908" w:rsidRPr="00D3424D">
        <w:rPr>
          <w:rFonts w:ascii="Arial" w:hAnsi="Arial"/>
          <w:b/>
          <w:bCs/>
        </w:rPr>
        <w:t>Aotearoa</w:t>
      </w:r>
      <w:r w:rsidRPr="00D3424D">
        <w:rPr>
          <w:rFonts w:ascii="Arial" w:hAnsi="Arial"/>
        </w:rPr>
        <w:t>: are New Zealanders</w:t>
      </w:r>
      <w:r w:rsidR="36FFC9DA" w:rsidRPr="00D3424D">
        <w:rPr>
          <w:rFonts w:ascii="Arial" w:hAnsi="Arial"/>
        </w:rPr>
        <w:t>,</w:t>
      </w:r>
      <w:r w:rsidR="2ED82E8F" w:rsidRPr="00D3424D">
        <w:rPr>
          <w:rFonts w:ascii="Arial" w:hAnsi="Arial"/>
        </w:rPr>
        <w:t xml:space="preserve"> including </w:t>
      </w:r>
      <w:r w:rsidR="755D74CF" w:rsidRPr="00D3424D">
        <w:rPr>
          <w:rFonts w:ascii="Arial" w:hAnsi="Arial"/>
        </w:rPr>
        <w:t>people</w:t>
      </w:r>
      <w:r w:rsidR="2ED82E8F" w:rsidRPr="00D3424D">
        <w:rPr>
          <w:rFonts w:ascii="Arial" w:hAnsi="Arial"/>
        </w:rPr>
        <w:t xml:space="preserve"> who smoke and their </w:t>
      </w:r>
      <w:r w:rsidR="1DC435E6" w:rsidRPr="00D3424D">
        <w:rPr>
          <w:rFonts w:ascii="Arial" w:hAnsi="Arial"/>
        </w:rPr>
        <w:t>whānau</w:t>
      </w:r>
      <w:r w:rsidR="2ED82E8F" w:rsidRPr="00D3424D">
        <w:rPr>
          <w:rFonts w:ascii="Arial" w:hAnsi="Arial"/>
        </w:rPr>
        <w:t xml:space="preserve">, and regulated parties, </w:t>
      </w:r>
      <w:r w:rsidRPr="00D3424D">
        <w:rPr>
          <w:rFonts w:ascii="Arial" w:hAnsi="Arial"/>
        </w:rPr>
        <w:t>likely to understand</w:t>
      </w:r>
      <w:r w:rsidR="2ED82E8F" w:rsidRPr="00D3424D">
        <w:rPr>
          <w:rFonts w:ascii="Arial" w:hAnsi="Arial"/>
        </w:rPr>
        <w:t xml:space="preserve"> or</w:t>
      </w:r>
      <w:r w:rsidRPr="00D3424D">
        <w:rPr>
          <w:rFonts w:ascii="Arial" w:hAnsi="Arial"/>
        </w:rPr>
        <w:t xml:space="preserve"> support the intentions, implementation, and enforcement of the </w:t>
      </w:r>
      <w:r w:rsidR="0037001F" w:rsidRPr="00D3424D">
        <w:rPr>
          <w:rFonts w:ascii="Arial" w:hAnsi="Arial"/>
        </w:rPr>
        <w:t>option</w:t>
      </w:r>
      <w:r w:rsidRPr="00D3424D">
        <w:rPr>
          <w:rFonts w:ascii="Arial" w:hAnsi="Arial"/>
        </w:rPr>
        <w:t>?</w:t>
      </w:r>
    </w:p>
    <w:p w14:paraId="1481E05A" w14:textId="0BA84C75" w:rsidR="003C4CC9" w:rsidRPr="00D3424D" w:rsidRDefault="04EDD466" w:rsidP="0072598C">
      <w:pPr>
        <w:spacing w:after="120" w:line="240" w:lineRule="auto"/>
        <w:rPr>
          <w:rFonts w:cs="Arial"/>
        </w:rPr>
      </w:pPr>
      <w:r w:rsidRPr="00D3424D">
        <w:rPr>
          <w:rFonts w:cs="Arial"/>
          <w:lang w:val="en-NZ"/>
        </w:rPr>
        <w:t xml:space="preserve">The </w:t>
      </w:r>
      <w:r w:rsidR="7C5A2317" w:rsidRPr="00D3424D">
        <w:rPr>
          <w:rFonts w:cs="Arial"/>
        </w:rPr>
        <w:t xml:space="preserve">criteria used to compare options for </w:t>
      </w:r>
      <w:r w:rsidR="00B858D2" w:rsidRPr="00D3424D">
        <w:rPr>
          <w:rFonts w:cs="Arial"/>
        </w:rPr>
        <w:t>you</w:t>
      </w:r>
      <w:r w:rsidR="00D742F1" w:rsidRPr="00D3424D">
        <w:rPr>
          <w:rFonts w:cs="Arial"/>
        </w:rPr>
        <w:t>th vaping (</w:t>
      </w:r>
      <w:r w:rsidR="7C5A2317" w:rsidRPr="00D3424D">
        <w:rPr>
          <w:rFonts w:cs="Arial"/>
        </w:rPr>
        <w:t xml:space="preserve">issues </w:t>
      </w:r>
      <w:r w:rsidR="1AD54875" w:rsidRPr="00D3424D">
        <w:rPr>
          <w:rFonts w:cs="Arial"/>
        </w:rPr>
        <w:t>6</w:t>
      </w:r>
      <w:r w:rsidR="00D742F1" w:rsidRPr="00D3424D">
        <w:rPr>
          <w:rFonts w:cs="Arial"/>
        </w:rPr>
        <w:t xml:space="preserve"> to </w:t>
      </w:r>
      <w:r w:rsidR="54D0590A" w:rsidRPr="00D3424D">
        <w:rPr>
          <w:rFonts w:cs="Arial"/>
        </w:rPr>
        <w:t>8</w:t>
      </w:r>
      <w:r w:rsidR="00D742F1" w:rsidRPr="00D3424D">
        <w:rPr>
          <w:rFonts w:cs="Arial"/>
        </w:rPr>
        <w:t>)</w:t>
      </w:r>
      <w:r w:rsidR="7C5A2317" w:rsidRPr="00D3424D">
        <w:rPr>
          <w:rFonts w:cs="Arial"/>
        </w:rPr>
        <w:t xml:space="preserve"> are:</w:t>
      </w:r>
    </w:p>
    <w:p w14:paraId="11E18CD1" w14:textId="47F95CC3" w:rsidR="004D5A84" w:rsidRPr="00D3424D" w:rsidRDefault="00F24015" w:rsidP="00131678">
      <w:pPr>
        <w:pStyle w:val="ReportBody-MOH"/>
        <w:numPr>
          <w:ilvl w:val="0"/>
          <w:numId w:val="9"/>
        </w:numPr>
        <w:ind w:left="426" w:hanging="426"/>
        <w:rPr>
          <w:rFonts w:ascii="Arial" w:hAnsi="Arial"/>
        </w:rPr>
      </w:pPr>
      <w:r w:rsidRPr="00D3424D">
        <w:rPr>
          <w:rFonts w:ascii="Arial" w:hAnsi="Arial"/>
          <w:b/>
          <w:bCs/>
        </w:rPr>
        <w:t>Reduces ine</w:t>
      </w:r>
      <w:r w:rsidR="004D5A84" w:rsidRPr="00D3424D">
        <w:rPr>
          <w:rFonts w:ascii="Arial" w:hAnsi="Arial"/>
          <w:b/>
          <w:bCs/>
        </w:rPr>
        <w:t>quity</w:t>
      </w:r>
      <w:r w:rsidR="004D5A84" w:rsidRPr="00D3424D">
        <w:rPr>
          <w:rFonts w:ascii="Arial" w:hAnsi="Arial"/>
        </w:rPr>
        <w:t xml:space="preserve">: will the </w:t>
      </w:r>
      <w:r w:rsidR="0037001F" w:rsidRPr="00D3424D">
        <w:rPr>
          <w:rFonts w:ascii="Arial" w:hAnsi="Arial"/>
        </w:rPr>
        <w:t>option</w:t>
      </w:r>
      <w:r w:rsidR="004D5A84" w:rsidRPr="00D3424D">
        <w:rPr>
          <w:rFonts w:ascii="Arial" w:hAnsi="Arial"/>
        </w:rPr>
        <w:t xml:space="preserve"> reduce inequities in vaping rates</w:t>
      </w:r>
      <w:r w:rsidR="00BF2CF2" w:rsidRPr="00D3424D">
        <w:rPr>
          <w:rFonts w:ascii="Arial" w:hAnsi="Arial"/>
        </w:rPr>
        <w:t>, particularly for Māori and Pacific communities</w:t>
      </w:r>
      <w:r w:rsidR="004D5A84" w:rsidRPr="00D3424D">
        <w:rPr>
          <w:rFonts w:ascii="Arial" w:hAnsi="Arial"/>
        </w:rPr>
        <w:t>?</w:t>
      </w:r>
    </w:p>
    <w:p w14:paraId="381EF128" w14:textId="45B84987" w:rsidR="000D3679" w:rsidRPr="00D3424D" w:rsidRDefault="75D41F04" w:rsidP="00131678">
      <w:pPr>
        <w:pStyle w:val="ReportBody-MOH"/>
        <w:numPr>
          <w:ilvl w:val="0"/>
          <w:numId w:val="9"/>
        </w:numPr>
        <w:ind w:left="426" w:hanging="426"/>
        <w:rPr>
          <w:rFonts w:ascii="Arial" w:hAnsi="Arial"/>
        </w:rPr>
      </w:pPr>
      <w:r w:rsidRPr="00D3424D">
        <w:rPr>
          <w:rFonts w:ascii="Arial" w:hAnsi="Arial"/>
          <w:b/>
          <w:bCs/>
        </w:rPr>
        <w:t>Effectiveness</w:t>
      </w:r>
      <w:r w:rsidRPr="00D3424D">
        <w:rPr>
          <w:rFonts w:ascii="Arial" w:hAnsi="Arial"/>
        </w:rPr>
        <w:t xml:space="preserve">: </w:t>
      </w:r>
      <w:r w:rsidR="001E379B" w:rsidRPr="00D3424D">
        <w:rPr>
          <w:rFonts w:ascii="Arial" w:hAnsi="Arial"/>
        </w:rPr>
        <w:t>will</w:t>
      </w:r>
      <w:r w:rsidR="0037001F" w:rsidRPr="00D3424D">
        <w:rPr>
          <w:rFonts w:ascii="Arial" w:hAnsi="Arial"/>
        </w:rPr>
        <w:t xml:space="preserve"> the option </w:t>
      </w:r>
      <w:r w:rsidR="0012796D">
        <w:rPr>
          <w:rFonts w:ascii="Arial" w:hAnsi="Arial"/>
        </w:rPr>
        <w:t xml:space="preserve">support the objectives of </w:t>
      </w:r>
      <w:r w:rsidR="005E3BD3" w:rsidRPr="00D3424D">
        <w:rPr>
          <w:rFonts w:ascii="Arial" w:hAnsi="Arial"/>
        </w:rPr>
        <w:t>shift</w:t>
      </w:r>
      <w:r w:rsidR="0012796D">
        <w:rPr>
          <w:rFonts w:ascii="Arial" w:hAnsi="Arial"/>
        </w:rPr>
        <w:t>ing</w:t>
      </w:r>
      <w:r w:rsidR="005E3BD3" w:rsidRPr="00D3424D">
        <w:rPr>
          <w:rFonts w:ascii="Arial" w:hAnsi="Arial"/>
        </w:rPr>
        <w:t xml:space="preserve"> the balance towards better protecting young people </w:t>
      </w:r>
      <w:r w:rsidR="00160519" w:rsidRPr="00D3424D">
        <w:rPr>
          <w:rFonts w:ascii="Arial" w:hAnsi="Arial"/>
        </w:rPr>
        <w:t xml:space="preserve">from </w:t>
      </w:r>
      <w:r w:rsidR="00C95565" w:rsidRPr="00D3424D">
        <w:rPr>
          <w:rFonts w:ascii="Arial" w:hAnsi="Arial"/>
        </w:rPr>
        <w:t>the</w:t>
      </w:r>
      <w:r w:rsidR="00160519" w:rsidRPr="00D3424D">
        <w:rPr>
          <w:rFonts w:ascii="Arial" w:hAnsi="Arial"/>
        </w:rPr>
        <w:t xml:space="preserve"> risks associated with vaping</w:t>
      </w:r>
      <w:r w:rsidR="004756EB" w:rsidRPr="00D3424D">
        <w:rPr>
          <w:rFonts w:ascii="Arial" w:hAnsi="Arial"/>
        </w:rPr>
        <w:t xml:space="preserve"> </w:t>
      </w:r>
      <w:r w:rsidR="00481AEE" w:rsidRPr="00D3424D">
        <w:rPr>
          <w:rFonts w:ascii="Arial" w:hAnsi="Arial"/>
        </w:rPr>
        <w:t>(</w:t>
      </w:r>
      <w:r w:rsidR="00C8184F" w:rsidRPr="00D3424D">
        <w:rPr>
          <w:rFonts w:ascii="Arial" w:hAnsi="Arial"/>
        </w:rPr>
        <w:t xml:space="preserve">by </w:t>
      </w:r>
      <w:r w:rsidR="00CB35F6">
        <w:rPr>
          <w:rFonts w:ascii="Arial" w:hAnsi="Arial"/>
        </w:rPr>
        <w:t xml:space="preserve">improving their safety and </w:t>
      </w:r>
      <w:r w:rsidR="00C8184F" w:rsidRPr="00D3424D">
        <w:rPr>
          <w:rFonts w:ascii="Arial" w:hAnsi="Arial"/>
        </w:rPr>
        <w:t xml:space="preserve">reducing </w:t>
      </w:r>
      <w:r w:rsidR="00C95565" w:rsidRPr="00D3424D">
        <w:rPr>
          <w:rFonts w:ascii="Arial" w:hAnsi="Arial"/>
        </w:rPr>
        <w:t>their appeal and addictiveness),</w:t>
      </w:r>
      <w:r w:rsidR="00C8184F" w:rsidRPr="00D3424D">
        <w:rPr>
          <w:rFonts w:ascii="Arial" w:hAnsi="Arial"/>
        </w:rPr>
        <w:t xml:space="preserve"> </w:t>
      </w:r>
      <w:r w:rsidR="266D4FE8" w:rsidRPr="00D3424D">
        <w:rPr>
          <w:rFonts w:ascii="Arial" w:hAnsi="Arial"/>
        </w:rPr>
        <w:t>while maintaining access for adults seeking to quit smoking</w:t>
      </w:r>
      <w:r w:rsidR="7DE1BD16" w:rsidRPr="00D3424D">
        <w:rPr>
          <w:rFonts w:ascii="Arial" w:hAnsi="Arial"/>
        </w:rPr>
        <w:t>?</w:t>
      </w:r>
    </w:p>
    <w:p w14:paraId="7570DCA2" w14:textId="3358F27B" w:rsidR="00594751" w:rsidRPr="00D3424D" w:rsidRDefault="00D133BB" w:rsidP="00131678">
      <w:pPr>
        <w:pStyle w:val="ReportBody-MOH"/>
        <w:numPr>
          <w:ilvl w:val="0"/>
          <w:numId w:val="9"/>
        </w:numPr>
        <w:ind w:left="426" w:hanging="426"/>
        <w:rPr>
          <w:rFonts w:ascii="Arial" w:hAnsi="Arial"/>
        </w:rPr>
      </w:pPr>
      <w:r w:rsidRPr="00D3424D">
        <w:rPr>
          <w:rFonts w:ascii="Arial" w:hAnsi="Arial"/>
          <w:b/>
          <w:bCs/>
        </w:rPr>
        <w:t xml:space="preserve">Cost and ease </w:t>
      </w:r>
      <w:r w:rsidR="00594751" w:rsidRPr="00D3424D">
        <w:rPr>
          <w:rFonts w:ascii="Arial" w:hAnsi="Arial"/>
          <w:b/>
          <w:bCs/>
        </w:rPr>
        <w:t>of implementation</w:t>
      </w:r>
      <w:r w:rsidR="00594751" w:rsidRPr="00D3424D">
        <w:rPr>
          <w:rFonts w:ascii="Arial" w:hAnsi="Arial"/>
        </w:rPr>
        <w:t>: is the policy able to be implemented with</w:t>
      </w:r>
      <w:r w:rsidR="19222BD4" w:rsidRPr="00D3424D">
        <w:rPr>
          <w:rFonts w:ascii="Arial" w:hAnsi="Arial"/>
        </w:rPr>
        <w:t>in</w:t>
      </w:r>
      <w:r w:rsidR="00594751" w:rsidRPr="00D3424D">
        <w:rPr>
          <w:rFonts w:ascii="Arial" w:hAnsi="Arial"/>
        </w:rPr>
        <w:t xml:space="preserve"> the likely available budget and the necessary timeframe?</w:t>
      </w:r>
      <w:r w:rsidR="0D41E8E8" w:rsidRPr="00D3424D">
        <w:rPr>
          <w:rFonts w:ascii="Arial" w:hAnsi="Arial"/>
        </w:rPr>
        <w:t xml:space="preserve"> Is the cost reasonable to Government and industry?</w:t>
      </w:r>
    </w:p>
    <w:p w14:paraId="3252D892" w14:textId="6EAB8221" w:rsidR="00E52B84" w:rsidRPr="00A73B4C" w:rsidRDefault="007D78A1" w:rsidP="006D02A7">
      <w:pPr>
        <w:pStyle w:val="Heading3"/>
        <w:spacing w:before="120" w:after="120"/>
        <w:rPr>
          <w:lang w:val="en-NZ"/>
        </w:rPr>
      </w:pPr>
      <w:r w:rsidRPr="5674EBEA">
        <w:rPr>
          <w:lang w:val="en-NZ"/>
        </w:rPr>
        <w:t xml:space="preserve">What scope </w:t>
      </w:r>
      <w:r w:rsidR="003A6757" w:rsidRPr="5674EBEA">
        <w:rPr>
          <w:lang w:val="en-NZ"/>
        </w:rPr>
        <w:t>will</w:t>
      </w:r>
      <w:r w:rsidRPr="5674EBEA">
        <w:rPr>
          <w:lang w:val="en-NZ"/>
        </w:rPr>
        <w:t xml:space="preserve"> </w:t>
      </w:r>
      <w:r w:rsidR="007336C9" w:rsidRPr="5674EBEA">
        <w:rPr>
          <w:lang w:val="en-NZ"/>
        </w:rPr>
        <w:t>options be considered</w:t>
      </w:r>
      <w:r w:rsidRPr="5674EBEA">
        <w:rPr>
          <w:lang w:val="en-NZ"/>
        </w:rPr>
        <w:t xml:space="preserve"> within?</w:t>
      </w:r>
    </w:p>
    <w:p w14:paraId="3BD05459" w14:textId="721E07F1" w:rsidR="0077056B" w:rsidRPr="00D3424D" w:rsidRDefault="49B80980" w:rsidP="5674EBEA">
      <w:pPr>
        <w:spacing w:after="120" w:line="240" w:lineRule="auto"/>
        <w:rPr>
          <w:rFonts w:cs="Arial"/>
          <w:lang w:eastAsia="en-AU"/>
        </w:rPr>
      </w:pPr>
      <w:r w:rsidRPr="00D3424D">
        <w:rPr>
          <w:rFonts w:cs="Arial"/>
          <w:lang w:eastAsia="en-AU"/>
        </w:rPr>
        <w:t xml:space="preserve">Options are restricted to what can be achieved through the regulation-making powers of the </w:t>
      </w:r>
      <w:r w:rsidR="00267FAD">
        <w:rPr>
          <w:rFonts w:cs="Arial"/>
          <w:lang w:eastAsia="en-AU"/>
        </w:rPr>
        <w:t xml:space="preserve">Smokefree </w:t>
      </w:r>
      <w:r w:rsidRPr="00D3424D">
        <w:rPr>
          <w:rFonts w:cs="Arial"/>
          <w:lang w:eastAsia="en-AU"/>
        </w:rPr>
        <w:t>Act.</w:t>
      </w:r>
      <w:r w:rsidRPr="00D3424D">
        <w:rPr>
          <w:rFonts w:cs="Arial"/>
          <w:lang w:val="en-NZ"/>
        </w:rPr>
        <w:t xml:space="preserve"> </w:t>
      </w:r>
    </w:p>
    <w:p w14:paraId="44E40246" w14:textId="530F37CB" w:rsidR="0077056B" w:rsidRPr="00D3424D" w:rsidRDefault="007B7DF7" w:rsidP="0072598C">
      <w:pPr>
        <w:spacing w:after="120" w:line="240" w:lineRule="auto"/>
        <w:rPr>
          <w:rFonts w:cs="Arial"/>
          <w:lang w:val="en-NZ"/>
        </w:rPr>
      </w:pPr>
      <w:r w:rsidRPr="00D3424D">
        <w:rPr>
          <w:rFonts w:cs="Arial"/>
          <w:lang w:val="en-NZ"/>
        </w:rPr>
        <w:t xml:space="preserve">Cabinet agreed at the end of December 2022 to consult on the following </w:t>
      </w:r>
      <w:r w:rsidR="00FF2BFC" w:rsidRPr="00D3424D">
        <w:rPr>
          <w:rFonts w:cs="Arial"/>
          <w:lang w:val="en-NZ"/>
        </w:rPr>
        <w:t xml:space="preserve">proposals </w:t>
      </w:r>
      <w:r w:rsidR="003915DD" w:rsidRPr="00D3424D">
        <w:rPr>
          <w:rFonts w:cs="Arial"/>
          <w:lang w:val="en-NZ"/>
        </w:rPr>
        <w:t xml:space="preserve">needed to establish the Smoked Tobacco Regulatory </w:t>
      </w:r>
      <w:r w:rsidR="00400D5C" w:rsidRPr="00D3424D">
        <w:rPr>
          <w:rFonts w:cs="Arial"/>
          <w:lang w:val="en-NZ"/>
        </w:rPr>
        <w:t>Regime</w:t>
      </w:r>
      <w:r w:rsidR="0077056B" w:rsidRPr="00D3424D">
        <w:rPr>
          <w:rFonts w:cs="Arial"/>
          <w:lang w:val="en-NZ"/>
        </w:rPr>
        <w:t>:</w:t>
      </w:r>
    </w:p>
    <w:p w14:paraId="487EE8A9" w14:textId="48FFAE0A" w:rsidR="0077056B" w:rsidRPr="00D3424D" w:rsidRDefault="00DB53D2" w:rsidP="00131678">
      <w:pPr>
        <w:pStyle w:val="ReportBody-MOH"/>
        <w:numPr>
          <w:ilvl w:val="0"/>
          <w:numId w:val="9"/>
        </w:numPr>
        <w:ind w:left="426" w:hanging="426"/>
        <w:rPr>
          <w:rFonts w:ascii="Arial" w:hAnsi="Arial"/>
        </w:rPr>
      </w:pPr>
      <w:r w:rsidRPr="00D3424D">
        <w:rPr>
          <w:rFonts w:ascii="Arial" w:hAnsi="Arial"/>
        </w:rPr>
        <w:t>the smoked tobacco</w:t>
      </w:r>
      <w:r w:rsidR="0077056B" w:rsidRPr="00D3424D">
        <w:rPr>
          <w:rFonts w:ascii="Arial" w:hAnsi="Arial"/>
        </w:rPr>
        <w:t xml:space="preserve"> r</w:t>
      </w:r>
      <w:r w:rsidR="00753461" w:rsidRPr="00D3424D">
        <w:rPr>
          <w:rFonts w:ascii="Arial" w:hAnsi="Arial"/>
        </w:rPr>
        <w:t>etail</w:t>
      </w:r>
      <w:r w:rsidR="0077056B" w:rsidRPr="00D3424D">
        <w:rPr>
          <w:rFonts w:ascii="Arial" w:hAnsi="Arial"/>
        </w:rPr>
        <w:t xml:space="preserve"> scheme</w:t>
      </w:r>
    </w:p>
    <w:p w14:paraId="64122481" w14:textId="0C5D1AD6" w:rsidR="00B76BD9" w:rsidRPr="00D3424D" w:rsidRDefault="0077056B" w:rsidP="00131678">
      <w:pPr>
        <w:pStyle w:val="ReportBody-MOH"/>
        <w:numPr>
          <w:ilvl w:val="0"/>
          <w:numId w:val="9"/>
        </w:numPr>
        <w:ind w:left="426" w:hanging="426"/>
        <w:rPr>
          <w:rFonts w:ascii="Arial" w:hAnsi="Arial"/>
        </w:rPr>
      </w:pPr>
      <w:r w:rsidRPr="00D3424D">
        <w:rPr>
          <w:rFonts w:ascii="Arial" w:hAnsi="Arial"/>
        </w:rPr>
        <w:t>testing requirements</w:t>
      </w:r>
      <w:r w:rsidR="0050609A" w:rsidRPr="00D3424D">
        <w:rPr>
          <w:rFonts w:ascii="Arial" w:hAnsi="Arial"/>
        </w:rPr>
        <w:t xml:space="preserve"> and approval processes</w:t>
      </w:r>
      <w:r w:rsidR="00592569" w:rsidRPr="00D3424D">
        <w:rPr>
          <w:rFonts w:ascii="Arial" w:hAnsi="Arial"/>
        </w:rPr>
        <w:t xml:space="preserve"> for low nicotine products</w:t>
      </w:r>
    </w:p>
    <w:p w14:paraId="508F026C" w14:textId="0C5D1AD6" w:rsidR="00BF6F52" w:rsidRPr="00D3424D" w:rsidRDefault="5E177742" w:rsidP="00131678">
      <w:pPr>
        <w:pStyle w:val="ReportBody-MOH"/>
        <w:numPr>
          <w:ilvl w:val="0"/>
          <w:numId w:val="9"/>
        </w:numPr>
        <w:ind w:left="426" w:hanging="426"/>
        <w:rPr>
          <w:rFonts w:ascii="Arial" w:hAnsi="Arial"/>
        </w:rPr>
      </w:pPr>
      <w:r w:rsidRPr="00D3424D">
        <w:rPr>
          <w:rFonts w:ascii="Arial" w:hAnsi="Arial"/>
        </w:rPr>
        <w:t>new notification requirements for distributors and retailers</w:t>
      </w:r>
    </w:p>
    <w:p w14:paraId="152ADBB4" w14:textId="4DA516D3" w:rsidR="00B76BD9" w:rsidRPr="00D3424D" w:rsidRDefault="0058068A" w:rsidP="00131678">
      <w:pPr>
        <w:pStyle w:val="ReportBody-MOH"/>
        <w:numPr>
          <w:ilvl w:val="0"/>
          <w:numId w:val="9"/>
        </w:numPr>
        <w:ind w:left="426" w:hanging="426"/>
        <w:rPr>
          <w:rFonts w:ascii="Arial" w:hAnsi="Arial"/>
        </w:rPr>
      </w:pPr>
      <w:r w:rsidRPr="00D3424D">
        <w:rPr>
          <w:rFonts w:ascii="Arial" w:hAnsi="Arial"/>
        </w:rPr>
        <w:t>f</w:t>
      </w:r>
      <w:r w:rsidR="00B76BD9" w:rsidRPr="00D3424D">
        <w:rPr>
          <w:rFonts w:ascii="Arial" w:hAnsi="Arial"/>
        </w:rPr>
        <w:t>ees</w:t>
      </w:r>
      <w:r w:rsidRPr="00D3424D">
        <w:rPr>
          <w:rFonts w:ascii="Arial" w:hAnsi="Arial"/>
        </w:rPr>
        <w:t xml:space="preserve"> </w:t>
      </w:r>
      <w:r w:rsidR="00400D5C" w:rsidRPr="00D3424D">
        <w:rPr>
          <w:rFonts w:ascii="Arial" w:hAnsi="Arial"/>
        </w:rPr>
        <w:t xml:space="preserve">to enable the </w:t>
      </w:r>
      <w:r w:rsidR="00CE4C59" w:rsidRPr="00D3424D">
        <w:rPr>
          <w:rFonts w:ascii="Arial" w:hAnsi="Arial"/>
        </w:rPr>
        <w:t>regime to be cost recovered</w:t>
      </w:r>
    </w:p>
    <w:p w14:paraId="22A2930F" w14:textId="0CCA8390" w:rsidR="00D86A39" w:rsidRPr="00D3424D" w:rsidRDefault="007C6E8A" w:rsidP="006C792E">
      <w:pPr>
        <w:pStyle w:val="ReportBody-MOH"/>
        <w:numPr>
          <w:ilvl w:val="0"/>
          <w:numId w:val="0"/>
        </w:numPr>
        <w:rPr>
          <w:rFonts w:ascii="Arial" w:hAnsi="Arial"/>
        </w:rPr>
      </w:pPr>
      <w:r>
        <w:rPr>
          <w:rFonts w:ascii="Arial" w:hAnsi="Arial"/>
        </w:rPr>
        <w:t xml:space="preserve">Cabinet also agreed to consult </w:t>
      </w:r>
      <w:r w:rsidR="004B7484">
        <w:rPr>
          <w:rFonts w:ascii="Arial" w:hAnsi="Arial"/>
        </w:rPr>
        <w:t>on tightening</w:t>
      </w:r>
      <w:r w:rsidR="004B7484" w:rsidRPr="00D3424D">
        <w:rPr>
          <w:rFonts w:ascii="Arial" w:hAnsi="Arial"/>
        </w:rPr>
        <w:t xml:space="preserve"> </w:t>
      </w:r>
      <w:r w:rsidR="003E43AB" w:rsidRPr="00D3424D">
        <w:rPr>
          <w:rFonts w:ascii="Arial" w:hAnsi="Arial"/>
        </w:rPr>
        <w:t xml:space="preserve">vaping </w:t>
      </w:r>
      <w:r w:rsidR="00A36934" w:rsidRPr="00D3424D">
        <w:rPr>
          <w:rFonts w:ascii="Arial" w:hAnsi="Arial"/>
        </w:rPr>
        <w:t>restrictions</w:t>
      </w:r>
      <w:r w:rsidR="002C0DF3">
        <w:rPr>
          <w:rFonts w:ascii="Arial" w:hAnsi="Arial"/>
        </w:rPr>
        <w:t>.</w:t>
      </w:r>
      <w:r w:rsidR="0096362E" w:rsidRPr="00D3424D">
        <w:rPr>
          <w:rFonts w:ascii="Arial" w:hAnsi="Arial"/>
        </w:rPr>
        <w:t xml:space="preserve"> </w:t>
      </w:r>
    </w:p>
    <w:p w14:paraId="1CD6F5CA" w14:textId="432935D2" w:rsidR="00864712" w:rsidRPr="0058769A" w:rsidRDefault="00022B07" w:rsidP="000963D3">
      <w:pPr>
        <w:pStyle w:val="Heading3"/>
        <w:spacing w:before="120" w:after="120"/>
        <w:rPr>
          <w:lang w:val="en-NZ"/>
        </w:rPr>
      </w:pPr>
      <w:r>
        <w:rPr>
          <w:lang w:val="en-NZ"/>
        </w:rPr>
        <w:t>What issues and options are o</w:t>
      </w:r>
      <w:r w:rsidR="0058769A" w:rsidRPr="0058769A">
        <w:rPr>
          <w:lang w:val="en-NZ"/>
        </w:rPr>
        <w:t>ut of Scope</w:t>
      </w:r>
      <w:r>
        <w:rPr>
          <w:lang w:val="en-NZ"/>
        </w:rPr>
        <w:t>?</w:t>
      </w:r>
    </w:p>
    <w:p w14:paraId="7BB3624D" w14:textId="511F743B" w:rsidR="00FA16BF" w:rsidRPr="00D3424D" w:rsidRDefault="006426DB" w:rsidP="0072598C">
      <w:pPr>
        <w:rPr>
          <w:rFonts w:cs="Arial"/>
          <w:lang w:val="en-NZ"/>
        </w:rPr>
      </w:pPr>
      <w:r w:rsidRPr="00D3424D">
        <w:rPr>
          <w:rFonts w:cs="Arial"/>
          <w:lang w:val="en-NZ"/>
        </w:rPr>
        <w:t xml:space="preserve">The following </w:t>
      </w:r>
      <w:r w:rsidR="00FD20A6" w:rsidRPr="00D3424D">
        <w:rPr>
          <w:rFonts w:cs="Arial"/>
          <w:lang w:val="en-NZ"/>
        </w:rPr>
        <w:t xml:space="preserve">options </w:t>
      </w:r>
      <w:r w:rsidR="00404A67" w:rsidRPr="00D3424D">
        <w:rPr>
          <w:rFonts w:cs="Arial"/>
          <w:lang w:val="en-NZ"/>
        </w:rPr>
        <w:t>have not been considered:</w:t>
      </w:r>
    </w:p>
    <w:p w14:paraId="6B548AA7" w14:textId="722ECB58" w:rsidR="00404A67" w:rsidRPr="00D3424D" w:rsidRDefault="008516D6" w:rsidP="00131678">
      <w:pPr>
        <w:pStyle w:val="ReportBody-MOH"/>
        <w:numPr>
          <w:ilvl w:val="0"/>
          <w:numId w:val="9"/>
        </w:numPr>
        <w:ind w:left="426" w:hanging="426"/>
        <w:rPr>
          <w:rFonts w:ascii="Arial" w:hAnsi="Arial"/>
        </w:rPr>
      </w:pPr>
      <w:r w:rsidRPr="00D3424D">
        <w:rPr>
          <w:rFonts w:ascii="Arial" w:hAnsi="Arial"/>
        </w:rPr>
        <w:t>t</w:t>
      </w:r>
      <w:r w:rsidR="00E47E94" w:rsidRPr="00D3424D">
        <w:rPr>
          <w:rFonts w:ascii="Arial" w:hAnsi="Arial"/>
        </w:rPr>
        <w:t xml:space="preserve">he allocation and distribution of retail premises across the country. </w:t>
      </w:r>
      <w:r w:rsidR="005C6CC2" w:rsidRPr="00D3424D">
        <w:rPr>
          <w:rFonts w:ascii="Arial" w:hAnsi="Arial"/>
        </w:rPr>
        <w:t xml:space="preserve">As set out in the </w:t>
      </w:r>
      <w:r w:rsidR="00267FAD">
        <w:rPr>
          <w:rFonts w:ascii="Arial" w:hAnsi="Arial"/>
        </w:rPr>
        <w:t xml:space="preserve">Amendment </w:t>
      </w:r>
      <w:r w:rsidR="005C6CC2" w:rsidRPr="00D3424D">
        <w:rPr>
          <w:rFonts w:ascii="Arial" w:hAnsi="Arial"/>
        </w:rPr>
        <w:t xml:space="preserve">Act, the Director-General </w:t>
      </w:r>
      <w:r w:rsidR="00F5296B" w:rsidRPr="00D3424D">
        <w:rPr>
          <w:rFonts w:ascii="Arial" w:hAnsi="Arial"/>
        </w:rPr>
        <w:t>determines</w:t>
      </w:r>
      <w:r w:rsidR="006A5E75" w:rsidRPr="00D3424D">
        <w:rPr>
          <w:rFonts w:ascii="Arial" w:hAnsi="Arial"/>
        </w:rPr>
        <w:t>, by written notice,</w:t>
      </w:r>
      <w:r w:rsidR="00F5296B" w:rsidRPr="00D3424D">
        <w:rPr>
          <w:rFonts w:ascii="Arial" w:hAnsi="Arial"/>
        </w:rPr>
        <w:t xml:space="preserve"> the maximum number of approved premises by area</w:t>
      </w:r>
      <w:r w:rsidR="006A5E75" w:rsidRPr="00D3424D">
        <w:rPr>
          <w:rFonts w:ascii="Arial" w:hAnsi="Arial"/>
        </w:rPr>
        <w:t>. R</w:t>
      </w:r>
      <w:r w:rsidR="00924F49" w:rsidRPr="00D3424D">
        <w:rPr>
          <w:rFonts w:ascii="Arial" w:hAnsi="Arial"/>
        </w:rPr>
        <w:t>egulations are not required</w:t>
      </w:r>
      <w:r w:rsidR="395ECA47" w:rsidRPr="00D3424D">
        <w:rPr>
          <w:rFonts w:ascii="Arial" w:hAnsi="Arial"/>
        </w:rPr>
        <w:t xml:space="preserve"> to achieve this</w:t>
      </w:r>
      <w:r w:rsidR="62F7D233" w:rsidRPr="00D3424D">
        <w:rPr>
          <w:rFonts w:ascii="Arial" w:hAnsi="Arial"/>
        </w:rPr>
        <w:t>.</w:t>
      </w:r>
    </w:p>
    <w:p w14:paraId="036F647F" w14:textId="7C38997A" w:rsidR="5FC4B69B" w:rsidRPr="00D3424D" w:rsidRDefault="0034090D" w:rsidP="00131678">
      <w:pPr>
        <w:pStyle w:val="ReportBody-MOH"/>
        <w:numPr>
          <w:ilvl w:val="0"/>
          <w:numId w:val="9"/>
        </w:numPr>
        <w:ind w:left="426" w:hanging="426"/>
        <w:rPr>
          <w:rFonts w:ascii="Arial" w:hAnsi="Arial"/>
        </w:rPr>
      </w:pPr>
      <w:r w:rsidRPr="00D3424D">
        <w:rPr>
          <w:rFonts w:ascii="Arial" w:hAnsi="Arial"/>
        </w:rPr>
        <w:t>a</w:t>
      </w:r>
      <w:r w:rsidR="6BCC15D4" w:rsidRPr="00D3424D">
        <w:rPr>
          <w:rFonts w:ascii="Arial" w:hAnsi="Arial"/>
        </w:rPr>
        <w:t>ny changes</w:t>
      </w:r>
      <w:r w:rsidR="3FD9D860" w:rsidRPr="00D3424D">
        <w:rPr>
          <w:rFonts w:ascii="Arial" w:hAnsi="Arial"/>
        </w:rPr>
        <w:t>, including</w:t>
      </w:r>
      <w:r w:rsidR="6BCC15D4" w:rsidRPr="00D3424D">
        <w:rPr>
          <w:rFonts w:ascii="Arial" w:hAnsi="Arial"/>
        </w:rPr>
        <w:t xml:space="preserve"> to </w:t>
      </w:r>
      <w:r w:rsidR="038E6A06" w:rsidRPr="00D3424D">
        <w:rPr>
          <w:rFonts w:ascii="Arial" w:hAnsi="Arial"/>
        </w:rPr>
        <w:t>the way vaping products are regulated</w:t>
      </w:r>
      <w:r w:rsidR="4CA9270C" w:rsidRPr="00D3424D">
        <w:rPr>
          <w:rFonts w:ascii="Arial" w:hAnsi="Arial"/>
        </w:rPr>
        <w:t>,</w:t>
      </w:r>
      <w:r w:rsidR="038E6A06" w:rsidRPr="00D3424D">
        <w:rPr>
          <w:rFonts w:ascii="Arial" w:hAnsi="Arial"/>
        </w:rPr>
        <w:t xml:space="preserve"> </w:t>
      </w:r>
      <w:r w:rsidR="1281F0AE" w:rsidRPr="00D3424D">
        <w:rPr>
          <w:rFonts w:ascii="Arial" w:hAnsi="Arial"/>
        </w:rPr>
        <w:t xml:space="preserve">that would require </w:t>
      </w:r>
      <w:r w:rsidR="312EF2DA" w:rsidRPr="00D3424D">
        <w:rPr>
          <w:rFonts w:ascii="Arial" w:hAnsi="Arial"/>
        </w:rPr>
        <w:t xml:space="preserve">a legislative amendment. </w:t>
      </w:r>
    </w:p>
    <w:p w14:paraId="5AF90AAF" w14:textId="283417EB" w:rsidR="007A652F" w:rsidRDefault="00373851" w:rsidP="000963D3">
      <w:pPr>
        <w:pStyle w:val="Heading3"/>
        <w:spacing w:before="120" w:after="120"/>
        <w:rPr>
          <w:lang w:val="en-NZ"/>
        </w:rPr>
      </w:pPr>
      <w:r>
        <w:rPr>
          <w:lang w:val="en-NZ"/>
        </w:rPr>
        <w:t xml:space="preserve">What options </w:t>
      </w:r>
      <w:r w:rsidR="003A6757">
        <w:rPr>
          <w:lang w:val="en-NZ"/>
        </w:rPr>
        <w:t xml:space="preserve">are </w:t>
      </w:r>
      <w:r w:rsidR="007336C9">
        <w:rPr>
          <w:lang w:val="en-NZ"/>
        </w:rPr>
        <w:t>being considered</w:t>
      </w:r>
      <w:r>
        <w:rPr>
          <w:lang w:val="en-NZ"/>
        </w:rPr>
        <w:t>?</w:t>
      </w:r>
    </w:p>
    <w:p w14:paraId="09A0406B" w14:textId="2A8295A7" w:rsidR="007A652F" w:rsidRPr="007A652F" w:rsidRDefault="007A652F" w:rsidP="000963D3">
      <w:pPr>
        <w:pStyle w:val="Heading3"/>
        <w:spacing w:before="120" w:after="120"/>
        <w:rPr>
          <w:rFonts w:ascii="Arial" w:hAnsi="Arial" w:cs="Arial"/>
          <w:color w:val="auto"/>
          <w:lang w:val="en-NZ"/>
        </w:rPr>
      </w:pPr>
      <w:r w:rsidRPr="007A652F">
        <w:rPr>
          <w:rFonts w:ascii="Arial" w:hAnsi="Arial" w:cs="Arial"/>
          <w:color w:val="auto"/>
          <w:lang w:val="en-NZ"/>
        </w:rPr>
        <w:t>Retail Scheme</w:t>
      </w:r>
    </w:p>
    <w:p w14:paraId="298E4E44" w14:textId="030D0BAB" w:rsidR="00501EAE" w:rsidRPr="000923F2" w:rsidRDefault="00B4741A" w:rsidP="00683153">
      <w:pPr>
        <w:pStyle w:val="Heading3"/>
        <w:spacing w:before="120" w:after="120"/>
        <w:rPr>
          <w:lang w:val="en-NZ"/>
        </w:rPr>
      </w:pPr>
      <w:r>
        <w:rPr>
          <w:lang w:val="en-NZ"/>
        </w:rPr>
        <w:t xml:space="preserve">Issue 1 </w:t>
      </w:r>
      <w:r w:rsidR="00385D54">
        <w:rPr>
          <w:lang w:val="en-NZ"/>
        </w:rPr>
        <w:t>–</w:t>
      </w:r>
      <w:r>
        <w:rPr>
          <w:lang w:val="en-NZ"/>
        </w:rPr>
        <w:t xml:space="preserve"> </w:t>
      </w:r>
      <w:r w:rsidR="00385D54">
        <w:rPr>
          <w:lang w:val="en-NZ"/>
        </w:rPr>
        <w:t>Additional requirements</w:t>
      </w:r>
      <w:r w:rsidR="001C1BBC">
        <w:rPr>
          <w:lang w:val="en-NZ"/>
        </w:rPr>
        <w:t xml:space="preserve"> fo</w:t>
      </w:r>
      <w:r w:rsidR="00062FA1">
        <w:rPr>
          <w:lang w:val="en-NZ"/>
        </w:rPr>
        <w:t xml:space="preserve">r </w:t>
      </w:r>
      <w:r w:rsidR="008F4321">
        <w:rPr>
          <w:lang w:val="en-NZ"/>
        </w:rPr>
        <w:t>a</w:t>
      </w:r>
      <w:r w:rsidR="00062FA1">
        <w:rPr>
          <w:lang w:val="en-NZ"/>
        </w:rPr>
        <w:t xml:space="preserve">pproval as a </w:t>
      </w:r>
      <w:r w:rsidR="008F4321">
        <w:rPr>
          <w:lang w:val="en-NZ"/>
        </w:rPr>
        <w:t>s</w:t>
      </w:r>
      <w:r w:rsidR="00062FA1">
        <w:rPr>
          <w:lang w:val="en-NZ"/>
        </w:rPr>
        <w:t xml:space="preserve">moked </w:t>
      </w:r>
      <w:r w:rsidR="008F4321">
        <w:rPr>
          <w:lang w:val="en-NZ"/>
        </w:rPr>
        <w:t>t</w:t>
      </w:r>
      <w:r w:rsidR="00062FA1">
        <w:rPr>
          <w:lang w:val="en-NZ"/>
        </w:rPr>
        <w:t xml:space="preserve">obacco </w:t>
      </w:r>
      <w:r w:rsidR="008F4321">
        <w:rPr>
          <w:lang w:val="en-NZ"/>
        </w:rPr>
        <w:t>r</w:t>
      </w:r>
      <w:r w:rsidR="00062FA1">
        <w:rPr>
          <w:lang w:val="en-NZ"/>
        </w:rPr>
        <w:t>etailer</w:t>
      </w:r>
    </w:p>
    <w:p w14:paraId="5D18C101" w14:textId="5BC6D4C5" w:rsidR="00712050" w:rsidRPr="00FC3ADA" w:rsidRDefault="42D96D10" w:rsidP="0072598C">
      <w:pPr>
        <w:spacing w:after="120" w:line="240" w:lineRule="auto"/>
        <w:rPr>
          <w:lang w:val="en-NZ"/>
        </w:rPr>
      </w:pPr>
      <w:r w:rsidRPr="1273DABA">
        <w:rPr>
          <w:lang w:val="en-NZ"/>
        </w:rPr>
        <w:t>From July 2024, o</w:t>
      </w:r>
      <w:r w:rsidR="5736371F" w:rsidRPr="1273DABA">
        <w:rPr>
          <w:lang w:val="en-NZ"/>
        </w:rPr>
        <w:t>nly</w:t>
      </w:r>
      <w:r w:rsidR="5736371F" w:rsidRPr="6AC747D5">
        <w:rPr>
          <w:lang w:val="en-NZ"/>
        </w:rPr>
        <w:t xml:space="preserve"> approved retailers will be able to </w:t>
      </w:r>
      <w:r w:rsidR="296D7DF8" w:rsidRPr="2C88A40B">
        <w:rPr>
          <w:lang w:val="en-NZ"/>
        </w:rPr>
        <w:t>legally</w:t>
      </w:r>
      <w:r w:rsidR="34755043" w:rsidRPr="09368E04">
        <w:rPr>
          <w:lang w:val="en-NZ"/>
        </w:rPr>
        <w:t xml:space="preserve"> </w:t>
      </w:r>
      <w:r w:rsidR="5736371F" w:rsidRPr="6AC747D5">
        <w:rPr>
          <w:lang w:val="en-NZ"/>
        </w:rPr>
        <w:t>sell smoked tobacco products</w:t>
      </w:r>
      <w:r w:rsidR="65A10E42" w:rsidRPr="1273DABA">
        <w:rPr>
          <w:lang w:val="en-NZ"/>
        </w:rPr>
        <w:t>. Retailers</w:t>
      </w:r>
      <w:r w:rsidR="5736371F" w:rsidRPr="6AC747D5">
        <w:rPr>
          <w:lang w:val="en-NZ"/>
        </w:rPr>
        <w:t xml:space="preserve"> </w:t>
      </w:r>
      <w:r w:rsidR="2F75F517" w:rsidRPr="6AC747D5">
        <w:rPr>
          <w:lang w:val="en-NZ"/>
        </w:rPr>
        <w:t xml:space="preserve">must </w:t>
      </w:r>
      <w:r w:rsidR="5736371F" w:rsidRPr="6AC747D5">
        <w:rPr>
          <w:lang w:val="en-NZ"/>
        </w:rPr>
        <w:t xml:space="preserve">apply to the Director-General </w:t>
      </w:r>
      <w:r w:rsidR="4E2133D0" w:rsidRPr="1273DABA">
        <w:rPr>
          <w:lang w:val="en-NZ"/>
        </w:rPr>
        <w:t>for approval</w:t>
      </w:r>
      <w:r w:rsidR="5736371F" w:rsidRPr="1273DABA">
        <w:rPr>
          <w:lang w:val="en-NZ"/>
        </w:rPr>
        <w:t>.</w:t>
      </w:r>
      <w:r w:rsidR="294BC824" w:rsidRPr="6AC747D5">
        <w:rPr>
          <w:lang w:val="en-NZ"/>
        </w:rPr>
        <w:t xml:space="preserve"> </w:t>
      </w:r>
      <w:r w:rsidR="7B082692" w:rsidRPr="6AC747D5">
        <w:rPr>
          <w:lang w:val="en-NZ"/>
        </w:rPr>
        <w:t xml:space="preserve">The </w:t>
      </w:r>
      <w:r w:rsidR="00267FAD">
        <w:rPr>
          <w:lang w:val="en-NZ"/>
        </w:rPr>
        <w:t xml:space="preserve">Amendment </w:t>
      </w:r>
      <w:r w:rsidR="7B082692" w:rsidRPr="6AC747D5">
        <w:rPr>
          <w:lang w:val="en-NZ"/>
        </w:rPr>
        <w:t>Act sets out the following m</w:t>
      </w:r>
      <w:r w:rsidR="294BC824" w:rsidRPr="6AC747D5">
        <w:rPr>
          <w:lang w:val="en-NZ"/>
        </w:rPr>
        <w:t xml:space="preserve">inimum requirements the </w:t>
      </w:r>
      <w:r w:rsidR="00E127B6" w:rsidRPr="6AC747D5">
        <w:rPr>
          <w:lang w:val="en-NZ"/>
        </w:rPr>
        <w:t>Director-General</w:t>
      </w:r>
      <w:r w:rsidR="294BC824" w:rsidRPr="6AC747D5">
        <w:rPr>
          <w:lang w:val="en-NZ"/>
        </w:rPr>
        <w:t xml:space="preserve"> must consider when deciding </w:t>
      </w:r>
      <w:r w:rsidR="38D70341" w:rsidRPr="1273DABA">
        <w:rPr>
          <w:lang w:val="en-NZ"/>
        </w:rPr>
        <w:t>approval</w:t>
      </w:r>
      <w:r w:rsidR="294BC824" w:rsidRPr="1273DABA">
        <w:rPr>
          <w:lang w:val="en-NZ"/>
        </w:rPr>
        <w:t>s:</w:t>
      </w:r>
    </w:p>
    <w:p w14:paraId="526A7EFC" w14:textId="77777777" w:rsidR="00D718BE" w:rsidRPr="0024644B" w:rsidRDefault="00D718BE" w:rsidP="00131678">
      <w:pPr>
        <w:pStyle w:val="ReportBody-MOH"/>
        <w:numPr>
          <w:ilvl w:val="0"/>
          <w:numId w:val="9"/>
        </w:numPr>
        <w:ind w:left="426" w:hanging="426"/>
        <w:rPr>
          <w:rFonts w:ascii="Arial" w:hAnsi="Arial"/>
        </w:rPr>
      </w:pPr>
      <w:r w:rsidRPr="0024644B">
        <w:rPr>
          <w:rFonts w:ascii="Arial" w:hAnsi="Arial"/>
        </w:rPr>
        <w:t>the applicant, if an individual, must be a fit and proper person</w:t>
      </w:r>
    </w:p>
    <w:p w14:paraId="5A9675BE" w14:textId="77777777" w:rsidR="00D718BE" w:rsidRPr="0024644B" w:rsidRDefault="00D718BE" w:rsidP="00131678">
      <w:pPr>
        <w:pStyle w:val="ReportBody-MOH"/>
        <w:numPr>
          <w:ilvl w:val="0"/>
          <w:numId w:val="9"/>
        </w:numPr>
        <w:ind w:left="426" w:hanging="426"/>
        <w:rPr>
          <w:rFonts w:ascii="Arial" w:hAnsi="Arial"/>
        </w:rPr>
      </w:pPr>
      <w:r w:rsidRPr="0024644B">
        <w:rPr>
          <w:rFonts w:ascii="Arial" w:hAnsi="Arial"/>
        </w:rPr>
        <w:t>for an entity, each ‘responsible person’ must be a fit and proper person</w:t>
      </w:r>
    </w:p>
    <w:p w14:paraId="592FDEF3" w14:textId="3435A6A0" w:rsidR="00D718BE" w:rsidRPr="0024644B" w:rsidRDefault="00D718BE" w:rsidP="00131678">
      <w:pPr>
        <w:pStyle w:val="ReportBody-MOH"/>
        <w:numPr>
          <w:ilvl w:val="0"/>
          <w:numId w:val="9"/>
        </w:numPr>
        <w:ind w:left="426" w:hanging="426"/>
        <w:rPr>
          <w:rFonts w:ascii="Arial" w:hAnsi="Arial"/>
        </w:rPr>
      </w:pPr>
      <w:r w:rsidRPr="0024644B">
        <w:rPr>
          <w:rFonts w:ascii="Arial" w:hAnsi="Arial"/>
        </w:rPr>
        <w:t xml:space="preserve">an entity must be carrying on business in </w:t>
      </w:r>
      <w:r w:rsidR="60202228" w:rsidRPr="0024644B">
        <w:rPr>
          <w:rFonts w:ascii="Arial" w:hAnsi="Arial"/>
        </w:rPr>
        <w:t>Aotearoa</w:t>
      </w:r>
      <w:r w:rsidRPr="0024644B">
        <w:rPr>
          <w:rFonts w:ascii="Arial" w:hAnsi="Arial"/>
        </w:rPr>
        <w:t xml:space="preserve"> and be registered under New Zealand law</w:t>
      </w:r>
    </w:p>
    <w:p w14:paraId="2B31424D" w14:textId="6CB8E1BB" w:rsidR="00712050" w:rsidRPr="0024644B" w:rsidRDefault="00D718BE" w:rsidP="00131678">
      <w:pPr>
        <w:pStyle w:val="ReportBody-MOH"/>
        <w:numPr>
          <w:ilvl w:val="0"/>
          <w:numId w:val="9"/>
        </w:numPr>
        <w:ind w:left="426" w:hanging="426"/>
        <w:rPr>
          <w:rFonts w:ascii="Arial" w:hAnsi="Arial"/>
        </w:rPr>
      </w:pPr>
      <w:r w:rsidRPr="0024644B">
        <w:rPr>
          <w:rFonts w:ascii="Arial" w:hAnsi="Arial"/>
        </w:rPr>
        <w:t>any retail premises must be a fixed</w:t>
      </w:r>
      <w:r w:rsidR="00233A7A" w:rsidRPr="0024644B">
        <w:rPr>
          <w:rFonts w:ascii="Arial" w:hAnsi="Arial"/>
        </w:rPr>
        <w:t>,</w:t>
      </w:r>
      <w:r w:rsidRPr="0024644B">
        <w:rPr>
          <w:rFonts w:ascii="Arial" w:hAnsi="Arial"/>
        </w:rPr>
        <w:t xml:space="preserve"> permanent structure and be an appropriate premises from which to operate.</w:t>
      </w:r>
    </w:p>
    <w:p w14:paraId="0D775461" w14:textId="5CEFC871" w:rsidR="007B7FA2" w:rsidRPr="00FC6ABA" w:rsidRDefault="669B6D32" w:rsidP="73E6DC45">
      <w:pPr>
        <w:spacing w:after="120" w:line="240" w:lineRule="auto"/>
        <w:rPr>
          <w:rFonts w:cs="Arial"/>
        </w:rPr>
      </w:pPr>
      <w:r w:rsidRPr="73E6DC45">
        <w:rPr>
          <w:lang w:val="en-NZ"/>
        </w:rPr>
        <w:t xml:space="preserve">The Ministry </w:t>
      </w:r>
      <w:r w:rsidR="5A9826C1" w:rsidRPr="73E6DC45">
        <w:rPr>
          <w:lang w:val="en-NZ"/>
        </w:rPr>
        <w:t xml:space="preserve">consulted on additional approval requirements </w:t>
      </w:r>
      <w:r w:rsidR="45E06130" w:rsidRPr="73E6DC45">
        <w:rPr>
          <w:lang w:val="en-NZ"/>
        </w:rPr>
        <w:t xml:space="preserve">which would be set in </w:t>
      </w:r>
      <w:r w:rsidR="5A9826C1" w:rsidRPr="73E6DC45">
        <w:rPr>
          <w:lang w:val="en-NZ"/>
        </w:rPr>
        <w:t>regulations</w:t>
      </w:r>
      <w:r w:rsidR="5AEE6098" w:rsidRPr="73E6DC45">
        <w:rPr>
          <w:lang w:val="en-NZ"/>
        </w:rPr>
        <w:t xml:space="preserve">. These </w:t>
      </w:r>
      <w:r w:rsidR="5A9826C1" w:rsidRPr="73E6DC45">
        <w:rPr>
          <w:lang w:val="en-NZ"/>
        </w:rPr>
        <w:t>cover</w:t>
      </w:r>
      <w:r w:rsidR="0ECEBD3A" w:rsidRPr="73E6DC45">
        <w:rPr>
          <w:lang w:val="en-NZ"/>
        </w:rPr>
        <w:t>ed</w:t>
      </w:r>
      <w:r w:rsidR="5A9826C1" w:rsidRPr="73E6DC45">
        <w:rPr>
          <w:lang w:val="en-NZ"/>
        </w:rPr>
        <w:t xml:space="preserve"> </w:t>
      </w:r>
      <w:r w:rsidR="5B4A5A5B" w:rsidRPr="73E6DC45">
        <w:rPr>
          <w:lang w:val="en-NZ"/>
        </w:rPr>
        <w:t xml:space="preserve">security, training, sales </w:t>
      </w:r>
      <w:proofErr w:type="gramStart"/>
      <w:r w:rsidR="5B4A5A5B" w:rsidRPr="73E6DC45">
        <w:rPr>
          <w:lang w:val="en-NZ"/>
        </w:rPr>
        <w:t>systems</w:t>
      </w:r>
      <w:proofErr w:type="gramEnd"/>
      <w:r w:rsidR="5B4A5A5B" w:rsidRPr="73E6DC45">
        <w:rPr>
          <w:lang w:val="en-NZ"/>
        </w:rPr>
        <w:t xml:space="preserve"> and deliver</w:t>
      </w:r>
      <w:r w:rsidR="260F3DB1" w:rsidRPr="73E6DC45">
        <w:rPr>
          <w:lang w:val="en-NZ"/>
        </w:rPr>
        <w:t>y systems</w:t>
      </w:r>
      <w:r w:rsidR="552E606A" w:rsidRPr="73E6DC45">
        <w:rPr>
          <w:lang w:val="en-NZ"/>
        </w:rPr>
        <w:t xml:space="preserve">, </w:t>
      </w:r>
      <w:r w:rsidR="30489CAC" w:rsidRPr="73E6DC45">
        <w:rPr>
          <w:lang w:val="en-NZ"/>
        </w:rPr>
        <w:t>as well as</w:t>
      </w:r>
      <w:r w:rsidR="552E606A" w:rsidRPr="73E6DC45">
        <w:rPr>
          <w:lang w:val="en-NZ"/>
        </w:rPr>
        <w:t xml:space="preserve"> requirements for the ‘fit and proper’ person </w:t>
      </w:r>
      <w:r w:rsidR="3E8F3003" w:rsidRPr="73E6DC45">
        <w:rPr>
          <w:lang w:val="en-NZ"/>
        </w:rPr>
        <w:t xml:space="preserve">test </w:t>
      </w:r>
      <w:r w:rsidR="552E606A" w:rsidRPr="73E6DC45">
        <w:rPr>
          <w:lang w:val="en-NZ"/>
        </w:rPr>
        <w:t xml:space="preserve">in the </w:t>
      </w:r>
      <w:r w:rsidR="00267FAD">
        <w:rPr>
          <w:lang w:val="en-NZ"/>
        </w:rPr>
        <w:t xml:space="preserve">Amendment </w:t>
      </w:r>
      <w:r w:rsidR="552E606A" w:rsidRPr="73E6DC45">
        <w:rPr>
          <w:lang w:val="en-NZ"/>
        </w:rPr>
        <w:t>Act</w:t>
      </w:r>
      <w:r w:rsidR="5D978F2E" w:rsidRPr="73E6DC45">
        <w:rPr>
          <w:lang w:val="en-NZ"/>
        </w:rPr>
        <w:t>.</w:t>
      </w:r>
      <w:r w:rsidR="260F3DB1" w:rsidRPr="73E6DC45">
        <w:rPr>
          <w:lang w:val="en-NZ"/>
        </w:rPr>
        <w:t xml:space="preserve"> </w:t>
      </w:r>
      <w:r w:rsidR="00262E1C">
        <w:rPr>
          <w:lang w:val="en-NZ"/>
        </w:rPr>
        <w:t xml:space="preserve">These </w:t>
      </w:r>
      <w:r w:rsidR="003A08AC">
        <w:rPr>
          <w:lang w:val="en-NZ"/>
        </w:rPr>
        <w:t xml:space="preserve">are intended to </w:t>
      </w:r>
      <w:r w:rsidR="003631D0">
        <w:rPr>
          <w:lang w:val="en-NZ"/>
        </w:rPr>
        <w:t xml:space="preserve">ensure that </w:t>
      </w:r>
      <w:r w:rsidR="007F0701">
        <w:rPr>
          <w:lang w:val="en-NZ"/>
        </w:rPr>
        <w:t xml:space="preserve">retailers approved to sell tobacco products </w:t>
      </w:r>
      <w:r w:rsidR="000348F3">
        <w:rPr>
          <w:lang w:val="en-NZ"/>
        </w:rPr>
        <w:t>are responsible</w:t>
      </w:r>
      <w:r w:rsidR="009E350A">
        <w:rPr>
          <w:lang w:val="en-NZ"/>
        </w:rPr>
        <w:t xml:space="preserve"> </w:t>
      </w:r>
      <w:proofErr w:type="gramStart"/>
      <w:r w:rsidR="009E350A">
        <w:rPr>
          <w:lang w:val="en-NZ"/>
        </w:rPr>
        <w:t xml:space="preserve">business </w:t>
      </w:r>
      <w:r w:rsidR="00140DE7">
        <w:rPr>
          <w:lang w:val="en-NZ"/>
        </w:rPr>
        <w:t>people</w:t>
      </w:r>
      <w:proofErr w:type="gramEnd"/>
      <w:r w:rsidR="000348F3">
        <w:rPr>
          <w:lang w:val="en-NZ"/>
        </w:rPr>
        <w:t xml:space="preserve"> and have systems in place </w:t>
      </w:r>
      <w:r w:rsidR="009E350A">
        <w:rPr>
          <w:lang w:val="en-NZ"/>
        </w:rPr>
        <w:t xml:space="preserve">to protect the health and </w:t>
      </w:r>
      <w:r w:rsidR="00140DE7">
        <w:rPr>
          <w:lang w:val="en-NZ"/>
        </w:rPr>
        <w:t>safety of their staff and customers.</w:t>
      </w:r>
    </w:p>
    <w:p w14:paraId="657D5B5A" w14:textId="7C11FD37" w:rsidR="000C0726" w:rsidRPr="000C0726" w:rsidRDefault="000C0726" w:rsidP="45E2C776">
      <w:pPr>
        <w:spacing w:after="120" w:line="240" w:lineRule="auto"/>
        <w:rPr>
          <w:rFonts w:ascii="Segoe UI" w:hAnsi="Segoe UI" w:cs="Segoe UI"/>
          <w:sz w:val="18"/>
          <w:szCs w:val="18"/>
          <w:lang w:val="en-NZ" w:eastAsia="en-NZ"/>
        </w:rPr>
      </w:pPr>
      <w:r w:rsidRPr="02D6F528">
        <w:rPr>
          <w:rFonts w:cs="Arial"/>
          <w:i/>
          <w:lang w:val="en-NZ" w:eastAsia="en-NZ"/>
        </w:rPr>
        <w:t>Consultation feedback</w:t>
      </w:r>
    </w:p>
    <w:p w14:paraId="4E6F01AD" w14:textId="171E449A" w:rsidR="00FC6ABA" w:rsidRDefault="758F07A2" w:rsidP="0072598C">
      <w:pPr>
        <w:spacing w:after="120" w:line="240" w:lineRule="auto"/>
        <w:rPr>
          <w:lang w:val="en-NZ"/>
        </w:rPr>
      </w:pPr>
      <w:r w:rsidRPr="3C4E5589">
        <w:rPr>
          <w:lang w:val="en-NZ"/>
        </w:rPr>
        <w:t>Feedback</w:t>
      </w:r>
      <w:r w:rsidR="5A5179C4" w:rsidRPr="3C4E5589">
        <w:rPr>
          <w:lang w:val="en-NZ"/>
        </w:rPr>
        <w:t xml:space="preserve"> included detailed suggestions </w:t>
      </w:r>
      <w:r w:rsidR="3D0C4C25" w:rsidRPr="3C4E5589">
        <w:rPr>
          <w:lang w:val="en-NZ"/>
        </w:rPr>
        <w:t xml:space="preserve">for </w:t>
      </w:r>
      <w:r w:rsidR="5A5179C4" w:rsidRPr="3C4E5589">
        <w:rPr>
          <w:lang w:val="en-NZ"/>
        </w:rPr>
        <w:t xml:space="preserve">the </w:t>
      </w:r>
      <w:r w:rsidR="00B517AB">
        <w:rPr>
          <w:lang w:val="en-NZ"/>
        </w:rPr>
        <w:t xml:space="preserve">additional approval </w:t>
      </w:r>
      <w:r w:rsidR="506B441C" w:rsidRPr="3C4E5589">
        <w:rPr>
          <w:lang w:val="en-NZ"/>
        </w:rPr>
        <w:t xml:space="preserve">and </w:t>
      </w:r>
      <w:r w:rsidR="00F415E1">
        <w:rPr>
          <w:lang w:val="en-NZ"/>
        </w:rPr>
        <w:t>‘</w:t>
      </w:r>
      <w:r w:rsidR="506B441C" w:rsidRPr="3C4E5589">
        <w:rPr>
          <w:lang w:val="en-NZ"/>
        </w:rPr>
        <w:t>fit and proper</w:t>
      </w:r>
      <w:r w:rsidR="00F415E1">
        <w:rPr>
          <w:lang w:val="en-NZ"/>
        </w:rPr>
        <w:t>’</w:t>
      </w:r>
      <w:r w:rsidR="506B441C" w:rsidRPr="3C4E5589">
        <w:rPr>
          <w:lang w:val="en-NZ"/>
        </w:rPr>
        <w:t xml:space="preserve"> person </w:t>
      </w:r>
      <w:r w:rsidR="707AF85E" w:rsidRPr="3C4E5589">
        <w:rPr>
          <w:lang w:val="en-NZ"/>
        </w:rPr>
        <w:t>requirements.</w:t>
      </w:r>
    </w:p>
    <w:p w14:paraId="15D15201" w14:textId="27DF54E6" w:rsidR="00134142" w:rsidRPr="00DE0BAD" w:rsidRDefault="02480752" w:rsidP="65340990">
      <w:pPr>
        <w:spacing w:after="120" w:line="240" w:lineRule="auto"/>
        <w:rPr>
          <w:lang w:val="en-NZ"/>
        </w:rPr>
      </w:pPr>
      <w:r w:rsidRPr="58E6FEAD">
        <w:rPr>
          <w:lang w:val="en-NZ"/>
        </w:rPr>
        <w:t>Concerns about</w:t>
      </w:r>
      <w:r w:rsidR="3CB8E117" w:rsidRPr="3662C7F0">
        <w:rPr>
          <w:lang w:val="en-NZ"/>
        </w:rPr>
        <w:t xml:space="preserve"> s</w:t>
      </w:r>
      <w:r w:rsidR="680DDBFA" w:rsidRPr="3662C7F0">
        <w:rPr>
          <w:lang w:val="en-NZ"/>
        </w:rPr>
        <w:t xml:space="preserve">ecurity </w:t>
      </w:r>
      <w:r w:rsidR="0DC0442C" w:rsidRPr="58E6FEAD">
        <w:rPr>
          <w:lang w:val="en-NZ"/>
        </w:rPr>
        <w:t>for</w:t>
      </w:r>
      <w:r w:rsidR="680DDBFA" w:rsidRPr="3662C7F0">
        <w:rPr>
          <w:lang w:val="en-NZ"/>
        </w:rPr>
        <w:t xml:space="preserve"> stores selling smoked tobacco </w:t>
      </w:r>
      <w:r w:rsidR="00544BC3">
        <w:rPr>
          <w:lang w:val="en-NZ"/>
        </w:rPr>
        <w:t xml:space="preserve">products </w:t>
      </w:r>
      <w:r w:rsidR="680DDBFA" w:rsidRPr="3662C7F0">
        <w:rPr>
          <w:lang w:val="en-NZ"/>
        </w:rPr>
        <w:t xml:space="preserve">was raised </w:t>
      </w:r>
      <w:r w:rsidR="3CB8E117" w:rsidRPr="3662C7F0">
        <w:rPr>
          <w:lang w:val="en-NZ"/>
        </w:rPr>
        <w:t>by many submitters</w:t>
      </w:r>
      <w:r w:rsidR="722F4A52" w:rsidRPr="3662C7F0">
        <w:rPr>
          <w:lang w:val="en-NZ"/>
        </w:rPr>
        <w:t xml:space="preserve">. Many also </w:t>
      </w:r>
      <w:r w:rsidR="2B277BF3" w:rsidRPr="58E6FEAD">
        <w:rPr>
          <w:lang w:val="en-NZ"/>
        </w:rPr>
        <w:t>co</w:t>
      </w:r>
      <w:r w:rsidR="7CEFA9E8" w:rsidRPr="58E6FEAD">
        <w:rPr>
          <w:lang w:val="en-NZ"/>
        </w:rPr>
        <w:t>nsidered</w:t>
      </w:r>
      <w:r w:rsidR="722F4A52" w:rsidRPr="3662C7F0">
        <w:rPr>
          <w:lang w:val="en-NZ"/>
        </w:rPr>
        <w:t xml:space="preserve"> that</w:t>
      </w:r>
      <w:r w:rsidR="2CEE76AF" w:rsidRPr="58E6FEAD">
        <w:rPr>
          <w:lang w:val="en-NZ"/>
        </w:rPr>
        <w:t>,</w:t>
      </w:r>
      <w:r w:rsidR="2B277BF3" w:rsidRPr="58E6FEAD">
        <w:rPr>
          <w:lang w:val="en-NZ"/>
        </w:rPr>
        <w:t xml:space="preserve"> </w:t>
      </w:r>
      <w:r w:rsidR="4F2C08A1" w:rsidRPr="58E6FEAD">
        <w:rPr>
          <w:lang w:val="en-NZ"/>
        </w:rPr>
        <w:t>for example, security</w:t>
      </w:r>
      <w:r w:rsidR="722F4A52" w:rsidRPr="3662C7F0">
        <w:rPr>
          <w:lang w:val="en-NZ"/>
        </w:rPr>
        <w:t xml:space="preserve"> systems should not </w:t>
      </w:r>
      <w:r w:rsidR="124705E9" w:rsidRPr="58E6FEAD">
        <w:rPr>
          <w:lang w:val="en-NZ"/>
        </w:rPr>
        <w:t>have</w:t>
      </w:r>
      <w:r w:rsidR="722F4A52" w:rsidRPr="3662C7F0">
        <w:rPr>
          <w:lang w:val="en-NZ"/>
        </w:rPr>
        <w:t xml:space="preserve"> to be in place at the time of application</w:t>
      </w:r>
      <w:r w:rsidR="58FB54C7" w:rsidRPr="58E6FEAD">
        <w:rPr>
          <w:lang w:val="en-NZ"/>
        </w:rPr>
        <w:t xml:space="preserve"> as applicants should not have to</w:t>
      </w:r>
      <w:r w:rsidR="2B277BF3" w:rsidRPr="58E6FEAD">
        <w:rPr>
          <w:lang w:val="en-NZ"/>
        </w:rPr>
        <w:t xml:space="preserve"> </w:t>
      </w:r>
      <w:r w:rsidR="722F4A52" w:rsidRPr="3662C7F0">
        <w:rPr>
          <w:lang w:val="en-NZ"/>
        </w:rPr>
        <w:t>spend a lot of mo</w:t>
      </w:r>
      <w:r w:rsidR="332B272E" w:rsidRPr="3662C7F0">
        <w:rPr>
          <w:lang w:val="en-NZ"/>
        </w:rPr>
        <w:t>ney to meet requirements, with no guarantee their application will be approved.</w:t>
      </w:r>
    </w:p>
    <w:p w14:paraId="0286FE18" w14:textId="3A3C09D9" w:rsidR="1B502AF9" w:rsidRDefault="0F783150" w:rsidP="1B502AF9">
      <w:pPr>
        <w:spacing w:after="120" w:line="240" w:lineRule="auto"/>
        <w:rPr>
          <w:lang w:val="en-NZ"/>
        </w:rPr>
      </w:pPr>
      <w:r w:rsidRPr="53880789">
        <w:rPr>
          <w:lang w:val="en-NZ"/>
        </w:rPr>
        <w:t xml:space="preserve">Table </w:t>
      </w:r>
      <w:r w:rsidR="00E42EDC">
        <w:rPr>
          <w:lang w:val="en-NZ"/>
        </w:rPr>
        <w:t>5</w:t>
      </w:r>
      <w:r w:rsidRPr="53880789">
        <w:rPr>
          <w:lang w:val="en-NZ"/>
        </w:rPr>
        <w:t xml:space="preserve"> sets out the proposed </w:t>
      </w:r>
      <w:r w:rsidR="00964D1A">
        <w:rPr>
          <w:lang w:val="en-NZ"/>
        </w:rPr>
        <w:t xml:space="preserve">additional </w:t>
      </w:r>
      <w:r w:rsidRPr="53880789">
        <w:rPr>
          <w:lang w:val="en-NZ"/>
        </w:rPr>
        <w:t xml:space="preserve">approval requirements, noting changes made following consultation. </w:t>
      </w:r>
    </w:p>
    <w:p w14:paraId="32D6445A" w14:textId="77777777" w:rsidR="008B7786" w:rsidRDefault="008B7786" w:rsidP="1B502AF9">
      <w:pPr>
        <w:spacing w:after="120" w:line="240" w:lineRule="auto"/>
        <w:rPr>
          <w:lang w:val="en-NZ"/>
        </w:rPr>
      </w:pPr>
    </w:p>
    <w:p w14:paraId="3386F433" w14:textId="77777777" w:rsidR="008B7786" w:rsidRDefault="008B7786" w:rsidP="1B502AF9">
      <w:pPr>
        <w:spacing w:after="120" w:line="240" w:lineRule="auto"/>
        <w:rPr>
          <w:lang w:val="en-NZ"/>
        </w:rPr>
      </w:pPr>
    </w:p>
    <w:p w14:paraId="0439FC70" w14:textId="4C98A1EC" w:rsidR="00D3424D" w:rsidRDefault="00D3424D" w:rsidP="1B502AF9">
      <w:pPr>
        <w:spacing w:after="120" w:line="240" w:lineRule="auto"/>
        <w:rPr>
          <w:lang w:val="en-NZ"/>
        </w:rPr>
      </w:pPr>
    </w:p>
    <w:p w14:paraId="1688A9A3" w14:textId="77777777" w:rsidR="00CC2AE5" w:rsidRDefault="00CC2AE5" w:rsidP="1B502AF9">
      <w:pPr>
        <w:spacing w:after="120" w:line="240" w:lineRule="auto"/>
        <w:rPr>
          <w:lang w:val="en-NZ"/>
        </w:rPr>
      </w:pPr>
    </w:p>
    <w:p w14:paraId="7856F55A" w14:textId="77777777" w:rsidR="00D3424D" w:rsidRDefault="00D3424D" w:rsidP="1B502AF9">
      <w:pPr>
        <w:spacing w:after="120" w:line="240" w:lineRule="auto"/>
        <w:rPr>
          <w:lang w:val="en-NZ"/>
        </w:rPr>
      </w:pPr>
    </w:p>
    <w:p w14:paraId="5A3E6AD1" w14:textId="77777777" w:rsidR="00D3424D" w:rsidRDefault="00D3424D" w:rsidP="1B502AF9">
      <w:pPr>
        <w:spacing w:after="120" w:line="240" w:lineRule="auto"/>
        <w:rPr>
          <w:lang w:val="en-NZ"/>
        </w:rPr>
      </w:pPr>
    </w:p>
    <w:p w14:paraId="1EF3F49A" w14:textId="77777777" w:rsidR="008B7786" w:rsidRDefault="008B7786" w:rsidP="1B502AF9">
      <w:pPr>
        <w:spacing w:after="120" w:line="240" w:lineRule="auto"/>
        <w:rPr>
          <w:lang w:val="en-NZ"/>
        </w:rPr>
      </w:pPr>
    </w:p>
    <w:p w14:paraId="0ADE07DE" w14:textId="77777777" w:rsidR="00683153" w:rsidRDefault="00683153" w:rsidP="1B502AF9">
      <w:pPr>
        <w:spacing w:after="120" w:line="240" w:lineRule="auto"/>
        <w:rPr>
          <w:lang w:val="en-NZ"/>
        </w:rPr>
      </w:pPr>
    </w:p>
    <w:p w14:paraId="67D128C9" w14:textId="0017CFE7" w:rsidR="007B7FA2" w:rsidRPr="00B7455E" w:rsidRDefault="00AA4103" w:rsidP="009133D4">
      <w:pPr>
        <w:pStyle w:val="Table"/>
        <w:rPr>
          <w:rFonts w:ascii="Arial" w:hAnsi="Arial" w:cs="Arial"/>
        </w:rPr>
      </w:pPr>
      <w:bookmarkStart w:id="10" w:name="_Toc122610026"/>
      <w:r w:rsidRPr="00DE0BAD">
        <w:rPr>
          <w:rFonts w:ascii="Arial" w:hAnsi="Arial" w:cs="Arial"/>
        </w:rPr>
        <w:t xml:space="preserve">Table </w:t>
      </w:r>
      <w:r w:rsidR="008B7786">
        <w:rPr>
          <w:rFonts w:ascii="Arial" w:hAnsi="Arial" w:cs="Arial"/>
        </w:rPr>
        <w:t>5</w:t>
      </w:r>
      <w:r w:rsidRPr="00DE0BAD">
        <w:rPr>
          <w:rFonts w:ascii="Arial" w:hAnsi="Arial" w:cs="Arial"/>
        </w:rPr>
        <w:t xml:space="preserve">: Proposed </w:t>
      </w:r>
      <w:r w:rsidR="00964D1A">
        <w:rPr>
          <w:rFonts w:ascii="Arial" w:hAnsi="Arial" w:cs="Arial"/>
        </w:rPr>
        <w:t xml:space="preserve">additional </w:t>
      </w:r>
      <w:r w:rsidRPr="00DE0BAD">
        <w:rPr>
          <w:rFonts w:ascii="Arial" w:hAnsi="Arial" w:cs="Arial"/>
        </w:rPr>
        <w:t>requirements for approval as a smoked tobacco retail premise to be set out in regulations</w:t>
      </w:r>
      <w:bookmarkEnd w:id="10"/>
    </w:p>
    <w:tbl>
      <w:tblPr>
        <w:tblStyle w:val="TableGrid"/>
        <w:tblW w:w="9198" w:type="dxa"/>
        <w:tblLayout w:type="fixed"/>
        <w:tblLook w:val="06A0" w:firstRow="1" w:lastRow="0" w:firstColumn="1" w:lastColumn="0" w:noHBand="1" w:noVBand="1"/>
      </w:tblPr>
      <w:tblGrid>
        <w:gridCol w:w="1418"/>
        <w:gridCol w:w="5103"/>
        <w:gridCol w:w="2677"/>
      </w:tblGrid>
      <w:tr w:rsidR="1B502AF9" w14:paraId="5EFDBA40" w14:textId="77777777" w:rsidTr="00D275B0">
        <w:trPr>
          <w:trHeight w:val="300"/>
        </w:trPr>
        <w:tc>
          <w:tcPr>
            <w:tcW w:w="1418" w:type="dxa"/>
            <w:tcBorders>
              <w:top w:val="nil"/>
              <w:left w:val="nil"/>
              <w:bottom w:val="nil"/>
              <w:right w:val="nil"/>
            </w:tcBorders>
            <w:shd w:val="clear" w:color="auto" w:fill="D9D9D9" w:themeFill="background1" w:themeFillShade="D9"/>
            <w:tcMar>
              <w:left w:w="108" w:type="dxa"/>
              <w:right w:w="108" w:type="dxa"/>
            </w:tcMar>
          </w:tcPr>
          <w:p w14:paraId="16D48F93" w14:textId="4ABCC914" w:rsidR="1B502AF9" w:rsidRDefault="1B502AF9" w:rsidP="00D275B0">
            <w:pPr>
              <w:jc w:val="left"/>
              <w:rPr>
                <w:rFonts w:eastAsia="Arial" w:cs="Arial"/>
                <w:b/>
                <w:bCs/>
                <w:sz w:val="18"/>
                <w:szCs w:val="18"/>
              </w:rPr>
            </w:pPr>
            <w:r w:rsidRPr="1B502AF9">
              <w:rPr>
                <w:rFonts w:eastAsia="Arial" w:cs="Arial"/>
                <w:b/>
                <w:bCs/>
                <w:sz w:val="18"/>
                <w:szCs w:val="18"/>
              </w:rPr>
              <w:t>Requirements</w:t>
            </w:r>
          </w:p>
        </w:tc>
        <w:tc>
          <w:tcPr>
            <w:tcW w:w="5103" w:type="dxa"/>
            <w:tcBorders>
              <w:top w:val="nil"/>
              <w:left w:val="nil"/>
              <w:bottom w:val="nil"/>
              <w:right w:val="single" w:sz="8" w:space="0" w:color="A6A6A6" w:themeColor="background1" w:themeShade="A6"/>
            </w:tcBorders>
            <w:shd w:val="clear" w:color="auto" w:fill="D9D9D9" w:themeFill="background1" w:themeFillShade="D9"/>
            <w:tcMar>
              <w:left w:w="108" w:type="dxa"/>
              <w:right w:w="108" w:type="dxa"/>
            </w:tcMar>
          </w:tcPr>
          <w:p w14:paraId="4F424819" w14:textId="65B97BE7" w:rsidR="1B502AF9" w:rsidRDefault="1B502AF9" w:rsidP="00D275B0">
            <w:pPr>
              <w:jc w:val="left"/>
              <w:rPr>
                <w:rFonts w:eastAsia="Arial" w:cs="Arial"/>
                <w:b/>
                <w:bCs/>
                <w:color w:val="000000" w:themeColor="text1"/>
                <w:sz w:val="18"/>
                <w:szCs w:val="18"/>
              </w:rPr>
            </w:pPr>
            <w:r w:rsidRPr="1B502AF9">
              <w:rPr>
                <w:rFonts w:eastAsia="Arial" w:cs="Arial"/>
                <w:b/>
                <w:bCs/>
                <w:color w:val="000000" w:themeColor="text1"/>
                <w:sz w:val="18"/>
                <w:szCs w:val="18"/>
              </w:rPr>
              <w:t>Description</w:t>
            </w:r>
          </w:p>
        </w:tc>
        <w:tc>
          <w:tcPr>
            <w:tcW w:w="2677" w:type="dxa"/>
            <w:tcBorders>
              <w:top w:val="nil"/>
              <w:left w:val="single" w:sz="8" w:space="0" w:color="A6A6A6" w:themeColor="background1" w:themeShade="A6"/>
              <w:bottom w:val="nil"/>
              <w:right w:val="nil"/>
            </w:tcBorders>
            <w:shd w:val="clear" w:color="auto" w:fill="D9D9D9" w:themeFill="background1" w:themeFillShade="D9"/>
            <w:tcMar>
              <w:left w:w="108" w:type="dxa"/>
              <w:right w:w="108" w:type="dxa"/>
            </w:tcMar>
          </w:tcPr>
          <w:p w14:paraId="56CE63CE" w14:textId="1FBE619F" w:rsidR="1B502AF9" w:rsidRDefault="1B502AF9" w:rsidP="003319DB">
            <w:pPr>
              <w:spacing w:before="60" w:after="60" w:line="240" w:lineRule="auto"/>
              <w:jc w:val="left"/>
              <w:rPr>
                <w:rFonts w:eastAsia="Arial" w:cs="Arial"/>
                <w:b/>
                <w:bCs/>
                <w:color w:val="000000" w:themeColor="text1"/>
                <w:sz w:val="18"/>
                <w:szCs w:val="18"/>
              </w:rPr>
            </w:pPr>
            <w:r w:rsidRPr="1B502AF9">
              <w:rPr>
                <w:rFonts w:eastAsia="Arial" w:cs="Arial"/>
                <w:b/>
                <w:bCs/>
                <w:color w:val="000000" w:themeColor="text1"/>
                <w:sz w:val="18"/>
                <w:szCs w:val="18"/>
              </w:rPr>
              <w:t xml:space="preserve">Updates following consultation </w:t>
            </w:r>
          </w:p>
        </w:tc>
      </w:tr>
      <w:tr w:rsidR="1B502AF9" w14:paraId="4386DEF1" w14:textId="77777777" w:rsidTr="00D275B0">
        <w:trPr>
          <w:trHeight w:val="300"/>
        </w:trPr>
        <w:tc>
          <w:tcPr>
            <w:tcW w:w="1418" w:type="dxa"/>
            <w:tcBorders>
              <w:top w:val="nil"/>
              <w:left w:val="nil"/>
              <w:bottom w:val="single" w:sz="8" w:space="0" w:color="A6A6A6" w:themeColor="background1" w:themeShade="A6"/>
              <w:right w:val="single" w:sz="8" w:space="0" w:color="A6A6A6" w:themeColor="background1" w:themeShade="A6"/>
            </w:tcBorders>
            <w:tcMar>
              <w:left w:w="108" w:type="dxa"/>
              <w:right w:w="108" w:type="dxa"/>
            </w:tcMar>
          </w:tcPr>
          <w:p w14:paraId="07833373" w14:textId="21AE60C7" w:rsidR="1B502AF9" w:rsidRDefault="1B502AF9" w:rsidP="006E083E">
            <w:pPr>
              <w:spacing w:before="60" w:line="240" w:lineRule="auto"/>
              <w:jc w:val="left"/>
              <w:rPr>
                <w:rFonts w:eastAsia="Arial" w:cs="Arial"/>
                <w:sz w:val="18"/>
                <w:szCs w:val="18"/>
              </w:rPr>
            </w:pPr>
            <w:r w:rsidRPr="1B502AF9">
              <w:rPr>
                <w:rFonts w:eastAsia="Arial" w:cs="Arial"/>
                <w:sz w:val="18"/>
                <w:szCs w:val="18"/>
              </w:rPr>
              <w:t xml:space="preserve">Have appropriate </w:t>
            </w:r>
            <w:r w:rsidRPr="1B502AF9">
              <w:rPr>
                <w:rFonts w:eastAsia="Arial" w:cs="Arial"/>
                <w:b/>
                <w:bCs/>
                <w:sz w:val="18"/>
                <w:szCs w:val="18"/>
              </w:rPr>
              <w:t>security measures</w:t>
            </w:r>
            <w:r w:rsidRPr="1B502AF9">
              <w:rPr>
                <w:rFonts w:eastAsia="Arial" w:cs="Arial"/>
                <w:sz w:val="18"/>
                <w:szCs w:val="18"/>
              </w:rPr>
              <w:t xml:space="preserve"> in place</w:t>
            </w:r>
          </w:p>
        </w:tc>
        <w:tc>
          <w:tcPr>
            <w:tcW w:w="5103"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tcPr>
          <w:p w14:paraId="0614A696" w14:textId="2251B577" w:rsidR="1B502AF9" w:rsidRDefault="1B502AF9" w:rsidP="006E083E">
            <w:pPr>
              <w:spacing w:before="60" w:after="0" w:line="240" w:lineRule="auto"/>
              <w:jc w:val="left"/>
              <w:rPr>
                <w:rFonts w:eastAsia="Arial" w:cs="Arial"/>
                <w:sz w:val="18"/>
                <w:szCs w:val="18"/>
              </w:rPr>
            </w:pPr>
            <w:r w:rsidRPr="1B502AF9">
              <w:rPr>
                <w:rFonts w:eastAsia="Arial" w:cs="Arial"/>
                <w:sz w:val="18"/>
                <w:szCs w:val="18"/>
              </w:rPr>
              <w:t>A person must demonstrate that the retail premise has the following:</w:t>
            </w:r>
          </w:p>
          <w:p w14:paraId="71318F9B" w14:textId="0CABB3B6" w:rsidR="1B502AF9" w:rsidRPr="00130A36" w:rsidRDefault="1B502AF9" w:rsidP="006E083E">
            <w:pPr>
              <w:pStyle w:val="ListParagraph"/>
              <w:numPr>
                <w:ilvl w:val="0"/>
                <w:numId w:val="20"/>
              </w:numPr>
              <w:spacing w:before="60" w:after="60" w:line="240" w:lineRule="auto"/>
              <w:jc w:val="left"/>
              <w:rPr>
                <w:sz w:val="18"/>
                <w:szCs w:val="18"/>
              </w:rPr>
            </w:pPr>
            <w:r w:rsidRPr="00130A36">
              <w:rPr>
                <w:rFonts w:eastAsia="Arial" w:cs="Arial"/>
                <w:sz w:val="18"/>
                <w:szCs w:val="18"/>
              </w:rPr>
              <w:t xml:space="preserve">a suitable alarm system, as appropriate for the business </w:t>
            </w:r>
          </w:p>
          <w:p w14:paraId="1F335120" w14:textId="4547E14C" w:rsidR="1B502AF9" w:rsidRPr="00130A36" w:rsidRDefault="1B502AF9" w:rsidP="006E083E">
            <w:pPr>
              <w:pStyle w:val="ListParagraph"/>
              <w:numPr>
                <w:ilvl w:val="0"/>
                <w:numId w:val="20"/>
              </w:numPr>
              <w:spacing w:before="60" w:after="60" w:line="240" w:lineRule="auto"/>
              <w:jc w:val="left"/>
              <w:rPr>
                <w:sz w:val="18"/>
                <w:szCs w:val="18"/>
              </w:rPr>
            </w:pPr>
            <w:r w:rsidRPr="00130A36">
              <w:rPr>
                <w:rFonts w:eastAsia="Arial" w:cs="Arial"/>
                <w:sz w:val="18"/>
                <w:szCs w:val="18"/>
              </w:rPr>
              <w:t xml:space="preserve">suitable security cameras with recording facilities, as appropriate for the business </w:t>
            </w:r>
          </w:p>
          <w:p w14:paraId="7FF2097F" w14:textId="77777777" w:rsidR="1B502AF9" w:rsidRPr="00CB74CE" w:rsidRDefault="1B502AF9" w:rsidP="006E083E">
            <w:pPr>
              <w:pStyle w:val="ListParagraph"/>
              <w:numPr>
                <w:ilvl w:val="0"/>
                <w:numId w:val="20"/>
              </w:numPr>
              <w:spacing w:before="60" w:after="60" w:line="240" w:lineRule="auto"/>
              <w:jc w:val="left"/>
              <w:rPr>
                <w:rFonts w:eastAsia="Arial" w:cs="Arial"/>
                <w:sz w:val="18"/>
                <w:szCs w:val="18"/>
              </w:rPr>
            </w:pPr>
            <w:r w:rsidRPr="00130A36">
              <w:rPr>
                <w:rFonts w:eastAsia="Arial" w:cs="Arial"/>
                <w:sz w:val="18"/>
                <w:szCs w:val="18"/>
              </w:rPr>
              <w:t>suitable external protection to protect premise from theft, as appropriate for the business</w:t>
            </w:r>
          </w:p>
          <w:p w14:paraId="6D8D5050" w14:textId="77777777" w:rsidR="00CB74CE" w:rsidRDefault="00CB74CE" w:rsidP="006E083E">
            <w:pPr>
              <w:pStyle w:val="ListParagraph"/>
              <w:numPr>
                <w:ilvl w:val="0"/>
                <w:numId w:val="20"/>
              </w:numPr>
              <w:spacing w:before="60" w:after="60"/>
              <w:rPr>
                <w:rFonts w:eastAsia="Arial" w:cs="Arial"/>
                <w:sz w:val="18"/>
                <w:szCs w:val="18"/>
              </w:rPr>
            </w:pPr>
            <w:r w:rsidRPr="00CB74CE">
              <w:rPr>
                <w:rFonts w:eastAsia="Arial" w:cs="Arial"/>
                <w:sz w:val="18"/>
                <w:szCs w:val="18"/>
              </w:rPr>
              <w:t>secure product storage</w:t>
            </w:r>
          </w:p>
          <w:p w14:paraId="723FAA19" w14:textId="614EF151" w:rsidR="00CB74CE" w:rsidRPr="00CB74CE" w:rsidRDefault="00CB74CE" w:rsidP="006E083E">
            <w:pPr>
              <w:pStyle w:val="ListParagraph"/>
              <w:numPr>
                <w:ilvl w:val="0"/>
                <w:numId w:val="20"/>
              </w:numPr>
              <w:spacing w:before="60" w:after="60" w:line="240" w:lineRule="auto"/>
              <w:rPr>
                <w:rFonts w:eastAsia="Arial" w:cs="Arial"/>
                <w:sz w:val="18"/>
                <w:szCs w:val="18"/>
              </w:rPr>
            </w:pPr>
            <w:r w:rsidRPr="00CB74CE">
              <w:rPr>
                <w:rFonts w:eastAsia="Arial" w:cs="Arial"/>
                <w:sz w:val="18"/>
                <w:szCs w:val="18"/>
              </w:rPr>
              <w:t>a suitable fog cannon system, as appropriate for the business</w:t>
            </w:r>
            <w:r>
              <w:rPr>
                <w:rFonts w:eastAsia="Arial" w:cs="Arial"/>
                <w:sz w:val="18"/>
                <w:szCs w:val="18"/>
              </w:rPr>
              <w:t>.</w:t>
            </w:r>
          </w:p>
        </w:tc>
        <w:tc>
          <w:tcPr>
            <w:tcW w:w="2677" w:type="dxa"/>
            <w:tcBorders>
              <w:top w:val="nil"/>
              <w:left w:val="single" w:sz="8" w:space="0" w:color="A6A6A6" w:themeColor="background1" w:themeShade="A6"/>
              <w:bottom w:val="single" w:sz="8" w:space="0" w:color="A6A6A6" w:themeColor="background1" w:themeShade="A6"/>
              <w:right w:val="nil"/>
            </w:tcBorders>
            <w:tcMar>
              <w:left w:w="108" w:type="dxa"/>
              <w:right w:w="108" w:type="dxa"/>
            </w:tcMar>
          </w:tcPr>
          <w:p w14:paraId="588A6B94" w14:textId="25A2E4C0" w:rsidR="1B502AF9" w:rsidRDefault="00C55FD8" w:rsidP="00D275B0">
            <w:pPr>
              <w:jc w:val="left"/>
              <w:rPr>
                <w:rFonts w:eastAsia="Arial" w:cs="Arial"/>
                <w:i/>
                <w:iCs/>
                <w:sz w:val="18"/>
                <w:szCs w:val="18"/>
              </w:rPr>
            </w:pPr>
            <w:r w:rsidRPr="00C55FD8">
              <w:rPr>
                <w:rFonts w:eastAsia="Arial" w:cs="Arial"/>
                <w:i/>
                <w:iCs/>
                <w:sz w:val="18"/>
                <w:szCs w:val="18"/>
              </w:rPr>
              <w:t>No changes have been made.</w:t>
            </w:r>
          </w:p>
        </w:tc>
      </w:tr>
      <w:tr w:rsidR="1B502AF9" w14:paraId="22D18680" w14:textId="77777777" w:rsidTr="00D275B0">
        <w:trPr>
          <w:trHeight w:val="300"/>
        </w:trPr>
        <w:tc>
          <w:tcPr>
            <w:tcW w:w="1418" w:type="dxa"/>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tcMar>
              <w:left w:w="108" w:type="dxa"/>
              <w:right w:w="108" w:type="dxa"/>
            </w:tcMar>
          </w:tcPr>
          <w:p w14:paraId="083E2C9B" w14:textId="46257B9B" w:rsidR="1B502AF9" w:rsidRDefault="1B502AF9" w:rsidP="006E083E">
            <w:pPr>
              <w:spacing w:before="60" w:line="240" w:lineRule="auto"/>
              <w:jc w:val="left"/>
              <w:rPr>
                <w:rFonts w:eastAsia="Arial" w:cs="Arial"/>
                <w:sz w:val="18"/>
                <w:szCs w:val="18"/>
              </w:rPr>
            </w:pPr>
            <w:r w:rsidRPr="1B502AF9">
              <w:rPr>
                <w:rFonts w:eastAsia="Arial" w:cs="Arial"/>
                <w:sz w:val="18"/>
                <w:szCs w:val="18"/>
              </w:rPr>
              <w:t xml:space="preserve">Have appropriate </w:t>
            </w:r>
            <w:r w:rsidRPr="1B502AF9">
              <w:rPr>
                <w:rFonts w:eastAsia="Arial" w:cs="Arial"/>
                <w:b/>
                <w:bCs/>
                <w:sz w:val="18"/>
                <w:szCs w:val="18"/>
              </w:rPr>
              <w:t>business systems</w:t>
            </w:r>
            <w:r w:rsidRPr="1B502AF9">
              <w:rPr>
                <w:rFonts w:eastAsia="Arial" w:cs="Arial"/>
                <w:sz w:val="18"/>
                <w:szCs w:val="18"/>
              </w:rPr>
              <w:t xml:space="preserve"> in place</w:t>
            </w:r>
          </w:p>
        </w:tc>
        <w:tc>
          <w:tcPr>
            <w:tcW w:w="51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tcPr>
          <w:p w14:paraId="417373AC" w14:textId="0C42E5B5" w:rsidR="1B502AF9" w:rsidRDefault="1B502AF9" w:rsidP="00E93F9E">
            <w:pPr>
              <w:spacing w:after="0"/>
              <w:jc w:val="left"/>
              <w:rPr>
                <w:rFonts w:eastAsia="Arial" w:cs="Arial"/>
                <w:i/>
                <w:iCs/>
                <w:sz w:val="18"/>
                <w:szCs w:val="18"/>
              </w:rPr>
            </w:pPr>
            <w:r w:rsidRPr="1B502AF9">
              <w:rPr>
                <w:rFonts w:eastAsia="Arial" w:cs="Arial"/>
                <w:i/>
                <w:iCs/>
                <w:sz w:val="18"/>
                <w:szCs w:val="18"/>
              </w:rPr>
              <w:t>Training</w:t>
            </w:r>
          </w:p>
          <w:p w14:paraId="5D089D79" w14:textId="2159DDA2" w:rsidR="1B502AF9" w:rsidRDefault="1B502AF9" w:rsidP="00E93F9E">
            <w:pPr>
              <w:spacing w:after="0"/>
              <w:jc w:val="left"/>
              <w:rPr>
                <w:rFonts w:eastAsia="Arial" w:cs="Arial"/>
                <w:sz w:val="18"/>
                <w:szCs w:val="18"/>
              </w:rPr>
            </w:pPr>
            <w:r w:rsidRPr="1B502AF9">
              <w:rPr>
                <w:rFonts w:eastAsia="Arial" w:cs="Arial"/>
                <w:sz w:val="18"/>
                <w:szCs w:val="18"/>
              </w:rPr>
              <w:t xml:space="preserve">A person must demonstrate that: </w:t>
            </w:r>
          </w:p>
          <w:p w14:paraId="63BE0330" w14:textId="421241A2" w:rsidR="1B502AF9" w:rsidRPr="00130A36" w:rsidRDefault="1B502AF9" w:rsidP="00D22C3D">
            <w:pPr>
              <w:pStyle w:val="ListParagraph"/>
              <w:numPr>
                <w:ilvl w:val="0"/>
                <w:numId w:val="19"/>
              </w:numPr>
              <w:spacing w:after="60" w:line="240" w:lineRule="auto"/>
              <w:jc w:val="left"/>
              <w:rPr>
                <w:sz w:val="18"/>
                <w:szCs w:val="18"/>
              </w:rPr>
            </w:pPr>
            <w:r w:rsidRPr="00130A36">
              <w:rPr>
                <w:rFonts w:eastAsia="Arial" w:cs="Arial"/>
                <w:sz w:val="18"/>
                <w:szCs w:val="18"/>
              </w:rPr>
              <w:t>every staff member is/will be trained in, and understand, their responsibilities under the Smokefree Act, including preventing sales to minors/the smokefree generation (as described in the application process)</w:t>
            </w:r>
          </w:p>
          <w:p w14:paraId="7407FF7E" w14:textId="3D3DB6EC" w:rsidR="1B502AF9" w:rsidRPr="00130A36" w:rsidRDefault="1B502AF9" w:rsidP="00E93F9E">
            <w:pPr>
              <w:pStyle w:val="ListParagraph"/>
              <w:numPr>
                <w:ilvl w:val="0"/>
                <w:numId w:val="19"/>
              </w:numPr>
              <w:spacing w:after="0" w:line="240" w:lineRule="auto"/>
              <w:jc w:val="left"/>
              <w:rPr>
                <w:sz w:val="18"/>
                <w:szCs w:val="18"/>
              </w:rPr>
            </w:pPr>
            <w:r w:rsidRPr="00130A36">
              <w:rPr>
                <w:rFonts w:eastAsia="Arial" w:cs="Arial"/>
                <w:sz w:val="18"/>
                <w:szCs w:val="18"/>
              </w:rPr>
              <w:t xml:space="preserve">appropriate training records, including effectiveness, will be kept </w:t>
            </w:r>
          </w:p>
          <w:p w14:paraId="4731C50D" w14:textId="0F20B97E" w:rsidR="1B502AF9" w:rsidRDefault="1B502AF9" w:rsidP="00E93F9E">
            <w:pPr>
              <w:spacing w:after="0"/>
              <w:jc w:val="left"/>
              <w:rPr>
                <w:rFonts w:eastAsia="Arial" w:cs="Arial"/>
                <w:i/>
                <w:iCs/>
                <w:sz w:val="18"/>
                <w:szCs w:val="18"/>
              </w:rPr>
            </w:pPr>
            <w:r w:rsidRPr="1B502AF9">
              <w:rPr>
                <w:rFonts w:eastAsia="Arial" w:cs="Arial"/>
                <w:i/>
                <w:iCs/>
                <w:sz w:val="18"/>
                <w:szCs w:val="18"/>
              </w:rPr>
              <w:t>Sales</w:t>
            </w:r>
          </w:p>
          <w:p w14:paraId="4B342D95" w14:textId="142DF4A4" w:rsidR="1B502AF9" w:rsidRDefault="1B502AF9" w:rsidP="00E93F9E">
            <w:pPr>
              <w:spacing w:after="0"/>
              <w:jc w:val="left"/>
              <w:rPr>
                <w:rFonts w:eastAsia="Arial" w:cs="Arial"/>
                <w:sz w:val="18"/>
                <w:szCs w:val="18"/>
              </w:rPr>
            </w:pPr>
            <w:r w:rsidRPr="1B502AF9">
              <w:rPr>
                <w:rFonts w:eastAsia="Arial" w:cs="Arial"/>
                <w:sz w:val="18"/>
                <w:szCs w:val="18"/>
              </w:rPr>
              <w:t xml:space="preserve">A person must demonstrate that: </w:t>
            </w:r>
          </w:p>
          <w:p w14:paraId="63F15BFF" w14:textId="7B9F04E5" w:rsidR="1B502AF9" w:rsidRPr="00130A36" w:rsidRDefault="1B502AF9" w:rsidP="00E93F9E">
            <w:pPr>
              <w:pStyle w:val="ListParagraph"/>
              <w:numPr>
                <w:ilvl w:val="0"/>
                <w:numId w:val="18"/>
              </w:numPr>
              <w:spacing w:after="0" w:line="240" w:lineRule="auto"/>
              <w:jc w:val="left"/>
              <w:rPr>
                <w:sz w:val="18"/>
                <w:szCs w:val="18"/>
              </w:rPr>
            </w:pPr>
            <w:r w:rsidRPr="00130A36">
              <w:rPr>
                <w:rFonts w:eastAsia="Arial" w:cs="Arial"/>
                <w:sz w:val="18"/>
                <w:szCs w:val="18"/>
              </w:rPr>
              <w:t xml:space="preserve">an accurate record of all smoked tobacco product sales will be kept, including product type, brand, </w:t>
            </w:r>
            <w:proofErr w:type="gramStart"/>
            <w:r w:rsidRPr="00130A36">
              <w:rPr>
                <w:rFonts w:eastAsia="Arial" w:cs="Arial"/>
                <w:sz w:val="18"/>
                <w:szCs w:val="18"/>
              </w:rPr>
              <w:t>quantity</w:t>
            </w:r>
            <w:proofErr w:type="gramEnd"/>
            <w:r w:rsidRPr="00130A36">
              <w:rPr>
                <w:rFonts w:eastAsia="Arial" w:cs="Arial"/>
                <w:sz w:val="18"/>
                <w:szCs w:val="18"/>
              </w:rPr>
              <w:t xml:space="preserve"> and price</w:t>
            </w:r>
          </w:p>
          <w:p w14:paraId="737CD2C5" w14:textId="604B87B3" w:rsidR="1B502AF9" w:rsidRPr="00130A36" w:rsidRDefault="1B502AF9" w:rsidP="00E93F9E">
            <w:pPr>
              <w:pStyle w:val="ListParagraph"/>
              <w:numPr>
                <w:ilvl w:val="0"/>
                <w:numId w:val="18"/>
              </w:numPr>
              <w:spacing w:after="0" w:line="240" w:lineRule="auto"/>
              <w:jc w:val="left"/>
              <w:rPr>
                <w:sz w:val="18"/>
                <w:szCs w:val="18"/>
              </w:rPr>
            </w:pPr>
            <w:r w:rsidRPr="00130A36">
              <w:rPr>
                <w:rFonts w:eastAsia="Arial" w:cs="Arial"/>
                <w:sz w:val="18"/>
                <w:szCs w:val="18"/>
              </w:rPr>
              <w:t>systems are in place to prevent sales to minors/the smokefree generation.</w:t>
            </w:r>
          </w:p>
          <w:p w14:paraId="58CA7F72" w14:textId="4DE858EC" w:rsidR="1B502AF9" w:rsidRDefault="1B502AF9" w:rsidP="00E93F9E">
            <w:pPr>
              <w:spacing w:after="0"/>
              <w:jc w:val="left"/>
              <w:rPr>
                <w:rFonts w:eastAsia="Arial" w:cs="Arial"/>
                <w:i/>
                <w:iCs/>
                <w:sz w:val="18"/>
                <w:szCs w:val="18"/>
              </w:rPr>
            </w:pPr>
            <w:r w:rsidRPr="1B502AF9">
              <w:rPr>
                <w:rFonts w:eastAsia="Arial" w:cs="Arial"/>
                <w:i/>
                <w:iCs/>
                <w:sz w:val="18"/>
                <w:szCs w:val="18"/>
              </w:rPr>
              <w:t>Sales - Online</w:t>
            </w:r>
          </w:p>
          <w:p w14:paraId="4FCA771E" w14:textId="6903F9DC" w:rsidR="1B502AF9" w:rsidRDefault="1B502AF9" w:rsidP="00944476">
            <w:pPr>
              <w:spacing w:after="0" w:line="240" w:lineRule="auto"/>
              <w:jc w:val="left"/>
              <w:rPr>
                <w:rFonts w:eastAsia="Arial" w:cs="Arial"/>
                <w:sz w:val="18"/>
                <w:szCs w:val="18"/>
              </w:rPr>
            </w:pPr>
            <w:r w:rsidRPr="1B502AF9">
              <w:rPr>
                <w:rFonts w:eastAsia="Arial" w:cs="Arial"/>
                <w:sz w:val="18"/>
                <w:szCs w:val="18"/>
              </w:rPr>
              <w:t>If a person is permitted to sell online, then they must also demonstrate that systems are in place to ensure conditions of approval are met (</w:t>
            </w:r>
            <w:r w:rsidR="303D0E08" w:rsidRPr="2082214B">
              <w:rPr>
                <w:rFonts w:eastAsia="Arial" w:cs="Arial"/>
                <w:sz w:val="18"/>
                <w:szCs w:val="18"/>
              </w:rPr>
              <w:t>e</w:t>
            </w:r>
            <w:r w:rsidR="4B7088CF" w:rsidRPr="2082214B">
              <w:rPr>
                <w:rFonts w:eastAsia="Arial" w:cs="Arial"/>
                <w:sz w:val="18"/>
                <w:szCs w:val="18"/>
              </w:rPr>
              <w:t>.</w:t>
            </w:r>
            <w:r w:rsidR="303D0E08" w:rsidRPr="2082214B">
              <w:rPr>
                <w:rFonts w:eastAsia="Arial" w:cs="Arial"/>
                <w:sz w:val="18"/>
                <w:szCs w:val="18"/>
              </w:rPr>
              <w:t>g</w:t>
            </w:r>
            <w:r w:rsidR="6E698540" w:rsidRPr="2082214B">
              <w:rPr>
                <w:rFonts w:eastAsia="Arial" w:cs="Arial"/>
                <w:sz w:val="18"/>
                <w:szCs w:val="18"/>
              </w:rPr>
              <w:t>.</w:t>
            </w:r>
            <w:r w:rsidR="45B5C1A3" w:rsidRPr="2082214B">
              <w:rPr>
                <w:rFonts w:eastAsia="Arial" w:cs="Arial"/>
                <w:sz w:val="18"/>
                <w:szCs w:val="18"/>
              </w:rPr>
              <w:t>,</w:t>
            </w:r>
            <w:r w:rsidRPr="1B502AF9">
              <w:rPr>
                <w:rFonts w:eastAsia="Arial" w:cs="Arial"/>
                <w:sz w:val="18"/>
                <w:szCs w:val="18"/>
              </w:rPr>
              <w:t xml:space="preserve"> the identified geographic area that a person can sell within, the use of a specified internet site for sales).</w:t>
            </w:r>
          </w:p>
          <w:p w14:paraId="2A76F6E7" w14:textId="483143B3" w:rsidR="1B502AF9" w:rsidRDefault="1B502AF9" w:rsidP="00944476">
            <w:pPr>
              <w:spacing w:after="0"/>
              <w:jc w:val="left"/>
              <w:rPr>
                <w:rFonts w:eastAsia="Arial" w:cs="Arial"/>
                <w:i/>
                <w:iCs/>
                <w:sz w:val="18"/>
                <w:szCs w:val="18"/>
              </w:rPr>
            </w:pPr>
            <w:r w:rsidRPr="1B502AF9">
              <w:rPr>
                <w:rFonts w:eastAsia="Arial" w:cs="Arial"/>
                <w:i/>
                <w:iCs/>
                <w:sz w:val="18"/>
                <w:szCs w:val="18"/>
              </w:rPr>
              <w:t>Delivery</w:t>
            </w:r>
          </w:p>
          <w:p w14:paraId="73F181AF" w14:textId="5BF8D8B4" w:rsidR="1B502AF9" w:rsidRDefault="1B502AF9" w:rsidP="00FF391D">
            <w:pPr>
              <w:spacing w:after="60" w:line="240" w:lineRule="auto"/>
              <w:jc w:val="left"/>
              <w:rPr>
                <w:rFonts w:eastAsia="Arial" w:cs="Arial"/>
                <w:sz w:val="18"/>
                <w:szCs w:val="18"/>
              </w:rPr>
            </w:pPr>
            <w:r w:rsidRPr="1B502AF9">
              <w:rPr>
                <w:rFonts w:eastAsia="Arial" w:cs="Arial"/>
                <w:sz w:val="18"/>
                <w:szCs w:val="18"/>
              </w:rPr>
              <w:t>A person must demonstrate that systems are in place to ensure that smoked tobacco products are not delivered to minors/the smokefree generation, including for online sales where these are permitted.</w:t>
            </w:r>
          </w:p>
        </w:tc>
        <w:tc>
          <w:tcPr>
            <w:tcW w:w="2677" w:type="dxa"/>
            <w:tcBorders>
              <w:top w:val="single" w:sz="8" w:space="0" w:color="A6A6A6" w:themeColor="background1" w:themeShade="A6"/>
              <w:left w:val="single" w:sz="8" w:space="0" w:color="A6A6A6" w:themeColor="background1" w:themeShade="A6"/>
              <w:bottom w:val="single" w:sz="8" w:space="0" w:color="A6A6A6" w:themeColor="background1" w:themeShade="A6"/>
              <w:right w:val="nil"/>
            </w:tcBorders>
            <w:tcMar>
              <w:left w:w="108" w:type="dxa"/>
              <w:right w:w="108" w:type="dxa"/>
            </w:tcMar>
          </w:tcPr>
          <w:p w14:paraId="7BE35633" w14:textId="15B354C3" w:rsidR="1B502AF9" w:rsidRDefault="1B502AF9" w:rsidP="00D275B0">
            <w:pPr>
              <w:jc w:val="left"/>
              <w:rPr>
                <w:rFonts w:eastAsia="Arial" w:cs="Arial"/>
                <w:i/>
                <w:iCs/>
                <w:sz w:val="18"/>
                <w:szCs w:val="18"/>
              </w:rPr>
            </w:pPr>
            <w:r w:rsidRPr="1B502AF9">
              <w:rPr>
                <w:rFonts w:eastAsia="Arial" w:cs="Arial"/>
                <w:i/>
                <w:iCs/>
                <w:sz w:val="18"/>
                <w:szCs w:val="18"/>
              </w:rPr>
              <w:t>No changes have been made.</w:t>
            </w:r>
          </w:p>
        </w:tc>
      </w:tr>
      <w:tr w:rsidR="1B502AF9" w14:paraId="4D05BD59" w14:textId="77777777" w:rsidTr="00D275B0">
        <w:trPr>
          <w:trHeight w:val="300"/>
        </w:trPr>
        <w:tc>
          <w:tcPr>
            <w:tcW w:w="1418" w:type="dxa"/>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tcMar>
              <w:left w:w="108" w:type="dxa"/>
              <w:right w:w="108" w:type="dxa"/>
            </w:tcMar>
          </w:tcPr>
          <w:p w14:paraId="547FC6BE" w14:textId="5644758D" w:rsidR="1B502AF9" w:rsidRDefault="1B502AF9" w:rsidP="006E083E">
            <w:pPr>
              <w:spacing w:before="60" w:line="240" w:lineRule="auto"/>
              <w:jc w:val="left"/>
              <w:rPr>
                <w:rFonts w:eastAsia="Arial" w:cs="Arial"/>
                <w:sz w:val="18"/>
                <w:szCs w:val="18"/>
              </w:rPr>
            </w:pPr>
            <w:r w:rsidRPr="1B502AF9">
              <w:rPr>
                <w:rFonts w:eastAsia="Arial" w:cs="Arial"/>
                <w:sz w:val="18"/>
                <w:szCs w:val="18"/>
              </w:rPr>
              <w:t xml:space="preserve">Be a </w:t>
            </w:r>
            <w:r w:rsidRPr="1B502AF9">
              <w:rPr>
                <w:rFonts w:eastAsia="Arial" w:cs="Arial"/>
                <w:b/>
                <w:bCs/>
                <w:sz w:val="18"/>
                <w:szCs w:val="18"/>
              </w:rPr>
              <w:t>‘fit and proper’</w:t>
            </w:r>
            <w:r w:rsidRPr="1B502AF9">
              <w:rPr>
                <w:rFonts w:eastAsia="Arial" w:cs="Arial"/>
                <w:sz w:val="18"/>
                <w:szCs w:val="18"/>
              </w:rPr>
              <w:t xml:space="preserve"> person </w:t>
            </w:r>
          </w:p>
        </w:tc>
        <w:tc>
          <w:tcPr>
            <w:tcW w:w="51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tcPr>
          <w:p w14:paraId="0787A866" w14:textId="0895303E" w:rsidR="1B502AF9" w:rsidRDefault="1B502AF9" w:rsidP="00FF391D">
            <w:pPr>
              <w:spacing w:after="0"/>
              <w:jc w:val="left"/>
              <w:rPr>
                <w:rFonts w:eastAsia="Arial" w:cs="Arial"/>
                <w:sz w:val="18"/>
                <w:szCs w:val="18"/>
              </w:rPr>
            </w:pPr>
            <w:r w:rsidRPr="1B502AF9">
              <w:rPr>
                <w:rFonts w:eastAsia="Arial" w:cs="Arial"/>
                <w:sz w:val="18"/>
                <w:szCs w:val="18"/>
              </w:rPr>
              <w:t xml:space="preserve">The Director-General must be satisfied that the person: </w:t>
            </w:r>
          </w:p>
          <w:p w14:paraId="7E2944C0" w14:textId="77777777" w:rsidR="003319DB" w:rsidRDefault="1B502AF9" w:rsidP="003319DB">
            <w:pPr>
              <w:pStyle w:val="ListParagraph"/>
              <w:numPr>
                <w:ilvl w:val="0"/>
                <w:numId w:val="18"/>
              </w:numPr>
              <w:spacing w:after="0" w:line="240" w:lineRule="auto"/>
              <w:jc w:val="left"/>
              <w:rPr>
                <w:rFonts w:eastAsia="Arial" w:cs="Arial"/>
                <w:sz w:val="18"/>
                <w:szCs w:val="18"/>
              </w:rPr>
            </w:pPr>
            <w:r w:rsidRPr="1B502AF9">
              <w:rPr>
                <w:rFonts w:eastAsia="Arial" w:cs="Arial"/>
                <w:sz w:val="18"/>
                <w:szCs w:val="18"/>
              </w:rPr>
              <w:t>is over the age of 18</w:t>
            </w:r>
          </w:p>
          <w:p w14:paraId="3EE847E1" w14:textId="1A530666" w:rsidR="1B502AF9" w:rsidRPr="003319DB" w:rsidRDefault="1B502AF9" w:rsidP="003319DB">
            <w:pPr>
              <w:pStyle w:val="ListParagraph"/>
              <w:numPr>
                <w:ilvl w:val="0"/>
                <w:numId w:val="18"/>
              </w:numPr>
              <w:spacing w:after="0" w:line="240" w:lineRule="auto"/>
              <w:jc w:val="left"/>
              <w:rPr>
                <w:rFonts w:eastAsia="Arial" w:cs="Arial"/>
                <w:sz w:val="18"/>
                <w:szCs w:val="18"/>
              </w:rPr>
            </w:pPr>
            <w:r w:rsidRPr="003319DB">
              <w:rPr>
                <w:rFonts w:eastAsia="Arial" w:cs="Arial"/>
                <w:sz w:val="18"/>
                <w:szCs w:val="18"/>
              </w:rPr>
              <w:t>has not had a conviction, in the last 7 years, for-</w:t>
            </w:r>
          </w:p>
          <w:p w14:paraId="47590018" w14:textId="123FC471" w:rsidR="1B502AF9" w:rsidRDefault="1B502AF9" w:rsidP="00590F41">
            <w:pPr>
              <w:pStyle w:val="ListParagraph"/>
              <w:numPr>
                <w:ilvl w:val="1"/>
                <w:numId w:val="21"/>
              </w:numPr>
              <w:spacing w:after="0"/>
              <w:ind w:left="1162" w:hanging="284"/>
              <w:jc w:val="left"/>
              <w:rPr>
                <w:szCs w:val="22"/>
              </w:rPr>
            </w:pPr>
            <w:r w:rsidRPr="1B502AF9">
              <w:rPr>
                <w:rFonts w:eastAsia="Arial" w:cs="Arial"/>
                <w:sz w:val="18"/>
                <w:szCs w:val="18"/>
              </w:rPr>
              <w:t>an offence against the Smokefree Act; or</w:t>
            </w:r>
          </w:p>
          <w:p w14:paraId="016BF10C" w14:textId="242AEDD2" w:rsidR="1B502AF9" w:rsidRDefault="1B502AF9" w:rsidP="00590F41">
            <w:pPr>
              <w:pStyle w:val="ListParagraph"/>
              <w:numPr>
                <w:ilvl w:val="1"/>
                <w:numId w:val="21"/>
              </w:numPr>
              <w:spacing w:after="0"/>
              <w:ind w:left="1162" w:hanging="284"/>
              <w:jc w:val="left"/>
              <w:rPr>
                <w:szCs w:val="22"/>
              </w:rPr>
            </w:pPr>
            <w:r w:rsidRPr="1B502AF9">
              <w:rPr>
                <w:rFonts w:eastAsia="Arial" w:cs="Arial"/>
                <w:sz w:val="18"/>
                <w:szCs w:val="18"/>
              </w:rPr>
              <w:t>an offence against Part 6 of the Customs and Excise Act 2018; or</w:t>
            </w:r>
          </w:p>
          <w:p w14:paraId="06914B25" w14:textId="4CDBB3C6" w:rsidR="1B502AF9" w:rsidRDefault="1B502AF9" w:rsidP="00590F41">
            <w:pPr>
              <w:pStyle w:val="ListParagraph"/>
              <w:numPr>
                <w:ilvl w:val="1"/>
                <w:numId w:val="21"/>
              </w:numPr>
              <w:spacing w:after="0"/>
              <w:ind w:left="1162" w:hanging="284"/>
              <w:jc w:val="left"/>
              <w:rPr>
                <w:szCs w:val="22"/>
              </w:rPr>
            </w:pPr>
            <w:r w:rsidRPr="1B502AF9">
              <w:rPr>
                <w:rFonts w:eastAsia="Arial" w:cs="Arial"/>
                <w:sz w:val="18"/>
                <w:szCs w:val="18"/>
              </w:rPr>
              <w:t>an offence against the Sale and Supply of Alcohol Act 2012; or</w:t>
            </w:r>
          </w:p>
          <w:p w14:paraId="25173903" w14:textId="6AA3DCC0" w:rsidR="1B502AF9" w:rsidRDefault="1B502AF9" w:rsidP="00590F41">
            <w:pPr>
              <w:pStyle w:val="ListParagraph"/>
              <w:numPr>
                <w:ilvl w:val="1"/>
                <w:numId w:val="21"/>
              </w:numPr>
              <w:spacing w:after="0"/>
              <w:ind w:left="1162" w:hanging="284"/>
              <w:jc w:val="left"/>
              <w:rPr>
                <w:szCs w:val="22"/>
              </w:rPr>
            </w:pPr>
            <w:r w:rsidRPr="1B502AF9">
              <w:rPr>
                <w:rFonts w:eastAsia="Arial" w:cs="Arial"/>
                <w:sz w:val="18"/>
                <w:szCs w:val="18"/>
              </w:rPr>
              <w:t>a crime involving dishonesty (as defined in section 2 of the Crimes Act 1961).</w:t>
            </w:r>
          </w:p>
          <w:p w14:paraId="5578477D" w14:textId="606DFAFF" w:rsidR="1B502AF9" w:rsidRDefault="1B502AF9" w:rsidP="00590F41">
            <w:pPr>
              <w:tabs>
                <w:tab w:val="left" w:pos="720"/>
              </w:tabs>
              <w:spacing w:after="60" w:line="240" w:lineRule="auto"/>
              <w:jc w:val="left"/>
              <w:rPr>
                <w:rFonts w:eastAsia="Arial" w:cs="Arial"/>
                <w:sz w:val="18"/>
                <w:szCs w:val="18"/>
              </w:rPr>
            </w:pPr>
            <w:r w:rsidRPr="1B502AF9">
              <w:rPr>
                <w:rFonts w:eastAsia="Arial" w:cs="Arial"/>
                <w:sz w:val="18"/>
                <w:szCs w:val="18"/>
              </w:rPr>
              <w:t>The Director-General may also have regard to any other matters that the Director-General thinks are relevant, including non-compliance with the Smokefree Act.</w:t>
            </w:r>
          </w:p>
          <w:p w14:paraId="199D5260" w14:textId="56C7A169" w:rsidR="1B502AF9" w:rsidRDefault="1B502AF9" w:rsidP="00590F41">
            <w:pPr>
              <w:tabs>
                <w:tab w:val="left" w:pos="720"/>
              </w:tabs>
              <w:spacing w:after="60" w:line="240" w:lineRule="auto"/>
              <w:jc w:val="left"/>
              <w:rPr>
                <w:rFonts w:eastAsia="Arial" w:cs="Arial"/>
                <w:sz w:val="18"/>
                <w:szCs w:val="18"/>
              </w:rPr>
            </w:pPr>
            <w:r w:rsidRPr="1B502AF9">
              <w:rPr>
                <w:rFonts w:eastAsia="Arial" w:cs="Arial"/>
                <w:sz w:val="18"/>
                <w:szCs w:val="18"/>
              </w:rPr>
              <w:t xml:space="preserve">To ascertain whether a responsible person has a conviction for a </w:t>
            </w:r>
            <w:r w:rsidR="6C41EE78" w:rsidRPr="1B502AF9">
              <w:rPr>
                <w:rFonts w:eastAsia="Arial" w:cs="Arial"/>
                <w:sz w:val="18"/>
                <w:szCs w:val="18"/>
              </w:rPr>
              <w:t>crime,</w:t>
            </w:r>
            <w:r w:rsidRPr="1B502AF9">
              <w:rPr>
                <w:rFonts w:eastAsia="Arial" w:cs="Arial"/>
                <w:sz w:val="18"/>
                <w:szCs w:val="18"/>
              </w:rPr>
              <w:t xml:space="preserve"> or an offence referred to above, the Director-General must ask the </w:t>
            </w:r>
            <w:r w:rsidR="58337E94" w:rsidRPr="36D269BB">
              <w:rPr>
                <w:rFonts w:eastAsia="Arial" w:cs="Arial"/>
                <w:sz w:val="18"/>
                <w:szCs w:val="18"/>
              </w:rPr>
              <w:t>C</w:t>
            </w:r>
            <w:r w:rsidR="17CCC416" w:rsidRPr="36D269BB">
              <w:rPr>
                <w:rFonts w:eastAsia="Arial" w:cs="Arial"/>
                <w:sz w:val="18"/>
                <w:szCs w:val="18"/>
              </w:rPr>
              <w:t xml:space="preserve">hief </w:t>
            </w:r>
            <w:r w:rsidR="435E044F" w:rsidRPr="36D269BB">
              <w:rPr>
                <w:rFonts w:eastAsia="Arial" w:cs="Arial"/>
                <w:sz w:val="18"/>
                <w:szCs w:val="18"/>
              </w:rPr>
              <w:t>E</w:t>
            </w:r>
            <w:r w:rsidR="17CCC416" w:rsidRPr="36D269BB">
              <w:rPr>
                <w:rFonts w:eastAsia="Arial" w:cs="Arial"/>
                <w:sz w:val="18"/>
                <w:szCs w:val="18"/>
              </w:rPr>
              <w:t>xecutive</w:t>
            </w:r>
            <w:r w:rsidRPr="1B502AF9">
              <w:rPr>
                <w:rFonts w:eastAsia="Arial" w:cs="Arial"/>
                <w:sz w:val="18"/>
                <w:szCs w:val="18"/>
              </w:rPr>
              <w:t xml:space="preserve"> of the Ministry of Justice to check whether the person has a conviction of that type.</w:t>
            </w:r>
          </w:p>
        </w:tc>
        <w:tc>
          <w:tcPr>
            <w:tcW w:w="2677" w:type="dxa"/>
            <w:tcBorders>
              <w:top w:val="single" w:sz="8" w:space="0" w:color="A6A6A6" w:themeColor="background1" w:themeShade="A6"/>
              <w:left w:val="single" w:sz="8" w:space="0" w:color="A6A6A6" w:themeColor="background1" w:themeShade="A6"/>
              <w:bottom w:val="single" w:sz="8" w:space="0" w:color="A6A6A6" w:themeColor="background1" w:themeShade="A6"/>
              <w:right w:val="nil"/>
            </w:tcBorders>
            <w:tcMar>
              <w:left w:w="108" w:type="dxa"/>
              <w:right w:w="108" w:type="dxa"/>
            </w:tcMar>
          </w:tcPr>
          <w:p w14:paraId="0B1AB159" w14:textId="32EBFBA1" w:rsidR="1B502AF9" w:rsidRDefault="1B502AF9" w:rsidP="004757D3">
            <w:pPr>
              <w:spacing w:before="60" w:line="240" w:lineRule="auto"/>
              <w:jc w:val="left"/>
              <w:rPr>
                <w:rFonts w:eastAsia="Arial" w:cs="Arial"/>
                <w:i/>
                <w:iCs/>
                <w:sz w:val="18"/>
                <w:szCs w:val="18"/>
              </w:rPr>
            </w:pPr>
            <w:r w:rsidRPr="1B502AF9">
              <w:rPr>
                <w:rFonts w:eastAsia="Arial" w:cs="Arial"/>
                <w:i/>
                <w:iCs/>
                <w:sz w:val="18"/>
                <w:szCs w:val="18"/>
              </w:rPr>
              <w:t>Changes have been made to include a 7-year time frame for convictions aligned with clean slate requirements. Several proposals from the consultation document, such as compliance history, are given effect by the ability of the Director-General to have regard to other matters.</w:t>
            </w:r>
          </w:p>
        </w:tc>
      </w:tr>
    </w:tbl>
    <w:p w14:paraId="21818C32" w14:textId="77777777" w:rsidR="008B7786" w:rsidRPr="008B7E09" w:rsidRDefault="008B7786" w:rsidP="008B7E09">
      <w:pPr>
        <w:spacing w:after="0" w:line="240" w:lineRule="auto"/>
        <w:textAlignment w:val="baseline"/>
        <w:rPr>
          <w:rFonts w:cs="Arial"/>
          <w:sz w:val="24"/>
          <w:szCs w:val="24"/>
          <w:lang w:val="en-NZ" w:eastAsia="en-NZ"/>
        </w:rPr>
      </w:pPr>
    </w:p>
    <w:p w14:paraId="2159C3FF" w14:textId="671987FD" w:rsidR="00F21DC1" w:rsidRPr="00F21DC1" w:rsidRDefault="0094287E" w:rsidP="00683153">
      <w:pPr>
        <w:spacing w:before="120" w:after="120"/>
        <w:rPr>
          <w:lang w:val="en-NZ"/>
        </w:rPr>
      </w:pPr>
      <w:r>
        <w:rPr>
          <w:lang w:val="en-NZ"/>
        </w:rPr>
        <w:t xml:space="preserve">The options for </w:t>
      </w:r>
      <w:r w:rsidR="00964D1A">
        <w:rPr>
          <w:lang w:val="en-NZ"/>
        </w:rPr>
        <w:t xml:space="preserve">additional </w:t>
      </w:r>
      <w:r>
        <w:rPr>
          <w:lang w:val="en-NZ"/>
        </w:rPr>
        <w:t>approval criteria are:</w:t>
      </w:r>
    </w:p>
    <w:p w14:paraId="00861FFE" w14:textId="30B40CEB" w:rsidR="00294646" w:rsidRPr="00604345" w:rsidRDefault="007D78A1" w:rsidP="00683153">
      <w:pPr>
        <w:pStyle w:val="Heading4"/>
        <w:spacing w:after="120"/>
        <w:rPr>
          <w:lang w:val="en-NZ"/>
        </w:rPr>
      </w:pPr>
      <w:r w:rsidRPr="00A864A5">
        <w:rPr>
          <w:lang w:val="en-NZ"/>
        </w:rPr>
        <w:t xml:space="preserve">Option </w:t>
      </w:r>
      <w:r w:rsidR="008B7786">
        <w:rPr>
          <w:lang w:val="en-NZ"/>
        </w:rPr>
        <w:t>1</w:t>
      </w:r>
      <w:r w:rsidRPr="00A864A5">
        <w:rPr>
          <w:lang w:val="en-NZ"/>
        </w:rPr>
        <w:t xml:space="preserve"> </w:t>
      </w:r>
      <w:r w:rsidR="000038BB">
        <w:rPr>
          <w:lang w:val="en-NZ"/>
        </w:rPr>
        <w:t>(Counterfactual)</w:t>
      </w:r>
    </w:p>
    <w:p w14:paraId="6578772B" w14:textId="03939C94" w:rsidR="000038BB" w:rsidRPr="009B0842" w:rsidRDefault="000038BB" w:rsidP="00683153">
      <w:pPr>
        <w:spacing w:before="120" w:after="120"/>
        <w:rPr>
          <w:lang w:val="en-NZ"/>
        </w:rPr>
      </w:pPr>
      <w:r w:rsidRPr="009B0842">
        <w:rPr>
          <w:lang w:val="en-NZ"/>
        </w:rPr>
        <w:t xml:space="preserve">No additional </w:t>
      </w:r>
      <w:r w:rsidR="00964D1A">
        <w:rPr>
          <w:lang w:val="en-NZ"/>
        </w:rPr>
        <w:t>approval</w:t>
      </w:r>
      <w:r w:rsidRPr="009B0842">
        <w:rPr>
          <w:lang w:val="en-NZ"/>
        </w:rPr>
        <w:t xml:space="preserve"> </w:t>
      </w:r>
      <w:r w:rsidR="00DB5F75">
        <w:rPr>
          <w:lang w:val="en-NZ"/>
        </w:rPr>
        <w:t>requiremen</w:t>
      </w:r>
      <w:r w:rsidR="00EA612C">
        <w:rPr>
          <w:lang w:val="en-NZ"/>
        </w:rPr>
        <w:t>t</w:t>
      </w:r>
      <w:r w:rsidR="00DB5F75">
        <w:rPr>
          <w:lang w:val="en-NZ"/>
        </w:rPr>
        <w:t>s</w:t>
      </w:r>
      <w:r w:rsidR="00DB5F75" w:rsidRPr="009B0842">
        <w:rPr>
          <w:lang w:val="en-NZ"/>
        </w:rPr>
        <w:t xml:space="preserve"> </w:t>
      </w:r>
      <w:r w:rsidRPr="009B0842">
        <w:rPr>
          <w:lang w:val="en-NZ"/>
        </w:rPr>
        <w:t>are set for smoked tobacco retailers.</w:t>
      </w:r>
      <w:r w:rsidR="005702A5">
        <w:rPr>
          <w:lang w:val="en-NZ"/>
        </w:rPr>
        <w:t xml:space="preserve"> Retailers are assessed only against the requirements in the </w:t>
      </w:r>
      <w:r w:rsidR="00E564E5">
        <w:rPr>
          <w:lang w:val="en-NZ"/>
        </w:rPr>
        <w:t xml:space="preserve">Amendment </w:t>
      </w:r>
      <w:r w:rsidR="005702A5">
        <w:rPr>
          <w:lang w:val="en-NZ"/>
        </w:rPr>
        <w:t>Act.</w:t>
      </w:r>
    </w:p>
    <w:p w14:paraId="0F6FCE9D" w14:textId="3A0E7C07" w:rsidR="00570E3F" w:rsidRDefault="00570E3F" w:rsidP="00683153">
      <w:pPr>
        <w:pStyle w:val="Heading4"/>
        <w:spacing w:after="120"/>
        <w:rPr>
          <w:lang w:val="en-NZ"/>
        </w:rPr>
      </w:pPr>
      <w:r w:rsidRPr="00A864A5">
        <w:rPr>
          <w:lang w:val="en-NZ"/>
        </w:rPr>
        <w:t xml:space="preserve">Option </w:t>
      </w:r>
      <w:r w:rsidR="008B7786">
        <w:rPr>
          <w:lang w:val="en-NZ"/>
        </w:rPr>
        <w:t>2</w:t>
      </w:r>
    </w:p>
    <w:p w14:paraId="01CFC9DC" w14:textId="1E412B9C" w:rsidR="006448CF" w:rsidRDefault="00964D1A" w:rsidP="00683153">
      <w:pPr>
        <w:spacing w:before="120" w:after="120"/>
        <w:rPr>
          <w:lang w:val="en-NZ"/>
        </w:rPr>
      </w:pPr>
      <w:r>
        <w:rPr>
          <w:lang w:val="en-NZ"/>
        </w:rPr>
        <w:t>Additional</w:t>
      </w:r>
      <w:r w:rsidR="000D2947">
        <w:rPr>
          <w:lang w:val="en-NZ"/>
        </w:rPr>
        <w:t xml:space="preserve"> approval </w:t>
      </w:r>
      <w:r w:rsidR="00DB5F75">
        <w:rPr>
          <w:lang w:val="en-NZ"/>
        </w:rPr>
        <w:t>requirements</w:t>
      </w:r>
      <w:r w:rsidR="00EA612C">
        <w:rPr>
          <w:lang w:val="en-NZ"/>
        </w:rPr>
        <w:t xml:space="preserve"> for</w:t>
      </w:r>
      <w:r w:rsidR="000D2947">
        <w:rPr>
          <w:lang w:val="en-NZ"/>
        </w:rPr>
        <w:t xml:space="preserve"> smoked tobacco retailers set out in regulations.</w:t>
      </w:r>
    </w:p>
    <w:p w14:paraId="1507605B" w14:textId="4691354E" w:rsidR="001D364F" w:rsidRPr="00A02375" w:rsidRDefault="001D364F" w:rsidP="00C701A2">
      <w:pPr>
        <w:spacing w:after="60" w:line="240" w:lineRule="auto"/>
        <w:rPr>
          <w:rFonts w:cs="Arial"/>
          <w:b/>
          <w:sz w:val="20"/>
        </w:rPr>
      </w:pPr>
      <w:r w:rsidRPr="00A02375">
        <w:rPr>
          <w:rFonts w:cs="Arial"/>
          <w:b/>
          <w:sz w:val="20"/>
        </w:rPr>
        <w:t xml:space="preserve">Table </w:t>
      </w:r>
      <w:r w:rsidR="008B7786">
        <w:rPr>
          <w:rFonts w:cs="Arial"/>
          <w:b/>
          <w:bCs/>
          <w:sz w:val="20"/>
        </w:rPr>
        <w:t>6</w:t>
      </w:r>
      <w:r w:rsidRPr="00A02375">
        <w:rPr>
          <w:rFonts w:cs="Arial"/>
          <w:b/>
          <w:sz w:val="20"/>
        </w:rPr>
        <w:t>: Comparison of option</w:t>
      </w:r>
      <w:r w:rsidR="00C60E07">
        <w:rPr>
          <w:rFonts w:cs="Arial"/>
          <w:b/>
          <w:sz w:val="20"/>
        </w:rPr>
        <w:t>s</w:t>
      </w:r>
    </w:p>
    <w:tbl>
      <w:tblPr>
        <w:tblStyle w:val="TableGrid"/>
        <w:tblW w:w="9214" w:type="dxa"/>
        <w:tblLook w:val="04A0" w:firstRow="1" w:lastRow="0" w:firstColumn="1" w:lastColumn="0" w:noHBand="0" w:noVBand="1"/>
      </w:tblPr>
      <w:tblGrid>
        <w:gridCol w:w="1348"/>
        <w:gridCol w:w="3614"/>
        <w:gridCol w:w="4252"/>
      </w:tblGrid>
      <w:tr w:rsidR="001D364F" w:rsidRPr="00A02375" w14:paraId="5C960C5F" w14:textId="77777777" w:rsidTr="6F58FC51">
        <w:trPr>
          <w:trHeight w:val="42"/>
        </w:trPr>
        <w:tc>
          <w:tcPr>
            <w:tcW w:w="1348" w:type="dxa"/>
            <w:tcBorders>
              <w:top w:val="single" w:sz="4" w:space="0" w:color="auto"/>
              <w:left w:val="nil"/>
              <w:bottom w:val="single" w:sz="4" w:space="0" w:color="auto"/>
              <w:right w:val="nil"/>
            </w:tcBorders>
            <w:shd w:val="clear" w:color="auto" w:fill="E7E6E6" w:themeFill="background2"/>
          </w:tcPr>
          <w:p w14:paraId="5708454B" w14:textId="77777777" w:rsidR="001D364F" w:rsidRPr="00A02375" w:rsidRDefault="001D364F" w:rsidP="005F5CD1">
            <w:pPr>
              <w:spacing w:before="60" w:after="60" w:line="240" w:lineRule="auto"/>
              <w:jc w:val="left"/>
              <w:rPr>
                <w:rFonts w:cs="Arial"/>
                <w:b/>
                <w:sz w:val="18"/>
                <w:szCs w:val="18"/>
              </w:rPr>
            </w:pPr>
            <w:r w:rsidRPr="00A02375">
              <w:rPr>
                <w:rFonts w:cs="Arial"/>
                <w:b/>
                <w:sz w:val="18"/>
                <w:szCs w:val="18"/>
              </w:rPr>
              <w:t>Options</w:t>
            </w:r>
          </w:p>
        </w:tc>
        <w:tc>
          <w:tcPr>
            <w:tcW w:w="3614" w:type="dxa"/>
            <w:tcBorders>
              <w:top w:val="single" w:sz="4" w:space="0" w:color="auto"/>
              <w:left w:val="nil"/>
              <w:bottom w:val="single" w:sz="4" w:space="0" w:color="auto"/>
              <w:right w:val="nil"/>
            </w:tcBorders>
            <w:shd w:val="clear" w:color="auto" w:fill="E7E6E6" w:themeFill="background2"/>
          </w:tcPr>
          <w:p w14:paraId="73573DF6" w14:textId="5982ED8B" w:rsidR="001D364F" w:rsidRPr="00A02375" w:rsidRDefault="001D364F" w:rsidP="005F5CD1">
            <w:pPr>
              <w:spacing w:before="60" w:after="60" w:line="240" w:lineRule="auto"/>
              <w:jc w:val="left"/>
              <w:rPr>
                <w:rFonts w:cs="Arial"/>
                <w:sz w:val="18"/>
                <w:szCs w:val="18"/>
              </w:rPr>
            </w:pPr>
            <w:r w:rsidRPr="00A02375">
              <w:rPr>
                <w:rFonts w:cs="Arial"/>
                <w:b/>
                <w:sz w:val="18"/>
                <w:szCs w:val="18"/>
              </w:rPr>
              <w:t>Option 1 (counterfactual):</w:t>
            </w:r>
            <w:r w:rsidRPr="00A02375">
              <w:rPr>
                <w:rFonts w:cs="Arial"/>
                <w:sz w:val="18"/>
                <w:szCs w:val="18"/>
              </w:rPr>
              <w:t xml:space="preserve"> retailers assessed against requirements in Act</w:t>
            </w:r>
          </w:p>
        </w:tc>
        <w:tc>
          <w:tcPr>
            <w:tcW w:w="4252" w:type="dxa"/>
            <w:tcBorders>
              <w:left w:val="nil"/>
              <w:bottom w:val="single" w:sz="4" w:space="0" w:color="auto"/>
              <w:right w:val="nil"/>
            </w:tcBorders>
            <w:shd w:val="clear" w:color="auto" w:fill="E7E6E6" w:themeFill="background2"/>
          </w:tcPr>
          <w:p w14:paraId="74F0FFE6" w14:textId="77777777" w:rsidR="001D364F" w:rsidRPr="00A02375" w:rsidRDefault="001D364F" w:rsidP="005F5CD1">
            <w:pPr>
              <w:spacing w:before="60" w:after="60" w:line="240" w:lineRule="auto"/>
              <w:jc w:val="left"/>
              <w:rPr>
                <w:rFonts w:cs="Arial"/>
                <w:sz w:val="18"/>
                <w:szCs w:val="18"/>
                <w:lang w:eastAsia="en-AU"/>
              </w:rPr>
            </w:pPr>
            <w:r w:rsidRPr="00A02375">
              <w:rPr>
                <w:rFonts w:cs="Arial"/>
                <w:b/>
                <w:sz w:val="18"/>
                <w:szCs w:val="18"/>
              </w:rPr>
              <w:t xml:space="preserve">Option 2: </w:t>
            </w:r>
            <w:r w:rsidRPr="00A02375">
              <w:rPr>
                <w:rFonts w:cs="Arial"/>
                <w:sz w:val="18"/>
                <w:szCs w:val="18"/>
              </w:rPr>
              <w:t>additional approval requirements set in regulations</w:t>
            </w:r>
          </w:p>
        </w:tc>
      </w:tr>
      <w:tr w:rsidR="001D364F" w:rsidRPr="00A02375" w14:paraId="7D32F3B3" w14:textId="77777777" w:rsidTr="6F58FC51">
        <w:trPr>
          <w:trHeight w:val="71"/>
        </w:trPr>
        <w:tc>
          <w:tcPr>
            <w:tcW w:w="1348" w:type="dxa"/>
            <w:tcBorders>
              <w:top w:val="single" w:sz="4" w:space="0" w:color="auto"/>
              <w:left w:val="nil"/>
              <w:bottom w:val="single" w:sz="4" w:space="0" w:color="auto"/>
              <w:right w:val="nil"/>
            </w:tcBorders>
          </w:tcPr>
          <w:p w14:paraId="03656F0F" w14:textId="77777777" w:rsidR="001D364F" w:rsidRPr="00A02375" w:rsidRDefault="001D364F" w:rsidP="005F5CD1">
            <w:pPr>
              <w:spacing w:before="60" w:after="60" w:line="240" w:lineRule="auto"/>
              <w:jc w:val="left"/>
              <w:rPr>
                <w:rFonts w:cs="Arial"/>
                <w:sz w:val="18"/>
                <w:szCs w:val="18"/>
              </w:rPr>
            </w:pPr>
            <w:r w:rsidRPr="00A02375">
              <w:rPr>
                <w:rFonts w:cs="Arial"/>
                <w:sz w:val="18"/>
                <w:szCs w:val="18"/>
              </w:rPr>
              <w:t>Pros</w:t>
            </w:r>
          </w:p>
        </w:tc>
        <w:tc>
          <w:tcPr>
            <w:tcW w:w="3614" w:type="dxa"/>
            <w:tcBorders>
              <w:top w:val="single" w:sz="4" w:space="0" w:color="auto"/>
              <w:left w:val="nil"/>
              <w:bottom w:val="single" w:sz="4" w:space="0" w:color="auto"/>
              <w:right w:val="nil"/>
            </w:tcBorders>
          </w:tcPr>
          <w:p w14:paraId="65623E0E" w14:textId="449FCB5E" w:rsidR="001D364F" w:rsidRPr="00A02375" w:rsidRDefault="0079135C" w:rsidP="005F5CD1">
            <w:pPr>
              <w:spacing w:before="60" w:after="60" w:line="240" w:lineRule="auto"/>
              <w:jc w:val="left"/>
              <w:rPr>
                <w:rFonts w:cs="Arial"/>
                <w:sz w:val="18"/>
                <w:szCs w:val="18"/>
              </w:rPr>
            </w:pPr>
            <w:r>
              <w:rPr>
                <w:rFonts w:cs="Arial"/>
                <w:sz w:val="18"/>
                <w:szCs w:val="18"/>
              </w:rPr>
              <w:t>Possibly l</w:t>
            </w:r>
            <w:r w:rsidR="001D364F" w:rsidRPr="00A02375">
              <w:rPr>
                <w:rFonts w:cs="Arial"/>
                <w:sz w:val="18"/>
                <w:szCs w:val="18"/>
              </w:rPr>
              <w:t xml:space="preserve">ess </w:t>
            </w:r>
            <w:r w:rsidR="00200B51">
              <w:rPr>
                <w:rFonts w:cs="Arial"/>
                <w:sz w:val="18"/>
                <w:szCs w:val="18"/>
              </w:rPr>
              <w:t>cost</w:t>
            </w:r>
            <w:r w:rsidR="001D364F" w:rsidRPr="00A02375">
              <w:rPr>
                <w:rFonts w:cs="Arial"/>
                <w:sz w:val="18"/>
                <w:szCs w:val="18"/>
              </w:rPr>
              <w:t xml:space="preserve"> for businesses</w:t>
            </w:r>
            <w:r w:rsidR="00200B51">
              <w:rPr>
                <w:rFonts w:cs="Arial"/>
                <w:sz w:val="18"/>
                <w:szCs w:val="18"/>
              </w:rPr>
              <w:t xml:space="preserve"> that are</w:t>
            </w:r>
            <w:r>
              <w:rPr>
                <w:rFonts w:cs="Arial"/>
                <w:sz w:val="18"/>
                <w:szCs w:val="18"/>
              </w:rPr>
              <w:t xml:space="preserve"> approved (</w:t>
            </w:r>
            <w:r w:rsidR="4914B1FD" w:rsidRPr="2E84274F">
              <w:rPr>
                <w:rFonts w:cs="Arial"/>
                <w:sz w:val="18"/>
                <w:szCs w:val="18"/>
              </w:rPr>
              <w:t>i.</w:t>
            </w:r>
            <w:r w:rsidR="65A89A8A" w:rsidRPr="2E84274F">
              <w:rPr>
                <w:rFonts w:cs="Arial"/>
                <w:sz w:val="18"/>
                <w:szCs w:val="18"/>
              </w:rPr>
              <w:t>e</w:t>
            </w:r>
            <w:r w:rsidR="40148FA6" w:rsidRPr="2E84274F">
              <w:rPr>
                <w:rFonts w:cs="Arial"/>
                <w:sz w:val="18"/>
                <w:szCs w:val="18"/>
              </w:rPr>
              <w:t>.,</w:t>
            </w:r>
            <w:r>
              <w:rPr>
                <w:rFonts w:cs="Arial"/>
                <w:sz w:val="18"/>
                <w:szCs w:val="18"/>
              </w:rPr>
              <w:t xml:space="preserve"> lower set-up costs</w:t>
            </w:r>
            <w:r w:rsidR="002A72B3">
              <w:rPr>
                <w:rFonts w:cs="Arial"/>
                <w:sz w:val="18"/>
                <w:szCs w:val="18"/>
              </w:rPr>
              <w:t xml:space="preserve"> to </w:t>
            </w:r>
            <w:r w:rsidR="00331847">
              <w:rPr>
                <w:rFonts w:cs="Arial"/>
                <w:sz w:val="18"/>
                <w:szCs w:val="18"/>
              </w:rPr>
              <w:t xml:space="preserve">install additional security </w:t>
            </w:r>
            <w:r w:rsidR="00AC0302">
              <w:rPr>
                <w:rFonts w:cs="Arial"/>
                <w:sz w:val="18"/>
                <w:szCs w:val="18"/>
              </w:rPr>
              <w:t>systems or conduct staff training</w:t>
            </w:r>
            <w:r>
              <w:rPr>
                <w:rFonts w:cs="Arial"/>
                <w:sz w:val="18"/>
                <w:szCs w:val="18"/>
              </w:rPr>
              <w:t>)</w:t>
            </w:r>
          </w:p>
          <w:p w14:paraId="04F3945A" w14:textId="6BE7CA1A" w:rsidR="001D364F" w:rsidRPr="00A02375" w:rsidRDefault="001D364F" w:rsidP="005F5CD1">
            <w:pPr>
              <w:spacing w:before="60" w:after="60" w:line="240" w:lineRule="auto"/>
              <w:rPr>
                <w:rFonts w:cs="Arial"/>
                <w:sz w:val="18"/>
                <w:szCs w:val="18"/>
              </w:rPr>
            </w:pPr>
          </w:p>
        </w:tc>
        <w:tc>
          <w:tcPr>
            <w:tcW w:w="4252" w:type="dxa"/>
            <w:tcBorders>
              <w:left w:val="nil"/>
              <w:bottom w:val="single" w:sz="4" w:space="0" w:color="auto"/>
              <w:right w:val="nil"/>
            </w:tcBorders>
          </w:tcPr>
          <w:p w14:paraId="0F8EFE71" w14:textId="3DE392DD" w:rsidR="001D364F" w:rsidRPr="00A02375" w:rsidRDefault="005D4319" w:rsidP="005F5CD1">
            <w:pPr>
              <w:spacing w:before="60" w:after="60" w:line="240" w:lineRule="auto"/>
              <w:jc w:val="left"/>
              <w:rPr>
                <w:rFonts w:cs="Arial"/>
                <w:sz w:val="18"/>
                <w:szCs w:val="18"/>
              </w:rPr>
            </w:pPr>
            <w:r>
              <w:rPr>
                <w:rFonts w:cs="Arial"/>
                <w:sz w:val="18"/>
                <w:szCs w:val="18"/>
              </w:rPr>
              <w:t xml:space="preserve">Greater </w:t>
            </w:r>
            <w:r w:rsidR="78D1D5AB" w:rsidRPr="007D16B3">
              <w:rPr>
                <w:rFonts w:cs="Arial"/>
                <w:sz w:val="18"/>
                <w:szCs w:val="18"/>
              </w:rPr>
              <w:t>c</w:t>
            </w:r>
            <w:r w:rsidR="001D364F" w:rsidRPr="007D16B3">
              <w:rPr>
                <w:rFonts w:cs="Arial"/>
                <w:sz w:val="18"/>
                <w:szCs w:val="18"/>
              </w:rPr>
              <w:t>larity</w:t>
            </w:r>
            <w:r w:rsidR="001D364F" w:rsidRPr="00A02375">
              <w:rPr>
                <w:rFonts w:cs="Arial"/>
                <w:sz w:val="18"/>
                <w:szCs w:val="18"/>
              </w:rPr>
              <w:t xml:space="preserve"> and certainty for retailers</w:t>
            </w:r>
            <w:r w:rsidR="00AD28C1">
              <w:rPr>
                <w:rFonts w:cs="Arial"/>
                <w:sz w:val="18"/>
                <w:szCs w:val="18"/>
              </w:rPr>
              <w:t xml:space="preserve"> </w:t>
            </w:r>
            <w:r w:rsidR="00CB707B">
              <w:rPr>
                <w:rFonts w:cs="Arial"/>
                <w:sz w:val="18"/>
                <w:szCs w:val="18"/>
              </w:rPr>
              <w:t xml:space="preserve">when </w:t>
            </w:r>
            <w:r w:rsidR="004972A3">
              <w:rPr>
                <w:rFonts w:cs="Arial"/>
                <w:sz w:val="18"/>
                <w:szCs w:val="18"/>
              </w:rPr>
              <w:t>deciding whether</w:t>
            </w:r>
            <w:r w:rsidR="00915DB7">
              <w:rPr>
                <w:rFonts w:cs="Arial"/>
                <w:sz w:val="18"/>
                <w:szCs w:val="18"/>
              </w:rPr>
              <w:t xml:space="preserve"> to apply</w:t>
            </w:r>
            <w:r w:rsidR="00CB707B">
              <w:rPr>
                <w:rFonts w:cs="Arial"/>
                <w:sz w:val="18"/>
                <w:szCs w:val="18"/>
              </w:rPr>
              <w:t xml:space="preserve">, and </w:t>
            </w:r>
            <w:r w:rsidR="005C75AC">
              <w:rPr>
                <w:rFonts w:cs="Arial"/>
                <w:sz w:val="18"/>
                <w:szCs w:val="18"/>
              </w:rPr>
              <w:t xml:space="preserve">for </w:t>
            </w:r>
            <w:r w:rsidR="00CB707B">
              <w:rPr>
                <w:rFonts w:cs="Arial"/>
                <w:sz w:val="18"/>
                <w:szCs w:val="18"/>
              </w:rPr>
              <w:t xml:space="preserve">the </w:t>
            </w:r>
            <w:r w:rsidR="00E27C79">
              <w:rPr>
                <w:rFonts w:cs="Arial"/>
                <w:sz w:val="18"/>
                <w:szCs w:val="18"/>
              </w:rPr>
              <w:t>r</w:t>
            </w:r>
            <w:r w:rsidR="00CB707B">
              <w:rPr>
                <w:rFonts w:cs="Arial"/>
                <w:sz w:val="18"/>
                <w:szCs w:val="18"/>
              </w:rPr>
              <w:t xml:space="preserve">egulator when </w:t>
            </w:r>
            <w:r w:rsidR="00B02C46">
              <w:rPr>
                <w:rFonts w:cs="Arial"/>
                <w:sz w:val="18"/>
                <w:szCs w:val="18"/>
              </w:rPr>
              <w:t xml:space="preserve">assessing </w:t>
            </w:r>
            <w:r w:rsidR="51FEB50F" w:rsidRPr="007D16B3">
              <w:rPr>
                <w:rFonts w:cs="Arial"/>
                <w:sz w:val="18"/>
                <w:szCs w:val="18"/>
              </w:rPr>
              <w:t>applications</w:t>
            </w:r>
          </w:p>
          <w:p w14:paraId="3A9FF666" w14:textId="0C0671D3" w:rsidR="001D364F" w:rsidRPr="00A02375" w:rsidRDefault="25AEC4F7" w:rsidP="005F5CD1">
            <w:pPr>
              <w:spacing w:before="60" w:after="60" w:line="240" w:lineRule="auto"/>
              <w:jc w:val="left"/>
              <w:rPr>
                <w:rFonts w:cs="Arial"/>
                <w:sz w:val="18"/>
                <w:szCs w:val="18"/>
              </w:rPr>
            </w:pPr>
            <w:r w:rsidRPr="6AC747D5">
              <w:rPr>
                <w:rFonts w:cs="Arial"/>
                <w:sz w:val="18"/>
                <w:szCs w:val="18"/>
              </w:rPr>
              <w:t>May</w:t>
            </w:r>
            <w:r w:rsidR="7A53FD22" w:rsidRPr="6AC747D5">
              <w:rPr>
                <w:rFonts w:cs="Arial"/>
                <w:sz w:val="18"/>
                <w:szCs w:val="18"/>
              </w:rPr>
              <w:t xml:space="preserve"> increase safety for </w:t>
            </w:r>
            <w:r w:rsidR="549729BD" w:rsidRPr="32831D9D">
              <w:rPr>
                <w:rFonts w:cs="Arial"/>
                <w:sz w:val="18"/>
                <w:szCs w:val="18"/>
              </w:rPr>
              <w:t xml:space="preserve">staff </w:t>
            </w:r>
            <w:r w:rsidR="191C8C99" w:rsidRPr="32831D9D">
              <w:rPr>
                <w:rFonts w:cs="Arial"/>
                <w:sz w:val="18"/>
                <w:szCs w:val="18"/>
              </w:rPr>
              <w:t xml:space="preserve">and customers </w:t>
            </w:r>
            <w:r w:rsidR="549729BD" w:rsidRPr="32831D9D">
              <w:rPr>
                <w:rFonts w:cs="Arial"/>
                <w:sz w:val="18"/>
                <w:szCs w:val="18"/>
              </w:rPr>
              <w:t xml:space="preserve">in </w:t>
            </w:r>
            <w:r w:rsidR="7A53FD22" w:rsidRPr="6AC747D5">
              <w:rPr>
                <w:rFonts w:cs="Arial"/>
                <w:sz w:val="18"/>
                <w:szCs w:val="18"/>
              </w:rPr>
              <w:t xml:space="preserve">some </w:t>
            </w:r>
            <w:r w:rsidR="756619FF" w:rsidRPr="6AC747D5">
              <w:rPr>
                <w:rFonts w:cs="Arial"/>
                <w:sz w:val="18"/>
                <w:szCs w:val="18"/>
              </w:rPr>
              <w:t>retail</w:t>
            </w:r>
            <w:r w:rsidR="7A53FD22" w:rsidRPr="6AC747D5">
              <w:rPr>
                <w:rFonts w:cs="Arial"/>
                <w:sz w:val="18"/>
                <w:szCs w:val="18"/>
              </w:rPr>
              <w:t xml:space="preserve"> premises if they would not otherwise ch</w:t>
            </w:r>
            <w:r w:rsidR="46A754BB" w:rsidRPr="6AC747D5">
              <w:rPr>
                <w:rFonts w:cs="Arial"/>
                <w:sz w:val="18"/>
                <w:szCs w:val="18"/>
              </w:rPr>
              <w:t>o</w:t>
            </w:r>
            <w:r w:rsidR="7A53FD22" w:rsidRPr="6AC747D5">
              <w:rPr>
                <w:rFonts w:cs="Arial"/>
                <w:sz w:val="18"/>
                <w:szCs w:val="18"/>
              </w:rPr>
              <w:t>ose to install safety features</w:t>
            </w:r>
          </w:p>
          <w:p w14:paraId="705F9B5A" w14:textId="2ADCECDF" w:rsidR="00D262BB" w:rsidRDefault="50283DEB" w:rsidP="005F5CD1">
            <w:pPr>
              <w:spacing w:before="60" w:after="60" w:line="240" w:lineRule="auto"/>
              <w:jc w:val="left"/>
              <w:rPr>
                <w:rFonts w:cs="Arial"/>
                <w:sz w:val="18"/>
                <w:szCs w:val="18"/>
              </w:rPr>
            </w:pPr>
            <w:r w:rsidRPr="6AC747D5">
              <w:rPr>
                <w:rFonts w:cs="Arial"/>
                <w:sz w:val="18"/>
                <w:szCs w:val="18"/>
              </w:rPr>
              <w:t xml:space="preserve">Would </w:t>
            </w:r>
            <w:r w:rsidR="519A8CAD" w:rsidRPr="6AC747D5">
              <w:rPr>
                <w:rFonts w:cs="Arial"/>
                <w:sz w:val="18"/>
                <w:szCs w:val="18"/>
              </w:rPr>
              <w:t xml:space="preserve">ensure </w:t>
            </w:r>
            <w:r w:rsidRPr="6AC747D5">
              <w:rPr>
                <w:rFonts w:cs="Arial"/>
                <w:sz w:val="18"/>
                <w:szCs w:val="18"/>
              </w:rPr>
              <w:t xml:space="preserve">high-quality </w:t>
            </w:r>
            <w:r w:rsidR="43240979" w:rsidRPr="6AC747D5">
              <w:rPr>
                <w:rFonts w:cs="Arial"/>
                <w:sz w:val="18"/>
                <w:szCs w:val="18"/>
              </w:rPr>
              <w:t xml:space="preserve">permanent </w:t>
            </w:r>
            <w:r w:rsidRPr="6AC747D5">
              <w:rPr>
                <w:rFonts w:cs="Arial"/>
                <w:sz w:val="18"/>
                <w:szCs w:val="18"/>
              </w:rPr>
              <w:t xml:space="preserve">systems, such as security, </w:t>
            </w:r>
            <w:r w:rsidR="4047DD48" w:rsidRPr="6AC747D5">
              <w:rPr>
                <w:rFonts w:cs="Arial"/>
                <w:sz w:val="18"/>
                <w:szCs w:val="18"/>
              </w:rPr>
              <w:t>training,</w:t>
            </w:r>
            <w:r w:rsidRPr="6AC747D5">
              <w:rPr>
                <w:rFonts w:cs="Arial"/>
                <w:sz w:val="18"/>
                <w:szCs w:val="18"/>
              </w:rPr>
              <w:t xml:space="preserve"> and business systems (</w:t>
            </w:r>
            <w:r w:rsidR="22B90CCA" w:rsidRPr="2D06A94F">
              <w:rPr>
                <w:rFonts w:cs="Arial"/>
                <w:sz w:val="18"/>
                <w:szCs w:val="18"/>
              </w:rPr>
              <w:t>e</w:t>
            </w:r>
            <w:r w:rsidR="7053BC8E" w:rsidRPr="2D06A94F">
              <w:rPr>
                <w:rFonts w:cs="Arial"/>
                <w:sz w:val="18"/>
                <w:szCs w:val="18"/>
              </w:rPr>
              <w:t>.</w:t>
            </w:r>
            <w:r w:rsidR="22B90CCA" w:rsidRPr="2D06A94F">
              <w:rPr>
                <w:rFonts w:cs="Arial"/>
                <w:sz w:val="18"/>
                <w:szCs w:val="18"/>
              </w:rPr>
              <w:t>g</w:t>
            </w:r>
            <w:r w:rsidR="4FC1D008" w:rsidRPr="697BCBA1">
              <w:rPr>
                <w:rFonts w:cs="Arial"/>
                <w:sz w:val="18"/>
                <w:szCs w:val="18"/>
              </w:rPr>
              <w:t>.,</w:t>
            </w:r>
            <w:r w:rsidRPr="6AC747D5">
              <w:rPr>
                <w:rFonts w:cs="Arial"/>
                <w:sz w:val="18"/>
                <w:szCs w:val="18"/>
              </w:rPr>
              <w:t xml:space="preserve"> record keeping)</w:t>
            </w:r>
          </w:p>
          <w:p w14:paraId="1FE05BEA" w14:textId="0277F4E7" w:rsidR="00917C67" w:rsidRPr="004C273A" w:rsidRDefault="1DF740CA" w:rsidP="005F5CD1">
            <w:pPr>
              <w:spacing w:before="60" w:after="60" w:line="240" w:lineRule="auto"/>
              <w:jc w:val="left"/>
              <w:rPr>
                <w:rFonts w:cs="Arial"/>
                <w:sz w:val="18"/>
                <w:szCs w:val="18"/>
              </w:rPr>
            </w:pPr>
            <w:r w:rsidRPr="6AC747D5">
              <w:rPr>
                <w:rFonts w:cs="Arial"/>
                <w:sz w:val="18"/>
                <w:szCs w:val="18"/>
              </w:rPr>
              <w:t xml:space="preserve">Community confidence that retailers </w:t>
            </w:r>
            <w:r w:rsidR="00AC170D">
              <w:rPr>
                <w:rFonts w:cs="Arial"/>
                <w:sz w:val="18"/>
                <w:szCs w:val="18"/>
              </w:rPr>
              <w:t>are responsible business people</w:t>
            </w:r>
            <w:r w:rsidRPr="6AC747D5">
              <w:rPr>
                <w:rFonts w:cs="Arial"/>
                <w:sz w:val="18"/>
                <w:szCs w:val="18"/>
              </w:rPr>
              <w:t xml:space="preserve">, </w:t>
            </w:r>
            <w:r w:rsidR="30C645B4" w:rsidRPr="697BCBA1">
              <w:rPr>
                <w:rFonts w:cs="Arial"/>
                <w:sz w:val="18"/>
                <w:szCs w:val="18"/>
              </w:rPr>
              <w:t>eg</w:t>
            </w:r>
            <w:r w:rsidR="5D04D7DC" w:rsidRPr="66C5C690">
              <w:rPr>
                <w:rFonts w:cs="Arial"/>
                <w:sz w:val="18"/>
                <w:szCs w:val="18"/>
              </w:rPr>
              <w:t>,</w:t>
            </w:r>
            <w:r w:rsidRPr="6AC747D5">
              <w:rPr>
                <w:rFonts w:cs="Arial"/>
                <w:sz w:val="18"/>
                <w:szCs w:val="18"/>
              </w:rPr>
              <w:t xml:space="preserve"> less likely to sell to minors</w:t>
            </w:r>
            <w:r w:rsidR="002E59EC">
              <w:rPr>
                <w:rFonts w:cs="Arial"/>
                <w:sz w:val="18"/>
                <w:szCs w:val="18"/>
              </w:rPr>
              <w:t xml:space="preserve"> and </w:t>
            </w:r>
            <w:r w:rsidR="00AC170D">
              <w:rPr>
                <w:rFonts w:cs="Arial"/>
                <w:sz w:val="18"/>
                <w:szCs w:val="18"/>
              </w:rPr>
              <w:t xml:space="preserve">adequate security to </w:t>
            </w:r>
            <w:r w:rsidR="00A708E5">
              <w:rPr>
                <w:rFonts w:cs="Arial"/>
                <w:sz w:val="18"/>
                <w:szCs w:val="18"/>
              </w:rPr>
              <w:t xml:space="preserve">protect health and safety of </w:t>
            </w:r>
            <w:proofErr w:type="gramStart"/>
            <w:r w:rsidR="00A708E5">
              <w:rPr>
                <w:rFonts w:cs="Arial"/>
                <w:sz w:val="18"/>
                <w:szCs w:val="18"/>
              </w:rPr>
              <w:t>customers</w:t>
            </w:r>
            <w:r w:rsidR="00C91952">
              <w:rPr>
                <w:rFonts w:cs="Arial"/>
                <w:sz w:val="18"/>
                <w:szCs w:val="18"/>
              </w:rPr>
              <w:t xml:space="preserve"> </w:t>
            </w:r>
            <w:r w:rsidRPr="6AC747D5">
              <w:rPr>
                <w:rFonts w:cs="Arial"/>
                <w:sz w:val="18"/>
                <w:szCs w:val="18"/>
              </w:rPr>
              <w:t xml:space="preserve"> </w:t>
            </w:r>
            <w:r w:rsidR="00D34238">
              <w:rPr>
                <w:rFonts w:cs="Arial"/>
                <w:sz w:val="18"/>
                <w:szCs w:val="18"/>
              </w:rPr>
              <w:t>,</w:t>
            </w:r>
            <w:proofErr w:type="gramEnd"/>
            <w:r w:rsidR="00D34238">
              <w:rPr>
                <w:rFonts w:cs="Arial"/>
                <w:sz w:val="18"/>
                <w:szCs w:val="18"/>
              </w:rPr>
              <w:t xml:space="preserve"> </w:t>
            </w:r>
          </w:p>
        </w:tc>
      </w:tr>
      <w:tr w:rsidR="001D364F" w:rsidRPr="00A02375" w14:paraId="764D16B0" w14:textId="77777777" w:rsidTr="6F58FC51">
        <w:trPr>
          <w:trHeight w:val="70"/>
        </w:trPr>
        <w:tc>
          <w:tcPr>
            <w:tcW w:w="1348" w:type="dxa"/>
            <w:tcBorders>
              <w:top w:val="single" w:sz="4" w:space="0" w:color="auto"/>
              <w:left w:val="nil"/>
              <w:bottom w:val="single" w:sz="4" w:space="0" w:color="auto"/>
              <w:right w:val="nil"/>
            </w:tcBorders>
          </w:tcPr>
          <w:p w14:paraId="26BC161C" w14:textId="77777777" w:rsidR="001D364F" w:rsidRPr="00A02375" w:rsidRDefault="001D364F" w:rsidP="005F5CD1">
            <w:pPr>
              <w:spacing w:before="60" w:after="60" w:line="240" w:lineRule="auto"/>
              <w:jc w:val="left"/>
              <w:rPr>
                <w:rFonts w:cs="Arial"/>
                <w:sz w:val="18"/>
                <w:szCs w:val="18"/>
              </w:rPr>
            </w:pPr>
            <w:r w:rsidRPr="00A02375">
              <w:rPr>
                <w:rFonts w:cs="Arial"/>
                <w:sz w:val="18"/>
                <w:szCs w:val="18"/>
              </w:rPr>
              <w:t>Cons</w:t>
            </w:r>
          </w:p>
        </w:tc>
        <w:tc>
          <w:tcPr>
            <w:tcW w:w="3614" w:type="dxa"/>
            <w:tcBorders>
              <w:top w:val="single" w:sz="4" w:space="0" w:color="auto"/>
              <w:left w:val="nil"/>
              <w:bottom w:val="single" w:sz="4" w:space="0" w:color="auto"/>
              <w:right w:val="nil"/>
            </w:tcBorders>
          </w:tcPr>
          <w:p w14:paraId="26C6F437" w14:textId="3CBA3D7E" w:rsidR="001D364F" w:rsidRPr="00A02375" w:rsidRDefault="001D364F" w:rsidP="005F5CD1">
            <w:pPr>
              <w:spacing w:before="60" w:after="60" w:line="240" w:lineRule="auto"/>
              <w:jc w:val="left"/>
              <w:rPr>
                <w:rFonts w:cs="Arial"/>
                <w:sz w:val="18"/>
                <w:szCs w:val="18"/>
              </w:rPr>
            </w:pPr>
            <w:r w:rsidRPr="00A02375">
              <w:rPr>
                <w:rFonts w:cs="Arial"/>
                <w:sz w:val="18"/>
                <w:szCs w:val="18"/>
              </w:rPr>
              <w:t xml:space="preserve">Lack of clarity and certainty for </w:t>
            </w:r>
            <w:r w:rsidR="129BCAEB" w:rsidRPr="007D16B3">
              <w:rPr>
                <w:rFonts w:cs="Arial"/>
                <w:sz w:val="18"/>
                <w:szCs w:val="18"/>
              </w:rPr>
              <w:t>retailers</w:t>
            </w:r>
            <w:r w:rsidR="000C60C6">
              <w:rPr>
                <w:rFonts w:cs="Arial"/>
                <w:sz w:val="18"/>
                <w:szCs w:val="18"/>
              </w:rPr>
              <w:t xml:space="preserve"> </w:t>
            </w:r>
            <w:r w:rsidR="00EA282E">
              <w:rPr>
                <w:rFonts w:cs="Arial"/>
                <w:sz w:val="18"/>
                <w:szCs w:val="18"/>
              </w:rPr>
              <w:t xml:space="preserve">when </w:t>
            </w:r>
            <w:r w:rsidR="09DFC4FD" w:rsidRPr="007D16B3">
              <w:rPr>
                <w:rFonts w:cs="Arial"/>
                <w:sz w:val="18"/>
                <w:szCs w:val="18"/>
              </w:rPr>
              <w:t>considering</w:t>
            </w:r>
            <w:r w:rsidR="00FD46AA">
              <w:rPr>
                <w:rFonts w:cs="Arial"/>
                <w:sz w:val="18"/>
                <w:szCs w:val="18"/>
              </w:rPr>
              <w:t xml:space="preserve"> </w:t>
            </w:r>
            <w:r w:rsidR="6526FC9A" w:rsidRPr="1FBEE8AA">
              <w:rPr>
                <w:rFonts w:cs="Arial"/>
                <w:sz w:val="18"/>
                <w:szCs w:val="18"/>
              </w:rPr>
              <w:t>an</w:t>
            </w:r>
            <w:r w:rsidR="6E579EB6" w:rsidRPr="1FBEE8AA">
              <w:rPr>
                <w:rFonts w:cs="Arial"/>
                <w:sz w:val="18"/>
                <w:szCs w:val="18"/>
              </w:rPr>
              <w:t xml:space="preserve"> </w:t>
            </w:r>
            <w:r w:rsidR="7BD46852" w:rsidRPr="007D16B3">
              <w:rPr>
                <w:rFonts w:cs="Arial"/>
                <w:sz w:val="18"/>
                <w:szCs w:val="18"/>
              </w:rPr>
              <w:t>appl</w:t>
            </w:r>
            <w:r w:rsidR="01F31256" w:rsidRPr="007D16B3">
              <w:rPr>
                <w:rFonts w:cs="Arial"/>
                <w:sz w:val="18"/>
                <w:szCs w:val="18"/>
              </w:rPr>
              <w:t>icat</w:t>
            </w:r>
            <w:r w:rsidR="3C489942" w:rsidRPr="007D16B3">
              <w:rPr>
                <w:rFonts w:cs="Arial"/>
                <w:sz w:val="18"/>
                <w:szCs w:val="18"/>
              </w:rPr>
              <w:t>ion</w:t>
            </w:r>
          </w:p>
          <w:p w14:paraId="75C81BCC" w14:textId="4A3AEE70" w:rsidR="006D24E4" w:rsidRPr="00A02375" w:rsidRDefault="00CA7F0A" w:rsidP="005F5CD1">
            <w:pPr>
              <w:spacing w:before="60" w:after="60" w:line="240" w:lineRule="auto"/>
              <w:jc w:val="left"/>
              <w:rPr>
                <w:rFonts w:cs="Arial"/>
                <w:sz w:val="18"/>
                <w:szCs w:val="18"/>
              </w:rPr>
            </w:pPr>
            <w:r>
              <w:rPr>
                <w:rFonts w:cs="Arial"/>
                <w:sz w:val="18"/>
                <w:szCs w:val="18"/>
              </w:rPr>
              <w:t xml:space="preserve">Difficult for regulator to </w:t>
            </w:r>
            <w:r w:rsidR="003B4A79">
              <w:rPr>
                <w:rFonts w:cs="Arial"/>
                <w:sz w:val="18"/>
                <w:szCs w:val="18"/>
              </w:rPr>
              <w:t xml:space="preserve">assess </w:t>
            </w:r>
            <w:r w:rsidR="00FB4D42">
              <w:rPr>
                <w:rFonts w:cs="Arial"/>
                <w:sz w:val="18"/>
                <w:szCs w:val="18"/>
              </w:rPr>
              <w:t>applications</w:t>
            </w:r>
            <w:r w:rsidR="049DCE8E" w:rsidRPr="007D16B3">
              <w:rPr>
                <w:rFonts w:cs="Arial"/>
                <w:sz w:val="18"/>
                <w:szCs w:val="18"/>
              </w:rPr>
              <w:t>;</w:t>
            </w:r>
            <w:r w:rsidR="00FB6B3F">
              <w:rPr>
                <w:rFonts w:cs="Arial"/>
                <w:sz w:val="18"/>
                <w:szCs w:val="18"/>
              </w:rPr>
              <w:t xml:space="preserve"> could create perception of unfairness and lack of trust in regulator</w:t>
            </w:r>
            <w:r w:rsidR="008420B2">
              <w:rPr>
                <w:rFonts w:cs="Arial"/>
                <w:sz w:val="18"/>
                <w:szCs w:val="18"/>
              </w:rPr>
              <w:t xml:space="preserve"> from both industry and community</w:t>
            </w:r>
          </w:p>
          <w:p w14:paraId="4DB89337" w14:textId="71CBBFC2" w:rsidR="001D364F" w:rsidRDefault="00EF1AB0" w:rsidP="005F5CD1">
            <w:pPr>
              <w:spacing w:before="60" w:after="60" w:line="240" w:lineRule="auto"/>
              <w:jc w:val="left"/>
              <w:rPr>
                <w:rFonts w:cs="Arial"/>
                <w:sz w:val="18"/>
                <w:szCs w:val="18"/>
              </w:rPr>
            </w:pPr>
            <w:r>
              <w:rPr>
                <w:rFonts w:cs="Arial"/>
                <w:sz w:val="18"/>
                <w:szCs w:val="18"/>
              </w:rPr>
              <w:t>May i</w:t>
            </w:r>
            <w:r w:rsidR="001D364F" w:rsidRPr="00A02375">
              <w:rPr>
                <w:rFonts w:cs="Arial"/>
                <w:sz w:val="18"/>
                <w:szCs w:val="18"/>
              </w:rPr>
              <w:t>ncrease crime risk</w:t>
            </w:r>
            <w:r w:rsidR="000135C3" w:rsidRPr="00A02375">
              <w:rPr>
                <w:rFonts w:cs="Arial"/>
                <w:sz w:val="18"/>
                <w:szCs w:val="18"/>
              </w:rPr>
              <w:t xml:space="preserve"> for retailers</w:t>
            </w:r>
            <w:r>
              <w:rPr>
                <w:rFonts w:cs="Arial"/>
                <w:sz w:val="18"/>
                <w:szCs w:val="18"/>
              </w:rPr>
              <w:t xml:space="preserve"> if lesser security requirements</w:t>
            </w:r>
            <w:r w:rsidR="73081955" w:rsidRPr="32831D9D">
              <w:rPr>
                <w:rFonts w:cs="Arial"/>
                <w:sz w:val="18"/>
                <w:szCs w:val="18"/>
              </w:rPr>
              <w:t>;</w:t>
            </w:r>
            <w:r w:rsidR="00917C67">
              <w:rPr>
                <w:rFonts w:cs="Arial"/>
                <w:sz w:val="18"/>
                <w:szCs w:val="18"/>
              </w:rPr>
              <w:t xml:space="preserve"> d</w:t>
            </w:r>
            <w:r w:rsidR="001D364F" w:rsidRPr="00A02375">
              <w:rPr>
                <w:rFonts w:cs="Arial"/>
                <w:sz w:val="18"/>
                <w:szCs w:val="18"/>
              </w:rPr>
              <w:t>ecreases safety for staff and customers</w:t>
            </w:r>
          </w:p>
          <w:p w14:paraId="4B7B41A8" w14:textId="242FB11B" w:rsidR="005577BA" w:rsidRDefault="00802B43" w:rsidP="005F5CD1">
            <w:pPr>
              <w:spacing w:before="60" w:after="60" w:line="240" w:lineRule="auto"/>
              <w:jc w:val="left"/>
              <w:rPr>
                <w:rFonts w:cs="Arial"/>
                <w:sz w:val="18"/>
                <w:szCs w:val="18"/>
              </w:rPr>
            </w:pPr>
            <w:r>
              <w:rPr>
                <w:rFonts w:cs="Arial"/>
                <w:sz w:val="18"/>
                <w:szCs w:val="18"/>
              </w:rPr>
              <w:t xml:space="preserve">Less certainty that </w:t>
            </w:r>
            <w:r w:rsidR="073EB0CD" w:rsidRPr="007D16B3">
              <w:rPr>
                <w:rFonts w:cs="Arial"/>
                <w:sz w:val="18"/>
                <w:szCs w:val="18"/>
              </w:rPr>
              <w:t>r</w:t>
            </w:r>
            <w:r w:rsidR="6DAC3771" w:rsidRPr="007D16B3">
              <w:rPr>
                <w:rFonts w:cs="Arial"/>
                <w:sz w:val="18"/>
                <w:szCs w:val="18"/>
              </w:rPr>
              <w:t>etailers</w:t>
            </w:r>
            <w:r w:rsidR="7C30DCB0" w:rsidRPr="53258B4A" w:rsidDel="00802B43">
              <w:rPr>
                <w:rFonts w:cs="Arial"/>
                <w:sz w:val="18"/>
                <w:szCs w:val="18"/>
              </w:rPr>
              <w:t xml:space="preserve"> </w:t>
            </w:r>
            <w:r>
              <w:rPr>
                <w:rFonts w:cs="Arial"/>
                <w:sz w:val="18"/>
                <w:szCs w:val="18"/>
              </w:rPr>
              <w:t>will</w:t>
            </w:r>
            <w:r w:rsidR="7C30DCB0" w:rsidRPr="53258B4A">
              <w:rPr>
                <w:rFonts w:cs="Arial"/>
                <w:sz w:val="18"/>
                <w:szCs w:val="18"/>
              </w:rPr>
              <w:t xml:space="preserve"> comply with their </w:t>
            </w:r>
            <w:r w:rsidR="23FB8FEB" w:rsidRPr="5D26FC49">
              <w:rPr>
                <w:rFonts w:cs="Arial"/>
                <w:sz w:val="18"/>
                <w:szCs w:val="18"/>
              </w:rPr>
              <w:t>legal</w:t>
            </w:r>
            <w:r w:rsidR="7C30DCB0" w:rsidRPr="5D26FC49">
              <w:rPr>
                <w:rFonts w:cs="Arial"/>
                <w:sz w:val="18"/>
                <w:szCs w:val="18"/>
              </w:rPr>
              <w:t xml:space="preserve"> </w:t>
            </w:r>
            <w:r w:rsidR="7C30DCB0" w:rsidRPr="53258B4A">
              <w:rPr>
                <w:rFonts w:cs="Arial"/>
                <w:sz w:val="18"/>
                <w:szCs w:val="18"/>
              </w:rPr>
              <w:t>obligations</w:t>
            </w:r>
            <w:r w:rsidR="5D9AABFD" w:rsidRPr="5D26FC49">
              <w:rPr>
                <w:rFonts w:cs="Arial"/>
                <w:sz w:val="18"/>
                <w:szCs w:val="18"/>
              </w:rPr>
              <w:t>, such as sales to minors</w:t>
            </w:r>
          </w:p>
          <w:p w14:paraId="1592C3A1" w14:textId="1E12109D" w:rsidR="00E15FD2" w:rsidRDefault="5D9AABFD" w:rsidP="005F5CD1">
            <w:pPr>
              <w:spacing w:before="60" w:after="60" w:line="240" w:lineRule="auto"/>
              <w:jc w:val="left"/>
              <w:rPr>
                <w:rFonts w:cs="Arial"/>
                <w:sz w:val="18"/>
                <w:szCs w:val="18"/>
              </w:rPr>
            </w:pPr>
            <w:r w:rsidRPr="5D26FC49">
              <w:rPr>
                <w:rFonts w:cs="Arial"/>
                <w:sz w:val="18"/>
                <w:szCs w:val="18"/>
              </w:rPr>
              <w:t>M</w:t>
            </w:r>
            <w:r w:rsidR="06A3A7FF" w:rsidRPr="5D26FC49">
              <w:rPr>
                <w:rFonts w:cs="Arial"/>
                <w:sz w:val="18"/>
                <w:szCs w:val="18"/>
              </w:rPr>
              <w:t>ay</w:t>
            </w:r>
            <w:r w:rsidR="1DF740CA" w:rsidRPr="53258B4A">
              <w:rPr>
                <w:rFonts w:cs="Arial"/>
                <w:sz w:val="18"/>
                <w:szCs w:val="18"/>
              </w:rPr>
              <w:t xml:space="preserve"> result </w:t>
            </w:r>
            <w:r w:rsidR="3471D23F" w:rsidRPr="53258B4A">
              <w:rPr>
                <w:rFonts w:cs="Arial"/>
                <w:sz w:val="18"/>
                <w:szCs w:val="18"/>
              </w:rPr>
              <w:t>i</w:t>
            </w:r>
            <w:r w:rsidR="526A2917" w:rsidRPr="53258B4A">
              <w:rPr>
                <w:rFonts w:cs="Arial"/>
                <w:sz w:val="18"/>
                <w:szCs w:val="18"/>
              </w:rPr>
              <w:t xml:space="preserve">n </w:t>
            </w:r>
            <w:r w:rsidR="1DF740CA" w:rsidRPr="53258B4A">
              <w:rPr>
                <w:rFonts w:cs="Arial"/>
                <w:sz w:val="18"/>
                <w:szCs w:val="18"/>
              </w:rPr>
              <w:t>poor practices</w:t>
            </w:r>
            <w:r w:rsidR="4763AE67" w:rsidRPr="53258B4A">
              <w:rPr>
                <w:rFonts w:cs="Arial"/>
                <w:sz w:val="18"/>
                <w:szCs w:val="18"/>
              </w:rPr>
              <w:t xml:space="preserve">, such as poor record keeping </w:t>
            </w:r>
            <w:r w:rsidR="4454FDE5" w:rsidRPr="53258B4A">
              <w:rPr>
                <w:rFonts w:cs="Arial"/>
                <w:sz w:val="18"/>
                <w:szCs w:val="18"/>
              </w:rPr>
              <w:t xml:space="preserve">which </w:t>
            </w:r>
            <w:r w:rsidR="7A4ED3D8" w:rsidRPr="5D26FC49">
              <w:rPr>
                <w:rFonts w:cs="Arial"/>
                <w:sz w:val="18"/>
                <w:szCs w:val="18"/>
              </w:rPr>
              <w:t>would hamper</w:t>
            </w:r>
            <w:r w:rsidR="4454FDE5" w:rsidRPr="53258B4A">
              <w:rPr>
                <w:rFonts w:cs="Arial"/>
                <w:sz w:val="18"/>
                <w:szCs w:val="18"/>
              </w:rPr>
              <w:t xml:space="preserve"> </w:t>
            </w:r>
            <w:r w:rsidR="4763AE67" w:rsidRPr="53258B4A">
              <w:rPr>
                <w:rFonts w:cs="Arial"/>
                <w:sz w:val="18"/>
                <w:szCs w:val="18"/>
              </w:rPr>
              <w:t>compliance action</w:t>
            </w:r>
          </w:p>
          <w:p w14:paraId="6EC53092" w14:textId="0EF963E7" w:rsidR="00AE181E" w:rsidRPr="00A02375" w:rsidRDefault="00C768B4" w:rsidP="005F5CD1">
            <w:pPr>
              <w:spacing w:before="60" w:after="60" w:line="240" w:lineRule="auto"/>
              <w:jc w:val="left"/>
              <w:rPr>
                <w:rFonts w:cs="Arial"/>
                <w:sz w:val="18"/>
                <w:szCs w:val="18"/>
              </w:rPr>
            </w:pPr>
            <w:r>
              <w:rPr>
                <w:rFonts w:cs="Arial"/>
                <w:sz w:val="18"/>
                <w:szCs w:val="18"/>
              </w:rPr>
              <w:t>A less robust scheme m</w:t>
            </w:r>
            <w:r w:rsidR="000948A4" w:rsidRPr="00C768B4">
              <w:rPr>
                <w:rFonts w:cs="Arial"/>
                <w:sz w:val="18"/>
                <w:szCs w:val="18"/>
              </w:rPr>
              <w:t xml:space="preserve">ay result in ongoing costs to the regulator for compliance </w:t>
            </w:r>
            <w:r>
              <w:rPr>
                <w:rFonts w:cs="Arial"/>
                <w:sz w:val="18"/>
                <w:szCs w:val="18"/>
              </w:rPr>
              <w:t>purposes</w:t>
            </w:r>
          </w:p>
        </w:tc>
        <w:tc>
          <w:tcPr>
            <w:tcW w:w="4252" w:type="dxa"/>
            <w:tcBorders>
              <w:top w:val="single" w:sz="4" w:space="0" w:color="auto"/>
              <w:left w:val="nil"/>
              <w:bottom w:val="single" w:sz="4" w:space="0" w:color="auto"/>
              <w:right w:val="nil"/>
            </w:tcBorders>
          </w:tcPr>
          <w:p w14:paraId="1DE531C6" w14:textId="7578466A" w:rsidR="001D364F" w:rsidRPr="00A02375" w:rsidRDefault="001D364F" w:rsidP="005F5CD1">
            <w:pPr>
              <w:spacing w:before="60" w:after="60" w:line="240" w:lineRule="auto"/>
              <w:jc w:val="left"/>
              <w:rPr>
                <w:rFonts w:cs="Arial"/>
                <w:sz w:val="18"/>
                <w:szCs w:val="18"/>
              </w:rPr>
            </w:pPr>
            <w:r w:rsidRPr="00A02375">
              <w:rPr>
                <w:rFonts w:cs="Arial"/>
                <w:sz w:val="18"/>
                <w:szCs w:val="18"/>
              </w:rPr>
              <w:t>Could exclude certain businesses if too prescriptive</w:t>
            </w:r>
          </w:p>
          <w:p w14:paraId="7CB33F95" w14:textId="60B6D5E1" w:rsidR="001D364F" w:rsidRPr="00A02375" w:rsidRDefault="00E95BED" w:rsidP="005F5CD1">
            <w:pPr>
              <w:spacing w:before="60" w:after="60" w:line="240" w:lineRule="auto"/>
              <w:jc w:val="left"/>
              <w:rPr>
                <w:rFonts w:cs="Arial"/>
                <w:sz w:val="18"/>
                <w:szCs w:val="18"/>
              </w:rPr>
            </w:pPr>
            <w:r>
              <w:rPr>
                <w:rFonts w:cs="Arial"/>
                <w:sz w:val="18"/>
                <w:szCs w:val="18"/>
              </w:rPr>
              <w:t>Possible</w:t>
            </w:r>
            <w:r w:rsidR="00AD28C1">
              <w:rPr>
                <w:rFonts w:cs="Arial"/>
                <w:sz w:val="18"/>
                <w:szCs w:val="18"/>
              </w:rPr>
              <w:t xml:space="preserve"> f</w:t>
            </w:r>
            <w:r w:rsidR="001D364F" w:rsidRPr="00A02375">
              <w:rPr>
                <w:rFonts w:cs="Arial"/>
                <w:sz w:val="18"/>
                <w:szCs w:val="18"/>
              </w:rPr>
              <w:t xml:space="preserve">inancial </w:t>
            </w:r>
            <w:r w:rsidR="00E15FD2">
              <w:rPr>
                <w:rFonts w:cs="Arial"/>
                <w:sz w:val="18"/>
                <w:szCs w:val="18"/>
              </w:rPr>
              <w:t>cost</w:t>
            </w:r>
            <w:r w:rsidR="001D364F" w:rsidRPr="00A02375">
              <w:rPr>
                <w:rFonts w:cs="Arial"/>
                <w:sz w:val="18"/>
                <w:szCs w:val="18"/>
              </w:rPr>
              <w:t xml:space="preserve"> </w:t>
            </w:r>
            <w:r w:rsidR="00AD28C1">
              <w:rPr>
                <w:rFonts w:cs="Arial"/>
                <w:sz w:val="18"/>
                <w:szCs w:val="18"/>
              </w:rPr>
              <w:t xml:space="preserve">to </w:t>
            </w:r>
            <w:r w:rsidR="001D364F" w:rsidRPr="00A02375">
              <w:rPr>
                <w:rFonts w:cs="Arial"/>
                <w:sz w:val="18"/>
                <w:szCs w:val="18"/>
              </w:rPr>
              <w:t>businesses</w:t>
            </w:r>
            <w:r w:rsidR="00AD28C1">
              <w:rPr>
                <w:rFonts w:cs="Arial"/>
                <w:sz w:val="18"/>
                <w:szCs w:val="18"/>
              </w:rPr>
              <w:t xml:space="preserve"> who are approved</w:t>
            </w:r>
          </w:p>
          <w:p w14:paraId="039B425A" w14:textId="0BBB89B2" w:rsidR="001776A0" w:rsidRPr="00A02375" w:rsidRDefault="0017433B" w:rsidP="005F5CD1">
            <w:pPr>
              <w:spacing w:before="60" w:after="60" w:line="240" w:lineRule="auto"/>
              <w:jc w:val="left"/>
              <w:rPr>
                <w:rFonts w:cs="Arial"/>
                <w:sz w:val="18"/>
                <w:szCs w:val="18"/>
              </w:rPr>
            </w:pPr>
            <w:r w:rsidRPr="6F58FC51">
              <w:rPr>
                <w:rFonts w:cs="Arial"/>
                <w:sz w:val="18"/>
                <w:szCs w:val="18"/>
              </w:rPr>
              <w:t>Additional cost to the regulator</w:t>
            </w:r>
            <w:r w:rsidR="0CDC8B14" w:rsidRPr="1005483D">
              <w:rPr>
                <w:rFonts w:cs="Arial"/>
                <w:sz w:val="18"/>
                <w:szCs w:val="18"/>
              </w:rPr>
              <w:t xml:space="preserve"> (and thus businesses)</w:t>
            </w:r>
            <w:r w:rsidRPr="1005483D">
              <w:rPr>
                <w:rFonts w:cs="Arial"/>
                <w:sz w:val="18"/>
                <w:szCs w:val="18"/>
              </w:rPr>
              <w:t>,</w:t>
            </w:r>
            <w:r w:rsidRPr="6F58FC51">
              <w:rPr>
                <w:rFonts w:cs="Arial"/>
                <w:sz w:val="18"/>
                <w:szCs w:val="18"/>
              </w:rPr>
              <w:t xml:space="preserve"> as it </w:t>
            </w:r>
            <w:r w:rsidR="008A7E17">
              <w:rPr>
                <w:rFonts w:cs="Arial"/>
                <w:sz w:val="18"/>
                <w:szCs w:val="18"/>
              </w:rPr>
              <w:t>will likely</w:t>
            </w:r>
            <w:r w:rsidR="00B25D81" w:rsidRPr="6F58FC51">
              <w:rPr>
                <w:rFonts w:cs="Arial"/>
                <w:sz w:val="18"/>
                <w:szCs w:val="18"/>
              </w:rPr>
              <w:t xml:space="preserve"> require</w:t>
            </w:r>
            <w:r w:rsidR="0064530E" w:rsidRPr="6F58FC51">
              <w:rPr>
                <w:rFonts w:cs="Arial"/>
                <w:sz w:val="18"/>
                <w:szCs w:val="18"/>
              </w:rPr>
              <w:t xml:space="preserve"> </w:t>
            </w:r>
            <w:r w:rsidRPr="6F58FC51">
              <w:rPr>
                <w:rFonts w:cs="Arial"/>
                <w:sz w:val="18"/>
                <w:szCs w:val="18"/>
              </w:rPr>
              <w:t xml:space="preserve">the </w:t>
            </w:r>
            <w:r w:rsidR="00AD28C1" w:rsidRPr="6F58FC51">
              <w:rPr>
                <w:rFonts w:cs="Arial"/>
                <w:sz w:val="18"/>
                <w:szCs w:val="18"/>
              </w:rPr>
              <w:t xml:space="preserve">regulator </w:t>
            </w:r>
            <w:r w:rsidR="00121290" w:rsidRPr="6F58FC51">
              <w:rPr>
                <w:rFonts w:cs="Arial"/>
                <w:sz w:val="18"/>
                <w:szCs w:val="18"/>
              </w:rPr>
              <w:t xml:space="preserve">to visit and verify </w:t>
            </w:r>
            <w:r w:rsidR="0F42DDBD" w:rsidRPr="6F58FC51">
              <w:rPr>
                <w:rFonts w:cs="Arial"/>
                <w:sz w:val="18"/>
                <w:szCs w:val="18"/>
              </w:rPr>
              <w:t xml:space="preserve">that </w:t>
            </w:r>
            <w:r w:rsidR="0064530E" w:rsidRPr="6F58FC51">
              <w:rPr>
                <w:rFonts w:cs="Arial"/>
                <w:sz w:val="18"/>
                <w:szCs w:val="18"/>
              </w:rPr>
              <w:t>each</w:t>
            </w:r>
            <w:r w:rsidR="00121290" w:rsidRPr="6F58FC51">
              <w:rPr>
                <w:rFonts w:cs="Arial"/>
                <w:sz w:val="18"/>
                <w:szCs w:val="18"/>
              </w:rPr>
              <w:t xml:space="preserve"> store </w:t>
            </w:r>
            <w:r w:rsidR="48A5207C" w:rsidRPr="6F58FC51">
              <w:rPr>
                <w:rFonts w:cs="Arial"/>
                <w:sz w:val="18"/>
                <w:szCs w:val="18"/>
              </w:rPr>
              <w:t>meet</w:t>
            </w:r>
            <w:r w:rsidR="439919D7" w:rsidRPr="6F58FC51">
              <w:rPr>
                <w:rFonts w:cs="Arial"/>
                <w:sz w:val="18"/>
                <w:szCs w:val="18"/>
              </w:rPr>
              <w:t>s</w:t>
            </w:r>
            <w:r w:rsidR="00121290" w:rsidRPr="6F58FC51">
              <w:rPr>
                <w:rFonts w:cs="Arial"/>
                <w:sz w:val="18"/>
                <w:szCs w:val="18"/>
              </w:rPr>
              <w:t xml:space="preserve"> </w:t>
            </w:r>
            <w:r w:rsidR="0064B600" w:rsidRPr="007D16B3">
              <w:rPr>
                <w:rFonts w:cs="Arial"/>
                <w:sz w:val="18"/>
                <w:szCs w:val="18"/>
              </w:rPr>
              <w:t>requirements</w:t>
            </w:r>
          </w:p>
        </w:tc>
      </w:tr>
    </w:tbl>
    <w:p w14:paraId="14F089C7" w14:textId="77777777" w:rsidR="00E07BBB" w:rsidRDefault="00E07BBB" w:rsidP="006448CF">
      <w:pPr>
        <w:rPr>
          <w:lang w:val="en-NZ"/>
        </w:rPr>
      </w:pPr>
    </w:p>
    <w:p w14:paraId="5B5885BE" w14:textId="615DFCFF" w:rsidR="003B129C" w:rsidRPr="003B129C" w:rsidRDefault="003B129C" w:rsidP="003B129C">
      <w:pPr>
        <w:tabs>
          <w:tab w:val="left" w:pos="841"/>
        </w:tabs>
        <w:rPr>
          <w:lang w:val="en-NZ"/>
        </w:rPr>
        <w:sectPr w:rsidR="003B129C" w:rsidRPr="003B129C" w:rsidSect="00907C8A">
          <w:headerReference w:type="even" r:id="rId14"/>
          <w:headerReference w:type="default" r:id="rId15"/>
          <w:footerReference w:type="even" r:id="rId16"/>
          <w:footerReference w:type="default" r:id="rId17"/>
          <w:pgSz w:w="11906" w:h="16838" w:code="9"/>
          <w:pgMar w:top="1134" w:right="1418" w:bottom="992" w:left="1418" w:header="340" w:footer="340" w:gutter="0"/>
          <w:cols w:space="708"/>
          <w:titlePg/>
          <w:docGrid w:linePitch="360"/>
        </w:sectPr>
      </w:pPr>
    </w:p>
    <w:p w14:paraId="186EB033" w14:textId="7F2A14A1" w:rsidR="00186140" w:rsidRDefault="36D11F48" w:rsidP="3C4E5589">
      <w:pPr>
        <w:pStyle w:val="Heading3"/>
        <w:rPr>
          <w:i/>
          <w:iCs/>
          <w:lang w:val="en-NZ"/>
        </w:rPr>
      </w:pPr>
      <w:r w:rsidRPr="3C4E5589">
        <w:rPr>
          <w:lang w:val="en-NZ"/>
        </w:rPr>
        <w:t xml:space="preserve"> </w:t>
      </w:r>
      <w:r w:rsidR="5E786C63" w:rsidRPr="3C4E5589">
        <w:rPr>
          <w:lang w:val="en-NZ"/>
        </w:rPr>
        <w:t>Assessment of options</w:t>
      </w:r>
    </w:p>
    <w:tbl>
      <w:tblPr>
        <w:tblW w:w="0" w:type="auto"/>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2794"/>
        <w:gridCol w:w="5920"/>
        <w:gridCol w:w="5880"/>
      </w:tblGrid>
      <w:tr w:rsidR="006A3536" w:rsidRPr="00A864A5" w14:paraId="64606FB2" w14:textId="77777777" w:rsidTr="3C4E5589">
        <w:trPr>
          <w:trHeight w:val="395"/>
        </w:trPr>
        <w:tc>
          <w:tcPr>
            <w:tcW w:w="2794" w:type="dxa"/>
            <w:shd w:val="clear" w:color="auto" w:fill="F2F2F2" w:themeFill="background1" w:themeFillShade="F2"/>
            <w:vAlign w:val="center"/>
          </w:tcPr>
          <w:p w14:paraId="3D6EF1B6" w14:textId="72EE34FD" w:rsidR="006A3536" w:rsidRPr="00DB51CD" w:rsidRDefault="006A3536" w:rsidP="004C056B">
            <w:pPr>
              <w:spacing w:before="60" w:after="60" w:line="276" w:lineRule="auto"/>
              <w:jc w:val="center"/>
              <w:rPr>
                <w:rFonts w:cs="Arial"/>
                <w:bCs/>
                <w:i/>
                <w:iCs/>
                <w:color w:val="FFFFFF"/>
                <w:sz w:val="20"/>
                <w:szCs w:val="24"/>
                <w:lang w:val="en-NZ"/>
              </w:rPr>
            </w:pPr>
          </w:p>
        </w:tc>
        <w:tc>
          <w:tcPr>
            <w:tcW w:w="5920" w:type="dxa"/>
            <w:shd w:val="clear" w:color="auto" w:fill="F2F2F2" w:themeFill="background1" w:themeFillShade="F2"/>
            <w:vAlign w:val="center"/>
          </w:tcPr>
          <w:p w14:paraId="643BB81E" w14:textId="59E7DC60" w:rsidR="006A3536" w:rsidRPr="00A864A5" w:rsidRDefault="344E41F5" w:rsidP="3C4E5589">
            <w:pPr>
              <w:spacing w:before="60" w:after="60" w:line="240" w:lineRule="auto"/>
              <w:jc w:val="center"/>
              <w:rPr>
                <w:rFonts w:cs="Arial"/>
                <w:b/>
                <w:bCs/>
                <w:color w:val="000000"/>
                <w:lang w:val="en-NZ"/>
              </w:rPr>
            </w:pPr>
            <w:r w:rsidRPr="3C4E5589">
              <w:rPr>
                <w:rFonts w:cs="Arial"/>
                <w:b/>
                <w:bCs/>
                <w:color w:val="000000" w:themeColor="text1"/>
                <w:lang w:val="en-NZ"/>
              </w:rPr>
              <w:t xml:space="preserve">Option </w:t>
            </w:r>
            <w:r w:rsidR="008B7786">
              <w:rPr>
                <w:rFonts w:cs="Arial"/>
                <w:b/>
                <w:bCs/>
                <w:color w:val="000000" w:themeColor="text1"/>
                <w:lang w:val="en-NZ"/>
              </w:rPr>
              <w:t>1</w:t>
            </w:r>
            <w:r w:rsidRPr="3C4E5589">
              <w:rPr>
                <w:rFonts w:cs="Arial"/>
                <w:b/>
                <w:bCs/>
                <w:color w:val="000000" w:themeColor="text1"/>
                <w:lang w:val="en-NZ"/>
              </w:rPr>
              <w:t xml:space="preserve"> – </w:t>
            </w:r>
            <w:r w:rsidR="3B278820" w:rsidRPr="3C4E5589">
              <w:rPr>
                <w:rFonts w:cs="Arial"/>
                <w:b/>
                <w:bCs/>
                <w:lang w:val="en-NZ"/>
              </w:rPr>
              <w:t xml:space="preserve">Counterfactual: No </w:t>
            </w:r>
            <w:r w:rsidR="065A9661" w:rsidRPr="3C4E5589">
              <w:rPr>
                <w:rFonts w:cs="Arial"/>
                <w:b/>
                <w:bCs/>
                <w:lang w:val="en-NZ"/>
              </w:rPr>
              <w:t xml:space="preserve">additional </w:t>
            </w:r>
            <w:r w:rsidR="00920EB8">
              <w:rPr>
                <w:rFonts w:cs="Arial"/>
                <w:b/>
                <w:bCs/>
                <w:lang w:val="en-NZ"/>
              </w:rPr>
              <w:t>approval requirements</w:t>
            </w:r>
            <w:r w:rsidR="3B278820" w:rsidRPr="3C4E5589">
              <w:rPr>
                <w:rFonts w:cs="Arial"/>
                <w:b/>
                <w:bCs/>
                <w:lang w:val="en-NZ"/>
              </w:rPr>
              <w:t xml:space="preserve"> in regulations</w:t>
            </w:r>
          </w:p>
        </w:tc>
        <w:tc>
          <w:tcPr>
            <w:tcW w:w="5880" w:type="dxa"/>
            <w:shd w:val="clear" w:color="auto" w:fill="F2F2F2" w:themeFill="background1" w:themeFillShade="F2"/>
            <w:vAlign w:val="center"/>
          </w:tcPr>
          <w:p w14:paraId="1A26DBF3" w14:textId="1B3088F2" w:rsidR="006A3536" w:rsidRPr="005E0F33" w:rsidRDefault="006A3536" w:rsidP="004C056B">
            <w:pPr>
              <w:spacing w:before="60" w:after="60" w:line="276" w:lineRule="auto"/>
              <w:jc w:val="center"/>
              <w:rPr>
                <w:rFonts w:cs="Arial"/>
                <w:b/>
                <w:bCs/>
                <w:color w:val="000000"/>
                <w:szCs w:val="22"/>
                <w:lang w:val="en-NZ"/>
              </w:rPr>
            </w:pPr>
            <w:r w:rsidRPr="005E0F33">
              <w:rPr>
                <w:rFonts w:cs="Arial"/>
                <w:b/>
                <w:bCs/>
                <w:szCs w:val="22"/>
                <w:lang w:val="en-NZ"/>
              </w:rPr>
              <w:t xml:space="preserve">Option </w:t>
            </w:r>
            <w:r w:rsidR="008B7786">
              <w:rPr>
                <w:rFonts w:cs="Arial"/>
                <w:b/>
                <w:bCs/>
                <w:szCs w:val="22"/>
                <w:lang w:val="en-NZ"/>
              </w:rPr>
              <w:t>2</w:t>
            </w:r>
            <w:r w:rsidR="00FA6503">
              <w:rPr>
                <w:rFonts w:cs="Arial"/>
                <w:b/>
                <w:bCs/>
                <w:szCs w:val="22"/>
                <w:lang w:val="en-NZ"/>
              </w:rPr>
              <w:t>:</w:t>
            </w:r>
            <w:r w:rsidRPr="005E0F33">
              <w:rPr>
                <w:rFonts w:cs="Arial"/>
                <w:b/>
                <w:bCs/>
                <w:szCs w:val="22"/>
                <w:lang w:val="en-NZ"/>
              </w:rPr>
              <w:t xml:space="preserve"> </w:t>
            </w:r>
            <w:r w:rsidR="10AC61CB" w:rsidRPr="7615B504">
              <w:rPr>
                <w:rFonts w:cs="Arial"/>
                <w:b/>
                <w:bCs/>
                <w:lang w:val="en-NZ"/>
              </w:rPr>
              <w:t xml:space="preserve">Additional </w:t>
            </w:r>
            <w:r w:rsidR="00635B0A">
              <w:rPr>
                <w:rFonts w:cs="Arial"/>
                <w:b/>
                <w:bCs/>
                <w:szCs w:val="22"/>
                <w:lang w:val="en-NZ"/>
              </w:rPr>
              <w:t>approval requirements</w:t>
            </w:r>
            <w:r w:rsidR="000038BB">
              <w:rPr>
                <w:rFonts w:cs="Arial"/>
                <w:b/>
                <w:bCs/>
                <w:szCs w:val="22"/>
                <w:lang w:val="en-NZ"/>
              </w:rPr>
              <w:t xml:space="preserve"> set in Regulations</w:t>
            </w:r>
          </w:p>
        </w:tc>
      </w:tr>
      <w:tr w:rsidR="000038BB" w:rsidRPr="00A864A5" w14:paraId="43A4983D" w14:textId="77777777" w:rsidTr="3C4E5589">
        <w:trPr>
          <w:trHeight w:val="615"/>
        </w:trPr>
        <w:tc>
          <w:tcPr>
            <w:tcW w:w="2794" w:type="dxa"/>
            <w:shd w:val="clear" w:color="auto" w:fill="F2F2F2" w:themeFill="background1" w:themeFillShade="F2"/>
            <w:vAlign w:val="center"/>
          </w:tcPr>
          <w:p w14:paraId="62A9F0E1" w14:textId="3975EA48" w:rsidR="000038BB" w:rsidRPr="00A864A5" w:rsidRDefault="000038BB" w:rsidP="000038BB">
            <w:pPr>
              <w:spacing w:before="60" w:after="60" w:line="240" w:lineRule="auto"/>
              <w:jc w:val="center"/>
              <w:rPr>
                <w:rFonts w:cs="Arial"/>
                <w:b/>
                <w:color w:val="000000"/>
                <w:szCs w:val="22"/>
                <w:lang w:val="en-NZ"/>
              </w:rPr>
            </w:pPr>
            <w:r>
              <w:rPr>
                <w:rFonts w:cs="Arial"/>
                <w:b/>
                <w:color w:val="000000"/>
                <w:szCs w:val="22"/>
                <w:lang w:val="en-NZ"/>
              </w:rPr>
              <w:t>Reduces inequity</w:t>
            </w:r>
          </w:p>
        </w:tc>
        <w:tc>
          <w:tcPr>
            <w:tcW w:w="5920" w:type="dxa"/>
            <w:shd w:val="clear" w:color="auto" w:fill="auto"/>
            <w:vAlign w:val="center"/>
          </w:tcPr>
          <w:p w14:paraId="63094D5D" w14:textId="46554E5D" w:rsidR="000038BB" w:rsidRPr="00A864A5" w:rsidRDefault="000038BB" w:rsidP="1B502AF9">
            <w:pPr>
              <w:pStyle w:val="TableText"/>
              <w:spacing w:line="276" w:lineRule="auto"/>
              <w:jc w:val="center"/>
              <w:rPr>
                <w:lang w:val="en-NZ"/>
              </w:rPr>
            </w:pPr>
            <w:r>
              <w:rPr>
                <w:lang w:val="en-NZ"/>
              </w:rPr>
              <w:t>0</w:t>
            </w:r>
          </w:p>
          <w:p w14:paraId="2C8AD330" w14:textId="7417A904" w:rsidR="000038BB" w:rsidRPr="00A864A5" w:rsidRDefault="7D137AEF" w:rsidP="000038BB">
            <w:pPr>
              <w:pStyle w:val="TableText"/>
              <w:spacing w:line="276" w:lineRule="auto"/>
              <w:jc w:val="center"/>
              <w:rPr>
                <w:sz w:val="18"/>
                <w:szCs w:val="18"/>
                <w:lang w:val="en-NZ"/>
              </w:rPr>
            </w:pPr>
            <w:r w:rsidRPr="1B502AF9">
              <w:rPr>
                <w:sz w:val="18"/>
                <w:szCs w:val="18"/>
                <w:lang w:val="en-NZ"/>
              </w:rPr>
              <w:t>Likely to have no impact on equity.</w:t>
            </w:r>
          </w:p>
        </w:tc>
        <w:tc>
          <w:tcPr>
            <w:tcW w:w="5880" w:type="dxa"/>
            <w:shd w:val="clear" w:color="auto" w:fill="auto"/>
            <w:vAlign w:val="center"/>
          </w:tcPr>
          <w:p w14:paraId="0642C372" w14:textId="4500CD44" w:rsidR="000038BB" w:rsidRPr="00C748C0" w:rsidRDefault="000038BB" w:rsidP="000038BB">
            <w:pPr>
              <w:pStyle w:val="TableText"/>
              <w:spacing w:line="276" w:lineRule="auto"/>
              <w:jc w:val="center"/>
              <w:rPr>
                <w:rFonts w:cs="Arial"/>
                <w:b/>
                <w:color w:val="00B050"/>
              </w:rPr>
            </w:pPr>
            <w:r w:rsidRPr="00C748C0">
              <w:rPr>
                <w:rFonts w:cs="Arial"/>
                <w:b/>
                <w:color w:val="00B050"/>
              </w:rPr>
              <w:t>+</w:t>
            </w:r>
          </w:p>
          <w:p w14:paraId="4BC00262" w14:textId="1F452B90" w:rsidR="00E26D85" w:rsidRPr="00A41A36" w:rsidRDefault="00472A1F" w:rsidP="000038BB">
            <w:pPr>
              <w:pStyle w:val="TableText"/>
              <w:spacing w:line="276" w:lineRule="auto"/>
              <w:jc w:val="center"/>
              <w:rPr>
                <w:highlight w:val="yellow"/>
                <w:lang w:val="en-NZ"/>
              </w:rPr>
            </w:pPr>
            <w:r w:rsidRPr="6F58FC51">
              <w:rPr>
                <w:sz w:val="18"/>
                <w:szCs w:val="18"/>
              </w:rPr>
              <w:t xml:space="preserve">Better </w:t>
            </w:r>
            <w:r w:rsidR="00A310C4" w:rsidRPr="6F58FC51">
              <w:rPr>
                <w:sz w:val="18"/>
                <w:szCs w:val="18"/>
              </w:rPr>
              <w:t>systems will reduce the likelihood of underage sales</w:t>
            </w:r>
            <w:r w:rsidR="005A38BB">
              <w:rPr>
                <w:sz w:val="18"/>
                <w:szCs w:val="18"/>
              </w:rPr>
              <w:t xml:space="preserve">; this may </w:t>
            </w:r>
            <w:r w:rsidR="009D0BE9">
              <w:rPr>
                <w:sz w:val="18"/>
                <w:szCs w:val="18"/>
              </w:rPr>
              <w:t xml:space="preserve">disproportionately benefit young Māori and </w:t>
            </w:r>
            <w:r w:rsidR="00352AAD">
              <w:rPr>
                <w:sz w:val="18"/>
                <w:szCs w:val="18"/>
              </w:rPr>
              <w:t>Pacific peoples</w:t>
            </w:r>
            <w:r w:rsidR="009D0BE9">
              <w:rPr>
                <w:sz w:val="18"/>
                <w:szCs w:val="18"/>
              </w:rPr>
              <w:t xml:space="preserve"> who have higher </w:t>
            </w:r>
            <w:r w:rsidR="00AE681E">
              <w:rPr>
                <w:sz w:val="18"/>
                <w:szCs w:val="18"/>
              </w:rPr>
              <w:t>smoking</w:t>
            </w:r>
            <w:r w:rsidR="009D0BE9">
              <w:rPr>
                <w:sz w:val="18"/>
                <w:szCs w:val="18"/>
              </w:rPr>
              <w:t xml:space="preserve"> rates than other groups</w:t>
            </w:r>
            <w:r w:rsidR="008C6D5B" w:rsidRPr="6F58FC51">
              <w:rPr>
                <w:sz w:val="18"/>
                <w:szCs w:val="18"/>
              </w:rPr>
              <w:t>.</w:t>
            </w:r>
            <w:r w:rsidR="00457897">
              <w:rPr>
                <w:sz w:val="18"/>
                <w:szCs w:val="18"/>
              </w:rPr>
              <w:t xml:space="preserve"> </w:t>
            </w:r>
            <w:r w:rsidR="000C7C56">
              <w:rPr>
                <w:sz w:val="18"/>
                <w:szCs w:val="18"/>
              </w:rPr>
              <w:t>S</w:t>
            </w:r>
            <w:r w:rsidR="004233A8">
              <w:rPr>
                <w:sz w:val="18"/>
                <w:szCs w:val="18"/>
              </w:rPr>
              <w:t>ecurity requirements</w:t>
            </w:r>
            <w:r w:rsidR="00BF3EC4">
              <w:rPr>
                <w:sz w:val="18"/>
                <w:szCs w:val="18"/>
              </w:rPr>
              <w:t xml:space="preserve"> mean that r</w:t>
            </w:r>
            <w:r w:rsidR="00457897">
              <w:rPr>
                <w:sz w:val="18"/>
                <w:szCs w:val="18"/>
              </w:rPr>
              <w:t xml:space="preserve">etailers less likely to be </w:t>
            </w:r>
            <w:r w:rsidR="000110EF">
              <w:rPr>
                <w:sz w:val="18"/>
                <w:szCs w:val="18"/>
              </w:rPr>
              <w:t>disproportionately targeted by criminal offending</w:t>
            </w:r>
            <w:r w:rsidR="00BF3EC4">
              <w:rPr>
                <w:sz w:val="18"/>
                <w:szCs w:val="18"/>
              </w:rPr>
              <w:t>.</w:t>
            </w:r>
          </w:p>
        </w:tc>
      </w:tr>
      <w:tr w:rsidR="000038BB" w:rsidRPr="00A864A5" w14:paraId="0F4EE0FC" w14:textId="77777777" w:rsidTr="3C4E5589">
        <w:trPr>
          <w:trHeight w:val="378"/>
        </w:trPr>
        <w:tc>
          <w:tcPr>
            <w:tcW w:w="2794" w:type="dxa"/>
            <w:shd w:val="clear" w:color="auto" w:fill="F2F2F2" w:themeFill="background1" w:themeFillShade="F2"/>
            <w:vAlign w:val="center"/>
          </w:tcPr>
          <w:p w14:paraId="1C714609" w14:textId="12CB7D90" w:rsidR="000038BB" w:rsidRPr="00A864A5" w:rsidRDefault="00EE576A" w:rsidP="000038BB">
            <w:pPr>
              <w:spacing w:before="60" w:after="60" w:line="240" w:lineRule="auto"/>
              <w:jc w:val="center"/>
              <w:rPr>
                <w:rFonts w:cs="Arial"/>
                <w:b/>
                <w:color w:val="000000"/>
                <w:szCs w:val="22"/>
                <w:lang w:val="en-NZ"/>
              </w:rPr>
            </w:pPr>
            <w:r>
              <w:rPr>
                <w:b/>
                <w:bCs/>
              </w:rPr>
              <w:t xml:space="preserve">Effectiveness </w:t>
            </w:r>
          </w:p>
        </w:tc>
        <w:tc>
          <w:tcPr>
            <w:tcW w:w="5920" w:type="dxa"/>
            <w:shd w:val="clear" w:color="auto" w:fill="auto"/>
            <w:vAlign w:val="center"/>
          </w:tcPr>
          <w:p w14:paraId="53A13DFC" w14:textId="3C852C6A" w:rsidR="00D85920" w:rsidRDefault="0470F61B" w:rsidP="077B3213">
            <w:pPr>
              <w:pStyle w:val="TableText"/>
              <w:spacing w:line="276" w:lineRule="auto"/>
              <w:jc w:val="center"/>
              <w:rPr>
                <w:rFonts w:cs="Arial"/>
                <w:lang w:val="en-NZ"/>
              </w:rPr>
            </w:pPr>
            <w:r w:rsidRPr="077B3213">
              <w:rPr>
                <w:rFonts w:cs="Arial"/>
              </w:rPr>
              <w:t>0</w:t>
            </w:r>
          </w:p>
          <w:p w14:paraId="409893FF" w14:textId="5CA1E55B" w:rsidR="000038BB" w:rsidRPr="00833C03" w:rsidRDefault="003162B3" w:rsidP="00833C03">
            <w:pPr>
              <w:spacing w:after="120" w:line="240" w:lineRule="auto"/>
              <w:jc w:val="center"/>
              <w:rPr>
                <w:sz w:val="18"/>
                <w:szCs w:val="18"/>
              </w:rPr>
            </w:pPr>
            <w:r>
              <w:rPr>
                <w:sz w:val="18"/>
                <w:szCs w:val="18"/>
              </w:rPr>
              <w:t xml:space="preserve">Increased risk of </w:t>
            </w:r>
            <w:r w:rsidR="004414D6">
              <w:rPr>
                <w:sz w:val="18"/>
                <w:szCs w:val="18"/>
              </w:rPr>
              <w:t>compliance breaches, illicit sales, a</w:t>
            </w:r>
            <w:r w:rsidR="004D10A4">
              <w:rPr>
                <w:sz w:val="18"/>
                <w:szCs w:val="18"/>
              </w:rPr>
              <w:t>nd to safety of staff and customers.</w:t>
            </w:r>
            <w:r w:rsidR="24EAB2B6" w:rsidRPr="77F28DDA">
              <w:rPr>
                <w:rFonts w:eastAsia="Arial" w:cs="Arial"/>
                <w:color w:val="000000" w:themeColor="text1"/>
                <w:sz w:val="24"/>
                <w:szCs w:val="24"/>
              </w:rPr>
              <w:t xml:space="preserve"> </w:t>
            </w:r>
          </w:p>
        </w:tc>
        <w:tc>
          <w:tcPr>
            <w:tcW w:w="5880" w:type="dxa"/>
            <w:shd w:val="clear" w:color="auto" w:fill="auto"/>
            <w:vAlign w:val="center"/>
          </w:tcPr>
          <w:p w14:paraId="6B5DBAEF" w14:textId="6DC2E689" w:rsidR="00D85920" w:rsidRPr="00D85920" w:rsidRDefault="00D85920" w:rsidP="00D85920">
            <w:pPr>
              <w:pStyle w:val="TableText"/>
              <w:spacing w:line="276" w:lineRule="auto"/>
              <w:jc w:val="center"/>
              <w:rPr>
                <w:rFonts w:cs="Arial"/>
                <w:b/>
                <w:color w:val="00B050"/>
              </w:rPr>
            </w:pPr>
            <w:r w:rsidRPr="00D85920">
              <w:rPr>
                <w:rFonts w:cs="Arial"/>
                <w:b/>
                <w:color w:val="00B050"/>
              </w:rPr>
              <w:t>+</w:t>
            </w:r>
          </w:p>
          <w:p w14:paraId="1A5E54FF" w14:textId="469FA4BE" w:rsidR="00E26D85" w:rsidRPr="00A41A36" w:rsidRDefault="004D10A4" w:rsidP="00D85920">
            <w:pPr>
              <w:pStyle w:val="TableText"/>
              <w:spacing w:line="276" w:lineRule="auto"/>
              <w:jc w:val="center"/>
              <w:rPr>
                <w:highlight w:val="yellow"/>
                <w:lang w:val="en-NZ"/>
              </w:rPr>
            </w:pPr>
            <w:r>
              <w:rPr>
                <w:sz w:val="18"/>
                <w:szCs w:val="18"/>
              </w:rPr>
              <w:t>Better compliance with obligations, reduce</w:t>
            </w:r>
            <w:r w:rsidR="005C2900">
              <w:rPr>
                <w:sz w:val="18"/>
                <w:szCs w:val="18"/>
              </w:rPr>
              <w:t>d</w:t>
            </w:r>
            <w:r>
              <w:rPr>
                <w:sz w:val="18"/>
                <w:szCs w:val="18"/>
              </w:rPr>
              <w:t xml:space="preserve"> risk of illicit sales, and increased safety for staff and customers</w:t>
            </w:r>
            <w:r w:rsidR="50DE0CAA" w:rsidRPr="1B502AF9">
              <w:rPr>
                <w:sz w:val="18"/>
                <w:szCs w:val="18"/>
              </w:rPr>
              <w:t>.</w:t>
            </w:r>
            <w:r w:rsidR="5413D09F" w:rsidRPr="1B502AF9">
              <w:rPr>
                <w:sz w:val="18"/>
                <w:szCs w:val="18"/>
              </w:rPr>
              <w:t xml:space="preserve"> </w:t>
            </w:r>
            <w:r w:rsidR="00C37C04">
              <w:rPr>
                <w:sz w:val="18"/>
                <w:szCs w:val="18"/>
              </w:rPr>
              <w:t xml:space="preserve">Better </w:t>
            </w:r>
            <w:r w:rsidR="00FC6FCD">
              <w:rPr>
                <w:sz w:val="18"/>
                <w:szCs w:val="18"/>
              </w:rPr>
              <w:t>support</w:t>
            </w:r>
            <w:r w:rsidR="00C37C04">
              <w:rPr>
                <w:sz w:val="18"/>
                <w:szCs w:val="18"/>
              </w:rPr>
              <w:t>s</w:t>
            </w:r>
            <w:r w:rsidR="00FC6FCD">
              <w:rPr>
                <w:sz w:val="18"/>
                <w:szCs w:val="18"/>
              </w:rPr>
              <w:t xml:space="preserve"> </w:t>
            </w:r>
            <w:r w:rsidR="00FC6FCD" w:rsidRPr="005B6CB3">
              <w:rPr>
                <w:rFonts w:cs="Times New Roman"/>
                <w:sz w:val="18"/>
                <w:szCs w:val="18"/>
              </w:rPr>
              <w:t>policy objective of significantly reducing retail availability of smoked tobacco products</w:t>
            </w:r>
            <w:r w:rsidR="00FC6FCD">
              <w:rPr>
                <w:rFonts w:cs="Times New Roman"/>
                <w:sz w:val="18"/>
                <w:szCs w:val="18"/>
              </w:rPr>
              <w:t>.</w:t>
            </w:r>
            <w:r w:rsidR="00FC6FCD" w:rsidRPr="77F28DDA">
              <w:rPr>
                <w:rFonts w:eastAsia="Arial" w:cs="Arial"/>
                <w:color w:val="000000" w:themeColor="text1"/>
                <w:sz w:val="24"/>
                <w:szCs w:val="24"/>
              </w:rPr>
              <w:t xml:space="preserve"> </w:t>
            </w:r>
            <w:r w:rsidR="00FC6FCD" w:rsidRPr="77F28DDA">
              <w:rPr>
                <w:rFonts w:eastAsia="Arial" w:cs="Arial"/>
                <w:sz w:val="18"/>
                <w:szCs w:val="18"/>
              </w:rPr>
              <w:t xml:space="preserve"> </w:t>
            </w:r>
          </w:p>
        </w:tc>
      </w:tr>
      <w:tr w:rsidR="000038BB" w:rsidRPr="00A864A5" w14:paraId="62A83613" w14:textId="77777777" w:rsidTr="3C4E5589">
        <w:trPr>
          <w:trHeight w:val="378"/>
        </w:trPr>
        <w:tc>
          <w:tcPr>
            <w:tcW w:w="2794" w:type="dxa"/>
            <w:shd w:val="clear" w:color="auto" w:fill="F2F2F2" w:themeFill="background1" w:themeFillShade="F2"/>
            <w:vAlign w:val="center"/>
          </w:tcPr>
          <w:p w14:paraId="566426DC" w14:textId="0E472FE8" w:rsidR="000038BB" w:rsidRDefault="000038BB" w:rsidP="000038BB">
            <w:pPr>
              <w:spacing w:before="60" w:after="60" w:line="240" w:lineRule="auto"/>
              <w:jc w:val="center"/>
              <w:rPr>
                <w:rFonts w:cs="Arial"/>
                <w:b/>
                <w:color w:val="000000"/>
                <w:lang w:val="en-NZ"/>
              </w:rPr>
            </w:pPr>
            <w:r w:rsidRPr="44AAF6B2">
              <w:rPr>
                <w:rFonts w:cs="Arial"/>
                <w:b/>
                <w:color w:val="000000" w:themeColor="text1"/>
                <w:lang w:val="en-NZ"/>
              </w:rPr>
              <w:t>Cost and ease of implementation</w:t>
            </w:r>
          </w:p>
        </w:tc>
        <w:tc>
          <w:tcPr>
            <w:tcW w:w="5920" w:type="dxa"/>
            <w:shd w:val="clear" w:color="auto" w:fill="auto"/>
            <w:vAlign w:val="center"/>
          </w:tcPr>
          <w:p w14:paraId="578654B0" w14:textId="5D2751BB" w:rsidR="000038BB" w:rsidRPr="00472A1F" w:rsidRDefault="00472A1F" w:rsidP="000038BB">
            <w:pPr>
              <w:pStyle w:val="TableText"/>
              <w:spacing w:line="276" w:lineRule="auto"/>
              <w:jc w:val="center"/>
              <w:rPr>
                <w:bCs/>
                <w:lang w:val="en-NZ"/>
              </w:rPr>
            </w:pPr>
            <w:r w:rsidRPr="00472A1F">
              <w:rPr>
                <w:rFonts w:cs="Arial"/>
                <w:bCs/>
              </w:rPr>
              <w:t>0</w:t>
            </w:r>
          </w:p>
          <w:p w14:paraId="5B33B557" w14:textId="61ACD519" w:rsidR="000038BB" w:rsidRPr="00A864A5" w:rsidRDefault="00472A1F" w:rsidP="000038BB">
            <w:pPr>
              <w:pStyle w:val="TableText"/>
              <w:spacing w:line="276" w:lineRule="auto"/>
              <w:jc w:val="center"/>
              <w:rPr>
                <w:bCs/>
                <w:lang w:val="en-NZ"/>
              </w:rPr>
            </w:pPr>
            <w:r w:rsidRPr="3BA6CFA0">
              <w:rPr>
                <w:sz w:val="18"/>
                <w:szCs w:val="18"/>
                <w:lang w:val="en-NZ"/>
              </w:rPr>
              <w:t xml:space="preserve">Less </w:t>
            </w:r>
            <w:r w:rsidR="20555367" w:rsidRPr="3BA6CFA0">
              <w:rPr>
                <w:sz w:val="18"/>
                <w:szCs w:val="18"/>
                <w:lang w:val="en-NZ"/>
              </w:rPr>
              <w:t>cost</w:t>
            </w:r>
            <w:r w:rsidRPr="3BA6CFA0">
              <w:rPr>
                <w:sz w:val="18"/>
                <w:szCs w:val="18"/>
                <w:lang w:val="en-NZ"/>
              </w:rPr>
              <w:t xml:space="preserve"> for industry and regulator</w:t>
            </w:r>
            <w:r w:rsidR="20555367" w:rsidRPr="3BA6CFA0">
              <w:rPr>
                <w:sz w:val="18"/>
                <w:szCs w:val="18"/>
                <w:lang w:val="en-NZ"/>
              </w:rPr>
              <w:t xml:space="preserve">, but also less </w:t>
            </w:r>
            <w:r w:rsidRPr="3BA6CFA0">
              <w:rPr>
                <w:sz w:val="18"/>
                <w:szCs w:val="18"/>
                <w:lang w:val="en-NZ"/>
              </w:rPr>
              <w:t>certainty</w:t>
            </w:r>
            <w:r w:rsidR="00933905">
              <w:rPr>
                <w:sz w:val="18"/>
                <w:szCs w:val="18"/>
                <w:lang w:val="en-NZ"/>
              </w:rPr>
              <w:t xml:space="preserve"> regarding </w:t>
            </w:r>
            <w:r w:rsidR="00557873">
              <w:rPr>
                <w:sz w:val="18"/>
                <w:szCs w:val="18"/>
                <w:lang w:val="en-NZ"/>
              </w:rPr>
              <w:t>who can be approved</w:t>
            </w:r>
            <w:r w:rsidR="008C6D5B" w:rsidRPr="3BA6CFA0">
              <w:rPr>
                <w:sz w:val="18"/>
                <w:szCs w:val="18"/>
                <w:lang w:val="en-NZ"/>
              </w:rPr>
              <w:t>.</w:t>
            </w:r>
          </w:p>
        </w:tc>
        <w:tc>
          <w:tcPr>
            <w:tcW w:w="5880" w:type="dxa"/>
            <w:shd w:val="clear" w:color="auto" w:fill="auto"/>
            <w:vAlign w:val="center"/>
          </w:tcPr>
          <w:p w14:paraId="4C6218C4" w14:textId="77777777" w:rsidR="000038BB" w:rsidRDefault="000038BB" w:rsidP="000038BB">
            <w:pPr>
              <w:pStyle w:val="TableText"/>
              <w:spacing w:line="276" w:lineRule="auto"/>
              <w:jc w:val="center"/>
              <w:rPr>
                <w:rFonts w:cs="Arial"/>
                <w:b/>
                <w:color w:val="00B050"/>
              </w:rPr>
            </w:pPr>
            <w:r w:rsidRPr="00A864A5">
              <w:rPr>
                <w:rFonts w:cs="Arial"/>
                <w:b/>
                <w:color w:val="00B050"/>
              </w:rPr>
              <w:t>+</w:t>
            </w:r>
          </w:p>
          <w:p w14:paraId="20BBE0B5" w14:textId="42EC2BE7" w:rsidR="00374B99" w:rsidRPr="00A864A5" w:rsidRDefault="00374B99" w:rsidP="000038BB">
            <w:pPr>
              <w:pStyle w:val="TableText"/>
              <w:spacing w:line="276" w:lineRule="auto"/>
              <w:jc w:val="center"/>
              <w:rPr>
                <w:rFonts w:cs="Arial"/>
                <w:b/>
                <w:color w:val="FF0000"/>
              </w:rPr>
            </w:pPr>
            <w:r w:rsidRPr="25B8007B">
              <w:rPr>
                <w:sz w:val="18"/>
                <w:szCs w:val="18"/>
                <w:lang w:val="en-NZ"/>
              </w:rPr>
              <w:t xml:space="preserve">Although industry </w:t>
            </w:r>
            <w:r w:rsidR="008A7E17">
              <w:rPr>
                <w:sz w:val="18"/>
                <w:szCs w:val="18"/>
                <w:lang w:val="en-NZ"/>
              </w:rPr>
              <w:t>may</w:t>
            </w:r>
            <w:r w:rsidRPr="25B8007B">
              <w:rPr>
                <w:sz w:val="18"/>
                <w:szCs w:val="18"/>
                <w:lang w:val="en-NZ"/>
              </w:rPr>
              <w:t xml:space="preserve"> incur higher set-up costs, this will provide much more certainty for both industry and regulator</w:t>
            </w:r>
            <w:r w:rsidR="6902F6A9" w:rsidRPr="25B8007B">
              <w:rPr>
                <w:sz w:val="18"/>
                <w:szCs w:val="18"/>
                <w:lang w:val="en-NZ"/>
              </w:rPr>
              <w:t>, potentially reducing costs in the longer term</w:t>
            </w:r>
            <w:r w:rsidR="00DF6EEE" w:rsidRPr="25B8007B">
              <w:rPr>
                <w:sz w:val="18"/>
                <w:szCs w:val="18"/>
                <w:lang w:val="en-NZ"/>
              </w:rPr>
              <w:t>.</w:t>
            </w:r>
            <w:r w:rsidR="008105E4">
              <w:rPr>
                <w:sz w:val="18"/>
                <w:szCs w:val="18"/>
                <w:lang w:val="en-NZ"/>
              </w:rPr>
              <w:t xml:space="preserve"> Less </w:t>
            </w:r>
            <w:r w:rsidR="008D2DE1">
              <w:rPr>
                <w:sz w:val="18"/>
                <w:szCs w:val="18"/>
                <w:lang w:val="en-NZ"/>
              </w:rPr>
              <w:t xml:space="preserve">theft and burglaries will likely </w:t>
            </w:r>
            <w:r w:rsidR="00553CFA">
              <w:rPr>
                <w:sz w:val="18"/>
                <w:szCs w:val="18"/>
                <w:lang w:val="en-NZ"/>
              </w:rPr>
              <w:t>reduce costs for industry.</w:t>
            </w:r>
          </w:p>
        </w:tc>
      </w:tr>
      <w:tr w:rsidR="000038BB" w:rsidRPr="00A864A5" w14:paraId="4944DCD2" w14:textId="77777777" w:rsidTr="3C4E5589">
        <w:trPr>
          <w:trHeight w:val="378"/>
        </w:trPr>
        <w:tc>
          <w:tcPr>
            <w:tcW w:w="2794" w:type="dxa"/>
            <w:shd w:val="clear" w:color="auto" w:fill="F2F2F2" w:themeFill="background1" w:themeFillShade="F2"/>
            <w:vAlign w:val="center"/>
          </w:tcPr>
          <w:p w14:paraId="692158E3" w14:textId="4C89410F" w:rsidR="000038BB" w:rsidRDefault="000038BB" w:rsidP="58911DBF">
            <w:pPr>
              <w:spacing w:before="60" w:after="60" w:line="240" w:lineRule="auto"/>
              <w:jc w:val="center"/>
              <w:rPr>
                <w:rFonts w:cs="Arial"/>
                <w:b/>
                <w:bCs/>
                <w:color w:val="000000"/>
                <w:lang w:val="en-NZ"/>
              </w:rPr>
            </w:pPr>
            <w:r w:rsidRPr="58911DBF">
              <w:rPr>
                <w:b/>
                <w:bCs/>
              </w:rPr>
              <w:t xml:space="preserve">Clear and workable for </w:t>
            </w:r>
            <w:r w:rsidR="2901F2AF" w:rsidRPr="58911DBF">
              <w:rPr>
                <w:b/>
                <w:bCs/>
              </w:rPr>
              <w:t>Aotearoa</w:t>
            </w:r>
          </w:p>
        </w:tc>
        <w:tc>
          <w:tcPr>
            <w:tcW w:w="5920" w:type="dxa"/>
            <w:shd w:val="clear" w:color="auto" w:fill="auto"/>
            <w:vAlign w:val="center"/>
          </w:tcPr>
          <w:p w14:paraId="547B5C9A" w14:textId="2E60A161" w:rsidR="00E11602" w:rsidRDefault="5E9CA8C9" w:rsidP="393E4D37">
            <w:pPr>
              <w:pStyle w:val="TableText"/>
              <w:spacing w:line="276" w:lineRule="auto"/>
              <w:jc w:val="center"/>
              <w:rPr>
                <w:lang w:val="en-NZ"/>
              </w:rPr>
            </w:pPr>
            <w:r w:rsidRPr="393E4D37">
              <w:rPr>
                <w:rFonts w:cs="Arial"/>
              </w:rPr>
              <w:t>0</w:t>
            </w:r>
          </w:p>
          <w:p w14:paraId="3F5BEE95" w14:textId="59B7D4CA" w:rsidR="000038BB" w:rsidRPr="00E11602" w:rsidRDefault="004B157B" w:rsidP="000038BB">
            <w:pPr>
              <w:pStyle w:val="TableText"/>
              <w:spacing w:line="276" w:lineRule="auto"/>
              <w:jc w:val="center"/>
              <w:rPr>
                <w:rFonts w:cs="Arial"/>
                <w:sz w:val="18"/>
                <w:szCs w:val="18"/>
                <w:lang w:val="en-NZ"/>
              </w:rPr>
            </w:pPr>
            <w:r>
              <w:rPr>
                <w:rFonts w:cs="Arial"/>
                <w:sz w:val="18"/>
                <w:szCs w:val="18"/>
              </w:rPr>
              <w:t>Less robust scheme</w:t>
            </w:r>
            <w:r w:rsidR="00B80D56">
              <w:rPr>
                <w:rFonts w:cs="Arial"/>
                <w:sz w:val="18"/>
                <w:szCs w:val="18"/>
              </w:rPr>
              <w:t>, potentially leading to reduced</w:t>
            </w:r>
            <w:r w:rsidR="004D10A4">
              <w:rPr>
                <w:rFonts w:cs="Arial"/>
                <w:sz w:val="18"/>
                <w:szCs w:val="18"/>
              </w:rPr>
              <w:t xml:space="preserve"> trust and confidence </w:t>
            </w:r>
            <w:r w:rsidR="004D212F">
              <w:rPr>
                <w:rFonts w:cs="Arial"/>
                <w:sz w:val="18"/>
                <w:szCs w:val="18"/>
              </w:rPr>
              <w:t>in the system</w:t>
            </w:r>
            <w:r w:rsidR="001858EC" w:rsidRPr="0062E30F" w:rsidDel="001858EC">
              <w:rPr>
                <w:rFonts w:cs="Arial"/>
                <w:sz w:val="18"/>
                <w:szCs w:val="18"/>
              </w:rPr>
              <w:t>.</w:t>
            </w:r>
          </w:p>
        </w:tc>
        <w:tc>
          <w:tcPr>
            <w:tcW w:w="5880" w:type="dxa"/>
            <w:shd w:val="clear" w:color="auto" w:fill="auto"/>
            <w:vAlign w:val="center"/>
          </w:tcPr>
          <w:p w14:paraId="7B256CBD" w14:textId="25EF6CF8" w:rsidR="000038BB" w:rsidRDefault="000038BB" w:rsidP="000038BB">
            <w:pPr>
              <w:pStyle w:val="TableText"/>
              <w:spacing w:line="276" w:lineRule="auto"/>
              <w:jc w:val="center"/>
              <w:rPr>
                <w:rFonts w:cs="Arial"/>
                <w:b/>
                <w:color w:val="00B050"/>
              </w:rPr>
            </w:pPr>
            <w:r w:rsidRPr="00A864A5">
              <w:rPr>
                <w:rFonts w:cs="Arial"/>
                <w:b/>
                <w:color w:val="00B050"/>
              </w:rPr>
              <w:t>+</w:t>
            </w:r>
          </w:p>
          <w:p w14:paraId="5D776AB0" w14:textId="5DA83850" w:rsidR="00DC1B3E" w:rsidRPr="00551411" w:rsidRDefault="00E63A2A" w:rsidP="000038BB">
            <w:pPr>
              <w:pStyle w:val="TableText"/>
              <w:spacing w:line="276" w:lineRule="auto"/>
              <w:jc w:val="center"/>
              <w:rPr>
                <w:rFonts w:cs="Arial"/>
                <w:sz w:val="18"/>
                <w:szCs w:val="18"/>
              </w:rPr>
            </w:pPr>
            <w:proofErr w:type="gramStart"/>
            <w:r>
              <w:rPr>
                <w:rFonts w:cs="Arial"/>
                <w:sz w:val="18"/>
                <w:szCs w:val="18"/>
              </w:rPr>
              <w:t>More robust scheme</w:t>
            </w:r>
            <w:r w:rsidR="0054474D">
              <w:rPr>
                <w:rFonts w:cs="Arial"/>
                <w:sz w:val="18"/>
                <w:szCs w:val="18"/>
              </w:rPr>
              <w:t>,</w:t>
            </w:r>
            <w:proofErr w:type="gramEnd"/>
            <w:r w:rsidR="0054474D">
              <w:rPr>
                <w:rFonts w:cs="Arial"/>
                <w:sz w:val="18"/>
                <w:szCs w:val="18"/>
              </w:rPr>
              <w:t xml:space="preserve"> </w:t>
            </w:r>
            <w:r w:rsidR="0099055A">
              <w:rPr>
                <w:rFonts w:cs="Arial"/>
                <w:sz w:val="18"/>
                <w:szCs w:val="18"/>
              </w:rPr>
              <w:t>provides</w:t>
            </w:r>
            <w:r w:rsidR="00183A96" w:rsidRPr="368B3582">
              <w:rPr>
                <w:rFonts w:cs="Arial"/>
                <w:sz w:val="18"/>
                <w:szCs w:val="18"/>
              </w:rPr>
              <w:t xml:space="preserve"> clarity</w:t>
            </w:r>
            <w:r w:rsidR="006B07FF">
              <w:rPr>
                <w:rFonts w:cs="Arial"/>
                <w:sz w:val="18"/>
                <w:szCs w:val="18"/>
              </w:rPr>
              <w:t xml:space="preserve"> on expectations</w:t>
            </w:r>
            <w:r w:rsidR="3C7C6C12" w:rsidRPr="368B3582">
              <w:rPr>
                <w:rFonts w:cs="Arial"/>
                <w:sz w:val="18"/>
                <w:szCs w:val="18"/>
              </w:rPr>
              <w:t xml:space="preserve"> for </w:t>
            </w:r>
            <w:r w:rsidR="3C7C6C12" w:rsidRPr="52C09FC2">
              <w:rPr>
                <w:rFonts w:cs="Arial"/>
                <w:sz w:val="18"/>
                <w:szCs w:val="18"/>
              </w:rPr>
              <w:t>businesses</w:t>
            </w:r>
            <w:r w:rsidR="00183A96" w:rsidRPr="368B3582">
              <w:rPr>
                <w:rFonts w:cs="Arial"/>
                <w:sz w:val="18"/>
                <w:szCs w:val="18"/>
              </w:rPr>
              <w:t>.</w:t>
            </w:r>
            <w:r w:rsidR="000C7C56">
              <w:rPr>
                <w:rFonts w:cs="Arial"/>
                <w:sz w:val="18"/>
                <w:szCs w:val="18"/>
              </w:rPr>
              <w:t xml:space="preserve"> Improved trust and confidence in the sector</w:t>
            </w:r>
            <w:r w:rsidR="00CE0A6B">
              <w:rPr>
                <w:rFonts w:cs="Arial"/>
                <w:sz w:val="18"/>
                <w:szCs w:val="18"/>
              </w:rPr>
              <w:t xml:space="preserve"> due to robust security and higher standards for retailers.</w:t>
            </w:r>
          </w:p>
        </w:tc>
      </w:tr>
      <w:tr w:rsidR="000038BB" w:rsidRPr="00A864A5" w14:paraId="610535B6" w14:textId="77777777" w:rsidTr="3C4E5589">
        <w:trPr>
          <w:trHeight w:val="584"/>
        </w:trPr>
        <w:tc>
          <w:tcPr>
            <w:tcW w:w="2794" w:type="dxa"/>
            <w:shd w:val="clear" w:color="auto" w:fill="F2F2F2" w:themeFill="background1" w:themeFillShade="F2"/>
            <w:vAlign w:val="center"/>
          </w:tcPr>
          <w:p w14:paraId="4CEBFF80" w14:textId="77777777" w:rsidR="000038BB" w:rsidRPr="00A864A5" w:rsidRDefault="000038BB" w:rsidP="000038BB">
            <w:pPr>
              <w:spacing w:before="60" w:after="60" w:line="240" w:lineRule="auto"/>
              <w:jc w:val="center"/>
              <w:rPr>
                <w:rFonts w:cs="Arial"/>
                <w:b/>
                <w:color w:val="000000"/>
                <w:szCs w:val="22"/>
                <w:lang w:val="en-NZ"/>
              </w:rPr>
            </w:pPr>
            <w:r w:rsidRPr="00A864A5">
              <w:rPr>
                <w:rFonts w:cs="Arial"/>
                <w:b/>
                <w:color w:val="000000"/>
                <w:szCs w:val="22"/>
                <w:lang w:val="en-NZ"/>
              </w:rPr>
              <w:t>Overall assessment</w:t>
            </w:r>
          </w:p>
        </w:tc>
        <w:tc>
          <w:tcPr>
            <w:tcW w:w="5920" w:type="dxa"/>
            <w:shd w:val="clear" w:color="auto" w:fill="auto"/>
            <w:vAlign w:val="center"/>
          </w:tcPr>
          <w:p w14:paraId="14B5A9EB" w14:textId="49FDE0AD" w:rsidR="007222AE" w:rsidRPr="00A864A5" w:rsidRDefault="007222AE" w:rsidP="393E4D37">
            <w:pPr>
              <w:pStyle w:val="TableText"/>
              <w:spacing w:line="276" w:lineRule="auto"/>
              <w:jc w:val="center"/>
              <w:rPr>
                <w:lang w:val="en-NZ"/>
              </w:rPr>
            </w:pPr>
          </w:p>
        </w:tc>
        <w:tc>
          <w:tcPr>
            <w:tcW w:w="5880" w:type="dxa"/>
            <w:shd w:val="clear" w:color="auto" w:fill="auto"/>
            <w:vAlign w:val="center"/>
          </w:tcPr>
          <w:p w14:paraId="11A67343" w14:textId="3EE4E101" w:rsidR="000038BB" w:rsidRPr="00D275B0" w:rsidRDefault="00501D9C" w:rsidP="007222AE">
            <w:pPr>
              <w:pStyle w:val="TableText"/>
              <w:spacing w:line="276" w:lineRule="auto"/>
              <w:jc w:val="center"/>
              <w:rPr>
                <w:b/>
                <w:bCs/>
                <w:lang w:val="en-NZ"/>
              </w:rPr>
            </w:pPr>
            <w:r w:rsidRPr="00E2423E">
              <w:rPr>
                <w:rFonts w:cs="Arial"/>
                <w:b/>
              </w:rPr>
              <w:t>Preferred</w:t>
            </w:r>
            <w:r w:rsidR="0038517D" w:rsidRPr="00E2423E">
              <w:rPr>
                <w:rFonts w:cs="Arial"/>
                <w:b/>
              </w:rPr>
              <w:t xml:space="preserve"> option</w:t>
            </w:r>
          </w:p>
        </w:tc>
      </w:tr>
    </w:tbl>
    <w:p w14:paraId="156E57E7" w14:textId="748A0CC1" w:rsidR="00D71CE0" w:rsidRPr="00A864A5" w:rsidRDefault="00D71CE0" w:rsidP="00846C56">
      <w:pPr>
        <w:pStyle w:val="Heading3"/>
        <w:rPr>
          <w:noProof/>
          <w:lang w:val="en-NZ" w:eastAsia="en-NZ"/>
        </w:rPr>
      </w:pPr>
    </w:p>
    <w:p w14:paraId="79DA18FD" w14:textId="5D0ADF22" w:rsidR="00175B52" w:rsidRPr="00B84E15" w:rsidRDefault="00175B52" w:rsidP="000038BB">
      <w:pPr>
        <w:pStyle w:val="ListParagraph"/>
        <w:rPr>
          <w:lang w:val="en-NZ" w:eastAsia="en-NZ"/>
        </w:rPr>
        <w:sectPr w:rsidR="00175B52" w:rsidRPr="00B84E15" w:rsidSect="00B5612C">
          <w:footerReference w:type="default" r:id="rId18"/>
          <w:pgSz w:w="16838" w:h="11906" w:orient="landscape" w:code="9"/>
          <w:pgMar w:top="1418" w:right="1134" w:bottom="1418" w:left="992" w:header="454" w:footer="454" w:gutter="0"/>
          <w:cols w:space="708"/>
          <w:docGrid w:linePitch="360"/>
        </w:sectPr>
      </w:pPr>
    </w:p>
    <w:p w14:paraId="2E25C112" w14:textId="126F8491" w:rsidR="000F23A9" w:rsidRPr="000F23A9" w:rsidRDefault="00B4741A" w:rsidP="00683153">
      <w:pPr>
        <w:pStyle w:val="Heading3"/>
        <w:spacing w:before="120" w:after="120"/>
        <w:rPr>
          <w:lang w:val="en-NZ"/>
        </w:rPr>
      </w:pPr>
      <w:r w:rsidRPr="794B25FD">
        <w:rPr>
          <w:lang w:val="en-NZ"/>
        </w:rPr>
        <w:t xml:space="preserve">Issue 2 – </w:t>
      </w:r>
      <w:r w:rsidR="58D90EA1" w:rsidRPr="794B25FD">
        <w:rPr>
          <w:lang w:val="en-NZ"/>
        </w:rPr>
        <w:t>D</w:t>
      </w:r>
      <w:r w:rsidR="126CED18" w:rsidRPr="794B25FD">
        <w:rPr>
          <w:lang w:val="en-NZ"/>
        </w:rPr>
        <w:t>e</w:t>
      </w:r>
      <w:r w:rsidR="72FBF991" w:rsidRPr="794B25FD">
        <w:rPr>
          <w:lang w:val="en-NZ"/>
        </w:rPr>
        <w:t>cision</w:t>
      </w:r>
      <w:r w:rsidR="00062FA1" w:rsidRPr="794B25FD">
        <w:rPr>
          <w:lang w:val="en-NZ"/>
        </w:rPr>
        <w:t>-</w:t>
      </w:r>
      <w:r w:rsidR="001D1E34" w:rsidRPr="794B25FD">
        <w:rPr>
          <w:lang w:val="en-NZ"/>
        </w:rPr>
        <w:t>m</w:t>
      </w:r>
      <w:r w:rsidR="00062FA1" w:rsidRPr="794B25FD">
        <w:rPr>
          <w:lang w:val="en-NZ"/>
        </w:rPr>
        <w:t>aking</w:t>
      </w:r>
      <w:r w:rsidR="001D1E34" w:rsidRPr="794B25FD">
        <w:rPr>
          <w:lang w:val="en-NZ"/>
        </w:rPr>
        <w:t xml:space="preserve"> c</w:t>
      </w:r>
      <w:r w:rsidR="00062FA1" w:rsidRPr="794B25FD">
        <w:rPr>
          <w:lang w:val="en-NZ"/>
        </w:rPr>
        <w:t>riteria</w:t>
      </w:r>
      <w:r w:rsidR="008F7496" w:rsidRPr="794B25FD">
        <w:rPr>
          <w:lang w:val="en-NZ"/>
        </w:rPr>
        <w:t xml:space="preserve"> </w:t>
      </w:r>
      <w:r w:rsidR="002C1A88" w:rsidRPr="794B25FD">
        <w:rPr>
          <w:lang w:val="en-NZ"/>
        </w:rPr>
        <w:t>for</w:t>
      </w:r>
      <w:r w:rsidR="008F7496" w:rsidRPr="794B25FD">
        <w:rPr>
          <w:lang w:val="en-NZ"/>
        </w:rPr>
        <w:t xml:space="preserve"> </w:t>
      </w:r>
      <w:r w:rsidR="75385304" w:rsidRPr="794B25FD">
        <w:rPr>
          <w:lang w:val="en-NZ"/>
        </w:rPr>
        <w:t xml:space="preserve">retail </w:t>
      </w:r>
      <w:r w:rsidR="001D1E34" w:rsidRPr="794B25FD">
        <w:rPr>
          <w:lang w:val="en-NZ"/>
        </w:rPr>
        <w:t>a</w:t>
      </w:r>
      <w:r w:rsidR="008F7496" w:rsidRPr="794B25FD">
        <w:rPr>
          <w:lang w:val="en-NZ"/>
        </w:rPr>
        <w:t>pplications</w:t>
      </w:r>
    </w:p>
    <w:p w14:paraId="63E89384" w14:textId="5E91AA9A" w:rsidR="00113C31" w:rsidRPr="00804504" w:rsidRDefault="00113C31" w:rsidP="00683153">
      <w:pPr>
        <w:spacing w:before="120" w:after="120" w:line="240" w:lineRule="auto"/>
        <w:rPr>
          <w:rFonts w:cs="Arial"/>
        </w:rPr>
      </w:pPr>
      <w:r w:rsidRPr="004676DA">
        <w:rPr>
          <w:rFonts w:cs="Arial"/>
        </w:rPr>
        <w:t xml:space="preserve">The </w:t>
      </w:r>
      <w:r w:rsidR="00E564E5">
        <w:rPr>
          <w:rFonts w:cs="Arial"/>
        </w:rPr>
        <w:t xml:space="preserve">Amendment </w:t>
      </w:r>
      <w:r w:rsidRPr="004676DA">
        <w:rPr>
          <w:rFonts w:cs="Arial"/>
        </w:rPr>
        <w:t>Act</w:t>
      </w:r>
      <w:r w:rsidRPr="00350F8D">
        <w:rPr>
          <w:rFonts w:cs="Arial"/>
        </w:rPr>
        <w:t xml:space="preserve"> requires that the Director-General determine and publish a</w:t>
      </w:r>
      <w:r w:rsidRPr="00F46879">
        <w:rPr>
          <w:rFonts w:cs="Arial"/>
        </w:rPr>
        <w:t>n application process</w:t>
      </w:r>
      <w:r w:rsidRPr="003C6699">
        <w:rPr>
          <w:rFonts w:cs="Arial"/>
        </w:rPr>
        <w:t xml:space="preserve"> that ensures that the maximum number of </w:t>
      </w:r>
      <w:r w:rsidRPr="00FC7454">
        <w:rPr>
          <w:rFonts w:cs="Arial"/>
        </w:rPr>
        <w:t xml:space="preserve">approved premises </w:t>
      </w:r>
      <w:r w:rsidRPr="0068187A">
        <w:rPr>
          <w:rFonts w:cs="Arial"/>
        </w:rPr>
        <w:t>for an area is not exceeded</w:t>
      </w:r>
      <w:r w:rsidRPr="007F4644">
        <w:rPr>
          <w:rFonts w:cs="Arial"/>
        </w:rPr>
        <w:t xml:space="preserve">. The </w:t>
      </w:r>
      <w:r w:rsidRPr="009439B4">
        <w:rPr>
          <w:rFonts w:cs="Arial"/>
        </w:rPr>
        <w:t>process must also include</w:t>
      </w:r>
      <w:r w:rsidRPr="003108D5">
        <w:rPr>
          <w:rFonts w:cs="Arial"/>
        </w:rPr>
        <w:t xml:space="preserve"> a ranking system </w:t>
      </w:r>
      <w:r w:rsidRPr="000624FB">
        <w:rPr>
          <w:rFonts w:cs="Arial"/>
        </w:rPr>
        <w:t xml:space="preserve">for </w:t>
      </w:r>
      <w:r w:rsidRPr="00B642BF">
        <w:rPr>
          <w:rFonts w:cs="Arial"/>
        </w:rPr>
        <w:t>when</w:t>
      </w:r>
      <w:r w:rsidRPr="00246606">
        <w:rPr>
          <w:rFonts w:cs="Arial"/>
        </w:rPr>
        <w:t xml:space="preserve"> </w:t>
      </w:r>
      <w:r w:rsidRPr="0092174F">
        <w:rPr>
          <w:rFonts w:cs="Arial"/>
        </w:rPr>
        <w:t>there are more applicants for an area than the maximum number allows</w:t>
      </w:r>
      <w:r w:rsidRPr="008263FE">
        <w:rPr>
          <w:rFonts w:cs="Arial"/>
        </w:rPr>
        <w:t xml:space="preserve">. </w:t>
      </w:r>
    </w:p>
    <w:p w14:paraId="17969B33" w14:textId="2012F8AF" w:rsidR="51077962" w:rsidRDefault="00113C31" w:rsidP="00683153">
      <w:pPr>
        <w:spacing w:before="120" w:after="120" w:line="240" w:lineRule="auto"/>
        <w:rPr>
          <w:lang w:val="en-NZ"/>
        </w:rPr>
      </w:pPr>
      <w:r w:rsidRPr="00947E89">
        <w:rPr>
          <w:rFonts w:cs="Arial"/>
        </w:rPr>
        <w:t>A</w:t>
      </w:r>
      <w:r w:rsidRPr="000D10B7">
        <w:rPr>
          <w:rFonts w:cs="Arial"/>
        </w:rPr>
        <w:t xml:space="preserve">dditional decision-making criteria </w:t>
      </w:r>
      <w:r w:rsidRPr="008D5E7C">
        <w:rPr>
          <w:rFonts w:cs="Arial"/>
        </w:rPr>
        <w:t>can</w:t>
      </w:r>
      <w:r w:rsidRPr="004279FB">
        <w:rPr>
          <w:rFonts w:cs="Arial"/>
        </w:rPr>
        <w:t xml:space="preserve"> b</w:t>
      </w:r>
      <w:r w:rsidRPr="009550FF">
        <w:rPr>
          <w:rFonts w:cs="Arial"/>
        </w:rPr>
        <w:t xml:space="preserve">e set in regulations to rank applicants and </w:t>
      </w:r>
      <w:r w:rsidRPr="000731B3">
        <w:rPr>
          <w:rFonts w:cs="Arial"/>
        </w:rPr>
        <w:t xml:space="preserve">determine who will be granted approval in these circumstances. </w:t>
      </w:r>
      <w:r w:rsidR="51077962" w:rsidRPr="3C4E5589">
        <w:rPr>
          <w:lang w:val="en-NZ"/>
        </w:rPr>
        <w:t>The Ministry</w:t>
      </w:r>
      <w:r w:rsidR="48B7DA23" w:rsidRPr="3C4E5589">
        <w:rPr>
          <w:lang w:val="en-NZ"/>
        </w:rPr>
        <w:t xml:space="preserve"> consulted on a proposal to set </w:t>
      </w:r>
      <w:r w:rsidR="1C14C109" w:rsidRPr="3C4E5589">
        <w:rPr>
          <w:lang w:val="en-NZ"/>
        </w:rPr>
        <w:t>specific ranking</w:t>
      </w:r>
      <w:r w:rsidR="5A3DEE28" w:rsidRPr="3C4E5589">
        <w:rPr>
          <w:lang w:val="en-NZ"/>
        </w:rPr>
        <w:t xml:space="preserve"> criteria relating to </w:t>
      </w:r>
      <w:r w:rsidR="62D74027" w:rsidRPr="3C4E5589">
        <w:rPr>
          <w:lang w:val="en-NZ"/>
        </w:rPr>
        <w:t xml:space="preserve">proximity and location, the type of business, </w:t>
      </w:r>
      <w:r w:rsidR="3B11B3CB" w:rsidRPr="3C4E5589">
        <w:rPr>
          <w:lang w:val="en-NZ"/>
        </w:rPr>
        <w:t>store securit</w:t>
      </w:r>
      <w:r w:rsidR="720046DB" w:rsidRPr="3C4E5589">
        <w:rPr>
          <w:lang w:val="en-NZ"/>
        </w:rPr>
        <w:t xml:space="preserve">y, </w:t>
      </w:r>
      <w:r w:rsidR="7A52F875" w:rsidRPr="3C4E5589">
        <w:rPr>
          <w:lang w:val="en-NZ"/>
        </w:rPr>
        <w:t>business systems</w:t>
      </w:r>
      <w:r w:rsidR="720046DB" w:rsidRPr="3C4E5589">
        <w:rPr>
          <w:lang w:val="en-NZ"/>
        </w:rPr>
        <w:t xml:space="preserve">, </w:t>
      </w:r>
      <w:r w:rsidR="2130141F" w:rsidRPr="3C4E5589">
        <w:rPr>
          <w:lang w:val="en-NZ"/>
        </w:rPr>
        <w:t>and compliance history.</w:t>
      </w:r>
      <w:r w:rsidR="7E998452" w:rsidRPr="3C4E5589">
        <w:rPr>
          <w:lang w:val="en-NZ"/>
        </w:rPr>
        <w:t xml:space="preserve"> </w:t>
      </w:r>
    </w:p>
    <w:p w14:paraId="60FAB180" w14:textId="6CE117EA" w:rsidR="5446F38C" w:rsidRDefault="5446F38C" w:rsidP="00683153">
      <w:pPr>
        <w:spacing w:before="120" w:after="120" w:line="240" w:lineRule="auto"/>
        <w:rPr>
          <w:lang w:val="en-NZ"/>
        </w:rPr>
      </w:pPr>
      <w:r w:rsidRPr="3C4E5589">
        <w:rPr>
          <w:i/>
          <w:iCs/>
          <w:lang w:val="en-NZ"/>
        </w:rPr>
        <w:t>Consultation feedback</w:t>
      </w:r>
    </w:p>
    <w:p w14:paraId="51C001FA" w14:textId="2364B6C5" w:rsidR="5446F38C" w:rsidRDefault="5446F38C" w:rsidP="00683153">
      <w:pPr>
        <w:spacing w:before="120" w:after="120" w:line="240" w:lineRule="auto"/>
        <w:rPr>
          <w:lang w:val="en-NZ"/>
        </w:rPr>
      </w:pPr>
      <w:proofErr w:type="gramStart"/>
      <w:r w:rsidRPr="3C4E5589">
        <w:rPr>
          <w:lang w:val="en-NZ"/>
        </w:rPr>
        <w:t>A large number of</w:t>
      </w:r>
      <w:proofErr w:type="gramEnd"/>
      <w:r w:rsidRPr="3C4E5589">
        <w:rPr>
          <w:lang w:val="en-NZ"/>
        </w:rPr>
        <w:t xml:space="preserve"> submissions supported proximity restrictions for smoked tobacco retailers. </w:t>
      </w:r>
      <w:r w:rsidR="00640A4D" w:rsidRPr="007D16B3">
        <w:rPr>
          <w:lang w:val="en-NZ"/>
        </w:rPr>
        <w:t>Submitters</w:t>
      </w:r>
      <w:r w:rsidRPr="3C4E5589">
        <w:rPr>
          <w:lang w:val="en-NZ"/>
        </w:rPr>
        <w:t xml:space="preserve"> strongly considered that proximity considerations </w:t>
      </w:r>
      <w:r w:rsidR="00094F5B">
        <w:rPr>
          <w:lang w:val="en-NZ"/>
        </w:rPr>
        <w:t>should</w:t>
      </w:r>
      <w:r w:rsidRPr="3C4E5589">
        <w:rPr>
          <w:lang w:val="en-NZ"/>
        </w:rPr>
        <w:t xml:space="preserve"> include </w:t>
      </w:r>
      <w:proofErr w:type="spellStart"/>
      <w:r w:rsidRPr="3C4E5589">
        <w:rPr>
          <w:lang w:val="en-NZ"/>
        </w:rPr>
        <w:t>kōhanga</w:t>
      </w:r>
      <w:proofErr w:type="spellEnd"/>
      <w:r w:rsidRPr="3C4E5589">
        <w:rPr>
          <w:lang w:val="en-NZ"/>
        </w:rPr>
        <w:t xml:space="preserve"> </w:t>
      </w:r>
      <w:proofErr w:type="spellStart"/>
      <w:r w:rsidRPr="3C4E5589">
        <w:rPr>
          <w:lang w:val="en-NZ"/>
        </w:rPr>
        <w:t>reo</w:t>
      </w:r>
      <w:proofErr w:type="spellEnd"/>
      <w:r w:rsidRPr="3C4E5589">
        <w:rPr>
          <w:lang w:val="en-NZ"/>
        </w:rPr>
        <w:t xml:space="preserve">, </w:t>
      </w:r>
      <w:proofErr w:type="spellStart"/>
      <w:r w:rsidRPr="3C4E5589">
        <w:rPr>
          <w:lang w:val="en-NZ"/>
        </w:rPr>
        <w:t>kura</w:t>
      </w:r>
      <w:proofErr w:type="spellEnd"/>
      <w:r w:rsidR="00382C30">
        <w:rPr>
          <w:lang w:val="en-NZ"/>
        </w:rPr>
        <w:t>/schools</w:t>
      </w:r>
      <w:r w:rsidRPr="3C4E5589">
        <w:rPr>
          <w:lang w:val="en-NZ"/>
        </w:rPr>
        <w:t xml:space="preserve">, </w:t>
      </w:r>
      <w:proofErr w:type="gramStart"/>
      <w:r w:rsidRPr="3C4E5589">
        <w:rPr>
          <w:lang w:val="en-NZ"/>
        </w:rPr>
        <w:t>marae</w:t>
      </w:r>
      <w:proofErr w:type="gramEnd"/>
      <w:r w:rsidRPr="3C4E5589">
        <w:rPr>
          <w:lang w:val="en-NZ"/>
        </w:rPr>
        <w:t xml:space="preserve"> and churches. Some submitters also supported consideration of the type of business, with some recommending that for example alcohol and/or grocery stores not be eligible for approval.</w:t>
      </w:r>
    </w:p>
    <w:p w14:paraId="4221BB50" w14:textId="18DA545E" w:rsidR="5446F38C" w:rsidRDefault="5446F38C" w:rsidP="00683153">
      <w:pPr>
        <w:spacing w:before="120" w:after="120" w:line="240" w:lineRule="auto"/>
        <w:rPr>
          <w:lang w:val="en-NZ"/>
        </w:rPr>
      </w:pPr>
      <w:r w:rsidRPr="3C4E5589">
        <w:rPr>
          <w:lang w:val="en-NZ"/>
        </w:rPr>
        <w:t xml:space="preserve">Many submitters considered that local communities should be involved in decision making for retailer approvals. It was also commonly raised that no new tobacco retailers should be approved where there are currently none. </w:t>
      </w:r>
    </w:p>
    <w:p w14:paraId="5650BF08" w14:textId="11C6310F" w:rsidR="146F2445" w:rsidRDefault="146F2445" w:rsidP="00683153">
      <w:pPr>
        <w:spacing w:before="120" w:after="120" w:line="240" w:lineRule="auto"/>
        <w:rPr>
          <w:lang w:val="en-NZ"/>
        </w:rPr>
      </w:pPr>
      <w:r w:rsidRPr="3C4E5589">
        <w:rPr>
          <w:lang w:val="en-NZ"/>
        </w:rPr>
        <w:t>Another concern raised was whether s</w:t>
      </w:r>
      <w:r w:rsidR="5446F38C" w:rsidRPr="3C4E5589">
        <w:rPr>
          <w:lang w:val="en-NZ"/>
        </w:rPr>
        <w:t>tores w</w:t>
      </w:r>
      <w:r w:rsidR="0B4D3E52" w:rsidRPr="3C4E5589">
        <w:rPr>
          <w:lang w:val="en-NZ"/>
        </w:rPr>
        <w:t>ould</w:t>
      </w:r>
      <w:r w:rsidR="5446F38C" w:rsidRPr="3C4E5589">
        <w:rPr>
          <w:lang w:val="en-NZ"/>
        </w:rPr>
        <w:t xml:space="preserve"> have to invest in </w:t>
      </w:r>
      <w:r w:rsidR="23F3108C" w:rsidRPr="3C4E5589">
        <w:rPr>
          <w:lang w:val="en-NZ"/>
        </w:rPr>
        <w:t xml:space="preserve">ensuring they could meet </w:t>
      </w:r>
      <w:r w:rsidR="5446F38C" w:rsidRPr="3C4E5589">
        <w:rPr>
          <w:lang w:val="en-NZ"/>
        </w:rPr>
        <w:t>these criteria prior to applying</w:t>
      </w:r>
      <w:r w:rsidR="34C9A49B" w:rsidRPr="3C4E5589">
        <w:rPr>
          <w:lang w:val="en-NZ"/>
        </w:rPr>
        <w:t xml:space="preserve">, when </w:t>
      </w:r>
      <w:r w:rsidR="006E1A14">
        <w:rPr>
          <w:lang w:val="en-NZ"/>
        </w:rPr>
        <w:t>there was no certainty</w:t>
      </w:r>
      <w:r w:rsidR="34C9A49B" w:rsidRPr="3C4E5589">
        <w:rPr>
          <w:lang w:val="en-NZ"/>
        </w:rPr>
        <w:t xml:space="preserve"> that they </w:t>
      </w:r>
      <w:r w:rsidR="5446F38C" w:rsidRPr="3C4E5589">
        <w:rPr>
          <w:lang w:val="en-NZ"/>
        </w:rPr>
        <w:t xml:space="preserve">would </w:t>
      </w:r>
      <w:r w:rsidR="0E0E0147" w:rsidRPr="3C4E5589">
        <w:rPr>
          <w:lang w:val="en-NZ"/>
        </w:rPr>
        <w:t>b</w:t>
      </w:r>
      <w:r w:rsidR="5446F38C" w:rsidRPr="3C4E5589">
        <w:rPr>
          <w:lang w:val="en-NZ"/>
        </w:rPr>
        <w:t>e approved.</w:t>
      </w:r>
    </w:p>
    <w:p w14:paraId="0C98D5B6" w14:textId="79C25D8B" w:rsidR="00682123" w:rsidRDefault="00682123" w:rsidP="00683153">
      <w:pPr>
        <w:spacing w:before="120" w:after="120" w:line="240" w:lineRule="auto"/>
        <w:rPr>
          <w:lang w:val="en-NZ"/>
        </w:rPr>
      </w:pPr>
      <w:r w:rsidRPr="53880789">
        <w:rPr>
          <w:lang w:val="en-NZ"/>
        </w:rPr>
        <w:t xml:space="preserve">Table </w:t>
      </w:r>
      <w:r w:rsidR="005A1BD7">
        <w:rPr>
          <w:lang w:val="en-NZ"/>
        </w:rPr>
        <w:t>7</w:t>
      </w:r>
      <w:r w:rsidRPr="53880789">
        <w:rPr>
          <w:lang w:val="en-NZ"/>
        </w:rPr>
        <w:t xml:space="preserve"> sets out the proposed </w:t>
      </w:r>
      <w:r w:rsidR="00095C50">
        <w:rPr>
          <w:lang w:val="en-NZ"/>
        </w:rPr>
        <w:t>decision-making criteria</w:t>
      </w:r>
      <w:r w:rsidRPr="53880789">
        <w:rPr>
          <w:lang w:val="en-NZ"/>
        </w:rPr>
        <w:t xml:space="preserve">, noting changes made following consultation. </w:t>
      </w:r>
    </w:p>
    <w:p w14:paraId="11CC4B55" w14:textId="6B6067F7" w:rsidR="009E4C27" w:rsidRPr="009E4C27" w:rsidRDefault="437FF954" w:rsidP="00E248B1">
      <w:pPr>
        <w:spacing w:after="60" w:line="240" w:lineRule="auto"/>
        <w:rPr>
          <w:rFonts w:cs="Arial"/>
          <w:b/>
          <w:bCs/>
          <w:sz w:val="20"/>
        </w:rPr>
      </w:pPr>
      <w:r w:rsidRPr="1B502AF9">
        <w:rPr>
          <w:rFonts w:cs="Arial"/>
          <w:b/>
          <w:bCs/>
          <w:sz w:val="20"/>
        </w:rPr>
        <w:t xml:space="preserve">Table </w:t>
      </w:r>
      <w:r w:rsidR="008B7786">
        <w:rPr>
          <w:rFonts w:cs="Arial"/>
          <w:b/>
          <w:bCs/>
          <w:sz w:val="20"/>
        </w:rPr>
        <w:t>7</w:t>
      </w:r>
      <w:r w:rsidR="4EC7C014" w:rsidRPr="1B502AF9">
        <w:rPr>
          <w:rFonts w:cs="Arial"/>
          <w:b/>
          <w:bCs/>
          <w:sz w:val="20"/>
        </w:rPr>
        <w:t>: Proposed decision-making criteria for smoked tobacco retailer applications</w:t>
      </w:r>
    </w:p>
    <w:tbl>
      <w:tblPr>
        <w:tblStyle w:val="TableGrid"/>
        <w:tblW w:w="0" w:type="auto"/>
        <w:tblLayout w:type="fixed"/>
        <w:tblLook w:val="06A0" w:firstRow="1" w:lastRow="0" w:firstColumn="1" w:lastColumn="0" w:noHBand="1" w:noVBand="1"/>
      </w:tblPr>
      <w:tblGrid>
        <w:gridCol w:w="1110"/>
        <w:gridCol w:w="5191"/>
        <w:gridCol w:w="2759"/>
      </w:tblGrid>
      <w:tr w:rsidR="1B502AF9" w14:paraId="1BED3280" w14:textId="77777777" w:rsidTr="3C4E5589">
        <w:trPr>
          <w:trHeight w:val="300"/>
        </w:trPr>
        <w:tc>
          <w:tcPr>
            <w:tcW w:w="1110" w:type="dxa"/>
            <w:tcBorders>
              <w:top w:val="nil"/>
              <w:left w:val="nil"/>
              <w:bottom w:val="nil"/>
              <w:right w:val="nil"/>
            </w:tcBorders>
            <w:shd w:val="clear" w:color="auto" w:fill="D9D9D9" w:themeFill="background1" w:themeFillShade="D9"/>
            <w:tcMar>
              <w:left w:w="108" w:type="dxa"/>
              <w:right w:w="108" w:type="dxa"/>
            </w:tcMar>
          </w:tcPr>
          <w:p w14:paraId="23E43A5F" w14:textId="2658B46E" w:rsidR="1B502AF9" w:rsidRDefault="1B502AF9" w:rsidP="006E1A14">
            <w:pPr>
              <w:jc w:val="left"/>
              <w:rPr>
                <w:rFonts w:eastAsia="Arial" w:cs="Arial"/>
                <w:b/>
                <w:bCs/>
                <w:sz w:val="18"/>
                <w:szCs w:val="18"/>
              </w:rPr>
            </w:pPr>
            <w:r w:rsidRPr="1B502AF9">
              <w:rPr>
                <w:rFonts w:eastAsia="Arial" w:cs="Arial"/>
                <w:b/>
                <w:bCs/>
                <w:sz w:val="18"/>
                <w:szCs w:val="18"/>
              </w:rPr>
              <w:t>Criteria</w:t>
            </w:r>
          </w:p>
        </w:tc>
        <w:tc>
          <w:tcPr>
            <w:tcW w:w="5191" w:type="dxa"/>
            <w:tcBorders>
              <w:top w:val="nil"/>
              <w:left w:val="nil"/>
              <w:bottom w:val="nil"/>
              <w:right w:val="single" w:sz="8" w:space="0" w:color="A6A6A6" w:themeColor="background1" w:themeShade="A6"/>
            </w:tcBorders>
            <w:shd w:val="clear" w:color="auto" w:fill="D9D9D9" w:themeFill="background1" w:themeFillShade="D9"/>
            <w:tcMar>
              <w:left w:w="108" w:type="dxa"/>
              <w:right w:w="108" w:type="dxa"/>
            </w:tcMar>
          </w:tcPr>
          <w:p w14:paraId="056B0B65" w14:textId="745ACA24" w:rsidR="1B502AF9" w:rsidRDefault="1B502AF9" w:rsidP="006E1A14">
            <w:pPr>
              <w:jc w:val="left"/>
              <w:rPr>
                <w:rFonts w:eastAsia="Arial" w:cs="Arial"/>
                <w:b/>
                <w:bCs/>
                <w:color w:val="000000" w:themeColor="text1"/>
                <w:sz w:val="18"/>
                <w:szCs w:val="18"/>
              </w:rPr>
            </w:pPr>
            <w:r w:rsidRPr="1B502AF9">
              <w:rPr>
                <w:rFonts w:eastAsia="Arial" w:cs="Arial"/>
                <w:b/>
                <w:bCs/>
                <w:color w:val="000000" w:themeColor="text1"/>
                <w:sz w:val="18"/>
                <w:szCs w:val="18"/>
              </w:rPr>
              <w:t>Description</w:t>
            </w:r>
          </w:p>
        </w:tc>
        <w:tc>
          <w:tcPr>
            <w:tcW w:w="2759" w:type="dxa"/>
            <w:tcBorders>
              <w:top w:val="nil"/>
              <w:left w:val="single" w:sz="8" w:space="0" w:color="A6A6A6" w:themeColor="background1" w:themeShade="A6"/>
              <w:bottom w:val="nil"/>
              <w:right w:val="nil"/>
            </w:tcBorders>
            <w:shd w:val="clear" w:color="auto" w:fill="D9D9D9" w:themeFill="background1" w:themeFillShade="D9"/>
            <w:tcMar>
              <w:left w:w="108" w:type="dxa"/>
              <w:right w:w="108" w:type="dxa"/>
            </w:tcMar>
          </w:tcPr>
          <w:p w14:paraId="18BE81DC" w14:textId="79CA36E3" w:rsidR="1B502AF9" w:rsidRDefault="1B502AF9" w:rsidP="004757D3">
            <w:pPr>
              <w:spacing w:before="60" w:after="60" w:line="240" w:lineRule="auto"/>
              <w:jc w:val="left"/>
              <w:rPr>
                <w:rFonts w:eastAsia="Arial" w:cs="Arial"/>
                <w:b/>
                <w:bCs/>
                <w:color w:val="000000" w:themeColor="text1"/>
                <w:sz w:val="18"/>
                <w:szCs w:val="18"/>
              </w:rPr>
            </w:pPr>
            <w:r w:rsidRPr="1B502AF9">
              <w:rPr>
                <w:rFonts w:eastAsia="Arial" w:cs="Arial"/>
                <w:b/>
                <w:bCs/>
                <w:color w:val="000000" w:themeColor="text1"/>
                <w:sz w:val="18"/>
                <w:szCs w:val="18"/>
              </w:rPr>
              <w:t>Updates following consultation</w:t>
            </w:r>
          </w:p>
        </w:tc>
      </w:tr>
      <w:tr w:rsidR="1B502AF9" w14:paraId="1A2ACC9E" w14:textId="77777777" w:rsidTr="3C4E5589">
        <w:trPr>
          <w:trHeight w:val="300"/>
        </w:trPr>
        <w:tc>
          <w:tcPr>
            <w:tcW w:w="1110" w:type="dxa"/>
            <w:tcBorders>
              <w:top w:val="nil"/>
              <w:left w:val="nil"/>
              <w:bottom w:val="single" w:sz="8" w:space="0" w:color="A6A6A6" w:themeColor="background1" w:themeShade="A6"/>
              <w:right w:val="single" w:sz="8" w:space="0" w:color="A6A6A6" w:themeColor="background1" w:themeShade="A6"/>
            </w:tcBorders>
            <w:tcMar>
              <w:left w:w="108" w:type="dxa"/>
              <w:right w:w="108" w:type="dxa"/>
            </w:tcMar>
          </w:tcPr>
          <w:p w14:paraId="1800B083" w14:textId="7F6C3D82" w:rsidR="1B502AF9" w:rsidRDefault="1B502AF9" w:rsidP="008328BD">
            <w:pPr>
              <w:spacing w:before="60" w:after="60" w:line="240" w:lineRule="auto"/>
              <w:jc w:val="left"/>
              <w:rPr>
                <w:rFonts w:eastAsia="Arial" w:cs="Arial"/>
                <w:sz w:val="18"/>
                <w:szCs w:val="18"/>
              </w:rPr>
            </w:pPr>
            <w:r w:rsidRPr="1B502AF9">
              <w:rPr>
                <w:rFonts w:eastAsia="Arial" w:cs="Arial"/>
                <w:sz w:val="18"/>
                <w:szCs w:val="18"/>
              </w:rPr>
              <w:t>Proximity and location</w:t>
            </w:r>
          </w:p>
        </w:tc>
        <w:tc>
          <w:tcPr>
            <w:tcW w:w="519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tcPr>
          <w:p w14:paraId="40523A7C" w14:textId="6B5403AB" w:rsidR="1B502AF9" w:rsidRDefault="7D30A500" w:rsidP="008328BD">
            <w:pPr>
              <w:spacing w:before="60" w:after="0" w:line="240" w:lineRule="auto"/>
              <w:jc w:val="left"/>
              <w:rPr>
                <w:rFonts w:eastAsia="Arial" w:cs="Arial"/>
                <w:sz w:val="18"/>
                <w:szCs w:val="18"/>
              </w:rPr>
            </w:pPr>
            <w:r w:rsidRPr="19AFD816">
              <w:rPr>
                <w:rFonts w:eastAsia="Arial" w:cs="Arial"/>
                <w:sz w:val="18"/>
                <w:szCs w:val="18"/>
              </w:rPr>
              <w:t>An applicant will be ranked according to the proximity of the retail premise in relation to one or more areas of community interest, which are:</w:t>
            </w:r>
          </w:p>
          <w:p w14:paraId="717FFCE6" w14:textId="1177D4F1" w:rsidR="66540C64" w:rsidRDefault="66540C64" w:rsidP="008328BD">
            <w:pPr>
              <w:pStyle w:val="ListParagraph"/>
              <w:numPr>
                <w:ilvl w:val="0"/>
                <w:numId w:val="17"/>
              </w:numPr>
              <w:spacing w:before="60" w:after="60"/>
              <w:jc w:val="left"/>
              <w:rPr>
                <w:sz w:val="18"/>
                <w:szCs w:val="18"/>
              </w:rPr>
            </w:pPr>
            <w:r w:rsidRPr="19AFD816">
              <w:rPr>
                <w:sz w:val="18"/>
                <w:szCs w:val="18"/>
              </w:rPr>
              <w:t xml:space="preserve">early childhood centres, </w:t>
            </w:r>
            <w:proofErr w:type="spellStart"/>
            <w:r w:rsidRPr="19AFD816">
              <w:rPr>
                <w:sz w:val="18"/>
                <w:szCs w:val="18"/>
              </w:rPr>
              <w:t>Kōhanga</w:t>
            </w:r>
            <w:proofErr w:type="spellEnd"/>
            <w:r w:rsidRPr="19AFD816">
              <w:rPr>
                <w:sz w:val="18"/>
                <w:szCs w:val="18"/>
              </w:rPr>
              <w:t xml:space="preserve"> </w:t>
            </w:r>
            <w:proofErr w:type="spellStart"/>
            <w:r w:rsidRPr="19AFD816">
              <w:rPr>
                <w:sz w:val="18"/>
                <w:szCs w:val="18"/>
              </w:rPr>
              <w:t>Reo</w:t>
            </w:r>
            <w:proofErr w:type="spellEnd"/>
            <w:r w:rsidRPr="19AFD816">
              <w:rPr>
                <w:sz w:val="18"/>
                <w:szCs w:val="18"/>
              </w:rPr>
              <w:t>, schools/</w:t>
            </w:r>
            <w:proofErr w:type="spellStart"/>
            <w:r w:rsidRPr="19AFD816">
              <w:rPr>
                <w:sz w:val="18"/>
                <w:szCs w:val="18"/>
              </w:rPr>
              <w:t>kura</w:t>
            </w:r>
            <w:proofErr w:type="spellEnd"/>
          </w:p>
          <w:p w14:paraId="7187BA68" w14:textId="1DAC639F" w:rsidR="1B502AF9" w:rsidRPr="001A1D3C" w:rsidRDefault="3589668A" w:rsidP="008328BD">
            <w:pPr>
              <w:pStyle w:val="ListParagraph"/>
              <w:numPr>
                <w:ilvl w:val="0"/>
                <w:numId w:val="17"/>
              </w:numPr>
              <w:spacing w:before="60" w:after="60"/>
              <w:jc w:val="left"/>
              <w:rPr>
                <w:rFonts w:eastAsia="Arial"/>
                <w:sz w:val="18"/>
                <w:szCs w:val="18"/>
              </w:rPr>
            </w:pPr>
            <w:r w:rsidRPr="001A1D3C">
              <w:rPr>
                <w:rFonts w:eastAsia="Arial"/>
                <w:sz w:val="18"/>
                <w:szCs w:val="18"/>
              </w:rPr>
              <w:t>marae</w:t>
            </w:r>
          </w:p>
          <w:p w14:paraId="20E0099E" w14:textId="546C2BC1" w:rsidR="1B502AF9" w:rsidRDefault="1B502AF9" w:rsidP="008328BD">
            <w:pPr>
              <w:spacing w:before="60" w:after="60" w:line="240" w:lineRule="auto"/>
              <w:jc w:val="left"/>
              <w:rPr>
                <w:rFonts w:eastAsia="Arial" w:cs="Arial"/>
                <w:sz w:val="18"/>
                <w:szCs w:val="18"/>
              </w:rPr>
            </w:pPr>
            <w:r w:rsidRPr="1B502AF9">
              <w:rPr>
                <w:rFonts w:eastAsia="Arial" w:cs="Arial"/>
                <w:sz w:val="18"/>
                <w:szCs w:val="18"/>
              </w:rPr>
              <w:t>Further detail will be provided in the application process published on Manatū Hauora’s website.</w:t>
            </w:r>
          </w:p>
        </w:tc>
        <w:tc>
          <w:tcPr>
            <w:tcW w:w="2759" w:type="dxa"/>
            <w:tcBorders>
              <w:top w:val="nil"/>
              <w:left w:val="single" w:sz="8" w:space="0" w:color="A6A6A6" w:themeColor="background1" w:themeShade="A6"/>
              <w:bottom w:val="single" w:sz="8" w:space="0" w:color="A6A6A6" w:themeColor="background1" w:themeShade="A6"/>
              <w:right w:val="nil"/>
            </w:tcBorders>
            <w:tcMar>
              <w:left w:w="108" w:type="dxa"/>
              <w:right w:w="108" w:type="dxa"/>
            </w:tcMar>
          </w:tcPr>
          <w:p w14:paraId="7B7F1093" w14:textId="7494F2C3" w:rsidR="1B502AF9" w:rsidRDefault="307ECFD8" w:rsidP="008328BD">
            <w:pPr>
              <w:spacing w:before="60" w:after="60" w:line="240" w:lineRule="auto"/>
              <w:jc w:val="left"/>
              <w:rPr>
                <w:rFonts w:eastAsia="Arial" w:cs="Arial"/>
                <w:i/>
                <w:iCs/>
                <w:sz w:val="18"/>
                <w:szCs w:val="18"/>
              </w:rPr>
            </w:pPr>
            <w:r w:rsidRPr="3C4E5589">
              <w:rPr>
                <w:rFonts w:eastAsia="Arial" w:cs="Arial"/>
                <w:i/>
                <w:iCs/>
                <w:sz w:val="18"/>
                <w:szCs w:val="18"/>
              </w:rPr>
              <w:t>Proposals to rank stores in relation to proximity to areas of community interest is unchanged</w:t>
            </w:r>
            <w:r w:rsidR="0422F0AE" w:rsidRPr="3C4E5589">
              <w:rPr>
                <w:rFonts w:eastAsia="Arial" w:cs="Arial"/>
                <w:i/>
                <w:iCs/>
                <w:sz w:val="18"/>
                <w:szCs w:val="18"/>
              </w:rPr>
              <w:t xml:space="preserve"> </w:t>
            </w:r>
            <w:r w:rsidRPr="3C4E5589">
              <w:rPr>
                <w:rFonts w:eastAsia="Arial" w:cs="Arial"/>
                <w:i/>
                <w:iCs/>
                <w:sz w:val="18"/>
                <w:szCs w:val="18"/>
              </w:rPr>
              <w:t xml:space="preserve">but has been refined to focus on areas which can be defined through available </w:t>
            </w:r>
            <w:r w:rsidR="0108646B" w:rsidRPr="3C4E5589">
              <w:rPr>
                <w:rFonts w:eastAsia="Arial" w:cs="Arial"/>
                <w:i/>
                <w:iCs/>
                <w:sz w:val="18"/>
                <w:szCs w:val="18"/>
              </w:rPr>
              <w:t>information.</w:t>
            </w:r>
          </w:p>
        </w:tc>
      </w:tr>
      <w:tr w:rsidR="1B502AF9" w14:paraId="1DADF139" w14:textId="77777777" w:rsidTr="3C4E5589">
        <w:trPr>
          <w:trHeight w:val="300"/>
        </w:trPr>
        <w:tc>
          <w:tcPr>
            <w:tcW w:w="1110" w:type="dxa"/>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tcMar>
              <w:left w:w="108" w:type="dxa"/>
              <w:right w:w="108" w:type="dxa"/>
            </w:tcMar>
          </w:tcPr>
          <w:p w14:paraId="790936EA" w14:textId="794CFA2B" w:rsidR="1B502AF9" w:rsidRDefault="1B502AF9" w:rsidP="008328BD">
            <w:pPr>
              <w:spacing w:before="60" w:after="60" w:line="240" w:lineRule="auto"/>
              <w:jc w:val="left"/>
              <w:rPr>
                <w:rFonts w:eastAsia="Arial" w:cs="Arial"/>
                <w:sz w:val="18"/>
                <w:szCs w:val="18"/>
              </w:rPr>
            </w:pPr>
            <w:r w:rsidRPr="1B502AF9">
              <w:rPr>
                <w:rFonts w:eastAsia="Arial" w:cs="Arial"/>
                <w:sz w:val="18"/>
                <w:szCs w:val="18"/>
              </w:rPr>
              <w:t>Type of business</w:t>
            </w:r>
          </w:p>
        </w:tc>
        <w:tc>
          <w:tcPr>
            <w:tcW w:w="519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tcPr>
          <w:p w14:paraId="3820F254" w14:textId="3B01D693" w:rsidR="1B502AF9" w:rsidRDefault="1B502AF9" w:rsidP="008328BD">
            <w:pPr>
              <w:spacing w:before="60" w:after="60" w:line="240" w:lineRule="auto"/>
              <w:jc w:val="left"/>
              <w:rPr>
                <w:rFonts w:eastAsia="Arial" w:cs="Arial"/>
                <w:sz w:val="18"/>
                <w:szCs w:val="18"/>
              </w:rPr>
            </w:pPr>
            <w:r w:rsidRPr="1B502AF9">
              <w:rPr>
                <w:rFonts w:eastAsia="Arial" w:cs="Arial"/>
                <w:sz w:val="18"/>
                <w:szCs w:val="18"/>
              </w:rPr>
              <w:t>An applicant will be ranked according to the type of business they operate. For example, a retail premise selling alcohol will be ranked lower than a premise that does not. Further detail will be provided in the application process published on Manatū Hauora’s website.</w:t>
            </w:r>
          </w:p>
          <w:p w14:paraId="1591E5C0" w14:textId="2ED3EC80" w:rsidR="1B502AF9" w:rsidRDefault="1B502AF9" w:rsidP="008328BD">
            <w:pPr>
              <w:spacing w:before="60" w:after="60" w:line="240" w:lineRule="auto"/>
              <w:jc w:val="left"/>
              <w:rPr>
                <w:rFonts w:eastAsia="Arial" w:cs="Arial"/>
                <w:sz w:val="18"/>
                <w:szCs w:val="18"/>
              </w:rPr>
            </w:pPr>
          </w:p>
        </w:tc>
        <w:tc>
          <w:tcPr>
            <w:tcW w:w="2759" w:type="dxa"/>
            <w:tcBorders>
              <w:top w:val="single" w:sz="8" w:space="0" w:color="A6A6A6" w:themeColor="background1" w:themeShade="A6"/>
              <w:left w:val="single" w:sz="8" w:space="0" w:color="A6A6A6" w:themeColor="background1" w:themeShade="A6"/>
              <w:bottom w:val="single" w:sz="8" w:space="0" w:color="A6A6A6" w:themeColor="background1" w:themeShade="A6"/>
              <w:right w:val="nil"/>
            </w:tcBorders>
            <w:tcMar>
              <w:left w:w="108" w:type="dxa"/>
              <w:right w:w="108" w:type="dxa"/>
            </w:tcMar>
          </w:tcPr>
          <w:p w14:paraId="1D232DD6" w14:textId="13D086E5" w:rsidR="1B502AF9" w:rsidRDefault="1B502AF9" w:rsidP="008328BD">
            <w:pPr>
              <w:spacing w:before="60" w:after="60" w:line="240" w:lineRule="auto"/>
              <w:jc w:val="left"/>
              <w:rPr>
                <w:rFonts w:eastAsia="Arial" w:cs="Arial"/>
                <w:i/>
                <w:iCs/>
                <w:sz w:val="18"/>
                <w:szCs w:val="18"/>
              </w:rPr>
            </w:pPr>
            <w:r w:rsidRPr="1B502AF9">
              <w:rPr>
                <w:rFonts w:eastAsia="Arial" w:cs="Arial"/>
                <w:i/>
                <w:iCs/>
                <w:sz w:val="18"/>
                <w:szCs w:val="18"/>
              </w:rPr>
              <w:t xml:space="preserve">A change has been made to remove reference to grocery or convenience store items. While </w:t>
            </w:r>
            <w:proofErr w:type="gramStart"/>
            <w:r w:rsidRPr="1B502AF9">
              <w:rPr>
                <w:rFonts w:eastAsia="Arial" w:cs="Arial"/>
                <w:i/>
                <w:iCs/>
                <w:sz w:val="18"/>
                <w:szCs w:val="18"/>
              </w:rPr>
              <w:t>a number of</w:t>
            </w:r>
            <w:proofErr w:type="gramEnd"/>
            <w:r w:rsidRPr="1B502AF9">
              <w:rPr>
                <w:rFonts w:eastAsia="Arial" w:cs="Arial"/>
                <w:i/>
                <w:iCs/>
                <w:sz w:val="18"/>
                <w:szCs w:val="18"/>
              </w:rPr>
              <w:t xml:space="preserve"> submitters, including Māori</w:t>
            </w:r>
            <w:r w:rsidR="5B6CBA3A" w:rsidRPr="45CB1FB2">
              <w:rPr>
                <w:rFonts w:eastAsia="Arial" w:cs="Arial"/>
                <w:i/>
                <w:iCs/>
                <w:sz w:val="18"/>
                <w:szCs w:val="18"/>
              </w:rPr>
              <w:t>,</w:t>
            </w:r>
            <w:r w:rsidRPr="1B502AF9">
              <w:rPr>
                <w:rFonts w:eastAsia="Arial" w:cs="Arial"/>
                <w:i/>
                <w:iCs/>
                <w:sz w:val="18"/>
                <w:szCs w:val="18"/>
              </w:rPr>
              <w:t xml:space="preserve"> would have preferred to exclude retail premises that sold food from consideration this seemed unworkable.</w:t>
            </w:r>
          </w:p>
        </w:tc>
      </w:tr>
      <w:tr w:rsidR="1B502AF9" w14:paraId="4005BC8F" w14:textId="77777777" w:rsidTr="3C4E5589">
        <w:trPr>
          <w:trHeight w:val="300"/>
        </w:trPr>
        <w:tc>
          <w:tcPr>
            <w:tcW w:w="1110" w:type="dxa"/>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tcMar>
              <w:left w:w="108" w:type="dxa"/>
              <w:right w:w="108" w:type="dxa"/>
            </w:tcMar>
          </w:tcPr>
          <w:p w14:paraId="5E2FF40E" w14:textId="32BEDDEF" w:rsidR="1B502AF9" w:rsidRDefault="1B502AF9" w:rsidP="008328BD">
            <w:pPr>
              <w:spacing w:before="60" w:after="60" w:line="240" w:lineRule="auto"/>
              <w:jc w:val="left"/>
              <w:rPr>
                <w:rFonts w:eastAsia="Arial" w:cs="Arial"/>
                <w:b/>
                <w:bCs/>
                <w:sz w:val="18"/>
                <w:szCs w:val="18"/>
              </w:rPr>
            </w:pPr>
            <w:r w:rsidRPr="1B502AF9">
              <w:rPr>
                <w:rFonts w:eastAsia="Arial" w:cs="Arial"/>
                <w:sz w:val="18"/>
                <w:szCs w:val="18"/>
              </w:rPr>
              <w:t xml:space="preserve">Additional </w:t>
            </w:r>
            <w:r w:rsidRPr="1B502AF9">
              <w:rPr>
                <w:rFonts w:eastAsia="Arial" w:cs="Arial"/>
                <w:b/>
                <w:bCs/>
                <w:sz w:val="18"/>
                <w:szCs w:val="18"/>
              </w:rPr>
              <w:t>security measures</w:t>
            </w:r>
          </w:p>
        </w:tc>
        <w:tc>
          <w:tcPr>
            <w:tcW w:w="519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tcPr>
          <w:p w14:paraId="076DCAC8" w14:textId="4EFB0534" w:rsidR="1B502AF9" w:rsidRDefault="1B502AF9" w:rsidP="008328BD">
            <w:pPr>
              <w:spacing w:before="60" w:after="60" w:line="240" w:lineRule="auto"/>
              <w:jc w:val="left"/>
              <w:rPr>
                <w:rFonts w:eastAsia="Arial" w:cs="Arial"/>
                <w:sz w:val="18"/>
                <w:szCs w:val="18"/>
              </w:rPr>
            </w:pPr>
            <w:r w:rsidRPr="1B502AF9">
              <w:rPr>
                <w:rFonts w:eastAsia="Arial" w:cs="Arial"/>
                <w:sz w:val="18"/>
                <w:szCs w:val="18"/>
              </w:rPr>
              <w:t>An applicant will be ranked according to the number of additional security measures in place (over and above the minimum approval requirements), as outlined in the application process published on Manatū Hauora’s website. These measures include</w:t>
            </w:r>
            <w:r w:rsidR="00A64FB9">
              <w:rPr>
                <w:rFonts w:eastAsia="Arial" w:cs="Arial"/>
                <w:sz w:val="18"/>
                <w:szCs w:val="18"/>
              </w:rPr>
              <w:t xml:space="preserve"> </w:t>
            </w:r>
            <w:r w:rsidR="00A64FB9" w:rsidRPr="00A64FB9">
              <w:rPr>
                <w:rFonts w:eastAsia="Arial" w:cs="Arial"/>
                <w:sz w:val="18"/>
                <w:szCs w:val="18"/>
              </w:rPr>
              <w:t>security staff, de-escalation</w:t>
            </w:r>
            <w:r w:rsidR="00A64FB9">
              <w:t xml:space="preserve"> </w:t>
            </w:r>
            <w:r w:rsidR="00A64FB9" w:rsidRPr="00A64FB9">
              <w:rPr>
                <w:rFonts w:eastAsia="Arial" w:cs="Arial"/>
                <w:sz w:val="18"/>
                <w:szCs w:val="18"/>
              </w:rPr>
              <w:t>and conflict resolution training</w:t>
            </w:r>
            <w:r w:rsidRPr="1B502AF9">
              <w:rPr>
                <w:rFonts w:eastAsia="Arial" w:cs="Arial"/>
                <w:sz w:val="18"/>
                <w:szCs w:val="18"/>
              </w:rPr>
              <w:t>, and restricted access to retail premises.</w:t>
            </w:r>
          </w:p>
        </w:tc>
        <w:tc>
          <w:tcPr>
            <w:tcW w:w="2759" w:type="dxa"/>
            <w:tcBorders>
              <w:top w:val="single" w:sz="8" w:space="0" w:color="A6A6A6" w:themeColor="background1" w:themeShade="A6"/>
              <w:left w:val="single" w:sz="8" w:space="0" w:color="A6A6A6" w:themeColor="background1" w:themeShade="A6"/>
              <w:bottom w:val="single" w:sz="8" w:space="0" w:color="A6A6A6" w:themeColor="background1" w:themeShade="A6"/>
              <w:right w:val="nil"/>
            </w:tcBorders>
            <w:tcMar>
              <w:left w:w="108" w:type="dxa"/>
              <w:right w:w="108" w:type="dxa"/>
            </w:tcMar>
          </w:tcPr>
          <w:p w14:paraId="6CA722A8" w14:textId="26F54454" w:rsidR="1B502AF9" w:rsidRDefault="1B502AF9" w:rsidP="008328BD">
            <w:pPr>
              <w:spacing w:before="60" w:after="60" w:line="240" w:lineRule="auto"/>
              <w:jc w:val="left"/>
              <w:rPr>
                <w:rFonts w:eastAsia="Arial" w:cs="Arial"/>
                <w:i/>
                <w:iCs/>
                <w:sz w:val="18"/>
                <w:szCs w:val="18"/>
              </w:rPr>
            </w:pPr>
            <w:r w:rsidRPr="1B502AF9">
              <w:rPr>
                <w:rFonts w:eastAsia="Arial" w:cs="Arial"/>
                <w:i/>
                <w:iCs/>
                <w:sz w:val="18"/>
                <w:szCs w:val="18"/>
              </w:rPr>
              <w:t>No changes have been made.</w:t>
            </w:r>
          </w:p>
        </w:tc>
      </w:tr>
      <w:tr w:rsidR="1B502AF9" w14:paraId="382C25CB" w14:textId="77777777" w:rsidTr="3C4E5589">
        <w:trPr>
          <w:trHeight w:val="300"/>
        </w:trPr>
        <w:tc>
          <w:tcPr>
            <w:tcW w:w="1110" w:type="dxa"/>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tcMar>
              <w:left w:w="108" w:type="dxa"/>
              <w:right w:w="108" w:type="dxa"/>
            </w:tcMar>
          </w:tcPr>
          <w:p w14:paraId="4FE3C5C1" w14:textId="4CC3FB52" w:rsidR="1B502AF9" w:rsidRDefault="1B502AF9" w:rsidP="008328BD">
            <w:pPr>
              <w:spacing w:before="60" w:after="60" w:line="240" w:lineRule="auto"/>
              <w:jc w:val="left"/>
              <w:rPr>
                <w:rFonts w:eastAsia="Arial" w:cs="Arial"/>
                <w:sz w:val="18"/>
                <w:szCs w:val="18"/>
              </w:rPr>
            </w:pPr>
            <w:r w:rsidRPr="1B502AF9">
              <w:rPr>
                <w:rFonts w:eastAsia="Arial" w:cs="Arial"/>
                <w:sz w:val="18"/>
                <w:szCs w:val="18"/>
              </w:rPr>
              <w:t xml:space="preserve">Additional </w:t>
            </w:r>
            <w:r w:rsidRPr="1B502AF9">
              <w:rPr>
                <w:rFonts w:eastAsia="Arial" w:cs="Arial"/>
                <w:b/>
                <w:bCs/>
                <w:sz w:val="18"/>
                <w:szCs w:val="18"/>
              </w:rPr>
              <w:t>business systems</w:t>
            </w:r>
            <w:r w:rsidRPr="1B502AF9">
              <w:rPr>
                <w:rFonts w:eastAsia="Arial" w:cs="Arial"/>
                <w:sz w:val="18"/>
                <w:szCs w:val="18"/>
              </w:rPr>
              <w:t xml:space="preserve"> </w:t>
            </w:r>
          </w:p>
        </w:tc>
        <w:tc>
          <w:tcPr>
            <w:tcW w:w="519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tcPr>
          <w:p w14:paraId="2748405D" w14:textId="4441F8BD" w:rsidR="1B502AF9" w:rsidRDefault="1B502AF9" w:rsidP="008328BD">
            <w:pPr>
              <w:spacing w:before="60" w:after="60" w:line="240" w:lineRule="auto"/>
              <w:jc w:val="left"/>
              <w:rPr>
                <w:rFonts w:eastAsia="Arial" w:cs="Arial"/>
                <w:sz w:val="18"/>
                <w:szCs w:val="18"/>
              </w:rPr>
            </w:pPr>
            <w:r w:rsidRPr="1B502AF9">
              <w:rPr>
                <w:rFonts w:eastAsia="Arial" w:cs="Arial"/>
                <w:sz w:val="18"/>
                <w:szCs w:val="18"/>
              </w:rPr>
              <w:t>An applicant will be ranked according to how they meet any additional business system requirements as outlined in the application process published on Manatū Hauora’s website. These requirements include how stock and supply chains are managed and a business’ capacity to manage fluctuations in demand.</w:t>
            </w:r>
          </w:p>
        </w:tc>
        <w:tc>
          <w:tcPr>
            <w:tcW w:w="2759" w:type="dxa"/>
            <w:tcBorders>
              <w:top w:val="single" w:sz="8" w:space="0" w:color="A6A6A6" w:themeColor="background1" w:themeShade="A6"/>
              <w:left w:val="single" w:sz="8" w:space="0" w:color="A6A6A6" w:themeColor="background1" w:themeShade="A6"/>
              <w:bottom w:val="single" w:sz="8" w:space="0" w:color="A6A6A6" w:themeColor="background1" w:themeShade="A6"/>
              <w:right w:val="nil"/>
            </w:tcBorders>
            <w:tcMar>
              <w:left w:w="108" w:type="dxa"/>
              <w:right w:w="108" w:type="dxa"/>
            </w:tcMar>
          </w:tcPr>
          <w:p w14:paraId="35FF65AA" w14:textId="5A888F0F" w:rsidR="1B502AF9" w:rsidRDefault="1B502AF9" w:rsidP="008328BD">
            <w:pPr>
              <w:spacing w:before="60" w:after="60" w:line="240" w:lineRule="auto"/>
              <w:jc w:val="left"/>
              <w:rPr>
                <w:rFonts w:eastAsia="Arial" w:cs="Arial"/>
                <w:i/>
                <w:iCs/>
                <w:sz w:val="18"/>
                <w:szCs w:val="18"/>
              </w:rPr>
            </w:pPr>
            <w:r w:rsidRPr="1B502AF9">
              <w:rPr>
                <w:rFonts w:eastAsia="Arial" w:cs="Arial"/>
                <w:i/>
                <w:iCs/>
                <w:sz w:val="18"/>
                <w:szCs w:val="18"/>
              </w:rPr>
              <w:t>No changes have been made.</w:t>
            </w:r>
          </w:p>
        </w:tc>
      </w:tr>
    </w:tbl>
    <w:p w14:paraId="5586F406" w14:textId="2E06ACF0" w:rsidR="009E4C27" w:rsidRPr="009E4C27" w:rsidRDefault="009E4C27" w:rsidP="794B25FD">
      <w:pPr>
        <w:spacing w:after="0" w:line="240" w:lineRule="auto"/>
        <w:rPr>
          <w:rFonts w:eastAsia="Arial" w:cs="Arial"/>
          <w:sz w:val="24"/>
          <w:szCs w:val="24"/>
          <w:lang w:val="en-NZ"/>
        </w:rPr>
      </w:pPr>
    </w:p>
    <w:p w14:paraId="0DB5D96B" w14:textId="48046B3B" w:rsidR="00DF0E28" w:rsidRPr="00DF0E28" w:rsidRDefault="36BEFB03" w:rsidP="00DF0E28">
      <w:pPr>
        <w:rPr>
          <w:lang w:val="en-NZ"/>
        </w:rPr>
      </w:pPr>
      <w:r w:rsidRPr="3C4E5589">
        <w:rPr>
          <w:lang w:val="en-NZ"/>
        </w:rPr>
        <w:t xml:space="preserve">The options for decision-making criteria </w:t>
      </w:r>
      <w:r w:rsidR="3859FCDB" w:rsidRPr="3C4E5589">
        <w:rPr>
          <w:lang w:val="en-NZ"/>
        </w:rPr>
        <w:t xml:space="preserve">to support the ranking of applications </w:t>
      </w:r>
      <w:r w:rsidRPr="3C4E5589">
        <w:rPr>
          <w:lang w:val="en-NZ"/>
        </w:rPr>
        <w:t>are:</w:t>
      </w:r>
    </w:p>
    <w:p w14:paraId="45B00C6D" w14:textId="322D1A2B" w:rsidR="002147C8" w:rsidRPr="002147C8" w:rsidRDefault="00C930A7" w:rsidP="002147C8">
      <w:pPr>
        <w:pStyle w:val="Heading4"/>
        <w:rPr>
          <w:lang w:val="en-NZ"/>
        </w:rPr>
      </w:pPr>
      <w:r w:rsidRPr="00A864A5">
        <w:rPr>
          <w:lang w:val="en-NZ"/>
        </w:rPr>
        <w:t xml:space="preserve">Option </w:t>
      </w:r>
      <w:r w:rsidR="008B7786">
        <w:rPr>
          <w:lang w:val="en-NZ"/>
        </w:rPr>
        <w:t>1</w:t>
      </w:r>
      <w:r w:rsidRPr="00A864A5">
        <w:rPr>
          <w:lang w:val="en-NZ"/>
        </w:rPr>
        <w:t xml:space="preserve"> </w:t>
      </w:r>
      <w:r w:rsidR="00F12B88">
        <w:rPr>
          <w:lang w:val="en-NZ"/>
        </w:rPr>
        <w:t>(Counterfactual)</w:t>
      </w:r>
    </w:p>
    <w:p w14:paraId="1DA86BB9" w14:textId="3368078A" w:rsidR="00BB0ADF" w:rsidRPr="002147C8" w:rsidRDefault="00AE5D50" w:rsidP="00615DF2">
      <w:pPr>
        <w:rPr>
          <w:lang w:val="en-NZ"/>
        </w:rPr>
      </w:pPr>
      <w:r w:rsidRPr="002147C8">
        <w:rPr>
          <w:lang w:val="en-NZ"/>
        </w:rPr>
        <w:t xml:space="preserve">No decision-making criteria </w:t>
      </w:r>
      <w:r w:rsidR="008A2351" w:rsidRPr="002147C8">
        <w:rPr>
          <w:lang w:val="en-NZ"/>
        </w:rPr>
        <w:t>to rank applications set in regulations</w:t>
      </w:r>
      <w:r w:rsidR="2FF7AD96" w:rsidRPr="2324DE3D">
        <w:rPr>
          <w:lang w:val="en-NZ"/>
        </w:rPr>
        <w:t xml:space="preserve">. </w:t>
      </w:r>
      <w:r w:rsidR="00BB0684">
        <w:rPr>
          <w:lang w:val="en-NZ"/>
        </w:rPr>
        <w:t>Cri</w:t>
      </w:r>
      <w:r w:rsidR="002F3E1E">
        <w:rPr>
          <w:lang w:val="en-NZ"/>
        </w:rPr>
        <w:t>te</w:t>
      </w:r>
      <w:r w:rsidR="00BB0684">
        <w:rPr>
          <w:lang w:val="en-NZ"/>
        </w:rPr>
        <w:t xml:space="preserve">ria </w:t>
      </w:r>
      <w:r w:rsidR="002F3E1E">
        <w:rPr>
          <w:lang w:val="en-NZ"/>
        </w:rPr>
        <w:t>w</w:t>
      </w:r>
      <w:r w:rsidR="00BB0684">
        <w:rPr>
          <w:lang w:val="en-NZ"/>
        </w:rPr>
        <w:t>ould instead</w:t>
      </w:r>
      <w:r w:rsidR="002F3E1E">
        <w:rPr>
          <w:lang w:val="en-NZ"/>
        </w:rPr>
        <w:t xml:space="preserve"> be</w:t>
      </w:r>
      <w:r w:rsidR="00EF7285">
        <w:rPr>
          <w:lang w:val="en-NZ"/>
        </w:rPr>
        <w:t xml:space="preserve"> </w:t>
      </w:r>
      <w:r w:rsidR="15D61705" w:rsidRPr="2324DE3D">
        <w:rPr>
          <w:lang w:val="en-NZ"/>
        </w:rPr>
        <w:t>published</w:t>
      </w:r>
      <w:r w:rsidR="004C52DF">
        <w:rPr>
          <w:lang w:val="en-NZ"/>
        </w:rPr>
        <w:t xml:space="preserve"> on the Ministry website.</w:t>
      </w:r>
    </w:p>
    <w:p w14:paraId="5324AD10" w14:textId="1C41A89A" w:rsidR="00C930A7" w:rsidRPr="00A864A5" w:rsidRDefault="00C930A7" w:rsidP="00C930A7">
      <w:pPr>
        <w:pStyle w:val="Heading4"/>
        <w:rPr>
          <w:lang w:val="en-NZ"/>
        </w:rPr>
      </w:pPr>
      <w:r w:rsidRPr="00A864A5">
        <w:rPr>
          <w:lang w:val="en-NZ"/>
        </w:rPr>
        <w:t xml:space="preserve">Option </w:t>
      </w:r>
      <w:r w:rsidR="008B7786">
        <w:rPr>
          <w:lang w:val="en-NZ"/>
        </w:rPr>
        <w:t>2</w:t>
      </w:r>
    </w:p>
    <w:p w14:paraId="61A24A97" w14:textId="5B9ACD63" w:rsidR="000038BB" w:rsidRDefault="008A2351" w:rsidP="000038BB">
      <w:pPr>
        <w:rPr>
          <w:lang w:val="en-NZ"/>
        </w:rPr>
      </w:pPr>
      <w:r>
        <w:rPr>
          <w:lang w:val="en-NZ"/>
        </w:rPr>
        <w:t>Decision-making criteria to rank applications set out in regulations.</w:t>
      </w:r>
    </w:p>
    <w:p w14:paraId="4A690193" w14:textId="63A60AFF" w:rsidR="000038BB" w:rsidRPr="00E87DD1" w:rsidRDefault="000038BB" w:rsidP="000038BB">
      <w:pPr>
        <w:spacing w:after="120" w:line="240" w:lineRule="auto"/>
        <w:rPr>
          <w:rFonts w:cs="Arial"/>
          <w:b/>
          <w:sz w:val="20"/>
        </w:rPr>
      </w:pPr>
      <w:r w:rsidRPr="00E87DD1">
        <w:rPr>
          <w:rFonts w:cs="Arial"/>
          <w:b/>
          <w:sz w:val="20"/>
        </w:rPr>
        <w:t>Table</w:t>
      </w:r>
      <w:r>
        <w:rPr>
          <w:rFonts w:cs="Arial"/>
          <w:b/>
          <w:sz w:val="20"/>
        </w:rPr>
        <w:t xml:space="preserve"> </w:t>
      </w:r>
      <w:r w:rsidR="008B7786">
        <w:rPr>
          <w:rFonts w:cs="Arial"/>
          <w:b/>
          <w:sz w:val="20"/>
        </w:rPr>
        <w:t>8</w:t>
      </w:r>
      <w:r w:rsidRPr="00E87DD1">
        <w:rPr>
          <w:rFonts w:cs="Arial"/>
          <w:b/>
          <w:sz w:val="20"/>
        </w:rPr>
        <w:t>: Comparison of options</w:t>
      </w:r>
    </w:p>
    <w:tbl>
      <w:tblPr>
        <w:tblStyle w:val="TableGrid"/>
        <w:tblW w:w="9356" w:type="dxa"/>
        <w:tblLook w:val="04A0" w:firstRow="1" w:lastRow="0" w:firstColumn="1" w:lastColumn="0" w:noHBand="0" w:noVBand="1"/>
      </w:tblPr>
      <w:tblGrid>
        <w:gridCol w:w="1348"/>
        <w:gridCol w:w="3755"/>
        <w:gridCol w:w="4253"/>
      </w:tblGrid>
      <w:tr w:rsidR="000038BB" w:rsidRPr="00E87DD1" w14:paraId="11FDD165" w14:textId="77777777" w:rsidTr="4665486B">
        <w:trPr>
          <w:trHeight w:val="621"/>
        </w:trPr>
        <w:tc>
          <w:tcPr>
            <w:tcW w:w="1348" w:type="dxa"/>
            <w:tcBorders>
              <w:top w:val="single" w:sz="4" w:space="0" w:color="auto"/>
              <w:left w:val="nil"/>
              <w:bottom w:val="single" w:sz="4" w:space="0" w:color="auto"/>
              <w:right w:val="nil"/>
            </w:tcBorders>
            <w:shd w:val="clear" w:color="auto" w:fill="E7E6E6" w:themeFill="background2"/>
          </w:tcPr>
          <w:p w14:paraId="396E4C08" w14:textId="77777777" w:rsidR="000038BB" w:rsidRPr="00E87DD1" w:rsidRDefault="000038BB" w:rsidP="005F5CD1">
            <w:pPr>
              <w:spacing w:before="60" w:after="60" w:line="240" w:lineRule="auto"/>
              <w:jc w:val="left"/>
              <w:rPr>
                <w:rFonts w:cs="Arial"/>
                <w:b/>
                <w:sz w:val="18"/>
                <w:szCs w:val="18"/>
              </w:rPr>
            </w:pPr>
            <w:r w:rsidRPr="00E87DD1">
              <w:rPr>
                <w:rFonts w:cs="Arial"/>
                <w:b/>
                <w:sz w:val="18"/>
                <w:szCs w:val="18"/>
              </w:rPr>
              <w:t>Options</w:t>
            </w:r>
          </w:p>
        </w:tc>
        <w:tc>
          <w:tcPr>
            <w:tcW w:w="3755" w:type="dxa"/>
            <w:tcBorders>
              <w:top w:val="single" w:sz="4" w:space="0" w:color="auto"/>
              <w:left w:val="nil"/>
              <w:bottom w:val="single" w:sz="4" w:space="0" w:color="auto"/>
              <w:right w:val="nil"/>
            </w:tcBorders>
            <w:shd w:val="clear" w:color="auto" w:fill="E7E6E6" w:themeFill="background2"/>
          </w:tcPr>
          <w:p w14:paraId="576795DD" w14:textId="275EC136" w:rsidR="000038BB" w:rsidRPr="00E87DD1" w:rsidRDefault="000038BB" w:rsidP="005F5CD1">
            <w:pPr>
              <w:spacing w:before="60" w:after="60" w:line="240" w:lineRule="auto"/>
              <w:jc w:val="left"/>
              <w:rPr>
                <w:rFonts w:cs="Arial"/>
                <w:sz w:val="18"/>
                <w:szCs w:val="18"/>
              </w:rPr>
            </w:pPr>
            <w:r w:rsidRPr="00E87DD1">
              <w:rPr>
                <w:rFonts w:cs="Arial"/>
                <w:b/>
                <w:sz w:val="18"/>
                <w:szCs w:val="18"/>
              </w:rPr>
              <w:t>Option 1 (counterfactual):</w:t>
            </w:r>
            <w:r w:rsidRPr="00E87DD1">
              <w:rPr>
                <w:rFonts w:cs="Arial"/>
                <w:sz w:val="18"/>
                <w:szCs w:val="18"/>
              </w:rPr>
              <w:t xml:space="preserve"> </w:t>
            </w:r>
            <w:r w:rsidR="00992640">
              <w:rPr>
                <w:rFonts w:cs="Arial"/>
                <w:sz w:val="18"/>
                <w:szCs w:val="18"/>
              </w:rPr>
              <w:t xml:space="preserve">no decision-making criteria </w:t>
            </w:r>
            <w:r w:rsidR="00E93D07">
              <w:rPr>
                <w:rFonts w:cs="Arial"/>
                <w:sz w:val="18"/>
                <w:szCs w:val="18"/>
              </w:rPr>
              <w:t>in regulations</w:t>
            </w:r>
          </w:p>
        </w:tc>
        <w:tc>
          <w:tcPr>
            <w:tcW w:w="4253" w:type="dxa"/>
            <w:tcBorders>
              <w:left w:val="nil"/>
              <w:bottom w:val="single" w:sz="4" w:space="0" w:color="auto"/>
              <w:right w:val="nil"/>
            </w:tcBorders>
            <w:shd w:val="clear" w:color="auto" w:fill="E7E6E6" w:themeFill="background2"/>
          </w:tcPr>
          <w:p w14:paraId="3BED19A6" w14:textId="060AF1AF" w:rsidR="000038BB" w:rsidRPr="00603FF1" w:rsidRDefault="000038BB" w:rsidP="005F5CD1">
            <w:pPr>
              <w:spacing w:before="60" w:after="60" w:line="240" w:lineRule="auto"/>
              <w:jc w:val="left"/>
              <w:rPr>
                <w:rFonts w:cs="Arial"/>
                <w:sz w:val="18"/>
                <w:szCs w:val="18"/>
                <w:lang w:eastAsia="en-AU"/>
              </w:rPr>
            </w:pPr>
            <w:r w:rsidRPr="00603FF1">
              <w:rPr>
                <w:rFonts w:cs="Arial"/>
                <w:b/>
                <w:sz w:val="18"/>
                <w:szCs w:val="18"/>
              </w:rPr>
              <w:t xml:space="preserve">Option 2: </w:t>
            </w:r>
            <w:r w:rsidR="00992640" w:rsidRPr="00603FF1">
              <w:rPr>
                <w:rFonts w:cs="Arial"/>
                <w:bCs/>
                <w:sz w:val="18"/>
                <w:szCs w:val="18"/>
              </w:rPr>
              <w:t>decision-making criteria set in regulations</w:t>
            </w:r>
          </w:p>
        </w:tc>
      </w:tr>
      <w:tr w:rsidR="000038BB" w:rsidRPr="00E87DD1" w14:paraId="3F3130A1" w14:textId="77777777" w:rsidTr="4665486B">
        <w:trPr>
          <w:trHeight w:val="71"/>
        </w:trPr>
        <w:tc>
          <w:tcPr>
            <w:tcW w:w="1348" w:type="dxa"/>
            <w:tcBorders>
              <w:top w:val="single" w:sz="4" w:space="0" w:color="auto"/>
              <w:left w:val="nil"/>
              <w:bottom w:val="single" w:sz="4" w:space="0" w:color="auto"/>
              <w:right w:val="nil"/>
            </w:tcBorders>
          </w:tcPr>
          <w:p w14:paraId="1595BD74" w14:textId="77777777" w:rsidR="000038BB" w:rsidRPr="00A02375" w:rsidRDefault="000038BB" w:rsidP="005F5CD1">
            <w:pPr>
              <w:spacing w:before="60" w:after="60" w:line="240" w:lineRule="auto"/>
              <w:jc w:val="left"/>
              <w:rPr>
                <w:rFonts w:cs="Arial"/>
                <w:sz w:val="18"/>
                <w:szCs w:val="18"/>
              </w:rPr>
            </w:pPr>
            <w:r w:rsidRPr="00A02375">
              <w:rPr>
                <w:rFonts w:cs="Arial"/>
                <w:sz w:val="18"/>
                <w:szCs w:val="18"/>
              </w:rPr>
              <w:t>Pros</w:t>
            </w:r>
          </w:p>
        </w:tc>
        <w:tc>
          <w:tcPr>
            <w:tcW w:w="3755" w:type="dxa"/>
            <w:tcBorders>
              <w:top w:val="single" w:sz="4" w:space="0" w:color="auto"/>
              <w:left w:val="nil"/>
              <w:bottom w:val="single" w:sz="4" w:space="0" w:color="auto"/>
              <w:right w:val="nil"/>
            </w:tcBorders>
          </w:tcPr>
          <w:p w14:paraId="4FB53DAE" w14:textId="2C17FEA8" w:rsidR="006A53C0" w:rsidRDefault="00246606" w:rsidP="005F5CD1">
            <w:pPr>
              <w:spacing w:before="60" w:after="60" w:line="240" w:lineRule="auto"/>
              <w:jc w:val="left"/>
              <w:rPr>
                <w:rFonts w:cs="Arial"/>
                <w:sz w:val="18"/>
                <w:szCs w:val="18"/>
              </w:rPr>
            </w:pPr>
            <w:r>
              <w:rPr>
                <w:rFonts w:cs="Arial"/>
                <w:sz w:val="18"/>
                <w:szCs w:val="18"/>
              </w:rPr>
              <w:t xml:space="preserve">Regulator has </w:t>
            </w:r>
            <w:r w:rsidR="00FF781D">
              <w:rPr>
                <w:rFonts w:cs="Arial"/>
                <w:sz w:val="18"/>
                <w:szCs w:val="18"/>
              </w:rPr>
              <w:t>more</w:t>
            </w:r>
            <w:r>
              <w:rPr>
                <w:rFonts w:cs="Arial"/>
                <w:sz w:val="18"/>
                <w:szCs w:val="18"/>
              </w:rPr>
              <w:t xml:space="preserve"> </w:t>
            </w:r>
            <w:r w:rsidR="0006731B">
              <w:rPr>
                <w:rFonts w:cs="Arial"/>
                <w:sz w:val="18"/>
                <w:szCs w:val="18"/>
              </w:rPr>
              <w:t xml:space="preserve">discretion to decide </w:t>
            </w:r>
            <w:r w:rsidR="009A414E">
              <w:rPr>
                <w:rFonts w:cs="Arial"/>
                <w:sz w:val="18"/>
                <w:szCs w:val="18"/>
              </w:rPr>
              <w:t xml:space="preserve">who becomes an approved </w:t>
            </w:r>
            <w:r w:rsidR="00F96346">
              <w:rPr>
                <w:rFonts w:cs="Arial"/>
                <w:sz w:val="18"/>
                <w:szCs w:val="18"/>
              </w:rPr>
              <w:t>retailer</w:t>
            </w:r>
            <w:r w:rsidR="00ED2D92">
              <w:rPr>
                <w:rFonts w:cs="Arial"/>
                <w:sz w:val="18"/>
                <w:szCs w:val="18"/>
              </w:rPr>
              <w:t xml:space="preserve">. </w:t>
            </w:r>
          </w:p>
          <w:p w14:paraId="2C91D77E" w14:textId="5B967A51" w:rsidR="006A53C0" w:rsidRPr="00A02375" w:rsidRDefault="00DD2567" w:rsidP="005F5CD1">
            <w:pPr>
              <w:spacing w:before="60" w:after="60" w:line="240" w:lineRule="auto"/>
              <w:jc w:val="left"/>
              <w:rPr>
                <w:rFonts w:cs="Arial"/>
                <w:sz w:val="18"/>
                <w:szCs w:val="18"/>
              </w:rPr>
            </w:pPr>
            <w:r>
              <w:rPr>
                <w:rFonts w:cs="Arial"/>
                <w:sz w:val="18"/>
                <w:szCs w:val="18"/>
              </w:rPr>
              <w:t>Regulator ha</w:t>
            </w:r>
            <w:r w:rsidR="007157DD">
              <w:rPr>
                <w:rFonts w:cs="Arial"/>
                <w:sz w:val="18"/>
                <w:szCs w:val="18"/>
              </w:rPr>
              <w:t>s</w:t>
            </w:r>
            <w:r>
              <w:rPr>
                <w:rFonts w:cs="Arial"/>
                <w:sz w:val="18"/>
                <w:szCs w:val="18"/>
              </w:rPr>
              <w:t xml:space="preserve"> more flexibility to </w:t>
            </w:r>
            <w:r w:rsidR="00957581">
              <w:rPr>
                <w:rFonts w:cs="Arial"/>
                <w:sz w:val="18"/>
                <w:szCs w:val="18"/>
              </w:rPr>
              <w:t>change and update crit</w:t>
            </w:r>
            <w:r w:rsidR="00092327">
              <w:rPr>
                <w:rFonts w:cs="Arial"/>
                <w:sz w:val="18"/>
                <w:szCs w:val="18"/>
              </w:rPr>
              <w:t>e</w:t>
            </w:r>
            <w:r w:rsidR="005E45AD">
              <w:rPr>
                <w:rFonts w:cs="Arial"/>
                <w:sz w:val="18"/>
                <w:szCs w:val="18"/>
              </w:rPr>
              <w:t>r</w:t>
            </w:r>
            <w:r w:rsidR="00957581">
              <w:rPr>
                <w:rFonts w:cs="Arial"/>
                <w:sz w:val="18"/>
                <w:szCs w:val="18"/>
              </w:rPr>
              <w:t>ia as needed</w:t>
            </w:r>
            <w:r w:rsidR="007141BE">
              <w:rPr>
                <w:rFonts w:cs="Arial"/>
                <w:sz w:val="18"/>
                <w:szCs w:val="18"/>
              </w:rPr>
              <w:t>.</w:t>
            </w:r>
          </w:p>
        </w:tc>
        <w:tc>
          <w:tcPr>
            <w:tcW w:w="4253" w:type="dxa"/>
            <w:tcBorders>
              <w:left w:val="nil"/>
              <w:bottom w:val="single" w:sz="4" w:space="0" w:color="auto"/>
              <w:right w:val="nil"/>
            </w:tcBorders>
          </w:tcPr>
          <w:p w14:paraId="1DCCA924" w14:textId="1A577B9B" w:rsidR="006A53C0" w:rsidRPr="00603FF1" w:rsidRDefault="002E1B3A" w:rsidP="005F5CD1">
            <w:pPr>
              <w:spacing w:before="60" w:after="60" w:line="240" w:lineRule="auto"/>
              <w:jc w:val="left"/>
              <w:rPr>
                <w:rFonts w:cs="Arial"/>
                <w:sz w:val="18"/>
                <w:szCs w:val="18"/>
              </w:rPr>
            </w:pPr>
            <w:r>
              <w:rPr>
                <w:rFonts w:cs="Arial"/>
                <w:sz w:val="18"/>
                <w:szCs w:val="18"/>
              </w:rPr>
              <w:t xml:space="preserve">Greater </w:t>
            </w:r>
            <w:r w:rsidR="00AE48DA">
              <w:rPr>
                <w:rFonts w:cs="Arial"/>
                <w:sz w:val="18"/>
                <w:szCs w:val="18"/>
              </w:rPr>
              <w:t xml:space="preserve">transparency and </w:t>
            </w:r>
            <w:r>
              <w:rPr>
                <w:rFonts w:cs="Arial"/>
                <w:sz w:val="18"/>
                <w:szCs w:val="18"/>
              </w:rPr>
              <w:t>certainty</w:t>
            </w:r>
            <w:r w:rsidR="003714E8">
              <w:rPr>
                <w:rFonts w:cs="Arial"/>
                <w:sz w:val="18"/>
                <w:szCs w:val="18"/>
              </w:rPr>
              <w:t xml:space="preserve"> for </w:t>
            </w:r>
            <w:r w:rsidR="008574D5">
              <w:rPr>
                <w:rFonts w:cs="Arial"/>
                <w:sz w:val="18"/>
                <w:szCs w:val="18"/>
              </w:rPr>
              <w:t>businesses and the regulator.</w:t>
            </w:r>
          </w:p>
          <w:p w14:paraId="498005EC" w14:textId="473F4846" w:rsidR="00D14EB5" w:rsidRPr="00603FF1" w:rsidRDefault="00D14EB5" w:rsidP="005F5CD1">
            <w:pPr>
              <w:spacing w:before="60" w:after="60" w:line="240" w:lineRule="auto"/>
              <w:jc w:val="left"/>
              <w:rPr>
                <w:rFonts w:cs="Arial"/>
                <w:sz w:val="18"/>
                <w:szCs w:val="18"/>
              </w:rPr>
            </w:pPr>
            <w:r>
              <w:rPr>
                <w:rFonts w:cs="Arial"/>
                <w:sz w:val="18"/>
                <w:szCs w:val="18"/>
              </w:rPr>
              <w:t>Clear</w:t>
            </w:r>
            <w:r w:rsidR="00E23870">
              <w:rPr>
                <w:rFonts w:cs="Arial"/>
                <w:sz w:val="18"/>
                <w:szCs w:val="18"/>
              </w:rPr>
              <w:t xml:space="preserve"> criteria for application and assessment </w:t>
            </w:r>
            <w:r w:rsidR="00A0066C">
              <w:rPr>
                <w:rFonts w:cs="Arial"/>
                <w:sz w:val="18"/>
                <w:szCs w:val="18"/>
              </w:rPr>
              <w:t xml:space="preserve">should reduce the </w:t>
            </w:r>
            <w:r w:rsidR="00C215E6" w:rsidRPr="00C215E6">
              <w:rPr>
                <w:rFonts w:cs="Arial"/>
                <w:sz w:val="18"/>
                <w:szCs w:val="18"/>
              </w:rPr>
              <w:t>likelihood of needing</w:t>
            </w:r>
            <w:r w:rsidR="00A0066C">
              <w:rPr>
                <w:rFonts w:cs="Arial"/>
                <w:sz w:val="18"/>
                <w:szCs w:val="18"/>
              </w:rPr>
              <w:t xml:space="preserve"> to</w:t>
            </w:r>
            <w:r w:rsidR="002C7FCA">
              <w:rPr>
                <w:rFonts w:cs="Arial"/>
                <w:sz w:val="18"/>
                <w:szCs w:val="18"/>
              </w:rPr>
              <w:t xml:space="preserve"> make changes during the process.</w:t>
            </w:r>
          </w:p>
          <w:p w14:paraId="10EC06D5" w14:textId="136F281C" w:rsidR="00CA3102" w:rsidRPr="00603FF1" w:rsidRDefault="0053216B" w:rsidP="005F5CD1">
            <w:pPr>
              <w:spacing w:before="60" w:after="60" w:line="240" w:lineRule="auto"/>
              <w:jc w:val="left"/>
              <w:rPr>
                <w:rFonts w:cs="Arial"/>
                <w:sz w:val="18"/>
                <w:szCs w:val="18"/>
              </w:rPr>
            </w:pPr>
            <w:r>
              <w:rPr>
                <w:rFonts w:cs="Arial"/>
                <w:sz w:val="18"/>
                <w:szCs w:val="18"/>
              </w:rPr>
              <w:t xml:space="preserve">Greater clarity </w:t>
            </w:r>
            <w:r w:rsidR="00EE6D6D">
              <w:rPr>
                <w:rFonts w:cs="Arial"/>
                <w:sz w:val="18"/>
                <w:szCs w:val="18"/>
              </w:rPr>
              <w:t>around criteria and process</w:t>
            </w:r>
            <w:r>
              <w:rPr>
                <w:rFonts w:cs="Arial"/>
                <w:sz w:val="18"/>
                <w:szCs w:val="18"/>
              </w:rPr>
              <w:t xml:space="preserve"> </w:t>
            </w:r>
            <w:r w:rsidR="00C90462">
              <w:rPr>
                <w:rFonts w:cs="Arial"/>
                <w:sz w:val="18"/>
                <w:szCs w:val="18"/>
              </w:rPr>
              <w:t>means decision</w:t>
            </w:r>
            <w:r w:rsidR="00C241C4">
              <w:rPr>
                <w:rFonts w:cs="Arial"/>
                <w:sz w:val="18"/>
                <w:szCs w:val="18"/>
              </w:rPr>
              <w:t xml:space="preserve"> making</w:t>
            </w:r>
            <w:r w:rsidR="000B5C39">
              <w:rPr>
                <w:rFonts w:cs="Arial"/>
                <w:sz w:val="18"/>
                <w:szCs w:val="18"/>
              </w:rPr>
              <w:t xml:space="preserve"> is more robust</w:t>
            </w:r>
            <w:r w:rsidR="00D11709">
              <w:rPr>
                <w:rFonts w:cs="Arial"/>
                <w:sz w:val="18"/>
                <w:szCs w:val="18"/>
              </w:rPr>
              <w:t>.</w:t>
            </w:r>
          </w:p>
          <w:p w14:paraId="7204DA22" w14:textId="292D9CC9" w:rsidR="005B4F02" w:rsidRPr="00603FF1" w:rsidRDefault="005B4F02" w:rsidP="005F5CD1">
            <w:pPr>
              <w:spacing w:before="60" w:after="60" w:line="240" w:lineRule="auto"/>
              <w:jc w:val="left"/>
              <w:rPr>
                <w:rFonts w:cs="Arial"/>
                <w:sz w:val="18"/>
                <w:szCs w:val="18"/>
              </w:rPr>
            </w:pPr>
          </w:p>
        </w:tc>
      </w:tr>
      <w:tr w:rsidR="000038BB" w:rsidRPr="00E87DD1" w14:paraId="033A8929" w14:textId="77777777" w:rsidTr="4665486B">
        <w:trPr>
          <w:trHeight w:val="77"/>
        </w:trPr>
        <w:tc>
          <w:tcPr>
            <w:tcW w:w="1348" w:type="dxa"/>
            <w:tcBorders>
              <w:top w:val="single" w:sz="4" w:space="0" w:color="auto"/>
              <w:left w:val="nil"/>
              <w:bottom w:val="single" w:sz="4" w:space="0" w:color="auto"/>
              <w:right w:val="nil"/>
            </w:tcBorders>
          </w:tcPr>
          <w:p w14:paraId="5D236814" w14:textId="77777777" w:rsidR="000038BB" w:rsidRPr="00A02375" w:rsidRDefault="000038BB" w:rsidP="005F5CD1">
            <w:pPr>
              <w:spacing w:before="60" w:after="60" w:line="240" w:lineRule="auto"/>
              <w:jc w:val="left"/>
              <w:rPr>
                <w:rFonts w:cs="Arial"/>
                <w:sz w:val="18"/>
                <w:szCs w:val="18"/>
              </w:rPr>
            </w:pPr>
            <w:r w:rsidRPr="00A02375">
              <w:rPr>
                <w:rFonts w:cs="Arial"/>
                <w:sz w:val="18"/>
                <w:szCs w:val="18"/>
              </w:rPr>
              <w:t>Cons</w:t>
            </w:r>
          </w:p>
        </w:tc>
        <w:tc>
          <w:tcPr>
            <w:tcW w:w="3755" w:type="dxa"/>
            <w:tcBorders>
              <w:top w:val="single" w:sz="4" w:space="0" w:color="auto"/>
              <w:left w:val="nil"/>
              <w:bottom w:val="single" w:sz="4" w:space="0" w:color="auto"/>
              <w:right w:val="nil"/>
            </w:tcBorders>
          </w:tcPr>
          <w:p w14:paraId="07FD804F" w14:textId="2A6281A8" w:rsidR="4F3F49FD" w:rsidRDefault="4F3F49FD" w:rsidP="005F5CD1">
            <w:pPr>
              <w:spacing w:before="60" w:after="60" w:line="240" w:lineRule="auto"/>
              <w:jc w:val="left"/>
            </w:pPr>
            <w:r w:rsidRPr="6526EEE2">
              <w:rPr>
                <w:rFonts w:cs="Arial"/>
                <w:sz w:val="18"/>
                <w:szCs w:val="18"/>
              </w:rPr>
              <w:t xml:space="preserve">Decisions may be more </w:t>
            </w:r>
            <w:r w:rsidR="00C241C4">
              <w:rPr>
                <w:rFonts w:cs="Arial"/>
                <w:sz w:val="18"/>
                <w:szCs w:val="18"/>
              </w:rPr>
              <w:t>arbitrary</w:t>
            </w:r>
          </w:p>
          <w:p w14:paraId="5A47A3A0" w14:textId="6B8A9FB9" w:rsidR="00995335" w:rsidRDefault="00995335" w:rsidP="005F5CD1">
            <w:pPr>
              <w:spacing w:before="60" w:after="60" w:line="240" w:lineRule="auto"/>
              <w:jc w:val="left"/>
              <w:rPr>
                <w:rFonts w:cs="Arial"/>
                <w:sz w:val="18"/>
                <w:szCs w:val="18"/>
              </w:rPr>
            </w:pPr>
            <w:r>
              <w:rPr>
                <w:rFonts w:cs="Arial"/>
                <w:sz w:val="18"/>
                <w:szCs w:val="18"/>
              </w:rPr>
              <w:t>Les</w:t>
            </w:r>
            <w:r w:rsidR="001C2C90">
              <w:rPr>
                <w:rFonts w:cs="Arial"/>
                <w:sz w:val="18"/>
                <w:szCs w:val="18"/>
              </w:rPr>
              <w:t xml:space="preserve">s </w:t>
            </w:r>
            <w:r w:rsidR="00ED0DAB">
              <w:rPr>
                <w:rFonts w:cs="Arial"/>
                <w:sz w:val="18"/>
                <w:szCs w:val="18"/>
              </w:rPr>
              <w:t xml:space="preserve">transparency and </w:t>
            </w:r>
            <w:r w:rsidR="7025C142" w:rsidRPr="17C0D87D">
              <w:rPr>
                <w:rFonts w:cs="Arial"/>
                <w:sz w:val="18"/>
                <w:szCs w:val="18"/>
              </w:rPr>
              <w:t xml:space="preserve">certainty for </w:t>
            </w:r>
            <w:r w:rsidR="001C2C90">
              <w:rPr>
                <w:rFonts w:cs="Arial"/>
                <w:sz w:val="18"/>
                <w:szCs w:val="18"/>
              </w:rPr>
              <w:t>businesses</w:t>
            </w:r>
          </w:p>
          <w:p w14:paraId="325CAE12" w14:textId="51AAD941" w:rsidR="006A53C0" w:rsidRPr="00A02375" w:rsidRDefault="00A73163" w:rsidP="005F5CD1">
            <w:pPr>
              <w:spacing w:before="60" w:after="60" w:line="240" w:lineRule="auto"/>
              <w:jc w:val="left"/>
              <w:rPr>
                <w:rFonts w:cs="Arial"/>
                <w:sz w:val="18"/>
                <w:szCs w:val="18"/>
              </w:rPr>
            </w:pPr>
            <w:r>
              <w:rPr>
                <w:rFonts w:cs="Arial"/>
                <w:sz w:val="18"/>
                <w:szCs w:val="18"/>
              </w:rPr>
              <w:t>A less robust scheme m</w:t>
            </w:r>
            <w:r w:rsidRPr="00C768B4">
              <w:rPr>
                <w:rFonts w:cs="Arial"/>
                <w:sz w:val="18"/>
                <w:szCs w:val="18"/>
              </w:rPr>
              <w:t xml:space="preserve">ay result in ongoing costs to the </w:t>
            </w:r>
            <w:r w:rsidR="46070861" w:rsidRPr="6526EEE2">
              <w:rPr>
                <w:rFonts w:cs="Arial"/>
                <w:sz w:val="18"/>
                <w:szCs w:val="18"/>
              </w:rPr>
              <w:t>regulator</w:t>
            </w:r>
            <w:r w:rsidRPr="00C768B4">
              <w:rPr>
                <w:rFonts w:cs="Arial"/>
                <w:sz w:val="18"/>
                <w:szCs w:val="18"/>
              </w:rPr>
              <w:t xml:space="preserve"> for compliance </w:t>
            </w:r>
            <w:r>
              <w:rPr>
                <w:rFonts w:cs="Arial"/>
                <w:sz w:val="18"/>
                <w:szCs w:val="18"/>
              </w:rPr>
              <w:t>purposes</w:t>
            </w:r>
          </w:p>
        </w:tc>
        <w:tc>
          <w:tcPr>
            <w:tcW w:w="4253" w:type="dxa"/>
            <w:tcBorders>
              <w:top w:val="single" w:sz="4" w:space="0" w:color="auto"/>
              <w:left w:val="nil"/>
              <w:bottom w:val="single" w:sz="4" w:space="0" w:color="auto"/>
              <w:right w:val="nil"/>
            </w:tcBorders>
          </w:tcPr>
          <w:p w14:paraId="288EA41C" w14:textId="5925DA89" w:rsidR="006A53C0" w:rsidRPr="00E87DD1" w:rsidRDefault="00811E7A" w:rsidP="005F5CD1">
            <w:pPr>
              <w:spacing w:before="60" w:after="60" w:line="240" w:lineRule="auto"/>
              <w:rPr>
                <w:rFonts w:cs="Arial"/>
                <w:sz w:val="18"/>
                <w:szCs w:val="18"/>
              </w:rPr>
            </w:pPr>
            <w:r>
              <w:rPr>
                <w:rFonts w:cs="Arial"/>
                <w:sz w:val="18"/>
                <w:szCs w:val="18"/>
              </w:rPr>
              <w:t xml:space="preserve">Application scheme may be </w:t>
            </w:r>
            <w:r w:rsidR="00D7787D">
              <w:rPr>
                <w:rFonts w:cs="Arial"/>
                <w:sz w:val="18"/>
                <w:szCs w:val="18"/>
              </w:rPr>
              <w:t>disrupted if changes are needed</w:t>
            </w:r>
            <w:r w:rsidR="00327319">
              <w:rPr>
                <w:rFonts w:cs="Arial"/>
                <w:sz w:val="18"/>
                <w:szCs w:val="18"/>
              </w:rPr>
              <w:t xml:space="preserve"> given </w:t>
            </w:r>
            <w:r w:rsidR="00645192">
              <w:rPr>
                <w:rFonts w:cs="Arial"/>
                <w:sz w:val="18"/>
                <w:szCs w:val="18"/>
              </w:rPr>
              <w:t>the l</w:t>
            </w:r>
            <w:r w:rsidR="00285D76">
              <w:rPr>
                <w:rFonts w:cs="Arial"/>
                <w:sz w:val="18"/>
                <w:szCs w:val="18"/>
              </w:rPr>
              <w:t xml:space="preserve">onger process to </w:t>
            </w:r>
            <w:r w:rsidR="00EF2FA6">
              <w:rPr>
                <w:rFonts w:cs="Arial"/>
                <w:sz w:val="18"/>
                <w:szCs w:val="18"/>
              </w:rPr>
              <w:t xml:space="preserve">change or update </w:t>
            </w:r>
            <w:r w:rsidR="00B95C1D">
              <w:rPr>
                <w:rFonts w:cs="Arial"/>
                <w:sz w:val="18"/>
                <w:szCs w:val="18"/>
              </w:rPr>
              <w:t xml:space="preserve">decision-making criteria </w:t>
            </w:r>
            <w:r w:rsidR="00724493">
              <w:rPr>
                <w:rFonts w:cs="Arial"/>
                <w:sz w:val="18"/>
                <w:szCs w:val="18"/>
              </w:rPr>
              <w:t>if needed.</w:t>
            </w:r>
          </w:p>
        </w:tc>
      </w:tr>
    </w:tbl>
    <w:p w14:paraId="27DC438E" w14:textId="1346928D" w:rsidR="00CB02A0" w:rsidRDefault="00CB02A0" w:rsidP="000038BB">
      <w:pPr>
        <w:pStyle w:val="Heading4"/>
        <w:rPr>
          <w:lang w:val="en-NZ"/>
        </w:rPr>
      </w:pPr>
    </w:p>
    <w:p w14:paraId="4AFF7BB6" w14:textId="0A9B6819" w:rsidR="00CB02A0" w:rsidRPr="00C14470" w:rsidRDefault="00CB02A0" w:rsidP="00C930A7">
      <w:pPr>
        <w:rPr>
          <w:lang w:val="en-NZ"/>
        </w:rPr>
        <w:sectPr w:rsidR="00CB02A0" w:rsidRPr="00C14470" w:rsidSect="00150D58">
          <w:headerReference w:type="even" r:id="rId19"/>
          <w:headerReference w:type="default" r:id="rId20"/>
          <w:footerReference w:type="even" r:id="rId21"/>
          <w:footerReference w:type="default" r:id="rId22"/>
          <w:pgSz w:w="11906" w:h="16838" w:code="9"/>
          <w:pgMar w:top="1134" w:right="1418" w:bottom="992" w:left="1418" w:header="454" w:footer="454" w:gutter="0"/>
          <w:cols w:space="708"/>
          <w:docGrid w:linePitch="360"/>
        </w:sectPr>
      </w:pPr>
    </w:p>
    <w:p w14:paraId="4639DED8" w14:textId="77777777" w:rsidR="00C930A7" w:rsidRPr="00A864A5" w:rsidRDefault="00C930A7" w:rsidP="00C930A7">
      <w:pPr>
        <w:pStyle w:val="Heading3"/>
        <w:rPr>
          <w:lang w:val="en-NZ"/>
        </w:rPr>
      </w:pPr>
      <w:r>
        <w:rPr>
          <w:lang w:val="en-NZ"/>
        </w:rPr>
        <w:t>How do the options compare to the status quo/counterfactual?</w:t>
      </w:r>
    </w:p>
    <w:tbl>
      <w:tblPr>
        <w:tblW w:w="14488"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1935"/>
        <w:gridCol w:w="6174"/>
        <w:gridCol w:w="6379"/>
      </w:tblGrid>
      <w:tr w:rsidR="004D3452" w:rsidRPr="00A864A5" w14:paraId="1BF42845" w14:textId="77777777" w:rsidTr="1B502AF9">
        <w:trPr>
          <w:trHeight w:val="395"/>
        </w:trPr>
        <w:tc>
          <w:tcPr>
            <w:tcW w:w="1935" w:type="dxa"/>
            <w:shd w:val="clear" w:color="auto" w:fill="F2F2F2" w:themeFill="background1" w:themeFillShade="F2"/>
            <w:vAlign w:val="center"/>
          </w:tcPr>
          <w:p w14:paraId="3526DA43" w14:textId="77777777" w:rsidR="004D3452" w:rsidRPr="00DB51CD" w:rsidRDefault="004D3452" w:rsidP="0006642D">
            <w:pPr>
              <w:spacing w:before="60" w:after="60" w:line="276" w:lineRule="auto"/>
              <w:jc w:val="center"/>
              <w:rPr>
                <w:rFonts w:cs="Arial"/>
                <w:bCs/>
                <w:i/>
                <w:iCs/>
                <w:color w:val="FFFFFF"/>
                <w:sz w:val="20"/>
                <w:szCs w:val="24"/>
                <w:lang w:val="en-NZ"/>
              </w:rPr>
            </w:pPr>
          </w:p>
        </w:tc>
        <w:tc>
          <w:tcPr>
            <w:tcW w:w="6174" w:type="dxa"/>
            <w:shd w:val="clear" w:color="auto" w:fill="F2F2F2" w:themeFill="background1" w:themeFillShade="F2"/>
            <w:vAlign w:val="center"/>
          </w:tcPr>
          <w:p w14:paraId="2E90155B" w14:textId="682B35F4" w:rsidR="004D3452" w:rsidRPr="00A864A5" w:rsidRDefault="004D3452" w:rsidP="0006642D">
            <w:pPr>
              <w:spacing w:before="60" w:after="60" w:line="240" w:lineRule="auto"/>
              <w:jc w:val="center"/>
              <w:rPr>
                <w:b/>
                <w:lang w:val="en-NZ"/>
              </w:rPr>
            </w:pPr>
            <w:r w:rsidRPr="1B502AF9">
              <w:rPr>
                <w:rFonts w:cs="Arial"/>
                <w:b/>
                <w:color w:val="000000" w:themeColor="text1"/>
                <w:lang w:val="en-NZ"/>
              </w:rPr>
              <w:t xml:space="preserve">Option </w:t>
            </w:r>
            <w:r w:rsidR="008B7786">
              <w:rPr>
                <w:rFonts w:cs="Arial"/>
                <w:b/>
                <w:color w:val="000000" w:themeColor="text1"/>
                <w:lang w:val="en-NZ"/>
              </w:rPr>
              <w:t>1</w:t>
            </w:r>
            <w:r w:rsidR="000038BB" w:rsidRPr="1B502AF9">
              <w:rPr>
                <w:rFonts w:cs="Arial"/>
                <w:b/>
                <w:color w:val="000000" w:themeColor="text1"/>
                <w:lang w:val="en-NZ"/>
              </w:rPr>
              <w:t xml:space="preserve"> </w:t>
            </w:r>
            <w:r w:rsidR="000038BB" w:rsidRPr="1B502AF9">
              <w:rPr>
                <w:rFonts w:cs="Arial"/>
                <w:b/>
                <w:lang w:val="en-NZ"/>
              </w:rPr>
              <w:t xml:space="preserve">(Counterfactual) – No </w:t>
            </w:r>
            <w:r w:rsidR="000038BB" w:rsidRPr="004D3452">
              <w:rPr>
                <w:b/>
                <w:lang w:val="en-NZ"/>
              </w:rPr>
              <w:t>decision-making criteria to rank applications set in regulations</w:t>
            </w:r>
          </w:p>
        </w:tc>
        <w:tc>
          <w:tcPr>
            <w:tcW w:w="6379" w:type="dxa"/>
            <w:shd w:val="clear" w:color="auto" w:fill="F2F2F2" w:themeFill="background1" w:themeFillShade="F2"/>
            <w:vAlign w:val="center"/>
          </w:tcPr>
          <w:p w14:paraId="7AA16031" w14:textId="46D4FFB2" w:rsidR="004D3452" w:rsidRPr="004D3452" w:rsidRDefault="004D3452" w:rsidP="004D3452">
            <w:pPr>
              <w:jc w:val="center"/>
              <w:rPr>
                <w:b/>
                <w:lang w:val="en-NZ"/>
              </w:rPr>
            </w:pPr>
            <w:r w:rsidRPr="004D3452">
              <w:rPr>
                <w:rFonts w:cs="Arial"/>
                <w:b/>
                <w:szCs w:val="22"/>
                <w:lang w:val="en-NZ"/>
              </w:rPr>
              <w:t xml:space="preserve">Option </w:t>
            </w:r>
            <w:r w:rsidR="008B7786">
              <w:rPr>
                <w:rFonts w:cs="Arial"/>
                <w:b/>
                <w:szCs w:val="22"/>
                <w:lang w:val="en-NZ"/>
              </w:rPr>
              <w:t>2</w:t>
            </w:r>
            <w:r w:rsidRPr="004D3452">
              <w:rPr>
                <w:rFonts w:cs="Arial"/>
                <w:b/>
                <w:szCs w:val="22"/>
                <w:lang w:val="en-NZ"/>
              </w:rPr>
              <w:t xml:space="preserve"> </w:t>
            </w:r>
            <w:r w:rsidR="000038BB" w:rsidRPr="004D3452">
              <w:rPr>
                <w:rFonts w:cs="Arial"/>
                <w:b/>
                <w:color w:val="000000"/>
                <w:szCs w:val="22"/>
                <w:lang w:val="en-NZ"/>
              </w:rPr>
              <w:t>– D</w:t>
            </w:r>
            <w:r w:rsidR="000038BB" w:rsidRPr="004D3452">
              <w:rPr>
                <w:b/>
                <w:lang w:val="en-NZ"/>
              </w:rPr>
              <w:t>ecision-making criteria to rank applications set in regulations</w:t>
            </w:r>
          </w:p>
        </w:tc>
      </w:tr>
      <w:tr w:rsidR="00EB5460" w:rsidRPr="00A864A5" w14:paraId="0DBE0AE8" w14:textId="77777777" w:rsidTr="1B502AF9">
        <w:trPr>
          <w:trHeight w:val="615"/>
        </w:trPr>
        <w:tc>
          <w:tcPr>
            <w:tcW w:w="1935" w:type="dxa"/>
            <w:shd w:val="clear" w:color="auto" w:fill="F2F2F2" w:themeFill="background1" w:themeFillShade="F2"/>
            <w:vAlign w:val="center"/>
          </w:tcPr>
          <w:p w14:paraId="00B9AB46" w14:textId="1F750D4E" w:rsidR="00EB5460" w:rsidRPr="00A864A5" w:rsidRDefault="00EB5460" w:rsidP="00EB5460">
            <w:pPr>
              <w:spacing w:before="60" w:after="60" w:line="240" w:lineRule="auto"/>
              <w:jc w:val="center"/>
              <w:rPr>
                <w:rFonts w:cs="Arial"/>
                <w:b/>
                <w:color w:val="000000"/>
                <w:szCs w:val="22"/>
                <w:lang w:val="en-NZ"/>
              </w:rPr>
            </w:pPr>
            <w:r>
              <w:rPr>
                <w:rFonts w:cs="Arial"/>
                <w:b/>
                <w:color w:val="000000"/>
                <w:szCs w:val="22"/>
                <w:lang w:val="en-NZ"/>
              </w:rPr>
              <w:t>Reduces inequity</w:t>
            </w:r>
          </w:p>
        </w:tc>
        <w:tc>
          <w:tcPr>
            <w:tcW w:w="6174" w:type="dxa"/>
            <w:shd w:val="clear" w:color="auto" w:fill="auto"/>
            <w:vAlign w:val="center"/>
          </w:tcPr>
          <w:p w14:paraId="608FC729" w14:textId="3877F7F3" w:rsidR="00EB5460" w:rsidRPr="00A864A5" w:rsidRDefault="00EB5460" w:rsidP="1B502AF9">
            <w:pPr>
              <w:pStyle w:val="TableText"/>
              <w:spacing w:line="276" w:lineRule="auto"/>
              <w:jc w:val="center"/>
              <w:rPr>
                <w:lang w:val="en-NZ"/>
              </w:rPr>
            </w:pPr>
            <w:r>
              <w:rPr>
                <w:lang w:val="en-NZ"/>
              </w:rPr>
              <w:t>0</w:t>
            </w:r>
          </w:p>
          <w:p w14:paraId="6DEC457D" w14:textId="0510C4C9" w:rsidR="00EB5460" w:rsidRPr="00A864A5" w:rsidRDefault="44D52C22" w:rsidP="00EB5460">
            <w:pPr>
              <w:pStyle w:val="TableText"/>
              <w:spacing w:line="276" w:lineRule="auto"/>
              <w:jc w:val="center"/>
              <w:rPr>
                <w:sz w:val="18"/>
                <w:szCs w:val="18"/>
                <w:lang w:val="en-NZ"/>
              </w:rPr>
            </w:pPr>
            <w:r w:rsidRPr="1B502AF9">
              <w:rPr>
                <w:sz w:val="18"/>
                <w:szCs w:val="18"/>
                <w:lang w:val="en-NZ"/>
              </w:rPr>
              <w:t>Likely to have no impact on equity.</w:t>
            </w:r>
          </w:p>
        </w:tc>
        <w:tc>
          <w:tcPr>
            <w:tcW w:w="6379" w:type="dxa"/>
            <w:shd w:val="clear" w:color="auto" w:fill="auto"/>
            <w:vAlign w:val="center"/>
          </w:tcPr>
          <w:p w14:paraId="20F9C4B5" w14:textId="77777777" w:rsidR="00626DE1" w:rsidRPr="00D85920" w:rsidRDefault="00626DE1" w:rsidP="00626DE1">
            <w:pPr>
              <w:pStyle w:val="TableText"/>
              <w:spacing w:line="276" w:lineRule="auto"/>
              <w:jc w:val="center"/>
              <w:rPr>
                <w:rFonts w:cs="Arial"/>
                <w:b/>
                <w:color w:val="00B050"/>
              </w:rPr>
            </w:pPr>
            <w:r w:rsidRPr="00D85920">
              <w:rPr>
                <w:rFonts w:cs="Arial"/>
                <w:b/>
                <w:color w:val="00B050"/>
              </w:rPr>
              <w:t>+</w:t>
            </w:r>
          </w:p>
          <w:p w14:paraId="613A1ED7" w14:textId="08FB0411" w:rsidR="00EB5460" w:rsidRPr="00B17984" w:rsidRDefault="00626DE1" w:rsidP="00EB5460">
            <w:pPr>
              <w:pStyle w:val="TableText"/>
              <w:spacing w:line="276" w:lineRule="auto"/>
              <w:jc w:val="center"/>
              <w:rPr>
                <w:sz w:val="18"/>
                <w:szCs w:val="18"/>
                <w:lang w:val="en-NZ"/>
              </w:rPr>
            </w:pPr>
            <w:r>
              <w:rPr>
                <w:rFonts w:cs="Arial"/>
              </w:rPr>
              <w:t>May have some</w:t>
            </w:r>
            <w:r w:rsidR="1F059869" w:rsidRPr="1B502AF9">
              <w:rPr>
                <w:sz w:val="18"/>
                <w:szCs w:val="18"/>
                <w:lang w:val="en-NZ"/>
              </w:rPr>
              <w:t xml:space="preserve"> impact on equity.</w:t>
            </w:r>
          </w:p>
        </w:tc>
      </w:tr>
      <w:tr w:rsidR="00B449DA" w:rsidRPr="00A864A5" w14:paraId="1DDC5760" w14:textId="77777777" w:rsidTr="1B502AF9">
        <w:trPr>
          <w:trHeight w:val="378"/>
        </w:trPr>
        <w:tc>
          <w:tcPr>
            <w:tcW w:w="1935" w:type="dxa"/>
            <w:shd w:val="clear" w:color="auto" w:fill="F2F2F2" w:themeFill="background1" w:themeFillShade="F2"/>
            <w:vAlign w:val="center"/>
          </w:tcPr>
          <w:p w14:paraId="4EB50FDE" w14:textId="767E6757" w:rsidR="00B449DA" w:rsidRPr="00A864A5" w:rsidRDefault="00B449DA" w:rsidP="00B449DA">
            <w:pPr>
              <w:spacing w:before="60" w:after="60" w:line="240" w:lineRule="auto"/>
              <w:jc w:val="center"/>
              <w:rPr>
                <w:rFonts w:cs="Arial"/>
                <w:b/>
                <w:color w:val="000000"/>
                <w:szCs w:val="22"/>
                <w:lang w:val="en-NZ"/>
              </w:rPr>
            </w:pPr>
            <w:r>
              <w:rPr>
                <w:b/>
                <w:bCs/>
              </w:rPr>
              <w:t>Effectiveness as a policy</w:t>
            </w:r>
          </w:p>
        </w:tc>
        <w:tc>
          <w:tcPr>
            <w:tcW w:w="6174" w:type="dxa"/>
            <w:shd w:val="clear" w:color="auto" w:fill="auto"/>
            <w:vAlign w:val="center"/>
          </w:tcPr>
          <w:p w14:paraId="5FCBF41B" w14:textId="3D9325A3" w:rsidR="00B449DA" w:rsidRDefault="5E1819C1" w:rsidP="1AAEAAE5">
            <w:pPr>
              <w:pStyle w:val="TableText"/>
              <w:spacing w:line="276" w:lineRule="auto"/>
              <w:jc w:val="center"/>
              <w:rPr>
                <w:lang w:val="en-NZ"/>
              </w:rPr>
            </w:pPr>
            <w:r w:rsidRPr="1AAEAAE5">
              <w:rPr>
                <w:rFonts w:cs="Arial"/>
              </w:rPr>
              <w:t>0</w:t>
            </w:r>
          </w:p>
          <w:p w14:paraId="132E8A39" w14:textId="2014C873" w:rsidR="00B449DA" w:rsidRPr="00A864A5" w:rsidRDefault="50EA5CD9" w:rsidP="61A924D9">
            <w:pPr>
              <w:pStyle w:val="TableText"/>
              <w:spacing w:line="276" w:lineRule="auto"/>
              <w:jc w:val="center"/>
              <w:rPr>
                <w:lang w:val="en-NZ"/>
              </w:rPr>
            </w:pPr>
            <w:r w:rsidRPr="61A924D9">
              <w:rPr>
                <w:sz w:val="18"/>
                <w:szCs w:val="18"/>
              </w:rPr>
              <w:t>Does not align with policy intent</w:t>
            </w:r>
            <w:r w:rsidR="554285BB" w:rsidRPr="65340990">
              <w:rPr>
                <w:sz w:val="18"/>
                <w:szCs w:val="18"/>
              </w:rPr>
              <w:t>.</w:t>
            </w:r>
            <w:r w:rsidR="4ACA5148" w:rsidRPr="61A924D9">
              <w:rPr>
                <w:sz w:val="18"/>
                <w:szCs w:val="18"/>
              </w:rPr>
              <w:t xml:space="preserve"> </w:t>
            </w:r>
            <w:r w:rsidR="000279A1">
              <w:rPr>
                <w:sz w:val="18"/>
                <w:szCs w:val="18"/>
              </w:rPr>
              <w:t>Increased risk of arbitrary decision making</w:t>
            </w:r>
            <w:r w:rsidR="4ACA5148" w:rsidRPr="61A924D9">
              <w:rPr>
                <w:sz w:val="18"/>
                <w:szCs w:val="18"/>
              </w:rPr>
              <w:t>.</w:t>
            </w:r>
          </w:p>
        </w:tc>
        <w:tc>
          <w:tcPr>
            <w:tcW w:w="6379" w:type="dxa"/>
            <w:shd w:val="clear" w:color="auto" w:fill="auto"/>
            <w:vAlign w:val="center"/>
          </w:tcPr>
          <w:p w14:paraId="1EE4AF4D" w14:textId="1DAB17E2" w:rsidR="00B449DA" w:rsidRPr="00D85920" w:rsidRDefault="00B449DA" w:rsidP="00B449DA">
            <w:pPr>
              <w:pStyle w:val="TableText"/>
              <w:spacing w:line="276" w:lineRule="auto"/>
              <w:jc w:val="center"/>
              <w:rPr>
                <w:rFonts w:cs="Arial"/>
                <w:b/>
                <w:color w:val="00B050"/>
              </w:rPr>
            </w:pPr>
            <w:r w:rsidRPr="00D85920">
              <w:rPr>
                <w:rFonts w:cs="Arial"/>
                <w:b/>
                <w:color w:val="00B050"/>
              </w:rPr>
              <w:t>+</w:t>
            </w:r>
          </w:p>
          <w:p w14:paraId="7B62F19F" w14:textId="287F1FF7" w:rsidR="00B449DA" w:rsidRPr="003328A3" w:rsidRDefault="477FF2D1" w:rsidP="006C792E">
            <w:pPr>
              <w:pStyle w:val="TableText"/>
              <w:spacing w:line="240" w:lineRule="auto"/>
              <w:jc w:val="center"/>
              <w:rPr>
                <w:sz w:val="18"/>
                <w:szCs w:val="18"/>
                <w:highlight w:val="yellow"/>
                <w:lang w:val="en-NZ"/>
              </w:rPr>
            </w:pPr>
            <w:r w:rsidRPr="1B502AF9">
              <w:rPr>
                <w:sz w:val="18"/>
                <w:szCs w:val="18"/>
              </w:rPr>
              <w:t>More reliably</w:t>
            </w:r>
            <w:r w:rsidR="69498CE0" w:rsidRPr="1B502AF9">
              <w:rPr>
                <w:sz w:val="18"/>
                <w:szCs w:val="18"/>
              </w:rPr>
              <w:t xml:space="preserve"> give</w:t>
            </w:r>
            <w:r w:rsidR="05889E13" w:rsidRPr="1B502AF9">
              <w:rPr>
                <w:sz w:val="18"/>
                <w:szCs w:val="18"/>
              </w:rPr>
              <w:t>s</w:t>
            </w:r>
            <w:r w:rsidR="00B449DA" w:rsidRPr="1B502AF9">
              <w:rPr>
                <w:sz w:val="18"/>
                <w:szCs w:val="18"/>
              </w:rPr>
              <w:t xml:space="preserve"> effect to policy intent.</w:t>
            </w:r>
            <w:r w:rsidR="00563E48" w:rsidRPr="1B502AF9">
              <w:rPr>
                <w:sz w:val="18"/>
                <w:szCs w:val="18"/>
              </w:rPr>
              <w:t xml:space="preserve"> Criteria applied will be more legally robust, </w:t>
            </w:r>
            <w:proofErr w:type="spellStart"/>
            <w:r w:rsidR="00563E48" w:rsidRPr="1B502AF9">
              <w:rPr>
                <w:sz w:val="18"/>
                <w:szCs w:val="18"/>
              </w:rPr>
              <w:t>ie</w:t>
            </w:r>
            <w:proofErr w:type="spellEnd"/>
            <w:r w:rsidR="00EA7BEA">
              <w:rPr>
                <w:sz w:val="18"/>
                <w:szCs w:val="18"/>
              </w:rPr>
              <w:t>,</w:t>
            </w:r>
            <w:r w:rsidR="00563E48" w:rsidRPr="1B502AF9">
              <w:rPr>
                <w:sz w:val="18"/>
                <w:szCs w:val="18"/>
              </w:rPr>
              <w:t xml:space="preserve"> clear and certain law.</w:t>
            </w:r>
          </w:p>
        </w:tc>
      </w:tr>
      <w:tr w:rsidR="000038BB" w:rsidRPr="00A864A5" w14:paraId="1DF76067" w14:textId="77777777" w:rsidTr="1B502AF9">
        <w:trPr>
          <w:trHeight w:val="1045"/>
        </w:trPr>
        <w:tc>
          <w:tcPr>
            <w:tcW w:w="1935" w:type="dxa"/>
            <w:shd w:val="clear" w:color="auto" w:fill="F2F2F2" w:themeFill="background1" w:themeFillShade="F2"/>
            <w:vAlign w:val="center"/>
          </w:tcPr>
          <w:p w14:paraId="3B483E13" w14:textId="273D42AB" w:rsidR="000038BB" w:rsidRDefault="000038BB" w:rsidP="000038BB">
            <w:pPr>
              <w:spacing w:before="60" w:after="60" w:line="240" w:lineRule="auto"/>
              <w:jc w:val="center"/>
              <w:rPr>
                <w:rFonts w:cs="Arial"/>
                <w:b/>
                <w:color w:val="000000"/>
                <w:szCs w:val="22"/>
                <w:lang w:val="en-NZ"/>
              </w:rPr>
            </w:pPr>
            <w:r>
              <w:rPr>
                <w:rFonts w:cs="Arial"/>
                <w:b/>
                <w:color w:val="000000"/>
                <w:szCs w:val="22"/>
                <w:lang w:val="en-NZ"/>
              </w:rPr>
              <w:t>Cost and ease of implementation</w:t>
            </w:r>
          </w:p>
        </w:tc>
        <w:tc>
          <w:tcPr>
            <w:tcW w:w="6174" w:type="dxa"/>
            <w:shd w:val="clear" w:color="auto" w:fill="auto"/>
            <w:vAlign w:val="center"/>
          </w:tcPr>
          <w:p w14:paraId="7F6FB180" w14:textId="3117344E" w:rsidR="00674ED4" w:rsidRPr="00605206" w:rsidRDefault="00605206" w:rsidP="00674ED4">
            <w:pPr>
              <w:pStyle w:val="TableText"/>
              <w:spacing w:line="276" w:lineRule="auto"/>
              <w:jc w:val="center"/>
              <w:rPr>
                <w:rFonts w:cs="Arial"/>
                <w:bCs/>
              </w:rPr>
            </w:pPr>
            <w:r w:rsidRPr="00605206">
              <w:rPr>
                <w:rFonts w:cs="Arial"/>
                <w:bCs/>
              </w:rPr>
              <w:t>0</w:t>
            </w:r>
          </w:p>
          <w:p w14:paraId="5D823046" w14:textId="5B2D1079" w:rsidR="000038BB" w:rsidRPr="0056134F" w:rsidRDefault="00EE3546" w:rsidP="211DEC69">
            <w:pPr>
              <w:pStyle w:val="TableText"/>
              <w:spacing w:line="276" w:lineRule="auto"/>
              <w:jc w:val="center"/>
              <w:rPr>
                <w:bCs/>
                <w:sz w:val="18"/>
                <w:szCs w:val="20"/>
                <w:highlight w:val="yellow"/>
                <w:lang w:val="en-NZ"/>
              </w:rPr>
            </w:pPr>
            <w:r>
              <w:rPr>
                <w:bCs/>
                <w:sz w:val="18"/>
                <w:szCs w:val="20"/>
                <w:lang w:val="en-NZ"/>
              </w:rPr>
              <w:t xml:space="preserve">Easier to change </w:t>
            </w:r>
            <w:r w:rsidR="00ED719C">
              <w:rPr>
                <w:bCs/>
                <w:sz w:val="18"/>
                <w:szCs w:val="20"/>
                <w:lang w:val="en-NZ"/>
              </w:rPr>
              <w:t>if</w:t>
            </w:r>
            <w:r>
              <w:rPr>
                <w:bCs/>
                <w:sz w:val="18"/>
                <w:szCs w:val="20"/>
                <w:lang w:val="en-NZ"/>
              </w:rPr>
              <w:t xml:space="preserve"> required</w:t>
            </w:r>
            <w:r w:rsidR="00605206">
              <w:rPr>
                <w:bCs/>
                <w:sz w:val="18"/>
                <w:szCs w:val="20"/>
                <w:lang w:val="en-NZ"/>
              </w:rPr>
              <w:t xml:space="preserve">. </w:t>
            </w:r>
            <w:r w:rsidR="00ED719C">
              <w:rPr>
                <w:bCs/>
                <w:sz w:val="18"/>
                <w:szCs w:val="20"/>
                <w:lang w:val="en-NZ"/>
              </w:rPr>
              <w:t>However</w:t>
            </w:r>
            <w:r w:rsidR="3B4DD19B" w:rsidRPr="211DEC69">
              <w:rPr>
                <w:sz w:val="18"/>
                <w:szCs w:val="18"/>
                <w:lang w:val="en-NZ"/>
              </w:rPr>
              <w:t>,</w:t>
            </w:r>
            <w:r w:rsidR="00ED719C">
              <w:rPr>
                <w:bCs/>
                <w:sz w:val="18"/>
                <w:szCs w:val="20"/>
                <w:lang w:val="en-NZ"/>
              </w:rPr>
              <w:t xml:space="preserve"> it will not undergo scrutiny of the legislative process.</w:t>
            </w:r>
          </w:p>
        </w:tc>
        <w:tc>
          <w:tcPr>
            <w:tcW w:w="6379" w:type="dxa"/>
            <w:shd w:val="clear" w:color="auto" w:fill="auto"/>
            <w:vAlign w:val="center"/>
          </w:tcPr>
          <w:p w14:paraId="7902320A" w14:textId="79B8C167" w:rsidR="000038BB" w:rsidRPr="008F6931" w:rsidRDefault="007B1850" w:rsidP="008F6931">
            <w:pPr>
              <w:pStyle w:val="TableText"/>
              <w:spacing w:line="276" w:lineRule="auto"/>
              <w:jc w:val="center"/>
              <w:rPr>
                <w:rFonts w:cs="Arial"/>
                <w:b/>
                <w:color w:val="00B050"/>
              </w:rPr>
            </w:pPr>
            <w:r w:rsidRPr="00A864A5">
              <w:rPr>
                <w:rFonts w:cs="Arial"/>
                <w:b/>
                <w:color w:val="00B050"/>
              </w:rPr>
              <w:t>+</w:t>
            </w:r>
          </w:p>
          <w:p w14:paraId="3F277A6B" w14:textId="608370B8" w:rsidR="00B644DE" w:rsidRPr="00806993" w:rsidRDefault="00603FF1" w:rsidP="006C792E">
            <w:pPr>
              <w:pStyle w:val="TableText"/>
              <w:spacing w:line="240" w:lineRule="auto"/>
              <w:jc w:val="center"/>
              <w:rPr>
                <w:sz w:val="18"/>
                <w:szCs w:val="18"/>
                <w:lang w:val="en-NZ"/>
              </w:rPr>
            </w:pPr>
            <w:r w:rsidRPr="00603FF1">
              <w:rPr>
                <w:sz w:val="18"/>
                <w:szCs w:val="18"/>
                <w:lang w:val="en-NZ"/>
              </w:rPr>
              <w:t>Will provide an e</w:t>
            </w:r>
            <w:r w:rsidR="00B644DE" w:rsidRPr="00603FF1">
              <w:rPr>
                <w:sz w:val="18"/>
                <w:szCs w:val="18"/>
                <w:lang w:val="en-NZ"/>
              </w:rPr>
              <w:t>xtra layer of legislative scrutiny</w:t>
            </w:r>
            <w:r w:rsidRPr="00603FF1">
              <w:rPr>
                <w:sz w:val="18"/>
                <w:szCs w:val="18"/>
                <w:lang w:val="en-NZ"/>
              </w:rPr>
              <w:t xml:space="preserve"> to</w:t>
            </w:r>
            <w:r>
              <w:rPr>
                <w:sz w:val="18"/>
                <w:szCs w:val="18"/>
                <w:lang w:val="en-NZ"/>
              </w:rPr>
              <w:t xml:space="preserve"> approving criteria.</w:t>
            </w:r>
          </w:p>
          <w:p w14:paraId="43A4A269" w14:textId="00EC3DB5" w:rsidR="00806993" w:rsidRPr="00A864A5" w:rsidRDefault="5FFE76B9" w:rsidP="006C792E">
            <w:pPr>
              <w:pStyle w:val="TableText"/>
              <w:spacing w:line="240" w:lineRule="auto"/>
              <w:jc w:val="center"/>
              <w:rPr>
                <w:lang w:val="en-NZ"/>
              </w:rPr>
            </w:pPr>
            <w:r w:rsidRPr="1B502AF9">
              <w:rPr>
                <w:sz w:val="18"/>
                <w:szCs w:val="18"/>
                <w:lang w:val="en-NZ"/>
              </w:rPr>
              <w:t>More d</w:t>
            </w:r>
            <w:r w:rsidR="28ED3862" w:rsidRPr="1B502AF9">
              <w:rPr>
                <w:sz w:val="18"/>
                <w:szCs w:val="18"/>
                <w:lang w:val="en-NZ"/>
              </w:rPr>
              <w:t>ifficult</w:t>
            </w:r>
            <w:r w:rsidR="00EE3546">
              <w:rPr>
                <w:sz w:val="18"/>
                <w:szCs w:val="18"/>
                <w:lang w:val="en-NZ"/>
              </w:rPr>
              <w:t xml:space="preserve"> to amend criteria if </w:t>
            </w:r>
            <w:r w:rsidR="00EA403D">
              <w:rPr>
                <w:sz w:val="18"/>
                <w:szCs w:val="18"/>
                <w:lang w:val="en-NZ"/>
              </w:rPr>
              <w:t>nee</w:t>
            </w:r>
            <w:r w:rsidR="00E45C27">
              <w:rPr>
                <w:sz w:val="18"/>
                <w:szCs w:val="18"/>
                <w:lang w:val="en-NZ"/>
              </w:rPr>
              <w:t>d</w:t>
            </w:r>
            <w:r w:rsidR="00EA403D">
              <w:rPr>
                <w:sz w:val="18"/>
                <w:szCs w:val="18"/>
                <w:lang w:val="en-NZ"/>
              </w:rPr>
              <w:t>ed.</w:t>
            </w:r>
          </w:p>
        </w:tc>
      </w:tr>
      <w:tr w:rsidR="000038BB" w:rsidRPr="00A864A5" w14:paraId="04CDE204" w14:textId="77777777" w:rsidTr="1B502AF9">
        <w:trPr>
          <w:trHeight w:val="820"/>
        </w:trPr>
        <w:tc>
          <w:tcPr>
            <w:tcW w:w="1935" w:type="dxa"/>
            <w:shd w:val="clear" w:color="auto" w:fill="F2F2F2" w:themeFill="background1" w:themeFillShade="F2"/>
            <w:vAlign w:val="center"/>
          </w:tcPr>
          <w:p w14:paraId="5BD5B333" w14:textId="12501B28" w:rsidR="000038BB" w:rsidRDefault="000038BB" w:rsidP="58911DBF">
            <w:pPr>
              <w:spacing w:before="60" w:after="60" w:line="240" w:lineRule="auto"/>
              <w:jc w:val="center"/>
              <w:rPr>
                <w:rFonts w:cs="Arial"/>
                <w:b/>
                <w:bCs/>
                <w:color w:val="000000"/>
                <w:lang w:val="en-NZ"/>
              </w:rPr>
            </w:pPr>
            <w:r w:rsidRPr="58911DBF">
              <w:rPr>
                <w:b/>
                <w:bCs/>
              </w:rPr>
              <w:t xml:space="preserve">Clear and workable for </w:t>
            </w:r>
            <w:r w:rsidR="42C14FBD" w:rsidRPr="58911DBF">
              <w:rPr>
                <w:b/>
                <w:bCs/>
              </w:rPr>
              <w:t>Aotearoa</w:t>
            </w:r>
          </w:p>
        </w:tc>
        <w:tc>
          <w:tcPr>
            <w:tcW w:w="6174" w:type="dxa"/>
            <w:shd w:val="clear" w:color="auto" w:fill="auto"/>
            <w:vAlign w:val="center"/>
          </w:tcPr>
          <w:p w14:paraId="4590B370" w14:textId="31D09C9B" w:rsidR="000038BB" w:rsidRPr="00ED719C" w:rsidRDefault="5B61E424" w:rsidP="211DEC69">
            <w:pPr>
              <w:pStyle w:val="TableText"/>
              <w:spacing w:line="276" w:lineRule="auto"/>
              <w:jc w:val="center"/>
              <w:rPr>
                <w:rFonts w:cs="Arial"/>
                <w:b/>
                <w:color w:val="FF0000"/>
              </w:rPr>
            </w:pPr>
            <w:r w:rsidRPr="211DEC69">
              <w:rPr>
                <w:rFonts w:cs="Arial"/>
              </w:rPr>
              <w:t>0</w:t>
            </w:r>
          </w:p>
          <w:p w14:paraId="30488F8F" w14:textId="18732C69" w:rsidR="00ED719C" w:rsidRPr="00B644DE" w:rsidRDefault="00D4645C" w:rsidP="61A924D9">
            <w:pPr>
              <w:pStyle w:val="TableText"/>
              <w:spacing w:line="276" w:lineRule="auto"/>
              <w:jc w:val="center"/>
              <w:rPr>
                <w:highlight w:val="yellow"/>
                <w:lang w:val="en-NZ"/>
              </w:rPr>
            </w:pPr>
            <w:r>
              <w:rPr>
                <w:sz w:val="18"/>
                <w:szCs w:val="18"/>
                <w:lang w:val="en-NZ"/>
              </w:rPr>
              <w:t>Less tran</w:t>
            </w:r>
            <w:r w:rsidR="00547E19">
              <w:rPr>
                <w:sz w:val="18"/>
                <w:szCs w:val="18"/>
                <w:lang w:val="en-NZ"/>
              </w:rPr>
              <w:t>sparency and certainty for busi</w:t>
            </w:r>
            <w:r w:rsidR="0085386A">
              <w:rPr>
                <w:sz w:val="18"/>
                <w:szCs w:val="18"/>
                <w:lang w:val="en-NZ"/>
              </w:rPr>
              <w:t>nesses</w:t>
            </w:r>
            <w:r w:rsidR="002015F0">
              <w:rPr>
                <w:sz w:val="18"/>
                <w:szCs w:val="18"/>
                <w:lang w:val="en-NZ"/>
              </w:rPr>
              <w:t xml:space="preserve"> and the </w:t>
            </w:r>
            <w:proofErr w:type="gramStart"/>
            <w:r w:rsidR="002015F0">
              <w:rPr>
                <w:sz w:val="18"/>
                <w:szCs w:val="18"/>
                <w:lang w:val="en-NZ"/>
              </w:rPr>
              <w:t>general public</w:t>
            </w:r>
            <w:proofErr w:type="gramEnd"/>
            <w:r w:rsidR="0085386A">
              <w:rPr>
                <w:sz w:val="18"/>
                <w:szCs w:val="18"/>
                <w:lang w:val="en-NZ"/>
              </w:rPr>
              <w:t>.</w:t>
            </w:r>
          </w:p>
        </w:tc>
        <w:tc>
          <w:tcPr>
            <w:tcW w:w="6379" w:type="dxa"/>
            <w:shd w:val="clear" w:color="auto" w:fill="auto"/>
            <w:vAlign w:val="center"/>
          </w:tcPr>
          <w:p w14:paraId="38EAB9B5" w14:textId="47BFE9F4" w:rsidR="007B1850" w:rsidRDefault="007B1850" w:rsidP="00F705E2">
            <w:pPr>
              <w:pStyle w:val="TableText"/>
              <w:spacing w:line="276" w:lineRule="auto"/>
              <w:jc w:val="center"/>
              <w:rPr>
                <w:rFonts w:cs="Arial"/>
                <w:b/>
                <w:color w:val="00B050"/>
              </w:rPr>
            </w:pPr>
            <w:r w:rsidRPr="00A864A5">
              <w:rPr>
                <w:rFonts w:cs="Arial"/>
                <w:b/>
                <w:color w:val="00B050"/>
              </w:rPr>
              <w:t>+</w:t>
            </w:r>
          </w:p>
          <w:p w14:paraId="35C5EACF" w14:textId="3E539D0B" w:rsidR="00806993" w:rsidRPr="0040220D" w:rsidRDefault="005E4020" w:rsidP="000038BB">
            <w:pPr>
              <w:pStyle w:val="TableText"/>
              <w:spacing w:line="276" w:lineRule="auto"/>
              <w:jc w:val="center"/>
              <w:rPr>
                <w:sz w:val="18"/>
                <w:szCs w:val="18"/>
                <w:lang w:val="en-NZ"/>
              </w:rPr>
            </w:pPr>
            <w:r>
              <w:rPr>
                <w:sz w:val="18"/>
                <w:szCs w:val="18"/>
                <w:lang w:val="en-NZ"/>
              </w:rPr>
              <w:t xml:space="preserve">Greater transparency and certainty for </w:t>
            </w:r>
            <w:r w:rsidR="0047399F">
              <w:rPr>
                <w:sz w:val="18"/>
                <w:szCs w:val="18"/>
                <w:lang w:val="en-NZ"/>
              </w:rPr>
              <w:t>businesses</w:t>
            </w:r>
            <w:r w:rsidR="002A09CE">
              <w:rPr>
                <w:sz w:val="18"/>
                <w:szCs w:val="18"/>
                <w:lang w:val="en-NZ"/>
              </w:rPr>
              <w:t xml:space="preserve"> and the </w:t>
            </w:r>
            <w:proofErr w:type="gramStart"/>
            <w:r w:rsidR="002A09CE">
              <w:rPr>
                <w:sz w:val="18"/>
                <w:szCs w:val="18"/>
                <w:lang w:val="en-NZ"/>
              </w:rPr>
              <w:t>general public</w:t>
            </w:r>
            <w:proofErr w:type="gramEnd"/>
            <w:r w:rsidR="002A09CE">
              <w:rPr>
                <w:sz w:val="18"/>
                <w:szCs w:val="18"/>
                <w:lang w:val="en-NZ"/>
              </w:rPr>
              <w:t>.</w:t>
            </w:r>
          </w:p>
        </w:tc>
      </w:tr>
      <w:tr w:rsidR="000038BB" w:rsidRPr="00A864A5" w14:paraId="03DDCFC6" w14:textId="77777777" w:rsidTr="1B502AF9">
        <w:trPr>
          <w:trHeight w:val="584"/>
        </w:trPr>
        <w:tc>
          <w:tcPr>
            <w:tcW w:w="1935" w:type="dxa"/>
            <w:shd w:val="clear" w:color="auto" w:fill="F2F2F2" w:themeFill="background1" w:themeFillShade="F2"/>
            <w:vAlign w:val="center"/>
          </w:tcPr>
          <w:p w14:paraId="73A06C71" w14:textId="77777777" w:rsidR="000038BB" w:rsidRPr="00A864A5" w:rsidRDefault="000038BB" w:rsidP="000038BB">
            <w:pPr>
              <w:spacing w:before="60" w:after="60" w:line="240" w:lineRule="auto"/>
              <w:jc w:val="center"/>
              <w:rPr>
                <w:rFonts w:cs="Arial"/>
                <w:b/>
                <w:color w:val="000000"/>
                <w:szCs w:val="22"/>
                <w:lang w:val="en-NZ"/>
              </w:rPr>
            </w:pPr>
            <w:r w:rsidRPr="00A864A5">
              <w:rPr>
                <w:rFonts w:cs="Arial"/>
                <w:b/>
                <w:color w:val="000000"/>
                <w:szCs w:val="22"/>
                <w:lang w:val="en-NZ"/>
              </w:rPr>
              <w:t>Overall assessment</w:t>
            </w:r>
          </w:p>
        </w:tc>
        <w:tc>
          <w:tcPr>
            <w:tcW w:w="6174" w:type="dxa"/>
            <w:shd w:val="clear" w:color="auto" w:fill="auto"/>
            <w:vAlign w:val="center"/>
          </w:tcPr>
          <w:p w14:paraId="6CBBC1A5" w14:textId="28BC9619" w:rsidR="000038BB" w:rsidRDefault="000038BB" w:rsidP="1AAEAAE5">
            <w:pPr>
              <w:pStyle w:val="TableText"/>
              <w:spacing w:line="276" w:lineRule="auto"/>
              <w:jc w:val="center"/>
              <w:rPr>
                <w:rFonts w:cs="Arial"/>
              </w:rPr>
            </w:pPr>
          </w:p>
          <w:p w14:paraId="6C6D2EFF" w14:textId="3D07BBC8" w:rsidR="00157B99" w:rsidRPr="00157B99" w:rsidRDefault="00157B99" w:rsidP="000038BB">
            <w:pPr>
              <w:pStyle w:val="TableText"/>
              <w:spacing w:line="276" w:lineRule="auto"/>
              <w:jc w:val="center"/>
              <w:rPr>
                <w:sz w:val="18"/>
                <w:szCs w:val="20"/>
                <w:lang w:val="en-NZ"/>
              </w:rPr>
            </w:pPr>
          </w:p>
        </w:tc>
        <w:tc>
          <w:tcPr>
            <w:tcW w:w="6379" w:type="dxa"/>
            <w:shd w:val="clear" w:color="auto" w:fill="auto"/>
            <w:vAlign w:val="center"/>
          </w:tcPr>
          <w:p w14:paraId="24BD0E64" w14:textId="6E8C0D8F" w:rsidR="000038BB" w:rsidRPr="00A864A5" w:rsidRDefault="00855010" w:rsidP="000038BB">
            <w:pPr>
              <w:pStyle w:val="TableText"/>
              <w:spacing w:line="276" w:lineRule="auto"/>
              <w:jc w:val="center"/>
              <w:rPr>
                <w:lang w:val="en-NZ"/>
              </w:rPr>
            </w:pPr>
            <w:r w:rsidRPr="00E2423E">
              <w:rPr>
                <w:rFonts w:cs="Arial"/>
                <w:b/>
              </w:rPr>
              <w:t>Preferred option</w:t>
            </w:r>
          </w:p>
        </w:tc>
      </w:tr>
    </w:tbl>
    <w:p w14:paraId="7F44F512" w14:textId="3D843691" w:rsidR="00C930A7" w:rsidRPr="000038BB" w:rsidRDefault="00C930A7" w:rsidP="000038BB">
      <w:pPr>
        <w:pStyle w:val="Heading3"/>
        <w:rPr>
          <w:noProof/>
          <w:lang w:val="en-NZ" w:eastAsia="en-NZ"/>
        </w:rPr>
        <w:sectPr w:rsidR="00C930A7" w:rsidRPr="000038BB" w:rsidSect="00B5612C">
          <w:footerReference w:type="default" r:id="rId23"/>
          <w:pgSz w:w="16838" w:h="11906" w:orient="landscape" w:code="9"/>
          <w:pgMar w:top="1418" w:right="1134" w:bottom="1418" w:left="992" w:header="454" w:footer="454" w:gutter="0"/>
          <w:cols w:space="708"/>
          <w:docGrid w:linePitch="360"/>
        </w:sectPr>
      </w:pPr>
    </w:p>
    <w:p w14:paraId="68E5C326" w14:textId="77777777" w:rsidR="001471F1" w:rsidRPr="006B02FB" w:rsidRDefault="001471F1" w:rsidP="00683153">
      <w:pPr>
        <w:pStyle w:val="Heading3"/>
        <w:spacing w:before="120" w:after="120"/>
        <w:rPr>
          <w:rFonts w:ascii="Arial" w:hAnsi="Arial" w:cs="Arial"/>
          <w:color w:val="auto"/>
          <w:lang w:val="en-NZ"/>
        </w:rPr>
      </w:pPr>
      <w:r>
        <w:rPr>
          <w:rFonts w:ascii="Arial" w:hAnsi="Arial" w:cs="Arial"/>
          <w:color w:val="auto"/>
          <w:lang w:val="en-NZ"/>
        </w:rPr>
        <w:t>Product Requirements</w:t>
      </w:r>
    </w:p>
    <w:p w14:paraId="517C779F" w14:textId="6F72879B" w:rsidR="001471F1" w:rsidRDefault="001471F1" w:rsidP="00683153">
      <w:pPr>
        <w:pStyle w:val="Heading3"/>
        <w:spacing w:before="120" w:after="120"/>
        <w:rPr>
          <w:lang w:val="en-NZ"/>
        </w:rPr>
      </w:pPr>
      <w:r>
        <w:rPr>
          <w:lang w:val="en-NZ"/>
        </w:rPr>
        <w:t>Issue 3 – Testing</w:t>
      </w:r>
      <w:r w:rsidR="001D1E34">
        <w:rPr>
          <w:lang w:val="en-NZ"/>
        </w:rPr>
        <w:t xml:space="preserve"> </w:t>
      </w:r>
      <w:r w:rsidR="496D1B3B" w:rsidRPr="728872F3">
        <w:rPr>
          <w:lang w:val="en-NZ"/>
        </w:rPr>
        <w:t xml:space="preserve">and other product </w:t>
      </w:r>
      <w:r w:rsidR="001D1E34">
        <w:rPr>
          <w:lang w:val="en-NZ"/>
        </w:rPr>
        <w:t>r</w:t>
      </w:r>
      <w:r>
        <w:rPr>
          <w:lang w:val="en-NZ"/>
        </w:rPr>
        <w:t>equirements</w:t>
      </w:r>
      <w:r w:rsidR="005E321F">
        <w:rPr>
          <w:lang w:val="en-NZ"/>
        </w:rPr>
        <w:t xml:space="preserve"> for low nicotine smoked tobacco</w:t>
      </w:r>
    </w:p>
    <w:p w14:paraId="4EA13FA7" w14:textId="70400A27" w:rsidR="003642FC" w:rsidRDefault="005103EB" w:rsidP="00683153">
      <w:pPr>
        <w:spacing w:before="120" w:after="120" w:line="240" w:lineRule="auto"/>
        <w:rPr>
          <w:rFonts w:cs="Arial"/>
        </w:rPr>
      </w:pPr>
      <w:r w:rsidRPr="0036794B">
        <w:rPr>
          <w:rFonts w:cs="Arial"/>
        </w:rPr>
        <w:t xml:space="preserve">The </w:t>
      </w:r>
      <w:r w:rsidR="00E564E5">
        <w:rPr>
          <w:rFonts w:cs="Arial"/>
        </w:rPr>
        <w:t xml:space="preserve">Amendment </w:t>
      </w:r>
      <w:r w:rsidRPr="0036794B">
        <w:rPr>
          <w:rFonts w:cs="Arial"/>
        </w:rPr>
        <w:t xml:space="preserve">Act limits the nicotine in smoked tobacco products to a maximum level and requires that these products are tested in accordance with regulations before granting approval for import, </w:t>
      </w:r>
      <w:proofErr w:type="gramStart"/>
      <w:r w:rsidRPr="0036794B">
        <w:rPr>
          <w:rFonts w:cs="Arial"/>
        </w:rPr>
        <w:t>manufacture</w:t>
      </w:r>
      <w:proofErr w:type="gramEnd"/>
      <w:r w:rsidRPr="0036794B">
        <w:rPr>
          <w:rFonts w:cs="Arial"/>
        </w:rPr>
        <w:t xml:space="preserve"> or sale, and allows for further constituents to be regulated</w:t>
      </w:r>
      <w:r w:rsidR="00EB0CF3">
        <w:rPr>
          <w:rFonts w:cs="Arial"/>
        </w:rPr>
        <w:t>.</w:t>
      </w:r>
      <w:r w:rsidR="00887B1B">
        <w:rPr>
          <w:rFonts w:cs="Arial"/>
        </w:rPr>
        <w:t xml:space="preserve"> </w:t>
      </w:r>
    </w:p>
    <w:p w14:paraId="7738174B" w14:textId="0E7C38F1" w:rsidR="00804504" w:rsidRPr="00947E89" w:rsidRDefault="00887B1B" w:rsidP="00683153">
      <w:pPr>
        <w:spacing w:before="120" w:after="120" w:line="240" w:lineRule="auto"/>
        <w:rPr>
          <w:rFonts w:cs="Arial"/>
        </w:rPr>
      </w:pPr>
      <w:r>
        <w:rPr>
          <w:rFonts w:cs="Arial"/>
        </w:rPr>
        <w:t xml:space="preserve">The Ministry </w:t>
      </w:r>
      <w:r w:rsidR="00F70439">
        <w:rPr>
          <w:rFonts w:cs="Arial"/>
        </w:rPr>
        <w:t>consulted</w:t>
      </w:r>
      <w:r w:rsidR="000D10B7">
        <w:rPr>
          <w:rFonts w:cs="Arial"/>
        </w:rPr>
        <w:t xml:space="preserve"> on </w:t>
      </w:r>
      <w:r w:rsidR="00804504" w:rsidRPr="00804504">
        <w:rPr>
          <w:rFonts w:cs="Arial"/>
        </w:rPr>
        <w:t xml:space="preserve">proposed requirements for testing methods, as well as specific </w:t>
      </w:r>
      <w:r w:rsidR="00804504" w:rsidRPr="00D76BB5">
        <w:rPr>
          <w:rFonts w:cs="Arial"/>
        </w:rPr>
        <w:t xml:space="preserve">information requirements for the granting of product </w:t>
      </w:r>
      <w:r w:rsidR="00804504" w:rsidRPr="00887B1B">
        <w:rPr>
          <w:rFonts w:cs="Arial"/>
        </w:rPr>
        <w:t>approvals a</w:t>
      </w:r>
      <w:r w:rsidR="00804504" w:rsidRPr="00F70439">
        <w:rPr>
          <w:rFonts w:cs="Arial"/>
        </w:rPr>
        <w:t>nd temporary approvals for research/testing purposes or for the import of a niche product.</w:t>
      </w:r>
    </w:p>
    <w:p w14:paraId="23A091C6" w14:textId="77777777" w:rsidR="000C0726" w:rsidRPr="000C0726" w:rsidRDefault="000C0726" w:rsidP="00683153">
      <w:pPr>
        <w:spacing w:before="120" w:after="120" w:line="240" w:lineRule="auto"/>
        <w:textAlignment w:val="baseline"/>
        <w:rPr>
          <w:rFonts w:ascii="Segoe UI" w:hAnsi="Segoe UI" w:cs="Segoe UI"/>
          <w:sz w:val="18"/>
          <w:szCs w:val="18"/>
          <w:lang w:val="en-NZ" w:eastAsia="en-NZ"/>
        </w:rPr>
      </w:pPr>
      <w:r w:rsidRPr="02D6F528">
        <w:rPr>
          <w:rFonts w:cs="Arial"/>
          <w:i/>
          <w:lang w:val="en-NZ" w:eastAsia="en-NZ"/>
        </w:rPr>
        <w:t>Consultation feedback</w:t>
      </w:r>
    </w:p>
    <w:p w14:paraId="38B6C2CE" w14:textId="0747F306" w:rsidR="00976CA5" w:rsidRPr="0058769A" w:rsidRDefault="00217F0B" w:rsidP="00683153">
      <w:pPr>
        <w:spacing w:before="120" w:after="120"/>
        <w:rPr>
          <w:lang w:val="en-NZ"/>
        </w:rPr>
      </w:pPr>
      <w:r>
        <w:t xml:space="preserve">Most submitters did not provide feedback on </w:t>
      </w:r>
      <w:r w:rsidR="00A23A10">
        <w:t>this proposal. Those who did</w:t>
      </w:r>
      <w:r w:rsidR="00482059">
        <w:t xml:space="preserve"> </w:t>
      </w:r>
      <w:r w:rsidR="200AAAFE">
        <w:t xml:space="preserve">broadly </w:t>
      </w:r>
      <w:r w:rsidR="6C782587">
        <w:t xml:space="preserve">supported </w:t>
      </w:r>
      <w:r w:rsidR="00A23A10">
        <w:t>the proposed requirements</w:t>
      </w:r>
      <w:r w:rsidR="001A5461">
        <w:t xml:space="preserve"> and wanted testing </w:t>
      </w:r>
      <w:r w:rsidR="00816F6A">
        <w:t>to</w:t>
      </w:r>
      <w:r w:rsidR="00C67AA8" w:rsidRPr="00B07D44">
        <w:rPr>
          <w:rFonts w:cs="Arial"/>
          <w:lang w:val="en-NZ"/>
        </w:rPr>
        <w:t xml:space="preserve"> be conducted in New Zealand and by independent companies separate to the tobacco industry</w:t>
      </w:r>
      <w:r w:rsidR="59FD1F51">
        <w:t>.</w:t>
      </w:r>
    </w:p>
    <w:p w14:paraId="738BC9AE" w14:textId="11A14078" w:rsidR="00761D85" w:rsidRDefault="00761D85" w:rsidP="00683153">
      <w:pPr>
        <w:spacing w:before="120" w:after="120" w:line="240" w:lineRule="auto"/>
        <w:rPr>
          <w:lang w:val="en-NZ"/>
        </w:rPr>
      </w:pPr>
      <w:r w:rsidRPr="53880789">
        <w:rPr>
          <w:lang w:val="en-NZ"/>
        </w:rPr>
        <w:t xml:space="preserve">Table </w:t>
      </w:r>
      <w:r w:rsidR="005A1BD7">
        <w:rPr>
          <w:lang w:val="en-NZ"/>
        </w:rPr>
        <w:t xml:space="preserve">9 </w:t>
      </w:r>
      <w:r w:rsidRPr="53880789">
        <w:rPr>
          <w:lang w:val="en-NZ"/>
        </w:rPr>
        <w:t>sets out the proposed</w:t>
      </w:r>
      <w:r>
        <w:rPr>
          <w:lang w:val="en-NZ"/>
        </w:rPr>
        <w:t xml:space="preserve"> product requirements</w:t>
      </w:r>
      <w:r w:rsidRPr="53880789">
        <w:rPr>
          <w:lang w:val="en-NZ"/>
        </w:rPr>
        <w:t xml:space="preserve">, noting changes made following consultation. </w:t>
      </w:r>
    </w:p>
    <w:p w14:paraId="5A80D786" w14:textId="7A05AE1B" w:rsidR="780E9A6C" w:rsidRDefault="381948CC" w:rsidP="00E248B1">
      <w:pPr>
        <w:spacing w:after="60"/>
        <w:rPr>
          <w:b/>
          <w:bCs/>
          <w:sz w:val="18"/>
          <w:szCs w:val="18"/>
          <w:lang w:val="en-NZ"/>
        </w:rPr>
      </w:pPr>
      <w:r w:rsidRPr="3C4E5589">
        <w:rPr>
          <w:b/>
          <w:bCs/>
          <w:sz w:val="20"/>
          <w:lang w:val="en-NZ"/>
        </w:rPr>
        <w:t xml:space="preserve">Table </w:t>
      </w:r>
      <w:r w:rsidR="008B7786">
        <w:rPr>
          <w:b/>
          <w:bCs/>
          <w:sz w:val="20"/>
          <w:lang w:val="en-NZ"/>
        </w:rPr>
        <w:t>9</w:t>
      </w:r>
      <w:r w:rsidR="638473EE" w:rsidRPr="3C4E5589">
        <w:rPr>
          <w:b/>
          <w:bCs/>
          <w:sz w:val="20"/>
          <w:lang w:val="en-NZ"/>
        </w:rPr>
        <w:t>:</w:t>
      </w:r>
      <w:r w:rsidR="233A3F3E" w:rsidRPr="3C4E5589">
        <w:rPr>
          <w:b/>
          <w:bCs/>
          <w:sz w:val="20"/>
          <w:lang w:val="en-NZ"/>
        </w:rPr>
        <w:t xml:space="preserve"> Proposed product </w:t>
      </w:r>
      <w:r w:rsidR="60338784" w:rsidRPr="3C4E5589">
        <w:rPr>
          <w:b/>
          <w:bCs/>
          <w:sz w:val="20"/>
          <w:lang w:val="en-NZ"/>
        </w:rPr>
        <w:t>requirements</w:t>
      </w:r>
    </w:p>
    <w:tbl>
      <w:tblPr>
        <w:tblStyle w:val="TableGrid"/>
        <w:tblW w:w="9031" w:type="dxa"/>
        <w:tblInd w:w="142" w:type="dxa"/>
        <w:tblLayout w:type="fixed"/>
        <w:tblLook w:val="06A0" w:firstRow="1" w:lastRow="0" w:firstColumn="1" w:lastColumn="0" w:noHBand="1" w:noVBand="1"/>
      </w:tblPr>
      <w:tblGrid>
        <w:gridCol w:w="1298"/>
        <w:gridCol w:w="5505"/>
        <w:gridCol w:w="2228"/>
      </w:tblGrid>
      <w:tr w:rsidR="1B502AF9" w14:paraId="126B6162" w14:textId="77777777" w:rsidTr="00F203B5">
        <w:trPr>
          <w:trHeight w:val="300"/>
        </w:trPr>
        <w:tc>
          <w:tcPr>
            <w:tcW w:w="1298" w:type="dxa"/>
            <w:tcBorders>
              <w:top w:val="nil"/>
              <w:left w:val="nil"/>
              <w:bottom w:val="nil"/>
              <w:right w:val="nil"/>
            </w:tcBorders>
            <w:shd w:val="clear" w:color="auto" w:fill="D9D9D9" w:themeFill="background1" w:themeFillShade="D9"/>
            <w:tcMar>
              <w:left w:w="108" w:type="dxa"/>
              <w:right w:w="108" w:type="dxa"/>
            </w:tcMar>
          </w:tcPr>
          <w:p w14:paraId="4C8CBA09" w14:textId="75CBD82E" w:rsidR="1B502AF9" w:rsidRDefault="1B502AF9" w:rsidP="00C544FE">
            <w:pPr>
              <w:spacing w:before="60" w:after="60" w:line="240" w:lineRule="auto"/>
              <w:rPr>
                <w:rFonts w:eastAsia="Arial" w:cs="Arial"/>
                <w:b/>
                <w:bCs/>
                <w:sz w:val="18"/>
                <w:szCs w:val="18"/>
              </w:rPr>
            </w:pPr>
            <w:r w:rsidRPr="1B502AF9">
              <w:rPr>
                <w:rFonts w:eastAsia="Arial" w:cs="Arial"/>
                <w:b/>
                <w:bCs/>
                <w:sz w:val="18"/>
                <w:szCs w:val="18"/>
              </w:rPr>
              <w:t>Product requirement</w:t>
            </w:r>
          </w:p>
        </w:tc>
        <w:tc>
          <w:tcPr>
            <w:tcW w:w="5505" w:type="dxa"/>
            <w:tcBorders>
              <w:top w:val="nil"/>
              <w:left w:val="nil"/>
              <w:bottom w:val="nil"/>
              <w:right w:val="single" w:sz="8" w:space="0" w:color="A6A6A6" w:themeColor="background1" w:themeShade="A6"/>
            </w:tcBorders>
            <w:shd w:val="clear" w:color="auto" w:fill="D9D9D9" w:themeFill="background1" w:themeFillShade="D9"/>
            <w:tcMar>
              <w:left w:w="108" w:type="dxa"/>
              <w:right w:w="108" w:type="dxa"/>
            </w:tcMar>
          </w:tcPr>
          <w:p w14:paraId="0B2E871E" w14:textId="3059E0A3" w:rsidR="1B502AF9" w:rsidRDefault="1B502AF9" w:rsidP="00C544FE">
            <w:pPr>
              <w:spacing w:before="60" w:after="60"/>
              <w:rPr>
                <w:rFonts w:eastAsia="Arial" w:cs="Arial"/>
                <w:b/>
                <w:bCs/>
                <w:color w:val="000000" w:themeColor="text1"/>
                <w:sz w:val="18"/>
                <w:szCs w:val="18"/>
              </w:rPr>
            </w:pPr>
            <w:r w:rsidRPr="1B502AF9">
              <w:rPr>
                <w:rFonts w:eastAsia="Arial" w:cs="Arial"/>
                <w:b/>
                <w:bCs/>
                <w:color w:val="000000" w:themeColor="text1"/>
                <w:sz w:val="18"/>
                <w:szCs w:val="18"/>
              </w:rPr>
              <w:t>Description</w:t>
            </w:r>
          </w:p>
        </w:tc>
        <w:tc>
          <w:tcPr>
            <w:tcW w:w="2228" w:type="dxa"/>
            <w:tcBorders>
              <w:top w:val="nil"/>
              <w:left w:val="single" w:sz="8" w:space="0" w:color="A6A6A6" w:themeColor="background1" w:themeShade="A6"/>
              <w:bottom w:val="nil"/>
              <w:right w:val="nil"/>
            </w:tcBorders>
            <w:shd w:val="clear" w:color="auto" w:fill="D9D9D9" w:themeFill="background1" w:themeFillShade="D9"/>
            <w:tcMar>
              <w:left w:w="108" w:type="dxa"/>
              <w:right w:w="108" w:type="dxa"/>
            </w:tcMar>
          </w:tcPr>
          <w:p w14:paraId="6AD323F3" w14:textId="604DD05C" w:rsidR="1B502AF9" w:rsidRDefault="1B502AF9" w:rsidP="00C544FE">
            <w:pPr>
              <w:spacing w:before="60" w:after="60" w:line="240" w:lineRule="auto"/>
              <w:jc w:val="left"/>
              <w:rPr>
                <w:rFonts w:eastAsia="Arial" w:cs="Arial"/>
                <w:b/>
                <w:bCs/>
                <w:color w:val="000000" w:themeColor="text1"/>
                <w:sz w:val="18"/>
                <w:szCs w:val="18"/>
              </w:rPr>
            </w:pPr>
            <w:r w:rsidRPr="1B502AF9">
              <w:rPr>
                <w:rFonts w:eastAsia="Arial" w:cs="Arial"/>
                <w:b/>
                <w:bCs/>
                <w:color w:val="000000" w:themeColor="text1"/>
                <w:sz w:val="18"/>
                <w:szCs w:val="18"/>
              </w:rPr>
              <w:t>Updates following consultation</w:t>
            </w:r>
          </w:p>
        </w:tc>
      </w:tr>
      <w:tr w:rsidR="1B502AF9" w14:paraId="187B876A" w14:textId="77777777" w:rsidTr="00F203B5">
        <w:trPr>
          <w:trHeight w:val="300"/>
        </w:trPr>
        <w:tc>
          <w:tcPr>
            <w:tcW w:w="1298" w:type="dxa"/>
            <w:tcBorders>
              <w:top w:val="nil"/>
              <w:left w:val="nil"/>
              <w:bottom w:val="single" w:sz="8" w:space="0" w:color="A6A6A6" w:themeColor="background1" w:themeShade="A6"/>
              <w:right w:val="single" w:sz="8" w:space="0" w:color="A6A6A6" w:themeColor="background1" w:themeShade="A6"/>
            </w:tcBorders>
            <w:tcMar>
              <w:left w:w="108" w:type="dxa"/>
              <w:right w:w="108" w:type="dxa"/>
            </w:tcMar>
          </w:tcPr>
          <w:p w14:paraId="7C0D635A" w14:textId="01475A4E"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Constituents of smoked tobacco products</w:t>
            </w:r>
          </w:p>
          <w:p w14:paraId="114B85F8" w14:textId="0511D132"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 xml:space="preserve"> </w:t>
            </w:r>
          </w:p>
        </w:tc>
        <w:tc>
          <w:tcPr>
            <w:tcW w:w="5505"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tcPr>
          <w:p w14:paraId="2D324B89" w14:textId="20D7C855"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Smoked tobacco products must not include any synthetic or naturally occurring chemicals or ingredients that are structurally analogous or have functional similarity to nicotine/synthetic nicotine.</w:t>
            </w:r>
          </w:p>
          <w:p w14:paraId="013422F0" w14:textId="5FE136BE" w:rsidR="1B502AF9" w:rsidRDefault="3589668A" w:rsidP="009F3B1D">
            <w:pPr>
              <w:spacing w:before="60" w:after="60" w:line="240" w:lineRule="auto"/>
              <w:jc w:val="left"/>
              <w:rPr>
                <w:rFonts w:eastAsia="Arial" w:cs="Arial"/>
                <w:sz w:val="18"/>
                <w:szCs w:val="18"/>
              </w:rPr>
            </w:pPr>
            <w:r w:rsidRPr="3C4E5589">
              <w:rPr>
                <w:rFonts w:eastAsia="Arial" w:cs="Arial"/>
                <w:sz w:val="18"/>
                <w:szCs w:val="18"/>
              </w:rPr>
              <w:t>All parts of a smoked tobacco product other than tobacco leaf or filler should not contain nicotine, or any other</w:t>
            </w:r>
            <w:r w:rsidR="5DF0F818" w:rsidRPr="3C4E5589">
              <w:rPr>
                <w:rFonts w:eastAsia="Arial" w:cs="Arial"/>
                <w:sz w:val="18"/>
                <w:szCs w:val="18"/>
              </w:rPr>
              <w:t xml:space="preserve"> substances, including</w:t>
            </w:r>
            <w:r w:rsidRPr="3C4E5589">
              <w:rPr>
                <w:rFonts w:eastAsia="Arial" w:cs="Arial"/>
                <w:sz w:val="18"/>
                <w:szCs w:val="18"/>
              </w:rPr>
              <w:t xml:space="preserve"> psychoactive substances that could maintain addictiveness.   </w:t>
            </w:r>
          </w:p>
          <w:p w14:paraId="3C4FB87D" w14:textId="32516E11"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Current regulation 32(2) is revoked</w:t>
            </w:r>
            <w:r w:rsidR="00F203B5">
              <w:rPr>
                <w:rFonts w:eastAsia="Arial" w:cs="Arial"/>
                <w:sz w:val="18"/>
                <w:szCs w:val="18"/>
              </w:rPr>
              <w:t xml:space="preserve"> </w:t>
            </w:r>
            <w:r w:rsidRPr="1B502AF9">
              <w:rPr>
                <w:rFonts w:eastAsia="Arial" w:cs="Arial"/>
                <w:sz w:val="18"/>
                <w:szCs w:val="18"/>
              </w:rPr>
              <w:t>and replaced by new requirements that tobacco should smell of only manufactured tobacco or menthol.</w:t>
            </w:r>
          </w:p>
        </w:tc>
        <w:tc>
          <w:tcPr>
            <w:tcW w:w="2228" w:type="dxa"/>
            <w:tcBorders>
              <w:top w:val="nil"/>
              <w:left w:val="single" w:sz="8" w:space="0" w:color="A6A6A6" w:themeColor="background1" w:themeShade="A6"/>
              <w:bottom w:val="single" w:sz="8" w:space="0" w:color="A6A6A6" w:themeColor="background1" w:themeShade="A6"/>
              <w:right w:val="nil"/>
            </w:tcBorders>
            <w:tcMar>
              <w:left w:w="108" w:type="dxa"/>
              <w:right w:w="108" w:type="dxa"/>
            </w:tcMar>
          </w:tcPr>
          <w:p w14:paraId="639A933F" w14:textId="52F46151" w:rsidR="1B502AF9" w:rsidRDefault="1B502AF9" w:rsidP="00744CDF">
            <w:pPr>
              <w:spacing w:before="60" w:after="60" w:line="240" w:lineRule="auto"/>
              <w:jc w:val="left"/>
              <w:rPr>
                <w:rFonts w:eastAsia="Arial" w:cs="Arial"/>
                <w:i/>
                <w:iCs/>
                <w:sz w:val="18"/>
                <w:szCs w:val="18"/>
              </w:rPr>
            </w:pPr>
            <w:r w:rsidRPr="1B502AF9">
              <w:rPr>
                <w:rFonts w:eastAsia="Arial" w:cs="Arial"/>
                <w:i/>
                <w:iCs/>
                <w:sz w:val="18"/>
                <w:szCs w:val="18"/>
              </w:rPr>
              <w:t>No changes have been made.</w:t>
            </w:r>
          </w:p>
          <w:p w14:paraId="4C91EDB7" w14:textId="4CDD4A95" w:rsidR="1B502AF9" w:rsidRDefault="3589668A" w:rsidP="00744CDF">
            <w:pPr>
              <w:spacing w:before="60" w:after="60" w:line="240" w:lineRule="auto"/>
              <w:jc w:val="left"/>
              <w:rPr>
                <w:rFonts w:eastAsia="Arial" w:cs="Arial"/>
                <w:i/>
                <w:iCs/>
                <w:sz w:val="18"/>
                <w:szCs w:val="18"/>
              </w:rPr>
            </w:pPr>
            <w:r w:rsidRPr="3C4E5589">
              <w:rPr>
                <w:rFonts w:eastAsia="Arial" w:cs="Arial"/>
                <w:i/>
                <w:iCs/>
                <w:sz w:val="18"/>
                <w:szCs w:val="18"/>
              </w:rPr>
              <w:t xml:space="preserve">The Minister’s requirement to consider the risks and benefits to Māori of </w:t>
            </w:r>
            <w:r w:rsidRPr="3C4E5589">
              <w:rPr>
                <w:rFonts w:eastAsia="Arial" w:cs="Arial"/>
                <w:i/>
                <w:iCs/>
                <w:color w:val="000000" w:themeColor="text1"/>
                <w:sz w:val="18"/>
                <w:szCs w:val="18"/>
              </w:rPr>
              <w:t>regulating a constituent</w:t>
            </w:r>
            <w:r w:rsidRPr="3C4E5589">
              <w:rPr>
                <w:rFonts w:eastAsia="Arial" w:cs="Arial"/>
                <w:i/>
                <w:iCs/>
                <w:sz w:val="18"/>
                <w:szCs w:val="18"/>
              </w:rPr>
              <w:t xml:space="preserve"> as required under the Act are met by these requirements which are designed to ensure that the reduction of addictiveness </w:t>
            </w:r>
            <w:r w:rsidR="6AA1DEF2" w:rsidRPr="3C4E5589">
              <w:rPr>
                <w:rFonts w:eastAsia="Arial" w:cs="Arial"/>
                <w:i/>
                <w:iCs/>
                <w:sz w:val="18"/>
                <w:szCs w:val="18"/>
              </w:rPr>
              <w:t xml:space="preserve">is </w:t>
            </w:r>
            <w:r w:rsidRPr="3C4E5589">
              <w:rPr>
                <w:rFonts w:eastAsia="Arial" w:cs="Arial"/>
                <w:i/>
                <w:iCs/>
                <w:sz w:val="18"/>
                <w:szCs w:val="18"/>
              </w:rPr>
              <w:t>not circumvented by changes to product design.</w:t>
            </w:r>
          </w:p>
        </w:tc>
      </w:tr>
      <w:tr w:rsidR="1B502AF9" w14:paraId="09A9A308" w14:textId="77777777" w:rsidTr="00F203B5">
        <w:trPr>
          <w:trHeight w:val="300"/>
        </w:trPr>
        <w:tc>
          <w:tcPr>
            <w:tcW w:w="1298" w:type="dxa"/>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tcMar>
              <w:left w:w="108" w:type="dxa"/>
              <w:right w:w="108" w:type="dxa"/>
            </w:tcMar>
          </w:tcPr>
          <w:p w14:paraId="110A42B7" w14:textId="63C0EE3F"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Testing methods</w:t>
            </w:r>
          </w:p>
          <w:p w14:paraId="3FCB29F0" w14:textId="5C72EAFB"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 xml:space="preserve"> </w:t>
            </w:r>
          </w:p>
        </w:tc>
        <w:tc>
          <w:tcPr>
            <w:tcW w:w="550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tcPr>
          <w:p w14:paraId="498BD148" w14:textId="05CA7564"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An importer/manufacturer must use an analytical method, as set out below, to determine nicotine levels in smoked tobacco products</w:t>
            </w:r>
            <w:r w:rsidR="4FBABAE0" w:rsidRPr="1B502AF9">
              <w:rPr>
                <w:rFonts w:eastAsia="Arial" w:cs="Arial"/>
                <w:sz w:val="18"/>
                <w:szCs w:val="18"/>
              </w:rPr>
              <w:t>:</w:t>
            </w:r>
          </w:p>
          <w:p w14:paraId="21D7D493" w14:textId="6AEEE5F0"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Tests should be carried out in a suitable laboratory that is accredited to the most recent version of ISO/IEC 17025 and be independent from the manufacturer or importer of the smoked tobacco product</w:t>
            </w:r>
            <w:r w:rsidR="2CE32B70" w:rsidRPr="1B502AF9">
              <w:rPr>
                <w:rFonts w:eastAsia="Arial" w:cs="Arial"/>
                <w:sz w:val="18"/>
                <w:szCs w:val="18"/>
              </w:rPr>
              <w:t>.</w:t>
            </w:r>
            <w:r w:rsidR="005A2C7A">
              <w:rPr>
                <w:rFonts w:eastAsia="Arial" w:cs="Arial"/>
                <w:sz w:val="18"/>
                <w:szCs w:val="18"/>
              </w:rPr>
              <w:t xml:space="preserve"> </w:t>
            </w:r>
          </w:p>
          <w:p w14:paraId="6AA9C935" w14:textId="016EC147"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Tests should be carried out:</w:t>
            </w:r>
          </w:p>
          <w:p w14:paraId="60E488EE" w14:textId="6A8052D6" w:rsidR="1B502AF9" w:rsidRDefault="1B502AF9" w:rsidP="009F3B1D">
            <w:pPr>
              <w:pStyle w:val="ListParagraph"/>
              <w:numPr>
                <w:ilvl w:val="0"/>
                <w:numId w:val="12"/>
              </w:numPr>
              <w:spacing w:before="60" w:after="60" w:line="240" w:lineRule="auto"/>
              <w:jc w:val="left"/>
              <w:rPr>
                <w:szCs w:val="22"/>
              </w:rPr>
            </w:pPr>
            <w:r w:rsidRPr="1B502AF9">
              <w:rPr>
                <w:rFonts w:eastAsia="Arial" w:cs="Arial"/>
                <w:sz w:val="18"/>
                <w:szCs w:val="18"/>
              </w:rPr>
              <w:t xml:space="preserve">using an appropriate chromatography-based analytical test method [that uses/such as] a gas chromatographic method with flame ionisation detection, which is demonstrated as suitable to test the nicotine content of the product </w:t>
            </w:r>
            <w:r w:rsidR="2342F844" w:rsidRPr="1B502AF9">
              <w:rPr>
                <w:rFonts w:eastAsia="Arial" w:cs="Arial"/>
                <w:sz w:val="18"/>
                <w:szCs w:val="18"/>
              </w:rPr>
              <w:t>(</w:t>
            </w:r>
            <w:r w:rsidRPr="1B502AF9">
              <w:rPr>
                <w:rFonts w:eastAsia="Arial" w:cs="Arial"/>
                <w:sz w:val="18"/>
                <w:szCs w:val="18"/>
              </w:rPr>
              <w:t>and any constituents</w:t>
            </w:r>
            <w:r w:rsidR="1818DAE4" w:rsidRPr="1B502AF9">
              <w:rPr>
                <w:rFonts w:eastAsia="Arial" w:cs="Arial"/>
                <w:sz w:val="18"/>
                <w:szCs w:val="18"/>
              </w:rPr>
              <w:t>)</w:t>
            </w:r>
          </w:p>
          <w:p w14:paraId="651F98B1" w14:textId="3C0543FD" w:rsidR="1B502AF9" w:rsidRDefault="1B502AF9" w:rsidP="009F3B1D">
            <w:pPr>
              <w:pStyle w:val="ListParagraph"/>
              <w:numPr>
                <w:ilvl w:val="0"/>
                <w:numId w:val="12"/>
              </w:numPr>
              <w:spacing w:before="60" w:after="60" w:line="240" w:lineRule="auto"/>
              <w:jc w:val="left"/>
              <w:rPr>
                <w:szCs w:val="22"/>
              </w:rPr>
            </w:pPr>
            <w:r w:rsidRPr="1B502AF9">
              <w:rPr>
                <w:rFonts w:eastAsia="Arial" w:cs="Arial"/>
                <w:sz w:val="18"/>
                <w:szCs w:val="18"/>
              </w:rPr>
              <w:t>using appropriate instrumentation for the method selected, and in appropriate laboratory conditions</w:t>
            </w:r>
          </w:p>
          <w:p w14:paraId="0B97911C" w14:textId="18486FB9" w:rsidR="1B502AF9" w:rsidRDefault="1B502AF9" w:rsidP="009F3B1D">
            <w:pPr>
              <w:pStyle w:val="ListParagraph"/>
              <w:numPr>
                <w:ilvl w:val="0"/>
                <w:numId w:val="12"/>
              </w:numPr>
              <w:spacing w:before="60" w:after="60" w:line="240" w:lineRule="auto"/>
              <w:jc w:val="left"/>
              <w:rPr>
                <w:szCs w:val="22"/>
              </w:rPr>
            </w:pPr>
            <w:r w:rsidRPr="1B502AF9">
              <w:rPr>
                <w:rFonts w:eastAsia="Arial" w:cs="Arial"/>
                <w:sz w:val="18"/>
                <w:szCs w:val="18"/>
              </w:rPr>
              <w:t>using a method which has been shown to be appropriately validated at the accredited laboratory</w:t>
            </w:r>
            <w:r w:rsidR="00F6421E">
              <w:rPr>
                <w:rFonts w:eastAsia="Arial" w:cs="Arial"/>
                <w:sz w:val="18"/>
                <w:szCs w:val="18"/>
              </w:rPr>
              <w:t xml:space="preserve"> </w:t>
            </w:r>
            <w:r w:rsidR="00F6421E">
              <w:rPr>
                <w:sz w:val="18"/>
                <w:szCs w:val="18"/>
              </w:rPr>
              <w:t>(</w:t>
            </w:r>
            <w:r w:rsidR="00F6421E" w:rsidRPr="003A15A5">
              <w:rPr>
                <w:sz w:val="18"/>
                <w:szCs w:val="18"/>
              </w:rPr>
              <w:t>including</w:t>
            </w:r>
            <w:r w:rsidR="00F6421E" w:rsidRPr="00845528">
              <w:rPr>
                <w:sz w:val="18"/>
                <w:szCs w:val="18"/>
              </w:rPr>
              <w:t xml:space="preserve"> for</w:t>
            </w:r>
            <w:r w:rsidR="00F6421E" w:rsidRPr="003A15A5">
              <w:rPr>
                <w:sz w:val="18"/>
                <w:szCs w:val="18"/>
              </w:rPr>
              <w:t xml:space="preserve"> </w:t>
            </w:r>
            <w:r w:rsidR="00F6421E">
              <w:rPr>
                <w:sz w:val="18"/>
                <w:szCs w:val="18"/>
              </w:rPr>
              <w:t xml:space="preserve">accuracy, </w:t>
            </w:r>
            <w:proofErr w:type="gramStart"/>
            <w:r w:rsidR="00F6421E">
              <w:rPr>
                <w:sz w:val="18"/>
                <w:szCs w:val="18"/>
              </w:rPr>
              <w:t>precision</w:t>
            </w:r>
            <w:proofErr w:type="gramEnd"/>
            <w:r w:rsidR="00F6421E">
              <w:rPr>
                <w:sz w:val="18"/>
                <w:szCs w:val="18"/>
              </w:rPr>
              <w:t xml:space="preserve"> and certainty of measurement)</w:t>
            </w:r>
            <w:r w:rsidR="7F6EA8E8" w:rsidRPr="1B502AF9">
              <w:rPr>
                <w:rFonts w:eastAsia="Arial" w:cs="Arial"/>
                <w:sz w:val="18"/>
                <w:szCs w:val="18"/>
              </w:rPr>
              <w:t>.</w:t>
            </w:r>
          </w:p>
          <w:p w14:paraId="445E997A" w14:textId="56A84814"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 xml:space="preserve">A manufacturer or importer must submit full details of their proposed test methodology to the Director-General for review, including evidence of its validity and the accreditation of the laboratory where the testing took place.  </w:t>
            </w:r>
          </w:p>
          <w:p w14:paraId="10196879" w14:textId="0D2BF2F5"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An appropriate test method or methods may be published on Manatū Hauora’s website.</w:t>
            </w:r>
          </w:p>
          <w:p w14:paraId="7BCC85CA" w14:textId="585434C3"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Testing regimes must ensure that each individual product will be compliant, including all sources of variability. A</w:t>
            </w:r>
            <w:r w:rsidRPr="1B502AF9">
              <w:rPr>
                <w:rFonts w:eastAsia="Arial" w:cs="Arial"/>
                <w:color w:val="333333"/>
                <w:sz w:val="18"/>
                <w:szCs w:val="18"/>
              </w:rPr>
              <w:t xml:space="preserve"> manufacturer should test a range of samples, and account for any variance in products when setting out their testing methodology. This methodology shall be submitted as part of their product application process.</w:t>
            </w:r>
          </w:p>
          <w:p w14:paraId="5594200D" w14:textId="476FA3B5" w:rsidR="1B502AF9" w:rsidRDefault="1B502AF9" w:rsidP="009F3B1D">
            <w:pPr>
              <w:spacing w:before="60" w:after="60" w:line="240" w:lineRule="auto"/>
              <w:jc w:val="left"/>
              <w:rPr>
                <w:rFonts w:eastAsia="Arial" w:cs="Arial"/>
                <w:color w:val="000000" w:themeColor="text1"/>
                <w:sz w:val="18"/>
                <w:szCs w:val="18"/>
              </w:rPr>
            </w:pPr>
            <w:r w:rsidRPr="1B502AF9">
              <w:rPr>
                <w:rFonts w:eastAsia="Arial" w:cs="Arial"/>
                <w:color w:val="000000" w:themeColor="text1"/>
                <w:sz w:val="18"/>
                <w:szCs w:val="18"/>
              </w:rPr>
              <w:t>Remove existing requirements of current regulation 63, requiring testing for nicotine emissions, carbon monoxide and tar</w:t>
            </w:r>
            <w:r w:rsidR="28103958" w:rsidRPr="1B502AF9">
              <w:rPr>
                <w:rFonts w:eastAsia="Arial" w:cs="Arial"/>
                <w:color w:val="000000" w:themeColor="text1"/>
                <w:sz w:val="18"/>
                <w:szCs w:val="18"/>
              </w:rPr>
              <w:t>.</w:t>
            </w:r>
          </w:p>
        </w:tc>
        <w:tc>
          <w:tcPr>
            <w:tcW w:w="2228" w:type="dxa"/>
            <w:tcBorders>
              <w:top w:val="single" w:sz="8" w:space="0" w:color="A6A6A6" w:themeColor="background1" w:themeShade="A6"/>
              <w:left w:val="single" w:sz="8" w:space="0" w:color="A6A6A6" w:themeColor="background1" w:themeShade="A6"/>
              <w:bottom w:val="single" w:sz="8" w:space="0" w:color="A6A6A6" w:themeColor="background1" w:themeShade="A6"/>
              <w:right w:val="nil"/>
            </w:tcBorders>
            <w:tcMar>
              <w:left w:w="108" w:type="dxa"/>
              <w:right w:w="108" w:type="dxa"/>
            </w:tcMar>
          </w:tcPr>
          <w:p w14:paraId="27587241" w14:textId="71770AA5" w:rsidR="1B502AF9" w:rsidRDefault="1B502AF9" w:rsidP="00744CDF">
            <w:pPr>
              <w:spacing w:before="60" w:after="60" w:line="240" w:lineRule="auto"/>
              <w:jc w:val="left"/>
              <w:rPr>
                <w:rFonts w:eastAsia="Arial" w:cs="Arial"/>
                <w:i/>
                <w:iCs/>
                <w:sz w:val="18"/>
                <w:szCs w:val="18"/>
              </w:rPr>
            </w:pPr>
            <w:r w:rsidRPr="1B502AF9">
              <w:rPr>
                <w:rFonts w:eastAsia="Arial" w:cs="Arial"/>
                <w:i/>
                <w:iCs/>
                <w:sz w:val="18"/>
                <w:szCs w:val="18"/>
              </w:rPr>
              <w:t xml:space="preserve">These proposals have been refined to allow some variation in the method used </w:t>
            </w:r>
            <w:proofErr w:type="gramStart"/>
            <w:r w:rsidRPr="1B502AF9">
              <w:rPr>
                <w:rFonts w:eastAsia="Arial" w:cs="Arial"/>
                <w:i/>
                <w:iCs/>
                <w:sz w:val="18"/>
                <w:szCs w:val="18"/>
              </w:rPr>
              <w:t>as long as</w:t>
            </w:r>
            <w:proofErr w:type="gramEnd"/>
            <w:r w:rsidRPr="1B502AF9">
              <w:rPr>
                <w:rFonts w:eastAsia="Arial" w:cs="Arial"/>
                <w:i/>
                <w:iCs/>
                <w:sz w:val="18"/>
                <w:szCs w:val="18"/>
              </w:rPr>
              <w:t xml:space="preserve"> it is a gas chromatography based, chemical analytical method, that has been submitted for review. Some manufacturers continued to push for the inclusion of ISO emissions testing however this has been removed to ensure no confusion in future.</w:t>
            </w:r>
          </w:p>
        </w:tc>
      </w:tr>
      <w:tr w:rsidR="1B502AF9" w14:paraId="10451804" w14:textId="77777777" w:rsidTr="00F203B5">
        <w:trPr>
          <w:trHeight w:val="300"/>
        </w:trPr>
        <w:tc>
          <w:tcPr>
            <w:tcW w:w="1298" w:type="dxa"/>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tcMar>
              <w:left w:w="108" w:type="dxa"/>
              <w:right w:w="108" w:type="dxa"/>
            </w:tcMar>
          </w:tcPr>
          <w:p w14:paraId="3360851B" w14:textId="125E5AEC"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Product approval</w:t>
            </w:r>
            <w:r w:rsidR="00F73E91">
              <w:rPr>
                <w:rFonts w:eastAsia="Arial" w:cs="Arial"/>
                <w:sz w:val="18"/>
                <w:szCs w:val="18"/>
              </w:rPr>
              <w:t xml:space="preserve"> </w:t>
            </w:r>
            <w:r w:rsidRPr="1B502AF9">
              <w:rPr>
                <w:rFonts w:eastAsia="Arial" w:cs="Arial"/>
                <w:sz w:val="18"/>
                <w:szCs w:val="18"/>
              </w:rPr>
              <w:t>/</w:t>
            </w:r>
            <w:r w:rsidR="00F73E91">
              <w:rPr>
                <w:rFonts w:eastAsia="Arial" w:cs="Arial"/>
                <w:sz w:val="18"/>
                <w:szCs w:val="18"/>
              </w:rPr>
              <w:t xml:space="preserve"> </w:t>
            </w:r>
            <w:r w:rsidRPr="1B502AF9">
              <w:rPr>
                <w:rFonts w:eastAsia="Arial" w:cs="Arial"/>
                <w:sz w:val="18"/>
                <w:szCs w:val="18"/>
              </w:rPr>
              <w:t>application process (for each brand and variant)</w:t>
            </w:r>
          </w:p>
          <w:p w14:paraId="0BEA1567" w14:textId="121694A9"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 xml:space="preserve"> </w:t>
            </w:r>
          </w:p>
        </w:tc>
        <w:tc>
          <w:tcPr>
            <w:tcW w:w="550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tcPr>
          <w:p w14:paraId="06440978" w14:textId="5F91CDA8"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An importer/manufacturer must provide the following as part of their approval application:</w:t>
            </w:r>
          </w:p>
          <w:p w14:paraId="72B3625D" w14:textId="39741540" w:rsidR="1B502AF9" w:rsidRDefault="1B502AF9" w:rsidP="009F3B1D">
            <w:pPr>
              <w:pStyle w:val="ListParagraph"/>
              <w:numPr>
                <w:ilvl w:val="0"/>
                <w:numId w:val="13"/>
              </w:numPr>
              <w:spacing w:before="60" w:after="60" w:line="240" w:lineRule="auto"/>
              <w:jc w:val="left"/>
              <w:rPr>
                <w:szCs w:val="22"/>
              </w:rPr>
            </w:pPr>
            <w:r w:rsidRPr="1B502AF9">
              <w:rPr>
                <w:rFonts w:eastAsia="Arial" w:cs="Arial"/>
                <w:sz w:val="18"/>
                <w:szCs w:val="18"/>
              </w:rPr>
              <w:t xml:space="preserve">a description of the product type, brand, </w:t>
            </w:r>
            <w:proofErr w:type="gramStart"/>
            <w:r w:rsidRPr="1B502AF9">
              <w:rPr>
                <w:rFonts w:eastAsia="Arial" w:cs="Arial"/>
                <w:sz w:val="18"/>
                <w:szCs w:val="18"/>
              </w:rPr>
              <w:t>variant</w:t>
            </w:r>
            <w:proofErr w:type="gramEnd"/>
            <w:r w:rsidRPr="1B502AF9">
              <w:rPr>
                <w:rFonts w:eastAsia="Arial" w:cs="Arial"/>
                <w:sz w:val="18"/>
                <w:szCs w:val="18"/>
              </w:rPr>
              <w:t xml:space="preserve"> and unique product code (eg, EAN or UPC number) </w:t>
            </w:r>
          </w:p>
          <w:p w14:paraId="557C24A0" w14:textId="34CC4F19" w:rsidR="1B502AF9" w:rsidRDefault="1B502AF9" w:rsidP="009F3B1D">
            <w:pPr>
              <w:pStyle w:val="ListParagraph"/>
              <w:numPr>
                <w:ilvl w:val="0"/>
                <w:numId w:val="13"/>
              </w:numPr>
              <w:spacing w:before="60" w:after="60" w:line="240" w:lineRule="auto"/>
              <w:jc w:val="left"/>
              <w:rPr>
                <w:szCs w:val="22"/>
              </w:rPr>
            </w:pPr>
            <w:r w:rsidRPr="1B502AF9">
              <w:rPr>
                <w:rFonts w:eastAsia="Arial" w:cs="Arial"/>
                <w:sz w:val="18"/>
                <w:szCs w:val="18"/>
              </w:rPr>
              <w:t>a summary of test results for nicotine content of the tobacco and any other constituents required, for at least 3 batches of full</w:t>
            </w:r>
            <w:r w:rsidR="40C9C3B7" w:rsidRPr="1B502AF9">
              <w:rPr>
                <w:rFonts w:eastAsia="Arial" w:cs="Arial"/>
                <w:sz w:val="18"/>
                <w:szCs w:val="18"/>
              </w:rPr>
              <w:t>-</w:t>
            </w:r>
            <w:r w:rsidRPr="1B502AF9">
              <w:rPr>
                <w:rFonts w:eastAsia="Arial" w:cs="Arial"/>
                <w:sz w:val="18"/>
                <w:szCs w:val="18"/>
              </w:rPr>
              <w:t xml:space="preserve">scale manufactured product </w:t>
            </w:r>
          </w:p>
          <w:p w14:paraId="1ECFEFD3" w14:textId="2CAAB116" w:rsidR="1B502AF9" w:rsidRDefault="1B502AF9" w:rsidP="009F3B1D">
            <w:pPr>
              <w:pStyle w:val="ListParagraph"/>
              <w:numPr>
                <w:ilvl w:val="0"/>
                <w:numId w:val="13"/>
              </w:numPr>
              <w:spacing w:before="60" w:after="60" w:line="240" w:lineRule="auto"/>
              <w:jc w:val="left"/>
              <w:rPr>
                <w:szCs w:val="22"/>
              </w:rPr>
            </w:pPr>
            <w:r w:rsidRPr="1B502AF9">
              <w:rPr>
                <w:rFonts w:eastAsia="Arial" w:cs="Arial"/>
                <w:sz w:val="18"/>
                <w:szCs w:val="18"/>
              </w:rPr>
              <w:t>a full list of ingredients, including any additives</w:t>
            </w:r>
          </w:p>
          <w:p w14:paraId="5B510CBF" w14:textId="56A7CA34" w:rsidR="1B502AF9" w:rsidRDefault="3589668A" w:rsidP="009F3B1D">
            <w:pPr>
              <w:pStyle w:val="ListParagraph"/>
              <w:numPr>
                <w:ilvl w:val="0"/>
                <w:numId w:val="13"/>
              </w:numPr>
              <w:spacing w:before="60" w:after="60" w:line="240" w:lineRule="auto"/>
              <w:jc w:val="left"/>
            </w:pPr>
            <w:r w:rsidRPr="3C4E5589">
              <w:rPr>
                <w:rFonts w:eastAsia="Arial" w:cs="Arial"/>
                <w:sz w:val="18"/>
                <w:szCs w:val="18"/>
              </w:rPr>
              <w:t xml:space="preserve">an appendix containing a dossier including full test reports for at least </w:t>
            </w:r>
            <w:r w:rsidR="00B646BF">
              <w:rPr>
                <w:rFonts w:eastAsia="Arial" w:cs="Arial"/>
                <w:sz w:val="18"/>
                <w:szCs w:val="18"/>
              </w:rPr>
              <w:t>3</w:t>
            </w:r>
            <w:r w:rsidRPr="3C4E5589">
              <w:rPr>
                <w:rFonts w:eastAsia="Arial" w:cs="Arial"/>
                <w:sz w:val="18"/>
                <w:szCs w:val="18"/>
              </w:rPr>
              <w:t xml:space="preserve"> batche</w:t>
            </w:r>
            <w:r w:rsidR="43CE5F5B" w:rsidRPr="3C4E5589">
              <w:rPr>
                <w:rFonts w:eastAsia="Arial" w:cs="Arial"/>
                <w:sz w:val="18"/>
                <w:szCs w:val="18"/>
              </w:rPr>
              <w:t>s</w:t>
            </w:r>
            <w:r w:rsidRPr="3C4E5589">
              <w:rPr>
                <w:rFonts w:eastAsia="Arial" w:cs="Arial"/>
                <w:sz w:val="18"/>
                <w:szCs w:val="18"/>
              </w:rPr>
              <w:t xml:space="preserve"> of full</w:t>
            </w:r>
            <w:r w:rsidR="1D18640F" w:rsidRPr="3C4E5589">
              <w:rPr>
                <w:rFonts w:eastAsia="Arial" w:cs="Arial"/>
                <w:sz w:val="18"/>
                <w:szCs w:val="18"/>
              </w:rPr>
              <w:t>-</w:t>
            </w:r>
            <w:r w:rsidRPr="3C4E5589">
              <w:rPr>
                <w:rFonts w:eastAsia="Arial" w:cs="Arial"/>
                <w:sz w:val="18"/>
                <w:szCs w:val="18"/>
              </w:rPr>
              <w:t>scale manufactured product, information on the testing methodology used, product and packaging images and any other relevant documentation.</w:t>
            </w:r>
          </w:p>
          <w:p w14:paraId="5B045F6E" w14:textId="48506079"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An importer/manufacturer must provide the following as part of their temporary approval application to import/manufacture a product for research and/or testing purposes:</w:t>
            </w:r>
          </w:p>
          <w:p w14:paraId="36F655F3" w14:textId="6C886839" w:rsidR="1B502AF9" w:rsidRDefault="1B502AF9" w:rsidP="009F3B1D">
            <w:pPr>
              <w:pStyle w:val="ListParagraph"/>
              <w:numPr>
                <w:ilvl w:val="0"/>
                <w:numId w:val="14"/>
              </w:numPr>
              <w:spacing w:before="60" w:after="60" w:line="240" w:lineRule="auto"/>
              <w:jc w:val="left"/>
              <w:rPr>
                <w:szCs w:val="22"/>
              </w:rPr>
            </w:pPr>
            <w:r w:rsidRPr="1B502AF9">
              <w:rPr>
                <w:rFonts w:eastAsia="Arial" w:cs="Arial"/>
                <w:sz w:val="18"/>
                <w:szCs w:val="18"/>
              </w:rPr>
              <w:t xml:space="preserve">a description of the product type, brand, </w:t>
            </w:r>
            <w:proofErr w:type="gramStart"/>
            <w:r w:rsidRPr="1B502AF9">
              <w:rPr>
                <w:rFonts w:eastAsia="Arial" w:cs="Arial"/>
                <w:sz w:val="18"/>
                <w:szCs w:val="18"/>
              </w:rPr>
              <w:t>variant</w:t>
            </w:r>
            <w:proofErr w:type="gramEnd"/>
            <w:r w:rsidRPr="1B502AF9">
              <w:rPr>
                <w:rFonts w:eastAsia="Arial" w:cs="Arial"/>
                <w:sz w:val="18"/>
                <w:szCs w:val="18"/>
              </w:rPr>
              <w:t xml:space="preserve"> and unique product code (eg, EAN or UPC number) where this is available </w:t>
            </w:r>
          </w:p>
          <w:p w14:paraId="1534BC94" w14:textId="05670B13" w:rsidR="1B502AF9" w:rsidRDefault="1B502AF9" w:rsidP="009F3B1D">
            <w:pPr>
              <w:pStyle w:val="ListParagraph"/>
              <w:numPr>
                <w:ilvl w:val="0"/>
                <w:numId w:val="14"/>
              </w:numPr>
              <w:spacing w:before="60" w:after="60" w:line="240" w:lineRule="auto"/>
              <w:jc w:val="left"/>
              <w:rPr>
                <w:szCs w:val="22"/>
              </w:rPr>
            </w:pPr>
            <w:r w:rsidRPr="1B502AF9">
              <w:rPr>
                <w:rFonts w:eastAsia="Arial" w:cs="Arial"/>
                <w:sz w:val="18"/>
                <w:szCs w:val="18"/>
              </w:rPr>
              <w:t>a description and purpose for the proposed research and/or testing, including a rationale for requiring the import of a non-compliant product</w:t>
            </w:r>
          </w:p>
          <w:p w14:paraId="4BC0A370" w14:textId="109E2A61" w:rsidR="1B502AF9" w:rsidRDefault="1B502AF9" w:rsidP="009F3B1D">
            <w:pPr>
              <w:pStyle w:val="ListParagraph"/>
              <w:numPr>
                <w:ilvl w:val="0"/>
                <w:numId w:val="14"/>
              </w:numPr>
              <w:spacing w:before="60" w:after="60" w:line="240" w:lineRule="auto"/>
              <w:jc w:val="left"/>
              <w:rPr>
                <w:szCs w:val="22"/>
              </w:rPr>
            </w:pPr>
            <w:r w:rsidRPr="1B502AF9">
              <w:rPr>
                <w:rFonts w:eastAsia="Arial" w:cs="Arial"/>
                <w:sz w:val="18"/>
                <w:szCs w:val="18"/>
              </w:rPr>
              <w:t xml:space="preserve">the volume of product proposed to be imported or manufactured for research and/or testing and the rationale of how this relates to the research purpose. </w:t>
            </w:r>
          </w:p>
          <w:p w14:paraId="3DB13663" w14:textId="536188B5"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An importer/manufacturer must provide the following as part of their temporary approval application to import/manufacture a niche smoked tobacco product:</w:t>
            </w:r>
          </w:p>
          <w:p w14:paraId="65EAC21B" w14:textId="5851FE3F" w:rsidR="1B502AF9" w:rsidRDefault="1B502AF9" w:rsidP="009F3B1D">
            <w:pPr>
              <w:pStyle w:val="ListParagraph"/>
              <w:numPr>
                <w:ilvl w:val="0"/>
                <w:numId w:val="15"/>
              </w:numPr>
              <w:spacing w:before="60" w:after="60" w:line="240" w:lineRule="auto"/>
              <w:jc w:val="left"/>
              <w:rPr>
                <w:szCs w:val="22"/>
              </w:rPr>
            </w:pPr>
            <w:r w:rsidRPr="1B502AF9">
              <w:rPr>
                <w:rFonts w:eastAsia="Arial" w:cs="Arial"/>
                <w:sz w:val="18"/>
                <w:szCs w:val="18"/>
              </w:rPr>
              <w:t xml:space="preserve">a description of the product type, brand, </w:t>
            </w:r>
            <w:proofErr w:type="gramStart"/>
            <w:r w:rsidRPr="1B502AF9">
              <w:rPr>
                <w:rFonts w:eastAsia="Arial" w:cs="Arial"/>
                <w:sz w:val="18"/>
                <w:szCs w:val="18"/>
              </w:rPr>
              <w:t>variant</w:t>
            </w:r>
            <w:proofErr w:type="gramEnd"/>
            <w:r w:rsidRPr="1B502AF9">
              <w:rPr>
                <w:rFonts w:eastAsia="Arial" w:cs="Arial"/>
                <w:sz w:val="18"/>
                <w:szCs w:val="18"/>
              </w:rPr>
              <w:t xml:space="preserve"> and unique product code (eg, EAN or UPC number)</w:t>
            </w:r>
          </w:p>
          <w:p w14:paraId="20EC6941" w14:textId="4193AA1C" w:rsidR="1B502AF9" w:rsidRDefault="1B502AF9" w:rsidP="009F3B1D">
            <w:pPr>
              <w:pStyle w:val="ListParagraph"/>
              <w:numPr>
                <w:ilvl w:val="0"/>
                <w:numId w:val="15"/>
              </w:numPr>
              <w:spacing w:before="60" w:after="60" w:line="240" w:lineRule="auto"/>
              <w:jc w:val="left"/>
              <w:rPr>
                <w:szCs w:val="22"/>
              </w:rPr>
            </w:pPr>
            <w:r w:rsidRPr="1B502AF9">
              <w:rPr>
                <w:rFonts w:eastAsia="Arial" w:cs="Arial"/>
                <w:sz w:val="18"/>
                <w:szCs w:val="18"/>
              </w:rPr>
              <w:t xml:space="preserve">evidence that the product is a niche smoked tobacco product, not of mass appeal, not a cigarette, and that no similar compliant product can be sourced. </w:t>
            </w:r>
          </w:p>
        </w:tc>
        <w:tc>
          <w:tcPr>
            <w:tcW w:w="2228" w:type="dxa"/>
            <w:tcBorders>
              <w:top w:val="single" w:sz="8" w:space="0" w:color="A6A6A6" w:themeColor="background1" w:themeShade="A6"/>
              <w:left w:val="single" w:sz="8" w:space="0" w:color="A6A6A6" w:themeColor="background1" w:themeShade="A6"/>
              <w:bottom w:val="single" w:sz="8" w:space="0" w:color="A6A6A6" w:themeColor="background1" w:themeShade="A6"/>
              <w:right w:val="nil"/>
            </w:tcBorders>
            <w:tcMar>
              <w:left w:w="108" w:type="dxa"/>
              <w:right w:w="108" w:type="dxa"/>
            </w:tcMar>
          </w:tcPr>
          <w:p w14:paraId="4E11AF9D" w14:textId="26E7C7B0" w:rsidR="1B502AF9" w:rsidRDefault="1B502AF9" w:rsidP="00744CDF">
            <w:pPr>
              <w:spacing w:before="60" w:after="60" w:line="240" w:lineRule="auto"/>
              <w:jc w:val="left"/>
              <w:rPr>
                <w:rFonts w:eastAsia="Arial" w:cs="Arial"/>
                <w:i/>
                <w:iCs/>
                <w:sz w:val="18"/>
                <w:szCs w:val="18"/>
              </w:rPr>
            </w:pPr>
            <w:r w:rsidRPr="1B502AF9">
              <w:rPr>
                <w:rFonts w:eastAsia="Arial" w:cs="Arial"/>
                <w:i/>
                <w:iCs/>
                <w:sz w:val="18"/>
                <w:szCs w:val="18"/>
              </w:rPr>
              <w:t>Minor changes have been made, for example to require more than one batch to be tested.</w:t>
            </w:r>
          </w:p>
        </w:tc>
      </w:tr>
      <w:tr w:rsidR="1B502AF9" w14:paraId="63CA9DF4" w14:textId="77777777" w:rsidTr="00F203B5">
        <w:trPr>
          <w:trHeight w:val="300"/>
        </w:trPr>
        <w:tc>
          <w:tcPr>
            <w:tcW w:w="1298" w:type="dxa"/>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tcMar>
              <w:left w:w="108" w:type="dxa"/>
              <w:right w:w="108" w:type="dxa"/>
            </w:tcMar>
          </w:tcPr>
          <w:p w14:paraId="4CC4ED1B" w14:textId="0D8A196F" w:rsidR="1B502AF9" w:rsidRDefault="1B502AF9" w:rsidP="009F3B1D">
            <w:pPr>
              <w:spacing w:before="60" w:after="60" w:line="240" w:lineRule="auto"/>
              <w:jc w:val="left"/>
              <w:rPr>
                <w:rFonts w:eastAsia="Arial" w:cs="Arial"/>
                <w:sz w:val="18"/>
                <w:szCs w:val="18"/>
              </w:rPr>
            </w:pPr>
            <w:r w:rsidRPr="1B502AF9">
              <w:rPr>
                <w:rFonts w:eastAsia="Arial" w:cs="Arial"/>
                <w:sz w:val="18"/>
                <w:szCs w:val="18"/>
              </w:rPr>
              <w:t>Other product changes</w:t>
            </w:r>
          </w:p>
        </w:tc>
        <w:tc>
          <w:tcPr>
            <w:tcW w:w="550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tcPr>
          <w:p w14:paraId="324F3BF6" w14:textId="3BFC3CEF" w:rsidR="1B502AF9" w:rsidRDefault="1B502AF9" w:rsidP="009F3B1D">
            <w:pPr>
              <w:tabs>
                <w:tab w:val="left" w:pos="720"/>
              </w:tabs>
              <w:spacing w:before="60" w:after="60" w:line="240" w:lineRule="auto"/>
              <w:jc w:val="left"/>
              <w:rPr>
                <w:rFonts w:eastAsia="Arial" w:cs="Arial"/>
                <w:sz w:val="18"/>
                <w:szCs w:val="18"/>
              </w:rPr>
            </w:pPr>
            <w:r w:rsidRPr="1B502AF9">
              <w:rPr>
                <w:rFonts w:eastAsia="Arial" w:cs="Arial"/>
                <w:sz w:val="18"/>
                <w:szCs w:val="18"/>
              </w:rPr>
              <w:t>Modify the existing annual reporting and returns requirements for tobacco products as follows:</w:t>
            </w:r>
          </w:p>
          <w:p w14:paraId="396F4C75" w14:textId="5F77D971" w:rsidR="1B502AF9" w:rsidRDefault="1B502AF9" w:rsidP="009F3B1D">
            <w:pPr>
              <w:tabs>
                <w:tab w:val="left" w:pos="720"/>
              </w:tabs>
              <w:spacing w:before="60" w:after="60" w:line="240" w:lineRule="auto"/>
              <w:jc w:val="left"/>
              <w:rPr>
                <w:rFonts w:eastAsia="Arial" w:cs="Arial"/>
                <w:sz w:val="18"/>
                <w:szCs w:val="18"/>
              </w:rPr>
            </w:pPr>
            <w:r w:rsidRPr="1B502AF9">
              <w:rPr>
                <w:rFonts w:eastAsia="Arial" w:cs="Arial"/>
                <w:sz w:val="18"/>
                <w:szCs w:val="18"/>
              </w:rPr>
              <w:t>Require an importer/manufacturer to have product safety systems in place that enable:</w:t>
            </w:r>
          </w:p>
          <w:p w14:paraId="5C314E3B" w14:textId="3A877DBE" w:rsidR="1B502AF9" w:rsidRDefault="1B502AF9" w:rsidP="009F3B1D">
            <w:pPr>
              <w:pStyle w:val="ListParagraph"/>
              <w:numPr>
                <w:ilvl w:val="0"/>
                <w:numId w:val="16"/>
              </w:numPr>
              <w:spacing w:before="60" w:after="60" w:line="240" w:lineRule="auto"/>
              <w:jc w:val="left"/>
              <w:rPr>
                <w:szCs w:val="22"/>
              </w:rPr>
            </w:pPr>
            <w:r w:rsidRPr="1B502AF9">
              <w:rPr>
                <w:rFonts w:eastAsia="Arial" w:cs="Arial"/>
                <w:sz w:val="18"/>
                <w:szCs w:val="18"/>
              </w:rPr>
              <w:t>investigation and resolution of complaints about the products</w:t>
            </w:r>
          </w:p>
          <w:p w14:paraId="7D8BD4B6" w14:textId="298717CF" w:rsidR="1B502AF9" w:rsidRDefault="1B502AF9" w:rsidP="009F3B1D">
            <w:pPr>
              <w:pStyle w:val="ListParagraph"/>
              <w:numPr>
                <w:ilvl w:val="0"/>
                <w:numId w:val="16"/>
              </w:numPr>
              <w:spacing w:before="60" w:after="60" w:line="240" w:lineRule="auto"/>
              <w:jc w:val="left"/>
              <w:rPr>
                <w:szCs w:val="22"/>
              </w:rPr>
            </w:pPr>
            <w:r w:rsidRPr="1B502AF9">
              <w:rPr>
                <w:rFonts w:eastAsia="Arial" w:cs="Arial"/>
                <w:sz w:val="18"/>
                <w:szCs w:val="18"/>
              </w:rPr>
              <w:t>recall of a product from sale or supply</w:t>
            </w:r>
          </w:p>
          <w:p w14:paraId="274A81E3" w14:textId="7498EF01" w:rsidR="1B502AF9" w:rsidRDefault="1B502AF9" w:rsidP="009F3B1D">
            <w:pPr>
              <w:pStyle w:val="ListParagraph"/>
              <w:numPr>
                <w:ilvl w:val="0"/>
                <w:numId w:val="16"/>
              </w:numPr>
              <w:spacing w:before="60" w:after="60" w:line="240" w:lineRule="auto"/>
              <w:jc w:val="left"/>
              <w:rPr>
                <w:szCs w:val="22"/>
              </w:rPr>
            </w:pPr>
            <w:r w:rsidRPr="1B502AF9">
              <w:rPr>
                <w:rFonts w:eastAsia="Arial" w:cs="Arial"/>
                <w:sz w:val="18"/>
                <w:szCs w:val="18"/>
              </w:rPr>
              <w:t xml:space="preserve">notification to </w:t>
            </w:r>
            <w:r w:rsidR="00B60B43">
              <w:rPr>
                <w:rFonts w:eastAsia="Arial" w:cs="Arial"/>
                <w:sz w:val="18"/>
                <w:szCs w:val="18"/>
              </w:rPr>
              <w:t>Manatū Hauora</w:t>
            </w:r>
            <w:r w:rsidRPr="1B502AF9">
              <w:rPr>
                <w:rFonts w:eastAsia="Arial" w:cs="Arial"/>
                <w:sz w:val="18"/>
                <w:szCs w:val="18"/>
              </w:rPr>
              <w:t xml:space="preserve"> of any recall.</w:t>
            </w:r>
          </w:p>
        </w:tc>
        <w:tc>
          <w:tcPr>
            <w:tcW w:w="2228" w:type="dxa"/>
            <w:tcBorders>
              <w:top w:val="single" w:sz="8" w:space="0" w:color="A6A6A6" w:themeColor="background1" w:themeShade="A6"/>
              <w:left w:val="single" w:sz="8" w:space="0" w:color="A6A6A6" w:themeColor="background1" w:themeShade="A6"/>
              <w:bottom w:val="single" w:sz="8" w:space="0" w:color="A6A6A6" w:themeColor="background1" w:themeShade="A6"/>
              <w:right w:val="nil"/>
            </w:tcBorders>
            <w:tcMar>
              <w:left w:w="108" w:type="dxa"/>
              <w:right w:w="108" w:type="dxa"/>
            </w:tcMar>
          </w:tcPr>
          <w:p w14:paraId="111C3E7B" w14:textId="05F33506" w:rsidR="1B502AF9" w:rsidRDefault="1B502AF9" w:rsidP="009F3B1D">
            <w:pPr>
              <w:tabs>
                <w:tab w:val="left" w:pos="720"/>
              </w:tabs>
              <w:spacing w:before="60" w:after="60" w:line="240" w:lineRule="auto"/>
              <w:jc w:val="left"/>
              <w:rPr>
                <w:rFonts w:eastAsia="Arial" w:cs="Arial"/>
                <w:i/>
                <w:iCs/>
                <w:sz w:val="18"/>
                <w:szCs w:val="18"/>
              </w:rPr>
            </w:pPr>
            <w:r w:rsidRPr="1B502AF9">
              <w:rPr>
                <w:rFonts w:eastAsia="Arial" w:cs="Arial"/>
                <w:i/>
                <w:iCs/>
                <w:sz w:val="18"/>
                <w:szCs w:val="18"/>
              </w:rPr>
              <w:t>No changes have been made.</w:t>
            </w:r>
          </w:p>
        </w:tc>
      </w:tr>
    </w:tbl>
    <w:p w14:paraId="27FF479A" w14:textId="77777777" w:rsidR="00C0515B" w:rsidRDefault="00C0515B" w:rsidP="00C0515B">
      <w:pPr>
        <w:rPr>
          <w:lang w:val="en-NZ"/>
        </w:rPr>
      </w:pPr>
    </w:p>
    <w:p w14:paraId="00E2FB7B" w14:textId="77777777" w:rsidR="00F203B5" w:rsidRDefault="00F203B5">
      <w:pPr>
        <w:spacing w:after="0" w:line="240" w:lineRule="auto"/>
        <w:rPr>
          <w:lang w:val="en-NZ"/>
        </w:rPr>
      </w:pPr>
      <w:r>
        <w:rPr>
          <w:lang w:val="en-NZ"/>
        </w:rPr>
        <w:br w:type="page"/>
      </w:r>
    </w:p>
    <w:p w14:paraId="71167F62" w14:textId="16F99C04" w:rsidR="00C0515B" w:rsidRPr="0058769A" w:rsidRDefault="00C0515B" w:rsidP="00683153">
      <w:pPr>
        <w:spacing w:before="120" w:after="120"/>
        <w:rPr>
          <w:lang w:val="en-NZ"/>
        </w:rPr>
      </w:pPr>
      <w:r w:rsidRPr="3C4E5589">
        <w:rPr>
          <w:lang w:val="en-NZ"/>
        </w:rPr>
        <w:t>The options for product requirements are:</w:t>
      </w:r>
    </w:p>
    <w:p w14:paraId="0721D5A8" w14:textId="52209882" w:rsidR="00C0515B" w:rsidRPr="00D109E6" w:rsidRDefault="00C0515B" w:rsidP="00683153">
      <w:pPr>
        <w:pStyle w:val="Heading4"/>
        <w:spacing w:after="120"/>
        <w:rPr>
          <w:lang w:val="en-NZ"/>
        </w:rPr>
      </w:pPr>
      <w:r w:rsidRPr="00EC1E19">
        <w:rPr>
          <w:lang w:val="en-NZ"/>
        </w:rPr>
        <w:t xml:space="preserve">Option </w:t>
      </w:r>
      <w:r w:rsidR="008B7786">
        <w:rPr>
          <w:lang w:val="en-NZ"/>
        </w:rPr>
        <w:t>1</w:t>
      </w:r>
      <w:r w:rsidRPr="00EC1E19">
        <w:rPr>
          <w:lang w:val="en-NZ"/>
        </w:rPr>
        <w:t xml:space="preserve"> </w:t>
      </w:r>
      <w:r>
        <w:rPr>
          <w:lang w:val="en-NZ"/>
        </w:rPr>
        <w:t>(Counterfactual)</w:t>
      </w:r>
    </w:p>
    <w:p w14:paraId="380E35AB" w14:textId="77777777" w:rsidR="00C0515B" w:rsidRDefault="00C0515B" w:rsidP="00683153">
      <w:pPr>
        <w:spacing w:before="120" w:after="120"/>
        <w:rPr>
          <w:lang w:val="en-NZ"/>
        </w:rPr>
      </w:pPr>
      <w:r w:rsidRPr="3C4E5589">
        <w:rPr>
          <w:lang w:val="en-NZ"/>
        </w:rPr>
        <w:t>Do not set any product requirements through regulations.</w:t>
      </w:r>
    </w:p>
    <w:p w14:paraId="142DBE56" w14:textId="5019DED9" w:rsidR="00C0515B" w:rsidRPr="00D109E6" w:rsidRDefault="00C0515B" w:rsidP="00683153">
      <w:pPr>
        <w:pStyle w:val="Heading4"/>
        <w:spacing w:after="120"/>
        <w:rPr>
          <w:lang w:val="en-NZ"/>
        </w:rPr>
      </w:pPr>
      <w:r w:rsidRPr="794B25FD">
        <w:rPr>
          <w:lang w:val="en-NZ"/>
        </w:rPr>
        <w:t xml:space="preserve">Option </w:t>
      </w:r>
      <w:r w:rsidR="008B7786">
        <w:rPr>
          <w:lang w:val="en-NZ"/>
        </w:rPr>
        <w:t>2</w:t>
      </w:r>
    </w:p>
    <w:p w14:paraId="39EB9B38" w14:textId="67631C5B" w:rsidR="00C0515B" w:rsidRDefault="00C0515B" w:rsidP="00683153">
      <w:pPr>
        <w:spacing w:before="120" w:after="120"/>
        <w:rPr>
          <w:lang w:val="en-NZ"/>
        </w:rPr>
      </w:pPr>
      <w:r w:rsidRPr="3C4E5589">
        <w:rPr>
          <w:lang w:val="en-NZ"/>
        </w:rPr>
        <w:t>Set the full range of product requirements proposed through regulations.</w:t>
      </w:r>
    </w:p>
    <w:p w14:paraId="7F27EFDF" w14:textId="0856E62F" w:rsidR="00E87DD1" w:rsidRPr="00E87DD1" w:rsidRDefault="381948CC" w:rsidP="00E248B1">
      <w:pPr>
        <w:spacing w:after="60" w:line="240" w:lineRule="auto"/>
        <w:rPr>
          <w:rFonts w:cs="Arial"/>
          <w:b/>
          <w:bCs/>
          <w:sz w:val="20"/>
        </w:rPr>
      </w:pPr>
      <w:r w:rsidRPr="3C4E5589">
        <w:rPr>
          <w:rFonts w:cs="Arial"/>
          <w:b/>
          <w:bCs/>
          <w:sz w:val="20"/>
        </w:rPr>
        <w:t xml:space="preserve">Table </w:t>
      </w:r>
      <w:r w:rsidR="008B7786">
        <w:rPr>
          <w:rFonts w:cs="Arial"/>
          <w:b/>
          <w:bCs/>
          <w:sz w:val="20"/>
        </w:rPr>
        <w:t>10</w:t>
      </w:r>
      <w:r w:rsidRPr="3C4E5589">
        <w:rPr>
          <w:rFonts w:cs="Arial"/>
          <w:b/>
          <w:bCs/>
          <w:sz w:val="20"/>
        </w:rPr>
        <w:t xml:space="preserve">: Comparison of options </w:t>
      </w:r>
    </w:p>
    <w:tbl>
      <w:tblPr>
        <w:tblStyle w:val="TableGrid"/>
        <w:tblW w:w="9214" w:type="dxa"/>
        <w:tblLook w:val="04A0" w:firstRow="1" w:lastRow="0" w:firstColumn="1" w:lastColumn="0" w:noHBand="0" w:noVBand="1"/>
      </w:tblPr>
      <w:tblGrid>
        <w:gridCol w:w="1348"/>
        <w:gridCol w:w="3614"/>
        <w:gridCol w:w="4252"/>
      </w:tblGrid>
      <w:tr w:rsidR="00E87DD1" w:rsidRPr="00E87DD1" w14:paraId="71339405" w14:textId="77777777" w:rsidTr="3C4E5589">
        <w:trPr>
          <w:trHeight w:val="42"/>
        </w:trPr>
        <w:tc>
          <w:tcPr>
            <w:tcW w:w="1348" w:type="dxa"/>
            <w:tcBorders>
              <w:top w:val="single" w:sz="4" w:space="0" w:color="auto"/>
              <w:left w:val="nil"/>
              <w:bottom w:val="single" w:sz="4" w:space="0" w:color="auto"/>
              <w:right w:val="nil"/>
            </w:tcBorders>
            <w:shd w:val="clear" w:color="auto" w:fill="E7E6E6" w:themeFill="background2"/>
          </w:tcPr>
          <w:p w14:paraId="3A2A4795" w14:textId="77777777" w:rsidR="00E87DD1" w:rsidRPr="00E87DD1" w:rsidRDefault="00E87DD1" w:rsidP="005F5CD1">
            <w:pPr>
              <w:spacing w:before="60" w:after="60" w:line="240" w:lineRule="auto"/>
              <w:jc w:val="left"/>
              <w:rPr>
                <w:rFonts w:cs="Arial"/>
                <w:b/>
                <w:sz w:val="18"/>
                <w:szCs w:val="18"/>
              </w:rPr>
            </w:pPr>
            <w:r w:rsidRPr="00E87DD1">
              <w:rPr>
                <w:rFonts w:cs="Arial"/>
                <w:b/>
                <w:sz w:val="18"/>
                <w:szCs w:val="18"/>
              </w:rPr>
              <w:t>Options</w:t>
            </w:r>
          </w:p>
        </w:tc>
        <w:tc>
          <w:tcPr>
            <w:tcW w:w="3614" w:type="dxa"/>
            <w:tcBorders>
              <w:top w:val="single" w:sz="4" w:space="0" w:color="auto"/>
              <w:left w:val="nil"/>
              <w:bottom w:val="single" w:sz="4" w:space="0" w:color="auto"/>
              <w:right w:val="nil"/>
            </w:tcBorders>
            <w:shd w:val="clear" w:color="auto" w:fill="E7E6E6" w:themeFill="background2"/>
          </w:tcPr>
          <w:p w14:paraId="0308E57E" w14:textId="5989128F" w:rsidR="00E87DD1" w:rsidRPr="00E87DD1" w:rsidRDefault="381948CC" w:rsidP="005F5CD1">
            <w:pPr>
              <w:spacing w:before="60" w:after="60" w:line="240" w:lineRule="auto"/>
              <w:jc w:val="left"/>
              <w:rPr>
                <w:rFonts w:cs="Arial"/>
                <w:sz w:val="18"/>
                <w:szCs w:val="18"/>
              </w:rPr>
            </w:pPr>
            <w:r w:rsidRPr="3C4E5589">
              <w:rPr>
                <w:rFonts w:cs="Arial"/>
                <w:b/>
                <w:bCs/>
                <w:sz w:val="18"/>
                <w:szCs w:val="18"/>
              </w:rPr>
              <w:t>Option 1 (counterfactual):</w:t>
            </w:r>
            <w:r w:rsidR="1DF04444" w:rsidRPr="3C4E5589">
              <w:rPr>
                <w:rFonts w:cs="Arial"/>
                <w:b/>
                <w:bCs/>
                <w:sz w:val="18"/>
                <w:szCs w:val="18"/>
              </w:rPr>
              <w:t xml:space="preserve"> </w:t>
            </w:r>
            <w:r w:rsidR="1DF04444" w:rsidRPr="3C4E5589">
              <w:rPr>
                <w:sz w:val="18"/>
                <w:szCs w:val="18"/>
                <w:lang w:val="en-NZ"/>
              </w:rPr>
              <w:t xml:space="preserve">do not </w:t>
            </w:r>
            <w:r w:rsidR="7293193A" w:rsidRPr="3C4E5589">
              <w:rPr>
                <w:sz w:val="18"/>
                <w:szCs w:val="18"/>
                <w:lang w:val="en-NZ"/>
              </w:rPr>
              <w:t>set product requirements in</w:t>
            </w:r>
            <w:r w:rsidR="1DF04444" w:rsidRPr="3C4E5589">
              <w:rPr>
                <w:sz w:val="18"/>
                <w:szCs w:val="18"/>
                <w:lang w:val="en-NZ"/>
              </w:rPr>
              <w:t xml:space="preserve"> regulations</w:t>
            </w:r>
          </w:p>
        </w:tc>
        <w:tc>
          <w:tcPr>
            <w:tcW w:w="4252" w:type="dxa"/>
            <w:tcBorders>
              <w:left w:val="nil"/>
              <w:bottom w:val="single" w:sz="4" w:space="0" w:color="auto"/>
              <w:right w:val="nil"/>
            </w:tcBorders>
            <w:shd w:val="clear" w:color="auto" w:fill="E7E6E6" w:themeFill="background2"/>
          </w:tcPr>
          <w:p w14:paraId="0758B565" w14:textId="1512D0E4" w:rsidR="00E87DD1" w:rsidRPr="00E87DD1" w:rsidRDefault="381948CC" w:rsidP="005F5CD1">
            <w:pPr>
              <w:spacing w:before="60" w:after="60" w:line="240" w:lineRule="auto"/>
              <w:jc w:val="left"/>
              <w:rPr>
                <w:rFonts w:cs="Arial"/>
                <w:sz w:val="18"/>
                <w:szCs w:val="18"/>
                <w:lang w:eastAsia="en-AU"/>
              </w:rPr>
            </w:pPr>
            <w:r w:rsidRPr="3C4E5589">
              <w:rPr>
                <w:rFonts w:cs="Arial"/>
                <w:b/>
                <w:bCs/>
                <w:sz w:val="18"/>
                <w:szCs w:val="18"/>
              </w:rPr>
              <w:t xml:space="preserve">Option 2: </w:t>
            </w:r>
            <w:r w:rsidR="48E10254" w:rsidRPr="3C4E5589">
              <w:rPr>
                <w:rFonts w:cs="Arial"/>
                <w:sz w:val="18"/>
                <w:szCs w:val="18"/>
              </w:rPr>
              <w:t xml:space="preserve">set the </w:t>
            </w:r>
            <w:r w:rsidR="0A4D4399" w:rsidRPr="3C4E5589">
              <w:rPr>
                <w:rFonts w:cs="Arial"/>
                <w:sz w:val="18"/>
                <w:szCs w:val="18"/>
              </w:rPr>
              <w:t xml:space="preserve">full range of </w:t>
            </w:r>
            <w:r w:rsidR="20560163" w:rsidRPr="3C4E5589">
              <w:rPr>
                <w:rFonts w:cs="Arial"/>
                <w:sz w:val="18"/>
                <w:szCs w:val="18"/>
              </w:rPr>
              <w:t xml:space="preserve">proposed </w:t>
            </w:r>
            <w:r w:rsidR="0A4D4399" w:rsidRPr="3C4E5589">
              <w:rPr>
                <w:rFonts w:cs="Arial"/>
                <w:sz w:val="18"/>
                <w:szCs w:val="18"/>
              </w:rPr>
              <w:t xml:space="preserve">product </w:t>
            </w:r>
            <w:r w:rsidR="142CC72D" w:rsidRPr="3C4E5589">
              <w:rPr>
                <w:rFonts w:cs="Arial"/>
                <w:sz w:val="18"/>
                <w:szCs w:val="18"/>
              </w:rPr>
              <w:t>requirement</w:t>
            </w:r>
            <w:r w:rsidR="0A4D4399" w:rsidRPr="3C4E5589">
              <w:rPr>
                <w:rFonts w:cs="Arial"/>
                <w:sz w:val="18"/>
                <w:szCs w:val="18"/>
              </w:rPr>
              <w:t xml:space="preserve"> </w:t>
            </w:r>
            <w:r w:rsidR="142CC72D" w:rsidRPr="3C4E5589">
              <w:rPr>
                <w:rFonts w:cs="Arial"/>
                <w:sz w:val="18"/>
                <w:szCs w:val="18"/>
              </w:rPr>
              <w:t xml:space="preserve">in </w:t>
            </w:r>
            <w:r w:rsidR="0A4D4399" w:rsidRPr="3C4E5589">
              <w:rPr>
                <w:rFonts w:cs="Arial"/>
                <w:sz w:val="18"/>
                <w:szCs w:val="18"/>
              </w:rPr>
              <w:t>regulations</w:t>
            </w:r>
          </w:p>
        </w:tc>
      </w:tr>
      <w:tr w:rsidR="00E87DD1" w:rsidRPr="00E87DD1" w14:paraId="22C856B7" w14:textId="77777777" w:rsidTr="3C4E5589">
        <w:trPr>
          <w:trHeight w:val="71"/>
        </w:trPr>
        <w:tc>
          <w:tcPr>
            <w:tcW w:w="1348" w:type="dxa"/>
            <w:tcBorders>
              <w:top w:val="single" w:sz="4" w:space="0" w:color="auto"/>
              <w:left w:val="nil"/>
              <w:bottom w:val="single" w:sz="4" w:space="0" w:color="auto"/>
              <w:right w:val="nil"/>
            </w:tcBorders>
          </w:tcPr>
          <w:p w14:paraId="62C27AB7" w14:textId="77777777" w:rsidR="00E87DD1" w:rsidRPr="00E87DD1" w:rsidRDefault="00E87DD1" w:rsidP="005F5CD1">
            <w:pPr>
              <w:spacing w:before="60" w:after="60" w:line="240" w:lineRule="auto"/>
              <w:jc w:val="left"/>
              <w:rPr>
                <w:rFonts w:cs="Arial"/>
                <w:sz w:val="18"/>
                <w:szCs w:val="18"/>
              </w:rPr>
            </w:pPr>
            <w:r w:rsidRPr="00E87DD1">
              <w:rPr>
                <w:rFonts w:cs="Arial"/>
                <w:sz w:val="18"/>
                <w:szCs w:val="18"/>
              </w:rPr>
              <w:t>Pros</w:t>
            </w:r>
          </w:p>
        </w:tc>
        <w:tc>
          <w:tcPr>
            <w:tcW w:w="3614" w:type="dxa"/>
            <w:tcBorders>
              <w:top w:val="single" w:sz="4" w:space="0" w:color="auto"/>
              <w:left w:val="nil"/>
              <w:bottom w:val="single" w:sz="4" w:space="0" w:color="auto"/>
              <w:right w:val="nil"/>
            </w:tcBorders>
          </w:tcPr>
          <w:p w14:paraId="73081F44" w14:textId="47D262F7" w:rsidR="00880AA1" w:rsidRDefault="5F022927" w:rsidP="005F5CD1">
            <w:pPr>
              <w:spacing w:before="60" w:after="60" w:line="240" w:lineRule="auto"/>
              <w:jc w:val="left"/>
              <w:rPr>
                <w:rFonts w:cs="Arial"/>
                <w:sz w:val="18"/>
                <w:szCs w:val="18"/>
              </w:rPr>
            </w:pPr>
            <w:r w:rsidRPr="3C4E5589">
              <w:rPr>
                <w:rFonts w:cs="Arial"/>
                <w:sz w:val="18"/>
                <w:szCs w:val="18"/>
              </w:rPr>
              <w:t>Easier for industry to achieve compliance</w:t>
            </w:r>
            <w:r w:rsidR="091BEA1A" w:rsidRPr="3C4E5589">
              <w:rPr>
                <w:rFonts w:cs="Arial"/>
                <w:sz w:val="18"/>
                <w:szCs w:val="18"/>
              </w:rPr>
              <w:t xml:space="preserve"> </w:t>
            </w:r>
          </w:p>
          <w:p w14:paraId="5EBEC517" w14:textId="77777777" w:rsidR="00B867DA" w:rsidRDefault="00474FBC" w:rsidP="005F5CD1">
            <w:pPr>
              <w:spacing w:before="60" w:after="60" w:line="240" w:lineRule="auto"/>
              <w:jc w:val="left"/>
              <w:rPr>
                <w:rFonts w:cs="Arial"/>
                <w:sz w:val="18"/>
                <w:szCs w:val="18"/>
              </w:rPr>
            </w:pPr>
            <w:r>
              <w:rPr>
                <w:rFonts w:cs="Arial"/>
                <w:sz w:val="18"/>
                <w:szCs w:val="18"/>
              </w:rPr>
              <w:t>Will not overburden one or a small number</w:t>
            </w:r>
            <w:r w:rsidR="00397208">
              <w:rPr>
                <w:rFonts w:cs="Arial"/>
                <w:sz w:val="18"/>
                <w:szCs w:val="18"/>
              </w:rPr>
              <w:t xml:space="preserve"> of</w:t>
            </w:r>
            <w:r>
              <w:rPr>
                <w:rFonts w:cs="Arial"/>
                <w:sz w:val="18"/>
                <w:szCs w:val="18"/>
              </w:rPr>
              <w:t xml:space="preserve"> testing labs</w:t>
            </w:r>
          </w:p>
          <w:p w14:paraId="59EAB996" w14:textId="4A9DAD04" w:rsidR="00B867DA" w:rsidRPr="00E87DD1" w:rsidRDefault="00610F12" w:rsidP="005F5CD1">
            <w:pPr>
              <w:spacing w:before="60" w:after="60" w:line="240" w:lineRule="auto"/>
              <w:jc w:val="left"/>
              <w:rPr>
                <w:rFonts w:cs="Arial"/>
                <w:sz w:val="18"/>
                <w:szCs w:val="18"/>
              </w:rPr>
            </w:pPr>
            <w:r>
              <w:rPr>
                <w:rFonts w:cs="Arial"/>
                <w:sz w:val="18"/>
                <w:szCs w:val="18"/>
              </w:rPr>
              <w:t>Low implementation cost for industry</w:t>
            </w:r>
          </w:p>
        </w:tc>
        <w:tc>
          <w:tcPr>
            <w:tcW w:w="4252" w:type="dxa"/>
            <w:tcBorders>
              <w:left w:val="nil"/>
              <w:bottom w:val="single" w:sz="4" w:space="0" w:color="auto"/>
              <w:right w:val="nil"/>
            </w:tcBorders>
          </w:tcPr>
          <w:p w14:paraId="695B717C" w14:textId="25DD262B" w:rsidR="00C4367C" w:rsidRDefault="00CE5FB8" w:rsidP="005F5CD1">
            <w:pPr>
              <w:spacing w:before="60" w:after="60" w:line="240" w:lineRule="auto"/>
              <w:jc w:val="left"/>
              <w:rPr>
                <w:rFonts w:cs="Arial"/>
                <w:sz w:val="18"/>
                <w:szCs w:val="18"/>
              </w:rPr>
            </w:pPr>
            <w:r>
              <w:rPr>
                <w:rFonts w:cs="Arial"/>
                <w:sz w:val="18"/>
                <w:szCs w:val="18"/>
              </w:rPr>
              <w:t>E</w:t>
            </w:r>
            <w:r w:rsidR="405BA61F" w:rsidRPr="2FC23C9B">
              <w:rPr>
                <w:rFonts w:cs="Arial"/>
                <w:sz w:val="18"/>
                <w:szCs w:val="18"/>
              </w:rPr>
              <w:t>nsure</w:t>
            </w:r>
            <w:r>
              <w:rPr>
                <w:rFonts w:cs="Arial"/>
                <w:sz w:val="18"/>
                <w:szCs w:val="18"/>
              </w:rPr>
              <w:t>s</w:t>
            </w:r>
            <w:r w:rsidR="405BA61F" w:rsidRPr="2FC23C9B">
              <w:rPr>
                <w:rFonts w:cs="Arial"/>
                <w:sz w:val="18"/>
                <w:szCs w:val="18"/>
              </w:rPr>
              <w:t xml:space="preserve"> products are</w:t>
            </w:r>
            <w:r w:rsidR="00043D3D">
              <w:rPr>
                <w:rFonts w:cs="Arial"/>
                <w:sz w:val="18"/>
                <w:szCs w:val="18"/>
              </w:rPr>
              <w:t xml:space="preserve"> </w:t>
            </w:r>
            <w:r w:rsidR="405BA61F" w:rsidRPr="2FC23C9B">
              <w:rPr>
                <w:rFonts w:cs="Arial"/>
                <w:sz w:val="18"/>
                <w:szCs w:val="18"/>
              </w:rPr>
              <w:t>n</w:t>
            </w:r>
            <w:r w:rsidR="00043D3D">
              <w:rPr>
                <w:rFonts w:cs="Arial"/>
                <w:sz w:val="18"/>
                <w:szCs w:val="18"/>
              </w:rPr>
              <w:t>o</w:t>
            </w:r>
            <w:r w:rsidR="405BA61F" w:rsidRPr="2FC23C9B">
              <w:rPr>
                <w:rFonts w:cs="Arial"/>
                <w:sz w:val="18"/>
                <w:szCs w:val="18"/>
              </w:rPr>
              <w:t>t brought to market that undermine the policy intent</w:t>
            </w:r>
            <w:r w:rsidR="00EB6E2F">
              <w:rPr>
                <w:rFonts w:cs="Arial"/>
                <w:sz w:val="18"/>
                <w:szCs w:val="18"/>
              </w:rPr>
              <w:t xml:space="preserve"> </w:t>
            </w:r>
          </w:p>
          <w:p w14:paraId="0783D8E1" w14:textId="491565D0" w:rsidR="00E87DD1" w:rsidRDefault="009550FF" w:rsidP="005F5CD1">
            <w:pPr>
              <w:spacing w:before="60" w:after="60" w:line="240" w:lineRule="auto"/>
              <w:jc w:val="left"/>
              <w:rPr>
                <w:rFonts w:cs="Arial"/>
                <w:sz w:val="18"/>
                <w:szCs w:val="18"/>
              </w:rPr>
            </w:pPr>
            <w:r>
              <w:rPr>
                <w:rFonts w:cs="Arial"/>
                <w:sz w:val="18"/>
                <w:szCs w:val="18"/>
              </w:rPr>
              <w:t>Greater</w:t>
            </w:r>
            <w:r w:rsidR="0056236C">
              <w:rPr>
                <w:rFonts w:cs="Arial"/>
                <w:sz w:val="18"/>
                <w:szCs w:val="18"/>
              </w:rPr>
              <w:t xml:space="preserve"> certainty </w:t>
            </w:r>
            <w:r w:rsidR="005E321F">
              <w:rPr>
                <w:rFonts w:cs="Arial"/>
                <w:sz w:val="18"/>
                <w:szCs w:val="18"/>
              </w:rPr>
              <w:t>that the products meet low nicotine standards</w:t>
            </w:r>
          </w:p>
          <w:p w14:paraId="3B2C9F2B" w14:textId="54EFCA08" w:rsidR="005E321F" w:rsidRDefault="002B350F" w:rsidP="005F5CD1">
            <w:pPr>
              <w:spacing w:before="60" w:after="60" w:line="240" w:lineRule="auto"/>
              <w:jc w:val="left"/>
              <w:rPr>
                <w:rFonts w:cs="Arial"/>
                <w:sz w:val="18"/>
                <w:szCs w:val="18"/>
              </w:rPr>
            </w:pPr>
            <w:r>
              <w:rPr>
                <w:rFonts w:cs="Arial"/>
                <w:sz w:val="18"/>
                <w:szCs w:val="18"/>
              </w:rPr>
              <w:t>Greater</w:t>
            </w:r>
            <w:r w:rsidR="005E321F" w:rsidRPr="2FC23C9B">
              <w:rPr>
                <w:rFonts w:cs="Arial"/>
                <w:sz w:val="18"/>
                <w:szCs w:val="18"/>
              </w:rPr>
              <w:t xml:space="preserve"> certainty to industry that test results are robust and consistent</w:t>
            </w:r>
            <w:r w:rsidR="3C4B2568" w:rsidRPr="2FC23C9B">
              <w:rPr>
                <w:rFonts w:cs="Arial"/>
                <w:sz w:val="18"/>
                <w:szCs w:val="18"/>
              </w:rPr>
              <w:t xml:space="preserve"> ensuring a level playing field</w:t>
            </w:r>
          </w:p>
          <w:p w14:paraId="5CBA52EA" w14:textId="77777777" w:rsidR="00F705E2" w:rsidRDefault="009B356B" w:rsidP="005F5CD1">
            <w:pPr>
              <w:spacing w:before="60" w:after="60" w:line="240" w:lineRule="auto"/>
              <w:jc w:val="left"/>
              <w:rPr>
                <w:rFonts w:cs="Arial"/>
                <w:sz w:val="18"/>
                <w:szCs w:val="18"/>
              </w:rPr>
            </w:pPr>
            <w:r>
              <w:rPr>
                <w:rFonts w:cs="Arial"/>
                <w:sz w:val="18"/>
                <w:szCs w:val="18"/>
              </w:rPr>
              <w:t>Sets a clear precedent for industry to participate in the new regulatory regime</w:t>
            </w:r>
          </w:p>
          <w:p w14:paraId="1CDE9A0B" w14:textId="0E267D36" w:rsidR="00F705E2" w:rsidRPr="00E87DD1" w:rsidRDefault="00F705E2" w:rsidP="005F5CD1">
            <w:pPr>
              <w:spacing w:before="60" w:after="60" w:line="240" w:lineRule="auto"/>
              <w:jc w:val="left"/>
              <w:rPr>
                <w:rFonts w:cs="Arial"/>
                <w:sz w:val="18"/>
                <w:szCs w:val="18"/>
              </w:rPr>
            </w:pPr>
          </w:p>
        </w:tc>
      </w:tr>
      <w:tr w:rsidR="00E87DD1" w:rsidRPr="00E87DD1" w14:paraId="0218ACB5" w14:textId="77777777" w:rsidTr="3C4E5589">
        <w:trPr>
          <w:trHeight w:val="77"/>
        </w:trPr>
        <w:tc>
          <w:tcPr>
            <w:tcW w:w="1348" w:type="dxa"/>
            <w:tcBorders>
              <w:top w:val="single" w:sz="4" w:space="0" w:color="auto"/>
              <w:left w:val="nil"/>
              <w:bottom w:val="single" w:sz="4" w:space="0" w:color="auto"/>
              <w:right w:val="nil"/>
            </w:tcBorders>
          </w:tcPr>
          <w:p w14:paraId="7AB35F3A" w14:textId="77777777" w:rsidR="00E87DD1" w:rsidRPr="00E87DD1" w:rsidRDefault="00E87DD1" w:rsidP="005F5CD1">
            <w:pPr>
              <w:spacing w:before="60" w:after="60" w:line="240" w:lineRule="auto"/>
              <w:jc w:val="left"/>
              <w:rPr>
                <w:rFonts w:cs="Arial"/>
                <w:sz w:val="18"/>
                <w:szCs w:val="18"/>
              </w:rPr>
            </w:pPr>
            <w:r w:rsidRPr="00E87DD1">
              <w:rPr>
                <w:rFonts w:cs="Arial"/>
                <w:sz w:val="18"/>
                <w:szCs w:val="18"/>
              </w:rPr>
              <w:t>Cons</w:t>
            </w:r>
          </w:p>
        </w:tc>
        <w:tc>
          <w:tcPr>
            <w:tcW w:w="3614" w:type="dxa"/>
            <w:tcBorders>
              <w:top w:val="single" w:sz="4" w:space="0" w:color="auto"/>
              <w:left w:val="nil"/>
              <w:bottom w:val="single" w:sz="4" w:space="0" w:color="auto"/>
              <w:right w:val="nil"/>
            </w:tcBorders>
          </w:tcPr>
          <w:p w14:paraId="40A46238" w14:textId="2188F983" w:rsidR="00E87DD1" w:rsidRDefault="34347A2F" w:rsidP="005F5CD1">
            <w:pPr>
              <w:spacing w:before="60" w:after="60" w:line="240" w:lineRule="auto"/>
              <w:jc w:val="left"/>
              <w:rPr>
                <w:rFonts w:cs="Arial"/>
                <w:sz w:val="18"/>
                <w:szCs w:val="18"/>
              </w:rPr>
            </w:pPr>
            <w:r w:rsidRPr="2FC23C9B">
              <w:rPr>
                <w:rFonts w:cs="Arial"/>
                <w:sz w:val="18"/>
                <w:szCs w:val="18"/>
              </w:rPr>
              <w:t xml:space="preserve">May </w:t>
            </w:r>
            <w:r w:rsidR="0B50FE69" w:rsidRPr="2FC23C9B">
              <w:rPr>
                <w:rFonts w:cs="Arial"/>
                <w:sz w:val="18"/>
                <w:szCs w:val="18"/>
              </w:rPr>
              <w:t>be difficult</w:t>
            </w:r>
            <w:r w:rsidR="19F53D1C" w:rsidRPr="2FC23C9B">
              <w:rPr>
                <w:rFonts w:cs="Arial"/>
                <w:sz w:val="18"/>
                <w:szCs w:val="18"/>
              </w:rPr>
              <w:t xml:space="preserve"> to carry out compliance</w:t>
            </w:r>
          </w:p>
          <w:p w14:paraId="4E592F7A" w14:textId="61B4EDA9" w:rsidR="00CD6888" w:rsidRPr="00E87DD1" w:rsidRDefault="009963BD" w:rsidP="005F5CD1">
            <w:pPr>
              <w:spacing w:before="60" w:after="60" w:line="240" w:lineRule="auto"/>
              <w:jc w:val="left"/>
              <w:rPr>
                <w:rFonts w:cs="Arial"/>
                <w:sz w:val="18"/>
                <w:szCs w:val="18"/>
              </w:rPr>
            </w:pPr>
            <w:r>
              <w:rPr>
                <w:rFonts w:cs="Arial"/>
                <w:sz w:val="18"/>
                <w:szCs w:val="18"/>
              </w:rPr>
              <w:t xml:space="preserve">Less certainty </w:t>
            </w:r>
            <w:r w:rsidR="005C2200">
              <w:rPr>
                <w:rFonts w:cs="Arial"/>
                <w:sz w:val="18"/>
                <w:szCs w:val="18"/>
              </w:rPr>
              <w:t xml:space="preserve">that </w:t>
            </w:r>
            <w:r w:rsidR="00F36527">
              <w:rPr>
                <w:rFonts w:cs="Arial"/>
                <w:sz w:val="18"/>
                <w:szCs w:val="18"/>
              </w:rPr>
              <w:t>products do not exceed maximum nicotine levels</w:t>
            </w:r>
          </w:p>
        </w:tc>
        <w:tc>
          <w:tcPr>
            <w:tcW w:w="4252" w:type="dxa"/>
            <w:tcBorders>
              <w:top w:val="single" w:sz="4" w:space="0" w:color="auto"/>
              <w:left w:val="nil"/>
              <w:bottom w:val="single" w:sz="4" w:space="0" w:color="auto"/>
              <w:right w:val="nil"/>
            </w:tcBorders>
          </w:tcPr>
          <w:p w14:paraId="7E9D3C6B" w14:textId="77777777" w:rsidR="00E87DD1" w:rsidRDefault="00391BB7" w:rsidP="005F5CD1">
            <w:pPr>
              <w:spacing w:before="60" w:after="60" w:line="240" w:lineRule="auto"/>
              <w:rPr>
                <w:rFonts w:cs="Arial"/>
                <w:sz w:val="18"/>
                <w:szCs w:val="18"/>
              </w:rPr>
            </w:pPr>
            <w:r>
              <w:rPr>
                <w:rFonts w:cs="Arial"/>
                <w:sz w:val="18"/>
                <w:szCs w:val="18"/>
              </w:rPr>
              <w:t>Expense for industry to get products tested</w:t>
            </w:r>
          </w:p>
          <w:p w14:paraId="4E7F3B74" w14:textId="585AA304" w:rsidR="00E45C27" w:rsidRPr="00E87DD1" w:rsidRDefault="00E45C27" w:rsidP="005F5CD1">
            <w:pPr>
              <w:spacing w:before="60" w:after="60" w:line="240" w:lineRule="auto"/>
              <w:rPr>
                <w:rFonts w:cs="Arial"/>
                <w:sz w:val="18"/>
                <w:szCs w:val="18"/>
              </w:rPr>
            </w:pPr>
            <w:r>
              <w:rPr>
                <w:rFonts w:cs="Arial"/>
                <w:sz w:val="18"/>
                <w:szCs w:val="18"/>
              </w:rPr>
              <w:t xml:space="preserve">Reliance on a smaller number of businesses approved to carry out tests </w:t>
            </w:r>
          </w:p>
        </w:tc>
      </w:tr>
    </w:tbl>
    <w:p w14:paraId="73A881A5" w14:textId="7F669362" w:rsidR="00E87DD1" w:rsidRPr="00E87DD1" w:rsidRDefault="00E87DD1" w:rsidP="00E87DD1">
      <w:pPr>
        <w:rPr>
          <w:lang w:val="en-NZ"/>
        </w:rPr>
        <w:sectPr w:rsidR="00E87DD1" w:rsidRPr="00E87DD1" w:rsidSect="00150D58">
          <w:headerReference w:type="even" r:id="rId24"/>
          <w:headerReference w:type="default" r:id="rId25"/>
          <w:footerReference w:type="even" r:id="rId26"/>
          <w:footerReference w:type="default" r:id="rId27"/>
          <w:pgSz w:w="11906" w:h="16838" w:code="9"/>
          <w:pgMar w:top="1134" w:right="1418" w:bottom="992" w:left="1418" w:header="454" w:footer="454" w:gutter="0"/>
          <w:cols w:space="708"/>
          <w:docGrid w:linePitch="360"/>
        </w:sectPr>
      </w:pPr>
    </w:p>
    <w:p w14:paraId="22828D55" w14:textId="77777777" w:rsidR="001471F1" w:rsidRPr="00A864A5" w:rsidRDefault="001471F1" w:rsidP="001471F1">
      <w:pPr>
        <w:pStyle w:val="Heading3"/>
        <w:rPr>
          <w:lang w:val="en-NZ"/>
        </w:rPr>
      </w:pPr>
      <w:r>
        <w:rPr>
          <w:lang w:val="en-NZ"/>
        </w:rPr>
        <w:t>How do the options compare to the status quo/counterfactual?</w:t>
      </w:r>
    </w:p>
    <w:tbl>
      <w:tblPr>
        <w:tblW w:w="0" w:type="auto"/>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2014"/>
        <w:gridCol w:w="6095"/>
        <w:gridCol w:w="6379"/>
      </w:tblGrid>
      <w:tr w:rsidR="001471F1" w:rsidRPr="00A864A5" w14:paraId="4B12D184" w14:textId="77777777" w:rsidTr="59D4D97B">
        <w:trPr>
          <w:trHeight w:val="395"/>
        </w:trPr>
        <w:tc>
          <w:tcPr>
            <w:tcW w:w="2014" w:type="dxa"/>
            <w:shd w:val="clear" w:color="auto" w:fill="F2F2F2" w:themeFill="background1" w:themeFillShade="F2"/>
            <w:vAlign w:val="center"/>
          </w:tcPr>
          <w:p w14:paraId="0574A90F" w14:textId="77777777" w:rsidR="001471F1" w:rsidRPr="00DB51CD" w:rsidRDefault="001471F1" w:rsidP="009610A5">
            <w:pPr>
              <w:spacing w:before="60" w:after="60" w:line="276" w:lineRule="auto"/>
              <w:jc w:val="center"/>
              <w:rPr>
                <w:rFonts w:cs="Arial"/>
                <w:bCs/>
                <w:i/>
                <w:iCs/>
                <w:color w:val="FFFFFF"/>
                <w:sz w:val="20"/>
                <w:szCs w:val="24"/>
                <w:lang w:val="en-NZ"/>
              </w:rPr>
            </w:pPr>
          </w:p>
        </w:tc>
        <w:tc>
          <w:tcPr>
            <w:tcW w:w="6095" w:type="dxa"/>
            <w:shd w:val="clear" w:color="auto" w:fill="F2F2F2" w:themeFill="background1" w:themeFillShade="F2"/>
            <w:vAlign w:val="center"/>
          </w:tcPr>
          <w:p w14:paraId="28410CC3" w14:textId="1633BFC7" w:rsidR="001471F1" w:rsidRPr="00E72D6F" w:rsidRDefault="001471F1" w:rsidP="00E72D6F">
            <w:pPr>
              <w:pStyle w:val="Heading4"/>
              <w:jc w:val="center"/>
              <w:rPr>
                <w:lang w:val="en-NZ"/>
              </w:rPr>
            </w:pPr>
            <w:r w:rsidRPr="017F04F7">
              <w:rPr>
                <w:rFonts w:cs="Arial"/>
                <w:color w:val="000000" w:themeColor="text1"/>
                <w:lang w:val="en-NZ"/>
              </w:rPr>
              <w:t xml:space="preserve">Option </w:t>
            </w:r>
            <w:r w:rsidR="008B7786">
              <w:rPr>
                <w:rFonts w:cs="Arial"/>
                <w:color w:val="000000" w:themeColor="text1"/>
                <w:lang w:val="en-NZ"/>
              </w:rPr>
              <w:t>1</w:t>
            </w:r>
            <w:r w:rsidR="00E72D6F" w:rsidRPr="017F04F7">
              <w:rPr>
                <w:rFonts w:cs="Arial"/>
                <w:color w:val="000000" w:themeColor="text1"/>
                <w:lang w:val="en-NZ"/>
              </w:rPr>
              <w:t xml:space="preserve"> (Counterfactual)</w:t>
            </w:r>
            <w:r w:rsidRPr="017F04F7">
              <w:rPr>
                <w:rFonts w:cs="Arial"/>
                <w:color w:val="000000" w:themeColor="text1"/>
                <w:lang w:val="en-NZ"/>
              </w:rPr>
              <w:t xml:space="preserve"> </w:t>
            </w:r>
            <w:r w:rsidRPr="002A3AC6">
              <w:rPr>
                <w:rFonts w:cs="Arial"/>
                <w:color w:val="auto"/>
                <w:szCs w:val="22"/>
                <w:lang w:val="en-NZ"/>
              </w:rPr>
              <w:t xml:space="preserve">– </w:t>
            </w:r>
            <w:r w:rsidR="006842D7">
              <w:rPr>
                <w:rFonts w:cs="Arial"/>
                <w:color w:val="auto"/>
                <w:szCs w:val="22"/>
                <w:lang w:val="en-NZ"/>
              </w:rPr>
              <w:t xml:space="preserve">No </w:t>
            </w:r>
            <w:r w:rsidR="006F4E19">
              <w:rPr>
                <w:rFonts w:cs="Arial"/>
                <w:color w:val="auto"/>
                <w:szCs w:val="22"/>
                <w:lang w:val="en-NZ"/>
              </w:rPr>
              <w:t>additional</w:t>
            </w:r>
            <w:r w:rsidR="006842D7">
              <w:rPr>
                <w:rFonts w:cs="Arial"/>
                <w:color w:val="auto"/>
                <w:szCs w:val="22"/>
                <w:lang w:val="en-NZ"/>
              </w:rPr>
              <w:t xml:space="preserve"> </w:t>
            </w:r>
            <w:r w:rsidR="0036044F">
              <w:rPr>
                <w:rFonts w:cs="Arial"/>
                <w:color w:val="auto"/>
                <w:szCs w:val="22"/>
                <w:lang w:val="en-NZ"/>
              </w:rPr>
              <w:t>product</w:t>
            </w:r>
            <w:r w:rsidR="00F72A3C">
              <w:rPr>
                <w:rFonts w:cs="Arial"/>
                <w:color w:val="auto"/>
                <w:szCs w:val="22"/>
                <w:lang w:val="en-NZ"/>
              </w:rPr>
              <w:t xml:space="preserve"> requirements set in regulations</w:t>
            </w:r>
          </w:p>
        </w:tc>
        <w:tc>
          <w:tcPr>
            <w:tcW w:w="6379" w:type="dxa"/>
            <w:shd w:val="clear" w:color="auto" w:fill="F2F2F2" w:themeFill="background1" w:themeFillShade="F2"/>
            <w:vAlign w:val="center"/>
          </w:tcPr>
          <w:p w14:paraId="62936191" w14:textId="68068FD5" w:rsidR="001471F1" w:rsidRPr="00A864A5" w:rsidRDefault="0BB8AD3C" w:rsidP="009610A5">
            <w:pPr>
              <w:spacing w:before="60" w:after="60" w:line="276" w:lineRule="auto"/>
              <w:jc w:val="center"/>
              <w:rPr>
                <w:rFonts w:cs="Arial"/>
                <w:b/>
                <w:lang w:eastAsia="en-AU"/>
              </w:rPr>
            </w:pPr>
            <w:r w:rsidRPr="0DA72DC5">
              <w:rPr>
                <w:rFonts w:cs="Arial"/>
                <w:b/>
                <w:color w:val="000000" w:themeColor="text1"/>
                <w:lang w:val="en-NZ"/>
              </w:rPr>
              <w:t xml:space="preserve">Option </w:t>
            </w:r>
            <w:r w:rsidR="008B7786">
              <w:rPr>
                <w:rFonts w:cs="Arial"/>
                <w:b/>
                <w:color w:val="000000" w:themeColor="text1"/>
                <w:lang w:val="en-NZ"/>
              </w:rPr>
              <w:t>2</w:t>
            </w:r>
            <w:r w:rsidRPr="0DA72DC5">
              <w:rPr>
                <w:rFonts w:cs="Arial"/>
                <w:b/>
                <w:color w:val="000000" w:themeColor="text1"/>
                <w:lang w:val="en-NZ"/>
              </w:rPr>
              <w:t xml:space="preserve"> – </w:t>
            </w:r>
            <w:r w:rsidR="00073AD8">
              <w:rPr>
                <w:rFonts w:cs="Arial"/>
                <w:b/>
                <w:color w:val="000000" w:themeColor="text1"/>
                <w:lang w:val="en-NZ"/>
              </w:rPr>
              <w:t>Set the</w:t>
            </w:r>
            <w:r w:rsidR="42A12D90" w:rsidRPr="0DA72DC5">
              <w:rPr>
                <w:rFonts w:cs="Arial"/>
                <w:b/>
                <w:color w:val="000000" w:themeColor="text1"/>
                <w:lang w:val="en-NZ"/>
              </w:rPr>
              <w:t xml:space="preserve"> </w:t>
            </w:r>
            <w:r w:rsidR="42A12D90" w:rsidRPr="0DA72DC5">
              <w:rPr>
                <w:rFonts w:cs="Arial"/>
                <w:b/>
              </w:rPr>
              <w:t xml:space="preserve">full range of product </w:t>
            </w:r>
            <w:r w:rsidR="00090B2B">
              <w:rPr>
                <w:rFonts w:cs="Arial"/>
                <w:b/>
              </w:rPr>
              <w:t xml:space="preserve">requirements </w:t>
            </w:r>
            <w:r w:rsidR="005F180E">
              <w:rPr>
                <w:rFonts w:cs="Arial"/>
                <w:b/>
              </w:rPr>
              <w:t>in</w:t>
            </w:r>
            <w:r w:rsidR="42A12D90" w:rsidRPr="0DA72DC5">
              <w:rPr>
                <w:rFonts w:cs="Arial"/>
                <w:b/>
              </w:rPr>
              <w:t xml:space="preserve"> regulations</w:t>
            </w:r>
          </w:p>
        </w:tc>
      </w:tr>
      <w:tr w:rsidR="001471F1" w:rsidRPr="00A864A5" w14:paraId="4F7D7776" w14:textId="77777777" w:rsidTr="59D4D97B">
        <w:trPr>
          <w:trHeight w:val="615"/>
        </w:trPr>
        <w:tc>
          <w:tcPr>
            <w:tcW w:w="2014" w:type="dxa"/>
            <w:shd w:val="clear" w:color="auto" w:fill="F2F2F2" w:themeFill="background1" w:themeFillShade="F2"/>
            <w:vAlign w:val="center"/>
          </w:tcPr>
          <w:p w14:paraId="2BFC86A0" w14:textId="77777777" w:rsidR="001471F1" w:rsidRPr="00A864A5" w:rsidRDefault="001471F1" w:rsidP="009610A5">
            <w:pPr>
              <w:spacing w:before="60" w:after="60" w:line="240" w:lineRule="auto"/>
              <w:jc w:val="center"/>
              <w:rPr>
                <w:rFonts w:cs="Arial"/>
                <w:b/>
                <w:color w:val="000000"/>
                <w:szCs w:val="22"/>
                <w:lang w:val="en-NZ"/>
              </w:rPr>
            </w:pPr>
            <w:r>
              <w:rPr>
                <w:rFonts w:cs="Arial"/>
                <w:b/>
                <w:color w:val="000000"/>
                <w:szCs w:val="22"/>
                <w:lang w:val="en-NZ"/>
              </w:rPr>
              <w:t>Reduces inequity</w:t>
            </w:r>
          </w:p>
        </w:tc>
        <w:tc>
          <w:tcPr>
            <w:tcW w:w="6095" w:type="dxa"/>
            <w:shd w:val="clear" w:color="auto" w:fill="auto"/>
            <w:vAlign w:val="center"/>
          </w:tcPr>
          <w:p w14:paraId="571C5F85" w14:textId="23C701A0" w:rsidR="302F1269" w:rsidRDefault="7084836F" w:rsidP="59D4D97B">
            <w:pPr>
              <w:pStyle w:val="TableText"/>
              <w:spacing w:line="276" w:lineRule="auto"/>
              <w:jc w:val="center"/>
              <w:rPr>
                <w:rFonts w:cs="Arial"/>
              </w:rPr>
            </w:pPr>
            <w:r w:rsidRPr="59D4D97B">
              <w:rPr>
                <w:rFonts w:cs="Arial"/>
              </w:rPr>
              <w:t>0</w:t>
            </w:r>
          </w:p>
          <w:p w14:paraId="11C58185" w14:textId="1CCD901B" w:rsidR="001471F1" w:rsidRPr="00F33C30" w:rsidRDefault="00092595" w:rsidP="00EE78AC">
            <w:pPr>
              <w:pStyle w:val="TableText"/>
              <w:spacing w:line="276" w:lineRule="auto"/>
              <w:jc w:val="center"/>
              <w:rPr>
                <w:bCs/>
                <w:sz w:val="18"/>
                <w:szCs w:val="20"/>
                <w:lang w:val="en-NZ"/>
              </w:rPr>
            </w:pPr>
            <w:r>
              <w:rPr>
                <w:bCs/>
                <w:sz w:val="18"/>
                <w:szCs w:val="20"/>
                <w:lang w:val="en-NZ"/>
              </w:rPr>
              <w:t>Less certainty that</w:t>
            </w:r>
            <w:r w:rsidR="002D28A4">
              <w:rPr>
                <w:bCs/>
                <w:sz w:val="18"/>
                <w:szCs w:val="20"/>
                <w:lang w:val="en-NZ"/>
              </w:rPr>
              <w:t xml:space="preserve"> products will not be minimally addictive which would likely have a disproportionate adverse impact on Māori and </w:t>
            </w:r>
            <w:r w:rsidR="00352AAD">
              <w:rPr>
                <w:bCs/>
                <w:sz w:val="18"/>
                <w:szCs w:val="20"/>
                <w:lang w:val="en-NZ"/>
              </w:rPr>
              <w:t>Pacific people</w:t>
            </w:r>
            <w:r w:rsidR="002D28A4">
              <w:rPr>
                <w:bCs/>
                <w:sz w:val="18"/>
                <w:szCs w:val="20"/>
                <w:lang w:val="en-NZ"/>
              </w:rPr>
              <w:t xml:space="preserve"> who have higher rates of smoking than other groups.</w:t>
            </w:r>
          </w:p>
        </w:tc>
        <w:tc>
          <w:tcPr>
            <w:tcW w:w="6379" w:type="dxa"/>
            <w:shd w:val="clear" w:color="auto" w:fill="auto"/>
            <w:vAlign w:val="center"/>
          </w:tcPr>
          <w:p w14:paraId="21F14911" w14:textId="77777777" w:rsidR="00F705E2" w:rsidRDefault="00F705E2" w:rsidP="00F705E2">
            <w:pPr>
              <w:pStyle w:val="TableText"/>
              <w:spacing w:line="276" w:lineRule="auto"/>
              <w:jc w:val="center"/>
              <w:rPr>
                <w:rFonts w:cs="Arial"/>
                <w:b/>
                <w:color w:val="00B050"/>
              </w:rPr>
            </w:pPr>
            <w:r w:rsidRPr="00A864A5">
              <w:rPr>
                <w:rFonts w:cs="Arial"/>
                <w:b/>
                <w:color w:val="00B050"/>
              </w:rPr>
              <w:t>+</w:t>
            </w:r>
          </w:p>
          <w:p w14:paraId="6106732D" w14:textId="38B41BA3" w:rsidR="001471F1" w:rsidRPr="003266B6" w:rsidRDefault="00425255" w:rsidP="00F705E2">
            <w:pPr>
              <w:pStyle w:val="TableText"/>
              <w:spacing w:line="276" w:lineRule="auto"/>
              <w:jc w:val="center"/>
              <w:rPr>
                <w:sz w:val="18"/>
                <w:szCs w:val="18"/>
                <w:lang w:val="en-NZ"/>
              </w:rPr>
            </w:pPr>
            <w:r>
              <w:rPr>
                <w:sz w:val="18"/>
                <w:szCs w:val="18"/>
              </w:rPr>
              <w:t>Greater certainty that</w:t>
            </w:r>
            <w:r w:rsidR="5A70AEEB" w:rsidRPr="1B502AF9">
              <w:rPr>
                <w:sz w:val="18"/>
                <w:szCs w:val="18"/>
              </w:rPr>
              <w:t xml:space="preserve"> products </w:t>
            </w:r>
            <w:r w:rsidR="00967C15">
              <w:rPr>
                <w:sz w:val="18"/>
                <w:szCs w:val="18"/>
              </w:rPr>
              <w:t xml:space="preserve">are less addictive and </w:t>
            </w:r>
            <w:r w:rsidR="5A70AEEB" w:rsidRPr="1B502AF9">
              <w:rPr>
                <w:sz w:val="18"/>
                <w:szCs w:val="18"/>
              </w:rPr>
              <w:t>appealing</w:t>
            </w:r>
            <w:r w:rsidR="002D28A4">
              <w:rPr>
                <w:sz w:val="18"/>
                <w:szCs w:val="18"/>
              </w:rPr>
              <w:t xml:space="preserve">, </w:t>
            </w:r>
            <w:r w:rsidR="00D91EA1">
              <w:rPr>
                <w:sz w:val="18"/>
                <w:szCs w:val="18"/>
              </w:rPr>
              <w:t xml:space="preserve">which will disproportionately benefit Māori and </w:t>
            </w:r>
            <w:r w:rsidR="00352AAD">
              <w:rPr>
                <w:sz w:val="18"/>
                <w:szCs w:val="18"/>
              </w:rPr>
              <w:t>Pacific peoples</w:t>
            </w:r>
            <w:r w:rsidR="00D91EA1">
              <w:rPr>
                <w:sz w:val="18"/>
                <w:szCs w:val="18"/>
              </w:rPr>
              <w:t xml:space="preserve"> who have higher rates of smoking than other groups</w:t>
            </w:r>
            <w:r w:rsidR="5A70AEEB" w:rsidRPr="1B502AF9">
              <w:rPr>
                <w:sz w:val="18"/>
                <w:szCs w:val="18"/>
              </w:rPr>
              <w:t xml:space="preserve">. </w:t>
            </w:r>
          </w:p>
        </w:tc>
      </w:tr>
      <w:tr w:rsidR="001471F1" w:rsidRPr="00A864A5" w14:paraId="7176F81B" w14:textId="77777777" w:rsidTr="59D4D97B">
        <w:trPr>
          <w:trHeight w:val="395"/>
        </w:trPr>
        <w:tc>
          <w:tcPr>
            <w:tcW w:w="2014" w:type="dxa"/>
            <w:shd w:val="clear" w:color="auto" w:fill="F2F2F2" w:themeFill="background1" w:themeFillShade="F2"/>
            <w:vAlign w:val="center"/>
          </w:tcPr>
          <w:p w14:paraId="0A610222" w14:textId="70A94E80" w:rsidR="001471F1" w:rsidRPr="00A864A5" w:rsidRDefault="00F33C30" w:rsidP="009610A5">
            <w:pPr>
              <w:spacing w:before="60" w:after="60" w:line="240" w:lineRule="auto"/>
              <w:jc w:val="center"/>
              <w:rPr>
                <w:rFonts w:cs="Arial"/>
                <w:b/>
                <w:color w:val="000000"/>
                <w:szCs w:val="22"/>
                <w:lang w:val="en-NZ"/>
              </w:rPr>
            </w:pPr>
            <w:r>
              <w:rPr>
                <w:rFonts w:cs="Arial"/>
                <w:b/>
                <w:color w:val="000000"/>
                <w:szCs w:val="22"/>
                <w:lang w:val="en-NZ"/>
              </w:rPr>
              <w:t>Effectiveness as a policy</w:t>
            </w:r>
          </w:p>
        </w:tc>
        <w:tc>
          <w:tcPr>
            <w:tcW w:w="6095" w:type="dxa"/>
            <w:shd w:val="clear" w:color="auto" w:fill="auto"/>
            <w:vAlign w:val="center"/>
          </w:tcPr>
          <w:p w14:paraId="43FDB544" w14:textId="00CA092B" w:rsidR="236828C4" w:rsidRDefault="236828C4" w:rsidP="302F1269">
            <w:pPr>
              <w:pStyle w:val="TableText"/>
              <w:spacing w:line="276" w:lineRule="auto"/>
              <w:jc w:val="center"/>
              <w:rPr>
                <w:rFonts w:cs="Arial"/>
              </w:rPr>
            </w:pPr>
            <w:r w:rsidRPr="302F1269">
              <w:rPr>
                <w:rFonts w:cs="Arial"/>
              </w:rPr>
              <w:t>0</w:t>
            </w:r>
          </w:p>
          <w:p w14:paraId="469B85FA" w14:textId="551A31B8" w:rsidR="00E72D6F" w:rsidRPr="00A864A5" w:rsidRDefault="00EC2CD2" w:rsidP="009610A5">
            <w:pPr>
              <w:pStyle w:val="TableText"/>
              <w:spacing w:line="276" w:lineRule="auto"/>
              <w:jc w:val="center"/>
              <w:rPr>
                <w:sz w:val="18"/>
                <w:szCs w:val="18"/>
                <w:lang w:val="en-NZ"/>
              </w:rPr>
            </w:pPr>
            <w:r w:rsidRPr="53D820FF">
              <w:rPr>
                <w:sz w:val="18"/>
                <w:szCs w:val="18"/>
                <w:lang w:val="en-NZ"/>
              </w:rPr>
              <w:t xml:space="preserve">This may result in </w:t>
            </w:r>
            <w:r w:rsidR="00E72D6F" w:rsidRPr="53D820FF">
              <w:rPr>
                <w:sz w:val="18"/>
                <w:szCs w:val="18"/>
                <w:lang w:val="en-NZ"/>
              </w:rPr>
              <w:t>smoked tobacco</w:t>
            </w:r>
            <w:r w:rsidRPr="53D820FF">
              <w:rPr>
                <w:sz w:val="18"/>
                <w:szCs w:val="18"/>
                <w:lang w:val="en-NZ"/>
              </w:rPr>
              <w:t xml:space="preserve"> products</w:t>
            </w:r>
            <w:r w:rsidR="008D68A1" w:rsidRPr="53D820FF">
              <w:rPr>
                <w:sz w:val="18"/>
                <w:szCs w:val="18"/>
                <w:lang w:val="en-NZ"/>
              </w:rPr>
              <w:t xml:space="preserve"> being sold </w:t>
            </w:r>
            <w:r w:rsidR="00E72D6F" w:rsidRPr="53D820FF">
              <w:rPr>
                <w:sz w:val="18"/>
                <w:szCs w:val="18"/>
                <w:lang w:val="en-NZ"/>
              </w:rPr>
              <w:t>that exceed the mandated nicotine limits</w:t>
            </w:r>
            <w:r w:rsidR="008C1832" w:rsidRPr="53D820FF">
              <w:rPr>
                <w:sz w:val="18"/>
                <w:szCs w:val="18"/>
                <w:lang w:val="en-NZ"/>
              </w:rPr>
              <w:t xml:space="preserve"> or are addictive in other ways</w:t>
            </w:r>
            <w:r w:rsidR="00F705E2" w:rsidRPr="53D820FF">
              <w:rPr>
                <w:sz w:val="18"/>
                <w:szCs w:val="18"/>
                <w:lang w:val="en-NZ"/>
              </w:rPr>
              <w:t>.</w:t>
            </w:r>
            <w:r w:rsidR="0086482C" w:rsidRPr="53D820FF">
              <w:rPr>
                <w:sz w:val="18"/>
                <w:szCs w:val="18"/>
                <w:lang w:val="en-NZ"/>
              </w:rPr>
              <w:t xml:space="preserve"> </w:t>
            </w:r>
            <w:r w:rsidR="008C1832" w:rsidRPr="53D820FF">
              <w:rPr>
                <w:sz w:val="18"/>
                <w:szCs w:val="18"/>
                <w:lang w:val="en-NZ"/>
              </w:rPr>
              <w:t xml:space="preserve">Does not meet policy objective to ‘reduce the appeal and addictiveness of smoked tobacco </w:t>
            </w:r>
            <w:r w:rsidR="1302CEDA" w:rsidRPr="025D426E">
              <w:rPr>
                <w:sz w:val="18"/>
                <w:szCs w:val="18"/>
                <w:lang w:val="en-NZ"/>
              </w:rPr>
              <w:t>products</w:t>
            </w:r>
            <w:r w:rsidR="6F1A70D0" w:rsidRPr="025D426E">
              <w:rPr>
                <w:sz w:val="18"/>
                <w:szCs w:val="18"/>
                <w:lang w:val="en-NZ"/>
              </w:rPr>
              <w:t>.</w:t>
            </w:r>
            <w:r w:rsidR="5680F50F" w:rsidRPr="025D426E">
              <w:rPr>
                <w:sz w:val="18"/>
                <w:szCs w:val="18"/>
                <w:lang w:val="en-NZ"/>
              </w:rPr>
              <w:t>’</w:t>
            </w:r>
          </w:p>
        </w:tc>
        <w:tc>
          <w:tcPr>
            <w:tcW w:w="6379" w:type="dxa"/>
            <w:shd w:val="clear" w:color="auto" w:fill="auto"/>
            <w:vAlign w:val="center"/>
          </w:tcPr>
          <w:p w14:paraId="63A07EB1" w14:textId="3689B409" w:rsidR="00E72D6F" w:rsidRDefault="00E72D6F" w:rsidP="007E4437">
            <w:pPr>
              <w:pStyle w:val="TableText"/>
              <w:spacing w:line="276" w:lineRule="auto"/>
              <w:jc w:val="center"/>
              <w:rPr>
                <w:lang w:val="en-NZ"/>
              </w:rPr>
            </w:pPr>
            <w:r w:rsidRPr="00A864A5">
              <w:rPr>
                <w:rFonts w:cs="Arial"/>
                <w:b/>
                <w:color w:val="00B050"/>
              </w:rPr>
              <w:t>+</w:t>
            </w:r>
          </w:p>
          <w:p w14:paraId="576FA76D" w14:textId="03802E0F" w:rsidR="001471F1" w:rsidRPr="00E72D6F" w:rsidRDefault="00E72D6F" w:rsidP="009610A5">
            <w:pPr>
              <w:pStyle w:val="TableText"/>
              <w:spacing w:line="276" w:lineRule="auto"/>
              <w:jc w:val="center"/>
              <w:rPr>
                <w:sz w:val="18"/>
                <w:szCs w:val="18"/>
                <w:lang w:val="en-NZ"/>
              </w:rPr>
            </w:pPr>
            <w:r w:rsidRPr="53D820FF">
              <w:rPr>
                <w:sz w:val="18"/>
                <w:szCs w:val="18"/>
                <w:lang w:val="en-NZ"/>
              </w:rPr>
              <w:t xml:space="preserve">Ensures smoked tobacco is </w:t>
            </w:r>
            <w:r w:rsidR="00F33C30" w:rsidRPr="53D820FF">
              <w:rPr>
                <w:sz w:val="18"/>
                <w:szCs w:val="18"/>
                <w:lang w:val="en-NZ"/>
              </w:rPr>
              <w:t xml:space="preserve">consistently and reliably </w:t>
            </w:r>
            <w:r w:rsidRPr="53D820FF">
              <w:rPr>
                <w:sz w:val="18"/>
                <w:szCs w:val="18"/>
                <w:lang w:val="en-NZ"/>
              </w:rPr>
              <w:t>below mandated level (</w:t>
            </w:r>
            <w:r w:rsidR="00BA4D82" w:rsidRPr="53D820FF">
              <w:rPr>
                <w:sz w:val="18"/>
                <w:szCs w:val="18"/>
                <w:lang w:val="en-NZ"/>
              </w:rPr>
              <w:t xml:space="preserve">and </w:t>
            </w:r>
            <w:r w:rsidRPr="53D820FF">
              <w:rPr>
                <w:sz w:val="18"/>
                <w:szCs w:val="18"/>
                <w:lang w:val="en-NZ"/>
              </w:rPr>
              <w:t xml:space="preserve">below </w:t>
            </w:r>
            <w:r w:rsidR="00BA4D82" w:rsidRPr="53D820FF">
              <w:rPr>
                <w:sz w:val="18"/>
                <w:szCs w:val="18"/>
                <w:lang w:val="en-NZ"/>
              </w:rPr>
              <w:t xml:space="preserve">the </w:t>
            </w:r>
            <w:r w:rsidRPr="53D820FF">
              <w:rPr>
                <w:sz w:val="18"/>
                <w:szCs w:val="18"/>
                <w:lang w:val="en-NZ"/>
              </w:rPr>
              <w:t>addictiveness threshold)</w:t>
            </w:r>
            <w:r w:rsidR="001927B2">
              <w:rPr>
                <w:sz w:val="18"/>
                <w:szCs w:val="18"/>
                <w:lang w:val="en-NZ"/>
              </w:rPr>
              <w:t xml:space="preserve"> ensuring the policy objective is achieved</w:t>
            </w:r>
            <w:r w:rsidR="00F705E2" w:rsidRPr="53D820FF">
              <w:rPr>
                <w:sz w:val="18"/>
                <w:szCs w:val="18"/>
                <w:lang w:val="en-NZ"/>
              </w:rPr>
              <w:t>.</w:t>
            </w:r>
            <w:r w:rsidR="008F117A" w:rsidRPr="53D820FF">
              <w:rPr>
                <w:sz w:val="18"/>
                <w:szCs w:val="18"/>
                <w:lang w:val="en-NZ"/>
              </w:rPr>
              <w:t xml:space="preserve"> </w:t>
            </w:r>
            <w:proofErr w:type="gramStart"/>
            <w:r w:rsidR="00D91EA1" w:rsidRPr="53D820FF">
              <w:rPr>
                <w:sz w:val="18"/>
                <w:szCs w:val="18"/>
                <w:lang w:val="en-NZ"/>
              </w:rPr>
              <w:t>L</w:t>
            </w:r>
            <w:r w:rsidR="005020ED" w:rsidRPr="53D820FF">
              <w:rPr>
                <w:sz w:val="18"/>
                <w:szCs w:val="18"/>
                <w:lang w:val="en-NZ"/>
              </w:rPr>
              <w:t>imit</w:t>
            </w:r>
            <w:r w:rsidR="00D91EA1" w:rsidRPr="53D820FF">
              <w:rPr>
                <w:sz w:val="18"/>
                <w:szCs w:val="18"/>
                <w:lang w:val="en-NZ"/>
              </w:rPr>
              <w:t>s</w:t>
            </w:r>
            <w:proofErr w:type="gramEnd"/>
            <w:r w:rsidR="005020ED" w:rsidRPr="53D820FF">
              <w:rPr>
                <w:sz w:val="18"/>
                <w:szCs w:val="18"/>
                <w:lang w:val="en-NZ"/>
              </w:rPr>
              <w:t xml:space="preserve"> ability</w:t>
            </w:r>
            <w:r w:rsidR="00D91EA1" w:rsidRPr="53D820FF">
              <w:rPr>
                <w:sz w:val="18"/>
                <w:szCs w:val="18"/>
                <w:lang w:val="en-NZ"/>
              </w:rPr>
              <w:t xml:space="preserve"> of industry</w:t>
            </w:r>
            <w:r w:rsidR="005020ED" w:rsidRPr="53D820FF">
              <w:rPr>
                <w:sz w:val="18"/>
                <w:szCs w:val="18"/>
                <w:lang w:val="en-NZ"/>
              </w:rPr>
              <w:t xml:space="preserve"> to increase appeal</w:t>
            </w:r>
            <w:r w:rsidR="007A09A7">
              <w:rPr>
                <w:sz w:val="18"/>
                <w:szCs w:val="18"/>
                <w:lang w:val="en-NZ"/>
              </w:rPr>
              <w:t xml:space="preserve"> and addictiven</w:t>
            </w:r>
            <w:r w:rsidR="00F67DC7">
              <w:rPr>
                <w:sz w:val="18"/>
                <w:szCs w:val="18"/>
                <w:lang w:val="en-NZ"/>
              </w:rPr>
              <w:t>e</w:t>
            </w:r>
            <w:r w:rsidR="007A09A7">
              <w:rPr>
                <w:sz w:val="18"/>
                <w:szCs w:val="18"/>
                <w:lang w:val="en-NZ"/>
              </w:rPr>
              <w:t>ss</w:t>
            </w:r>
            <w:r w:rsidR="005020ED" w:rsidRPr="53D820FF">
              <w:rPr>
                <w:sz w:val="18"/>
                <w:szCs w:val="18"/>
                <w:lang w:val="en-NZ"/>
              </w:rPr>
              <w:t xml:space="preserve"> of smoked tobacco products</w:t>
            </w:r>
            <w:r w:rsidR="00B706D6">
              <w:rPr>
                <w:sz w:val="18"/>
                <w:szCs w:val="18"/>
                <w:lang w:val="en-NZ"/>
              </w:rPr>
              <w:t xml:space="preserve"> </w:t>
            </w:r>
            <w:r w:rsidR="00DE4FBF">
              <w:rPr>
                <w:sz w:val="18"/>
                <w:szCs w:val="18"/>
                <w:lang w:val="en-NZ"/>
              </w:rPr>
              <w:t xml:space="preserve">by ensuring </w:t>
            </w:r>
            <w:r w:rsidR="00B706D6" w:rsidRPr="2FC23C9B">
              <w:rPr>
                <w:rFonts w:cs="Arial"/>
                <w:sz w:val="18"/>
                <w:szCs w:val="18"/>
              </w:rPr>
              <w:t>test results are robust</w:t>
            </w:r>
            <w:r w:rsidR="003C6040">
              <w:rPr>
                <w:rFonts w:cs="Arial"/>
                <w:sz w:val="18"/>
                <w:szCs w:val="18"/>
              </w:rPr>
              <w:t xml:space="preserve"> and products remain minimally addictive.</w:t>
            </w:r>
          </w:p>
        </w:tc>
      </w:tr>
      <w:tr w:rsidR="001471F1" w:rsidRPr="00A864A5" w14:paraId="014BE006" w14:textId="77777777" w:rsidTr="59D4D97B">
        <w:trPr>
          <w:trHeight w:val="378"/>
        </w:trPr>
        <w:tc>
          <w:tcPr>
            <w:tcW w:w="2014" w:type="dxa"/>
            <w:shd w:val="clear" w:color="auto" w:fill="F2F2F2" w:themeFill="background1" w:themeFillShade="F2"/>
            <w:vAlign w:val="center"/>
          </w:tcPr>
          <w:p w14:paraId="0BFCF7F1" w14:textId="77777777" w:rsidR="001471F1" w:rsidRPr="00A864A5" w:rsidRDefault="001471F1" w:rsidP="009610A5">
            <w:pPr>
              <w:spacing w:before="60" w:after="60" w:line="240" w:lineRule="auto"/>
              <w:jc w:val="center"/>
              <w:rPr>
                <w:rFonts w:cs="Arial"/>
                <w:b/>
                <w:color w:val="000000"/>
                <w:szCs w:val="22"/>
                <w:lang w:val="en-NZ"/>
              </w:rPr>
            </w:pPr>
            <w:r>
              <w:rPr>
                <w:rFonts w:cs="Arial"/>
                <w:b/>
                <w:color w:val="000000"/>
                <w:szCs w:val="22"/>
                <w:lang w:val="en-NZ"/>
              </w:rPr>
              <w:t>Cost and ease of implementation</w:t>
            </w:r>
          </w:p>
        </w:tc>
        <w:tc>
          <w:tcPr>
            <w:tcW w:w="6095" w:type="dxa"/>
            <w:shd w:val="clear" w:color="auto" w:fill="auto"/>
            <w:vAlign w:val="center"/>
          </w:tcPr>
          <w:p w14:paraId="2CD7B6C3" w14:textId="7C7D3F9E" w:rsidR="001471F1" w:rsidRPr="004D7984" w:rsidRDefault="004D7984" w:rsidP="009610A5">
            <w:pPr>
              <w:pStyle w:val="TableText"/>
              <w:spacing w:line="276" w:lineRule="auto"/>
              <w:jc w:val="center"/>
              <w:rPr>
                <w:rFonts w:cs="Arial"/>
                <w:bCs/>
              </w:rPr>
            </w:pPr>
            <w:r w:rsidRPr="004D7984">
              <w:rPr>
                <w:rFonts w:cs="Arial"/>
                <w:bCs/>
              </w:rPr>
              <w:t>0</w:t>
            </w:r>
          </w:p>
          <w:p w14:paraId="02C0994B" w14:textId="782FFD14" w:rsidR="00E72D6F" w:rsidRPr="00E72D6F" w:rsidRDefault="007A5E92" w:rsidP="009610A5">
            <w:pPr>
              <w:pStyle w:val="TableText"/>
              <w:spacing w:line="276" w:lineRule="auto"/>
              <w:jc w:val="center"/>
              <w:rPr>
                <w:bCs/>
                <w:sz w:val="18"/>
                <w:szCs w:val="20"/>
                <w:lang w:val="en-NZ"/>
              </w:rPr>
            </w:pPr>
            <w:r>
              <w:rPr>
                <w:bCs/>
                <w:sz w:val="18"/>
                <w:szCs w:val="20"/>
              </w:rPr>
              <w:t xml:space="preserve">Less compliance costs to </w:t>
            </w:r>
            <w:r w:rsidR="00E72D6F" w:rsidRPr="00E72D6F">
              <w:rPr>
                <w:bCs/>
                <w:sz w:val="18"/>
                <w:szCs w:val="20"/>
              </w:rPr>
              <w:t>industry</w:t>
            </w:r>
            <w:r>
              <w:rPr>
                <w:bCs/>
                <w:sz w:val="18"/>
                <w:szCs w:val="20"/>
              </w:rPr>
              <w:t xml:space="preserve">. </w:t>
            </w:r>
            <w:r w:rsidR="00097121">
              <w:rPr>
                <w:bCs/>
                <w:sz w:val="18"/>
                <w:szCs w:val="20"/>
              </w:rPr>
              <w:t xml:space="preserve">More </w:t>
            </w:r>
            <w:r w:rsidR="0055645C">
              <w:rPr>
                <w:bCs/>
                <w:sz w:val="18"/>
                <w:szCs w:val="20"/>
              </w:rPr>
              <w:t>challenging</w:t>
            </w:r>
            <w:r w:rsidR="00E72D6F" w:rsidRPr="00E72D6F">
              <w:rPr>
                <w:bCs/>
                <w:sz w:val="18"/>
                <w:szCs w:val="20"/>
              </w:rPr>
              <w:t xml:space="preserve"> for </w:t>
            </w:r>
            <w:r w:rsidR="00097121">
              <w:rPr>
                <w:bCs/>
                <w:sz w:val="18"/>
                <w:szCs w:val="20"/>
              </w:rPr>
              <w:t xml:space="preserve">the </w:t>
            </w:r>
            <w:r w:rsidR="00E72D6F" w:rsidRPr="00E72D6F">
              <w:rPr>
                <w:bCs/>
                <w:sz w:val="18"/>
                <w:szCs w:val="20"/>
              </w:rPr>
              <w:t>regulator</w:t>
            </w:r>
            <w:r w:rsidR="00A871F1">
              <w:rPr>
                <w:bCs/>
                <w:sz w:val="18"/>
                <w:szCs w:val="20"/>
              </w:rPr>
              <w:t xml:space="preserve"> to </w:t>
            </w:r>
            <w:r w:rsidR="00BD3808">
              <w:rPr>
                <w:bCs/>
                <w:sz w:val="18"/>
                <w:szCs w:val="20"/>
              </w:rPr>
              <w:t>implement and</w:t>
            </w:r>
            <w:r w:rsidR="00097121">
              <w:rPr>
                <w:bCs/>
                <w:sz w:val="18"/>
                <w:szCs w:val="20"/>
              </w:rPr>
              <w:t xml:space="preserve"> enforce.</w:t>
            </w:r>
            <w:r w:rsidR="00E47124">
              <w:rPr>
                <w:bCs/>
                <w:sz w:val="18"/>
                <w:szCs w:val="20"/>
              </w:rPr>
              <w:t xml:space="preserve"> </w:t>
            </w:r>
          </w:p>
        </w:tc>
        <w:tc>
          <w:tcPr>
            <w:tcW w:w="6379" w:type="dxa"/>
            <w:shd w:val="clear" w:color="auto" w:fill="auto"/>
            <w:vAlign w:val="center"/>
          </w:tcPr>
          <w:p w14:paraId="646A8879" w14:textId="2296D3DE" w:rsidR="00E72D6F" w:rsidRPr="005359FC" w:rsidRDefault="00021B1F" w:rsidP="00E72D6F">
            <w:pPr>
              <w:pStyle w:val="TableText"/>
              <w:spacing w:line="276" w:lineRule="auto"/>
              <w:jc w:val="center"/>
              <w:rPr>
                <w:rFonts w:cs="Arial"/>
              </w:rPr>
            </w:pPr>
            <w:r w:rsidRPr="005359FC">
              <w:rPr>
                <w:rFonts w:cs="Arial"/>
              </w:rPr>
              <w:t>0</w:t>
            </w:r>
          </w:p>
          <w:p w14:paraId="31C58353" w14:textId="765C5718" w:rsidR="001471F1" w:rsidRPr="00E72D6F" w:rsidRDefault="001543E2" w:rsidP="009610A5">
            <w:pPr>
              <w:pStyle w:val="TableText"/>
              <w:spacing w:line="276" w:lineRule="auto"/>
              <w:jc w:val="center"/>
              <w:rPr>
                <w:rFonts w:cs="Arial"/>
                <w:sz w:val="18"/>
                <w:szCs w:val="18"/>
                <w:lang w:val="en-NZ"/>
              </w:rPr>
            </w:pPr>
            <w:r>
              <w:rPr>
                <w:rFonts w:cs="Arial"/>
                <w:sz w:val="18"/>
                <w:szCs w:val="18"/>
              </w:rPr>
              <w:t>Greater compliance costs</w:t>
            </w:r>
            <w:r w:rsidR="00BD3808">
              <w:rPr>
                <w:rFonts w:cs="Arial"/>
                <w:sz w:val="18"/>
                <w:szCs w:val="18"/>
              </w:rPr>
              <w:t xml:space="preserve"> for industry. Easier for the regulator to im</w:t>
            </w:r>
            <w:r w:rsidR="00FD6390">
              <w:rPr>
                <w:rFonts w:cs="Arial"/>
                <w:sz w:val="18"/>
                <w:szCs w:val="18"/>
              </w:rPr>
              <w:t>plement and enforce.</w:t>
            </w:r>
          </w:p>
        </w:tc>
      </w:tr>
      <w:tr w:rsidR="001471F1" w:rsidRPr="00A864A5" w14:paraId="459E3ABB" w14:textId="77777777" w:rsidTr="59D4D97B">
        <w:trPr>
          <w:trHeight w:val="378"/>
        </w:trPr>
        <w:tc>
          <w:tcPr>
            <w:tcW w:w="2014" w:type="dxa"/>
            <w:shd w:val="clear" w:color="auto" w:fill="F2F2F2" w:themeFill="background1" w:themeFillShade="F2"/>
            <w:vAlign w:val="center"/>
          </w:tcPr>
          <w:p w14:paraId="56DDFAA1" w14:textId="318378D1" w:rsidR="001471F1" w:rsidRDefault="001471F1" w:rsidP="58911DBF">
            <w:pPr>
              <w:spacing w:before="60" w:after="60" w:line="240" w:lineRule="auto"/>
              <w:jc w:val="center"/>
              <w:rPr>
                <w:b/>
                <w:bCs/>
                <w:lang w:val="en-NZ"/>
              </w:rPr>
            </w:pPr>
            <w:r w:rsidRPr="58911DBF">
              <w:rPr>
                <w:b/>
                <w:bCs/>
              </w:rPr>
              <w:t xml:space="preserve">Clear and workable for </w:t>
            </w:r>
            <w:r w:rsidR="26C09749" w:rsidRPr="58911DBF">
              <w:rPr>
                <w:b/>
                <w:bCs/>
              </w:rPr>
              <w:t>Aotearoa</w:t>
            </w:r>
          </w:p>
        </w:tc>
        <w:tc>
          <w:tcPr>
            <w:tcW w:w="6095" w:type="dxa"/>
            <w:shd w:val="clear" w:color="auto" w:fill="auto"/>
            <w:vAlign w:val="center"/>
          </w:tcPr>
          <w:p w14:paraId="5D93B1CE" w14:textId="706CE133" w:rsidR="00E72D6F" w:rsidRDefault="064C65D2" w:rsidP="302F1269">
            <w:pPr>
              <w:pStyle w:val="TableText"/>
              <w:spacing w:line="276" w:lineRule="auto"/>
              <w:jc w:val="center"/>
              <w:rPr>
                <w:rFonts w:cs="Arial"/>
              </w:rPr>
            </w:pPr>
            <w:r w:rsidRPr="211DEC69">
              <w:rPr>
                <w:rFonts w:cs="Arial"/>
              </w:rPr>
              <w:t>0</w:t>
            </w:r>
          </w:p>
          <w:p w14:paraId="1CE4D207" w14:textId="7610D5A3" w:rsidR="00E72D6F" w:rsidRPr="00E72D6F" w:rsidRDefault="00E72D6F" w:rsidP="15009F2C">
            <w:pPr>
              <w:pStyle w:val="TableText"/>
              <w:spacing w:line="276" w:lineRule="auto"/>
              <w:jc w:val="center"/>
              <w:rPr>
                <w:bCs/>
                <w:sz w:val="18"/>
                <w:szCs w:val="20"/>
                <w:lang w:val="en-NZ"/>
              </w:rPr>
            </w:pPr>
            <w:r>
              <w:rPr>
                <w:bCs/>
                <w:sz w:val="18"/>
                <w:szCs w:val="20"/>
                <w:lang w:val="en-NZ"/>
              </w:rPr>
              <w:t>Unclear process</w:t>
            </w:r>
            <w:r w:rsidR="007E4437">
              <w:rPr>
                <w:bCs/>
                <w:sz w:val="18"/>
                <w:szCs w:val="20"/>
                <w:lang w:val="en-NZ"/>
              </w:rPr>
              <w:t xml:space="preserve">, </w:t>
            </w:r>
            <w:r w:rsidR="004C4B11">
              <w:rPr>
                <w:bCs/>
                <w:sz w:val="18"/>
                <w:szCs w:val="20"/>
                <w:lang w:val="en-NZ"/>
              </w:rPr>
              <w:t>likely to be less reliable test results.</w:t>
            </w:r>
          </w:p>
        </w:tc>
        <w:tc>
          <w:tcPr>
            <w:tcW w:w="6379" w:type="dxa"/>
            <w:shd w:val="clear" w:color="auto" w:fill="auto"/>
            <w:vAlign w:val="center"/>
          </w:tcPr>
          <w:p w14:paraId="28003485" w14:textId="64CAFE7F" w:rsidR="001471F1" w:rsidRPr="007E4437" w:rsidRDefault="00E72D6F" w:rsidP="007E4437">
            <w:pPr>
              <w:pStyle w:val="TableText"/>
              <w:spacing w:line="276" w:lineRule="auto"/>
              <w:jc w:val="center"/>
              <w:rPr>
                <w:lang w:val="en-NZ"/>
              </w:rPr>
            </w:pPr>
            <w:r w:rsidRPr="00A864A5">
              <w:rPr>
                <w:rFonts w:cs="Arial"/>
                <w:b/>
                <w:color w:val="00B050"/>
              </w:rPr>
              <w:t>+</w:t>
            </w:r>
          </w:p>
          <w:p w14:paraId="115A05D3" w14:textId="4A42F3C9" w:rsidR="001F38E9" w:rsidRPr="00E72D6F" w:rsidRDefault="007E4437" w:rsidP="009610A5">
            <w:pPr>
              <w:pStyle w:val="TableText"/>
              <w:spacing w:line="276" w:lineRule="auto"/>
              <w:jc w:val="center"/>
              <w:rPr>
                <w:sz w:val="18"/>
                <w:szCs w:val="20"/>
                <w:lang w:val="en-NZ"/>
              </w:rPr>
            </w:pPr>
            <w:r>
              <w:rPr>
                <w:sz w:val="18"/>
                <w:szCs w:val="20"/>
                <w:lang w:val="en-NZ"/>
              </w:rPr>
              <w:t xml:space="preserve">Provides clarity for industry, the </w:t>
            </w:r>
            <w:proofErr w:type="gramStart"/>
            <w:r>
              <w:rPr>
                <w:sz w:val="18"/>
                <w:szCs w:val="20"/>
                <w:lang w:val="en-NZ"/>
              </w:rPr>
              <w:t>regulator</w:t>
            </w:r>
            <w:proofErr w:type="gramEnd"/>
            <w:r>
              <w:rPr>
                <w:sz w:val="18"/>
                <w:szCs w:val="20"/>
                <w:lang w:val="en-NZ"/>
              </w:rPr>
              <w:t xml:space="preserve"> and the public. </w:t>
            </w:r>
            <w:r w:rsidR="004C4B11">
              <w:rPr>
                <w:sz w:val="18"/>
                <w:szCs w:val="20"/>
                <w:lang w:val="en-NZ"/>
              </w:rPr>
              <w:t xml:space="preserve">Reliable test results. </w:t>
            </w:r>
            <w:r w:rsidR="00FF762B">
              <w:rPr>
                <w:sz w:val="18"/>
                <w:szCs w:val="20"/>
                <w:lang w:val="en-NZ"/>
              </w:rPr>
              <w:t>Ministry’s technical advisory group</w:t>
            </w:r>
            <w:r w:rsidR="00CE171B">
              <w:rPr>
                <w:sz w:val="18"/>
                <w:szCs w:val="20"/>
                <w:lang w:val="en-NZ"/>
              </w:rPr>
              <w:t xml:space="preserve"> supported this option.</w:t>
            </w:r>
          </w:p>
        </w:tc>
      </w:tr>
      <w:tr w:rsidR="001471F1" w:rsidRPr="00A864A5" w14:paraId="4B1A44DF" w14:textId="77777777" w:rsidTr="59D4D97B">
        <w:trPr>
          <w:trHeight w:val="584"/>
        </w:trPr>
        <w:tc>
          <w:tcPr>
            <w:tcW w:w="2014" w:type="dxa"/>
            <w:shd w:val="clear" w:color="auto" w:fill="F2F2F2" w:themeFill="background1" w:themeFillShade="F2"/>
            <w:vAlign w:val="center"/>
          </w:tcPr>
          <w:p w14:paraId="623FF1EC" w14:textId="77777777" w:rsidR="001471F1" w:rsidRPr="00A864A5" w:rsidRDefault="001471F1" w:rsidP="009610A5">
            <w:pPr>
              <w:spacing w:before="60" w:after="60" w:line="240" w:lineRule="auto"/>
              <w:jc w:val="center"/>
              <w:rPr>
                <w:rFonts w:cs="Arial"/>
                <w:b/>
                <w:color w:val="000000"/>
                <w:szCs w:val="22"/>
                <w:lang w:val="en-NZ"/>
              </w:rPr>
            </w:pPr>
            <w:r w:rsidRPr="00A864A5">
              <w:rPr>
                <w:rFonts w:cs="Arial"/>
                <w:b/>
                <w:color w:val="000000"/>
                <w:szCs w:val="22"/>
                <w:lang w:val="en-NZ"/>
              </w:rPr>
              <w:t>Overall assessment</w:t>
            </w:r>
          </w:p>
        </w:tc>
        <w:tc>
          <w:tcPr>
            <w:tcW w:w="6095" w:type="dxa"/>
            <w:shd w:val="clear" w:color="auto" w:fill="auto"/>
            <w:vAlign w:val="center"/>
          </w:tcPr>
          <w:p w14:paraId="4A30CA58" w14:textId="5099EFBC" w:rsidR="001471F1" w:rsidRPr="00A864A5" w:rsidRDefault="001471F1" w:rsidP="302F1269">
            <w:pPr>
              <w:pStyle w:val="TableText"/>
              <w:spacing w:line="276" w:lineRule="auto"/>
              <w:jc w:val="center"/>
              <w:rPr>
                <w:lang w:val="en-NZ"/>
              </w:rPr>
            </w:pPr>
          </w:p>
        </w:tc>
        <w:tc>
          <w:tcPr>
            <w:tcW w:w="6379" w:type="dxa"/>
            <w:shd w:val="clear" w:color="auto" w:fill="auto"/>
            <w:vAlign w:val="center"/>
          </w:tcPr>
          <w:p w14:paraId="4CCF631E" w14:textId="63480388" w:rsidR="00F705E2" w:rsidRPr="00E2423E" w:rsidRDefault="00855010" w:rsidP="00D901AE">
            <w:pPr>
              <w:pStyle w:val="TableText"/>
              <w:spacing w:line="276" w:lineRule="auto"/>
              <w:jc w:val="center"/>
              <w:rPr>
                <w:b/>
                <w:lang w:val="en-NZ"/>
              </w:rPr>
            </w:pPr>
            <w:r w:rsidRPr="00E2423E">
              <w:rPr>
                <w:rFonts w:cs="Arial"/>
                <w:b/>
              </w:rPr>
              <w:t>Preferred</w:t>
            </w:r>
            <w:r w:rsidR="00F705E2" w:rsidRPr="00E2423E">
              <w:rPr>
                <w:rFonts w:cs="Arial"/>
                <w:b/>
              </w:rPr>
              <w:t xml:space="preserve"> option</w:t>
            </w:r>
          </w:p>
        </w:tc>
      </w:tr>
    </w:tbl>
    <w:p w14:paraId="2ADE67B9" w14:textId="6AEBA590" w:rsidR="000038BB" w:rsidRDefault="000038BB" w:rsidP="4AD098D3">
      <w:pPr>
        <w:spacing w:after="0" w:line="240" w:lineRule="auto"/>
        <w:rPr>
          <w:lang w:val="en-NZ"/>
        </w:rPr>
        <w:sectPr w:rsidR="000038BB" w:rsidSect="000038BB">
          <w:headerReference w:type="even" r:id="rId28"/>
          <w:headerReference w:type="default" r:id="rId29"/>
          <w:footerReference w:type="even" r:id="rId30"/>
          <w:footerReference w:type="default" r:id="rId31"/>
          <w:pgSz w:w="16838" w:h="11906" w:orient="landscape" w:code="9"/>
          <w:pgMar w:top="1418" w:right="1134" w:bottom="1418" w:left="992" w:header="454" w:footer="454" w:gutter="0"/>
          <w:cols w:space="708"/>
          <w:docGrid w:linePitch="360"/>
        </w:sectPr>
      </w:pPr>
    </w:p>
    <w:p w14:paraId="7F1F7A24" w14:textId="521F918F" w:rsidR="00FF04EC" w:rsidRDefault="00B4741A" w:rsidP="00683153">
      <w:pPr>
        <w:pStyle w:val="Heading3"/>
        <w:spacing w:before="120" w:after="120"/>
        <w:rPr>
          <w:lang w:val="en-NZ"/>
        </w:rPr>
      </w:pPr>
      <w:r w:rsidRPr="4AD098D3">
        <w:rPr>
          <w:lang w:val="en-NZ"/>
        </w:rPr>
        <w:t>Issue</w:t>
      </w:r>
      <w:r w:rsidR="000C59A2" w:rsidRPr="4AD098D3">
        <w:rPr>
          <w:lang w:val="en-NZ"/>
        </w:rPr>
        <w:t xml:space="preserve"> </w:t>
      </w:r>
      <w:r w:rsidR="11D5C7C3" w:rsidRPr="4AD098D3">
        <w:rPr>
          <w:lang w:val="en-NZ"/>
        </w:rPr>
        <w:t>4</w:t>
      </w:r>
      <w:r w:rsidRPr="4AD098D3">
        <w:rPr>
          <w:lang w:val="en-NZ"/>
        </w:rPr>
        <w:t xml:space="preserve"> – Fees</w:t>
      </w:r>
    </w:p>
    <w:p w14:paraId="24FFD8A2" w14:textId="04FB00B1" w:rsidR="00D0705F" w:rsidRPr="00D0705F" w:rsidRDefault="79B792BD" w:rsidP="00C544FE">
      <w:pPr>
        <w:spacing w:before="120" w:after="120" w:line="240" w:lineRule="auto"/>
        <w:rPr>
          <w:lang w:val="en-NZ"/>
        </w:rPr>
      </w:pPr>
      <w:r w:rsidRPr="3C4E5589">
        <w:rPr>
          <w:lang w:val="en-NZ"/>
        </w:rPr>
        <w:t>The</w:t>
      </w:r>
      <w:r w:rsidR="00201FB0">
        <w:rPr>
          <w:lang w:val="en-NZ"/>
        </w:rPr>
        <w:t xml:space="preserve"> Amendment</w:t>
      </w:r>
      <w:r w:rsidRPr="3C4E5589">
        <w:rPr>
          <w:lang w:val="en-NZ"/>
        </w:rPr>
        <w:t xml:space="preserve"> </w:t>
      </w:r>
      <w:r w:rsidR="36534092" w:rsidRPr="3C4E5589">
        <w:rPr>
          <w:lang w:val="en-NZ"/>
        </w:rPr>
        <w:t xml:space="preserve">Act provides for the recovery of costs associated with establishing and operating the regulatory regime </w:t>
      </w:r>
      <w:r w:rsidR="03E4C8E0" w:rsidRPr="3C4E5589">
        <w:rPr>
          <w:lang w:val="en-NZ"/>
        </w:rPr>
        <w:t>from industry through fees or levies.</w:t>
      </w:r>
      <w:r w:rsidR="2490BA12" w:rsidRPr="3C4E5589">
        <w:rPr>
          <w:lang w:val="en-NZ"/>
        </w:rPr>
        <w:t xml:space="preserve"> There is</w:t>
      </w:r>
      <w:r w:rsidR="590A0556" w:rsidRPr="3C4E5589">
        <w:rPr>
          <w:lang w:val="en-NZ"/>
        </w:rPr>
        <w:t xml:space="preserve"> a</w:t>
      </w:r>
      <w:r w:rsidR="2490BA12" w:rsidRPr="3C4E5589">
        <w:rPr>
          <w:lang w:val="en-NZ"/>
        </w:rPr>
        <w:t xml:space="preserve"> regulation-making power to set fees and levies</w:t>
      </w:r>
      <w:r w:rsidR="5D2C9F95" w:rsidRPr="3C4E5589">
        <w:rPr>
          <w:lang w:val="en-NZ"/>
        </w:rPr>
        <w:t xml:space="preserve"> </w:t>
      </w:r>
      <w:r w:rsidR="5BE454B7" w:rsidRPr="3C4E5589">
        <w:rPr>
          <w:lang w:val="en-NZ"/>
        </w:rPr>
        <w:t>for this purpose.</w:t>
      </w:r>
    </w:p>
    <w:p w14:paraId="58305D7B" w14:textId="734D24AD" w:rsidR="00040538" w:rsidRDefault="00040538" w:rsidP="00C544FE">
      <w:pPr>
        <w:spacing w:before="120" w:after="120" w:line="240" w:lineRule="auto"/>
        <w:rPr>
          <w:lang w:val="en-NZ"/>
        </w:rPr>
      </w:pPr>
      <w:r w:rsidRPr="000A5D48">
        <w:rPr>
          <w:lang w:val="en-NZ"/>
        </w:rPr>
        <w:t>Cabinet has agreed that this regime should be cost-recovered (</w:t>
      </w:r>
      <w:r w:rsidR="00F2227E">
        <w:t>CAB-21-MIN-0503 refers</w:t>
      </w:r>
      <w:r w:rsidR="00F2227E">
        <w:rPr>
          <w:lang w:val="en-NZ"/>
        </w:rPr>
        <w:t>).</w:t>
      </w:r>
      <w:r w:rsidR="00B501C1">
        <w:rPr>
          <w:lang w:val="en-NZ"/>
        </w:rPr>
        <w:t xml:space="preserve"> T</w:t>
      </w:r>
      <w:r w:rsidR="090032A9" w:rsidRPr="604965DF">
        <w:rPr>
          <w:lang w:val="en-NZ"/>
        </w:rPr>
        <w:t>his</w:t>
      </w:r>
      <w:r w:rsidR="547CA4A2" w:rsidRPr="5D94C28F">
        <w:rPr>
          <w:lang w:val="en-NZ"/>
        </w:rPr>
        <w:t xml:space="preserve"> is aligned </w:t>
      </w:r>
      <w:r w:rsidR="4FC89F39" w:rsidRPr="4DD46BE4">
        <w:rPr>
          <w:lang w:val="en-NZ"/>
        </w:rPr>
        <w:t>wit</w:t>
      </w:r>
      <w:r w:rsidR="547CA4A2" w:rsidRPr="4DD46BE4">
        <w:rPr>
          <w:lang w:val="en-NZ"/>
        </w:rPr>
        <w:t>h the approach for vaping products</w:t>
      </w:r>
      <w:r w:rsidR="006C796B">
        <w:rPr>
          <w:lang w:val="en-NZ"/>
        </w:rPr>
        <w:t xml:space="preserve"> and broader cost-recovery principles</w:t>
      </w:r>
      <w:r w:rsidR="5E721FAC" w:rsidRPr="604965DF">
        <w:rPr>
          <w:lang w:val="en-NZ"/>
        </w:rPr>
        <w:t xml:space="preserve">. </w:t>
      </w:r>
      <w:r w:rsidR="2CF5498D" w:rsidRPr="4A21ED0C">
        <w:rPr>
          <w:lang w:val="en-NZ"/>
        </w:rPr>
        <w:t>Th</w:t>
      </w:r>
      <w:r w:rsidR="645FC57F" w:rsidRPr="4A21ED0C">
        <w:rPr>
          <w:lang w:val="en-NZ"/>
        </w:rPr>
        <w:t>e</w:t>
      </w:r>
      <w:r w:rsidR="5E721FAC" w:rsidRPr="604965DF">
        <w:rPr>
          <w:lang w:val="en-NZ"/>
        </w:rPr>
        <w:t xml:space="preserve"> </w:t>
      </w:r>
      <w:r w:rsidR="15869D25" w:rsidRPr="604965DF">
        <w:rPr>
          <w:lang w:val="en-NZ"/>
        </w:rPr>
        <w:t xml:space="preserve">proposed </w:t>
      </w:r>
      <w:r w:rsidR="5E721FAC" w:rsidRPr="604965DF">
        <w:rPr>
          <w:lang w:val="en-NZ"/>
        </w:rPr>
        <w:t xml:space="preserve">fees </w:t>
      </w:r>
      <w:r w:rsidR="645FC57F" w:rsidRPr="4A21ED0C">
        <w:rPr>
          <w:lang w:val="en-NZ"/>
        </w:rPr>
        <w:t xml:space="preserve">have </w:t>
      </w:r>
      <w:r w:rsidR="645FC57F" w:rsidRPr="4ADA075C">
        <w:rPr>
          <w:lang w:val="en-NZ"/>
        </w:rPr>
        <w:t xml:space="preserve">been set with reference to the costs of assessing </w:t>
      </w:r>
      <w:r w:rsidR="645FC57F" w:rsidRPr="293A8C33">
        <w:rPr>
          <w:lang w:val="en-NZ"/>
        </w:rPr>
        <w:t xml:space="preserve">applications, and relevant </w:t>
      </w:r>
      <w:r w:rsidR="645FC57F" w:rsidRPr="0AD21A54">
        <w:rPr>
          <w:lang w:val="en-NZ"/>
        </w:rPr>
        <w:t>guidance</w:t>
      </w:r>
      <w:r w:rsidR="645FC57F" w:rsidRPr="72223169">
        <w:rPr>
          <w:lang w:val="en-NZ"/>
        </w:rPr>
        <w:t>.</w:t>
      </w:r>
      <w:r w:rsidR="00AC7AC9">
        <w:rPr>
          <w:rStyle w:val="FootnoteReference"/>
          <w:lang w:val="en-NZ"/>
        </w:rPr>
        <w:footnoteReference w:id="6"/>
      </w:r>
    </w:p>
    <w:p w14:paraId="2C306299" w14:textId="5E4E439F" w:rsidR="006F6A62" w:rsidRDefault="67214072" w:rsidP="00683153">
      <w:pPr>
        <w:spacing w:before="120" w:after="120"/>
        <w:rPr>
          <w:lang w:val="en-NZ"/>
        </w:rPr>
      </w:pPr>
      <w:r w:rsidRPr="58911DBF">
        <w:rPr>
          <w:lang w:val="en-NZ"/>
        </w:rPr>
        <w:t>The Ministry</w:t>
      </w:r>
      <w:r w:rsidR="006F6A62" w:rsidRPr="58911DBF">
        <w:rPr>
          <w:lang w:val="en-NZ"/>
        </w:rPr>
        <w:t xml:space="preserve"> consulted on a proposal to set </w:t>
      </w:r>
      <w:r w:rsidR="00327DA8" w:rsidRPr="58911DBF">
        <w:rPr>
          <w:lang w:val="en-NZ"/>
        </w:rPr>
        <w:t>fees</w:t>
      </w:r>
      <w:r w:rsidR="00457913" w:rsidRPr="58911DBF">
        <w:rPr>
          <w:lang w:val="en-NZ"/>
        </w:rPr>
        <w:t xml:space="preserve"> in regulations</w:t>
      </w:r>
      <w:r w:rsidR="00327DA8" w:rsidRPr="58911DBF">
        <w:rPr>
          <w:lang w:val="en-NZ"/>
        </w:rPr>
        <w:t xml:space="preserve"> for the following</w:t>
      </w:r>
      <w:r w:rsidR="00063029" w:rsidRPr="58911DBF">
        <w:rPr>
          <w:lang w:val="en-NZ"/>
        </w:rPr>
        <w:t>:</w:t>
      </w:r>
    </w:p>
    <w:p w14:paraId="0D81E593" w14:textId="7E51DE14" w:rsidR="00327DA8" w:rsidRPr="00D3424D" w:rsidRDefault="005F411D" w:rsidP="00131678">
      <w:pPr>
        <w:pStyle w:val="ReportBody-MOH"/>
        <w:numPr>
          <w:ilvl w:val="0"/>
          <w:numId w:val="9"/>
        </w:numPr>
        <w:ind w:left="426" w:hanging="426"/>
        <w:rPr>
          <w:rFonts w:ascii="Arial" w:hAnsi="Arial"/>
        </w:rPr>
      </w:pPr>
      <w:r w:rsidRPr="00D3424D">
        <w:rPr>
          <w:rFonts w:ascii="Arial" w:hAnsi="Arial"/>
        </w:rPr>
        <w:t xml:space="preserve">assessment </w:t>
      </w:r>
      <w:r w:rsidR="00063029" w:rsidRPr="00D3424D">
        <w:rPr>
          <w:rFonts w:ascii="Arial" w:hAnsi="Arial"/>
        </w:rPr>
        <w:t>of</w:t>
      </w:r>
      <w:r w:rsidRPr="00D3424D">
        <w:rPr>
          <w:rFonts w:ascii="Arial" w:hAnsi="Arial"/>
        </w:rPr>
        <w:t xml:space="preserve"> applications to be an approved smoked tobacco retailer</w:t>
      </w:r>
    </w:p>
    <w:p w14:paraId="65AEF84A" w14:textId="409CD101" w:rsidR="005F411D" w:rsidRPr="00D3424D" w:rsidRDefault="005F411D" w:rsidP="00131678">
      <w:pPr>
        <w:pStyle w:val="ReportBody-MOH"/>
        <w:numPr>
          <w:ilvl w:val="0"/>
          <w:numId w:val="9"/>
        </w:numPr>
        <w:ind w:left="426" w:hanging="426"/>
        <w:rPr>
          <w:rFonts w:ascii="Arial" w:hAnsi="Arial"/>
        </w:rPr>
      </w:pPr>
      <w:r w:rsidRPr="00D3424D">
        <w:rPr>
          <w:rFonts w:ascii="Arial" w:hAnsi="Arial"/>
        </w:rPr>
        <w:t xml:space="preserve">assessment </w:t>
      </w:r>
      <w:r w:rsidR="00063029" w:rsidRPr="00D3424D">
        <w:rPr>
          <w:rFonts w:ascii="Arial" w:hAnsi="Arial"/>
        </w:rPr>
        <w:t xml:space="preserve">of </w:t>
      </w:r>
      <w:r w:rsidRPr="00D3424D">
        <w:rPr>
          <w:rFonts w:ascii="Arial" w:hAnsi="Arial"/>
        </w:rPr>
        <w:t>smoked tobacco product applications</w:t>
      </w:r>
    </w:p>
    <w:p w14:paraId="7687352C" w14:textId="68F8724C" w:rsidR="005F411D" w:rsidRPr="00D3424D" w:rsidRDefault="005F411D" w:rsidP="00131678">
      <w:pPr>
        <w:pStyle w:val="ReportBody-MOH"/>
        <w:numPr>
          <w:ilvl w:val="0"/>
          <w:numId w:val="9"/>
        </w:numPr>
        <w:ind w:left="426" w:hanging="426"/>
        <w:rPr>
          <w:rFonts w:ascii="Arial" w:hAnsi="Arial"/>
        </w:rPr>
      </w:pPr>
      <w:r w:rsidRPr="00D3424D">
        <w:rPr>
          <w:rFonts w:ascii="Arial" w:hAnsi="Arial"/>
        </w:rPr>
        <w:t xml:space="preserve">assessment </w:t>
      </w:r>
      <w:r w:rsidR="00063029" w:rsidRPr="00D3424D">
        <w:rPr>
          <w:rFonts w:ascii="Arial" w:hAnsi="Arial"/>
        </w:rPr>
        <w:t xml:space="preserve">of </w:t>
      </w:r>
      <w:r w:rsidRPr="00D3424D">
        <w:rPr>
          <w:rFonts w:ascii="Arial" w:hAnsi="Arial"/>
        </w:rPr>
        <w:t>smoked tobacco product temporary approval applications</w:t>
      </w:r>
    </w:p>
    <w:p w14:paraId="48C309DD" w14:textId="7167C2B5" w:rsidR="007611F5" w:rsidRPr="00D3424D" w:rsidRDefault="005F411D" w:rsidP="00131678">
      <w:pPr>
        <w:pStyle w:val="ReportBody-MOH"/>
        <w:numPr>
          <w:ilvl w:val="0"/>
          <w:numId w:val="9"/>
        </w:numPr>
        <w:ind w:left="426" w:hanging="426"/>
        <w:rPr>
          <w:rFonts w:ascii="Arial" w:hAnsi="Arial"/>
        </w:rPr>
      </w:pPr>
      <w:r w:rsidRPr="00D3424D">
        <w:rPr>
          <w:rFonts w:ascii="Arial" w:hAnsi="Arial"/>
        </w:rPr>
        <w:t xml:space="preserve">registration </w:t>
      </w:r>
      <w:r w:rsidR="00063029" w:rsidRPr="00D3424D">
        <w:rPr>
          <w:rFonts w:ascii="Arial" w:hAnsi="Arial"/>
        </w:rPr>
        <w:t xml:space="preserve">of </w:t>
      </w:r>
      <w:r w:rsidR="00E4797D" w:rsidRPr="00D3424D">
        <w:rPr>
          <w:rFonts w:ascii="Arial" w:hAnsi="Arial"/>
        </w:rPr>
        <w:t>smoked tobacco distributors, general vape retailers, and retailers of other notifiable products.</w:t>
      </w:r>
    </w:p>
    <w:p w14:paraId="11F03948" w14:textId="70E8EDE4" w:rsidR="000C0726" w:rsidRDefault="000C0726" w:rsidP="00683153">
      <w:pPr>
        <w:spacing w:before="120" w:after="120"/>
      </w:pPr>
      <w:r>
        <w:t xml:space="preserve">The assessment fee for applications to become an approved smoked tobacco retailer was included in consultation as an indicative range and has now been finalised at $1,475 based on estimations of application volumes, the level of automation and time taken to process. </w:t>
      </w:r>
    </w:p>
    <w:p w14:paraId="42E2DB6D" w14:textId="259BD465" w:rsidR="000C0726" w:rsidRPr="000C0726" w:rsidRDefault="000C0726" w:rsidP="00683153">
      <w:pPr>
        <w:spacing w:before="120" w:after="120" w:line="240" w:lineRule="auto"/>
        <w:textAlignment w:val="baseline"/>
        <w:rPr>
          <w:rFonts w:ascii="Segoe UI" w:hAnsi="Segoe UI" w:cs="Segoe UI"/>
          <w:sz w:val="18"/>
          <w:szCs w:val="18"/>
          <w:lang w:val="en-NZ" w:eastAsia="en-NZ"/>
        </w:rPr>
      </w:pPr>
      <w:r w:rsidRPr="02D6F528">
        <w:rPr>
          <w:rFonts w:cs="Arial"/>
          <w:i/>
          <w:lang w:val="en-NZ" w:eastAsia="en-NZ"/>
        </w:rPr>
        <w:t>Consultation feedback</w:t>
      </w:r>
    </w:p>
    <w:p w14:paraId="225473B6" w14:textId="42C30120" w:rsidR="00FD18B6" w:rsidRPr="005C5BF4" w:rsidRDefault="12916561" w:rsidP="00147EA2">
      <w:pPr>
        <w:spacing w:before="120" w:after="120" w:line="240" w:lineRule="auto"/>
        <w:rPr>
          <w:highlight w:val="yellow"/>
        </w:rPr>
      </w:pPr>
      <w:proofErr w:type="gramStart"/>
      <w:r>
        <w:t>The majority of</w:t>
      </w:r>
      <w:proofErr w:type="gramEnd"/>
      <w:r>
        <w:t xml:space="preserve"> submitters </w:t>
      </w:r>
      <w:r w:rsidR="31C74DF8">
        <w:t xml:space="preserve">who answered questions on fees </w:t>
      </w:r>
      <w:r>
        <w:t xml:space="preserve">supported the </w:t>
      </w:r>
      <w:r w:rsidR="7A2D50AA">
        <w:t>proposal</w:t>
      </w:r>
      <w:r w:rsidR="600DD01F">
        <w:t>s</w:t>
      </w:r>
      <w:r w:rsidR="30326792">
        <w:t>, however s</w:t>
      </w:r>
      <w:r w:rsidR="36330F63">
        <w:t xml:space="preserve">ome felt the level of fees </w:t>
      </w:r>
      <w:r w:rsidR="49FF3061">
        <w:t xml:space="preserve">was </w:t>
      </w:r>
      <w:r w:rsidR="36330F63">
        <w:t xml:space="preserve">set too </w:t>
      </w:r>
      <w:r w:rsidR="00C7AA1E">
        <w:t xml:space="preserve">low or </w:t>
      </w:r>
      <w:r w:rsidR="36330F63">
        <w:t>high.</w:t>
      </w:r>
      <w:r w:rsidR="3CF9DB41">
        <w:t xml:space="preserve"> </w:t>
      </w:r>
      <w:r w:rsidR="005200E3">
        <w:t>Some suggested the fees should cover the cost of the harm smoking causes</w:t>
      </w:r>
      <w:r w:rsidR="0071723A">
        <w:t>.</w:t>
      </w:r>
      <w:r w:rsidR="6B980604">
        <w:t xml:space="preserve"> </w:t>
      </w:r>
      <w:r w:rsidR="59A1E595">
        <w:t>Some c</w:t>
      </w:r>
      <w:r w:rsidR="737B761A">
        <w:t>oncerns were</w:t>
      </w:r>
      <w:r w:rsidR="1D8A7072">
        <w:t xml:space="preserve"> </w:t>
      </w:r>
      <w:r w:rsidR="737B761A">
        <w:t xml:space="preserve">raised about </w:t>
      </w:r>
      <w:r w:rsidR="356C1D03">
        <w:t xml:space="preserve">the potentially large number of unsuccessful </w:t>
      </w:r>
      <w:r w:rsidR="63370E9A">
        <w:t xml:space="preserve">smoked tobacco retailer </w:t>
      </w:r>
      <w:r w:rsidR="356C1D03">
        <w:t xml:space="preserve">applicants being charged </w:t>
      </w:r>
      <w:r w:rsidR="737B761A">
        <w:t xml:space="preserve">the </w:t>
      </w:r>
      <w:r w:rsidR="63370E9A">
        <w:t xml:space="preserve">same fee </w:t>
      </w:r>
      <w:r w:rsidR="0ADF4C2A">
        <w:t>as successful applicants</w:t>
      </w:r>
      <w:r w:rsidR="509E432F">
        <w:t xml:space="preserve">. </w:t>
      </w:r>
    </w:p>
    <w:p w14:paraId="4AC22B45" w14:textId="34D37C50" w:rsidR="00AC5A29" w:rsidRPr="00CB617C" w:rsidRDefault="06CC9CDD" w:rsidP="00147EA2">
      <w:pPr>
        <w:spacing w:before="120" w:after="120" w:line="240" w:lineRule="auto"/>
      </w:pPr>
      <w:r w:rsidRPr="00CB617C">
        <w:t xml:space="preserve">The proposal consulted on </w:t>
      </w:r>
      <w:r w:rsidR="5C93D883" w:rsidRPr="00CB617C">
        <w:t xml:space="preserve">did not seek to recover the </w:t>
      </w:r>
      <w:r w:rsidRPr="00CB617C">
        <w:t xml:space="preserve">cost </w:t>
      </w:r>
      <w:r w:rsidR="5C93D883" w:rsidRPr="00CB617C">
        <w:t xml:space="preserve">of </w:t>
      </w:r>
      <w:r w:rsidR="29A40FD0" w:rsidRPr="00CB617C">
        <w:t xml:space="preserve">verification site visits from the sector as the costs </w:t>
      </w:r>
      <w:r w:rsidR="15C0B332" w:rsidRPr="00CB617C">
        <w:t>c</w:t>
      </w:r>
      <w:r w:rsidR="06FFB8BA" w:rsidRPr="00CB617C">
        <w:t xml:space="preserve">ould </w:t>
      </w:r>
      <w:r w:rsidR="15C0B332" w:rsidRPr="00CB617C">
        <w:t xml:space="preserve">not be attributed to </w:t>
      </w:r>
      <w:r w:rsidR="06FFB8BA" w:rsidRPr="00CB617C">
        <w:t xml:space="preserve">specific applicants at the time the fees </w:t>
      </w:r>
      <w:r w:rsidR="6BC3BB1B" w:rsidRPr="00CB617C">
        <w:t>are paid</w:t>
      </w:r>
      <w:r w:rsidRPr="00CB617C">
        <w:t xml:space="preserve">. </w:t>
      </w:r>
      <w:r w:rsidR="5080FE5D" w:rsidRPr="00CB617C">
        <w:t>Current plans are for t</w:t>
      </w:r>
      <w:r w:rsidR="1603D1EF" w:rsidRPr="00CB617C">
        <w:t xml:space="preserve">hese site visits </w:t>
      </w:r>
      <w:r w:rsidR="5080FE5D" w:rsidRPr="00CB617C">
        <w:t>to be carried out by S</w:t>
      </w:r>
      <w:r w:rsidR="000552B1">
        <w:t xml:space="preserve">mokefree </w:t>
      </w:r>
      <w:r w:rsidR="5080FE5D" w:rsidRPr="00CB617C">
        <w:t>E</w:t>
      </w:r>
      <w:r w:rsidR="000552B1">
        <w:t xml:space="preserve">nforcement </w:t>
      </w:r>
      <w:r w:rsidR="5080FE5D" w:rsidRPr="00CB617C">
        <w:t>O</w:t>
      </w:r>
      <w:r w:rsidR="000552B1">
        <w:t>fficers</w:t>
      </w:r>
      <w:r w:rsidR="5B3B9B69" w:rsidRPr="00CB617C">
        <w:t>,</w:t>
      </w:r>
      <w:r w:rsidR="7367142A" w:rsidRPr="00CB617C">
        <w:t xml:space="preserve"> who are already funded by the Crown</w:t>
      </w:r>
      <w:r w:rsidR="007C47F6">
        <w:t xml:space="preserve">. </w:t>
      </w:r>
    </w:p>
    <w:p w14:paraId="662792BA" w14:textId="0E3A14B2" w:rsidR="005D1B9A" w:rsidRDefault="6BC3BB1B" w:rsidP="00147EA2">
      <w:pPr>
        <w:spacing w:before="120" w:after="120" w:line="240" w:lineRule="auto"/>
      </w:pPr>
      <w:r w:rsidRPr="00CB617C">
        <w:t>C</w:t>
      </w:r>
      <w:r w:rsidR="45BDABCF" w:rsidRPr="00CB617C">
        <w:t xml:space="preserve">omprehensive guidance </w:t>
      </w:r>
      <w:r w:rsidR="6756226B" w:rsidRPr="00CB617C">
        <w:t xml:space="preserve">on the assessment process </w:t>
      </w:r>
      <w:r w:rsidRPr="00CB617C">
        <w:t xml:space="preserve">will be </w:t>
      </w:r>
      <w:r w:rsidR="45BDABCF" w:rsidRPr="00CB617C">
        <w:t xml:space="preserve">provided to </w:t>
      </w:r>
      <w:r w:rsidRPr="00CB617C">
        <w:t xml:space="preserve">all </w:t>
      </w:r>
      <w:r w:rsidR="45BDABCF" w:rsidRPr="00CB617C">
        <w:t>potential applicants</w:t>
      </w:r>
      <w:r w:rsidRPr="00CB617C">
        <w:t xml:space="preserve">, </w:t>
      </w:r>
      <w:r w:rsidR="0E7ED3A9" w:rsidRPr="00CB617C">
        <w:t>allow</w:t>
      </w:r>
      <w:r w:rsidRPr="00CB617C">
        <w:t>ing</w:t>
      </w:r>
      <w:r w:rsidR="0E7ED3A9" w:rsidRPr="00CB617C">
        <w:t xml:space="preserve"> people to self-select and not apply where they are not likely to be successful.</w:t>
      </w:r>
      <w:r w:rsidR="0E7ED3A9">
        <w:t xml:space="preserve"> </w:t>
      </w:r>
    </w:p>
    <w:p w14:paraId="39EB25CB" w14:textId="6F7ABACC" w:rsidR="000208B4" w:rsidRPr="000208B4" w:rsidRDefault="0058769A" w:rsidP="00683153">
      <w:pPr>
        <w:spacing w:before="120" w:after="120"/>
        <w:rPr>
          <w:lang w:val="en-NZ"/>
        </w:rPr>
      </w:pPr>
      <w:r>
        <w:rPr>
          <w:lang w:val="en-NZ"/>
        </w:rPr>
        <w:t>The options for fees are:</w:t>
      </w:r>
    </w:p>
    <w:p w14:paraId="5FD82CFF" w14:textId="16310D7D" w:rsidR="00BB0ADF" w:rsidRPr="007611F5" w:rsidRDefault="00BB0ADF" w:rsidP="00683153">
      <w:pPr>
        <w:pStyle w:val="Heading4"/>
        <w:spacing w:after="120"/>
        <w:rPr>
          <w:lang w:val="en-NZ"/>
        </w:rPr>
      </w:pPr>
      <w:r w:rsidRPr="00A864A5">
        <w:rPr>
          <w:lang w:val="en-NZ"/>
        </w:rPr>
        <w:t xml:space="preserve">Option </w:t>
      </w:r>
      <w:r w:rsidR="008B7786">
        <w:rPr>
          <w:lang w:val="en-NZ"/>
        </w:rPr>
        <w:t>1</w:t>
      </w:r>
      <w:r>
        <w:rPr>
          <w:lang w:val="en-NZ"/>
        </w:rPr>
        <w:t xml:space="preserve"> (Counterfactual)</w:t>
      </w:r>
    </w:p>
    <w:p w14:paraId="03432B46" w14:textId="103621C5" w:rsidR="00BB0ADF" w:rsidRPr="000E2595" w:rsidRDefault="007611F5" w:rsidP="00683153">
      <w:pPr>
        <w:spacing w:before="120" w:after="120"/>
        <w:rPr>
          <w:i/>
          <w:iCs/>
          <w:lang w:val="en-NZ"/>
        </w:rPr>
      </w:pPr>
      <w:r>
        <w:rPr>
          <w:lang w:val="en-NZ"/>
        </w:rPr>
        <w:t>Do not charge cost-recovery fees.</w:t>
      </w:r>
    </w:p>
    <w:p w14:paraId="1C368793" w14:textId="683EF156" w:rsidR="00E627B0" w:rsidRPr="00457913" w:rsidRDefault="00FF04EC" w:rsidP="00683153">
      <w:pPr>
        <w:pStyle w:val="Heading4"/>
        <w:spacing w:after="120"/>
        <w:rPr>
          <w:lang w:val="en-NZ"/>
        </w:rPr>
      </w:pPr>
      <w:r w:rsidRPr="58911DBF">
        <w:rPr>
          <w:lang w:val="en-NZ"/>
        </w:rPr>
        <w:t xml:space="preserve">Option </w:t>
      </w:r>
      <w:r w:rsidR="008B7786">
        <w:rPr>
          <w:lang w:val="en-NZ"/>
        </w:rPr>
        <w:t>2</w:t>
      </w:r>
    </w:p>
    <w:p w14:paraId="25A95B5E" w14:textId="3749B2A7" w:rsidR="007611F5" w:rsidRPr="007611F5" w:rsidRDefault="007611F5" w:rsidP="00683153">
      <w:pPr>
        <w:spacing w:before="120" w:after="120"/>
        <w:rPr>
          <w:lang w:val="en-NZ"/>
        </w:rPr>
      </w:pPr>
      <w:r>
        <w:rPr>
          <w:lang w:val="en-NZ"/>
        </w:rPr>
        <w:t xml:space="preserve">Introduce </w:t>
      </w:r>
      <w:r w:rsidR="00977BA9">
        <w:rPr>
          <w:lang w:val="en-NZ"/>
        </w:rPr>
        <w:t>cost-recovery fees through regulations</w:t>
      </w:r>
      <w:r w:rsidR="007D02B4">
        <w:rPr>
          <w:lang w:val="en-NZ"/>
        </w:rPr>
        <w:t xml:space="preserve"> as proposed in consultation</w:t>
      </w:r>
      <w:r w:rsidR="00977BA9">
        <w:rPr>
          <w:lang w:val="en-NZ"/>
        </w:rPr>
        <w:t>.</w:t>
      </w:r>
    </w:p>
    <w:p w14:paraId="1684B80C" w14:textId="1A3D6F79" w:rsidR="00AC777B" w:rsidRDefault="00AC777B" w:rsidP="00683153">
      <w:pPr>
        <w:pStyle w:val="Heading4"/>
        <w:spacing w:after="120"/>
        <w:rPr>
          <w:lang w:val="en-NZ"/>
        </w:rPr>
      </w:pPr>
      <w:r>
        <w:rPr>
          <w:lang w:val="en-NZ"/>
        </w:rPr>
        <w:t xml:space="preserve">Option </w:t>
      </w:r>
      <w:r w:rsidR="008B7786">
        <w:rPr>
          <w:lang w:val="en-NZ"/>
        </w:rPr>
        <w:t>3</w:t>
      </w:r>
      <w:r w:rsidR="007D02B4">
        <w:rPr>
          <w:lang w:val="en-NZ"/>
        </w:rPr>
        <w:t xml:space="preserve"> (adjusted proposal following consultation)</w:t>
      </w:r>
    </w:p>
    <w:p w14:paraId="6E95F39D" w14:textId="06E1E5CC" w:rsidR="000038BB" w:rsidRDefault="38B9BEBE" w:rsidP="00683153">
      <w:pPr>
        <w:spacing w:before="120" w:after="120"/>
        <w:rPr>
          <w:lang w:val="en-NZ"/>
        </w:rPr>
      </w:pPr>
      <w:r w:rsidRPr="3C4E5589">
        <w:rPr>
          <w:lang w:val="en-NZ"/>
        </w:rPr>
        <w:t>C</w:t>
      </w:r>
      <w:r w:rsidR="3F791B46" w:rsidRPr="3C4E5589">
        <w:rPr>
          <w:lang w:val="en-NZ"/>
        </w:rPr>
        <w:t>ost</w:t>
      </w:r>
      <w:r w:rsidR="57458D26" w:rsidRPr="3C4E5589">
        <w:rPr>
          <w:lang w:val="en-NZ"/>
        </w:rPr>
        <w:t xml:space="preserve"> recovery, but </w:t>
      </w:r>
      <w:r w:rsidR="5D32585E" w:rsidRPr="3C4E5589">
        <w:rPr>
          <w:lang w:val="en-NZ"/>
        </w:rPr>
        <w:t xml:space="preserve">with a small refund to </w:t>
      </w:r>
      <w:r w:rsidR="3F0A1071" w:rsidRPr="3C4E5589">
        <w:rPr>
          <w:lang w:val="en-NZ"/>
        </w:rPr>
        <w:t xml:space="preserve">smoked tobacco retail </w:t>
      </w:r>
      <w:r w:rsidR="5D32585E" w:rsidRPr="3C4E5589">
        <w:rPr>
          <w:lang w:val="en-NZ"/>
        </w:rPr>
        <w:t xml:space="preserve">applicants who do not progress to the point of requiring an </w:t>
      </w:r>
      <w:r w:rsidR="0C3DED68" w:rsidRPr="3C4E5589">
        <w:rPr>
          <w:lang w:val="en-NZ"/>
        </w:rPr>
        <w:t xml:space="preserve">on-site </w:t>
      </w:r>
      <w:r w:rsidR="5D32585E" w:rsidRPr="3C4E5589">
        <w:rPr>
          <w:lang w:val="en-NZ"/>
        </w:rPr>
        <w:t>inspection of their store. The fee for this inspection is estimated at $3</w:t>
      </w:r>
      <w:r w:rsidR="1041A657" w:rsidRPr="3C4E5589">
        <w:rPr>
          <w:lang w:val="en-NZ"/>
        </w:rPr>
        <w:t>5</w:t>
      </w:r>
      <w:r w:rsidR="5D32585E" w:rsidRPr="3C4E5589">
        <w:rPr>
          <w:lang w:val="en-NZ"/>
        </w:rPr>
        <w:t>0</w:t>
      </w:r>
      <w:r w:rsidR="39CDF6C9" w:rsidRPr="3C4E5589">
        <w:rPr>
          <w:lang w:val="en-NZ"/>
        </w:rPr>
        <w:t xml:space="preserve">, </w:t>
      </w:r>
      <w:r w:rsidR="60FCC9DC" w:rsidRPr="3C4E5589">
        <w:rPr>
          <w:lang w:val="en-NZ"/>
        </w:rPr>
        <w:t>which</w:t>
      </w:r>
      <w:r w:rsidR="39CDF6C9" w:rsidRPr="3C4E5589">
        <w:rPr>
          <w:lang w:val="en-NZ"/>
        </w:rPr>
        <w:t xml:space="preserve"> </w:t>
      </w:r>
      <w:r w:rsidR="1041A657" w:rsidRPr="3C4E5589">
        <w:rPr>
          <w:lang w:val="en-NZ"/>
        </w:rPr>
        <w:t>would</w:t>
      </w:r>
      <w:r w:rsidR="39CDF6C9" w:rsidRPr="3C4E5589">
        <w:rPr>
          <w:lang w:val="en-NZ"/>
        </w:rPr>
        <w:t xml:space="preserve"> </w:t>
      </w:r>
      <w:r w:rsidR="1041A657" w:rsidRPr="3C4E5589">
        <w:rPr>
          <w:lang w:val="en-NZ"/>
        </w:rPr>
        <w:t xml:space="preserve">be </w:t>
      </w:r>
      <w:r w:rsidR="39CDF6C9" w:rsidRPr="3C4E5589">
        <w:rPr>
          <w:lang w:val="en-NZ"/>
        </w:rPr>
        <w:t>included in the initial fee</w:t>
      </w:r>
      <w:r w:rsidR="7E913A2E" w:rsidRPr="3C4E5589">
        <w:rPr>
          <w:lang w:val="en-NZ"/>
        </w:rPr>
        <w:t xml:space="preserve"> paid by all applicants</w:t>
      </w:r>
      <w:r w:rsidR="0FC9908F" w:rsidRPr="3C4E5589">
        <w:rPr>
          <w:lang w:val="en-NZ"/>
        </w:rPr>
        <w:t>.</w:t>
      </w:r>
    </w:p>
    <w:p w14:paraId="233970F8" w14:textId="77777777" w:rsidR="00DB673B" w:rsidRPr="000038BB" w:rsidRDefault="00DB673B" w:rsidP="00683153">
      <w:pPr>
        <w:spacing w:before="120" w:after="120"/>
        <w:rPr>
          <w:lang w:val="en-NZ"/>
        </w:rPr>
      </w:pPr>
    </w:p>
    <w:p w14:paraId="09AFCED7" w14:textId="1F5A32D3" w:rsidR="000038BB" w:rsidRPr="000038BB" w:rsidRDefault="000038BB" w:rsidP="00E248B1">
      <w:pPr>
        <w:spacing w:after="60" w:line="240" w:lineRule="auto"/>
        <w:rPr>
          <w:rFonts w:cs="Arial"/>
          <w:b/>
          <w:bCs/>
          <w:sz w:val="20"/>
        </w:rPr>
      </w:pPr>
      <w:r w:rsidRPr="27DA06CF">
        <w:rPr>
          <w:rFonts w:cs="Arial"/>
          <w:b/>
          <w:bCs/>
          <w:sz w:val="20"/>
        </w:rPr>
        <w:t>Table</w:t>
      </w:r>
      <w:r w:rsidR="00BB0ADF" w:rsidRPr="27DA06CF">
        <w:rPr>
          <w:rFonts w:cs="Arial"/>
          <w:b/>
          <w:bCs/>
          <w:sz w:val="20"/>
        </w:rPr>
        <w:t xml:space="preserve"> </w:t>
      </w:r>
      <w:r w:rsidR="008B7786">
        <w:rPr>
          <w:rFonts w:cs="Arial"/>
          <w:b/>
          <w:bCs/>
          <w:sz w:val="20"/>
        </w:rPr>
        <w:t>11</w:t>
      </w:r>
      <w:r w:rsidRPr="27DA06CF">
        <w:rPr>
          <w:rFonts w:cs="Arial"/>
          <w:b/>
          <w:bCs/>
          <w:sz w:val="20"/>
        </w:rPr>
        <w:t>: Comparison of options</w:t>
      </w:r>
    </w:p>
    <w:tbl>
      <w:tblPr>
        <w:tblStyle w:val="TableGrid"/>
        <w:tblW w:w="10227" w:type="dxa"/>
        <w:tblLook w:val="04A0" w:firstRow="1" w:lastRow="0" w:firstColumn="1" w:lastColumn="0" w:noHBand="0" w:noVBand="1"/>
      </w:tblPr>
      <w:tblGrid>
        <w:gridCol w:w="1034"/>
        <w:gridCol w:w="2794"/>
        <w:gridCol w:w="3118"/>
        <w:gridCol w:w="3281"/>
      </w:tblGrid>
      <w:tr w:rsidR="000038BB" w:rsidRPr="00E87DD1" w14:paraId="1B4944A8" w14:textId="7BFD3955" w:rsidTr="3C4E5589">
        <w:trPr>
          <w:trHeight w:val="39"/>
        </w:trPr>
        <w:tc>
          <w:tcPr>
            <w:tcW w:w="1034" w:type="dxa"/>
            <w:tcBorders>
              <w:top w:val="single" w:sz="4" w:space="0" w:color="auto"/>
              <w:left w:val="nil"/>
              <w:bottom w:val="single" w:sz="4" w:space="0" w:color="auto"/>
              <w:right w:val="nil"/>
            </w:tcBorders>
            <w:shd w:val="clear" w:color="auto" w:fill="E7E6E6" w:themeFill="background2"/>
          </w:tcPr>
          <w:p w14:paraId="389ECAE0" w14:textId="77777777" w:rsidR="000038BB" w:rsidRPr="00E87DD1" w:rsidRDefault="000038BB" w:rsidP="005F5CD1">
            <w:pPr>
              <w:spacing w:before="60" w:after="60" w:line="240" w:lineRule="auto"/>
              <w:jc w:val="left"/>
              <w:rPr>
                <w:rFonts w:cs="Arial"/>
                <w:b/>
                <w:sz w:val="18"/>
                <w:szCs w:val="18"/>
              </w:rPr>
            </w:pPr>
            <w:r w:rsidRPr="00E87DD1">
              <w:rPr>
                <w:rFonts w:cs="Arial"/>
                <w:b/>
                <w:sz w:val="18"/>
                <w:szCs w:val="18"/>
              </w:rPr>
              <w:t>Options</w:t>
            </w:r>
          </w:p>
        </w:tc>
        <w:tc>
          <w:tcPr>
            <w:tcW w:w="2794" w:type="dxa"/>
            <w:tcBorders>
              <w:top w:val="single" w:sz="4" w:space="0" w:color="auto"/>
              <w:left w:val="nil"/>
              <w:bottom w:val="single" w:sz="4" w:space="0" w:color="auto"/>
              <w:right w:val="nil"/>
            </w:tcBorders>
            <w:shd w:val="clear" w:color="auto" w:fill="E7E6E6" w:themeFill="background2"/>
          </w:tcPr>
          <w:p w14:paraId="3ED9B2C4" w14:textId="378E2E4C" w:rsidR="000038BB" w:rsidRPr="00E87DD1" w:rsidRDefault="000038BB" w:rsidP="005F5CD1">
            <w:pPr>
              <w:spacing w:before="60" w:after="60" w:line="240" w:lineRule="auto"/>
              <w:jc w:val="left"/>
              <w:rPr>
                <w:rFonts w:cs="Arial"/>
                <w:sz w:val="18"/>
                <w:szCs w:val="18"/>
              </w:rPr>
            </w:pPr>
            <w:r w:rsidRPr="00E87DD1">
              <w:rPr>
                <w:rFonts w:cs="Arial"/>
                <w:b/>
                <w:sz w:val="18"/>
                <w:szCs w:val="18"/>
              </w:rPr>
              <w:t>Option 1 (counterfactual):</w:t>
            </w:r>
            <w:r w:rsidRPr="00E87DD1">
              <w:rPr>
                <w:rFonts w:cs="Arial"/>
                <w:sz w:val="18"/>
                <w:szCs w:val="18"/>
              </w:rPr>
              <w:t xml:space="preserve"> </w:t>
            </w:r>
            <w:r w:rsidR="007611F5">
              <w:rPr>
                <w:rFonts w:cs="Arial"/>
                <w:sz w:val="18"/>
                <w:szCs w:val="18"/>
              </w:rPr>
              <w:t>do not charge cost-recovery fees</w:t>
            </w:r>
          </w:p>
        </w:tc>
        <w:tc>
          <w:tcPr>
            <w:tcW w:w="3118" w:type="dxa"/>
            <w:tcBorders>
              <w:left w:val="nil"/>
              <w:bottom w:val="single" w:sz="4" w:space="0" w:color="auto"/>
              <w:right w:val="nil"/>
            </w:tcBorders>
            <w:shd w:val="clear" w:color="auto" w:fill="E7E6E6" w:themeFill="background2"/>
          </w:tcPr>
          <w:p w14:paraId="40ABD64E" w14:textId="5B3FF1CF" w:rsidR="000038BB" w:rsidRPr="007611F5" w:rsidRDefault="3B278820" w:rsidP="005F5CD1">
            <w:pPr>
              <w:spacing w:before="60" w:after="60" w:line="240" w:lineRule="auto"/>
              <w:jc w:val="left"/>
              <w:rPr>
                <w:rFonts w:cs="Arial"/>
                <w:sz w:val="18"/>
                <w:szCs w:val="18"/>
                <w:lang w:eastAsia="en-AU"/>
              </w:rPr>
            </w:pPr>
            <w:r w:rsidRPr="3C4E5589">
              <w:rPr>
                <w:rFonts w:cs="Arial"/>
                <w:b/>
                <w:bCs/>
                <w:sz w:val="18"/>
                <w:szCs w:val="18"/>
              </w:rPr>
              <w:t>Option 2:</w:t>
            </w:r>
            <w:r w:rsidR="7CE826B8" w:rsidRPr="3C4E5589">
              <w:rPr>
                <w:rFonts w:cs="Arial"/>
                <w:sz w:val="18"/>
                <w:szCs w:val="18"/>
              </w:rPr>
              <w:t xml:space="preserve"> </w:t>
            </w:r>
            <w:r w:rsidR="0FC9908F" w:rsidRPr="3C4E5589">
              <w:rPr>
                <w:rFonts w:cs="Arial"/>
                <w:sz w:val="18"/>
                <w:szCs w:val="18"/>
              </w:rPr>
              <w:t xml:space="preserve">introduce </w:t>
            </w:r>
            <w:r w:rsidR="7CE826B8" w:rsidRPr="3C4E5589">
              <w:rPr>
                <w:rFonts w:cs="Arial"/>
                <w:sz w:val="18"/>
                <w:szCs w:val="18"/>
              </w:rPr>
              <w:t>cost-recovery fees through regulations</w:t>
            </w:r>
          </w:p>
        </w:tc>
        <w:tc>
          <w:tcPr>
            <w:tcW w:w="3281" w:type="dxa"/>
            <w:tcBorders>
              <w:left w:val="nil"/>
              <w:bottom w:val="single" w:sz="4" w:space="0" w:color="auto"/>
              <w:right w:val="nil"/>
            </w:tcBorders>
            <w:shd w:val="clear" w:color="auto" w:fill="E7E6E6" w:themeFill="background2"/>
          </w:tcPr>
          <w:p w14:paraId="1BE618E4" w14:textId="36B8EC09" w:rsidR="00765C76" w:rsidRPr="00765C76" w:rsidRDefault="0FC9908F" w:rsidP="005F5CD1">
            <w:pPr>
              <w:spacing w:before="60" w:after="60" w:line="240" w:lineRule="auto"/>
              <w:jc w:val="left"/>
              <w:rPr>
                <w:rFonts w:cs="Arial"/>
                <w:b/>
                <w:bCs/>
                <w:sz w:val="18"/>
                <w:szCs w:val="18"/>
              </w:rPr>
            </w:pPr>
            <w:r w:rsidRPr="3C4E5589">
              <w:rPr>
                <w:rFonts w:cs="Arial"/>
                <w:b/>
                <w:bCs/>
                <w:sz w:val="18"/>
                <w:szCs w:val="18"/>
              </w:rPr>
              <w:t xml:space="preserve">Option 3: </w:t>
            </w:r>
            <w:r w:rsidRPr="3C4E5589">
              <w:rPr>
                <w:sz w:val="18"/>
                <w:szCs w:val="18"/>
                <w:lang w:val="en-NZ"/>
              </w:rPr>
              <w:t xml:space="preserve">cost recovery, </w:t>
            </w:r>
            <w:r w:rsidR="562CE466" w:rsidRPr="3C4E5589">
              <w:rPr>
                <w:sz w:val="18"/>
                <w:szCs w:val="18"/>
                <w:lang w:val="en-NZ"/>
              </w:rPr>
              <w:t xml:space="preserve">with a </w:t>
            </w:r>
            <w:r w:rsidR="42539BCA" w:rsidRPr="78D23656">
              <w:rPr>
                <w:sz w:val="18"/>
                <w:szCs w:val="18"/>
                <w:lang w:val="en-NZ"/>
              </w:rPr>
              <w:t xml:space="preserve">partial </w:t>
            </w:r>
            <w:r w:rsidR="102F1F3B" w:rsidRPr="78D23656">
              <w:rPr>
                <w:sz w:val="18"/>
                <w:szCs w:val="18"/>
                <w:lang w:val="en-NZ"/>
              </w:rPr>
              <w:t>refund</w:t>
            </w:r>
            <w:r w:rsidR="7E913A2E" w:rsidRPr="3C4E5589">
              <w:rPr>
                <w:sz w:val="18"/>
                <w:szCs w:val="18"/>
                <w:lang w:val="en-NZ"/>
              </w:rPr>
              <w:t xml:space="preserve"> for applicants whose stores are no</w:t>
            </w:r>
            <w:r w:rsidR="069F9BEB" w:rsidRPr="3C4E5589">
              <w:rPr>
                <w:sz w:val="18"/>
                <w:szCs w:val="18"/>
                <w:lang w:val="en-NZ"/>
              </w:rPr>
              <w:t>t</w:t>
            </w:r>
            <w:r w:rsidR="7E913A2E" w:rsidRPr="3C4E5589">
              <w:rPr>
                <w:sz w:val="18"/>
                <w:szCs w:val="18"/>
                <w:lang w:val="en-NZ"/>
              </w:rPr>
              <w:t xml:space="preserve"> visited</w:t>
            </w:r>
          </w:p>
        </w:tc>
      </w:tr>
      <w:tr w:rsidR="000038BB" w:rsidRPr="00E87DD1" w14:paraId="6BE45A1E" w14:textId="3303EB8D" w:rsidTr="3C4E5589">
        <w:trPr>
          <w:trHeight w:val="66"/>
        </w:trPr>
        <w:tc>
          <w:tcPr>
            <w:tcW w:w="1034" w:type="dxa"/>
            <w:tcBorders>
              <w:top w:val="single" w:sz="4" w:space="0" w:color="auto"/>
              <w:left w:val="nil"/>
              <w:bottom w:val="single" w:sz="4" w:space="0" w:color="auto"/>
              <w:right w:val="nil"/>
            </w:tcBorders>
          </w:tcPr>
          <w:p w14:paraId="22048A10" w14:textId="77777777" w:rsidR="000038BB" w:rsidRPr="00E87DD1" w:rsidRDefault="000038BB" w:rsidP="005F5CD1">
            <w:pPr>
              <w:spacing w:before="60" w:after="60" w:line="240" w:lineRule="auto"/>
              <w:jc w:val="left"/>
              <w:rPr>
                <w:rFonts w:cs="Arial"/>
                <w:sz w:val="18"/>
                <w:szCs w:val="18"/>
              </w:rPr>
            </w:pPr>
            <w:r w:rsidRPr="00E87DD1">
              <w:rPr>
                <w:rFonts w:cs="Arial"/>
                <w:sz w:val="18"/>
                <w:szCs w:val="18"/>
              </w:rPr>
              <w:t>Pros</w:t>
            </w:r>
          </w:p>
        </w:tc>
        <w:tc>
          <w:tcPr>
            <w:tcW w:w="2794" w:type="dxa"/>
            <w:tcBorders>
              <w:top w:val="single" w:sz="4" w:space="0" w:color="auto"/>
              <w:left w:val="nil"/>
              <w:bottom w:val="single" w:sz="4" w:space="0" w:color="auto"/>
              <w:right w:val="nil"/>
            </w:tcBorders>
          </w:tcPr>
          <w:p w14:paraId="68A28074" w14:textId="6DBB2642" w:rsidR="007A7BEA" w:rsidRPr="00E87DD1" w:rsidRDefault="007B7F7D" w:rsidP="005F5CD1">
            <w:pPr>
              <w:spacing w:before="60" w:after="60" w:line="240" w:lineRule="auto"/>
              <w:jc w:val="left"/>
              <w:rPr>
                <w:rFonts w:cs="Arial"/>
                <w:sz w:val="18"/>
                <w:szCs w:val="18"/>
              </w:rPr>
            </w:pPr>
            <w:r>
              <w:rPr>
                <w:rFonts w:cs="Arial"/>
                <w:sz w:val="18"/>
                <w:szCs w:val="18"/>
              </w:rPr>
              <w:t>No cost to industry</w:t>
            </w:r>
          </w:p>
          <w:p w14:paraId="23315D75" w14:textId="5D74CF3C" w:rsidR="007A7BEA" w:rsidRPr="00E87DD1" w:rsidRDefault="007A7BEA" w:rsidP="005F5CD1">
            <w:pPr>
              <w:spacing w:before="60" w:after="60" w:line="240" w:lineRule="auto"/>
              <w:jc w:val="left"/>
              <w:rPr>
                <w:rFonts w:cs="Arial"/>
                <w:sz w:val="18"/>
                <w:szCs w:val="18"/>
              </w:rPr>
            </w:pPr>
          </w:p>
        </w:tc>
        <w:tc>
          <w:tcPr>
            <w:tcW w:w="3118" w:type="dxa"/>
            <w:tcBorders>
              <w:left w:val="nil"/>
              <w:bottom w:val="single" w:sz="4" w:space="0" w:color="auto"/>
              <w:right w:val="nil"/>
            </w:tcBorders>
          </w:tcPr>
          <w:p w14:paraId="6DE7AEA2" w14:textId="2C1CD367" w:rsidR="0002749E" w:rsidRDefault="00D00045" w:rsidP="005F5CD1">
            <w:pPr>
              <w:spacing w:before="60" w:after="60" w:line="240" w:lineRule="auto"/>
              <w:jc w:val="left"/>
              <w:rPr>
                <w:rFonts w:cs="Arial"/>
                <w:sz w:val="18"/>
                <w:szCs w:val="18"/>
              </w:rPr>
            </w:pPr>
            <w:r>
              <w:rPr>
                <w:rFonts w:cs="Arial"/>
                <w:sz w:val="18"/>
                <w:szCs w:val="18"/>
              </w:rPr>
              <w:t xml:space="preserve">Aligns with previous </w:t>
            </w:r>
            <w:r w:rsidR="00C73D68">
              <w:rPr>
                <w:rFonts w:cs="Arial"/>
                <w:sz w:val="18"/>
                <w:szCs w:val="18"/>
              </w:rPr>
              <w:t xml:space="preserve">Cabinet </w:t>
            </w:r>
            <w:r w:rsidR="00D07CA5">
              <w:rPr>
                <w:rFonts w:cs="Arial"/>
                <w:sz w:val="18"/>
                <w:szCs w:val="18"/>
              </w:rPr>
              <w:t xml:space="preserve">decision </w:t>
            </w:r>
            <w:r w:rsidR="00C73D68">
              <w:rPr>
                <w:rFonts w:cs="Arial"/>
                <w:sz w:val="18"/>
                <w:szCs w:val="18"/>
              </w:rPr>
              <w:t xml:space="preserve">for the </w:t>
            </w:r>
            <w:r w:rsidR="0002749E">
              <w:rPr>
                <w:rFonts w:cs="Arial"/>
                <w:sz w:val="18"/>
                <w:szCs w:val="18"/>
              </w:rPr>
              <w:t>s</w:t>
            </w:r>
            <w:r w:rsidR="00C73D68">
              <w:rPr>
                <w:rFonts w:cs="Arial"/>
                <w:sz w:val="18"/>
                <w:szCs w:val="18"/>
              </w:rPr>
              <w:t>cheme to be c</w:t>
            </w:r>
            <w:r w:rsidR="0002749E">
              <w:rPr>
                <w:rFonts w:cs="Arial"/>
                <w:sz w:val="18"/>
                <w:szCs w:val="18"/>
              </w:rPr>
              <w:t>o</w:t>
            </w:r>
            <w:r w:rsidR="00C73D68">
              <w:rPr>
                <w:rFonts w:cs="Arial"/>
                <w:sz w:val="18"/>
                <w:szCs w:val="18"/>
              </w:rPr>
              <w:t>st-recover</w:t>
            </w:r>
            <w:r w:rsidR="0002749E">
              <w:rPr>
                <w:rFonts w:cs="Arial"/>
                <w:sz w:val="18"/>
                <w:szCs w:val="18"/>
              </w:rPr>
              <w:t>ed</w:t>
            </w:r>
          </w:p>
          <w:p w14:paraId="72A9D04B" w14:textId="47C5496B" w:rsidR="00173CD2" w:rsidRDefault="0002749E" w:rsidP="005F5CD1">
            <w:pPr>
              <w:spacing w:before="60" w:after="60" w:line="240" w:lineRule="auto"/>
              <w:jc w:val="left"/>
              <w:rPr>
                <w:rFonts w:cs="Arial"/>
                <w:sz w:val="18"/>
                <w:szCs w:val="18"/>
              </w:rPr>
            </w:pPr>
            <w:r>
              <w:rPr>
                <w:rFonts w:cs="Arial"/>
                <w:sz w:val="18"/>
                <w:szCs w:val="18"/>
              </w:rPr>
              <w:t>Reduces reliance on funding from tax/public money</w:t>
            </w:r>
          </w:p>
          <w:p w14:paraId="37DB1C95" w14:textId="5FD85FC0" w:rsidR="00D23CEF" w:rsidRPr="00E87DD1" w:rsidRDefault="00243CAD" w:rsidP="005F5CD1">
            <w:pPr>
              <w:spacing w:before="60" w:after="60" w:line="240" w:lineRule="auto"/>
              <w:jc w:val="left"/>
              <w:rPr>
                <w:rFonts w:cs="Arial"/>
                <w:sz w:val="18"/>
                <w:szCs w:val="18"/>
              </w:rPr>
            </w:pPr>
            <w:r>
              <w:rPr>
                <w:rFonts w:cs="Arial"/>
                <w:sz w:val="18"/>
                <w:szCs w:val="18"/>
              </w:rPr>
              <w:t xml:space="preserve">Aligns with LDAC </w:t>
            </w:r>
            <w:r w:rsidR="00F9512B">
              <w:rPr>
                <w:rFonts w:cs="Arial"/>
                <w:sz w:val="18"/>
                <w:szCs w:val="18"/>
              </w:rPr>
              <w:t xml:space="preserve">guidelines for </w:t>
            </w:r>
            <w:r w:rsidR="00A616BD">
              <w:rPr>
                <w:rFonts w:cs="Arial"/>
                <w:sz w:val="18"/>
                <w:szCs w:val="18"/>
              </w:rPr>
              <w:t>char</w:t>
            </w:r>
            <w:r w:rsidR="00B0684F">
              <w:rPr>
                <w:rFonts w:cs="Arial"/>
                <w:sz w:val="18"/>
                <w:szCs w:val="18"/>
              </w:rPr>
              <w:t>ging</w:t>
            </w:r>
            <w:r w:rsidR="00F9512B">
              <w:rPr>
                <w:rFonts w:cs="Arial"/>
                <w:sz w:val="18"/>
                <w:szCs w:val="18"/>
              </w:rPr>
              <w:t xml:space="preserve"> fee</w:t>
            </w:r>
            <w:r w:rsidR="00B0684F">
              <w:rPr>
                <w:rFonts w:cs="Arial"/>
                <w:sz w:val="18"/>
                <w:szCs w:val="18"/>
              </w:rPr>
              <w:t>s and levies</w:t>
            </w:r>
          </w:p>
        </w:tc>
        <w:tc>
          <w:tcPr>
            <w:tcW w:w="3281" w:type="dxa"/>
            <w:tcBorders>
              <w:left w:val="nil"/>
              <w:bottom w:val="single" w:sz="4" w:space="0" w:color="auto"/>
              <w:right w:val="nil"/>
            </w:tcBorders>
          </w:tcPr>
          <w:p w14:paraId="1CAB7F6C" w14:textId="77777777" w:rsidR="00D07CA5" w:rsidRDefault="6C47B2FA" w:rsidP="005F5CD1">
            <w:pPr>
              <w:spacing w:before="60" w:after="60" w:line="240" w:lineRule="auto"/>
              <w:jc w:val="left"/>
              <w:rPr>
                <w:rFonts w:cs="Arial"/>
                <w:sz w:val="18"/>
                <w:szCs w:val="18"/>
              </w:rPr>
            </w:pPr>
            <w:r w:rsidRPr="3C4E5589">
              <w:rPr>
                <w:rFonts w:cs="Arial"/>
                <w:sz w:val="18"/>
                <w:szCs w:val="18"/>
              </w:rPr>
              <w:t>Aligns with previous Cabinet decision for the scheme to be cost-recovered</w:t>
            </w:r>
          </w:p>
          <w:p w14:paraId="4BCCA1BE" w14:textId="36B1BE85" w:rsidR="00A13A21" w:rsidRDefault="204BE9BD" w:rsidP="005F5CD1">
            <w:pPr>
              <w:spacing w:before="60" w:after="60" w:line="240" w:lineRule="auto"/>
              <w:jc w:val="left"/>
              <w:rPr>
                <w:rFonts w:cs="Arial"/>
                <w:sz w:val="18"/>
                <w:szCs w:val="18"/>
              </w:rPr>
            </w:pPr>
            <w:r w:rsidRPr="3C4E5589">
              <w:rPr>
                <w:rFonts w:cs="Arial"/>
                <w:sz w:val="18"/>
                <w:szCs w:val="18"/>
              </w:rPr>
              <w:t>R</w:t>
            </w:r>
            <w:r w:rsidR="3AEBE393" w:rsidRPr="3C4E5589">
              <w:rPr>
                <w:rFonts w:cs="Arial"/>
                <w:sz w:val="18"/>
                <w:szCs w:val="18"/>
              </w:rPr>
              <w:t>educes reliance on funding from tax/public money</w:t>
            </w:r>
          </w:p>
          <w:p w14:paraId="767CF1F2" w14:textId="77777777" w:rsidR="00765C76" w:rsidRDefault="3AEBE393" w:rsidP="005F5CD1">
            <w:pPr>
              <w:spacing w:before="60" w:after="60" w:line="240" w:lineRule="auto"/>
              <w:jc w:val="left"/>
              <w:rPr>
                <w:rFonts w:cs="Arial"/>
                <w:sz w:val="18"/>
                <w:szCs w:val="18"/>
              </w:rPr>
            </w:pPr>
            <w:r w:rsidRPr="3C4E5589">
              <w:rPr>
                <w:rFonts w:cs="Arial"/>
                <w:sz w:val="18"/>
                <w:szCs w:val="18"/>
              </w:rPr>
              <w:t>Aligns with LDAC guidelines for charging fees and levies</w:t>
            </w:r>
          </w:p>
          <w:p w14:paraId="67F81C58" w14:textId="67739D75" w:rsidR="7F9E5C55" w:rsidRDefault="7F9E5C55" w:rsidP="005F5CD1">
            <w:pPr>
              <w:spacing w:before="60" w:after="60" w:line="240" w:lineRule="auto"/>
              <w:jc w:val="left"/>
              <w:rPr>
                <w:rFonts w:cs="Arial"/>
                <w:sz w:val="18"/>
                <w:szCs w:val="18"/>
              </w:rPr>
            </w:pPr>
            <w:r w:rsidRPr="3C4E5589">
              <w:rPr>
                <w:rFonts w:cs="Arial"/>
                <w:sz w:val="18"/>
                <w:szCs w:val="18"/>
              </w:rPr>
              <w:t xml:space="preserve">Only those who </w:t>
            </w:r>
            <w:r w:rsidR="00E50836">
              <w:rPr>
                <w:rFonts w:cs="Arial"/>
                <w:sz w:val="18"/>
                <w:szCs w:val="18"/>
              </w:rPr>
              <w:t xml:space="preserve">meet </w:t>
            </w:r>
            <w:r w:rsidR="00DB401C">
              <w:rPr>
                <w:rFonts w:cs="Arial"/>
                <w:sz w:val="18"/>
                <w:szCs w:val="18"/>
              </w:rPr>
              <w:t>approval requirements</w:t>
            </w:r>
            <w:r w:rsidR="00E50836" w:rsidRPr="3C4E5589">
              <w:rPr>
                <w:rFonts w:cs="Arial"/>
                <w:sz w:val="18"/>
                <w:szCs w:val="18"/>
              </w:rPr>
              <w:t xml:space="preserve"> </w:t>
            </w:r>
            <w:r w:rsidRPr="3C4E5589">
              <w:rPr>
                <w:rFonts w:cs="Arial"/>
                <w:sz w:val="18"/>
                <w:szCs w:val="18"/>
              </w:rPr>
              <w:t>pay for site visits</w:t>
            </w:r>
          </w:p>
          <w:p w14:paraId="2747198A" w14:textId="0118625C" w:rsidR="00765C76" w:rsidRDefault="00765C76" w:rsidP="005F5CD1">
            <w:pPr>
              <w:spacing w:before="60" w:after="60" w:line="240" w:lineRule="auto"/>
              <w:jc w:val="left"/>
              <w:rPr>
                <w:rFonts w:cs="Arial"/>
                <w:sz w:val="18"/>
                <w:szCs w:val="18"/>
              </w:rPr>
            </w:pPr>
          </w:p>
        </w:tc>
      </w:tr>
      <w:tr w:rsidR="000038BB" w:rsidRPr="00E87DD1" w14:paraId="1E36390F" w14:textId="216DECE7" w:rsidTr="3C4E5589">
        <w:trPr>
          <w:trHeight w:val="71"/>
        </w:trPr>
        <w:tc>
          <w:tcPr>
            <w:tcW w:w="1034" w:type="dxa"/>
            <w:tcBorders>
              <w:top w:val="single" w:sz="4" w:space="0" w:color="auto"/>
              <w:left w:val="nil"/>
              <w:bottom w:val="single" w:sz="4" w:space="0" w:color="auto"/>
              <w:right w:val="nil"/>
            </w:tcBorders>
          </w:tcPr>
          <w:p w14:paraId="32621082" w14:textId="77777777" w:rsidR="000038BB" w:rsidRPr="00E87DD1" w:rsidRDefault="000038BB" w:rsidP="005F5CD1">
            <w:pPr>
              <w:spacing w:before="60" w:after="60" w:line="240" w:lineRule="auto"/>
              <w:jc w:val="left"/>
              <w:rPr>
                <w:rFonts w:cs="Arial"/>
                <w:sz w:val="18"/>
                <w:szCs w:val="18"/>
              </w:rPr>
            </w:pPr>
            <w:r w:rsidRPr="00E87DD1">
              <w:rPr>
                <w:rFonts w:cs="Arial"/>
                <w:sz w:val="18"/>
                <w:szCs w:val="18"/>
              </w:rPr>
              <w:t>Cons</w:t>
            </w:r>
          </w:p>
        </w:tc>
        <w:tc>
          <w:tcPr>
            <w:tcW w:w="2794" w:type="dxa"/>
            <w:tcBorders>
              <w:top w:val="single" w:sz="4" w:space="0" w:color="auto"/>
              <w:left w:val="nil"/>
              <w:bottom w:val="single" w:sz="4" w:space="0" w:color="auto"/>
              <w:right w:val="nil"/>
            </w:tcBorders>
          </w:tcPr>
          <w:p w14:paraId="183208BB" w14:textId="77777777" w:rsidR="002920DF" w:rsidRDefault="002920DF" w:rsidP="005F5CD1">
            <w:pPr>
              <w:spacing w:before="60" w:after="60" w:line="240" w:lineRule="auto"/>
              <w:jc w:val="left"/>
              <w:rPr>
                <w:rFonts w:cs="Arial"/>
                <w:sz w:val="18"/>
                <w:szCs w:val="18"/>
              </w:rPr>
            </w:pPr>
            <w:r w:rsidRPr="00173A0D">
              <w:rPr>
                <w:rFonts w:cs="Arial"/>
                <w:sz w:val="18"/>
                <w:szCs w:val="18"/>
              </w:rPr>
              <w:t>Does not align with Cabinet decision</w:t>
            </w:r>
            <w:r>
              <w:rPr>
                <w:rFonts w:cs="Arial"/>
                <w:sz w:val="18"/>
                <w:szCs w:val="18"/>
              </w:rPr>
              <w:t xml:space="preserve"> for scheme to be cost-recovered</w:t>
            </w:r>
          </w:p>
          <w:p w14:paraId="5906B7A8" w14:textId="68CD8780" w:rsidR="00C73D68" w:rsidRDefault="000F220A" w:rsidP="005F5CD1">
            <w:pPr>
              <w:spacing w:before="60" w:after="60" w:line="240" w:lineRule="auto"/>
              <w:jc w:val="left"/>
              <w:rPr>
                <w:rFonts w:cs="Arial"/>
                <w:sz w:val="18"/>
                <w:szCs w:val="18"/>
              </w:rPr>
            </w:pPr>
            <w:r>
              <w:rPr>
                <w:rFonts w:cs="Arial"/>
                <w:sz w:val="18"/>
                <w:szCs w:val="18"/>
              </w:rPr>
              <w:t xml:space="preserve">Additional </w:t>
            </w:r>
            <w:r w:rsidR="2DEA66DA" w:rsidRPr="65340990">
              <w:rPr>
                <w:rFonts w:cs="Arial"/>
                <w:sz w:val="18"/>
                <w:szCs w:val="18"/>
              </w:rPr>
              <w:t>c</w:t>
            </w:r>
            <w:r w:rsidR="73659EF4" w:rsidRPr="65340990">
              <w:rPr>
                <w:rFonts w:cs="Arial"/>
                <w:sz w:val="18"/>
                <w:szCs w:val="18"/>
              </w:rPr>
              <w:t>ost</w:t>
            </w:r>
            <w:r w:rsidR="2DEA66DA" w:rsidRPr="65340990">
              <w:rPr>
                <w:rFonts w:cs="Arial"/>
                <w:sz w:val="18"/>
                <w:szCs w:val="18"/>
              </w:rPr>
              <w:t>s</w:t>
            </w:r>
            <w:r w:rsidR="00C73D68">
              <w:rPr>
                <w:rFonts w:cs="Arial"/>
                <w:sz w:val="18"/>
                <w:szCs w:val="18"/>
              </w:rPr>
              <w:t xml:space="preserve"> to Government to fund the regulatory s</w:t>
            </w:r>
            <w:r w:rsidR="00776B45">
              <w:rPr>
                <w:rFonts w:cs="Arial"/>
                <w:sz w:val="18"/>
                <w:szCs w:val="18"/>
              </w:rPr>
              <w:t>c</w:t>
            </w:r>
            <w:r w:rsidR="00C73D68">
              <w:rPr>
                <w:rFonts w:cs="Arial"/>
                <w:sz w:val="18"/>
                <w:szCs w:val="18"/>
              </w:rPr>
              <w:t>heme</w:t>
            </w:r>
          </w:p>
          <w:p w14:paraId="77201C5F" w14:textId="04FA5565" w:rsidR="007611F5" w:rsidRPr="00173A0D" w:rsidRDefault="3BB985FE" w:rsidP="005F5CD1">
            <w:pPr>
              <w:spacing w:before="60" w:after="60" w:line="240" w:lineRule="auto"/>
              <w:jc w:val="left"/>
              <w:rPr>
                <w:rFonts w:cs="Arial"/>
                <w:sz w:val="18"/>
                <w:szCs w:val="18"/>
              </w:rPr>
            </w:pPr>
            <w:r w:rsidRPr="3C4E5589">
              <w:rPr>
                <w:rFonts w:cs="Arial"/>
                <w:sz w:val="18"/>
                <w:szCs w:val="18"/>
              </w:rPr>
              <w:t>Does not align with</w:t>
            </w:r>
            <w:r w:rsidR="00C5382C">
              <w:rPr>
                <w:rFonts w:cs="Arial"/>
                <w:sz w:val="18"/>
                <w:szCs w:val="18"/>
              </w:rPr>
              <w:t xml:space="preserve"> feedback from consultation hui that </w:t>
            </w:r>
            <w:r w:rsidR="00A5659C">
              <w:rPr>
                <w:rFonts w:cs="Arial"/>
                <w:sz w:val="18"/>
                <w:szCs w:val="18"/>
              </w:rPr>
              <w:t xml:space="preserve">costs should not be met by the </w:t>
            </w:r>
            <w:proofErr w:type="gramStart"/>
            <w:r w:rsidR="00A5659C">
              <w:rPr>
                <w:rFonts w:cs="Arial"/>
                <w:sz w:val="18"/>
                <w:szCs w:val="18"/>
              </w:rPr>
              <w:t>tax payer</w:t>
            </w:r>
            <w:proofErr w:type="gramEnd"/>
          </w:p>
        </w:tc>
        <w:tc>
          <w:tcPr>
            <w:tcW w:w="3118" w:type="dxa"/>
            <w:tcBorders>
              <w:top w:val="single" w:sz="4" w:space="0" w:color="auto"/>
              <w:left w:val="nil"/>
              <w:bottom w:val="single" w:sz="4" w:space="0" w:color="auto"/>
              <w:right w:val="nil"/>
            </w:tcBorders>
          </w:tcPr>
          <w:p w14:paraId="54C94DF3" w14:textId="0E24DA4C" w:rsidR="00977BA9" w:rsidRPr="00173A0D" w:rsidRDefault="5E45AFB0" w:rsidP="005F5CD1">
            <w:pPr>
              <w:spacing w:before="60" w:after="60" w:line="240" w:lineRule="auto"/>
              <w:rPr>
                <w:rFonts w:cs="Arial"/>
                <w:sz w:val="18"/>
                <w:szCs w:val="18"/>
              </w:rPr>
            </w:pPr>
            <w:r w:rsidRPr="3C4E5589">
              <w:rPr>
                <w:rFonts w:cs="Arial"/>
                <w:sz w:val="18"/>
                <w:szCs w:val="18"/>
              </w:rPr>
              <w:t>Up front cost for businesses</w:t>
            </w:r>
            <w:r w:rsidR="6CA17EEA" w:rsidRPr="3C4E5589">
              <w:rPr>
                <w:rFonts w:cs="Arial"/>
                <w:sz w:val="18"/>
                <w:szCs w:val="18"/>
              </w:rPr>
              <w:t xml:space="preserve"> may be a barrier to </w:t>
            </w:r>
            <w:r w:rsidR="00541773">
              <w:rPr>
                <w:rFonts w:cs="Arial"/>
                <w:sz w:val="18"/>
                <w:szCs w:val="18"/>
              </w:rPr>
              <w:t xml:space="preserve">seeking </w:t>
            </w:r>
            <w:r w:rsidR="6CA17EEA" w:rsidRPr="3C4E5589">
              <w:rPr>
                <w:rFonts w:cs="Arial"/>
                <w:sz w:val="18"/>
                <w:szCs w:val="18"/>
              </w:rPr>
              <w:t>entry for some eligible retailers</w:t>
            </w:r>
          </w:p>
          <w:p w14:paraId="1B00AAC1" w14:textId="41220DC7" w:rsidR="00814041" w:rsidRPr="00BB5FD9" w:rsidRDefault="3860DD45" w:rsidP="005F5CD1">
            <w:pPr>
              <w:spacing w:before="60" w:after="60" w:line="240" w:lineRule="auto"/>
              <w:rPr>
                <w:rFonts w:cs="Arial"/>
                <w:sz w:val="18"/>
                <w:szCs w:val="18"/>
                <w:lang w:val="en-NZ"/>
              </w:rPr>
            </w:pPr>
            <w:r w:rsidRPr="3C4E5589">
              <w:rPr>
                <w:rFonts w:cs="Arial"/>
                <w:sz w:val="18"/>
                <w:szCs w:val="18"/>
              </w:rPr>
              <w:t xml:space="preserve">Ongoing costs </w:t>
            </w:r>
            <w:r w:rsidR="7B3497DC" w:rsidRPr="3C4E5589">
              <w:rPr>
                <w:rFonts w:cs="Arial"/>
                <w:sz w:val="18"/>
                <w:szCs w:val="18"/>
              </w:rPr>
              <w:t>t</w:t>
            </w:r>
            <w:r w:rsidR="5E45AFB0" w:rsidRPr="3C4E5589">
              <w:rPr>
                <w:rFonts w:cs="Arial"/>
                <w:sz w:val="18"/>
                <w:szCs w:val="18"/>
              </w:rPr>
              <w:t xml:space="preserve">o the sector for </w:t>
            </w:r>
            <w:r w:rsidR="7B3497DC" w:rsidRPr="3C4E5589">
              <w:rPr>
                <w:rFonts w:cs="Arial"/>
                <w:sz w:val="18"/>
                <w:szCs w:val="18"/>
              </w:rPr>
              <w:t xml:space="preserve">some fee categories </w:t>
            </w:r>
            <w:r w:rsidR="57C6CCCA" w:rsidRPr="3C4E5589">
              <w:rPr>
                <w:rFonts w:cs="Arial"/>
                <w:sz w:val="18"/>
                <w:szCs w:val="18"/>
              </w:rPr>
              <w:t>–</w:t>
            </w:r>
            <w:r w:rsidR="7B3497DC" w:rsidRPr="3C4E5589">
              <w:rPr>
                <w:rFonts w:cs="Arial"/>
                <w:sz w:val="18"/>
                <w:szCs w:val="18"/>
              </w:rPr>
              <w:t xml:space="preserve"> noti</w:t>
            </w:r>
            <w:r w:rsidR="57C6CCCA" w:rsidRPr="3C4E5589">
              <w:rPr>
                <w:rFonts w:cs="Arial"/>
                <w:sz w:val="18"/>
                <w:szCs w:val="18"/>
              </w:rPr>
              <w:t>fication and temporary product approvals</w:t>
            </w:r>
            <w:r w:rsidR="0C9FD8C4" w:rsidRPr="3C4E5589">
              <w:rPr>
                <w:rFonts w:cs="Arial"/>
                <w:sz w:val="18"/>
                <w:szCs w:val="18"/>
              </w:rPr>
              <w:t xml:space="preserve"> – may be passed on to consumers</w:t>
            </w:r>
          </w:p>
          <w:p w14:paraId="25ED5DDA" w14:textId="41C49780" w:rsidR="00814041" w:rsidRPr="00BB5FD9" w:rsidRDefault="43A8A405" w:rsidP="005F5CD1">
            <w:pPr>
              <w:spacing w:before="60" w:after="60" w:line="240" w:lineRule="auto"/>
              <w:rPr>
                <w:rFonts w:cs="Arial"/>
                <w:sz w:val="18"/>
                <w:szCs w:val="18"/>
              </w:rPr>
            </w:pPr>
            <w:r w:rsidRPr="3C4E5589">
              <w:rPr>
                <w:rFonts w:cs="Arial"/>
                <w:sz w:val="18"/>
                <w:szCs w:val="18"/>
              </w:rPr>
              <w:t>All retailers pay for a site visit, even if they do not benefit from one</w:t>
            </w:r>
          </w:p>
        </w:tc>
        <w:tc>
          <w:tcPr>
            <w:tcW w:w="3281" w:type="dxa"/>
            <w:tcBorders>
              <w:top w:val="single" w:sz="4" w:space="0" w:color="auto"/>
              <w:left w:val="nil"/>
              <w:bottom w:val="single" w:sz="4" w:space="0" w:color="auto"/>
              <w:right w:val="nil"/>
            </w:tcBorders>
          </w:tcPr>
          <w:p w14:paraId="3A3D9A3A" w14:textId="1C4FA97B" w:rsidR="00743596" w:rsidRPr="00173A0D" w:rsidRDefault="4BA9AB07" w:rsidP="005F5CD1">
            <w:pPr>
              <w:spacing w:before="60" w:after="60" w:line="240" w:lineRule="auto"/>
              <w:jc w:val="left"/>
              <w:rPr>
                <w:rFonts w:cs="Arial"/>
                <w:sz w:val="18"/>
                <w:szCs w:val="18"/>
              </w:rPr>
            </w:pPr>
            <w:r w:rsidRPr="3C4E5589">
              <w:rPr>
                <w:rFonts w:cs="Arial"/>
                <w:sz w:val="18"/>
                <w:szCs w:val="18"/>
              </w:rPr>
              <w:t>Higher up</w:t>
            </w:r>
            <w:r w:rsidR="0DFB5C8F" w:rsidRPr="3C4E5589">
              <w:rPr>
                <w:rFonts w:cs="Arial"/>
                <w:sz w:val="18"/>
                <w:szCs w:val="18"/>
              </w:rPr>
              <w:t>-</w:t>
            </w:r>
            <w:r w:rsidR="74F64EBE" w:rsidRPr="3C4E5589">
              <w:rPr>
                <w:rFonts w:cs="Arial"/>
                <w:sz w:val="18"/>
                <w:szCs w:val="18"/>
              </w:rPr>
              <w:t xml:space="preserve">front cost for </w:t>
            </w:r>
            <w:r w:rsidR="04375B2A" w:rsidRPr="3C4E5589">
              <w:rPr>
                <w:rFonts w:cs="Arial"/>
                <w:sz w:val="18"/>
                <w:szCs w:val="18"/>
              </w:rPr>
              <w:t>smoked tobacco retailer applicants</w:t>
            </w:r>
            <w:r w:rsidR="74F64EBE" w:rsidRPr="3C4E5589">
              <w:rPr>
                <w:rFonts w:cs="Arial"/>
                <w:sz w:val="18"/>
                <w:szCs w:val="18"/>
              </w:rPr>
              <w:t xml:space="preserve">, may be a </w:t>
            </w:r>
            <w:r w:rsidR="069F9BEB" w:rsidRPr="3C4E5589">
              <w:rPr>
                <w:rFonts w:cs="Arial"/>
                <w:sz w:val="18"/>
                <w:szCs w:val="18"/>
              </w:rPr>
              <w:t xml:space="preserve">higher </w:t>
            </w:r>
            <w:r w:rsidR="74F64EBE" w:rsidRPr="3C4E5589">
              <w:rPr>
                <w:rFonts w:cs="Arial"/>
                <w:sz w:val="18"/>
                <w:szCs w:val="18"/>
              </w:rPr>
              <w:t xml:space="preserve">barrier to </w:t>
            </w:r>
            <w:r w:rsidR="00DB401C">
              <w:rPr>
                <w:rFonts w:cs="Arial"/>
                <w:sz w:val="18"/>
                <w:szCs w:val="18"/>
              </w:rPr>
              <w:t xml:space="preserve">seeking </w:t>
            </w:r>
            <w:r w:rsidR="74F64EBE" w:rsidRPr="3C4E5589">
              <w:rPr>
                <w:rFonts w:cs="Arial"/>
                <w:sz w:val="18"/>
                <w:szCs w:val="18"/>
              </w:rPr>
              <w:t>entry for some eligible retailers</w:t>
            </w:r>
          </w:p>
          <w:p w14:paraId="42FF6FA7" w14:textId="42563D78" w:rsidR="00D843A6" w:rsidRPr="00173A0D" w:rsidRDefault="4FDD8661" w:rsidP="005F5CD1">
            <w:pPr>
              <w:spacing w:before="60" w:after="60" w:line="240" w:lineRule="auto"/>
              <w:jc w:val="left"/>
              <w:rPr>
                <w:rFonts w:cs="Arial"/>
                <w:sz w:val="18"/>
                <w:szCs w:val="18"/>
              </w:rPr>
            </w:pPr>
            <w:r w:rsidRPr="3C4E5589">
              <w:rPr>
                <w:rFonts w:cs="Arial"/>
                <w:sz w:val="18"/>
                <w:szCs w:val="18"/>
              </w:rPr>
              <w:t>Higher o</w:t>
            </w:r>
            <w:r w:rsidR="716D8F4C" w:rsidRPr="3C4E5589">
              <w:rPr>
                <w:rFonts w:cs="Arial"/>
                <w:sz w:val="18"/>
                <w:szCs w:val="18"/>
              </w:rPr>
              <w:t xml:space="preserve">verall costs </w:t>
            </w:r>
            <w:r w:rsidR="2BB05FDF" w:rsidRPr="3C4E5589">
              <w:rPr>
                <w:rFonts w:cs="Arial"/>
                <w:sz w:val="18"/>
                <w:szCs w:val="18"/>
              </w:rPr>
              <w:t>for</w:t>
            </w:r>
            <w:r w:rsidR="716D8F4C" w:rsidRPr="3C4E5589">
              <w:rPr>
                <w:rFonts w:cs="Arial"/>
                <w:sz w:val="18"/>
                <w:szCs w:val="18"/>
              </w:rPr>
              <w:t xml:space="preserve"> successful </w:t>
            </w:r>
            <w:r w:rsidRPr="3C4E5589">
              <w:rPr>
                <w:rFonts w:cs="Arial"/>
                <w:sz w:val="18"/>
                <w:szCs w:val="18"/>
              </w:rPr>
              <w:t>retail applicants, still a significant cost for unsuccessful applicants</w:t>
            </w:r>
          </w:p>
          <w:p w14:paraId="70FD01C8" w14:textId="626781FA" w:rsidR="000B6BF0" w:rsidRDefault="000B6BF0" w:rsidP="005F5CD1">
            <w:pPr>
              <w:spacing w:before="60" w:after="60" w:line="240" w:lineRule="auto"/>
              <w:jc w:val="left"/>
              <w:rPr>
                <w:rFonts w:cs="Arial"/>
                <w:sz w:val="18"/>
                <w:szCs w:val="18"/>
              </w:rPr>
            </w:pPr>
            <w:r>
              <w:rPr>
                <w:rFonts w:cs="Arial"/>
                <w:sz w:val="18"/>
                <w:szCs w:val="18"/>
              </w:rPr>
              <w:t>Ongoing costs t</w:t>
            </w:r>
            <w:r w:rsidRPr="00173A0D">
              <w:rPr>
                <w:rFonts w:cs="Arial"/>
                <w:sz w:val="18"/>
                <w:szCs w:val="18"/>
              </w:rPr>
              <w:t xml:space="preserve">o the sector for </w:t>
            </w:r>
            <w:r>
              <w:rPr>
                <w:rFonts w:cs="Arial"/>
                <w:sz w:val="18"/>
                <w:szCs w:val="18"/>
              </w:rPr>
              <w:t>some fee categories – notification and temporary product approvals</w:t>
            </w:r>
          </w:p>
          <w:p w14:paraId="3386E659" w14:textId="43E64D8C" w:rsidR="00113359" w:rsidRPr="00173A0D" w:rsidRDefault="60FCC9DC" w:rsidP="005F5CD1">
            <w:pPr>
              <w:spacing w:before="60" w:after="60" w:line="240" w:lineRule="auto"/>
              <w:jc w:val="left"/>
              <w:rPr>
                <w:rFonts w:cs="Arial"/>
                <w:sz w:val="18"/>
                <w:szCs w:val="18"/>
              </w:rPr>
            </w:pPr>
            <w:r w:rsidRPr="3C4E5589">
              <w:rPr>
                <w:rFonts w:cs="Arial"/>
                <w:sz w:val="18"/>
                <w:szCs w:val="18"/>
              </w:rPr>
              <w:t>Significant time and cost to process and return refunds to applicants</w:t>
            </w:r>
          </w:p>
        </w:tc>
      </w:tr>
    </w:tbl>
    <w:p w14:paraId="4C13988A" w14:textId="77777777" w:rsidR="000038BB" w:rsidRPr="000038BB" w:rsidRDefault="000038BB" w:rsidP="000038BB">
      <w:pPr>
        <w:rPr>
          <w:lang w:val="en-NZ"/>
        </w:rPr>
      </w:pPr>
    </w:p>
    <w:p w14:paraId="30DEB8B6" w14:textId="1BA01CE2" w:rsidR="00FF04EC" w:rsidRPr="006448CF" w:rsidRDefault="00FF04EC" w:rsidP="00FF04EC">
      <w:pPr>
        <w:rPr>
          <w:lang w:val="en-NZ"/>
        </w:rPr>
        <w:sectPr w:rsidR="00FF04EC" w:rsidRPr="006448CF" w:rsidSect="00150D58">
          <w:headerReference w:type="even" r:id="rId32"/>
          <w:headerReference w:type="default" r:id="rId33"/>
          <w:footerReference w:type="even" r:id="rId34"/>
          <w:footerReference w:type="default" r:id="rId35"/>
          <w:pgSz w:w="11906" w:h="16838" w:code="9"/>
          <w:pgMar w:top="1134" w:right="1418" w:bottom="992" w:left="1418" w:header="454" w:footer="454" w:gutter="0"/>
          <w:cols w:space="708"/>
          <w:docGrid w:linePitch="360"/>
        </w:sectPr>
      </w:pPr>
    </w:p>
    <w:p w14:paraId="6B60E96B" w14:textId="77777777" w:rsidR="00FF04EC" w:rsidRPr="00A864A5" w:rsidRDefault="74F25DBF" w:rsidP="00FF04EC">
      <w:pPr>
        <w:pStyle w:val="Heading3"/>
        <w:rPr>
          <w:lang w:val="en-NZ"/>
        </w:rPr>
      </w:pPr>
      <w:r w:rsidRPr="3C4E5589">
        <w:rPr>
          <w:lang w:val="en-NZ"/>
        </w:rPr>
        <w:t>How do the options compare to the status quo/counterfactual?</w:t>
      </w:r>
    </w:p>
    <w:tbl>
      <w:tblPr>
        <w:tblW w:w="14913"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2010"/>
        <w:gridCol w:w="4101"/>
        <w:gridCol w:w="4549"/>
        <w:gridCol w:w="4253"/>
      </w:tblGrid>
      <w:tr w:rsidR="009E1906" w:rsidRPr="00A864A5" w14:paraId="4A8A04BC" w14:textId="28A1AFD4" w:rsidTr="14E07CEB">
        <w:trPr>
          <w:trHeight w:val="395"/>
        </w:trPr>
        <w:tc>
          <w:tcPr>
            <w:tcW w:w="2010" w:type="dxa"/>
            <w:shd w:val="clear" w:color="auto" w:fill="F2F2F2" w:themeFill="background1" w:themeFillShade="F2"/>
            <w:vAlign w:val="center"/>
          </w:tcPr>
          <w:p w14:paraId="7FE79CC3" w14:textId="77777777" w:rsidR="009E1906" w:rsidRPr="00DB51CD" w:rsidRDefault="009E1906" w:rsidP="0077649D">
            <w:pPr>
              <w:spacing w:before="60" w:after="60" w:line="276" w:lineRule="auto"/>
              <w:jc w:val="center"/>
              <w:rPr>
                <w:rFonts w:cs="Arial"/>
                <w:bCs/>
                <w:i/>
                <w:iCs/>
                <w:color w:val="FFFFFF"/>
                <w:sz w:val="20"/>
                <w:szCs w:val="24"/>
                <w:lang w:val="en-NZ"/>
              </w:rPr>
            </w:pPr>
          </w:p>
        </w:tc>
        <w:tc>
          <w:tcPr>
            <w:tcW w:w="4101" w:type="dxa"/>
            <w:shd w:val="clear" w:color="auto" w:fill="F2F2F2" w:themeFill="background1" w:themeFillShade="F2"/>
            <w:vAlign w:val="center"/>
          </w:tcPr>
          <w:p w14:paraId="7375DE72" w14:textId="11C0D73E" w:rsidR="009E1906" w:rsidRPr="00A864A5" w:rsidRDefault="009E1906" w:rsidP="0077649D">
            <w:pPr>
              <w:spacing w:before="60" w:after="60" w:line="240" w:lineRule="auto"/>
              <w:jc w:val="center"/>
              <w:rPr>
                <w:rFonts w:cs="Arial"/>
                <w:b/>
                <w:color w:val="000000"/>
                <w:szCs w:val="22"/>
                <w:lang w:val="en-NZ"/>
              </w:rPr>
            </w:pPr>
            <w:r w:rsidRPr="00A864A5">
              <w:rPr>
                <w:rFonts w:cs="Arial"/>
                <w:b/>
                <w:color w:val="000000"/>
                <w:szCs w:val="22"/>
                <w:lang w:val="en-NZ"/>
              </w:rPr>
              <w:t xml:space="preserve">Option </w:t>
            </w:r>
            <w:r w:rsidR="00834CAC">
              <w:rPr>
                <w:rFonts w:cs="Arial"/>
                <w:b/>
                <w:color w:val="000000"/>
                <w:szCs w:val="22"/>
                <w:lang w:val="en-NZ"/>
              </w:rPr>
              <w:t>1</w:t>
            </w:r>
            <w:r w:rsidRPr="00A864A5">
              <w:rPr>
                <w:rFonts w:cs="Arial"/>
                <w:b/>
                <w:color w:val="000000"/>
                <w:szCs w:val="22"/>
                <w:lang w:val="en-NZ"/>
              </w:rPr>
              <w:t xml:space="preserve"> </w:t>
            </w:r>
            <w:r>
              <w:rPr>
                <w:rFonts w:cs="Arial"/>
                <w:b/>
                <w:color w:val="000000"/>
                <w:szCs w:val="22"/>
                <w:lang w:val="en-NZ"/>
              </w:rPr>
              <w:t>(Counterfactual) – Do not charge</w:t>
            </w:r>
            <w:r w:rsidR="0028511F">
              <w:rPr>
                <w:rFonts w:cs="Arial"/>
                <w:b/>
                <w:color w:val="000000"/>
                <w:szCs w:val="22"/>
                <w:lang w:val="en-NZ"/>
              </w:rPr>
              <w:t xml:space="preserve"> cost-recovery</w:t>
            </w:r>
            <w:r>
              <w:rPr>
                <w:rFonts w:cs="Arial"/>
                <w:b/>
                <w:color w:val="000000"/>
                <w:szCs w:val="22"/>
                <w:lang w:val="en-NZ"/>
              </w:rPr>
              <w:t xml:space="preserve"> fees</w:t>
            </w:r>
          </w:p>
        </w:tc>
        <w:tc>
          <w:tcPr>
            <w:tcW w:w="4549" w:type="dxa"/>
            <w:shd w:val="clear" w:color="auto" w:fill="F2F2F2" w:themeFill="background1" w:themeFillShade="F2"/>
            <w:vAlign w:val="center"/>
          </w:tcPr>
          <w:p w14:paraId="0BE3B421" w14:textId="0A9B8097" w:rsidR="009E1906" w:rsidRPr="00A864A5" w:rsidRDefault="009E1906" w:rsidP="0077649D">
            <w:pPr>
              <w:spacing w:before="60" w:after="60" w:line="276" w:lineRule="auto"/>
              <w:jc w:val="center"/>
              <w:rPr>
                <w:rFonts w:cs="Arial"/>
                <w:b/>
                <w:color w:val="000000"/>
                <w:szCs w:val="22"/>
                <w:lang w:val="en-NZ"/>
              </w:rPr>
            </w:pPr>
            <w:r w:rsidRPr="00A864A5">
              <w:rPr>
                <w:rFonts w:cs="Arial"/>
                <w:b/>
                <w:color w:val="000000"/>
                <w:szCs w:val="22"/>
                <w:lang w:val="en-NZ"/>
              </w:rPr>
              <w:t xml:space="preserve">Option </w:t>
            </w:r>
            <w:r w:rsidR="002A1C7D">
              <w:rPr>
                <w:rFonts w:cs="Arial"/>
                <w:b/>
                <w:color w:val="000000"/>
                <w:szCs w:val="22"/>
                <w:lang w:val="en-NZ"/>
              </w:rPr>
              <w:t>2</w:t>
            </w:r>
            <w:r w:rsidRPr="00A864A5">
              <w:rPr>
                <w:rFonts w:cs="Arial"/>
                <w:b/>
                <w:color w:val="000000"/>
                <w:szCs w:val="22"/>
                <w:lang w:val="en-NZ"/>
              </w:rPr>
              <w:t xml:space="preserve"> </w:t>
            </w:r>
            <w:r w:rsidRPr="009E1906">
              <w:rPr>
                <w:rFonts w:cs="Arial"/>
                <w:b/>
                <w:szCs w:val="22"/>
                <w:lang w:val="en-NZ"/>
              </w:rPr>
              <w:t xml:space="preserve">– </w:t>
            </w:r>
            <w:r w:rsidRPr="009E1906">
              <w:rPr>
                <w:b/>
                <w:lang w:val="en-NZ"/>
              </w:rPr>
              <w:t>Introduce cost-recovery fees</w:t>
            </w:r>
            <w:r w:rsidR="0028511F">
              <w:rPr>
                <w:b/>
                <w:lang w:val="en-NZ"/>
              </w:rPr>
              <w:t xml:space="preserve"> through regulations</w:t>
            </w:r>
          </w:p>
        </w:tc>
        <w:tc>
          <w:tcPr>
            <w:tcW w:w="4253" w:type="dxa"/>
            <w:shd w:val="clear" w:color="auto" w:fill="F2F2F2" w:themeFill="background1" w:themeFillShade="F2"/>
          </w:tcPr>
          <w:p w14:paraId="224A4639" w14:textId="026AC7FE" w:rsidR="00A65799" w:rsidRPr="00A65799" w:rsidRDefault="00A65799" w:rsidP="0077649D">
            <w:pPr>
              <w:spacing w:before="60" w:after="60" w:line="276" w:lineRule="auto"/>
              <w:jc w:val="center"/>
              <w:rPr>
                <w:rFonts w:cs="Arial"/>
                <w:b/>
              </w:rPr>
            </w:pPr>
            <w:r w:rsidRPr="5CDE10A5">
              <w:rPr>
                <w:rFonts w:cs="Arial"/>
                <w:b/>
              </w:rPr>
              <w:t xml:space="preserve">Option </w:t>
            </w:r>
            <w:r w:rsidR="00C55D54">
              <w:rPr>
                <w:rFonts w:cs="Arial"/>
                <w:b/>
              </w:rPr>
              <w:t>3</w:t>
            </w:r>
            <w:r w:rsidR="00585737" w:rsidRPr="5CDE10A5">
              <w:rPr>
                <w:rFonts w:cs="Arial"/>
                <w:b/>
              </w:rPr>
              <w:t xml:space="preserve"> –</w:t>
            </w:r>
            <w:r w:rsidRPr="5CDE10A5">
              <w:rPr>
                <w:rFonts w:cs="Arial"/>
                <w:b/>
              </w:rPr>
              <w:t xml:space="preserve"> </w:t>
            </w:r>
            <w:r w:rsidR="48A63F7D" w:rsidRPr="65340990">
              <w:rPr>
                <w:b/>
                <w:bCs/>
                <w:lang w:val="en-NZ"/>
              </w:rPr>
              <w:t>C</w:t>
            </w:r>
            <w:r w:rsidR="4427FD92" w:rsidRPr="65340990">
              <w:rPr>
                <w:b/>
                <w:bCs/>
                <w:lang w:val="en-NZ"/>
              </w:rPr>
              <w:t>ost</w:t>
            </w:r>
            <w:r w:rsidRPr="5CDE10A5">
              <w:rPr>
                <w:b/>
                <w:lang w:val="en-NZ"/>
              </w:rPr>
              <w:t xml:space="preserve"> recovery, </w:t>
            </w:r>
            <w:r w:rsidR="00A166D9" w:rsidRPr="00A166D9">
              <w:rPr>
                <w:b/>
                <w:lang w:val="en-NZ"/>
              </w:rPr>
              <w:t xml:space="preserve">with a </w:t>
            </w:r>
            <w:r w:rsidR="03C9AEE9" w:rsidRPr="220180A8">
              <w:rPr>
                <w:b/>
                <w:bCs/>
                <w:lang w:val="en-NZ"/>
              </w:rPr>
              <w:t>partial</w:t>
            </w:r>
            <w:r w:rsidR="40D6AF0C" w:rsidRPr="220180A8">
              <w:rPr>
                <w:b/>
                <w:bCs/>
                <w:lang w:val="en-NZ"/>
              </w:rPr>
              <w:t xml:space="preserve"> </w:t>
            </w:r>
            <w:r w:rsidR="00A166D9" w:rsidRPr="00A166D9">
              <w:rPr>
                <w:b/>
                <w:lang w:val="en-NZ"/>
              </w:rPr>
              <w:t>refund for applicants whose stores are not visited</w:t>
            </w:r>
            <w:r w:rsidR="00A166D9" w:rsidRPr="00A166D9" w:rsidDel="00A166D9">
              <w:rPr>
                <w:b/>
                <w:lang w:val="en-NZ"/>
              </w:rPr>
              <w:t xml:space="preserve"> </w:t>
            </w:r>
          </w:p>
        </w:tc>
      </w:tr>
      <w:tr w:rsidR="00EB5460" w:rsidRPr="00A864A5" w14:paraId="607C6728" w14:textId="5AE773BC" w:rsidTr="14E07CEB">
        <w:trPr>
          <w:trHeight w:val="615"/>
        </w:trPr>
        <w:tc>
          <w:tcPr>
            <w:tcW w:w="2010" w:type="dxa"/>
            <w:shd w:val="clear" w:color="auto" w:fill="F2F2F2" w:themeFill="background1" w:themeFillShade="F2"/>
            <w:vAlign w:val="center"/>
          </w:tcPr>
          <w:p w14:paraId="2BE46B4D" w14:textId="0EFB9479" w:rsidR="00EB5460" w:rsidRPr="00A864A5" w:rsidRDefault="00EB5460" w:rsidP="00EB5460">
            <w:pPr>
              <w:spacing w:before="60" w:after="60" w:line="240" w:lineRule="auto"/>
              <w:jc w:val="center"/>
              <w:rPr>
                <w:rFonts w:cs="Arial"/>
                <w:b/>
                <w:color w:val="000000"/>
                <w:szCs w:val="22"/>
                <w:lang w:val="en-NZ"/>
              </w:rPr>
            </w:pPr>
            <w:r>
              <w:rPr>
                <w:rFonts w:cs="Arial"/>
                <w:b/>
                <w:color w:val="000000"/>
                <w:szCs w:val="22"/>
                <w:lang w:val="en-NZ"/>
              </w:rPr>
              <w:t>Reduces inequity</w:t>
            </w:r>
          </w:p>
        </w:tc>
        <w:tc>
          <w:tcPr>
            <w:tcW w:w="4101" w:type="dxa"/>
            <w:shd w:val="clear" w:color="auto" w:fill="auto"/>
            <w:vAlign w:val="center"/>
          </w:tcPr>
          <w:p w14:paraId="46F5ABAD" w14:textId="77777777" w:rsidR="00EB5460" w:rsidRDefault="00EB5460" w:rsidP="00EB5460">
            <w:pPr>
              <w:pStyle w:val="TableText"/>
              <w:spacing w:line="276" w:lineRule="auto"/>
              <w:jc w:val="center"/>
              <w:rPr>
                <w:lang w:val="en-NZ"/>
              </w:rPr>
            </w:pPr>
            <w:r>
              <w:rPr>
                <w:lang w:val="en-NZ"/>
              </w:rPr>
              <w:t>0</w:t>
            </w:r>
          </w:p>
          <w:p w14:paraId="74F53BFE" w14:textId="77C7C28D" w:rsidR="0088236F" w:rsidRPr="00A864A5" w:rsidRDefault="0088236F" w:rsidP="00EB5460">
            <w:pPr>
              <w:pStyle w:val="TableText"/>
              <w:spacing w:line="276" w:lineRule="auto"/>
              <w:jc w:val="center"/>
              <w:rPr>
                <w:bCs/>
                <w:lang w:val="en-NZ"/>
              </w:rPr>
            </w:pPr>
            <w:r w:rsidRPr="00D25533">
              <w:rPr>
                <w:bCs/>
                <w:sz w:val="18"/>
                <w:szCs w:val="20"/>
                <w:lang w:val="en-NZ"/>
              </w:rPr>
              <w:t xml:space="preserve">Likely to have no impact on </w:t>
            </w:r>
            <w:r w:rsidR="00D25533" w:rsidRPr="00D25533">
              <w:rPr>
                <w:bCs/>
                <w:sz w:val="18"/>
                <w:szCs w:val="20"/>
                <w:lang w:val="en-NZ"/>
              </w:rPr>
              <w:t>equity.</w:t>
            </w:r>
          </w:p>
        </w:tc>
        <w:tc>
          <w:tcPr>
            <w:tcW w:w="4549" w:type="dxa"/>
            <w:shd w:val="clear" w:color="auto" w:fill="auto"/>
            <w:vAlign w:val="center"/>
          </w:tcPr>
          <w:p w14:paraId="4AF51736" w14:textId="78EB9765" w:rsidR="00EB5460" w:rsidRPr="009931CA" w:rsidRDefault="602A5929" w:rsidP="61A924D9">
            <w:pPr>
              <w:pStyle w:val="TableText"/>
              <w:spacing w:line="276" w:lineRule="auto"/>
              <w:jc w:val="center"/>
              <w:rPr>
                <w:rFonts w:cs="Arial"/>
                <w:b/>
                <w:bCs/>
                <w:color w:val="00B050"/>
              </w:rPr>
            </w:pPr>
            <w:r w:rsidRPr="61A924D9">
              <w:rPr>
                <w:rFonts w:cs="Arial"/>
                <w:b/>
                <w:bCs/>
                <w:color w:val="00B050"/>
              </w:rPr>
              <w:t>+</w:t>
            </w:r>
          </w:p>
          <w:p w14:paraId="7F0B6300" w14:textId="610228FA" w:rsidR="00EB5460" w:rsidRPr="001D1968" w:rsidRDefault="2736F51A" w:rsidP="00EB5460">
            <w:pPr>
              <w:pStyle w:val="TableText"/>
              <w:spacing w:line="276" w:lineRule="auto"/>
              <w:jc w:val="center"/>
              <w:rPr>
                <w:sz w:val="18"/>
                <w:szCs w:val="18"/>
              </w:rPr>
            </w:pPr>
            <w:r w:rsidRPr="1B502AF9">
              <w:rPr>
                <w:sz w:val="18"/>
                <w:szCs w:val="18"/>
              </w:rPr>
              <w:t>Ensures Government does</w:t>
            </w:r>
            <w:r w:rsidR="00BA2A72">
              <w:rPr>
                <w:sz w:val="18"/>
                <w:szCs w:val="18"/>
              </w:rPr>
              <w:t xml:space="preserve"> </w:t>
            </w:r>
            <w:r w:rsidRPr="1B502AF9">
              <w:rPr>
                <w:sz w:val="18"/>
                <w:szCs w:val="18"/>
              </w:rPr>
              <w:t>n</w:t>
            </w:r>
            <w:r w:rsidR="00BA2A72">
              <w:rPr>
                <w:sz w:val="18"/>
                <w:szCs w:val="18"/>
              </w:rPr>
              <w:t>o</w:t>
            </w:r>
            <w:r w:rsidRPr="1B502AF9">
              <w:rPr>
                <w:sz w:val="18"/>
                <w:szCs w:val="18"/>
              </w:rPr>
              <w:t xml:space="preserve">t </w:t>
            </w:r>
            <w:r w:rsidR="6EE9D7D2" w:rsidRPr="1B502AF9">
              <w:rPr>
                <w:sz w:val="18"/>
                <w:szCs w:val="18"/>
              </w:rPr>
              <w:t xml:space="preserve">subsidise </w:t>
            </w:r>
            <w:r w:rsidRPr="1B502AF9">
              <w:rPr>
                <w:sz w:val="18"/>
                <w:szCs w:val="18"/>
              </w:rPr>
              <w:t>business costs for industry</w:t>
            </w:r>
            <w:r w:rsidR="631DDEF0" w:rsidRPr="1B502AF9">
              <w:rPr>
                <w:sz w:val="18"/>
                <w:szCs w:val="18"/>
              </w:rPr>
              <w:t xml:space="preserve"> that is disproportionately harmful to low socioeconomic </w:t>
            </w:r>
            <w:r w:rsidR="3C8DED47" w:rsidRPr="1B502AF9">
              <w:rPr>
                <w:sz w:val="18"/>
                <w:szCs w:val="18"/>
              </w:rPr>
              <w:t>communities</w:t>
            </w:r>
            <w:r w:rsidR="5650B228" w:rsidRPr="1B502AF9">
              <w:rPr>
                <w:sz w:val="18"/>
                <w:szCs w:val="18"/>
              </w:rPr>
              <w:t xml:space="preserve">. </w:t>
            </w:r>
          </w:p>
        </w:tc>
        <w:tc>
          <w:tcPr>
            <w:tcW w:w="4253" w:type="dxa"/>
          </w:tcPr>
          <w:p w14:paraId="5FD79010" w14:textId="22B9AB74" w:rsidR="00A65799" w:rsidRPr="009931CA" w:rsidRDefault="00A65799" w:rsidP="00A65799">
            <w:pPr>
              <w:pStyle w:val="TableText"/>
              <w:spacing w:line="276" w:lineRule="auto"/>
              <w:jc w:val="center"/>
              <w:rPr>
                <w:rFonts w:cs="Arial"/>
                <w:b/>
                <w:color w:val="00B050"/>
              </w:rPr>
            </w:pPr>
            <w:r w:rsidRPr="1B502AF9">
              <w:rPr>
                <w:rFonts w:cs="Arial"/>
                <w:b/>
                <w:bCs/>
                <w:color w:val="00B050"/>
              </w:rPr>
              <w:t>+</w:t>
            </w:r>
          </w:p>
          <w:p w14:paraId="2341812F" w14:textId="4CA7BE3B" w:rsidR="00A65799" w:rsidRPr="009931CA" w:rsidRDefault="0DB529DA" w:rsidP="61A924D9">
            <w:pPr>
              <w:pStyle w:val="TableText"/>
              <w:spacing w:line="276" w:lineRule="auto"/>
              <w:jc w:val="center"/>
              <w:rPr>
                <w:sz w:val="18"/>
                <w:szCs w:val="18"/>
              </w:rPr>
            </w:pPr>
            <w:r w:rsidRPr="14E07CEB">
              <w:rPr>
                <w:sz w:val="18"/>
                <w:szCs w:val="18"/>
              </w:rPr>
              <w:t>Ensures Government does</w:t>
            </w:r>
            <w:r w:rsidR="6C53D66B" w:rsidRPr="14E07CEB">
              <w:rPr>
                <w:sz w:val="18"/>
                <w:szCs w:val="18"/>
              </w:rPr>
              <w:t xml:space="preserve"> </w:t>
            </w:r>
            <w:r w:rsidRPr="14E07CEB">
              <w:rPr>
                <w:sz w:val="18"/>
                <w:szCs w:val="18"/>
              </w:rPr>
              <w:t>n</w:t>
            </w:r>
            <w:r w:rsidR="6C53D66B" w:rsidRPr="14E07CEB">
              <w:rPr>
                <w:sz w:val="18"/>
                <w:szCs w:val="18"/>
              </w:rPr>
              <w:t>o</w:t>
            </w:r>
            <w:r w:rsidRPr="14E07CEB">
              <w:rPr>
                <w:sz w:val="18"/>
                <w:szCs w:val="18"/>
              </w:rPr>
              <w:t xml:space="preserve">t </w:t>
            </w:r>
            <w:r w:rsidR="4D470255" w:rsidRPr="14E07CEB">
              <w:rPr>
                <w:sz w:val="18"/>
                <w:szCs w:val="18"/>
              </w:rPr>
              <w:t xml:space="preserve">subsidise </w:t>
            </w:r>
            <w:r w:rsidRPr="14E07CEB">
              <w:rPr>
                <w:sz w:val="18"/>
                <w:szCs w:val="18"/>
              </w:rPr>
              <w:t>business costs for industry</w:t>
            </w:r>
            <w:r w:rsidR="2AAC24B4" w:rsidRPr="14E07CEB">
              <w:rPr>
                <w:sz w:val="18"/>
                <w:szCs w:val="18"/>
              </w:rPr>
              <w:t xml:space="preserve"> that is disproportionately harmful to low socioeconomic communities</w:t>
            </w:r>
            <w:r w:rsidR="3786E07A" w:rsidRPr="14E07CEB">
              <w:rPr>
                <w:sz w:val="18"/>
                <w:szCs w:val="18"/>
              </w:rPr>
              <w:t xml:space="preserve"> (</w:t>
            </w:r>
            <w:r w:rsidR="3786E07A" w:rsidRPr="006C792E">
              <w:rPr>
                <w:sz w:val="18"/>
                <w:szCs w:val="18"/>
              </w:rPr>
              <w:t>and other group</w:t>
            </w:r>
            <w:r w:rsidR="28462115" w:rsidRPr="14E07CEB">
              <w:rPr>
                <w:sz w:val="18"/>
                <w:szCs w:val="18"/>
              </w:rPr>
              <w:t>s</w:t>
            </w:r>
            <w:r w:rsidR="3786E07A" w:rsidRPr="006C792E">
              <w:rPr>
                <w:sz w:val="18"/>
                <w:szCs w:val="18"/>
              </w:rPr>
              <w:t xml:space="preserve"> who experience greater health inequities from smoking such as disabled people)</w:t>
            </w:r>
            <w:r w:rsidR="2AAC24B4" w:rsidRPr="14E07CEB">
              <w:rPr>
                <w:sz w:val="18"/>
                <w:szCs w:val="18"/>
              </w:rPr>
              <w:t>.</w:t>
            </w:r>
            <w:r w:rsidR="3E047023" w:rsidRPr="14E07CEB">
              <w:rPr>
                <w:sz w:val="18"/>
                <w:szCs w:val="18"/>
              </w:rPr>
              <w:t xml:space="preserve"> Offsets some </w:t>
            </w:r>
            <w:r w:rsidR="1B76AE5D" w:rsidRPr="14E07CEB">
              <w:rPr>
                <w:sz w:val="18"/>
                <w:szCs w:val="18"/>
              </w:rPr>
              <w:t>existing Crown costs through additional fees.</w:t>
            </w:r>
          </w:p>
        </w:tc>
      </w:tr>
      <w:tr w:rsidR="00EB5460" w:rsidRPr="00A864A5" w14:paraId="780F7410" w14:textId="2E285A72" w:rsidTr="14E07CEB">
        <w:trPr>
          <w:trHeight w:val="378"/>
        </w:trPr>
        <w:tc>
          <w:tcPr>
            <w:tcW w:w="2010" w:type="dxa"/>
            <w:shd w:val="clear" w:color="auto" w:fill="F2F2F2" w:themeFill="background1" w:themeFillShade="F2"/>
            <w:vAlign w:val="center"/>
          </w:tcPr>
          <w:p w14:paraId="1F8E45C5" w14:textId="2B9B6B48" w:rsidR="00EB5460" w:rsidRPr="00A864A5" w:rsidRDefault="00EB5460" w:rsidP="00EB5460">
            <w:pPr>
              <w:spacing w:before="60" w:after="60" w:line="240" w:lineRule="auto"/>
              <w:jc w:val="center"/>
              <w:rPr>
                <w:rFonts w:cs="Arial"/>
                <w:b/>
                <w:color w:val="000000"/>
                <w:szCs w:val="22"/>
                <w:lang w:val="en-NZ"/>
              </w:rPr>
            </w:pPr>
            <w:r>
              <w:rPr>
                <w:b/>
                <w:bCs/>
              </w:rPr>
              <w:t>Effectiveness as a policy</w:t>
            </w:r>
          </w:p>
        </w:tc>
        <w:tc>
          <w:tcPr>
            <w:tcW w:w="4101" w:type="dxa"/>
            <w:shd w:val="clear" w:color="auto" w:fill="auto"/>
            <w:vAlign w:val="center"/>
          </w:tcPr>
          <w:p w14:paraId="1CC1AB04" w14:textId="0CCD2251" w:rsidR="00EB5460" w:rsidRDefault="6F6C0846" w:rsidP="6CB21593">
            <w:pPr>
              <w:pStyle w:val="TableText"/>
              <w:spacing w:line="276" w:lineRule="auto"/>
              <w:jc w:val="center"/>
              <w:rPr>
                <w:rFonts w:cs="Arial"/>
                <w:b/>
                <w:bCs/>
                <w:color w:val="FF0000"/>
                <w:lang w:val="en-NZ"/>
              </w:rPr>
            </w:pPr>
            <w:r w:rsidRPr="6CB21593">
              <w:rPr>
                <w:rFonts w:cs="Arial"/>
              </w:rPr>
              <w:t>0</w:t>
            </w:r>
          </w:p>
          <w:p w14:paraId="3017610C" w14:textId="2B005862" w:rsidR="00BF5FD9" w:rsidRPr="00BF5FD9" w:rsidRDefault="000A4C85" w:rsidP="6CB21593">
            <w:pPr>
              <w:pStyle w:val="TableText"/>
              <w:spacing w:line="276" w:lineRule="auto"/>
              <w:jc w:val="center"/>
              <w:rPr>
                <w:sz w:val="18"/>
                <w:szCs w:val="18"/>
                <w:lang w:val="en-NZ"/>
              </w:rPr>
            </w:pPr>
            <w:r w:rsidRPr="6CB21593">
              <w:rPr>
                <w:sz w:val="18"/>
                <w:szCs w:val="18"/>
                <w:lang w:val="en-NZ"/>
              </w:rPr>
              <w:t>Public funds covering the cost of industry establishing</w:t>
            </w:r>
            <w:r w:rsidR="00483D84">
              <w:rPr>
                <w:sz w:val="18"/>
                <w:szCs w:val="18"/>
                <w:lang w:val="en-NZ"/>
              </w:rPr>
              <w:t>/seeking to establish</w:t>
            </w:r>
            <w:r w:rsidRPr="6CB21593">
              <w:rPr>
                <w:sz w:val="18"/>
                <w:szCs w:val="18"/>
                <w:lang w:val="en-NZ"/>
              </w:rPr>
              <w:t xml:space="preserve"> businesses. Does not align with previous Cabinet decisions.</w:t>
            </w:r>
          </w:p>
        </w:tc>
        <w:tc>
          <w:tcPr>
            <w:tcW w:w="4549" w:type="dxa"/>
            <w:shd w:val="clear" w:color="auto" w:fill="auto"/>
            <w:vAlign w:val="center"/>
          </w:tcPr>
          <w:p w14:paraId="36D33135" w14:textId="4DD13C8D" w:rsidR="00BF5FD9" w:rsidRDefault="2A37C8AA" w:rsidP="61A924D9">
            <w:pPr>
              <w:pStyle w:val="TableText"/>
              <w:spacing w:line="276" w:lineRule="auto"/>
              <w:jc w:val="center"/>
              <w:rPr>
                <w:rFonts w:cs="Arial"/>
                <w:b/>
                <w:bCs/>
                <w:color w:val="00B050"/>
              </w:rPr>
            </w:pPr>
            <w:r w:rsidRPr="61A924D9">
              <w:rPr>
                <w:rFonts w:cs="Arial"/>
                <w:b/>
                <w:bCs/>
                <w:color w:val="00B050"/>
              </w:rPr>
              <w:t>++</w:t>
            </w:r>
          </w:p>
          <w:p w14:paraId="0BF2D1F8" w14:textId="42FBC660" w:rsidR="00EB5460" w:rsidRPr="00BF5FD9" w:rsidRDefault="00BF5FD9" w:rsidP="00BF5FD9">
            <w:pPr>
              <w:pStyle w:val="TableText"/>
              <w:spacing w:line="276" w:lineRule="auto"/>
              <w:jc w:val="center"/>
              <w:rPr>
                <w:sz w:val="18"/>
                <w:szCs w:val="20"/>
                <w:lang w:val="en-NZ"/>
              </w:rPr>
            </w:pPr>
            <w:r>
              <w:rPr>
                <w:sz w:val="18"/>
                <w:szCs w:val="20"/>
                <w:lang w:val="en-NZ"/>
              </w:rPr>
              <w:t>Aligns with previous policy and Cabinet decisions</w:t>
            </w:r>
            <w:r w:rsidR="000A4C85">
              <w:rPr>
                <w:sz w:val="18"/>
                <w:szCs w:val="20"/>
                <w:lang w:val="en-NZ"/>
              </w:rPr>
              <w:t xml:space="preserve"> and follows precedent set by the comparable vaping regulatory scheme.</w:t>
            </w:r>
          </w:p>
        </w:tc>
        <w:tc>
          <w:tcPr>
            <w:tcW w:w="4253" w:type="dxa"/>
          </w:tcPr>
          <w:p w14:paraId="1B11FFC7" w14:textId="4DD13C8D" w:rsidR="00A65799" w:rsidRDefault="00A65799" w:rsidP="00A65799">
            <w:pPr>
              <w:pStyle w:val="TableText"/>
              <w:spacing w:line="276" w:lineRule="auto"/>
              <w:jc w:val="center"/>
              <w:rPr>
                <w:rFonts w:cs="Arial"/>
                <w:b/>
                <w:color w:val="00B050"/>
              </w:rPr>
            </w:pPr>
            <w:r w:rsidRPr="00A864A5">
              <w:rPr>
                <w:rFonts w:cs="Arial"/>
                <w:b/>
                <w:color w:val="00B050"/>
              </w:rPr>
              <w:t>+</w:t>
            </w:r>
          </w:p>
          <w:p w14:paraId="2FD6EBCF" w14:textId="71948667" w:rsidR="00A65799" w:rsidRPr="00A864A5" w:rsidRDefault="00A65799" w:rsidP="61A924D9">
            <w:pPr>
              <w:pStyle w:val="TableText"/>
              <w:spacing w:line="276" w:lineRule="auto"/>
              <w:jc w:val="center"/>
              <w:rPr>
                <w:rFonts w:cs="Arial"/>
                <w:b/>
                <w:color w:val="00B050"/>
                <w:lang w:val="en-NZ"/>
              </w:rPr>
            </w:pPr>
            <w:r w:rsidRPr="4D308432">
              <w:rPr>
                <w:sz w:val="18"/>
                <w:szCs w:val="18"/>
                <w:lang w:val="en-NZ"/>
              </w:rPr>
              <w:t>Aligns with pr</w:t>
            </w:r>
            <w:r w:rsidR="64DBF020" w:rsidRPr="4D308432">
              <w:rPr>
                <w:sz w:val="18"/>
                <w:szCs w:val="18"/>
                <w:lang w:val="en-NZ"/>
              </w:rPr>
              <w:t>inciple of Cabinet decisions. More complex to implement.</w:t>
            </w:r>
            <w:r w:rsidR="25152EC2" w:rsidRPr="1B502AF9">
              <w:rPr>
                <w:sz w:val="18"/>
                <w:szCs w:val="18"/>
                <w:lang w:val="en-NZ"/>
              </w:rPr>
              <w:t xml:space="preserve"> </w:t>
            </w:r>
            <w:r w:rsidR="192A2A43" w:rsidRPr="1B502AF9">
              <w:rPr>
                <w:sz w:val="18"/>
                <w:szCs w:val="18"/>
                <w:lang w:val="en-NZ"/>
              </w:rPr>
              <w:t>Does not follow precedent set by the comparable vaping regulatory scheme.</w:t>
            </w:r>
          </w:p>
        </w:tc>
      </w:tr>
      <w:tr w:rsidR="009E1906" w:rsidRPr="00A864A5" w14:paraId="71F2D99E" w14:textId="6B1DFE1B" w:rsidTr="14E07CEB">
        <w:trPr>
          <w:trHeight w:val="378"/>
        </w:trPr>
        <w:tc>
          <w:tcPr>
            <w:tcW w:w="2010" w:type="dxa"/>
            <w:shd w:val="clear" w:color="auto" w:fill="F2F2F2" w:themeFill="background1" w:themeFillShade="F2"/>
            <w:vAlign w:val="center"/>
          </w:tcPr>
          <w:p w14:paraId="5357280E" w14:textId="141EE23E" w:rsidR="009E1906" w:rsidRPr="00A864A5" w:rsidRDefault="009E1906" w:rsidP="00500880">
            <w:pPr>
              <w:spacing w:before="60" w:after="60" w:line="240" w:lineRule="auto"/>
              <w:jc w:val="center"/>
              <w:rPr>
                <w:rFonts w:cs="Arial"/>
                <w:b/>
                <w:color w:val="000000"/>
                <w:szCs w:val="22"/>
                <w:lang w:val="en-NZ"/>
              </w:rPr>
            </w:pPr>
            <w:r>
              <w:rPr>
                <w:rFonts w:cs="Arial"/>
                <w:b/>
                <w:color w:val="000000"/>
                <w:szCs w:val="22"/>
                <w:lang w:val="en-NZ"/>
              </w:rPr>
              <w:t>Cost and ease of implementation</w:t>
            </w:r>
          </w:p>
        </w:tc>
        <w:tc>
          <w:tcPr>
            <w:tcW w:w="4101" w:type="dxa"/>
            <w:shd w:val="clear" w:color="auto" w:fill="auto"/>
            <w:vAlign w:val="center"/>
          </w:tcPr>
          <w:p w14:paraId="708DAD78" w14:textId="0CCD2251" w:rsidR="009E1906" w:rsidRDefault="6D3CE05E" w:rsidP="6CB21593">
            <w:pPr>
              <w:pStyle w:val="TableText"/>
              <w:spacing w:line="276" w:lineRule="auto"/>
              <w:jc w:val="center"/>
              <w:rPr>
                <w:rFonts w:cs="Arial"/>
                <w:b/>
                <w:bCs/>
                <w:color w:val="FF0000"/>
              </w:rPr>
            </w:pPr>
            <w:r w:rsidRPr="6CB21593">
              <w:rPr>
                <w:rFonts w:cs="Arial"/>
              </w:rPr>
              <w:t>0</w:t>
            </w:r>
            <w:r w:rsidRPr="6CB21593">
              <w:rPr>
                <w:rFonts w:cs="Arial"/>
                <w:b/>
                <w:bCs/>
                <w:color w:val="FF0000"/>
              </w:rPr>
              <w:t xml:space="preserve"> </w:t>
            </w:r>
          </w:p>
          <w:p w14:paraId="51A87AB3" w14:textId="0CCD2251" w:rsidR="009E1906" w:rsidRPr="00A864A5" w:rsidRDefault="009E1906" w:rsidP="6CB21593">
            <w:pPr>
              <w:pStyle w:val="TableText"/>
              <w:spacing w:line="276" w:lineRule="auto"/>
              <w:jc w:val="center"/>
              <w:rPr>
                <w:lang w:val="en-NZ"/>
              </w:rPr>
            </w:pPr>
            <w:r w:rsidRPr="6CB21593">
              <w:rPr>
                <w:sz w:val="18"/>
                <w:szCs w:val="18"/>
              </w:rPr>
              <w:t xml:space="preserve">Significant cost </w:t>
            </w:r>
            <w:r w:rsidR="00284177" w:rsidRPr="6CB21593">
              <w:rPr>
                <w:sz w:val="18"/>
                <w:szCs w:val="18"/>
              </w:rPr>
              <w:t xml:space="preserve">for regulator </w:t>
            </w:r>
            <w:r w:rsidRPr="6CB21593">
              <w:rPr>
                <w:sz w:val="18"/>
                <w:szCs w:val="18"/>
              </w:rPr>
              <w:t>–</w:t>
            </w:r>
            <w:r w:rsidR="00284177" w:rsidRPr="6CB21593">
              <w:rPr>
                <w:sz w:val="18"/>
                <w:szCs w:val="18"/>
              </w:rPr>
              <w:t xml:space="preserve"> </w:t>
            </w:r>
            <w:r w:rsidRPr="6CB21593">
              <w:rPr>
                <w:sz w:val="18"/>
                <w:szCs w:val="18"/>
              </w:rPr>
              <w:t>public interest in not using gov</w:t>
            </w:r>
            <w:r w:rsidR="00D94E29" w:rsidRPr="6CB21593">
              <w:rPr>
                <w:sz w:val="18"/>
                <w:szCs w:val="18"/>
              </w:rPr>
              <w:t>ernmen</w:t>
            </w:r>
            <w:r w:rsidRPr="6CB21593">
              <w:rPr>
                <w:sz w:val="18"/>
                <w:szCs w:val="18"/>
              </w:rPr>
              <w:t xml:space="preserve">t money to cover the costs of private businesses, particularly for harmful </w:t>
            </w:r>
            <w:r w:rsidR="00980934" w:rsidRPr="6CB21593">
              <w:rPr>
                <w:sz w:val="18"/>
                <w:szCs w:val="18"/>
              </w:rPr>
              <w:t>commodit</w:t>
            </w:r>
            <w:r w:rsidR="00937B31" w:rsidRPr="6CB21593">
              <w:rPr>
                <w:sz w:val="18"/>
                <w:szCs w:val="18"/>
              </w:rPr>
              <w:t>ies</w:t>
            </w:r>
            <w:r w:rsidR="00980934" w:rsidRPr="6CB21593">
              <w:rPr>
                <w:sz w:val="18"/>
                <w:szCs w:val="18"/>
              </w:rPr>
              <w:t>.</w:t>
            </w:r>
            <w:r w:rsidR="00B035B3" w:rsidRPr="6CB21593">
              <w:rPr>
                <w:sz w:val="18"/>
                <w:szCs w:val="18"/>
              </w:rPr>
              <w:t xml:space="preserve"> No cost to industry.</w:t>
            </w:r>
          </w:p>
        </w:tc>
        <w:tc>
          <w:tcPr>
            <w:tcW w:w="4549" w:type="dxa"/>
            <w:shd w:val="clear" w:color="auto" w:fill="auto"/>
            <w:vAlign w:val="center"/>
          </w:tcPr>
          <w:p w14:paraId="1EEB55A7" w14:textId="3052B154" w:rsidR="009E1906" w:rsidRDefault="00CD2584" w:rsidP="00500880">
            <w:pPr>
              <w:pStyle w:val="TableText"/>
              <w:spacing w:line="276" w:lineRule="auto"/>
              <w:jc w:val="center"/>
              <w:rPr>
                <w:rFonts w:cs="Arial"/>
                <w:b/>
                <w:color w:val="FF0000"/>
              </w:rPr>
            </w:pPr>
            <w:r w:rsidRPr="00A864A5">
              <w:rPr>
                <w:rFonts w:cs="Arial"/>
                <w:b/>
                <w:color w:val="00B050"/>
              </w:rPr>
              <w:t>+</w:t>
            </w:r>
          </w:p>
          <w:p w14:paraId="47780828" w14:textId="7050F2AD" w:rsidR="00284177" w:rsidRPr="00284177" w:rsidRDefault="00BF5FD9" w:rsidP="00500880">
            <w:pPr>
              <w:pStyle w:val="TableText"/>
              <w:spacing w:line="276" w:lineRule="auto"/>
              <w:jc w:val="center"/>
              <w:rPr>
                <w:bCs/>
                <w:lang w:val="en-NZ"/>
              </w:rPr>
            </w:pPr>
            <w:r w:rsidRPr="1B502AF9">
              <w:rPr>
                <w:sz w:val="18"/>
                <w:szCs w:val="18"/>
              </w:rPr>
              <w:t>U</w:t>
            </w:r>
            <w:r w:rsidR="00284177" w:rsidRPr="1B502AF9">
              <w:rPr>
                <w:sz w:val="18"/>
                <w:szCs w:val="18"/>
              </w:rPr>
              <w:t>p-front cost to industry</w:t>
            </w:r>
            <w:r w:rsidR="00CD2584" w:rsidRPr="1B502AF9">
              <w:rPr>
                <w:sz w:val="18"/>
                <w:szCs w:val="18"/>
              </w:rPr>
              <w:t xml:space="preserve">, </w:t>
            </w:r>
            <w:r w:rsidR="003F4AF9" w:rsidRPr="1B502AF9">
              <w:rPr>
                <w:sz w:val="18"/>
                <w:szCs w:val="18"/>
              </w:rPr>
              <w:t>minimised</w:t>
            </w:r>
            <w:r w:rsidR="00CD2584" w:rsidRPr="1B502AF9">
              <w:rPr>
                <w:sz w:val="18"/>
                <w:szCs w:val="18"/>
              </w:rPr>
              <w:t xml:space="preserve"> cost to the regulator (user pays system)</w:t>
            </w:r>
            <w:r w:rsidR="000A4C85" w:rsidRPr="1B502AF9">
              <w:rPr>
                <w:sz w:val="18"/>
                <w:szCs w:val="18"/>
              </w:rPr>
              <w:t>.</w:t>
            </w:r>
            <w:r w:rsidR="651B09C5" w:rsidRPr="1B502AF9">
              <w:rPr>
                <w:sz w:val="18"/>
                <w:szCs w:val="18"/>
              </w:rPr>
              <w:t xml:space="preserve"> </w:t>
            </w:r>
            <w:r w:rsidR="00324EF2">
              <w:rPr>
                <w:sz w:val="18"/>
                <w:szCs w:val="18"/>
              </w:rPr>
              <w:t>S</w:t>
            </w:r>
            <w:r w:rsidR="651B09C5" w:rsidRPr="1B502AF9">
              <w:rPr>
                <w:sz w:val="18"/>
                <w:szCs w:val="18"/>
              </w:rPr>
              <w:t xml:space="preserve">ite visits for </w:t>
            </w:r>
            <w:r w:rsidR="2D8EBD04" w:rsidRPr="1B502AF9">
              <w:rPr>
                <w:sz w:val="18"/>
                <w:szCs w:val="18"/>
              </w:rPr>
              <w:t xml:space="preserve">shortlisted </w:t>
            </w:r>
            <w:r w:rsidR="651B09C5" w:rsidRPr="1B502AF9">
              <w:rPr>
                <w:sz w:val="18"/>
                <w:szCs w:val="18"/>
              </w:rPr>
              <w:t xml:space="preserve">applicants </w:t>
            </w:r>
            <w:r w:rsidR="009B702E">
              <w:rPr>
                <w:sz w:val="18"/>
                <w:szCs w:val="18"/>
              </w:rPr>
              <w:t xml:space="preserve">carried out by existing </w:t>
            </w:r>
            <w:r w:rsidR="00E12E02">
              <w:rPr>
                <w:sz w:val="18"/>
                <w:szCs w:val="18"/>
              </w:rPr>
              <w:t>Enforcement Officers</w:t>
            </w:r>
            <w:r w:rsidR="651B09C5" w:rsidRPr="1B502AF9">
              <w:rPr>
                <w:sz w:val="18"/>
                <w:szCs w:val="18"/>
              </w:rPr>
              <w:t>.</w:t>
            </w:r>
          </w:p>
        </w:tc>
        <w:tc>
          <w:tcPr>
            <w:tcW w:w="4253" w:type="dxa"/>
          </w:tcPr>
          <w:p w14:paraId="192E6FDB" w14:textId="24CB1458" w:rsidR="00A65799" w:rsidRDefault="00A65799" w:rsidP="00500880">
            <w:pPr>
              <w:pStyle w:val="TableText"/>
              <w:spacing w:line="276" w:lineRule="auto"/>
              <w:jc w:val="center"/>
              <w:rPr>
                <w:rFonts w:cs="Arial"/>
                <w:b/>
                <w:color w:val="FF0000"/>
              </w:rPr>
            </w:pPr>
            <w:r w:rsidRPr="00A864A5">
              <w:rPr>
                <w:rFonts w:cs="Arial"/>
                <w:b/>
                <w:color w:val="FF0000"/>
              </w:rPr>
              <w:t>-</w:t>
            </w:r>
          </w:p>
          <w:p w14:paraId="1EC27F4A" w14:textId="7477D131" w:rsidR="00A65799" w:rsidRPr="00501D9C" w:rsidRDefault="00A65799" w:rsidP="00501D9C">
            <w:pPr>
              <w:pStyle w:val="TableText"/>
              <w:spacing w:line="276" w:lineRule="auto"/>
              <w:jc w:val="center"/>
              <w:rPr>
                <w:sz w:val="18"/>
                <w:szCs w:val="18"/>
              </w:rPr>
            </w:pPr>
            <w:r w:rsidRPr="61A924D9">
              <w:rPr>
                <w:sz w:val="18"/>
                <w:szCs w:val="18"/>
              </w:rPr>
              <w:t xml:space="preserve">Up-front cost to industry, </w:t>
            </w:r>
            <w:r w:rsidR="5D0F4C59" w:rsidRPr="61A924D9">
              <w:rPr>
                <w:sz w:val="18"/>
                <w:szCs w:val="18"/>
              </w:rPr>
              <w:t>but small refund to some.</w:t>
            </w:r>
            <w:r w:rsidRPr="61A924D9">
              <w:rPr>
                <w:sz w:val="18"/>
                <w:szCs w:val="18"/>
              </w:rPr>
              <w:t xml:space="preserve"> </w:t>
            </w:r>
            <w:r w:rsidR="4F7FE47F" w:rsidRPr="65340990">
              <w:rPr>
                <w:sz w:val="18"/>
                <w:szCs w:val="18"/>
              </w:rPr>
              <w:t>C</w:t>
            </w:r>
            <w:r w:rsidRPr="65340990">
              <w:rPr>
                <w:sz w:val="18"/>
                <w:szCs w:val="18"/>
              </w:rPr>
              <w:t>ost</w:t>
            </w:r>
            <w:r w:rsidRPr="61A924D9">
              <w:rPr>
                <w:sz w:val="18"/>
                <w:szCs w:val="18"/>
              </w:rPr>
              <w:t xml:space="preserve"> and </w:t>
            </w:r>
            <w:r w:rsidR="12A70744" w:rsidRPr="61A924D9">
              <w:rPr>
                <w:sz w:val="18"/>
                <w:szCs w:val="18"/>
              </w:rPr>
              <w:t xml:space="preserve">significant </w:t>
            </w:r>
            <w:r w:rsidRPr="61A924D9">
              <w:rPr>
                <w:sz w:val="18"/>
                <w:szCs w:val="18"/>
              </w:rPr>
              <w:t xml:space="preserve">administrative </w:t>
            </w:r>
            <w:r w:rsidR="12A70744" w:rsidRPr="61A924D9">
              <w:rPr>
                <w:sz w:val="18"/>
                <w:szCs w:val="18"/>
              </w:rPr>
              <w:t>task for the regulator.</w:t>
            </w:r>
            <w:r w:rsidR="00521CD1">
              <w:rPr>
                <w:sz w:val="18"/>
                <w:szCs w:val="18"/>
              </w:rPr>
              <w:t xml:space="preserve"> </w:t>
            </w:r>
            <w:r w:rsidR="00F6183C">
              <w:rPr>
                <w:sz w:val="18"/>
                <w:szCs w:val="18"/>
              </w:rPr>
              <w:t xml:space="preserve">Refund process could cost more to administer than </w:t>
            </w:r>
            <w:r w:rsidR="00D244B9">
              <w:rPr>
                <w:sz w:val="18"/>
                <w:szCs w:val="18"/>
              </w:rPr>
              <w:t>revenue from fees.</w:t>
            </w:r>
          </w:p>
        </w:tc>
      </w:tr>
      <w:tr w:rsidR="009E1906" w:rsidRPr="00A864A5" w14:paraId="2A80B7C0" w14:textId="23C692F6" w:rsidTr="14E07CEB">
        <w:trPr>
          <w:trHeight w:val="584"/>
        </w:trPr>
        <w:tc>
          <w:tcPr>
            <w:tcW w:w="2010" w:type="dxa"/>
            <w:shd w:val="clear" w:color="auto" w:fill="F2F2F2" w:themeFill="background1" w:themeFillShade="F2"/>
            <w:vAlign w:val="center"/>
          </w:tcPr>
          <w:p w14:paraId="1414DF69" w14:textId="4426324B" w:rsidR="009E1906" w:rsidRPr="00A864A5" w:rsidRDefault="62A975DC" w:rsidP="58911DBF">
            <w:pPr>
              <w:spacing w:before="60" w:after="60" w:line="240" w:lineRule="auto"/>
              <w:jc w:val="center"/>
              <w:rPr>
                <w:rFonts w:cs="Arial"/>
                <w:b/>
                <w:bCs/>
                <w:color w:val="000000"/>
                <w:lang w:val="en-NZ"/>
              </w:rPr>
            </w:pPr>
            <w:r w:rsidRPr="58911DBF">
              <w:rPr>
                <w:b/>
                <w:bCs/>
              </w:rPr>
              <w:t xml:space="preserve">Clear and workable for </w:t>
            </w:r>
            <w:r w:rsidR="01DD57CE" w:rsidRPr="58911DBF">
              <w:rPr>
                <w:b/>
                <w:bCs/>
              </w:rPr>
              <w:t>Aotearoa</w:t>
            </w:r>
          </w:p>
        </w:tc>
        <w:tc>
          <w:tcPr>
            <w:tcW w:w="4101" w:type="dxa"/>
            <w:shd w:val="clear" w:color="auto" w:fill="auto"/>
            <w:vAlign w:val="center"/>
          </w:tcPr>
          <w:p w14:paraId="5982C94D" w14:textId="0CCD2251" w:rsidR="0028511F" w:rsidRDefault="377E4502" w:rsidP="6CB21593">
            <w:pPr>
              <w:pStyle w:val="TableText"/>
              <w:spacing w:line="276" w:lineRule="auto"/>
              <w:jc w:val="center"/>
              <w:rPr>
                <w:rFonts w:cs="Arial"/>
                <w:b/>
                <w:bCs/>
                <w:color w:val="FF0000"/>
              </w:rPr>
            </w:pPr>
            <w:r w:rsidRPr="6CB21593">
              <w:rPr>
                <w:rFonts w:cs="Arial"/>
              </w:rPr>
              <w:t>0</w:t>
            </w:r>
          </w:p>
          <w:p w14:paraId="7FCB7550" w14:textId="0CCD2251" w:rsidR="009E1906" w:rsidRPr="00BF5FD9" w:rsidRDefault="004F1E0C" w:rsidP="0077649D">
            <w:pPr>
              <w:pStyle w:val="TableText"/>
              <w:spacing w:line="276" w:lineRule="auto"/>
              <w:jc w:val="center"/>
              <w:rPr>
                <w:sz w:val="18"/>
                <w:szCs w:val="18"/>
                <w:lang w:val="en-NZ"/>
              </w:rPr>
            </w:pPr>
            <w:r w:rsidRPr="6CB21593">
              <w:rPr>
                <w:sz w:val="18"/>
                <w:szCs w:val="18"/>
                <w:lang w:val="en-NZ"/>
              </w:rPr>
              <w:t>Out of step with similar regimes</w:t>
            </w:r>
            <w:r w:rsidR="00D00874" w:rsidRPr="6CB21593">
              <w:rPr>
                <w:sz w:val="18"/>
                <w:szCs w:val="18"/>
                <w:lang w:val="en-NZ"/>
              </w:rPr>
              <w:t xml:space="preserve">, would require additional </w:t>
            </w:r>
            <w:r w:rsidR="00701DAE" w:rsidRPr="6CB21593">
              <w:rPr>
                <w:sz w:val="18"/>
                <w:szCs w:val="18"/>
                <w:lang w:val="en-NZ"/>
              </w:rPr>
              <w:t>crown</w:t>
            </w:r>
            <w:r w:rsidR="00D00874" w:rsidRPr="6CB21593">
              <w:rPr>
                <w:sz w:val="18"/>
                <w:szCs w:val="18"/>
                <w:lang w:val="en-NZ"/>
              </w:rPr>
              <w:t xml:space="preserve"> funding.</w:t>
            </w:r>
          </w:p>
        </w:tc>
        <w:tc>
          <w:tcPr>
            <w:tcW w:w="4549" w:type="dxa"/>
            <w:shd w:val="clear" w:color="auto" w:fill="auto"/>
            <w:vAlign w:val="center"/>
          </w:tcPr>
          <w:p w14:paraId="75DE647D" w14:textId="77777777" w:rsidR="001D1968" w:rsidRDefault="001D1968" w:rsidP="001D1968">
            <w:pPr>
              <w:pStyle w:val="TableText"/>
              <w:spacing w:line="276" w:lineRule="auto"/>
              <w:jc w:val="center"/>
              <w:rPr>
                <w:rFonts w:cs="Arial"/>
                <w:b/>
                <w:color w:val="00B050"/>
              </w:rPr>
            </w:pPr>
            <w:r w:rsidRPr="00A864A5">
              <w:rPr>
                <w:rFonts w:cs="Arial"/>
                <w:b/>
                <w:color w:val="00B050"/>
              </w:rPr>
              <w:t>++</w:t>
            </w:r>
          </w:p>
          <w:p w14:paraId="3B608AC7" w14:textId="4CDF8F7A" w:rsidR="009E1906" w:rsidRPr="00A864A5" w:rsidRDefault="001D1968" w:rsidP="0077649D">
            <w:pPr>
              <w:pStyle w:val="TableText"/>
              <w:spacing w:line="276" w:lineRule="auto"/>
              <w:jc w:val="center"/>
              <w:rPr>
                <w:lang w:val="en-NZ"/>
              </w:rPr>
            </w:pPr>
            <w:r w:rsidRPr="001D1968">
              <w:rPr>
                <w:sz w:val="18"/>
                <w:szCs w:val="20"/>
                <w:lang w:val="en-NZ"/>
              </w:rPr>
              <w:t>Logical and aligns with</w:t>
            </w:r>
            <w:r>
              <w:rPr>
                <w:sz w:val="18"/>
                <w:szCs w:val="20"/>
                <w:lang w:val="en-NZ"/>
              </w:rPr>
              <w:t xml:space="preserve"> cost-recovery models of</w:t>
            </w:r>
            <w:r w:rsidRPr="001D1968">
              <w:rPr>
                <w:sz w:val="18"/>
                <w:szCs w:val="20"/>
                <w:lang w:val="en-NZ"/>
              </w:rPr>
              <w:t xml:space="preserve"> similar regulatory regimes</w:t>
            </w:r>
            <w:r w:rsidR="009F585B">
              <w:rPr>
                <w:sz w:val="18"/>
                <w:szCs w:val="20"/>
                <w:lang w:val="en-NZ"/>
              </w:rPr>
              <w:t>.</w:t>
            </w:r>
            <w:r w:rsidR="00A81AEA">
              <w:rPr>
                <w:sz w:val="18"/>
                <w:szCs w:val="20"/>
                <w:lang w:val="en-NZ"/>
              </w:rPr>
              <w:t xml:space="preserve"> </w:t>
            </w:r>
            <w:r w:rsidR="002F1389">
              <w:rPr>
                <w:sz w:val="18"/>
                <w:szCs w:val="20"/>
                <w:lang w:val="en-NZ"/>
              </w:rPr>
              <w:t>S</w:t>
            </w:r>
            <w:r w:rsidR="00A81AEA">
              <w:rPr>
                <w:sz w:val="18"/>
                <w:szCs w:val="20"/>
                <w:lang w:val="en-NZ"/>
              </w:rPr>
              <w:t>ubmitters in public consultation supported this option.</w:t>
            </w:r>
          </w:p>
        </w:tc>
        <w:tc>
          <w:tcPr>
            <w:tcW w:w="4253" w:type="dxa"/>
          </w:tcPr>
          <w:p w14:paraId="172542CB" w14:textId="77777777" w:rsidR="009B6AAC" w:rsidRDefault="009B6AAC" w:rsidP="009B6AAC">
            <w:pPr>
              <w:pStyle w:val="TableText"/>
              <w:spacing w:line="276" w:lineRule="auto"/>
              <w:jc w:val="center"/>
              <w:rPr>
                <w:rFonts w:cs="Arial"/>
                <w:b/>
                <w:color w:val="FF0000"/>
              </w:rPr>
            </w:pPr>
            <w:r w:rsidRPr="00A864A5">
              <w:rPr>
                <w:rFonts w:cs="Arial"/>
                <w:b/>
                <w:color w:val="00B050"/>
              </w:rPr>
              <w:t>+</w:t>
            </w:r>
          </w:p>
          <w:p w14:paraId="2B25D715" w14:textId="4E0C302B" w:rsidR="00A65799" w:rsidRDefault="00670B0A" w:rsidP="001D1968">
            <w:pPr>
              <w:pStyle w:val="TableText"/>
              <w:spacing w:line="276" w:lineRule="auto"/>
              <w:jc w:val="center"/>
              <w:rPr>
                <w:rFonts w:cs="Arial"/>
                <w:b/>
                <w:color w:val="00B050"/>
              </w:rPr>
            </w:pPr>
            <w:r>
              <w:rPr>
                <w:rFonts w:cs="Arial"/>
                <w:bCs/>
                <w:sz w:val="18"/>
                <w:szCs w:val="20"/>
              </w:rPr>
              <w:t>Reasons for a refund or not may</w:t>
            </w:r>
            <w:r w:rsidR="00610D22">
              <w:rPr>
                <w:rFonts w:cs="Arial"/>
                <w:bCs/>
                <w:sz w:val="18"/>
                <w:szCs w:val="20"/>
              </w:rPr>
              <w:t xml:space="preserve"> seem opaque to </w:t>
            </w:r>
            <w:r w:rsidR="008A0DF8">
              <w:rPr>
                <w:rFonts w:cs="Arial"/>
                <w:bCs/>
                <w:sz w:val="18"/>
                <w:szCs w:val="20"/>
              </w:rPr>
              <w:t>industry participants, especially t</w:t>
            </w:r>
            <w:r w:rsidR="00610D22">
              <w:rPr>
                <w:rFonts w:cs="Arial"/>
                <w:bCs/>
                <w:sz w:val="18"/>
                <w:szCs w:val="20"/>
              </w:rPr>
              <w:t>hose who have a store visit but are not approved.</w:t>
            </w:r>
          </w:p>
        </w:tc>
      </w:tr>
      <w:tr w:rsidR="009E1906" w:rsidRPr="00A864A5" w14:paraId="17065A16" w14:textId="1BD9FB7B" w:rsidTr="14E07CEB">
        <w:trPr>
          <w:trHeight w:val="584"/>
        </w:trPr>
        <w:tc>
          <w:tcPr>
            <w:tcW w:w="2010" w:type="dxa"/>
            <w:shd w:val="clear" w:color="auto" w:fill="F2F2F2" w:themeFill="background1" w:themeFillShade="F2"/>
            <w:vAlign w:val="center"/>
          </w:tcPr>
          <w:p w14:paraId="0C937F15" w14:textId="77777777" w:rsidR="009E1906" w:rsidRPr="00A864A5" w:rsidRDefault="009E1906" w:rsidP="0077649D">
            <w:pPr>
              <w:spacing w:before="60" w:after="60" w:line="240" w:lineRule="auto"/>
              <w:jc w:val="center"/>
              <w:rPr>
                <w:rFonts w:cs="Arial"/>
                <w:b/>
                <w:color w:val="000000"/>
                <w:szCs w:val="22"/>
                <w:lang w:val="en-NZ"/>
              </w:rPr>
            </w:pPr>
            <w:r w:rsidRPr="00A864A5">
              <w:rPr>
                <w:rFonts w:cs="Arial"/>
                <w:b/>
                <w:color w:val="000000"/>
                <w:szCs w:val="22"/>
                <w:lang w:val="en-NZ"/>
              </w:rPr>
              <w:t>Overall assessment</w:t>
            </w:r>
          </w:p>
        </w:tc>
        <w:tc>
          <w:tcPr>
            <w:tcW w:w="4101" w:type="dxa"/>
            <w:shd w:val="clear" w:color="auto" w:fill="auto"/>
            <w:vAlign w:val="center"/>
          </w:tcPr>
          <w:p w14:paraId="117F05B3" w14:textId="78792293" w:rsidR="009E1906" w:rsidRPr="00A864A5" w:rsidRDefault="009E1906" w:rsidP="6CB21593">
            <w:pPr>
              <w:pStyle w:val="TableText"/>
              <w:spacing w:line="276" w:lineRule="auto"/>
              <w:jc w:val="center"/>
              <w:rPr>
                <w:rFonts w:cs="Arial"/>
                <w:b/>
                <w:bCs/>
                <w:color w:val="FF0000"/>
                <w:lang w:val="en-NZ"/>
              </w:rPr>
            </w:pPr>
          </w:p>
        </w:tc>
        <w:tc>
          <w:tcPr>
            <w:tcW w:w="4549" w:type="dxa"/>
            <w:shd w:val="clear" w:color="auto" w:fill="auto"/>
            <w:vAlign w:val="center"/>
          </w:tcPr>
          <w:p w14:paraId="510A58ED" w14:textId="40E154DE" w:rsidR="009F585B" w:rsidRPr="009F585B" w:rsidRDefault="00501D9C" w:rsidP="0077649D">
            <w:pPr>
              <w:pStyle w:val="TableText"/>
              <w:spacing w:line="276" w:lineRule="auto"/>
              <w:jc w:val="center"/>
              <w:rPr>
                <w:bCs/>
                <w:lang w:val="en-NZ"/>
              </w:rPr>
            </w:pPr>
            <w:r w:rsidRPr="00881337">
              <w:rPr>
                <w:rFonts w:cs="Arial"/>
                <w:b/>
              </w:rPr>
              <w:t>Preferred</w:t>
            </w:r>
            <w:r w:rsidR="009F585B" w:rsidRPr="00881337">
              <w:rPr>
                <w:rFonts w:cs="Arial"/>
                <w:b/>
              </w:rPr>
              <w:t xml:space="preserve"> option</w:t>
            </w:r>
          </w:p>
        </w:tc>
        <w:tc>
          <w:tcPr>
            <w:tcW w:w="4253" w:type="dxa"/>
          </w:tcPr>
          <w:p w14:paraId="364BDDE1" w14:textId="1A0E206E" w:rsidR="00A65799" w:rsidRPr="00F22531" w:rsidRDefault="00A65799" w:rsidP="004C1DF5">
            <w:pPr>
              <w:pStyle w:val="TableText"/>
              <w:spacing w:line="276" w:lineRule="auto"/>
              <w:rPr>
                <w:rFonts w:cs="Arial"/>
                <w:b/>
                <w:color w:val="FF0000"/>
              </w:rPr>
            </w:pPr>
          </w:p>
        </w:tc>
      </w:tr>
    </w:tbl>
    <w:p w14:paraId="398AA207" w14:textId="3CF3BC53" w:rsidR="00FF04EC" w:rsidRPr="000C59A2" w:rsidRDefault="00FF04EC" w:rsidP="000C59A2">
      <w:pPr>
        <w:pStyle w:val="Heading3"/>
        <w:rPr>
          <w:noProof/>
          <w:lang w:val="en-NZ" w:eastAsia="en-NZ"/>
        </w:rPr>
        <w:sectPr w:rsidR="00FF04EC" w:rsidRPr="000C59A2" w:rsidSect="00B5612C">
          <w:footerReference w:type="default" r:id="rId36"/>
          <w:pgSz w:w="16838" w:h="11906" w:orient="landscape" w:code="9"/>
          <w:pgMar w:top="1418" w:right="1134" w:bottom="1418" w:left="992" w:header="454" w:footer="454" w:gutter="0"/>
          <w:cols w:space="708"/>
          <w:docGrid w:linePitch="360"/>
        </w:sectPr>
      </w:pPr>
    </w:p>
    <w:p w14:paraId="60D7BE00" w14:textId="2825D275" w:rsidR="00083941" w:rsidRDefault="37B6F6DF" w:rsidP="00F4511C">
      <w:pPr>
        <w:pStyle w:val="Heading3"/>
        <w:spacing w:before="120" w:after="120"/>
        <w:rPr>
          <w:lang w:val="en-NZ"/>
        </w:rPr>
      </w:pPr>
      <w:r w:rsidRPr="3C4E5589">
        <w:rPr>
          <w:lang w:val="en-NZ"/>
        </w:rPr>
        <w:t>I</w:t>
      </w:r>
      <w:r w:rsidR="487B121D" w:rsidRPr="3C4E5589">
        <w:rPr>
          <w:lang w:val="en-NZ"/>
        </w:rPr>
        <w:t>ssue</w:t>
      </w:r>
      <w:r w:rsidR="558793F5" w:rsidRPr="3C4E5589">
        <w:rPr>
          <w:lang w:val="en-NZ"/>
        </w:rPr>
        <w:t xml:space="preserve"> </w:t>
      </w:r>
      <w:r w:rsidR="4A544F59" w:rsidRPr="3C4E5589">
        <w:rPr>
          <w:lang w:val="en-NZ"/>
        </w:rPr>
        <w:t>5</w:t>
      </w:r>
      <w:r w:rsidR="558793F5" w:rsidRPr="3C4E5589">
        <w:rPr>
          <w:lang w:val="en-NZ"/>
        </w:rPr>
        <w:t xml:space="preserve"> – </w:t>
      </w:r>
      <w:r w:rsidR="74F25DBF" w:rsidRPr="3C4E5589">
        <w:rPr>
          <w:lang w:val="en-NZ"/>
        </w:rPr>
        <w:t xml:space="preserve">Notification </w:t>
      </w:r>
      <w:r w:rsidR="621B674B" w:rsidRPr="3C4E5589">
        <w:rPr>
          <w:lang w:val="en-NZ"/>
        </w:rPr>
        <w:t>r</w:t>
      </w:r>
      <w:r w:rsidR="74F25DBF" w:rsidRPr="3C4E5589">
        <w:rPr>
          <w:lang w:val="en-NZ"/>
        </w:rPr>
        <w:t xml:space="preserve">equirements </w:t>
      </w:r>
    </w:p>
    <w:p w14:paraId="1985CD78" w14:textId="7707FEA0" w:rsidR="00DF6EAC" w:rsidRDefault="037BEEB4" w:rsidP="00F4511C">
      <w:pPr>
        <w:spacing w:before="120" w:after="120" w:line="240" w:lineRule="auto"/>
        <w:rPr>
          <w:lang w:val="en-NZ"/>
        </w:rPr>
      </w:pPr>
      <w:r w:rsidRPr="3C4E5589">
        <w:rPr>
          <w:szCs w:val="22"/>
          <w:lang w:val="en-NZ"/>
        </w:rPr>
        <w:t xml:space="preserve">The </w:t>
      </w:r>
      <w:r w:rsidR="004C1916">
        <w:rPr>
          <w:szCs w:val="22"/>
          <w:lang w:val="en-NZ"/>
        </w:rPr>
        <w:t xml:space="preserve">Amendment </w:t>
      </w:r>
      <w:r w:rsidRPr="3C4E5589">
        <w:rPr>
          <w:szCs w:val="22"/>
          <w:lang w:val="en-NZ"/>
        </w:rPr>
        <w:t>Act requires distributors of smoked tobacco products and general retailers of notifiable products (including vape products) to notify the Director-General of their business. A notification must be made in accordance with requirements set in regulations.</w:t>
      </w:r>
    </w:p>
    <w:p w14:paraId="39E62DAA" w14:textId="701E5803" w:rsidR="4CEAEF02" w:rsidRDefault="4CEAEF02" w:rsidP="00F4511C">
      <w:pPr>
        <w:spacing w:before="120" w:after="120"/>
        <w:rPr>
          <w:szCs w:val="22"/>
          <w:lang w:val="en-NZ"/>
        </w:rPr>
      </w:pPr>
      <w:r w:rsidRPr="3C4E5589">
        <w:rPr>
          <w:szCs w:val="22"/>
          <w:lang w:val="en-NZ"/>
        </w:rPr>
        <w:t xml:space="preserve">The consultation document proposed that distributors and general retailers are required, on an annual basis, to provide their contact details (including name, business name, company number/New Zealand business number, address, phone numbers and email addresses) when they register on </w:t>
      </w:r>
      <w:r w:rsidR="00833B53">
        <w:rPr>
          <w:szCs w:val="22"/>
          <w:lang w:val="en-NZ"/>
        </w:rPr>
        <w:t>the Ministry’s</w:t>
      </w:r>
      <w:r w:rsidRPr="3C4E5589">
        <w:rPr>
          <w:szCs w:val="22"/>
          <w:lang w:val="en-NZ"/>
        </w:rPr>
        <w:t xml:space="preserve"> database</w:t>
      </w:r>
    </w:p>
    <w:p w14:paraId="705445E9" w14:textId="5C541520" w:rsidR="000C0726" w:rsidRPr="000C0726" w:rsidRDefault="000C0726" w:rsidP="00F4511C">
      <w:pPr>
        <w:spacing w:before="120" w:after="120" w:line="240" w:lineRule="auto"/>
        <w:textAlignment w:val="baseline"/>
        <w:rPr>
          <w:rFonts w:ascii="Segoe UI" w:hAnsi="Segoe UI" w:cs="Segoe UI"/>
          <w:sz w:val="18"/>
          <w:szCs w:val="18"/>
          <w:lang w:val="en-NZ" w:eastAsia="en-NZ"/>
        </w:rPr>
      </w:pPr>
      <w:r w:rsidRPr="02D6F528">
        <w:rPr>
          <w:rFonts w:cs="Arial"/>
          <w:i/>
          <w:lang w:val="en-NZ" w:eastAsia="en-NZ"/>
        </w:rPr>
        <w:t>Consultation feedback</w:t>
      </w:r>
    </w:p>
    <w:p w14:paraId="51FDBB58" w14:textId="60B0228D" w:rsidR="008A75B2" w:rsidRDefault="1FF466F5" w:rsidP="00F4511C">
      <w:pPr>
        <w:spacing w:before="120" w:after="120"/>
        <w:rPr>
          <w:lang w:val="en-NZ"/>
        </w:rPr>
      </w:pPr>
      <w:r w:rsidRPr="3C4E5589">
        <w:rPr>
          <w:lang w:val="en-NZ"/>
        </w:rPr>
        <w:t>M</w:t>
      </w:r>
      <w:r w:rsidR="0686287D" w:rsidRPr="3C4E5589">
        <w:rPr>
          <w:lang w:val="en-NZ"/>
        </w:rPr>
        <w:t>any</w:t>
      </w:r>
      <w:r w:rsidRPr="3C4E5589">
        <w:rPr>
          <w:lang w:val="en-NZ"/>
        </w:rPr>
        <w:t xml:space="preserve"> submitters</w:t>
      </w:r>
      <w:r w:rsidR="6B90F6BD" w:rsidRPr="3C4E5589">
        <w:rPr>
          <w:lang w:val="en-NZ"/>
        </w:rPr>
        <w:t xml:space="preserve"> who responded to this question</w:t>
      </w:r>
      <w:r w:rsidRPr="3C4E5589">
        <w:rPr>
          <w:lang w:val="en-NZ"/>
        </w:rPr>
        <w:t xml:space="preserve"> supported the proposal</w:t>
      </w:r>
      <w:r w:rsidR="6B90F6BD" w:rsidRPr="3C4E5589">
        <w:rPr>
          <w:lang w:val="en-NZ"/>
        </w:rPr>
        <w:t>.</w:t>
      </w:r>
      <w:r w:rsidR="2D90C1F3" w:rsidRPr="3C4E5589">
        <w:rPr>
          <w:lang w:val="en-NZ"/>
        </w:rPr>
        <w:t xml:space="preserve"> There were suggesti</w:t>
      </w:r>
      <w:r w:rsidR="5A2F8A6F" w:rsidRPr="3C4E5589">
        <w:rPr>
          <w:lang w:val="en-NZ"/>
        </w:rPr>
        <w:t xml:space="preserve">ons </w:t>
      </w:r>
      <w:r w:rsidR="00E57C4A">
        <w:rPr>
          <w:lang w:val="en-NZ"/>
        </w:rPr>
        <w:t xml:space="preserve">around how often </w:t>
      </w:r>
      <w:r w:rsidR="00C375AE">
        <w:rPr>
          <w:lang w:val="en-NZ"/>
        </w:rPr>
        <w:t>a business should be required to notify</w:t>
      </w:r>
      <w:r w:rsidR="55A096C6" w:rsidRPr="3C4E5589">
        <w:rPr>
          <w:lang w:val="en-NZ"/>
        </w:rPr>
        <w:t>, but v</w:t>
      </w:r>
      <w:r w:rsidR="58D11DFF" w:rsidRPr="3C4E5589">
        <w:rPr>
          <w:lang w:val="en-NZ"/>
        </w:rPr>
        <w:t xml:space="preserve">ery few comments relating to the information requirements </w:t>
      </w:r>
      <w:r w:rsidR="17D8CEDA" w:rsidRPr="3C4E5589">
        <w:rPr>
          <w:lang w:val="en-NZ"/>
        </w:rPr>
        <w:t>proposed</w:t>
      </w:r>
      <w:r w:rsidR="58D11DFF" w:rsidRPr="3C4E5589">
        <w:rPr>
          <w:lang w:val="en-NZ"/>
        </w:rPr>
        <w:t>.</w:t>
      </w:r>
    </w:p>
    <w:p w14:paraId="55A3B84B" w14:textId="0598480E" w:rsidR="0058769A" w:rsidRPr="0058769A" w:rsidRDefault="0058769A" w:rsidP="00F4511C">
      <w:pPr>
        <w:spacing w:before="120" w:after="120"/>
        <w:rPr>
          <w:lang w:val="en-NZ"/>
        </w:rPr>
      </w:pPr>
      <w:r w:rsidRPr="794B25FD">
        <w:rPr>
          <w:lang w:val="en-NZ"/>
        </w:rPr>
        <w:t>The options for notification requirements are:</w:t>
      </w:r>
    </w:p>
    <w:p w14:paraId="622A954D" w14:textId="77BF814B" w:rsidR="00BD223C" w:rsidRPr="00BD223C" w:rsidRDefault="00BD223C" w:rsidP="00F4511C">
      <w:pPr>
        <w:pStyle w:val="Heading4"/>
        <w:spacing w:after="120"/>
        <w:rPr>
          <w:lang w:val="en-NZ"/>
        </w:rPr>
      </w:pPr>
      <w:r w:rsidRPr="00A864A5">
        <w:rPr>
          <w:lang w:val="en-NZ"/>
        </w:rPr>
        <w:t xml:space="preserve">Option </w:t>
      </w:r>
      <w:r w:rsidR="008B7786">
        <w:rPr>
          <w:lang w:val="en-NZ"/>
        </w:rPr>
        <w:t>1</w:t>
      </w:r>
      <w:r w:rsidRPr="00A864A5">
        <w:rPr>
          <w:lang w:val="en-NZ"/>
        </w:rPr>
        <w:t xml:space="preserve"> – </w:t>
      </w:r>
      <w:r>
        <w:rPr>
          <w:lang w:val="en-NZ"/>
        </w:rPr>
        <w:t>Counterfactual</w:t>
      </w:r>
    </w:p>
    <w:p w14:paraId="36802BD2" w14:textId="6C2E8FAA" w:rsidR="00914416" w:rsidRPr="00914416" w:rsidRDefault="171A6599" w:rsidP="00F4511C">
      <w:pPr>
        <w:spacing w:before="120" w:after="120"/>
        <w:rPr>
          <w:lang w:val="en-NZ"/>
        </w:rPr>
      </w:pPr>
      <w:r w:rsidRPr="58911DBF">
        <w:rPr>
          <w:rFonts w:cs="Arial"/>
        </w:rPr>
        <w:t>Do not set out requirements for information to be supplied in regulations</w:t>
      </w:r>
      <w:r w:rsidRPr="58911DBF">
        <w:rPr>
          <w:lang w:val="en-NZ"/>
        </w:rPr>
        <w:t>.</w:t>
      </w:r>
    </w:p>
    <w:p w14:paraId="6C01B853" w14:textId="0572443C" w:rsidR="00BD223C" w:rsidRPr="00BD223C" w:rsidRDefault="00BD223C" w:rsidP="00F4511C">
      <w:pPr>
        <w:pStyle w:val="Heading4"/>
        <w:spacing w:after="120"/>
        <w:rPr>
          <w:lang w:val="en-NZ"/>
        </w:rPr>
      </w:pPr>
      <w:r w:rsidRPr="00A864A5">
        <w:rPr>
          <w:lang w:val="en-NZ"/>
        </w:rPr>
        <w:t xml:space="preserve">Option </w:t>
      </w:r>
      <w:r w:rsidR="008B7786">
        <w:rPr>
          <w:lang w:val="en-NZ"/>
        </w:rPr>
        <w:t>2</w:t>
      </w:r>
    </w:p>
    <w:p w14:paraId="35F3BBB2" w14:textId="2D6DCF28" w:rsidR="00BB0ADF" w:rsidRPr="000E3ADD" w:rsidRDefault="171A6599" w:rsidP="00F4511C">
      <w:pPr>
        <w:spacing w:before="120" w:after="120"/>
        <w:rPr>
          <w:lang w:val="en-NZ"/>
        </w:rPr>
      </w:pPr>
      <w:r w:rsidRPr="58911DBF">
        <w:rPr>
          <w:rFonts w:cs="Arial"/>
        </w:rPr>
        <w:t>Set out requirements for information to be supplied in regulations.</w:t>
      </w:r>
    </w:p>
    <w:p w14:paraId="781D81A3" w14:textId="62F832BD" w:rsidR="00BB0ADF" w:rsidRPr="00BB0ADF" w:rsidRDefault="00BB0ADF" w:rsidP="00E248B1">
      <w:pPr>
        <w:spacing w:after="60" w:line="240" w:lineRule="auto"/>
        <w:rPr>
          <w:rFonts w:cs="Arial"/>
          <w:b/>
          <w:bCs/>
          <w:sz w:val="20"/>
        </w:rPr>
      </w:pPr>
      <w:r w:rsidRPr="640EFFB0">
        <w:rPr>
          <w:rFonts w:cs="Arial"/>
          <w:b/>
          <w:bCs/>
          <w:sz w:val="20"/>
        </w:rPr>
        <w:t xml:space="preserve">Table </w:t>
      </w:r>
      <w:r w:rsidR="00DB673B">
        <w:rPr>
          <w:rFonts w:cs="Arial"/>
          <w:b/>
          <w:bCs/>
          <w:sz w:val="20"/>
        </w:rPr>
        <w:t>12</w:t>
      </w:r>
      <w:r w:rsidRPr="640EFFB0">
        <w:rPr>
          <w:rFonts w:cs="Arial"/>
          <w:b/>
          <w:bCs/>
          <w:sz w:val="20"/>
        </w:rPr>
        <w:t xml:space="preserve">: Comparison of options </w:t>
      </w:r>
    </w:p>
    <w:tbl>
      <w:tblPr>
        <w:tblStyle w:val="TableGrid"/>
        <w:tblW w:w="9214" w:type="dxa"/>
        <w:tblLook w:val="04A0" w:firstRow="1" w:lastRow="0" w:firstColumn="1" w:lastColumn="0" w:noHBand="0" w:noVBand="1"/>
      </w:tblPr>
      <w:tblGrid>
        <w:gridCol w:w="1348"/>
        <w:gridCol w:w="3472"/>
        <w:gridCol w:w="4394"/>
      </w:tblGrid>
      <w:tr w:rsidR="00BB0ADF" w:rsidRPr="00E87DD1" w14:paraId="1DD78768" w14:textId="77777777" w:rsidTr="3C4E5589">
        <w:trPr>
          <w:trHeight w:val="42"/>
        </w:trPr>
        <w:tc>
          <w:tcPr>
            <w:tcW w:w="1348" w:type="dxa"/>
            <w:tcBorders>
              <w:top w:val="single" w:sz="4" w:space="0" w:color="auto"/>
              <w:left w:val="nil"/>
              <w:bottom w:val="single" w:sz="4" w:space="0" w:color="auto"/>
              <w:right w:val="nil"/>
            </w:tcBorders>
            <w:shd w:val="clear" w:color="auto" w:fill="E7E6E6" w:themeFill="background2"/>
          </w:tcPr>
          <w:p w14:paraId="1F033AD6" w14:textId="77777777" w:rsidR="00BB0ADF" w:rsidRPr="00E87DD1" w:rsidRDefault="00BB0ADF" w:rsidP="005F5CD1">
            <w:pPr>
              <w:spacing w:before="60" w:after="60" w:line="240" w:lineRule="auto"/>
              <w:jc w:val="left"/>
              <w:rPr>
                <w:rFonts w:cs="Arial"/>
                <w:b/>
                <w:sz w:val="18"/>
                <w:szCs w:val="18"/>
              </w:rPr>
            </w:pPr>
            <w:r w:rsidRPr="00E87DD1">
              <w:rPr>
                <w:rFonts w:cs="Arial"/>
                <w:b/>
                <w:sz w:val="18"/>
                <w:szCs w:val="18"/>
              </w:rPr>
              <w:t>Options</w:t>
            </w:r>
          </w:p>
        </w:tc>
        <w:tc>
          <w:tcPr>
            <w:tcW w:w="3472" w:type="dxa"/>
            <w:tcBorders>
              <w:top w:val="single" w:sz="4" w:space="0" w:color="auto"/>
              <w:left w:val="nil"/>
              <w:bottom w:val="single" w:sz="4" w:space="0" w:color="auto"/>
              <w:right w:val="nil"/>
            </w:tcBorders>
            <w:shd w:val="clear" w:color="auto" w:fill="E7E6E6" w:themeFill="background2"/>
          </w:tcPr>
          <w:p w14:paraId="59F4D784" w14:textId="5A01A36E" w:rsidR="00BB0ADF" w:rsidRPr="00E87DD1" w:rsidRDefault="73F65C85" w:rsidP="005F5CD1">
            <w:pPr>
              <w:spacing w:before="60" w:after="60" w:line="240" w:lineRule="auto"/>
              <w:jc w:val="left"/>
              <w:rPr>
                <w:rFonts w:cs="Arial"/>
                <w:sz w:val="18"/>
                <w:szCs w:val="18"/>
              </w:rPr>
            </w:pPr>
            <w:r w:rsidRPr="33A45F9F">
              <w:rPr>
                <w:rFonts w:cs="Arial"/>
                <w:b/>
                <w:bCs/>
                <w:sz w:val="18"/>
                <w:szCs w:val="18"/>
              </w:rPr>
              <w:t>Option 1 (counterfactual):</w:t>
            </w:r>
            <w:r w:rsidRPr="33A45F9F">
              <w:rPr>
                <w:rFonts w:cs="Arial"/>
                <w:sz w:val="18"/>
                <w:szCs w:val="18"/>
              </w:rPr>
              <w:t xml:space="preserve"> </w:t>
            </w:r>
            <w:r w:rsidR="11A8BB4F" w:rsidRPr="33A45F9F">
              <w:rPr>
                <w:rFonts w:cs="Arial"/>
                <w:sz w:val="18"/>
                <w:szCs w:val="18"/>
              </w:rPr>
              <w:t>d</w:t>
            </w:r>
            <w:r w:rsidR="3D53AD15" w:rsidRPr="33A45F9F">
              <w:rPr>
                <w:rFonts w:cs="Arial"/>
                <w:sz w:val="18"/>
                <w:szCs w:val="18"/>
              </w:rPr>
              <w:t>o not set out requirements for information to be supplied</w:t>
            </w:r>
          </w:p>
        </w:tc>
        <w:tc>
          <w:tcPr>
            <w:tcW w:w="4394" w:type="dxa"/>
            <w:tcBorders>
              <w:left w:val="nil"/>
              <w:bottom w:val="single" w:sz="4" w:space="0" w:color="auto"/>
              <w:right w:val="nil"/>
            </w:tcBorders>
            <w:shd w:val="clear" w:color="auto" w:fill="E7E6E6" w:themeFill="background2"/>
          </w:tcPr>
          <w:p w14:paraId="20FCD080" w14:textId="62BC9AE6" w:rsidR="00BB0ADF" w:rsidRPr="00E87DD1" w:rsidRDefault="00BB0ADF" w:rsidP="005F5CD1">
            <w:pPr>
              <w:spacing w:before="60" w:after="60" w:line="240" w:lineRule="auto"/>
              <w:jc w:val="left"/>
              <w:rPr>
                <w:rFonts w:cs="Arial"/>
                <w:sz w:val="18"/>
                <w:szCs w:val="18"/>
                <w:lang w:eastAsia="en-AU"/>
              </w:rPr>
            </w:pPr>
            <w:r w:rsidRPr="00E87DD1">
              <w:rPr>
                <w:rFonts w:cs="Arial"/>
                <w:b/>
                <w:sz w:val="18"/>
                <w:szCs w:val="18"/>
              </w:rPr>
              <w:t xml:space="preserve">Option 2: </w:t>
            </w:r>
            <w:r w:rsidR="00A65799">
              <w:rPr>
                <w:rFonts w:cs="Arial"/>
                <w:bCs/>
                <w:sz w:val="18"/>
                <w:szCs w:val="18"/>
              </w:rPr>
              <w:t>s</w:t>
            </w:r>
            <w:r w:rsidR="00BD223C" w:rsidRPr="00BD223C">
              <w:rPr>
                <w:rFonts w:cs="Arial"/>
                <w:bCs/>
                <w:sz w:val="18"/>
                <w:szCs w:val="18"/>
              </w:rPr>
              <w:t>et out information to be supplied in regulations</w:t>
            </w:r>
          </w:p>
        </w:tc>
      </w:tr>
      <w:tr w:rsidR="00BB0ADF" w:rsidRPr="00E87DD1" w14:paraId="677116F9" w14:textId="77777777" w:rsidTr="3C4E5589">
        <w:trPr>
          <w:trHeight w:val="71"/>
        </w:trPr>
        <w:tc>
          <w:tcPr>
            <w:tcW w:w="1348" w:type="dxa"/>
            <w:tcBorders>
              <w:top w:val="single" w:sz="4" w:space="0" w:color="auto"/>
              <w:left w:val="nil"/>
              <w:bottom w:val="single" w:sz="4" w:space="0" w:color="auto"/>
              <w:right w:val="nil"/>
            </w:tcBorders>
          </w:tcPr>
          <w:p w14:paraId="77F81A73" w14:textId="77777777" w:rsidR="00BB0ADF" w:rsidRPr="00E87DD1" w:rsidRDefault="00BB0ADF" w:rsidP="005F5CD1">
            <w:pPr>
              <w:spacing w:before="60" w:after="60" w:line="240" w:lineRule="auto"/>
              <w:jc w:val="left"/>
              <w:rPr>
                <w:rFonts w:cs="Arial"/>
                <w:sz w:val="18"/>
                <w:szCs w:val="18"/>
              </w:rPr>
            </w:pPr>
            <w:r w:rsidRPr="00E87DD1">
              <w:rPr>
                <w:rFonts w:cs="Arial"/>
                <w:sz w:val="18"/>
                <w:szCs w:val="18"/>
              </w:rPr>
              <w:t>Pros</w:t>
            </w:r>
          </w:p>
        </w:tc>
        <w:tc>
          <w:tcPr>
            <w:tcW w:w="3472" w:type="dxa"/>
            <w:tcBorders>
              <w:top w:val="single" w:sz="4" w:space="0" w:color="auto"/>
              <w:left w:val="nil"/>
              <w:bottom w:val="single" w:sz="4" w:space="0" w:color="auto"/>
              <w:right w:val="nil"/>
            </w:tcBorders>
          </w:tcPr>
          <w:p w14:paraId="1BB9769A" w14:textId="5DD4BCA6" w:rsidR="00D20B48" w:rsidRPr="00E87DD1" w:rsidRDefault="743438E1" w:rsidP="005F5CD1">
            <w:pPr>
              <w:spacing w:before="60" w:after="60" w:line="240" w:lineRule="auto"/>
              <w:jc w:val="left"/>
              <w:rPr>
                <w:rFonts w:cs="Arial"/>
                <w:sz w:val="18"/>
                <w:szCs w:val="18"/>
              </w:rPr>
            </w:pPr>
            <w:r w:rsidRPr="3C4E5589">
              <w:rPr>
                <w:rFonts w:cs="Arial"/>
                <w:sz w:val="18"/>
                <w:szCs w:val="18"/>
              </w:rPr>
              <w:t>Potentially s</w:t>
            </w:r>
            <w:r w:rsidR="6541037E" w:rsidRPr="3C4E5589">
              <w:rPr>
                <w:rFonts w:cs="Arial"/>
                <w:sz w:val="18"/>
                <w:szCs w:val="18"/>
              </w:rPr>
              <w:t>maller</w:t>
            </w:r>
            <w:r w:rsidR="638B3C54" w:rsidRPr="3C4E5589">
              <w:rPr>
                <w:rFonts w:cs="Arial"/>
                <w:sz w:val="18"/>
                <w:szCs w:val="18"/>
              </w:rPr>
              <w:t xml:space="preserve"> administrative burden for industry</w:t>
            </w:r>
          </w:p>
          <w:p w14:paraId="041BAFEF" w14:textId="64850F43" w:rsidR="00D20B48" w:rsidRPr="00E87DD1" w:rsidRDefault="00D20B48" w:rsidP="005F5CD1">
            <w:pPr>
              <w:spacing w:before="60" w:after="60" w:line="240" w:lineRule="auto"/>
              <w:jc w:val="left"/>
              <w:rPr>
                <w:rFonts w:cs="Arial"/>
                <w:sz w:val="18"/>
                <w:szCs w:val="18"/>
              </w:rPr>
            </w:pPr>
          </w:p>
        </w:tc>
        <w:tc>
          <w:tcPr>
            <w:tcW w:w="4394" w:type="dxa"/>
            <w:tcBorders>
              <w:left w:val="nil"/>
              <w:bottom w:val="single" w:sz="4" w:space="0" w:color="auto"/>
              <w:right w:val="nil"/>
            </w:tcBorders>
          </w:tcPr>
          <w:p w14:paraId="60E0602D" w14:textId="591B6DF8" w:rsidR="00BB0ADF" w:rsidRDefault="5BB26866" w:rsidP="005F5CD1">
            <w:pPr>
              <w:spacing w:before="60" w:after="60" w:line="240" w:lineRule="auto"/>
              <w:jc w:val="left"/>
              <w:rPr>
                <w:rFonts w:cs="Arial"/>
                <w:sz w:val="18"/>
                <w:szCs w:val="18"/>
              </w:rPr>
            </w:pPr>
            <w:r w:rsidRPr="3C4E5589">
              <w:rPr>
                <w:rFonts w:cs="Arial"/>
                <w:sz w:val="18"/>
                <w:szCs w:val="18"/>
              </w:rPr>
              <w:t>Consistent information will be received by the regulator, useful for trend analysis</w:t>
            </w:r>
            <w:r w:rsidR="7FCB0BAF" w:rsidRPr="3C4E5589">
              <w:rPr>
                <w:rFonts w:cs="Arial"/>
                <w:sz w:val="18"/>
                <w:szCs w:val="18"/>
              </w:rPr>
              <w:t xml:space="preserve"> </w:t>
            </w:r>
          </w:p>
          <w:p w14:paraId="59E3A2F7" w14:textId="5908AD7D" w:rsidR="00973688" w:rsidRDefault="00973688" w:rsidP="005F5CD1">
            <w:pPr>
              <w:spacing w:before="60" w:after="60" w:line="240" w:lineRule="auto"/>
              <w:jc w:val="left"/>
              <w:rPr>
                <w:rFonts w:cs="Arial"/>
                <w:sz w:val="18"/>
                <w:szCs w:val="18"/>
              </w:rPr>
            </w:pPr>
            <w:r>
              <w:rPr>
                <w:rFonts w:cs="Arial"/>
                <w:sz w:val="18"/>
                <w:szCs w:val="18"/>
              </w:rPr>
              <w:t>Will support compliance work</w:t>
            </w:r>
            <w:r w:rsidR="00BC7A72">
              <w:rPr>
                <w:rFonts w:cs="Arial"/>
                <w:sz w:val="18"/>
                <w:szCs w:val="18"/>
              </w:rPr>
              <w:t xml:space="preserve"> as reliable information is held by regulator</w:t>
            </w:r>
          </w:p>
          <w:p w14:paraId="35390492" w14:textId="21FF5B32" w:rsidR="00743FED" w:rsidRPr="00E87DD1" w:rsidRDefault="08B8EBD1" w:rsidP="005F5CD1">
            <w:pPr>
              <w:spacing w:before="60" w:after="60" w:line="240" w:lineRule="auto"/>
              <w:jc w:val="left"/>
              <w:rPr>
                <w:rFonts w:cs="Arial"/>
                <w:sz w:val="18"/>
                <w:szCs w:val="18"/>
              </w:rPr>
            </w:pPr>
            <w:r w:rsidRPr="61A924D9">
              <w:rPr>
                <w:rFonts w:cs="Arial"/>
                <w:sz w:val="18"/>
                <w:szCs w:val="18"/>
              </w:rPr>
              <w:t>Existing processes</w:t>
            </w:r>
            <w:r w:rsidR="20CBCD20" w:rsidRPr="61A924D9">
              <w:rPr>
                <w:rFonts w:cs="Arial"/>
                <w:sz w:val="18"/>
                <w:szCs w:val="18"/>
              </w:rPr>
              <w:t xml:space="preserve"> </w:t>
            </w:r>
            <w:r w:rsidRPr="61A924D9">
              <w:rPr>
                <w:rFonts w:cs="Arial"/>
                <w:sz w:val="18"/>
                <w:szCs w:val="18"/>
              </w:rPr>
              <w:t>in place to receive, compile and analyse this type of information</w:t>
            </w:r>
          </w:p>
        </w:tc>
      </w:tr>
      <w:tr w:rsidR="00BB0ADF" w:rsidRPr="00E87DD1" w14:paraId="3FD17C6C" w14:textId="77777777" w:rsidTr="005F5CD1">
        <w:trPr>
          <w:trHeight w:val="807"/>
        </w:trPr>
        <w:tc>
          <w:tcPr>
            <w:tcW w:w="1348" w:type="dxa"/>
            <w:tcBorders>
              <w:top w:val="single" w:sz="4" w:space="0" w:color="auto"/>
              <w:left w:val="nil"/>
              <w:bottom w:val="single" w:sz="4" w:space="0" w:color="auto"/>
              <w:right w:val="nil"/>
            </w:tcBorders>
          </w:tcPr>
          <w:p w14:paraId="788B48A9" w14:textId="77777777" w:rsidR="00BB0ADF" w:rsidRPr="00E87DD1" w:rsidRDefault="00BB0ADF" w:rsidP="005F5CD1">
            <w:pPr>
              <w:spacing w:before="60" w:after="60" w:line="240" w:lineRule="auto"/>
              <w:jc w:val="left"/>
              <w:rPr>
                <w:rFonts w:cs="Arial"/>
                <w:sz w:val="18"/>
                <w:szCs w:val="18"/>
              </w:rPr>
            </w:pPr>
            <w:r w:rsidRPr="00E87DD1">
              <w:rPr>
                <w:rFonts w:cs="Arial"/>
                <w:sz w:val="18"/>
                <w:szCs w:val="18"/>
              </w:rPr>
              <w:t>Cons</w:t>
            </w:r>
          </w:p>
        </w:tc>
        <w:tc>
          <w:tcPr>
            <w:tcW w:w="3472" w:type="dxa"/>
            <w:tcBorders>
              <w:top w:val="single" w:sz="4" w:space="0" w:color="auto"/>
              <w:left w:val="nil"/>
              <w:bottom w:val="single" w:sz="4" w:space="0" w:color="auto"/>
              <w:right w:val="nil"/>
            </w:tcBorders>
          </w:tcPr>
          <w:p w14:paraId="126F856A" w14:textId="65734E94" w:rsidR="00C2503F" w:rsidRPr="00E87DD1" w:rsidRDefault="66357B6F" w:rsidP="005F5CD1">
            <w:pPr>
              <w:spacing w:before="60" w:after="60" w:line="240" w:lineRule="auto"/>
              <w:jc w:val="left"/>
              <w:rPr>
                <w:rFonts w:cs="Arial"/>
                <w:sz w:val="18"/>
                <w:szCs w:val="18"/>
              </w:rPr>
            </w:pPr>
            <w:r w:rsidRPr="3C4E5589">
              <w:rPr>
                <w:rFonts w:cs="Arial"/>
                <w:sz w:val="18"/>
                <w:szCs w:val="18"/>
              </w:rPr>
              <w:t xml:space="preserve">Information received likely to be inconsistent and not useful for reporting and </w:t>
            </w:r>
            <w:r w:rsidR="5BB26866" w:rsidRPr="3C4E5589">
              <w:rPr>
                <w:rFonts w:cs="Arial"/>
                <w:sz w:val="18"/>
                <w:szCs w:val="18"/>
              </w:rPr>
              <w:t>compliance</w:t>
            </w:r>
          </w:p>
        </w:tc>
        <w:tc>
          <w:tcPr>
            <w:tcW w:w="4394" w:type="dxa"/>
            <w:tcBorders>
              <w:top w:val="single" w:sz="4" w:space="0" w:color="auto"/>
              <w:left w:val="nil"/>
              <w:bottom w:val="single" w:sz="4" w:space="0" w:color="auto"/>
              <w:right w:val="nil"/>
            </w:tcBorders>
          </w:tcPr>
          <w:p w14:paraId="5B5DFD76" w14:textId="19BEF37A" w:rsidR="00BF6B06" w:rsidRPr="00E87DD1" w:rsidRDefault="00983AE0" w:rsidP="005F5CD1">
            <w:pPr>
              <w:spacing w:before="60" w:after="60" w:line="240" w:lineRule="auto"/>
              <w:rPr>
                <w:rFonts w:cs="Arial"/>
                <w:sz w:val="18"/>
                <w:szCs w:val="18"/>
              </w:rPr>
            </w:pPr>
            <w:r>
              <w:rPr>
                <w:rFonts w:cs="Arial"/>
                <w:sz w:val="18"/>
                <w:szCs w:val="18"/>
              </w:rPr>
              <w:t>High volume of information to be received by regulator, need time resource to process and analys</w:t>
            </w:r>
            <w:r w:rsidR="00C30990">
              <w:rPr>
                <w:rFonts w:cs="Arial"/>
                <w:sz w:val="18"/>
                <w:szCs w:val="18"/>
              </w:rPr>
              <w:t>e</w:t>
            </w:r>
          </w:p>
        </w:tc>
      </w:tr>
    </w:tbl>
    <w:p w14:paraId="6092D499" w14:textId="601E6EEF" w:rsidR="00BB0ADF" w:rsidRPr="00BB0ADF" w:rsidRDefault="00BB0ADF" w:rsidP="00BB0ADF">
      <w:pPr>
        <w:rPr>
          <w:lang w:val="en-NZ"/>
        </w:rPr>
        <w:sectPr w:rsidR="00BB0ADF" w:rsidRPr="00BB0ADF" w:rsidSect="00150D58">
          <w:headerReference w:type="even" r:id="rId37"/>
          <w:headerReference w:type="default" r:id="rId38"/>
          <w:footerReference w:type="even" r:id="rId39"/>
          <w:footerReference w:type="default" r:id="rId40"/>
          <w:pgSz w:w="11906" w:h="16838" w:code="9"/>
          <w:pgMar w:top="1134" w:right="1418" w:bottom="992" w:left="1418" w:header="454" w:footer="454" w:gutter="0"/>
          <w:cols w:space="708"/>
          <w:docGrid w:linePitch="360"/>
        </w:sectPr>
      </w:pPr>
    </w:p>
    <w:p w14:paraId="7BF2EDD0" w14:textId="77777777" w:rsidR="00FF04EC" w:rsidRPr="00A864A5" w:rsidRDefault="00FF04EC" w:rsidP="00FF04EC">
      <w:pPr>
        <w:pStyle w:val="Heading3"/>
        <w:rPr>
          <w:lang w:val="en-NZ"/>
        </w:rPr>
      </w:pPr>
      <w:r>
        <w:rPr>
          <w:lang w:val="en-NZ"/>
        </w:rPr>
        <w:t>How do the options compare to the status quo/counterfactual?</w:t>
      </w:r>
    </w:p>
    <w:tbl>
      <w:tblPr>
        <w:tblW w:w="0" w:type="auto"/>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1842"/>
        <w:gridCol w:w="6125"/>
        <w:gridCol w:w="6237"/>
      </w:tblGrid>
      <w:tr w:rsidR="00743FED" w:rsidRPr="00A864A5" w14:paraId="5C29D453" w14:textId="77777777" w:rsidTr="59D4D97B">
        <w:trPr>
          <w:trHeight w:val="395"/>
        </w:trPr>
        <w:tc>
          <w:tcPr>
            <w:tcW w:w="1842" w:type="dxa"/>
            <w:shd w:val="clear" w:color="auto" w:fill="F2F2F2" w:themeFill="background1" w:themeFillShade="F2"/>
            <w:vAlign w:val="center"/>
          </w:tcPr>
          <w:p w14:paraId="319A3B8D" w14:textId="77777777" w:rsidR="00743FED" w:rsidRPr="00DB51CD" w:rsidRDefault="00743FED" w:rsidP="0077649D">
            <w:pPr>
              <w:spacing w:before="60" w:after="60" w:line="276" w:lineRule="auto"/>
              <w:jc w:val="center"/>
              <w:rPr>
                <w:rFonts w:cs="Arial"/>
                <w:bCs/>
                <w:i/>
                <w:iCs/>
                <w:color w:val="FFFFFF"/>
                <w:sz w:val="20"/>
                <w:szCs w:val="24"/>
                <w:lang w:val="en-NZ"/>
              </w:rPr>
            </w:pPr>
          </w:p>
        </w:tc>
        <w:tc>
          <w:tcPr>
            <w:tcW w:w="6125" w:type="dxa"/>
            <w:shd w:val="clear" w:color="auto" w:fill="F2F2F2" w:themeFill="background1" w:themeFillShade="F2"/>
            <w:vAlign w:val="center"/>
          </w:tcPr>
          <w:p w14:paraId="04EB54C9" w14:textId="511D2870" w:rsidR="00743FED" w:rsidRPr="00743FED" w:rsidRDefault="00743FED" w:rsidP="00743FED">
            <w:pPr>
              <w:spacing w:before="60" w:after="60" w:line="240" w:lineRule="auto"/>
              <w:jc w:val="center"/>
              <w:rPr>
                <w:rFonts w:cs="Arial"/>
                <w:b/>
                <w:color w:val="000000"/>
                <w:lang w:val="en-NZ"/>
              </w:rPr>
            </w:pPr>
            <w:r w:rsidRPr="1B502AF9">
              <w:rPr>
                <w:rFonts w:cs="Arial"/>
                <w:b/>
                <w:color w:val="000000" w:themeColor="text1"/>
                <w:lang w:val="en-NZ"/>
              </w:rPr>
              <w:t xml:space="preserve">Option </w:t>
            </w:r>
            <w:r w:rsidR="008B7786">
              <w:rPr>
                <w:rFonts w:cs="Arial"/>
                <w:b/>
                <w:color w:val="000000" w:themeColor="text1"/>
                <w:lang w:val="en-NZ"/>
              </w:rPr>
              <w:t>1</w:t>
            </w:r>
            <w:r w:rsidRPr="1B502AF9">
              <w:rPr>
                <w:rFonts w:cs="Arial"/>
                <w:b/>
                <w:color w:val="000000" w:themeColor="text1"/>
                <w:lang w:val="en-NZ"/>
              </w:rPr>
              <w:t xml:space="preserve"> (Counterfactual) – </w:t>
            </w:r>
            <w:r w:rsidRPr="1B502AF9">
              <w:rPr>
                <w:rFonts w:cs="Arial"/>
                <w:b/>
              </w:rPr>
              <w:t>Do not set out requirements for information to be supplied</w:t>
            </w:r>
          </w:p>
        </w:tc>
        <w:tc>
          <w:tcPr>
            <w:tcW w:w="6237" w:type="dxa"/>
            <w:shd w:val="clear" w:color="auto" w:fill="F2F2F2" w:themeFill="background1" w:themeFillShade="F2"/>
            <w:vAlign w:val="center"/>
          </w:tcPr>
          <w:p w14:paraId="53205E36" w14:textId="7011EB13" w:rsidR="00743FED" w:rsidRPr="00743FED" w:rsidRDefault="00743FED" w:rsidP="00743FED">
            <w:pPr>
              <w:spacing w:before="60" w:after="60" w:line="276" w:lineRule="auto"/>
              <w:jc w:val="center"/>
              <w:rPr>
                <w:rFonts w:cs="Arial"/>
                <w:b/>
                <w:color w:val="000000"/>
                <w:szCs w:val="22"/>
                <w:lang w:val="en-NZ"/>
              </w:rPr>
            </w:pPr>
            <w:r w:rsidRPr="00A864A5">
              <w:rPr>
                <w:rFonts w:cs="Arial"/>
                <w:b/>
                <w:color w:val="000000"/>
                <w:szCs w:val="22"/>
                <w:lang w:val="en-NZ"/>
              </w:rPr>
              <w:t xml:space="preserve">Option </w:t>
            </w:r>
            <w:r w:rsidR="008B7786">
              <w:rPr>
                <w:rFonts w:cs="Arial"/>
                <w:b/>
                <w:color w:val="000000"/>
                <w:szCs w:val="22"/>
                <w:lang w:val="en-NZ"/>
              </w:rPr>
              <w:t>2</w:t>
            </w:r>
            <w:r w:rsidRPr="00A864A5">
              <w:rPr>
                <w:rFonts w:cs="Arial"/>
                <w:b/>
                <w:color w:val="000000"/>
                <w:szCs w:val="22"/>
                <w:lang w:val="en-NZ"/>
              </w:rPr>
              <w:t xml:space="preserve"> –</w:t>
            </w:r>
            <w:r>
              <w:rPr>
                <w:rFonts w:cs="Arial"/>
                <w:b/>
                <w:color w:val="000000"/>
                <w:szCs w:val="22"/>
                <w:lang w:val="en-NZ"/>
              </w:rPr>
              <w:t xml:space="preserve"> </w:t>
            </w:r>
            <w:r w:rsidRPr="00743FED">
              <w:rPr>
                <w:rFonts w:cs="Arial"/>
                <w:b/>
                <w:szCs w:val="22"/>
              </w:rPr>
              <w:t>Set out information to be supplied in regulations</w:t>
            </w:r>
          </w:p>
        </w:tc>
      </w:tr>
      <w:tr w:rsidR="00EB5460" w:rsidRPr="00A864A5" w14:paraId="701709E7" w14:textId="77777777" w:rsidTr="59D4D97B">
        <w:trPr>
          <w:trHeight w:val="615"/>
        </w:trPr>
        <w:tc>
          <w:tcPr>
            <w:tcW w:w="1842" w:type="dxa"/>
            <w:shd w:val="clear" w:color="auto" w:fill="F2F2F2" w:themeFill="background1" w:themeFillShade="F2"/>
            <w:vAlign w:val="center"/>
          </w:tcPr>
          <w:p w14:paraId="4BC368F7" w14:textId="6C285175" w:rsidR="00EB5460" w:rsidRPr="00A864A5" w:rsidRDefault="00EB5460" w:rsidP="00EB5460">
            <w:pPr>
              <w:spacing w:before="60" w:after="60" w:line="240" w:lineRule="auto"/>
              <w:jc w:val="center"/>
              <w:rPr>
                <w:rFonts w:cs="Arial"/>
                <w:b/>
                <w:color w:val="000000"/>
                <w:szCs w:val="22"/>
                <w:lang w:val="en-NZ"/>
              </w:rPr>
            </w:pPr>
            <w:r>
              <w:rPr>
                <w:rFonts w:cs="Arial"/>
                <w:b/>
                <w:color w:val="000000"/>
                <w:szCs w:val="22"/>
                <w:lang w:val="en-NZ"/>
              </w:rPr>
              <w:t>Reduces inequity</w:t>
            </w:r>
          </w:p>
        </w:tc>
        <w:tc>
          <w:tcPr>
            <w:tcW w:w="6125" w:type="dxa"/>
            <w:shd w:val="clear" w:color="auto" w:fill="auto"/>
            <w:vAlign w:val="center"/>
          </w:tcPr>
          <w:p w14:paraId="14E9A96C" w14:textId="7DF45870" w:rsidR="00EB5460" w:rsidRPr="00A864A5" w:rsidRDefault="052C381B" w:rsidP="59D4D97B">
            <w:pPr>
              <w:pStyle w:val="TableText"/>
              <w:spacing w:line="276" w:lineRule="auto"/>
              <w:jc w:val="center"/>
              <w:rPr>
                <w:lang w:val="en-NZ"/>
              </w:rPr>
            </w:pPr>
            <w:r w:rsidRPr="59D4D97B">
              <w:rPr>
                <w:lang w:val="en-NZ"/>
              </w:rPr>
              <w:t>0</w:t>
            </w:r>
          </w:p>
          <w:p w14:paraId="229EAC64" w14:textId="536AE6A6" w:rsidR="00EB5460" w:rsidRPr="00A864A5" w:rsidRDefault="400485EE" w:rsidP="59D4D97B">
            <w:pPr>
              <w:pStyle w:val="TableText"/>
              <w:spacing w:line="276" w:lineRule="auto"/>
              <w:jc w:val="center"/>
              <w:rPr>
                <w:sz w:val="18"/>
                <w:szCs w:val="18"/>
                <w:lang w:val="en-NZ"/>
              </w:rPr>
            </w:pPr>
            <w:r w:rsidRPr="59D4D97B">
              <w:rPr>
                <w:sz w:val="18"/>
                <w:szCs w:val="18"/>
                <w:lang w:val="en-NZ"/>
              </w:rPr>
              <w:t>Likely to have no impact on equity</w:t>
            </w:r>
            <w:r w:rsidR="20487816" w:rsidRPr="1B502AF9">
              <w:rPr>
                <w:sz w:val="18"/>
                <w:szCs w:val="18"/>
                <w:lang w:val="en-NZ"/>
              </w:rPr>
              <w:t>.</w:t>
            </w:r>
          </w:p>
        </w:tc>
        <w:tc>
          <w:tcPr>
            <w:tcW w:w="6237" w:type="dxa"/>
            <w:shd w:val="clear" w:color="auto" w:fill="auto"/>
            <w:vAlign w:val="center"/>
          </w:tcPr>
          <w:p w14:paraId="4E8F835B" w14:textId="65C93368" w:rsidR="00EB5460" w:rsidRPr="00743FED" w:rsidRDefault="20487816" w:rsidP="1B502AF9">
            <w:pPr>
              <w:pStyle w:val="TableText"/>
              <w:spacing w:line="276" w:lineRule="auto"/>
              <w:jc w:val="center"/>
              <w:rPr>
                <w:rFonts w:cs="Arial"/>
              </w:rPr>
            </w:pPr>
            <w:r w:rsidRPr="1B502AF9">
              <w:rPr>
                <w:rFonts w:cs="Arial"/>
              </w:rPr>
              <w:t>0</w:t>
            </w:r>
          </w:p>
          <w:p w14:paraId="3C4837F1" w14:textId="14FF72D0" w:rsidR="00EB5460" w:rsidRPr="00743FED" w:rsidRDefault="20487816" w:rsidP="59D4D97B">
            <w:pPr>
              <w:pStyle w:val="TableText"/>
              <w:spacing w:line="276" w:lineRule="auto"/>
              <w:jc w:val="center"/>
              <w:rPr>
                <w:sz w:val="18"/>
                <w:szCs w:val="18"/>
                <w:lang w:val="en-NZ"/>
              </w:rPr>
            </w:pPr>
            <w:r w:rsidRPr="1B502AF9">
              <w:rPr>
                <w:sz w:val="18"/>
                <w:szCs w:val="18"/>
                <w:lang w:val="en-NZ"/>
              </w:rPr>
              <w:t>Likely to have no impact on equity.</w:t>
            </w:r>
          </w:p>
        </w:tc>
      </w:tr>
      <w:tr w:rsidR="00EB5460" w:rsidRPr="00A864A5" w14:paraId="7CE46540" w14:textId="77777777" w:rsidTr="59D4D97B">
        <w:trPr>
          <w:trHeight w:val="378"/>
        </w:trPr>
        <w:tc>
          <w:tcPr>
            <w:tcW w:w="1842" w:type="dxa"/>
            <w:shd w:val="clear" w:color="auto" w:fill="F2F2F2" w:themeFill="background1" w:themeFillShade="F2"/>
            <w:vAlign w:val="center"/>
          </w:tcPr>
          <w:p w14:paraId="3EE3C779" w14:textId="487E9316" w:rsidR="00EB5460" w:rsidRPr="00A864A5" w:rsidRDefault="00EB5460" w:rsidP="00EB5460">
            <w:pPr>
              <w:spacing w:before="60" w:after="60" w:line="240" w:lineRule="auto"/>
              <w:jc w:val="center"/>
              <w:rPr>
                <w:rFonts w:cs="Arial"/>
                <w:b/>
                <w:color w:val="000000"/>
                <w:szCs w:val="22"/>
                <w:lang w:val="en-NZ"/>
              </w:rPr>
            </w:pPr>
            <w:r>
              <w:rPr>
                <w:b/>
                <w:bCs/>
              </w:rPr>
              <w:t>Effectiveness as a policy</w:t>
            </w:r>
          </w:p>
        </w:tc>
        <w:tc>
          <w:tcPr>
            <w:tcW w:w="6125" w:type="dxa"/>
            <w:shd w:val="clear" w:color="auto" w:fill="auto"/>
            <w:vAlign w:val="center"/>
          </w:tcPr>
          <w:p w14:paraId="10D72963" w14:textId="59480296" w:rsidR="78AC2D96" w:rsidRDefault="78AC2D96" w:rsidP="7CE08CD9">
            <w:pPr>
              <w:pStyle w:val="TableText"/>
              <w:spacing w:line="276" w:lineRule="auto"/>
              <w:jc w:val="center"/>
              <w:rPr>
                <w:lang w:val="en-NZ"/>
              </w:rPr>
            </w:pPr>
            <w:r w:rsidRPr="7CE08CD9">
              <w:rPr>
                <w:lang w:val="en-NZ"/>
              </w:rPr>
              <w:t>0</w:t>
            </w:r>
          </w:p>
          <w:p w14:paraId="43683DCE" w14:textId="6E1A546D" w:rsidR="00EB5460" w:rsidRPr="00A864A5" w:rsidRDefault="00543A39" w:rsidP="00EB5460">
            <w:pPr>
              <w:pStyle w:val="TableText"/>
              <w:spacing w:line="276" w:lineRule="auto"/>
              <w:jc w:val="center"/>
              <w:rPr>
                <w:bCs/>
                <w:lang w:val="en-NZ"/>
              </w:rPr>
            </w:pPr>
            <w:r w:rsidRPr="00543A39">
              <w:rPr>
                <w:bCs/>
                <w:sz w:val="18"/>
                <w:szCs w:val="20"/>
                <w:lang w:val="en-NZ"/>
              </w:rPr>
              <w:t>Will make the notification process far less useful, in effect making this policy much less successful.</w:t>
            </w:r>
          </w:p>
        </w:tc>
        <w:tc>
          <w:tcPr>
            <w:tcW w:w="6237" w:type="dxa"/>
            <w:shd w:val="clear" w:color="auto" w:fill="auto"/>
            <w:vAlign w:val="center"/>
          </w:tcPr>
          <w:p w14:paraId="5F8839B2" w14:textId="7B56122E" w:rsidR="00DA7D38" w:rsidRPr="00701FF6" w:rsidRDefault="00DA7D38" w:rsidP="007B24FF">
            <w:pPr>
              <w:pStyle w:val="TableText"/>
              <w:spacing w:line="276" w:lineRule="auto"/>
              <w:jc w:val="center"/>
              <w:rPr>
                <w:rFonts w:cs="Arial"/>
                <w:b/>
                <w:color w:val="00B050"/>
              </w:rPr>
            </w:pPr>
            <w:r w:rsidRPr="00701FF6">
              <w:rPr>
                <w:rFonts w:cs="Arial"/>
                <w:b/>
                <w:color w:val="00B050"/>
              </w:rPr>
              <w:t>+</w:t>
            </w:r>
            <w:r w:rsidR="007B24FF" w:rsidRPr="00701FF6">
              <w:rPr>
                <w:rFonts w:cs="Arial"/>
                <w:b/>
                <w:color w:val="00B050"/>
              </w:rPr>
              <w:t>+</w:t>
            </w:r>
          </w:p>
          <w:p w14:paraId="1117E14E" w14:textId="6FBA4974" w:rsidR="00EB5460" w:rsidRPr="00A864A5" w:rsidRDefault="0074599D" w:rsidP="00DA7D38">
            <w:pPr>
              <w:pStyle w:val="TableText"/>
              <w:spacing w:line="276" w:lineRule="auto"/>
              <w:jc w:val="center"/>
              <w:rPr>
                <w:lang w:val="en-NZ"/>
              </w:rPr>
            </w:pPr>
            <w:r>
              <w:rPr>
                <w:sz w:val="18"/>
                <w:szCs w:val="18"/>
              </w:rPr>
              <w:t>Clear and consistent collection of information</w:t>
            </w:r>
            <w:r w:rsidR="005E3F87">
              <w:rPr>
                <w:sz w:val="18"/>
                <w:szCs w:val="18"/>
              </w:rPr>
              <w:t xml:space="preserve"> enables</w:t>
            </w:r>
            <w:r w:rsidR="00E10BB0" w:rsidRPr="1B502AF9">
              <w:rPr>
                <w:sz w:val="18"/>
                <w:szCs w:val="18"/>
              </w:rPr>
              <w:t xml:space="preserve"> compliance system monitoring</w:t>
            </w:r>
            <w:r w:rsidR="00C2503F" w:rsidRPr="1B502AF9">
              <w:rPr>
                <w:sz w:val="18"/>
                <w:szCs w:val="18"/>
              </w:rPr>
              <w:t>.</w:t>
            </w:r>
          </w:p>
        </w:tc>
      </w:tr>
      <w:tr w:rsidR="00743FED" w:rsidRPr="00A864A5" w14:paraId="34FB2894" w14:textId="77777777" w:rsidTr="59D4D97B">
        <w:trPr>
          <w:trHeight w:val="378"/>
        </w:trPr>
        <w:tc>
          <w:tcPr>
            <w:tcW w:w="1842" w:type="dxa"/>
            <w:shd w:val="clear" w:color="auto" w:fill="F2F2F2" w:themeFill="background1" w:themeFillShade="F2"/>
            <w:vAlign w:val="center"/>
          </w:tcPr>
          <w:p w14:paraId="685E01A5" w14:textId="0706A8DF" w:rsidR="00743FED" w:rsidRPr="00A864A5" w:rsidRDefault="00743FED" w:rsidP="00500880">
            <w:pPr>
              <w:spacing w:before="60" w:after="60" w:line="240" w:lineRule="auto"/>
              <w:jc w:val="center"/>
              <w:rPr>
                <w:rFonts w:cs="Arial"/>
                <w:b/>
                <w:color w:val="000000"/>
                <w:szCs w:val="22"/>
                <w:lang w:val="en-NZ"/>
              </w:rPr>
            </w:pPr>
            <w:r>
              <w:rPr>
                <w:rFonts w:cs="Arial"/>
                <w:b/>
                <w:color w:val="000000"/>
                <w:szCs w:val="22"/>
                <w:lang w:val="en-NZ"/>
              </w:rPr>
              <w:t>Cost and ease of implementation</w:t>
            </w:r>
          </w:p>
        </w:tc>
        <w:tc>
          <w:tcPr>
            <w:tcW w:w="6125" w:type="dxa"/>
            <w:shd w:val="clear" w:color="auto" w:fill="auto"/>
            <w:vAlign w:val="center"/>
          </w:tcPr>
          <w:p w14:paraId="671E6A37" w14:textId="0A08F861" w:rsidR="0969335B" w:rsidRDefault="0969335B" w:rsidP="7CE08CD9">
            <w:pPr>
              <w:pStyle w:val="TableText"/>
              <w:spacing w:line="276" w:lineRule="auto"/>
              <w:jc w:val="center"/>
              <w:rPr>
                <w:lang w:val="en-NZ"/>
              </w:rPr>
            </w:pPr>
            <w:r w:rsidRPr="7CE08CD9">
              <w:rPr>
                <w:lang w:val="en-NZ"/>
              </w:rPr>
              <w:t>0</w:t>
            </w:r>
          </w:p>
          <w:p w14:paraId="79720BD4" w14:textId="20C5BC2B" w:rsidR="00964318" w:rsidRPr="00743FED" w:rsidRDefault="004051DC" w:rsidP="00C30990">
            <w:pPr>
              <w:pStyle w:val="TableText"/>
              <w:spacing w:line="276" w:lineRule="auto"/>
              <w:jc w:val="center"/>
              <w:rPr>
                <w:bCs/>
                <w:sz w:val="18"/>
                <w:szCs w:val="20"/>
                <w:lang w:val="en-NZ"/>
              </w:rPr>
            </w:pPr>
            <w:r>
              <w:rPr>
                <w:bCs/>
                <w:sz w:val="18"/>
                <w:szCs w:val="20"/>
                <w:lang w:val="en-NZ"/>
              </w:rPr>
              <w:t>I</w:t>
            </w:r>
            <w:r w:rsidR="00C30990">
              <w:rPr>
                <w:bCs/>
                <w:sz w:val="18"/>
                <w:szCs w:val="20"/>
                <w:lang w:val="en-NZ"/>
              </w:rPr>
              <w:t>nformation provided is likely to be inconsistent and not useful.</w:t>
            </w:r>
          </w:p>
        </w:tc>
        <w:tc>
          <w:tcPr>
            <w:tcW w:w="6237" w:type="dxa"/>
            <w:shd w:val="clear" w:color="auto" w:fill="auto"/>
            <w:vAlign w:val="center"/>
          </w:tcPr>
          <w:p w14:paraId="1E5FB2D4" w14:textId="77777777" w:rsidR="00743FED" w:rsidRDefault="00743FED" w:rsidP="00500880">
            <w:pPr>
              <w:pStyle w:val="TableText"/>
              <w:spacing w:line="276" w:lineRule="auto"/>
              <w:jc w:val="center"/>
              <w:rPr>
                <w:rFonts w:cs="Arial"/>
                <w:b/>
                <w:color w:val="00B050"/>
              </w:rPr>
            </w:pPr>
            <w:r w:rsidRPr="00A864A5">
              <w:rPr>
                <w:rFonts w:cs="Arial"/>
                <w:b/>
                <w:color w:val="00B050"/>
              </w:rPr>
              <w:t>++</w:t>
            </w:r>
          </w:p>
          <w:p w14:paraId="273CABA5" w14:textId="17942ADC" w:rsidR="00964318" w:rsidRPr="00743FED" w:rsidRDefault="000B7896" w:rsidP="00C30990">
            <w:pPr>
              <w:pStyle w:val="TableText"/>
              <w:spacing w:line="276" w:lineRule="auto"/>
              <w:jc w:val="center"/>
              <w:rPr>
                <w:sz w:val="18"/>
                <w:szCs w:val="20"/>
                <w:lang w:val="en-NZ"/>
              </w:rPr>
            </w:pPr>
            <w:r>
              <w:rPr>
                <w:sz w:val="18"/>
                <w:szCs w:val="20"/>
                <w:lang w:val="en-NZ"/>
              </w:rPr>
              <w:t xml:space="preserve">Information </w:t>
            </w:r>
            <w:r w:rsidR="00C83CB9">
              <w:rPr>
                <w:sz w:val="18"/>
                <w:szCs w:val="20"/>
                <w:lang w:val="en-NZ"/>
              </w:rPr>
              <w:t>provided</w:t>
            </w:r>
            <w:r>
              <w:rPr>
                <w:sz w:val="18"/>
                <w:szCs w:val="20"/>
                <w:lang w:val="en-NZ"/>
              </w:rPr>
              <w:t xml:space="preserve"> will be consistent and </w:t>
            </w:r>
            <w:r w:rsidR="00C83CB9">
              <w:rPr>
                <w:sz w:val="18"/>
                <w:szCs w:val="20"/>
                <w:lang w:val="en-NZ"/>
              </w:rPr>
              <w:t>will</w:t>
            </w:r>
            <w:r>
              <w:rPr>
                <w:sz w:val="18"/>
                <w:szCs w:val="20"/>
                <w:lang w:val="en-NZ"/>
              </w:rPr>
              <w:t xml:space="preserve"> support compliance</w:t>
            </w:r>
            <w:r w:rsidR="00A670EE">
              <w:rPr>
                <w:sz w:val="18"/>
                <w:szCs w:val="20"/>
                <w:lang w:val="en-NZ"/>
              </w:rPr>
              <w:t>/enforcement</w:t>
            </w:r>
            <w:r>
              <w:rPr>
                <w:sz w:val="18"/>
                <w:szCs w:val="20"/>
                <w:lang w:val="en-NZ"/>
              </w:rPr>
              <w:t xml:space="preserve"> and monitoring </w:t>
            </w:r>
            <w:r w:rsidR="00A670EE">
              <w:rPr>
                <w:sz w:val="18"/>
                <w:szCs w:val="20"/>
                <w:lang w:val="en-NZ"/>
              </w:rPr>
              <w:t>activities</w:t>
            </w:r>
            <w:r>
              <w:rPr>
                <w:sz w:val="18"/>
                <w:szCs w:val="20"/>
                <w:lang w:val="en-NZ"/>
              </w:rPr>
              <w:t>.</w:t>
            </w:r>
          </w:p>
        </w:tc>
      </w:tr>
      <w:tr w:rsidR="00743FED" w:rsidRPr="00A864A5" w14:paraId="380AEC81" w14:textId="77777777" w:rsidTr="59D4D97B">
        <w:trPr>
          <w:trHeight w:val="584"/>
        </w:trPr>
        <w:tc>
          <w:tcPr>
            <w:tcW w:w="1842" w:type="dxa"/>
            <w:shd w:val="clear" w:color="auto" w:fill="F2F2F2" w:themeFill="background1" w:themeFillShade="F2"/>
            <w:vAlign w:val="center"/>
          </w:tcPr>
          <w:p w14:paraId="3F83158E" w14:textId="2FAB09D5" w:rsidR="00743FED" w:rsidRPr="00A864A5" w:rsidRDefault="69ED26EA" w:rsidP="58911DBF">
            <w:pPr>
              <w:spacing w:before="60" w:after="60" w:line="240" w:lineRule="auto"/>
              <w:jc w:val="center"/>
              <w:rPr>
                <w:rFonts w:cs="Arial"/>
                <w:b/>
                <w:bCs/>
                <w:color w:val="000000"/>
                <w:lang w:val="en-NZ"/>
              </w:rPr>
            </w:pPr>
            <w:r w:rsidRPr="58911DBF">
              <w:rPr>
                <w:b/>
                <w:bCs/>
              </w:rPr>
              <w:t xml:space="preserve">Clear and workable for </w:t>
            </w:r>
            <w:r w:rsidR="6D4CE0BA" w:rsidRPr="58911DBF">
              <w:rPr>
                <w:b/>
                <w:bCs/>
              </w:rPr>
              <w:t>Aotearoa</w:t>
            </w:r>
          </w:p>
        </w:tc>
        <w:tc>
          <w:tcPr>
            <w:tcW w:w="6125" w:type="dxa"/>
            <w:shd w:val="clear" w:color="auto" w:fill="auto"/>
            <w:vAlign w:val="center"/>
          </w:tcPr>
          <w:p w14:paraId="2B812BB1" w14:textId="6F0E46DE" w:rsidR="00743FED" w:rsidRPr="00C309FA" w:rsidRDefault="09091085" w:rsidP="7CE08CD9">
            <w:pPr>
              <w:pStyle w:val="TableText"/>
              <w:spacing w:line="276" w:lineRule="auto"/>
              <w:jc w:val="center"/>
              <w:rPr>
                <w:rFonts w:cs="Arial"/>
                <w:b/>
                <w:bCs/>
                <w:color w:val="FF0000"/>
              </w:rPr>
            </w:pPr>
            <w:r w:rsidRPr="7CE08CD9">
              <w:rPr>
                <w:lang w:val="en-NZ"/>
              </w:rPr>
              <w:t>0</w:t>
            </w:r>
          </w:p>
          <w:p w14:paraId="22DEC726" w14:textId="6F0E46DE" w:rsidR="00743FED" w:rsidRPr="00C309FA" w:rsidRDefault="007B24FF" w:rsidP="0077649D">
            <w:pPr>
              <w:pStyle w:val="TableText"/>
              <w:spacing w:line="276" w:lineRule="auto"/>
              <w:jc w:val="center"/>
              <w:rPr>
                <w:sz w:val="18"/>
                <w:szCs w:val="18"/>
                <w:lang w:val="en-NZ"/>
              </w:rPr>
            </w:pPr>
            <w:r w:rsidRPr="7CE08CD9">
              <w:rPr>
                <w:sz w:val="18"/>
                <w:szCs w:val="18"/>
                <w:lang w:val="en-NZ"/>
              </w:rPr>
              <w:t xml:space="preserve">Will reduce the amount of information Ministry has </w:t>
            </w:r>
            <w:r w:rsidR="00C309FA" w:rsidRPr="7CE08CD9">
              <w:rPr>
                <w:sz w:val="18"/>
                <w:szCs w:val="18"/>
                <w:lang w:val="en-NZ"/>
              </w:rPr>
              <w:t>about</w:t>
            </w:r>
            <w:r w:rsidRPr="7CE08CD9">
              <w:rPr>
                <w:sz w:val="18"/>
                <w:szCs w:val="18"/>
                <w:lang w:val="en-NZ"/>
              </w:rPr>
              <w:t xml:space="preserve"> the industry</w:t>
            </w:r>
            <w:r w:rsidR="00C309FA" w:rsidRPr="7CE08CD9">
              <w:rPr>
                <w:sz w:val="18"/>
                <w:szCs w:val="18"/>
                <w:lang w:val="en-NZ"/>
              </w:rPr>
              <w:t>, weakening the compliance and monitoring system.</w:t>
            </w:r>
          </w:p>
        </w:tc>
        <w:tc>
          <w:tcPr>
            <w:tcW w:w="6237" w:type="dxa"/>
            <w:shd w:val="clear" w:color="auto" w:fill="auto"/>
            <w:vAlign w:val="center"/>
          </w:tcPr>
          <w:p w14:paraId="53CF475B" w14:textId="53DE8214" w:rsidR="00743FED" w:rsidRDefault="00743FED" w:rsidP="007B24FF">
            <w:pPr>
              <w:pStyle w:val="TableText"/>
              <w:spacing w:line="276" w:lineRule="auto"/>
              <w:jc w:val="center"/>
              <w:rPr>
                <w:rFonts w:cs="Arial"/>
                <w:b/>
                <w:color w:val="00B050"/>
              </w:rPr>
            </w:pPr>
            <w:r w:rsidRPr="00A864A5">
              <w:rPr>
                <w:rFonts w:cs="Arial"/>
                <w:b/>
                <w:color w:val="00B050"/>
              </w:rPr>
              <w:t>+</w:t>
            </w:r>
            <w:r w:rsidR="007B24FF" w:rsidRPr="00701FF6">
              <w:rPr>
                <w:rFonts w:cs="Arial"/>
                <w:b/>
                <w:color w:val="00B050"/>
              </w:rPr>
              <w:t>+</w:t>
            </w:r>
          </w:p>
          <w:p w14:paraId="578AB91F" w14:textId="56C29B5A" w:rsidR="00743FED" w:rsidRPr="00743FED" w:rsidRDefault="00236327" w:rsidP="0077649D">
            <w:pPr>
              <w:pStyle w:val="TableText"/>
              <w:spacing w:line="276" w:lineRule="auto"/>
              <w:jc w:val="center"/>
              <w:rPr>
                <w:sz w:val="18"/>
                <w:szCs w:val="20"/>
                <w:lang w:val="en-NZ"/>
              </w:rPr>
            </w:pPr>
            <w:r>
              <w:rPr>
                <w:sz w:val="18"/>
                <w:szCs w:val="20"/>
                <w:lang w:val="en-NZ"/>
              </w:rPr>
              <w:t>Provides clear and consistent guidance to the sector</w:t>
            </w:r>
            <w:r w:rsidR="00DA7D38">
              <w:rPr>
                <w:sz w:val="18"/>
                <w:szCs w:val="20"/>
                <w:lang w:val="en-NZ"/>
              </w:rPr>
              <w:t xml:space="preserve">. Will </w:t>
            </w:r>
            <w:r w:rsidR="0000682D">
              <w:rPr>
                <w:sz w:val="18"/>
                <w:szCs w:val="20"/>
                <w:lang w:val="en-NZ"/>
              </w:rPr>
              <w:t>enable greater</w:t>
            </w:r>
            <w:r w:rsidR="00DA7D38">
              <w:rPr>
                <w:sz w:val="18"/>
                <w:szCs w:val="20"/>
                <w:lang w:val="en-NZ"/>
              </w:rPr>
              <w:t xml:space="preserve"> targeted complia</w:t>
            </w:r>
            <w:r w:rsidR="00E10BB0">
              <w:rPr>
                <w:sz w:val="18"/>
                <w:szCs w:val="20"/>
                <w:lang w:val="en-NZ"/>
              </w:rPr>
              <w:t>nce work.</w:t>
            </w:r>
          </w:p>
        </w:tc>
      </w:tr>
      <w:tr w:rsidR="00743FED" w:rsidRPr="00A864A5" w14:paraId="0B08ED16" w14:textId="77777777" w:rsidTr="59D4D97B">
        <w:trPr>
          <w:trHeight w:val="584"/>
        </w:trPr>
        <w:tc>
          <w:tcPr>
            <w:tcW w:w="1842" w:type="dxa"/>
            <w:shd w:val="clear" w:color="auto" w:fill="F2F2F2" w:themeFill="background1" w:themeFillShade="F2"/>
            <w:vAlign w:val="center"/>
          </w:tcPr>
          <w:p w14:paraId="4B7D55C9" w14:textId="77777777" w:rsidR="00743FED" w:rsidRPr="00A864A5" w:rsidRDefault="00743FED" w:rsidP="0077649D">
            <w:pPr>
              <w:spacing w:before="60" w:after="60" w:line="240" w:lineRule="auto"/>
              <w:jc w:val="center"/>
              <w:rPr>
                <w:rFonts w:cs="Arial"/>
                <w:b/>
                <w:color w:val="000000"/>
                <w:szCs w:val="22"/>
                <w:lang w:val="en-NZ"/>
              </w:rPr>
            </w:pPr>
            <w:r w:rsidRPr="00A864A5">
              <w:rPr>
                <w:rFonts w:cs="Arial"/>
                <w:b/>
                <w:color w:val="000000"/>
                <w:szCs w:val="22"/>
                <w:lang w:val="en-NZ"/>
              </w:rPr>
              <w:t>Overall assessment</w:t>
            </w:r>
          </w:p>
        </w:tc>
        <w:tc>
          <w:tcPr>
            <w:tcW w:w="6125" w:type="dxa"/>
            <w:shd w:val="clear" w:color="auto" w:fill="auto"/>
            <w:vAlign w:val="center"/>
          </w:tcPr>
          <w:p w14:paraId="2250D404" w14:textId="02CEA217" w:rsidR="00743FED" w:rsidRPr="00A864A5" w:rsidRDefault="00743FED" w:rsidP="0077649D">
            <w:pPr>
              <w:pStyle w:val="TableText"/>
              <w:spacing w:line="276" w:lineRule="auto"/>
              <w:jc w:val="center"/>
              <w:rPr>
                <w:lang w:val="en-NZ"/>
              </w:rPr>
            </w:pPr>
          </w:p>
        </w:tc>
        <w:tc>
          <w:tcPr>
            <w:tcW w:w="6237" w:type="dxa"/>
            <w:shd w:val="clear" w:color="auto" w:fill="auto"/>
            <w:vAlign w:val="center"/>
          </w:tcPr>
          <w:p w14:paraId="11E268AF" w14:textId="406DA772" w:rsidR="00743FED" w:rsidRPr="00A864A5" w:rsidRDefault="00D2015F" w:rsidP="0077649D">
            <w:pPr>
              <w:pStyle w:val="TableText"/>
              <w:spacing w:line="276" w:lineRule="auto"/>
              <w:jc w:val="center"/>
              <w:rPr>
                <w:lang w:val="en-NZ"/>
              </w:rPr>
            </w:pPr>
            <w:r w:rsidRPr="00E2423E">
              <w:rPr>
                <w:rFonts w:cs="Arial"/>
                <w:b/>
              </w:rPr>
              <w:t>Preferred option</w:t>
            </w:r>
          </w:p>
        </w:tc>
      </w:tr>
    </w:tbl>
    <w:p w14:paraId="6292D2F9" w14:textId="6B87C3D8" w:rsidR="00FF04EC" w:rsidRPr="000C59A2" w:rsidRDefault="00FF04EC" w:rsidP="000C59A2">
      <w:pPr>
        <w:rPr>
          <w:lang w:val="en-NZ" w:eastAsia="en-NZ"/>
        </w:rPr>
        <w:sectPr w:rsidR="00FF04EC" w:rsidRPr="000C59A2" w:rsidSect="00B5612C">
          <w:footerReference w:type="default" r:id="rId41"/>
          <w:pgSz w:w="16838" w:h="11906" w:orient="landscape" w:code="9"/>
          <w:pgMar w:top="1418" w:right="1134" w:bottom="1418" w:left="992" w:header="454" w:footer="454" w:gutter="0"/>
          <w:cols w:space="708"/>
          <w:docGrid w:linePitch="360"/>
        </w:sectPr>
      </w:pPr>
    </w:p>
    <w:p w14:paraId="6E87A938" w14:textId="702802DD" w:rsidR="00922F09" w:rsidRPr="00523CB0" w:rsidRDefault="00523CB0" w:rsidP="00F4511C">
      <w:pPr>
        <w:spacing w:before="120" w:after="120"/>
        <w:rPr>
          <w:b/>
          <w:bCs/>
          <w:sz w:val="24"/>
          <w:szCs w:val="24"/>
          <w:lang w:val="en-NZ"/>
        </w:rPr>
      </w:pPr>
      <w:r w:rsidRPr="00A93CE2">
        <w:rPr>
          <w:b/>
          <w:bCs/>
          <w:sz w:val="24"/>
          <w:szCs w:val="24"/>
          <w:lang w:val="en-NZ"/>
        </w:rPr>
        <w:t>Youth vaping</w:t>
      </w:r>
    </w:p>
    <w:p w14:paraId="0BAB2295" w14:textId="4A07D021" w:rsidR="00AC68FC" w:rsidRDefault="00312412" w:rsidP="00F4511C">
      <w:pPr>
        <w:pStyle w:val="Heading3"/>
        <w:spacing w:before="120" w:after="120"/>
        <w:rPr>
          <w:lang w:val="en-NZ"/>
        </w:rPr>
      </w:pPr>
      <w:r w:rsidRPr="640EFFB0">
        <w:rPr>
          <w:lang w:val="en-NZ"/>
        </w:rPr>
        <w:t xml:space="preserve">Issue </w:t>
      </w:r>
      <w:r w:rsidR="59F5708C" w:rsidRPr="640EFFB0">
        <w:rPr>
          <w:lang w:val="en-NZ"/>
        </w:rPr>
        <w:t>6</w:t>
      </w:r>
      <w:r w:rsidRPr="640EFFB0">
        <w:rPr>
          <w:lang w:val="en-NZ"/>
        </w:rPr>
        <w:t xml:space="preserve"> –</w:t>
      </w:r>
      <w:r w:rsidR="00D06F07" w:rsidRPr="640EFFB0">
        <w:rPr>
          <w:lang w:val="en-NZ"/>
        </w:rPr>
        <w:t xml:space="preserve"> </w:t>
      </w:r>
      <w:r w:rsidR="0016469A" w:rsidRPr="640EFFB0">
        <w:rPr>
          <w:lang w:val="en-NZ"/>
        </w:rPr>
        <w:t>Limiting the way flavours are described</w:t>
      </w:r>
    </w:p>
    <w:p w14:paraId="35CCC7F9" w14:textId="0065EFFE" w:rsidR="0002533E" w:rsidRPr="0002533E" w:rsidRDefault="45578B20" w:rsidP="00F4511C">
      <w:pPr>
        <w:spacing w:before="120" w:after="120" w:line="240" w:lineRule="auto"/>
        <w:textAlignment w:val="baseline"/>
        <w:rPr>
          <w:rFonts w:ascii="Segoe UI" w:hAnsi="Segoe UI" w:cs="Segoe UI"/>
          <w:sz w:val="18"/>
          <w:szCs w:val="18"/>
          <w:lang w:val="en-NZ" w:eastAsia="en-NZ"/>
        </w:rPr>
      </w:pPr>
      <w:r w:rsidRPr="3C4E5589">
        <w:rPr>
          <w:rFonts w:cs="Arial"/>
          <w:lang w:val="en-NZ" w:eastAsia="en-NZ"/>
        </w:rPr>
        <w:t xml:space="preserve">The </w:t>
      </w:r>
      <w:r w:rsidR="003634FD">
        <w:rPr>
          <w:rFonts w:cs="Arial"/>
          <w:lang w:val="en-NZ" w:eastAsia="en-NZ"/>
        </w:rPr>
        <w:t xml:space="preserve">Smokefree Environments and Regulated Products </w:t>
      </w:r>
      <w:r w:rsidR="009F33CA">
        <w:rPr>
          <w:rFonts w:cs="Arial"/>
          <w:lang w:val="en-NZ" w:eastAsia="en-NZ"/>
        </w:rPr>
        <w:t xml:space="preserve">Regulations </w:t>
      </w:r>
      <w:r w:rsidR="03DDFD88" w:rsidRPr="3C4E5589">
        <w:rPr>
          <w:rFonts w:cs="Arial"/>
          <w:lang w:val="en-NZ" w:eastAsia="en-NZ"/>
        </w:rPr>
        <w:t xml:space="preserve">2021 </w:t>
      </w:r>
      <w:r w:rsidR="00CA6CCA">
        <w:rPr>
          <w:rFonts w:cs="Arial"/>
          <w:lang w:val="en-NZ" w:eastAsia="en-NZ"/>
        </w:rPr>
        <w:t>(the Smokefree Regulations)</w:t>
      </w:r>
      <w:r w:rsidR="64FC5735" w:rsidRPr="3C4E5589">
        <w:rPr>
          <w:rFonts w:cs="Arial"/>
          <w:lang w:val="en-NZ" w:eastAsia="en-NZ"/>
        </w:rPr>
        <w:t xml:space="preserve"> </w:t>
      </w:r>
      <w:r w:rsidR="03DDFD88" w:rsidRPr="3C4E5589">
        <w:rPr>
          <w:rFonts w:cs="Arial"/>
          <w:lang w:val="en-NZ" w:eastAsia="en-NZ"/>
        </w:rPr>
        <w:t>set out vaping product packaging and labelling requirements</w:t>
      </w:r>
      <w:r w:rsidR="3A9D6224" w:rsidRPr="3C4E5589">
        <w:rPr>
          <w:rFonts w:cs="Arial"/>
          <w:lang w:val="en-NZ" w:eastAsia="en-NZ"/>
        </w:rPr>
        <w:t>.</w:t>
      </w:r>
      <w:r w:rsidR="03DDFD88" w:rsidRPr="3C4E5589">
        <w:rPr>
          <w:rFonts w:cs="Arial"/>
          <w:lang w:val="en-NZ" w:eastAsia="en-NZ"/>
        </w:rPr>
        <w:t xml:space="preserve"> </w:t>
      </w:r>
      <w:r w:rsidR="055A984B" w:rsidRPr="3C4E5589">
        <w:rPr>
          <w:rFonts w:cs="Arial"/>
          <w:lang w:val="en-NZ" w:eastAsia="en-NZ"/>
        </w:rPr>
        <w:t xml:space="preserve">Overall, the vaping regulatory regime </w:t>
      </w:r>
      <w:r w:rsidR="5AE88E13" w:rsidRPr="3C4E5589">
        <w:rPr>
          <w:rFonts w:cs="Arial"/>
          <w:lang w:val="en-NZ" w:eastAsia="en-NZ"/>
        </w:rPr>
        <w:t>aim</w:t>
      </w:r>
      <w:r w:rsidR="7EF38B2D" w:rsidRPr="3C4E5589">
        <w:rPr>
          <w:rFonts w:cs="Arial"/>
          <w:lang w:val="en-NZ" w:eastAsia="en-NZ"/>
        </w:rPr>
        <w:t>s</w:t>
      </w:r>
      <w:r w:rsidR="5AE88E13" w:rsidRPr="3C4E5589">
        <w:rPr>
          <w:rFonts w:cs="Arial"/>
          <w:lang w:val="en-NZ" w:eastAsia="en-NZ"/>
        </w:rPr>
        <w:t xml:space="preserve"> to </w:t>
      </w:r>
      <w:r w:rsidR="0FD09CC8" w:rsidRPr="3C4E5589">
        <w:rPr>
          <w:rFonts w:cs="Arial"/>
          <w:lang w:val="en-NZ" w:eastAsia="en-NZ"/>
        </w:rPr>
        <w:t>ensur</w:t>
      </w:r>
      <w:r w:rsidR="77F4AF11" w:rsidRPr="3C4E5589">
        <w:rPr>
          <w:rFonts w:cs="Arial"/>
          <w:lang w:val="en-NZ" w:eastAsia="en-NZ"/>
        </w:rPr>
        <w:t>e</w:t>
      </w:r>
      <w:r w:rsidR="03DDFD88" w:rsidRPr="3C4E5589">
        <w:rPr>
          <w:rFonts w:cs="Arial"/>
          <w:lang w:val="en-NZ" w:eastAsia="en-NZ"/>
        </w:rPr>
        <w:t xml:space="preserve"> that</w:t>
      </w:r>
      <w:r w:rsidR="1F93AC9E" w:rsidRPr="3C4E5589">
        <w:rPr>
          <w:rFonts w:cs="Arial"/>
          <w:lang w:val="en-NZ" w:eastAsia="en-NZ"/>
        </w:rPr>
        <w:t>, while vaping products are available to support smokers to quit,</w:t>
      </w:r>
      <w:r w:rsidR="03DDFD88" w:rsidRPr="3C4E5589">
        <w:rPr>
          <w:rFonts w:cs="Arial"/>
          <w:lang w:val="en-NZ" w:eastAsia="en-NZ"/>
        </w:rPr>
        <w:t xml:space="preserve"> the</w:t>
      </w:r>
      <w:r w:rsidR="3276201C" w:rsidRPr="3C4E5589">
        <w:rPr>
          <w:rFonts w:cs="Arial"/>
          <w:lang w:val="en-NZ" w:eastAsia="en-NZ"/>
        </w:rPr>
        <w:t>ir</w:t>
      </w:r>
      <w:r w:rsidR="03DDFD88" w:rsidRPr="3C4E5589">
        <w:rPr>
          <w:rFonts w:cs="Arial"/>
          <w:lang w:val="en-NZ" w:eastAsia="en-NZ"/>
        </w:rPr>
        <w:t xml:space="preserve"> appeal to non-smokers, and in particular youth</w:t>
      </w:r>
      <w:r w:rsidR="16E24B9E" w:rsidRPr="3C4E5589">
        <w:rPr>
          <w:rFonts w:cs="Arial"/>
          <w:lang w:val="en-NZ" w:eastAsia="en-NZ"/>
        </w:rPr>
        <w:t>, is minimised</w:t>
      </w:r>
      <w:r w:rsidR="03DDFD88" w:rsidRPr="3C4E5589">
        <w:rPr>
          <w:rFonts w:cs="Arial"/>
          <w:lang w:val="en-NZ" w:eastAsia="en-NZ"/>
        </w:rPr>
        <w:t>.</w:t>
      </w:r>
    </w:p>
    <w:p w14:paraId="515DF784" w14:textId="596C918E" w:rsidR="0002533E" w:rsidRPr="0002533E" w:rsidRDefault="3501B46F" w:rsidP="00F4511C">
      <w:pPr>
        <w:spacing w:before="120" w:after="120" w:line="240" w:lineRule="auto"/>
        <w:textAlignment w:val="baseline"/>
        <w:rPr>
          <w:rFonts w:ascii="Segoe UI" w:hAnsi="Segoe UI" w:cs="Segoe UI"/>
          <w:sz w:val="18"/>
          <w:szCs w:val="18"/>
          <w:lang w:val="en-NZ" w:eastAsia="en-NZ"/>
        </w:rPr>
      </w:pPr>
      <w:r w:rsidRPr="14E07CEB">
        <w:rPr>
          <w:rFonts w:cs="Arial"/>
          <w:lang w:val="en-NZ" w:eastAsia="en-NZ"/>
        </w:rPr>
        <w:t>There are no limits on how vaping product fla</w:t>
      </w:r>
      <w:r w:rsidR="6C120899" w:rsidRPr="14E07CEB">
        <w:rPr>
          <w:rFonts w:cs="Arial"/>
          <w:lang w:val="en-NZ" w:eastAsia="en-NZ"/>
        </w:rPr>
        <w:t xml:space="preserve">vours </w:t>
      </w:r>
      <w:r w:rsidR="0EC1D167" w:rsidRPr="14E07CEB">
        <w:rPr>
          <w:rFonts w:cs="Arial"/>
          <w:lang w:val="en-NZ" w:eastAsia="en-NZ"/>
        </w:rPr>
        <w:t xml:space="preserve">can be </w:t>
      </w:r>
      <w:r w:rsidR="6C120899" w:rsidRPr="14E07CEB">
        <w:rPr>
          <w:rFonts w:cs="Arial"/>
          <w:lang w:val="en-NZ" w:eastAsia="en-NZ"/>
        </w:rPr>
        <w:t xml:space="preserve">described. This has resulted in </w:t>
      </w:r>
      <w:r w:rsidR="674BEC48" w:rsidRPr="14E07CEB">
        <w:rPr>
          <w:rFonts w:cs="Arial"/>
          <w:lang w:val="en-NZ" w:eastAsia="en-NZ"/>
        </w:rPr>
        <w:t>“</w:t>
      </w:r>
      <w:r w:rsidR="2014C3B2" w:rsidRPr="14E07CEB">
        <w:rPr>
          <w:rFonts w:cs="Arial"/>
          <w:lang w:val="en-NZ" w:eastAsia="en-NZ"/>
        </w:rPr>
        <w:t>flavours</w:t>
      </w:r>
      <w:r w:rsidR="1A7E1702" w:rsidRPr="14E07CEB">
        <w:rPr>
          <w:rFonts w:cs="Arial"/>
          <w:lang w:val="en-NZ" w:eastAsia="en-NZ"/>
        </w:rPr>
        <w:t>”</w:t>
      </w:r>
      <w:r w:rsidR="2014C3B2" w:rsidRPr="14E07CEB">
        <w:rPr>
          <w:rFonts w:cs="Arial"/>
          <w:lang w:val="en-NZ" w:eastAsia="en-NZ"/>
        </w:rPr>
        <w:t xml:space="preserve"> </w:t>
      </w:r>
      <w:r w:rsidR="33A5BB5D" w:rsidRPr="14E07CEB">
        <w:rPr>
          <w:rFonts w:cs="Arial"/>
          <w:lang w:val="en-NZ" w:eastAsia="en-NZ"/>
        </w:rPr>
        <w:t xml:space="preserve">that </w:t>
      </w:r>
      <w:r w:rsidR="4AAAED2F" w:rsidRPr="14E07CEB">
        <w:rPr>
          <w:rFonts w:cs="Arial"/>
          <w:lang w:val="en-NZ" w:eastAsia="en-NZ"/>
        </w:rPr>
        <w:t xml:space="preserve">clearly </w:t>
      </w:r>
      <w:r w:rsidR="2014C3B2" w:rsidRPr="14E07CEB">
        <w:rPr>
          <w:rFonts w:cs="Arial"/>
          <w:lang w:val="en-NZ" w:eastAsia="en-NZ"/>
        </w:rPr>
        <w:t xml:space="preserve">appear to be designed to appeal to young people. For example, flavour descriptions of products </w:t>
      </w:r>
      <w:r w:rsidR="0F8EA527" w:rsidRPr="14E07CEB">
        <w:rPr>
          <w:rFonts w:cs="Arial"/>
          <w:lang w:val="en-NZ" w:eastAsia="en-NZ"/>
        </w:rPr>
        <w:t xml:space="preserve">notified for sale </w:t>
      </w:r>
      <w:r w:rsidR="3EEF2F3C" w:rsidRPr="14E07CEB">
        <w:rPr>
          <w:rFonts w:cs="Arial"/>
          <w:lang w:val="en-NZ" w:eastAsia="en-NZ"/>
        </w:rPr>
        <w:t xml:space="preserve">in New Zealand </w:t>
      </w:r>
      <w:r w:rsidR="1E644C94" w:rsidRPr="14E07CEB">
        <w:rPr>
          <w:rFonts w:cs="Arial"/>
          <w:lang w:val="en-NZ" w:eastAsia="en-NZ"/>
        </w:rPr>
        <w:t>include</w:t>
      </w:r>
      <w:r w:rsidR="2014C3B2" w:rsidRPr="14E07CEB">
        <w:rPr>
          <w:rFonts w:cs="Arial"/>
          <w:lang w:val="en-NZ" w:eastAsia="en-NZ"/>
        </w:rPr>
        <w:t xml:space="preserve"> ‘gummy bear’, ‘bubble gum’, </w:t>
      </w:r>
      <w:r w:rsidR="70FA8FB9" w:rsidRPr="14E07CEB">
        <w:rPr>
          <w:rFonts w:cs="Arial"/>
          <w:lang w:val="en-NZ" w:eastAsia="en-NZ"/>
        </w:rPr>
        <w:t xml:space="preserve">‘Ibiza nights’, </w:t>
      </w:r>
      <w:r w:rsidR="2014C3B2" w:rsidRPr="14E07CEB">
        <w:rPr>
          <w:rFonts w:cs="Arial"/>
          <w:lang w:val="en-NZ" w:eastAsia="en-NZ"/>
        </w:rPr>
        <w:t xml:space="preserve">‘unicorn </w:t>
      </w:r>
      <w:proofErr w:type="gramStart"/>
      <w:r w:rsidR="2014C3B2" w:rsidRPr="14E07CEB">
        <w:rPr>
          <w:rFonts w:cs="Arial"/>
          <w:lang w:val="en-NZ" w:eastAsia="en-NZ"/>
        </w:rPr>
        <w:t>tears’</w:t>
      </w:r>
      <w:proofErr w:type="gramEnd"/>
      <w:r w:rsidR="2014C3B2" w:rsidRPr="14E07CEB">
        <w:rPr>
          <w:rFonts w:cs="Arial"/>
          <w:lang w:val="en-NZ" w:eastAsia="en-NZ"/>
        </w:rPr>
        <w:t xml:space="preserve"> </w:t>
      </w:r>
      <w:r w:rsidR="3CA52E36" w:rsidRPr="14E07CEB">
        <w:rPr>
          <w:rFonts w:cs="Arial"/>
          <w:lang w:val="en-NZ" w:eastAsia="en-NZ"/>
        </w:rPr>
        <w:t>and</w:t>
      </w:r>
      <w:r w:rsidR="77E76DB5" w:rsidRPr="14E07CEB">
        <w:rPr>
          <w:rFonts w:cs="Arial"/>
          <w:lang w:val="en-NZ" w:eastAsia="en-NZ"/>
        </w:rPr>
        <w:t xml:space="preserve"> </w:t>
      </w:r>
      <w:r w:rsidR="2014C3B2" w:rsidRPr="14E07CEB">
        <w:rPr>
          <w:rFonts w:cs="Arial"/>
          <w:lang w:val="en-NZ" w:eastAsia="en-NZ"/>
        </w:rPr>
        <w:t>‘OMG’</w:t>
      </w:r>
      <w:r w:rsidR="39C9F8AA" w:rsidRPr="14E07CEB">
        <w:rPr>
          <w:rFonts w:cs="Arial"/>
          <w:lang w:val="en-NZ" w:eastAsia="en-NZ"/>
        </w:rPr>
        <w:t>.</w:t>
      </w:r>
      <w:r w:rsidR="5D33EFA2" w:rsidRPr="14E07CEB">
        <w:rPr>
          <w:rFonts w:cs="Arial"/>
          <w:lang w:val="en-NZ" w:eastAsia="en-NZ"/>
        </w:rPr>
        <w:t xml:space="preserve"> </w:t>
      </w:r>
    </w:p>
    <w:p w14:paraId="39DCE376" w14:textId="0C980F6F" w:rsidR="00C94650" w:rsidRDefault="2702E62F" w:rsidP="00F4511C">
      <w:pPr>
        <w:spacing w:before="120" w:after="120" w:line="240" w:lineRule="auto"/>
        <w:textAlignment w:val="baseline"/>
        <w:rPr>
          <w:rFonts w:cs="Arial"/>
          <w:lang w:val="en-NZ" w:eastAsia="en-NZ"/>
        </w:rPr>
      </w:pPr>
      <w:r w:rsidRPr="02D6F528">
        <w:rPr>
          <w:rFonts w:cs="Arial"/>
          <w:lang w:val="en-NZ" w:eastAsia="en-NZ"/>
        </w:rPr>
        <w:t>Limiting the way flavours can be described</w:t>
      </w:r>
      <w:r w:rsidR="33D016C2">
        <w:rPr>
          <w:rFonts w:cs="Arial"/>
          <w:lang w:val="en-NZ" w:eastAsia="en-NZ"/>
        </w:rPr>
        <w:t>, by</w:t>
      </w:r>
      <w:r w:rsidR="6434BEF9" w:rsidRPr="02D6F528">
        <w:rPr>
          <w:rFonts w:cs="Arial"/>
          <w:lang w:val="en-NZ" w:eastAsia="en-NZ"/>
        </w:rPr>
        <w:t xml:space="preserve"> </w:t>
      </w:r>
      <w:r w:rsidRPr="02D6F528">
        <w:rPr>
          <w:rFonts w:cs="Arial"/>
          <w:lang w:val="en-NZ" w:eastAsia="en-NZ"/>
        </w:rPr>
        <w:t>using consistent flavour categories</w:t>
      </w:r>
      <w:r w:rsidR="33D016C2">
        <w:rPr>
          <w:rFonts w:cs="Arial"/>
          <w:lang w:val="en-NZ" w:eastAsia="en-NZ"/>
        </w:rPr>
        <w:t>,</w:t>
      </w:r>
      <w:r w:rsidR="6434BEF9" w:rsidRPr="02D6F528">
        <w:rPr>
          <w:rFonts w:cs="Arial"/>
          <w:lang w:val="en-NZ" w:eastAsia="en-NZ"/>
        </w:rPr>
        <w:t xml:space="preserve"> </w:t>
      </w:r>
      <w:r w:rsidR="6B179255" w:rsidRPr="14E07CEB">
        <w:rPr>
          <w:rFonts w:cs="Arial"/>
          <w:lang w:val="en-NZ" w:eastAsia="en-NZ"/>
        </w:rPr>
        <w:t>is likely to</w:t>
      </w:r>
      <w:r w:rsidRPr="02D6F528">
        <w:rPr>
          <w:rFonts w:cs="Arial"/>
          <w:lang w:val="en-NZ" w:eastAsia="en-NZ"/>
        </w:rPr>
        <w:t xml:space="preserve"> reduce appeal to young people, </w:t>
      </w:r>
      <w:r w:rsidR="3DA7395E" w:rsidRPr="02D6F528">
        <w:rPr>
          <w:rFonts w:cs="Arial"/>
          <w:lang w:val="en-NZ" w:eastAsia="en-NZ"/>
        </w:rPr>
        <w:t>thereby</w:t>
      </w:r>
      <w:r w:rsidR="6434BEF9" w:rsidRPr="02D6F528">
        <w:rPr>
          <w:rFonts w:cs="Arial"/>
          <w:lang w:val="en-NZ" w:eastAsia="en-NZ"/>
        </w:rPr>
        <w:t xml:space="preserve"> contribut</w:t>
      </w:r>
      <w:r w:rsidR="4AEF7710" w:rsidRPr="02D6F528">
        <w:rPr>
          <w:rFonts w:cs="Arial"/>
          <w:lang w:val="en-NZ" w:eastAsia="en-NZ"/>
        </w:rPr>
        <w:t>ing</w:t>
      </w:r>
      <w:r w:rsidRPr="02D6F528">
        <w:rPr>
          <w:rFonts w:cs="Arial"/>
          <w:lang w:val="en-NZ" w:eastAsia="en-NZ"/>
        </w:rPr>
        <w:t xml:space="preserve"> to reducing youth vaping uptake. Recent research shows that </w:t>
      </w:r>
      <w:r w:rsidR="33D016C2">
        <w:rPr>
          <w:rFonts w:cs="Arial"/>
          <w:lang w:val="en-NZ" w:eastAsia="en-NZ"/>
        </w:rPr>
        <w:t xml:space="preserve">most </w:t>
      </w:r>
      <w:r w:rsidRPr="02D6F528">
        <w:rPr>
          <w:rFonts w:cs="Arial"/>
          <w:lang w:val="en-NZ" w:eastAsia="en-NZ"/>
        </w:rPr>
        <w:t xml:space="preserve">young people use vaping products with descriptive flavours, and that colours or imagery in flavour names can play an important role in attracting new users and establishing use </w:t>
      </w:r>
      <w:r w:rsidR="0B281AA6">
        <w:rPr>
          <w:rFonts w:cs="Arial"/>
          <w:lang w:val="en-NZ" w:eastAsia="en-NZ"/>
        </w:rPr>
        <w:t>patterns</w:t>
      </w:r>
      <w:r w:rsidRPr="02D6F528">
        <w:rPr>
          <w:rFonts w:cs="Arial"/>
          <w:lang w:val="en-NZ" w:eastAsia="en-NZ"/>
        </w:rPr>
        <w:t>.</w:t>
      </w:r>
      <w:r w:rsidR="00C51D77" w:rsidRPr="006C792E">
        <w:rPr>
          <w:rStyle w:val="FootnoteReference"/>
          <w:rFonts w:cs="Arial"/>
          <w:vertAlign w:val="superscript"/>
          <w:lang w:val="en-NZ" w:eastAsia="en-NZ"/>
        </w:rPr>
        <w:footnoteReference w:id="7"/>
      </w:r>
      <w:r w:rsidRPr="02D6F528">
        <w:rPr>
          <w:rFonts w:cs="Arial"/>
          <w:lang w:val="en-NZ" w:eastAsia="en-NZ"/>
        </w:rPr>
        <w:t xml:space="preserve"> </w:t>
      </w:r>
      <w:r w:rsidR="54FAAE5D" w:rsidRPr="42DC29A7">
        <w:rPr>
          <w:rFonts w:cs="Arial"/>
          <w:lang w:val="en-NZ" w:eastAsia="en-NZ"/>
        </w:rPr>
        <w:t>A US study found</w:t>
      </w:r>
      <w:r w:rsidR="1D3B6E47" w:rsidRPr="42DC29A7">
        <w:rPr>
          <w:rFonts w:cs="Arial"/>
          <w:lang w:val="en-NZ" w:eastAsia="en-NZ"/>
        </w:rPr>
        <w:t xml:space="preserve"> that flavour representation on packaging is likely to influence how </w:t>
      </w:r>
      <w:r w:rsidR="7C42550F" w:rsidRPr="42DC29A7">
        <w:rPr>
          <w:rFonts w:cs="Arial"/>
          <w:lang w:val="en-NZ" w:eastAsia="en-NZ"/>
        </w:rPr>
        <w:t xml:space="preserve">fun and </w:t>
      </w:r>
      <w:r w:rsidR="13D5E056" w:rsidRPr="42DC29A7">
        <w:rPr>
          <w:rFonts w:cs="Arial"/>
          <w:lang w:val="en-NZ" w:eastAsia="en-NZ"/>
        </w:rPr>
        <w:t xml:space="preserve">interesting </w:t>
      </w:r>
      <w:r w:rsidR="64793FD5" w:rsidRPr="42DC29A7">
        <w:rPr>
          <w:rFonts w:cs="Arial"/>
          <w:lang w:val="en-NZ" w:eastAsia="en-NZ"/>
        </w:rPr>
        <w:t xml:space="preserve">young people </w:t>
      </w:r>
      <w:r w:rsidR="13D5E056" w:rsidRPr="42DC29A7">
        <w:rPr>
          <w:rFonts w:cs="Arial"/>
          <w:lang w:val="en-NZ" w:eastAsia="en-NZ"/>
        </w:rPr>
        <w:t>perceive these products to be, and therefore how susceptible they are to using them.</w:t>
      </w:r>
      <w:r w:rsidR="00996397" w:rsidRPr="58911DBF">
        <w:rPr>
          <w:rStyle w:val="FootnoteReference"/>
          <w:rFonts w:cs="Arial"/>
          <w:vertAlign w:val="superscript"/>
          <w:lang w:val="en-NZ" w:eastAsia="en-NZ"/>
        </w:rPr>
        <w:footnoteReference w:id="8"/>
      </w:r>
      <w:r w:rsidR="56BC12C1" w:rsidRPr="58911DBF">
        <w:rPr>
          <w:rFonts w:cs="Arial"/>
          <w:lang w:val="en-NZ" w:eastAsia="en-NZ"/>
        </w:rPr>
        <w:t xml:space="preserve"> However, </w:t>
      </w:r>
      <w:r w:rsidR="41DFC1F6" w:rsidRPr="58911DBF">
        <w:rPr>
          <w:rFonts w:cs="Arial"/>
          <w:lang w:val="en-NZ" w:eastAsia="en-NZ"/>
        </w:rPr>
        <w:t xml:space="preserve">there is </w:t>
      </w:r>
      <w:r w:rsidR="6A6A52D2" w:rsidRPr="58911DBF">
        <w:rPr>
          <w:rFonts w:cs="Arial"/>
          <w:lang w:val="en-NZ" w:eastAsia="en-NZ"/>
        </w:rPr>
        <w:t xml:space="preserve">also </w:t>
      </w:r>
      <w:r w:rsidR="41DFC1F6" w:rsidRPr="58911DBF">
        <w:rPr>
          <w:rFonts w:cs="Arial"/>
          <w:lang w:val="en-NZ" w:eastAsia="en-NZ"/>
        </w:rPr>
        <w:t>evidence that flavours are an important element for adults wanting to quit smoking by switching to vapes.</w:t>
      </w:r>
      <w:r w:rsidR="3DB64821" w:rsidRPr="14E07CEB">
        <w:rPr>
          <w:rFonts w:cs="Arial"/>
          <w:lang w:val="en-NZ" w:eastAsia="en-NZ"/>
        </w:rPr>
        <w:t xml:space="preserve"> We are therefore not proposing to prohibit flavours themselves</w:t>
      </w:r>
      <w:r w:rsidR="2A1A9422" w:rsidRPr="14E07CEB">
        <w:rPr>
          <w:rFonts w:cs="Arial"/>
          <w:lang w:val="en-NZ" w:eastAsia="en-NZ"/>
        </w:rPr>
        <w:t xml:space="preserve">, but rather </w:t>
      </w:r>
      <w:r w:rsidR="365C86F6" w:rsidRPr="14E07CEB">
        <w:rPr>
          <w:rFonts w:cs="Arial"/>
          <w:lang w:val="en-NZ" w:eastAsia="en-NZ"/>
        </w:rPr>
        <w:t xml:space="preserve">limiting </w:t>
      </w:r>
      <w:r w:rsidR="2A1A9422" w:rsidRPr="14E07CEB">
        <w:rPr>
          <w:rFonts w:cs="Arial"/>
          <w:lang w:val="en-NZ" w:eastAsia="en-NZ"/>
        </w:rPr>
        <w:t xml:space="preserve">the way flavours are described </w:t>
      </w:r>
      <w:r w:rsidR="7810E982" w:rsidRPr="14E07CEB">
        <w:rPr>
          <w:rFonts w:cs="Arial"/>
          <w:lang w:val="en-NZ" w:eastAsia="en-NZ"/>
        </w:rPr>
        <w:t>that</w:t>
      </w:r>
      <w:r w:rsidR="001F0F23">
        <w:rPr>
          <w:rFonts w:cs="Arial"/>
          <w:lang w:val="en-NZ" w:eastAsia="en-NZ"/>
        </w:rPr>
        <w:t xml:space="preserve"> </w:t>
      </w:r>
      <w:r w:rsidR="2A1A9422" w:rsidRPr="14E07CEB">
        <w:rPr>
          <w:rFonts w:cs="Arial"/>
          <w:lang w:val="en-NZ" w:eastAsia="en-NZ"/>
        </w:rPr>
        <w:t xml:space="preserve">appear to be clearly directed at </w:t>
      </w:r>
      <w:r w:rsidR="365C86F6" w:rsidRPr="14E07CEB">
        <w:rPr>
          <w:rFonts w:cs="Arial"/>
          <w:lang w:val="en-NZ" w:eastAsia="en-NZ"/>
        </w:rPr>
        <w:t>appealing to youth.</w:t>
      </w:r>
    </w:p>
    <w:p w14:paraId="23051610" w14:textId="4F193FD5" w:rsidR="00AC4862" w:rsidRPr="0002533E" w:rsidRDefault="3C382D02" w:rsidP="00F4511C">
      <w:pPr>
        <w:spacing w:before="120" w:after="120" w:line="240" w:lineRule="auto"/>
        <w:textAlignment w:val="baseline"/>
        <w:rPr>
          <w:rFonts w:cs="Arial"/>
          <w:lang w:val="en-NZ" w:eastAsia="en-NZ"/>
        </w:rPr>
      </w:pPr>
      <w:r w:rsidRPr="61A924D9">
        <w:rPr>
          <w:rFonts w:cs="Arial"/>
          <w:lang w:val="en-NZ" w:eastAsia="en-NZ"/>
        </w:rPr>
        <w:t xml:space="preserve">The Ministry </w:t>
      </w:r>
      <w:r w:rsidR="0002533E" w:rsidRPr="61A924D9">
        <w:rPr>
          <w:rFonts w:cs="Arial"/>
          <w:lang w:val="en-NZ" w:eastAsia="en-NZ"/>
        </w:rPr>
        <w:t xml:space="preserve">consulted on a proposal </w:t>
      </w:r>
      <w:r w:rsidR="00944E1B" w:rsidRPr="61A924D9">
        <w:rPr>
          <w:rFonts w:cs="Arial"/>
          <w:lang w:val="en-NZ" w:eastAsia="en-NZ"/>
        </w:rPr>
        <w:t>to restrict</w:t>
      </w:r>
      <w:r w:rsidR="0002533E" w:rsidRPr="61A924D9">
        <w:rPr>
          <w:rFonts w:cs="Arial"/>
          <w:lang w:val="en-NZ" w:eastAsia="en-NZ"/>
        </w:rPr>
        <w:t xml:space="preserve"> the variant name on a vaping substance </w:t>
      </w:r>
      <w:r w:rsidR="00D042FA" w:rsidRPr="61A924D9">
        <w:rPr>
          <w:rFonts w:cs="Arial"/>
          <w:lang w:val="en-NZ" w:eastAsia="en-NZ"/>
        </w:rPr>
        <w:t>and</w:t>
      </w:r>
      <w:r w:rsidR="0002533E" w:rsidRPr="61A924D9">
        <w:rPr>
          <w:rFonts w:cs="Arial"/>
          <w:lang w:val="en-NZ" w:eastAsia="en-NZ"/>
        </w:rPr>
        <w:t xml:space="preserve"> its packaging </w:t>
      </w:r>
      <w:r w:rsidR="51A44FA0" w:rsidRPr="61A924D9">
        <w:rPr>
          <w:rFonts w:cs="Arial"/>
          <w:lang w:val="en-NZ" w:eastAsia="en-NZ"/>
        </w:rPr>
        <w:t xml:space="preserve">to </w:t>
      </w:r>
      <w:r w:rsidR="0002533E" w:rsidRPr="61A924D9">
        <w:rPr>
          <w:rFonts w:cs="Arial"/>
          <w:lang w:val="en-NZ" w:eastAsia="en-NZ"/>
        </w:rPr>
        <w:t xml:space="preserve">only a description of the product’s flavour, and that the flavour be described using </w:t>
      </w:r>
      <w:r w:rsidR="00834CAC">
        <w:rPr>
          <w:rFonts w:cs="Arial"/>
          <w:lang w:val="en-NZ" w:eastAsia="en-NZ"/>
        </w:rPr>
        <w:t>1</w:t>
      </w:r>
      <w:r w:rsidR="0002533E" w:rsidRPr="61A924D9">
        <w:rPr>
          <w:rFonts w:cs="Arial"/>
          <w:lang w:val="en-NZ" w:eastAsia="en-NZ"/>
        </w:rPr>
        <w:t xml:space="preserve"> or more </w:t>
      </w:r>
      <w:r w:rsidR="13C114A8" w:rsidRPr="61A924D9">
        <w:rPr>
          <w:rFonts w:cs="Arial"/>
          <w:lang w:val="en-NZ" w:eastAsia="en-NZ"/>
        </w:rPr>
        <w:t xml:space="preserve">flavours, as prescribed by </w:t>
      </w:r>
      <w:r w:rsidR="002B2B7E">
        <w:rPr>
          <w:rFonts w:cs="Arial"/>
          <w:lang w:val="en-NZ" w:eastAsia="en-NZ"/>
        </w:rPr>
        <w:t xml:space="preserve">the </w:t>
      </w:r>
      <w:proofErr w:type="gramStart"/>
      <w:r w:rsidR="002B2B7E">
        <w:rPr>
          <w:rFonts w:cs="Arial"/>
          <w:lang w:val="en-NZ" w:eastAsia="en-NZ"/>
        </w:rPr>
        <w:t>Ministry</w:t>
      </w:r>
      <w:proofErr w:type="gramEnd"/>
      <w:r w:rsidR="13C114A8" w:rsidRPr="61A924D9">
        <w:rPr>
          <w:rFonts w:cs="Arial"/>
          <w:lang w:val="en-NZ" w:eastAsia="en-NZ"/>
        </w:rPr>
        <w:t xml:space="preserve"> and published on its website (in the form of a flavour wheel or something similar).</w:t>
      </w:r>
      <w:r w:rsidRPr="61A924D9" w:rsidDel="7C081E03">
        <w:rPr>
          <w:rFonts w:cs="Arial"/>
          <w:lang w:val="en-NZ" w:eastAsia="en-NZ"/>
        </w:rPr>
        <w:t xml:space="preserve"> </w:t>
      </w:r>
      <w:r w:rsidR="0002533E" w:rsidRPr="61A924D9">
        <w:rPr>
          <w:rFonts w:cs="Arial"/>
          <w:lang w:val="en-NZ" w:eastAsia="en-NZ"/>
        </w:rPr>
        <w:t>Specifically, it proposed</w:t>
      </w:r>
      <w:r w:rsidR="7C081E03" w:rsidRPr="61A924D9">
        <w:rPr>
          <w:rFonts w:cs="Arial"/>
          <w:lang w:val="en-NZ" w:eastAsia="en-NZ"/>
        </w:rPr>
        <w:t xml:space="preserve"> </w:t>
      </w:r>
      <w:r w:rsidR="24E0788E" w:rsidRPr="61A924D9">
        <w:rPr>
          <w:rFonts w:cs="Arial"/>
          <w:lang w:val="en-NZ" w:eastAsia="en-NZ"/>
        </w:rPr>
        <w:t>to exclude</w:t>
      </w:r>
      <w:r w:rsidR="0002533E" w:rsidRPr="61A924D9">
        <w:rPr>
          <w:rFonts w:cs="Arial"/>
          <w:lang w:val="en-NZ" w:eastAsia="en-NZ"/>
        </w:rPr>
        <w:t xml:space="preserve"> </w:t>
      </w:r>
      <w:r w:rsidR="24E0788E" w:rsidRPr="61A924D9">
        <w:rPr>
          <w:rFonts w:cs="Arial"/>
          <w:lang w:val="en-NZ" w:eastAsia="en-NZ"/>
        </w:rPr>
        <w:t xml:space="preserve">flavour descriptions </w:t>
      </w:r>
      <w:r w:rsidRPr="61A924D9" w:rsidDel="0002533E">
        <w:rPr>
          <w:rFonts w:cs="Arial"/>
          <w:lang w:val="en-NZ" w:eastAsia="en-NZ"/>
        </w:rPr>
        <w:t xml:space="preserve">that </w:t>
      </w:r>
      <w:r w:rsidR="0002533E" w:rsidRPr="61A924D9">
        <w:rPr>
          <w:rFonts w:cs="Arial"/>
          <w:lang w:val="en-NZ" w:eastAsia="en-NZ"/>
        </w:rPr>
        <w:t>appear to target young people.</w:t>
      </w:r>
      <w:r w:rsidR="00996397" w:rsidRPr="61A924D9">
        <w:rPr>
          <w:rFonts w:cs="Arial"/>
          <w:lang w:val="en-NZ" w:eastAsia="en-NZ"/>
        </w:rPr>
        <w:t xml:space="preserve"> </w:t>
      </w:r>
      <w:r w:rsidR="1E95C2AA" w:rsidRPr="61A924D9">
        <w:rPr>
          <w:rFonts w:cs="Arial"/>
          <w:lang w:val="en-NZ" w:eastAsia="en-NZ"/>
        </w:rPr>
        <w:t xml:space="preserve">For example, </w:t>
      </w:r>
      <w:r w:rsidR="1790E267" w:rsidRPr="65340990">
        <w:rPr>
          <w:rFonts w:cs="Arial"/>
          <w:lang w:val="en-NZ" w:eastAsia="en-NZ"/>
        </w:rPr>
        <w:t>f</w:t>
      </w:r>
      <w:r w:rsidR="6E12FBC5" w:rsidRPr="65340990">
        <w:rPr>
          <w:rFonts w:cs="Arial"/>
          <w:lang w:val="en-NZ" w:eastAsia="en-NZ"/>
        </w:rPr>
        <w:t>lavours</w:t>
      </w:r>
      <w:r w:rsidR="00944E1B" w:rsidRPr="61A924D9">
        <w:rPr>
          <w:rFonts w:cs="Arial"/>
          <w:lang w:val="en-NZ" w:eastAsia="en-NZ"/>
        </w:rPr>
        <w:t xml:space="preserve"> that refer to confectionary</w:t>
      </w:r>
      <w:r w:rsidR="49D1FBDF" w:rsidRPr="61A924D9">
        <w:rPr>
          <w:rFonts w:cs="Arial"/>
          <w:lang w:val="en-NZ" w:eastAsia="en-NZ"/>
        </w:rPr>
        <w:t xml:space="preserve"> or candy</w:t>
      </w:r>
      <w:r w:rsidRPr="61A924D9" w:rsidDel="7D9CD38D">
        <w:rPr>
          <w:rFonts w:cs="Arial"/>
          <w:lang w:val="en-NZ" w:eastAsia="en-NZ"/>
        </w:rPr>
        <w:t xml:space="preserve"> </w:t>
      </w:r>
      <w:r w:rsidR="5EEE3C51" w:rsidRPr="61A924D9">
        <w:rPr>
          <w:rFonts w:cs="Arial"/>
          <w:lang w:val="en-NZ" w:eastAsia="en-NZ"/>
        </w:rPr>
        <w:t xml:space="preserve">would </w:t>
      </w:r>
      <w:r w:rsidR="7D9CD38D" w:rsidRPr="61A924D9">
        <w:rPr>
          <w:rFonts w:cs="Arial"/>
          <w:lang w:val="en-NZ" w:eastAsia="en-NZ"/>
        </w:rPr>
        <w:t xml:space="preserve">not be </w:t>
      </w:r>
      <w:r w:rsidR="00944E1B" w:rsidRPr="61A924D9">
        <w:rPr>
          <w:rFonts w:cs="Arial"/>
          <w:lang w:val="en-NZ" w:eastAsia="en-NZ"/>
        </w:rPr>
        <w:t xml:space="preserve">permitted. Instead, products </w:t>
      </w:r>
      <w:r w:rsidR="108981EA" w:rsidRPr="61A924D9">
        <w:rPr>
          <w:rFonts w:cs="Arial"/>
          <w:lang w:val="en-NZ" w:eastAsia="en-NZ"/>
        </w:rPr>
        <w:t xml:space="preserve">would </w:t>
      </w:r>
      <w:r w:rsidR="00944E1B" w:rsidRPr="61A924D9">
        <w:rPr>
          <w:rFonts w:cs="Arial"/>
          <w:lang w:val="en-NZ" w:eastAsia="en-NZ"/>
        </w:rPr>
        <w:t xml:space="preserve">need to </w:t>
      </w:r>
      <w:r w:rsidR="00D2108D" w:rsidRPr="61A924D9">
        <w:rPr>
          <w:rFonts w:cs="Arial"/>
          <w:lang w:val="en-NZ" w:eastAsia="en-NZ"/>
        </w:rPr>
        <w:t xml:space="preserve">describe a </w:t>
      </w:r>
      <w:r w:rsidR="00944E1B" w:rsidRPr="61A924D9">
        <w:rPr>
          <w:rFonts w:cs="Arial"/>
          <w:lang w:val="en-NZ" w:eastAsia="en-NZ"/>
        </w:rPr>
        <w:t xml:space="preserve">generic </w:t>
      </w:r>
      <w:r w:rsidR="00346E36" w:rsidRPr="61A924D9">
        <w:rPr>
          <w:rFonts w:cs="Arial"/>
          <w:lang w:val="en-NZ" w:eastAsia="en-NZ"/>
        </w:rPr>
        <w:t>flavour</w:t>
      </w:r>
      <w:r w:rsidR="00D2108D" w:rsidRPr="61A924D9">
        <w:rPr>
          <w:rFonts w:cs="Arial"/>
          <w:lang w:val="en-NZ" w:eastAsia="en-NZ"/>
        </w:rPr>
        <w:t>, such as</w:t>
      </w:r>
      <w:r w:rsidRPr="61A924D9" w:rsidDel="00D2108D">
        <w:rPr>
          <w:rFonts w:cs="Arial"/>
          <w:lang w:val="en-NZ" w:eastAsia="en-NZ"/>
        </w:rPr>
        <w:t xml:space="preserve"> </w:t>
      </w:r>
      <w:r w:rsidR="0E62EAA2" w:rsidRPr="61A924D9">
        <w:rPr>
          <w:rFonts w:cs="Arial"/>
          <w:lang w:val="en-NZ" w:eastAsia="en-NZ"/>
        </w:rPr>
        <w:t>strawberry</w:t>
      </w:r>
      <w:r w:rsidR="00D2108D" w:rsidRPr="61A924D9">
        <w:rPr>
          <w:rFonts w:cs="Arial"/>
          <w:lang w:val="en-NZ" w:eastAsia="en-NZ"/>
        </w:rPr>
        <w:t>.</w:t>
      </w:r>
    </w:p>
    <w:p w14:paraId="2AF354F9" w14:textId="25F8EA0E" w:rsidR="0002533E" w:rsidRPr="0002533E" w:rsidRDefault="0002533E" w:rsidP="00F4511C">
      <w:pPr>
        <w:spacing w:before="120" w:after="120" w:line="240" w:lineRule="auto"/>
        <w:textAlignment w:val="baseline"/>
        <w:rPr>
          <w:rFonts w:ascii="Segoe UI" w:hAnsi="Segoe UI" w:cs="Segoe UI"/>
          <w:sz w:val="18"/>
          <w:szCs w:val="18"/>
          <w:lang w:val="en-NZ" w:eastAsia="en-NZ"/>
        </w:rPr>
      </w:pPr>
      <w:r w:rsidRPr="0002533E">
        <w:rPr>
          <w:rFonts w:cs="Arial"/>
          <w:i/>
          <w:iCs/>
          <w:szCs w:val="22"/>
          <w:lang w:val="en-NZ" w:eastAsia="en-NZ"/>
        </w:rPr>
        <w:t>Consultation feedback</w:t>
      </w:r>
    </w:p>
    <w:p w14:paraId="540FA767" w14:textId="67C0F4E1" w:rsidR="0002533E" w:rsidRDefault="0002533E" w:rsidP="00F4511C">
      <w:pPr>
        <w:spacing w:before="120" w:after="120" w:line="240" w:lineRule="auto"/>
        <w:textAlignment w:val="baseline"/>
        <w:rPr>
          <w:rFonts w:cs="Arial"/>
          <w:lang w:val="en-NZ" w:eastAsia="en-NZ"/>
        </w:rPr>
      </w:pPr>
      <w:r w:rsidRPr="61A924D9">
        <w:rPr>
          <w:rFonts w:cs="Arial"/>
          <w:lang w:val="en-NZ" w:eastAsia="en-NZ"/>
        </w:rPr>
        <w:t>Feedback from consultation was extensive. Some stakeholders wanted to limit the actual range of flavours, for example</w:t>
      </w:r>
      <w:r w:rsidR="756F359C" w:rsidRPr="5C1B1DC9">
        <w:rPr>
          <w:rFonts w:cs="Arial"/>
          <w:lang w:val="en-NZ" w:eastAsia="en-NZ"/>
        </w:rPr>
        <w:t>,</w:t>
      </w:r>
      <w:r w:rsidRPr="61A924D9">
        <w:rPr>
          <w:rFonts w:cs="Arial"/>
          <w:lang w:val="en-NZ" w:eastAsia="en-NZ"/>
        </w:rPr>
        <w:t xml:space="preserve"> </w:t>
      </w:r>
      <w:r w:rsidR="00191C5C" w:rsidRPr="61A924D9">
        <w:rPr>
          <w:rFonts w:cs="Arial"/>
          <w:lang w:val="en-NZ" w:eastAsia="en-NZ"/>
        </w:rPr>
        <w:t>limiting options to just tobacco and menthol vape products</w:t>
      </w:r>
      <w:r w:rsidRPr="61A924D9">
        <w:rPr>
          <w:rFonts w:cs="Arial"/>
          <w:lang w:val="en-NZ" w:eastAsia="en-NZ"/>
        </w:rPr>
        <w:t xml:space="preserve">. This is out of scope as limiting flavours </w:t>
      </w:r>
      <w:r w:rsidR="590BD80F" w:rsidRPr="61A924D9">
        <w:rPr>
          <w:rFonts w:cs="Arial"/>
          <w:lang w:val="en-NZ" w:eastAsia="en-NZ"/>
        </w:rPr>
        <w:t xml:space="preserve">in this way </w:t>
      </w:r>
      <w:r w:rsidRPr="61A924D9">
        <w:rPr>
          <w:rFonts w:cs="Arial"/>
          <w:lang w:val="en-NZ" w:eastAsia="en-NZ"/>
        </w:rPr>
        <w:t xml:space="preserve">would require an amendment to the </w:t>
      </w:r>
      <w:r w:rsidR="004C1916">
        <w:rPr>
          <w:rFonts w:cs="Arial"/>
          <w:lang w:val="en-NZ" w:eastAsia="en-NZ"/>
        </w:rPr>
        <w:t xml:space="preserve">Smokefree </w:t>
      </w:r>
      <w:r w:rsidRPr="61A924D9">
        <w:rPr>
          <w:rFonts w:cs="Arial"/>
          <w:lang w:val="en-NZ" w:eastAsia="en-NZ"/>
        </w:rPr>
        <w:t>Act</w:t>
      </w:r>
      <w:r w:rsidR="53760327" w:rsidRPr="61A924D9">
        <w:rPr>
          <w:rFonts w:cs="Arial"/>
          <w:lang w:val="en-NZ" w:eastAsia="en-NZ"/>
        </w:rPr>
        <w:t>.</w:t>
      </w:r>
    </w:p>
    <w:p w14:paraId="0A329A92" w14:textId="60760C4C" w:rsidR="00B319D6" w:rsidRPr="003D6AD1" w:rsidRDefault="309F9AC7" w:rsidP="00F4511C">
      <w:pPr>
        <w:spacing w:before="120" w:after="120" w:line="240" w:lineRule="auto"/>
        <w:textAlignment w:val="baseline"/>
        <w:rPr>
          <w:rFonts w:cs="Arial"/>
          <w:lang w:val="en-NZ"/>
        </w:rPr>
      </w:pPr>
      <w:r w:rsidRPr="14E07CEB">
        <w:rPr>
          <w:rFonts w:cs="Arial"/>
          <w:lang w:val="en-NZ"/>
        </w:rPr>
        <w:t xml:space="preserve">There were a significant number of submitters who stated specific flavours </w:t>
      </w:r>
      <w:r w:rsidR="24F55506" w:rsidRPr="14E07CEB">
        <w:rPr>
          <w:rFonts w:cs="Arial"/>
          <w:lang w:val="en-NZ"/>
        </w:rPr>
        <w:t xml:space="preserve">that </w:t>
      </w:r>
      <w:r w:rsidRPr="14E07CEB">
        <w:rPr>
          <w:rFonts w:cs="Arial"/>
          <w:lang w:val="en-NZ"/>
        </w:rPr>
        <w:t xml:space="preserve">they believe should be banned due to their appeal to young </w:t>
      </w:r>
      <w:r w:rsidR="3811549C" w:rsidRPr="14E07CEB">
        <w:rPr>
          <w:rFonts w:cs="Arial"/>
          <w:lang w:val="en-NZ"/>
        </w:rPr>
        <w:t>people</w:t>
      </w:r>
      <w:r w:rsidR="419337E0" w:rsidRPr="14E07CEB">
        <w:rPr>
          <w:rFonts w:cs="Arial"/>
          <w:lang w:val="en-NZ"/>
        </w:rPr>
        <w:t xml:space="preserve"> (eg, </w:t>
      </w:r>
      <w:r w:rsidR="64AA7950" w:rsidRPr="14E07CEB">
        <w:rPr>
          <w:rFonts w:cs="Arial"/>
          <w:lang w:val="en-NZ"/>
        </w:rPr>
        <w:t xml:space="preserve">ones relating to candy, </w:t>
      </w:r>
      <w:proofErr w:type="gramStart"/>
      <w:r w:rsidR="52145E12" w:rsidRPr="14E07CEB">
        <w:rPr>
          <w:rFonts w:cs="Arial"/>
          <w:lang w:val="en-NZ"/>
        </w:rPr>
        <w:t>des</w:t>
      </w:r>
      <w:r w:rsidR="2AECD7E7" w:rsidRPr="14E07CEB">
        <w:rPr>
          <w:rFonts w:cs="Arial"/>
          <w:lang w:val="en-NZ"/>
        </w:rPr>
        <w:t>s</w:t>
      </w:r>
      <w:r w:rsidR="52145E12" w:rsidRPr="14E07CEB">
        <w:rPr>
          <w:rFonts w:cs="Arial"/>
          <w:lang w:val="en-NZ"/>
        </w:rPr>
        <w:t>ert</w:t>
      </w:r>
      <w:proofErr w:type="gramEnd"/>
      <w:r w:rsidR="64AA7950" w:rsidRPr="14E07CEB">
        <w:rPr>
          <w:rFonts w:cs="Arial"/>
          <w:lang w:val="en-NZ"/>
        </w:rPr>
        <w:t xml:space="preserve"> or alcohol</w:t>
      </w:r>
      <w:r w:rsidR="419337E0" w:rsidRPr="14E07CEB">
        <w:rPr>
          <w:rFonts w:cs="Arial"/>
          <w:lang w:val="en-NZ"/>
        </w:rPr>
        <w:t>)</w:t>
      </w:r>
      <w:r w:rsidR="3811549C" w:rsidRPr="14E07CEB">
        <w:rPr>
          <w:rFonts w:cs="Arial"/>
          <w:lang w:val="en-NZ"/>
        </w:rPr>
        <w:t>.</w:t>
      </w:r>
      <w:r w:rsidR="2000DC98" w:rsidRPr="14E07CEB">
        <w:rPr>
          <w:rFonts w:cs="Arial"/>
          <w:lang w:val="en-NZ"/>
        </w:rPr>
        <w:t xml:space="preserve"> </w:t>
      </w:r>
      <w:r w:rsidR="16041E4F" w:rsidRPr="14E07CEB">
        <w:rPr>
          <w:rFonts w:cs="Arial"/>
          <w:lang w:val="en-NZ" w:eastAsia="en-NZ"/>
        </w:rPr>
        <w:t>A small number of applicants raised concerns around a lack of evidence</w:t>
      </w:r>
      <w:r w:rsidR="1EBBBD03" w:rsidRPr="14E07CEB">
        <w:rPr>
          <w:rFonts w:cs="Arial"/>
          <w:lang w:val="en-NZ" w:eastAsia="en-NZ"/>
        </w:rPr>
        <w:t xml:space="preserve"> </w:t>
      </w:r>
      <w:r w:rsidR="73A57876" w:rsidRPr="14E07CEB">
        <w:rPr>
          <w:rFonts w:cs="Arial"/>
          <w:lang w:val="en-NZ" w:eastAsia="en-NZ"/>
        </w:rPr>
        <w:t xml:space="preserve">on </w:t>
      </w:r>
      <w:r w:rsidR="1EBBBD03" w:rsidRPr="14E07CEB">
        <w:rPr>
          <w:rFonts w:cs="Arial"/>
          <w:lang w:val="en-NZ" w:eastAsia="en-NZ"/>
        </w:rPr>
        <w:t>which flavour</w:t>
      </w:r>
      <w:r w:rsidR="528249E2" w:rsidRPr="14E07CEB">
        <w:rPr>
          <w:rFonts w:cs="Arial"/>
          <w:lang w:val="en-NZ" w:eastAsia="en-NZ"/>
        </w:rPr>
        <w:t xml:space="preserve"> descriptions</w:t>
      </w:r>
      <w:r w:rsidR="1EBBBD03" w:rsidRPr="14E07CEB">
        <w:rPr>
          <w:rFonts w:cs="Arial"/>
          <w:lang w:val="en-NZ" w:eastAsia="en-NZ"/>
        </w:rPr>
        <w:t xml:space="preserve"> appeal to young people</w:t>
      </w:r>
      <w:r w:rsidR="7999300B" w:rsidRPr="14E07CEB">
        <w:rPr>
          <w:rFonts w:cs="Arial"/>
          <w:lang w:val="en-NZ" w:eastAsia="en-NZ"/>
        </w:rPr>
        <w:t>.</w:t>
      </w:r>
    </w:p>
    <w:p w14:paraId="4242BA61" w14:textId="5ACD7E74" w:rsidR="00D66305" w:rsidRPr="0002533E" w:rsidRDefault="6A64146B" w:rsidP="00F4511C">
      <w:pPr>
        <w:spacing w:before="120" w:after="120" w:line="240" w:lineRule="auto"/>
        <w:textAlignment w:val="baseline"/>
        <w:rPr>
          <w:rFonts w:ascii="Segoe UI" w:hAnsi="Segoe UI" w:cs="Segoe UI"/>
          <w:sz w:val="18"/>
          <w:szCs w:val="18"/>
          <w:lang w:val="en-NZ" w:eastAsia="en-NZ"/>
        </w:rPr>
      </w:pPr>
      <w:r w:rsidRPr="65340990">
        <w:rPr>
          <w:rFonts w:cs="Arial"/>
          <w:lang w:val="en-NZ" w:eastAsia="en-NZ"/>
        </w:rPr>
        <w:t>M</w:t>
      </w:r>
      <w:r w:rsidR="003D6AD1" w:rsidRPr="65340990">
        <w:rPr>
          <w:rFonts w:cs="Arial"/>
          <w:lang w:val="en-NZ" w:eastAsia="en-NZ"/>
        </w:rPr>
        <w:t>any</w:t>
      </w:r>
      <w:r w:rsidR="003D6AD1" w:rsidRPr="61A924D9">
        <w:rPr>
          <w:rFonts w:cs="Arial"/>
          <w:lang w:val="en-NZ" w:eastAsia="en-NZ"/>
        </w:rPr>
        <w:t xml:space="preserve"> submitters</w:t>
      </w:r>
      <w:r w:rsidR="00D537FD" w:rsidRPr="61A924D9">
        <w:rPr>
          <w:rFonts w:cs="Arial"/>
          <w:lang w:val="en-NZ" w:eastAsia="en-NZ"/>
        </w:rPr>
        <w:t xml:space="preserve"> </w:t>
      </w:r>
      <w:r w:rsidR="41587C08" w:rsidRPr="61A924D9">
        <w:rPr>
          <w:rFonts w:cs="Arial"/>
          <w:lang w:val="en-NZ" w:eastAsia="en-NZ"/>
        </w:rPr>
        <w:t xml:space="preserve">also raised concerns </w:t>
      </w:r>
      <w:r w:rsidR="00D537FD" w:rsidRPr="61A924D9">
        <w:rPr>
          <w:rFonts w:cs="Arial"/>
          <w:lang w:val="en-NZ" w:eastAsia="en-NZ"/>
        </w:rPr>
        <w:t>that the use of</w:t>
      </w:r>
      <w:r w:rsidR="004D6784" w:rsidRPr="61A924D9">
        <w:rPr>
          <w:rFonts w:cs="Arial"/>
          <w:lang w:val="en-NZ" w:eastAsia="en-NZ"/>
        </w:rPr>
        <w:t xml:space="preserve"> Te Reo Māori, and Māori imagery</w:t>
      </w:r>
      <w:r w:rsidR="65DFEAA7" w:rsidRPr="61A924D9">
        <w:rPr>
          <w:rFonts w:cs="Arial"/>
          <w:lang w:val="en-NZ" w:eastAsia="en-NZ"/>
        </w:rPr>
        <w:t>,</w:t>
      </w:r>
      <w:r w:rsidR="004D6784" w:rsidRPr="61A924D9">
        <w:rPr>
          <w:rFonts w:cs="Arial"/>
          <w:lang w:val="en-NZ" w:eastAsia="en-NZ"/>
        </w:rPr>
        <w:t xml:space="preserve"> </w:t>
      </w:r>
      <w:r w:rsidR="00A826A0" w:rsidRPr="61A924D9">
        <w:rPr>
          <w:rFonts w:cs="Arial"/>
          <w:lang w:val="en-NZ" w:eastAsia="en-NZ"/>
        </w:rPr>
        <w:t xml:space="preserve">in flavour names, product branding and stores </w:t>
      </w:r>
      <w:r w:rsidR="004D6784" w:rsidRPr="61A924D9">
        <w:rPr>
          <w:rFonts w:cs="Arial"/>
          <w:lang w:val="en-NZ" w:eastAsia="en-NZ"/>
        </w:rPr>
        <w:t xml:space="preserve">would be inappropriate </w:t>
      </w:r>
      <w:r w:rsidR="610DD3FC" w:rsidRPr="61A924D9">
        <w:rPr>
          <w:rFonts w:cs="Arial"/>
          <w:lang w:val="en-NZ" w:eastAsia="en-NZ"/>
        </w:rPr>
        <w:t>and a form of</w:t>
      </w:r>
      <w:r w:rsidR="022A1251" w:rsidRPr="61A924D9">
        <w:rPr>
          <w:rFonts w:cs="Arial"/>
          <w:lang w:val="en-NZ" w:eastAsia="en-NZ"/>
        </w:rPr>
        <w:t xml:space="preserve"> </w:t>
      </w:r>
      <w:r w:rsidR="004D6784" w:rsidRPr="61A924D9">
        <w:rPr>
          <w:rFonts w:cs="Arial"/>
          <w:lang w:val="en-NZ" w:eastAsia="en-NZ"/>
        </w:rPr>
        <w:t>cultural appropriation.</w:t>
      </w:r>
    </w:p>
    <w:p w14:paraId="4F38749B" w14:textId="3CB50476" w:rsidR="0002533E" w:rsidRPr="0002533E" w:rsidRDefault="0002533E" w:rsidP="00F4511C">
      <w:pPr>
        <w:spacing w:before="120" w:after="120" w:line="240" w:lineRule="auto"/>
        <w:textAlignment w:val="baseline"/>
        <w:rPr>
          <w:rFonts w:ascii="Segoe UI" w:hAnsi="Segoe UI" w:cs="Segoe UI"/>
          <w:sz w:val="18"/>
          <w:szCs w:val="18"/>
          <w:lang w:val="en-NZ" w:eastAsia="en-NZ"/>
        </w:rPr>
      </w:pPr>
      <w:r w:rsidRPr="58911DBF">
        <w:rPr>
          <w:rFonts w:cs="Arial"/>
          <w:lang w:val="en-NZ" w:eastAsia="en-NZ"/>
        </w:rPr>
        <w:t xml:space="preserve">Other stakeholders wished to see a more ‘plain packaging’ approach and limit flavour descriptions simply to colours or numbers (eg, banana flavour as yellow or flavour 1, strawberry as red or flavour 2 etc). A more general ‘plain packaging’ approach was considered when </w:t>
      </w:r>
      <w:r w:rsidR="7A961973" w:rsidRPr="58911DBF">
        <w:rPr>
          <w:rFonts w:cs="Arial"/>
          <w:lang w:val="en-NZ" w:eastAsia="en-NZ"/>
        </w:rPr>
        <w:t>the Ministry</w:t>
      </w:r>
      <w:r w:rsidRPr="58911DBF">
        <w:rPr>
          <w:rFonts w:cs="Arial"/>
          <w:lang w:val="en-NZ" w:eastAsia="en-NZ"/>
        </w:rPr>
        <w:t xml:space="preserve"> consulted on the current vaping regulations in 2021, and the pros and cons are set out in the table below (option </w:t>
      </w:r>
      <w:r w:rsidR="00B14C05">
        <w:rPr>
          <w:rFonts w:cs="Arial"/>
          <w:lang w:val="en-NZ" w:eastAsia="en-NZ"/>
        </w:rPr>
        <w:t>3</w:t>
      </w:r>
      <w:r w:rsidRPr="58911DBF">
        <w:rPr>
          <w:rFonts w:cs="Arial"/>
          <w:lang w:val="en-NZ" w:eastAsia="en-NZ"/>
        </w:rPr>
        <w:t>).</w:t>
      </w:r>
    </w:p>
    <w:p w14:paraId="28EC6FE1" w14:textId="77777777" w:rsidR="00BD577D" w:rsidRDefault="00BD577D" w:rsidP="00F4511C">
      <w:pPr>
        <w:spacing w:before="120" w:after="120" w:line="240" w:lineRule="auto"/>
        <w:textAlignment w:val="baseline"/>
        <w:rPr>
          <w:rFonts w:cs="Arial"/>
          <w:szCs w:val="22"/>
          <w:lang w:val="en-NZ" w:eastAsia="en-NZ"/>
        </w:rPr>
      </w:pPr>
    </w:p>
    <w:p w14:paraId="6363A7DE" w14:textId="77777777" w:rsidR="00BD577D" w:rsidRDefault="00BD577D" w:rsidP="00F4511C">
      <w:pPr>
        <w:spacing w:before="120" w:after="120" w:line="240" w:lineRule="auto"/>
        <w:textAlignment w:val="baseline"/>
        <w:rPr>
          <w:rFonts w:cs="Arial"/>
          <w:szCs w:val="22"/>
          <w:lang w:val="en-NZ" w:eastAsia="en-NZ"/>
        </w:rPr>
      </w:pPr>
    </w:p>
    <w:p w14:paraId="2B6CFF59" w14:textId="118CD8BE" w:rsidR="0002533E" w:rsidRDefault="0002533E" w:rsidP="00F4511C">
      <w:pPr>
        <w:spacing w:before="120" w:after="120" w:line="240" w:lineRule="auto"/>
        <w:textAlignment w:val="baseline"/>
        <w:rPr>
          <w:rFonts w:cs="Arial"/>
          <w:szCs w:val="22"/>
          <w:lang w:val="en-NZ" w:eastAsia="en-NZ"/>
        </w:rPr>
      </w:pPr>
      <w:r w:rsidRPr="0002533E">
        <w:rPr>
          <w:rFonts w:cs="Arial"/>
          <w:szCs w:val="22"/>
          <w:lang w:val="en-NZ" w:eastAsia="en-NZ"/>
        </w:rPr>
        <w:t xml:space="preserve">The options </w:t>
      </w:r>
      <w:r w:rsidR="00F20DA6">
        <w:rPr>
          <w:rFonts w:cs="Arial"/>
          <w:szCs w:val="22"/>
          <w:lang w:val="en-NZ" w:eastAsia="en-NZ"/>
        </w:rPr>
        <w:t>for limiting the way flavours are described are:</w:t>
      </w:r>
    </w:p>
    <w:p w14:paraId="2CC286DA" w14:textId="2941122B" w:rsidR="00F20DA6" w:rsidRPr="00F20DA6" w:rsidRDefault="0002533E" w:rsidP="00F4511C">
      <w:pPr>
        <w:pStyle w:val="Heading4"/>
        <w:spacing w:after="120"/>
        <w:rPr>
          <w:lang w:val="en-NZ" w:eastAsia="en-NZ"/>
        </w:rPr>
      </w:pPr>
      <w:r w:rsidRPr="0002533E">
        <w:rPr>
          <w:lang w:val="en-NZ" w:eastAsia="en-NZ"/>
        </w:rPr>
        <w:t xml:space="preserve">Option </w:t>
      </w:r>
      <w:r w:rsidR="008B7786">
        <w:rPr>
          <w:lang w:val="en-NZ" w:eastAsia="en-NZ"/>
        </w:rPr>
        <w:t>1</w:t>
      </w:r>
      <w:r w:rsidR="00F20DA6">
        <w:rPr>
          <w:lang w:val="en-NZ" w:eastAsia="en-NZ"/>
        </w:rPr>
        <w:t xml:space="preserve"> – Status Quo</w:t>
      </w:r>
    </w:p>
    <w:p w14:paraId="610E7FDC" w14:textId="288E4E13" w:rsidR="0002533E" w:rsidRPr="0002533E" w:rsidRDefault="2279F03B" w:rsidP="00F4511C">
      <w:pPr>
        <w:spacing w:before="120" w:after="120" w:line="240" w:lineRule="auto"/>
        <w:textAlignment w:val="baseline"/>
        <w:rPr>
          <w:rFonts w:ascii="Segoe UI" w:hAnsi="Segoe UI" w:cs="Segoe UI"/>
          <w:sz w:val="18"/>
          <w:szCs w:val="18"/>
          <w:lang w:val="en-NZ" w:eastAsia="en-NZ"/>
        </w:rPr>
      </w:pPr>
      <w:r w:rsidRPr="59D4D97B">
        <w:rPr>
          <w:rFonts w:cs="Arial"/>
          <w:lang w:val="en-NZ" w:eastAsia="en-NZ"/>
        </w:rPr>
        <w:t>N</w:t>
      </w:r>
      <w:r w:rsidR="215CA914" w:rsidRPr="59D4D97B">
        <w:rPr>
          <w:rFonts w:cs="Arial"/>
          <w:lang w:val="en-NZ" w:eastAsia="en-NZ"/>
        </w:rPr>
        <w:t xml:space="preserve">o changes to existing packaging requirements. Current requirements for the packaging of vaping products are based on EU/UK requirements adjusted for the </w:t>
      </w:r>
      <w:r w:rsidR="6FD8A573" w:rsidRPr="59D4D97B">
        <w:rPr>
          <w:rFonts w:cs="Arial"/>
          <w:lang w:val="en-NZ" w:eastAsia="en-NZ"/>
        </w:rPr>
        <w:t>Aotearoa</w:t>
      </w:r>
      <w:r w:rsidR="215CA914" w:rsidRPr="59D4D97B">
        <w:rPr>
          <w:rFonts w:cs="Arial"/>
          <w:lang w:val="en-NZ" w:eastAsia="en-NZ"/>
        </w:rPr>
        <w:t xml:space="preserve"> context, and there are no specific requirements for the way flavours can be described or depicted.</w:t>
      </w:r>
    </w:p>
    <w:p w14:paraId="5FA96DA4" w14:textId="7850835D" w:rsidR="00F20DA6" w:rsidRPr="00F20DA6" w:rsidRDefault="0002533E" w:rsidP="00F4511C">
      <w:pPr>
        <w:pStyle w:val="Heading4"/>
        <w:spacing w:after="120"/>
        <w:rPr>
          <w:lang w:val="en-NZ" w:eastAsia="en-NZ"/>
        </w:rPr>
      </w:pPr>
      <w:r w:rsidRPr="0002533E">
        <w:rPr>
          <w:lang w:val="en-NZ" w:eastAsia="en-NZ"/>
        </w:rPr>
        <w:t xml:space="preserve">Option </w:t>
      </w:r>
      <w:r w:rsidR="008B7786">
        <w:rPr>
          <w:lang w:val="en-NZ" w:eastAsia="en-NZ"/>
        </w:rPr>
        <w:t>2</w:t>
      </w:r>
    </w:p>
    <w:p w14:paraId="044C0FAA" w14:textId="01E0237E" w:rsidR="0002533E" w:rsidRPr="0002533E" w:rsidRDefault="00F20DA6" w:rsidP="00F4511C">
      <w:pPr>
        <w:spacing w:before="120" w:after="120" w:line="240" w:lineRule="auto"/>
        <w:textAlignment w:val="baseline"/>
        <w:rPr>
          <w:rFonts w:ascii="Segoe UI" w:hAnsi="Segoe UI" w:cs="Segoe UI"/>
          <w:sz w:val="18"/>
          <w:szCs w:val="18"/>
          <w:lang w:val="en-NZ" w:eastAsia="en-NZ"/>
        </w:rPr>
      </w:pPr>
      <w:r>
        <w:rPr>
          <w:rFonts w:cs="Arial"/>
          <w:szCs w:val="22"/>
          <w:lang w:val="en-NZ" w:eastAsia="en-NZ"/>
        </w:rPr>
        <w:t>O</w:t>
      </w:r>
      <w:r w:rsidR="0002533E" w:rsidRPr="0002533E">
        <w:rPr>
          <w:rFonts w:cs="Arial"/>
          <w:szCs w:val="22"/>
          <w:lang w:val="en-NZ" w:eastAsia="en-NZ"/>
        </w:rPr>
        <w:t>nly use permitted flavour descriptions. This option limits how a flavour is described, using a prescribed flavour wheel.</w:t>
      </w:r>
    </w:p>
    <w:p w14:paraId="64E77C85" w14:textId="289462CB" w:rsidR="00F20DA6" w:rsidRPr="00F20DA6" w:rsidRDefault="0002533E" w:rsidP="00F4511C">
      <w:pPr>
        <w:pStyle w:val="Heading4"/>
        <w:spacing w:after="120"/>
        <w:rPr>
          <w:lang w:val="en-NZ" w:eastAsia="en-NZ"/>
        </w:rPr>
      </w:pPr>
      <w:r w:rsidRPr="0002533E">
        <w:rPr>
          <w:lang w:val="en-NZ" w:eastAsia="en-NZ"/>
        </w:rPr>
        <w:t xml:space="preserve">Option </w:t>
      </w:r>
      <w:r w:rsidR="008B7786">
        <w:rPr>
          <w:lang w:val="en-NZ" w:eastAsia="en-NZ"/>
        </w:rPr>
        <w:t>3</w:t>
      </w:r>
    </w:p>
    <w:p w14:paraId="4C4031E5" w14:textId="326B995E" w:rsidR="0002533E" w:rsidRDefault="0002533E" w:rsidP="00F4511C">
      <w:pPr>
        <w:spacing w:before="120" w:after="120" w:line="240" w:lineRule="auto"/>
        <w:textAlignment w:val="baseline"/>
        <w:rPr>
          <w:rFonts w:cs="Arial"/>
          <w:szCs w:val="22"/>
          <w:lang w:val="en-NZ" w:eastAsia="en-NZ"/>
        </w:rPr>
      </w:pPr>
      <w:r w:rsidRPr="0002533E">
        <w:rPr>
          <w:rFonts w:cs="Arial"/>
          <w:szCs w:val="22"/>
          <w:lang w:val="en-NZ" w:eastAsia="en-NZ"/>
        </w:rPr>
        <w:t>‘Plain packaging’ approach. This option would limit how a flavour is described to prescribed colours or numbers.</w:t>
      </w:r>
    </w:p>
    <w:p w14:paraId="5BCA25D2" w14:textId="7D09B141" w:rsidR="00C20AB4" w:rsidRPr="00A65799" w:rsidRDefault="00C20AB4" w:rsidP="00BD577D">
      <w:pPr>
        <w:spacing w:after="60" w:line="240" w:lineRule="auto"/>
        <w:textAlignment w:val="baseline"/>
        <w:rPr>
          <w:rFonts w:cs="Arial"/>
          <w:sz w:val="20"/>
          <w:lang w:val="en-NZ" w:eastAsia="en-NZ"/>
        </w:rPr>
      </w:pPr>
      <w:r w:rsidRPr="10D53B77">
        <w:rPr>
          <w:rFonts w:cs="Arial"/>
          <w:b/>
          <w:bCs/>
          <w:sz w:val="20"/>
          <w:lang w:eastAsia="en-NZ"/>
        </w:rPr>
        <w:t xml:space="preserve">Table </w:t>
      </w:r>
      <w:r w:rsidR="008B7786">
        <w:rPr>
          <w:rFonts w:cs="Arial"/>
          <w:b/>
          <w:bCs/>
          <w:sz w:val="20"/>
          <w:lang w:eastAsia="en-NZ"/>
        </w:rPr>
        <w:t>13</w:t>
      </w:r>
      <w:r w:rsidRPr="10D53B77">
        <w:rPr>
          <w:rFonts w:cs="Arial"/>
          <w:b/>
          <w:bCs/>
          <w:sz w:val="20"/>
          <w:lang w:eastAsia="en-NZ"/>
        </w:rPr>
        <w:t>: Comparison of options </w:t>
      </w:r>
      <w:r w:rsidRPr="10D53B77">
        <w:rPr>
          <w:rFonts w:cs="Arial"/>
          <w:sz w:val="20"/>
          <w:lang w:val="en-NZ" w:eastAsia="en-NZ"/>
        </w:rPr>
        <w:t> </w:t>
      </w: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2284"/>
        <w:gridCol w:w="2815"/>
        <w:gridCol w:w="2671"/>
      </w:tblGrid>
      <w:tr w:rsidR="00C20AB4" w:rsidRPr="00C20AB4" w14:paraId="51148422" w14:textId="77777777" w:rsidTr="5DA8A6DE">
        <w:trPr>
          <w:trHeight w:val="30"/>
        </w:trPr>
        <w:tc>
          <w:tcPr>
            <w:tcW w:w="1260" w:type="dxa"/>
            <w:tcBorders>
              <w:top w:val="single" w:sz="6" w:space="0" w:color="auto"/>
              <w:left w:val="nil"/>
              <w:bottom w:val="single" w:sz="6" w:space="0" w:color="auto"/>
              <w:right w:val="nil"/>
            </w:tcBorders>
            <w:shd w:val="clear" w:color="auto" w:fill="auto"/>
            <w:hideMark/>
          </w:tcPr>
          <w:p w14:paraId="7519DDE0" w14:textId="77777777"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b/>
                <w:sz w:val="18"/>
                <w:szCs w:val="18"/>
                <w:lang w:eastAsia="en-NZ"/>
              </w:rPr>
              <w:t>Options</w:t>
            </w:r>
            <w:r w:rsidRPr="00A65799">
              <w:rPr>
                <w:rFonts w:cs="Arial"/>
                <w:sz w:val="18"/>
                <w:szCs w:val="18"/>
                <w:lang w:val="en-NZ" w:eastAsia="en-NZ"/>
              </w:rPr>
              <w:t> </w:t>
            </w:r>
          </w:p>
        </w:tc>
        <w:tc>
          <w:tcPr>
            <w:tcW w:w="2284" w:type="dxa"/>
            <w:tcBorders>
              <w:top w:val="single" w:sz="6" w:space="0" w:color="auto"/>
              <w:left w:val="nil"/>
              <w:bottom w:val="single" w:sz="6" w:space="0" w:color="auto"/>
              <w:right w:val="nil"/>
            </w:tcBorders>
            <w:shd w:val="clear" w:color="auto" w:fill="auto"/>
            <w:hideMark/>
          </w:tcPr>
          <w:p w14:paraId="7C61CC7D" w14:textId="79CB1BEF" w:rsidR="00C20AB4" w:rsidRPr="00A65799" w:rsidRDefault="00C20AB4" w:rsidP="008D13DA">
            <w:pPr>
              <w:spacing w:before="60" w:after="60" w:line="240" w:lineRule="auto"/>
              <w:textAlignment w:val="baseline"/>
              <w:rPr>
                <w:rFonts w:cs="Arial"/>
                <w:sz w:val="18"/>
                <w:szCs w:val="18"/>
                <w:lang w:val="en-NZ" w:eastAsia="en-NZ"/>
              </w:rPr>
            </w:pPr>
            <w:r w:rsidRPr="58911DBF">
              <w:rPr>
                <w:rFonts w:cs="Arial"/>
                <w:b/>
                <w:bCs/>
                <w:sz w:val="18"/>
                <w:szCs w:val="18"/>
                <w:lang w:eastAsia="en-NZ"/>
              </w:rPr>
              <w:t>Option 1 (status quo):</w:t>
            </w:r>
            <w:r w:rsidRPr="58911DBF">
              <w:rPr>
                <w:rFonts w:cs="Arial"/>
                <w:sz w:val="18"/>
                <w:szCs w:val="18"/>
                <w:lang w:eastAsia="en-NZ"/>
              </w:rPr>
              <w:t>  no change to reg</w:t>
            </w:r>
            <w:r w:rsidR="470FCC67" w:rsidRPr="58911DBF">
              <w:rPr>
                <w:rFonts w:cs="Arial"/>
                <w:sz w:val="18"/>
                <w:szCs w:val="18"/>
                <w:lang w:eastAsia="en-NZ"/>
              </w:rPr>
              <w:t>ulation</w:t>
            </w:r>
            <w:r w:rsidRPr="58911DBF">
              <w:rPr>
                <w:rFonts w:cs="Arial"/>
                <w:sz w:val="18"/>
                <w:szCs w:val="18"/>
                <w:lang w:eastAsia="en-NZ"/>
              </w:rPr>
              <w:t>s</w:t>
            </w:r>
          </w:p>
        </w:tc>
        <w:tc>
          <w:tcPr>
            <w:tcW w:w="2815" w:type="dxa"/>
            <w:tcBorders>
              <w:top w:val="single" w:sz="6" w:space="0" w:color="auto"/>
              <w:left w:val="nil"/>
              <w:bottom w:val="single" w:sz="6" w:space="0" w:color="auto"/>
              <w:right w:val="nil"/>
            </w:tcBorders>
            <w:shd w:val="clear" w:color="auto" w:fill="auto"/>
            <w:hideMark/>
          </w:tcPr>
          <w:p w14:paraId="4EEEC9D3" w14:textId="55D6EE1F"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b/>
                <w:sz w:val="18"/>
                <w:szCs w:val="18"/>
                <w:lang w:eastAsia="en-NZ"/>
              </w:rPr>
              <w:t xml:space="preserve">Option 2: </w:t>
            </w:r>
            <w:r w:rsidRPr="00A65799">
              <w:rPr>
                <w:rFonts w:cs="Arial"/>
                <w:sz w:val="18"/>
                <w:szCs w:val="18"/>
                <w:lang w:eastAsia="en-NZ"/>
              </w:rPr>
              <w:t>permitted flavour descriptions</w:t>
            </w:r>
          </w:p>
        </w:tc>
        <w:tc>
          <w:tcPr>
            <w:tcW w:w="2671" w:type="dxa"/>
            <w:tcBorders>
              <w:top w:val="single" w:sz="6" w:space="0" w:color="auto"/>
              <w:left w:val="nil"/>
              <w:bottom w:val="single" w:sz="6" w:space="0" w:color="auto"/>
              <w:right w:val="nil"/>
            </w:tcBorders>
            <w:shd w:val="clear" w:color="auto" w:fill="auto"/>
            <w:hideMark/>
          </w:tcPr>
          <w:p w14:paraId="39C18B94" w14:textId="0382F9BF" w:rsidR="00C20AB4" w:rsidRPr="00A65799" w:rsidRDefault="00C20AB4" w:rsidP="008D13DA">
            <w:pPr>
              <w:spacing w:before="60" w:after="60" w:line="240" w:lineRule="auto"/>
              <w:textAlignment w:val="baseline"/>
              <w:rPr>
                <w:rFonts w:cs="Arial"/>
                <w:sz w:val="18"/>
                <w:szCs w:val="18"/>
                <w:lang w:val="en-NZ" w:eastAsia="en-NZ"/>
              </w:rPr>
            </w:pPr>
            <w:r w:rsidRPr="58911DBF">
              <w:rPr>
                <w:rFonts w:cs="Arial"/>
                <w:b/>
                <w:bCs/>
                <w:sz w:val="18"/>
                <w:szCs w:val="18"/>
                <w:lang w:eastAsia="en-NZ"/>
              </w:rPr>
              <w:t xml:space="preserve">Option 3: </w:t>
            </w:r>
            <w:r w:rsidRPr="58911DBF">
              <w:rPr>
                <w:rFonts w:cs="Arial"/>
                <w:sz w:val="18"/>
                <w:szCs w:val="18"/>
                <w:lang w:eastAsia="en-NZ"/>
              </w:rPr>
              <w:t>‘</w:t>
            </w:r>
            <w:r w:rsidR="00A65799" w:rsidRPr="58911DBF">
              <w:rPr>
                <w:rFonts w:cs="Arial"/>
                <w:sz w:val="18"/>
                <w:szCs w:val="18"/>
                <w:lang w:eastAsia="en-NZ"/>
              </w:rPr>
              <w:t>p</w:t>
            </w:r>
            <w:r w:rsidRPr="58911DBF">
              <w:rPr>
                <w:rFonts w:cs="Arial"/>
                <w:sz w:val="18"/>
                <w:szCs w:val="18"/>
                <w:lang w:eastAsia="en-NZ"/>
              </w:rPr>
              <w:t>lain packaging’ approach</w:t>
            </w:r>
          </w:p>
        </w:tc>
      </w:tr>
      <w:tr w:rsidR="00C20AB4" w:rsidRPr="00C20AB4" w14:paraId="563C5D48" w14:textId="77777777" w:rsidTr="5DA8A6DE">
        <w:trPr>
          <w:trHeight w:val="60"/>
        </w:trPr>
        <w:tc>
          <w:tcPr>
            <w:tcW w:w="1260" w:type="dxa"/>
            <w:tcBorders>
              <w:top w:val="single" w:sz="6" w:space="0" w:color="auto"/>
              <w:left w:val="nil"/>
              <w:bottom w:val="single" w:sz="6" w:space="0" w:color="auto"/>
              <w:right w:val="nil"/>
            </w:tcBorders>
            <w:shd w:val="clear" w:color="auto" w:fill="auto"/>
            <w:hideMark/>
          </w:tcPr>
          <w:p w14:paraId="1B1DDE40" w14:textId="77777777"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sz w:val="18"/>
                <w:szCs w:val="18"/>
                <w:lang w:eastAsia="en-NZ"/>
              </w:rPr>
              <w:t>Pros</w:t>
            </w:r>
            <w:r w:rsidRPr="00A65799">
              <w:rPr>
                <w:rFonts w:cs="Arial"/>
                <w:sz w:val="18"/>
                <w:szCs w:val="18"/>
                <w:lang w:val="en-NZ" w:eastAsia="en-NZ"/>
              </w:rPr>
              <w:t> </w:t>
            </w:r>
          </w:p>
        </w:tc>
        <w:tc>
          <w:tcPr>
            <w:tcW w:w="2284" w:type="dxa"/>
            <w:tcBorders>
              <w:top w:val="single" w:sz="6" w:space="0" w:color="auto"/>
              <w:left w:val="nil"/>
              <w:bottom w:val="single" w:sz="6" w:space="0" w:color="auto"/>
              <w:right w:val="nil"/>
            </w:tcBorders>
            <w:shd w:val="clear" w:color="auto" w:fill="auto"/>
            <w:hideMark/>
          </w:tcPr>
          <w:p w14:paraId="63E4052E" w14:textId="6683A623"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sz w:val="18"/>
                <w:szCs w:val="18"/>
                <w:lang w:eastAsia="en-NZ"/>
              </w:rPr>
              <w:t>No product changes for adult users</w:t>
            </w:r>
          </w:p>
          <w:p w14:paraId="3DA79DF0" w14:textId="480AEF1A"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sz w:val="18"/>
                <w:szCs w:val="18"/>
                <w:lang w:eastAsia="en-NZ"/>
              </w:rPr>
              <w:t>No additional costs to business or government</w:t>
            </w:r>
          </w:p>
          <w:p w14:paraId="6262CD10" w14:textId="77777777"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sz w:val="18"/>
                <w:szCs w:val="18"/>
                <w:lang w:val="en-NZ" w:eastAsia="en-NZ"/>
              </w:rPr>
              <w:t> </w:t>
            </w:r>
          </w:p>
        </w:tc>
        <w:tc>
          <w:tcPr>
            <w:tcW w:w="2815" w:type="dxa"/>
            <w:tcBorders>
              <w:top w:val="single" w:sz="6" w:space="0" w:color="auto"/>
              <w:left w:val="nil"/>
              <w:bottom w:val="single" w:sz="6" w:space="0" w:color="auto"/>
              <w:right w:val="nil"/>
            </w:tcBorders>
            <w:shd w:val="clear" w:color="auto" w:fill="auto"/>
            <w:hideMark/>
          </w:tcPr>
          <w:p w14:paraId="0361C698" w14:textId="12C9E122"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sz w:val="18"/>
                <w:szCs w:val="18"/>
                <w:lang w:eastAsia="en-NZ"/>
              </w:rPr>
              <w:t>Products appear less fun and interesting </w:t>
            </w:r>
            <w:r w:rsidR="7E6215F9" w:rsidRPr="42DC29A7">
              <w:rPr>
                <w:rFonts w:cs="Arial"/>
                <w:sz w:val="18"/>
                <w:szCs w:val="18"/>
                <w:lang w:eastAsia="en-NZ"/>
              </w:rPr>
              <w:t>to youth</w:t>
            </w:r>
          </w:p>
          <w:p w14:paraId="590C5849" w14:textId="4D0C1D55"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sz w:val="18"/>
                <w:szCs w:val="18"/>
                <w:lang w:eastAsia="en-NZ"/>
              </w:rPr>
              <w:t>Young people less susceptible to using the products</w:t>
            </w:r>
          </w:p>
          <w:p w14:paraId="58BA6AE3" w14:textId="77777777" w:rsidR="00C20AB4" w:rsidRDefault="00C20AB4" w:rsidP="008D13DA">
            <w:pPr>
              <w:spacing w:before="60" w:after="60" w:line="240" w:lineRule="auto"/>
              <w:textAlignment w:val="baseline"/>
              <w:rPr>
                <w:rFonts w:cs="Arial"/>
                <w:sz w:val="18"/>
                <w:szCs w:val="18"/>
                <w:lang w:eastAsia="en-NZ"/>
              </w:rPr>
            </w:pPr>
            <w:r w:rsidRPr="00A65799">
              <w:rPr>
                <w:rFonts w:cs="Arial"/>
                <w:sz w:val="18"/>
                <w:szCs w:val="18"/>
                <w:lang w:eastAsia="en-NZ"/>
              </w:rPr>
              <w:t xml:space="preserve">Vaping products are unlikely to be seen as </w:t>
            </w:r>
            <w:r w:rsidR="00781398">
              <w:rPr>
                <w:rFonts w:cs="Arial"/>
                <w:sz w:val="18"/>
                <w:szCs w:val="18"/>
                <w:lang w:eastAsia="en-NZ"/>
              </w:rPr>
              <w:t>exciting</w:t>
            </w:r>
            <w:r w:rsidRPr="00A65799">
              <w:rPr>
                <w:rFonts w:cs="Arial"/>
                <w:sz w:val="18"/>
                <w:szCs w:val="18"/>
                <w:lang w:eastAsia="en-NZ"/>
              </w:rPr>
              <w:t xml:space="preserve"> consumer products</w:t>
            </w:r>
          </w:p>
          <w:p w14:paraId="49A3C2A8" w14:textId="4FE2EDBD" w:rsidR="0027739D" w:rsidRPr="00A65799" w:rsidRDefault="00CB02BE" w:rsidP="008D13DA">
            <w:pPr>
              <w:spacing w:before="60" w:after="60" w:line="240" w:lineRule="auto"/>
              <w:textAlignment w:val="baseline"/>
              <w:rPr>
                <w:rFonts w:cs="Arial"/>
                <w:sz w:val="18"/>
                <w:szCs w:val="18"/>
                <w:lang w:val="en-NZ" w:eastAsia="en-NZ"/>
              </w:rPr>
            </w:pPr>
            <w:r>
              <w:rPr>
                <w:rFonts w:cs="Arial"/>
                <w:sz w:val="18"/>
                <w:szCs w:val="18"/>
                <w:lang w:eastAsia="en-NZ"/>
              </w:rPr>
              <w:t>Product f</w:t>
            </w:r>
            <w:r w:rsidR="00783A5C">
              <w:rPr>
                <w:rFonts w:cs="Arial"/>
                <w:sz w:val="18"/>
                <w:szCs w:val="18"/>
                <w:lang w:eastAsia="en-NZ"/>
              </w:rPr>
              <w:t>lavours accurately described</w:t>
            </w:r>
          </w:p>
        </w:tc>
        <w:tc>
          <w:tcPr>
            <w:tcW w:w="2671" w:type="dxa"/>
            <w:tcBorders>
              <w:top w:val="single" w:sz="6" w:space="0" w:color="auto"/>
              <w:left w:val="nil"/>
              <w:bottom w:val="single" w:sz="6" w:space="0" w:color="auto"/>
              <w:right w:val="nil"/>
            </w:tcBorders>
            <w:shd w:val="clear" w:color="auto" w:fill="auto"/>
            <w:hideMark/>
          </w:tcPr>
          <w:p w14:paraId="2A6F9494" w14:textId="30FDE932"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sz w:val="18"/>
                <w:szCs w:val="18"/>
                <w:lang w:eastAsia="en-NZ"/>
              </w:rPr>
              <w:t>Products appear less fun and interesting</w:t>
            </w:r>
            <w:r w:rsidR="3399BBF1" w:rsidRPr="42DC29A7">
              <w:rPr>
                <w:rFonts w:cs="Arial"/>
                <w:sz w:val="18"/>
                <w:szCs w:val="18"/>
                <w:lang w:eastAsia="en-NZ"/>
              </w:rPr>
              <w:t xml:space="preserve"> to youth</w:t>
            </w:r>
          </w:p>
          <w:p w14:paraId="15A3BAAC" w14:textId="1C6C4685"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sz w:val="18"/>
                <w:szCs w:val="18"/>
                <w:lang w:eastAsia="en-NZ"/>
              </w:rPr>
              <w:t>Young people less susceptible to using the products</w:t>
            </w:r>
          </w:p>
          <w:p w14:paraId="453D2835" w14:textId="2B8DC8FA"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sz w:val="18"/>
                <w:szCs w:val="18"/>
                <w:lang w:eastAsia="en-NZ"/>
              </w:rPr>
              <w:t>Vaping products are unlikely to be seen as normal consumer products</w:t>
            </w:r>
          </w:p>
        </w:tc>
      </w:tr>
      <w:tr w:rsidR="00C20AB4" w:rsidRPr="00C20AB4" w14:paraId="62DCD54C" w14:textId="77777777" w:rsidTr="5DA8A6DE">
        <w:trPr>
          <w:trHeight w:val="60"/>
        </w:trPr>
        <w:tc>
          <w:tcPr>
            <w:tcW w:w="1260" w:type="dxa"/>
            <w:tcBorders>
              <w:top w:val="single" w:sz="6" w:space="0" w:color="auto"/>
              <w:left w:val="nil"/>
              <w:bottom w:val="single" w:sz="6" w:space="0" w:color="auto"/>
              <w:right w:val="nil"/>
            </w:tcBorders>
            <w:shd w:val="clear" w:color="auto" w:fill="auto"/>
            <w:hideMark/>
          </w:tcPr>
          <w:p w14:paraId="64D37FCD" w14:textId="77777777"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sz w:val="18"/>
                <w:szCs w:val="18"/>
                <w:lang w:eastAsia="en-NZ"/>
              </w:rPr>
              <w:t>Cons</w:t>
            </w:r>
            <w:r w:rsidRPr="00A65799">
              <w:rPr>
                <w:rFonts w:cs="Arial"/>
                <w:sz w:val="18"/>
                <w:szCs w:val="18"/>
                <w:lang w:val="en-NZ" w:eastAsia="en-NZ"/>
              </w:rPr>
              <w:t> </w:t>
            </w:r>
          </w:p>
        </w:tc>
        <w:tc>
          <w:tcPr>
            <w:tcW w:w="2284" w:type="dxa"/>
            <w:tcBorders>
              <w:top w:val="single" w:sz="6" w:space="0" w:color="auto"/>
              <w:left w:val="nil"/>
              <w:bottom w:val="single" w:sz="6" w:space="0" w:color="auto"/>
              <w:right w:val="nil"/>
            </w:tcBorders>
            <w:shd w:val="clear" w:color="auto" w:fill="auto"/>
            <w:hideMark/>
          </w:tcPr>
          <w:p w14:paraId="158B9A92" w14:textId="55D9753B" w:rsidR="00C20AB4" w:rsidRDefault="00C20AB4" w:rsidP="008D13DA">
            <w:pPr>
              <w:spacing w:before="60" w:after="60" w:line="240" w:lineRule="auto"/>
              <w:textAlignment w:val="baseline"/>
              <w:rPr>
                <w:rFonts w:cs="Arial"/>
                <w:sz w:val="18"/>
                <w:szCs w:val="18"/>
                <w:lang w:eastAsia="en-NZ"/>
              </w:rPr>
            </w:pPr>
            <w:r w:rsidRPr="61A924D9">
              <w:rPr>
                <w:rFonts w:cs="Arial"/>
                <w:sz w:val="18"/>
                <w:szCs w:val="18"/>
                <w:lang w:eastAsia="en-NZ"/>
              </w:rPr>
              <w:t xml:space="preserve">Products described in such a way that </w:t>
            </w:r>
            <w:r w:rsidR="24115AB3" w:rsidRPr="61A924D9">
              <w:rPr>
                <w:rFonts w:cs="Arial"/>
                <w:sz w:val="18"/>
                <w:szCs w:val="18"/>
                <w:lang w:eastAsia="en-NZ"/>
              </w:rPr>
              <w:t xml:space="preserve">may be </w:t>
            </w:r>
            <w:r w:rsidRPr="61A924D9">
              <w:rPr>
                <w:rFonts w:cs="Arial"/>
                <w:sz w:val="18"/>
                <w:szCs w:val="18"/>
                <w:lang w:eastAsia="en-NZ"/>
              </w:rPr>
              <w:t>appealing to youth</w:t>
            </w:r>
          </w:p>
          <w:p w14:paraId="039836A6" w14:textId="65153079" w:rsidR="00B44FB4" w:rsidRPr="00A65799" w:rsidRDefault="00B44FB4" w:rsidP="008D13DA">
            <w:pPr>
              <w:spacing w:before="60" w:after="60" w:line="240" w:lineRule="auto"/>
              <w:textAlignment w:val="baseline"/>
              <w:rPr>
                <w:rFonts w:cs="Arial"/>
                <w:sz w:val="18"/>
                <w:szCs w:val="18"/>
                <w:lang w:val="en-NZ" w:eastAsia="en-NZ"/>
              </w:rPr>
            </w:pPr>
            <w:r>
              <w:rPr>
                <w:rFonts w:cs="Arial"/>
                <w:sz w:val="18"/>
                <w:szCs w:val="18"/>
                <w:lang w:eastAsia="en-NZ"/>
              </w:rPr>
              <w:t>Products</w:t>
            </w:r>
            <w:r w:rsidR="00084836">
              <w:rPr>
                <w:rFonts w:cs="Arial"/>
                <w:sz w:val="18"/>
                <w:szCs w:val="18"/>
                <w:lang w:eastAsia="en-NZ"/>
              </w:rPr>
              <w:t xml:space="preserve"> </w:t>
            </w:r>
            <w:r>
              <w:rPr>
                <w:rFonts w:cs="Arial"/>
                <w:sz w:val="18"/>
                <w:szCs w:val="18"/>
                <w:lang w:eastAsia="en-NZ"/>
              </w:rPr>
              <w:t>continue to appeal to youth</w:t>
            </w:r>
          </w:p>
        </w:tc>
        <w:tc>
          <w:tcPr>
            <w:tcW w:w="2815" w:type="dxa"/>
            <w:tcBorders>
              <w:top w:val="single" w:sz="6" w:space="0" w:color="auto"/>
              <w:left w:val="nil"/>
              <w:bottom w:val="single" w:sz="6" w:space="0" w:color="auto"/>
              <w:right w:val="nil"/>
            </w:tcBorders>
            <w:shd w:val="clear" w:color="auto" w:fill="auto"/>
            <w:hideMark/>
          </w:tcPr>
          <w:p w14:paraId="08DE0D81" w14:textId="4030873D" w:rsidR="00C20AB4" w:rsidRPr="00A65799" w:rsidRDefault="0583718F" w:rsidP="008D13DA">
            <w:pPr>
              <w:spacing w:before="60" w:after="60" w:line="240" w:lineRule="auto"/>
              <w:textAlignment w:val="baseline"/>
              <w:rPr>
                <w:rFonts w:cs="Arial"/>
                <w:sz w:val="18"/>
                <w:szCs w:val="18"/>
                <w:lang w:val="en-NZ" w:eastAsia="en-NZ"/>
              </w:rPr>
            </w:pPr>
            <w:r w:rsidRPr="33A45F9F">
              <w:rPr>
                <w:rFonts w:cs="Arial"/>
                <w:sz w:val="18"/>
                <w:szCs w:val="18"/>
                <w:lang w:eastAsia="en-NZ"/>
              </w:rPr>
              <w:t>Compliance costs to industry</w:t>
            </w:r>
            <w:r w:rsidR="00AF136E">
              <w:rPr>
                <w:rFonts w:cs="Arial"/>
                <w:sz w:val="18"/>
                <w:szCs w:val="18"/>
                <w:lang w:eastAsia="en-NZ"/>
              </w:rPr>
              <w:t xml:space="preserve"> from adjusting packaging</w:t>
            </w:r>
          </w:p>
          <w:p w14:paraId="49B8BA99" w14:textId="210C7869"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sz w:val="18"/>
                <w:szCs w:val="18"/>
                <w:lang w:eastAsia="en-NZ"/>
              </w:rPr>
              <w:t>Restricts freedom of expression in relation to commercial activity</w:t>
            </w:r>
          </w:p>
          <w:p w14:paraId="4EDB4F6B" w14:textId="6F436E03"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sz w:val="18"/>
                <w:szCs w:val="18"/>
                <w:lang w:eastAsia="en-NZ"/>
              </w:rPr>
              <w:t>Doesn’t prevent manufacturers from referencing the description names on their websites (this is somewhat mitigated by the Consumer Guarantees Act which requires that a product must match its description)</w:t>
            </w:r>
          </w:p>
        </w:tc>
        <w:tc>
          <w:tcPr>
            <w:tcW w:w="2671" w:type="dxa"/>
            <w:tcBorders>
              <w:top w:val="single" w:sz="6" w:space="0" w:color="auto"/>
              <w:left w:val="nil"/>
              <w:bottom w:val="single" w:sz="6" w:space="0" w:color="auto"/>
              <w:right w:val="nil"/>
            </w:tcBorders>
            <w:shd w:val="clear" w:color="auto" w:fill="auto"/>
            <w:hideMark/>
          </w:tcPr>
          <w:p w14:paraId="4E829722" w14:textId="2125658D"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sz w:val="18"/>
                <w:szCs w:val="18"/>
                <w:lang w:eastAsia="en-NZ"/>
              </w:rPr>
              <w:t xml:space="preserve">Packaging may be less appealing to </w:t>
            </w:r>
            <w:r w:rsidR="4E256777" w:rsidRPr="42DC29A7">
              <w:rPr>
                <w:rFonts w:cs="Arial"/>
                <w:sz w:val="18"/>
                <w:szCs w:val="18"/>
                <w:lang w:eastAsia="en-NZ"/>
              </w:rPr>
              <w:t xml:space="preserve">adults </w:t>
            </w:r>
            <w:r w:rsidRPr="00A65799">
              <w:rPr>
                <w:rFonts w:cs="Arial"/>
                <w:sz w:val="18"/>
                <w:szCs w:val="18"/>
                <w:lang w:eastAsia="en-NZ"/>
              </w:rPr>
              <w:t>wishing to switch to a less harmful product</w:t>
            </w:r>
          </w:p>
          <w:p w14:paraId="02ECD656" w14:textId="744BE8E3"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sz w:val="18"/>
                <w:szCs w:val="18"/>
                <w:lang w:eastAsia="en-NZ"/>
              </w:rPr>
              <w:t>Compliance costs to industry</w:t>
            </w:r>
            <w:r w:rsidR="00B63C9F">
              <w:rPr>
                <w:rFonts w:cs="Arial"/>
                <w:sz w:val="18"/>
                <w:szCs w:val="18"/>
                <w:lang w:eastAsia="en-NZ"/>
              </w:rPr>
              <w:t xml:space="preserve"> from adjusting packaging</w:t>
            </w:r>
            <w:r w:rsidRPr="00A65799">
              <w:rPr>
                <w:rFonts w:cs="Arial"/>
                <w:sz w:val="18"/>
                <w:szCs w:val="18"/>
                <w:lang w:val="en-NZ" w:eastAsia="en-NZ"/>
              </w:rPr>
              <w:t> </w:t>
            </w:r>
          </w:p>
          <w:p w14:paraId="52E752B2" w14:textId="40D3ABB9"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sz w:val="18"/>
                <w:szCs w:val="18"/>
                <w:lang w:eastAsia="en-NZ"/>
              </w:rPr>
              <w:t>Restricts freedom of expression in relation to commercial activity</w:t>
            </w:r>
          </w:p>
          <w:p w14:paraId="0F5C4C03" w14:textId="77777777" w:rsidR="00C20AB4" w:rsidRPr="00A65799" w:rsidRDefault="00C20AB4" w:rsidP="008D13DA">
            <w:pPr>
              <w:spacing w:before="60" w:after="60" w:line="240" w:lineRule="auto"/>
              <w:textAlignment w:val="baseline"/>
              <w:rPr>
                <w:rFonts w:cs="Arial"/>
                <w:sz w:val="18"/>
                <w:szCs w:val="18"/>
                <w:lang w:val="en-NZ" w:eastAsia="en-NZ"/>
              </w:rPr>
            </w:pPr>
            <w:r w:rsidRPr="00A65799">
              <w:rPr>
                <w:rFonts w:cs="Arial"/>
                <w:sz w:val="18"/>
                <w:szCs w:val="18"/>
                <w:lang w:eastAsia="en-NZ"/>
              </w:rPr>
              <w:t>Doesn’t prevent manufacturers from referencing the description names on their websites (this is somewhat mitigated by the Consumer Guarantees Act which requires that a product must match its description)</w:t>
            </w:r>
            <w:r w:rsidRPr="00A65799">
              <w:rPr>
                <w:rFonts w:cs="Arial"/>
                <w:sz w:val="18"/>
                <w:szCs w:val="18"/>
                <w:lang w:val="en-NZ" w:eastAsia="en-NZ"/>
              </w:rPr>
              <w:t> </w:t>
            </w:r>
          </w:p>
        </w:tc>
      </w:tr>
    </w:tbl>
    <w:p w14:paraId="42ECB9FF" w14:textId="66BBC34C" w:rsidR="006745EF" w:rsidRPr="006637EB" w:rsidRDefault="006745EF" w:rsidP="006637EB">
      <w:pPr>
        <w:spacing w:after="0" w:line="240" w:lineRule="auto"/>
        <w:textAlignment w:val="baseline"/>
        <w:rPr>
          <w:rFonts w:ascii="Segoe UI" w:hAnsi="Segoe UI" w:cs="Segoe UI"/>
          <w:sz w:val="18"/>
          <w:szCs w:val="18"/>
          <w:lang w:val="en-NZ" w:eastAsia="en-NZ"/>
        </w:rPr>
        <w:sectPr w:rsidR="006745EF" w:rsidRPr="006637EB" w:rsidSect="00150D58">
          <w:headerReference w:type="even" r:id="rId42"/>
          <w:headerReference w:type="default" r:id="rId43"/>
          <w:footerReference w:type="even" r:id="rId44"/>
          <w:footerReference w:type="default" r:id="rId45"/>
          <w:pgSz w:w="11906" w:h="16838" w:code="9"/>
          <w:pgMar w:top="1134" w:right="1418" w:bottom="992" w:left="1418" w:header="454" w:footer="454" w:gutter="0"/>
          <w:cols w:space="708"/>
          <w:docGrid w:linePitch="360"/>
        </w:sectPr>
      </w:pPr>
    </w:p>
    <w:p w14:paraId="250AFB78" w14:textId="2AB36D4A" w:rsidR="00493D1F" w:rsidRPr="00493D1F" w:rsidRDefault="00FF04EC" w:rsidP="10D53B77">
      <w:pPr>
        <w:pStyle w:val="Heading3"/>
        <w:rPr>
          <w:lang w:val="en-NZ"/>
        </w:rPr>
      </w:pPr>
      <w:r w:rsidRPr="10D53B77">
        <w:rPr>
          <w:lang w:val="en-NZ"/>
        </w:rPr>
        <w:t>How do the options compare to the status quo/counterfactual?</w:t>
      </w:r>
    </w:p>
    <w:tbl>
      <w:tblPr>
        <w:tblW w:w="1380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8"/>
        <w:gridCol w:w="3803"/>
        <w:gridCol w:w="4239"/>
        <w:gridCol w:w="4000"/>
      </w:tblGrid>
      <w:tr w:rsidR="00493D1F" w:rsidRPr="00493D1F" w14:paraId="21511D61" w14:textId="77777777" w:rsidTr="1B502AF9">
        <w:trPr>
          <w:trHeight w:val="576"/>
        </w:trPr>
        <w:tc>
          <w:tcPr>
            <w:tcW w:w="177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31DCDC9E" w14:textId="77777777" w:rsidR="00493D1F" w:rsidRPr="00493D1F" w:rsidRDefault="00493D1F" w:rsidP="00493D1F">
            <w:pPr>
              <w:spacing w:after="0" w:line="240" w:lineRule="auto"/>
              <w:jc w:val="center"/>
              <w:textAlignment w:val="baseline"/>
              <w:rPr>
                <w:rFonts w:ascii="Segoe UI" w:hAnsi="Segoe UI" w:cs="Segoe UI"/>
                <w:sz w:val="18"/>
                <w:szCs w:val="18"/>
                <w:lang w:val="en-NZ" w:eastAsia="en-NZ"/>
              </w:rPr>
            </w:pPr>
            <w:r w:rsidRPr="00493D1F">
              <w:rPr>
                <w:rFonts w:cs="Arial"/>
                <w:color w:val="FFFFFF"/>
                <w:sz w:val="20"/>
                <w:lang w:val="en-NZ" w:eastAsia="en-NZ"/>
              </w:rPr>
              <w:t> </w:t>
            </w:r>
          </w:p>
        </w:tc>
        <w:tc>
          <w:tcPr>
            <w:tcW w:w="409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010860CF" w14:textId="37E118B7" w:rsidR="00493D1F" w:rsidRPr="00493D1F" w:rsidRDefault="54497ADD" w:rsidP="00493D1F">
            <w:pPr>
              <w:spacing w:after="0" w:line="240" w:lineRule="auto"/>
              <w:jc w:val="center"/>
              <w:textAlignment w:val="baseline"/>
              <w:rPr>
                <w:rFonts w:ascii="Segoe UI" w:hAnsi="Segoe UI" w:cs="Segoe UI"/>
                <w:sz w:val="18"/>
                <w:szCs w:val="18"/>
                <w:lang w:val="en-NZ" w:eastAsia="en-NZ"/>
              </w:rPr>
            </w:pPr>
            <w:r w:rsidRPr="53D6C2BE">
              <w:rPr>
                <w:rFonts w:cs="Arial"/>
                <w:b/>
                <w:bCs/>
                <w:color w:val="000000" w:themeColor="text1"/>
                <w:lang w:val="en-NZ" w:eastAsia="en-NZ"/>
              </w:rPr>
              <w:t xml:space="preserve">Option </w:t>
            </w:r>
            <w:r w:rsidR="008B7786">
              <w:rPr>
                <w:rFonts w:cs="Arial"/>
                <w:b/>
                <w:bCs/>
                <w:color w:val="000000" w:themeColor="text1"/>
                <w:lang w:val="en-NZ" w:eastAsia="en-NZ"/>
              </w:rPr>
              <w:t>1</w:t>
            </w:r>
            <w:r w:rsidRPr="53D6C2BE">
              <w:rPr>
                <w:rFonts w:cs="Arial"/>
                <w:b/>
                <w:bCs/>
                <w:color w:val="000000" w:themeColor="text1"/>
                <w:lang w:val="en-NZ" w:eastAsia="en-NZ"/>
              </w:rPr>
              <w:t xml:space="preserve"> – Status </w:t>
            </w:r>
            <w:r w:rsidR="00887704">
              <w:rPr>
                <w:rFonts w:cs="Arial"/>
                <w:b/>
                <w:bCs/>
                <w:color w:val="000000" w:themeColor="text1"/>
                <w:lang w:val="en-NZ" w:eastAsia="en-NZ"/>
              </w:rPr>
              <w:t>q</w:t>
            </w:r>
            <w:r w:rsidRPr="53D6C2BE">
              <w:rPr>
                <w:rFonts w:cs="Arial"/>
                <w:b/>
                <w:bCs/>
                <w:color w:val="000000" w:themeColor="text1"/>
                <w:lang w:val="en-NZ" w:eastAsia="en-NZ"/>
              </w:rPr>
              <w:t>uo</w:t>
            </w:r>
          </w:p>
        </w:tc>
        <w:tc>
          <w:tcPr>
            <w:tcW w:w="453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39769CA6" w14:textId="0EEBD7FF" w:rsidR="00493D1F" w:rsidRPr="00493D1F" w:rsidRDefault="00493D1F" w:rsidP="00493D1F">
            <w:pPr>
              <w:spacing w:after="0" w:line="240" w:lineRule="auto"/>
              <w:jc w:val="center"/>
              <w:textAlignment w:val="baseline"/>
              <w:rPr>
                <w:rFonts w:ascii="Segoe UI" w:hAnsi="Segoe UI" w:cs="Segoe UI"/>
                <w:sz w:val="18"/>
                <w:szCs w:val="18"/>
                <w:lang w:val="en-NZ" w:eastAsia="en-NZ"/>
              </w:rPr>
            </w:pPr>
            <w:r w:rsidRPr="00493D1F">
              <w:rPr>
                <w:rFonts w:cs="Arial"/>
                <w:b/>
                <w:bCs/>
                <w:color w:val="000000"/>
                <w:szCs w:val="22"/>
                <w:lang w:val="en-NZ" w:eastAsia="en-NZ"/>
              </w:rPr>
              <w:t xml:space="preserve">Option </w:t>
            </w:r>
            <w:r w:rsidR="008B7786">
              <w:rPr>
                <w:rFonts w:cs="Arial"/>
                <w:b/>
                <w:bCs/>
                <w:color w:val="000000"/>
                <w:szCs w:val="22"/>
                <w:lang w:val="en-NZ" w:eastAsia="en-NZ"/>
              </w:rPr>
              <w:t>2</w:t>
            </w:r>
            <w:r w:rsidRPr="00493D1F">
              <w:rPr>
                <w:rFonts w:cs="Arial"/>
                <w:b/>
                <w:bCs/>
                <w:color w:val="000000"/>
                <w:szCs w:val="22"/>
                <w:lang w:val="en-NZ" w:eastAsia="en-NZ"/>
              </w:rPr>
              <w:t xml:space="preserve"> – </w:t>
            </w:r>
            <w:r w:rsidR="00AC4862">
              <w:rPr>
                <w:rFonts w:cs="Arial"/>
                <w:b/>
                <w:bCs/>
                <w:color w:val="000000"/>
                <w:szCs w:val="22"/>
                <w:lang w:val="en-NZ" w:eastAsia="en-NZ"/>
              </w:rPr>
              <w:t>P</w:t>
            </w:r>
            <w:r w:rsidRPr="00493D1F">
              <w:rPr>
                <w:rFonts w:cs="Arial"/>
                <w:b/>
                <w:bCs/>
                <w:color w:val="000000"/>
                <w:szCs w:val="22"/>
                <w:lang w:val="en-NZ" w:eastAsia="en-NZ"/>
              </w:rPr>
              <w:t>ermitted flavour descriptions</w:t>
            </w:r>
          </w:p>
        </w:tc>
        <w:tc>
          <w:tcPr>
            <w:tcW w:w="4283"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16644FAB" w14:textId="4A0AB12B" w:rsidR="00493D1F" w:rsidRPr="00493D1F" w:rsidRDefault="00493D1F" w:rsidP="00493D1F">
            <w:pPr>
              <w:spacing w:after="0" w:line="240" w:lineRule="auto"/>
              <w:jc w:val="center"/>
              <w:textAlignment w:val="baseline"/>
              <w:rPr>
                <w:rFonts w:ascii="Segoe UI" w:hAnsi="Segoe UI" w:cs="Segoe UI"/>
                <w:sz w:val="18"/>
                <w:szCs w:val="18"/>
                <w:lang w:val="en-NZ" w:eastAsia="en-NZ"/>
              </w:rPr>
            </w:pPr>
            <w:r w:rsidRPr="00493D1F">
              <w:rPr>
                <w:rFonts w:cs="Arial"/>
                <w:b/>
                <w:bCs/>
                <w:color w:val="000000"/>
                <w:szCs w:val="22"/>
                <w:lang w:val="en-NZ" w:eastAsia="en-NZ"/>
              </w:rPr>
              <w:t xml:space="preserve">Option </w:t>
            </w:r>
            <w:r w:rsidR="008B7786">
              <w:rPr>
                <w:rFonts w:cs="Arial"/>
                <w:b/>
                <w:bCs/>
                <w:color w:val="000000"/>
                <w:szCs w:val="22"/>
                <w:lang w:val="en-NZ" w:eastAsia="en-NZ"/>
              </w:rPr>
              <w:t>3</w:t>
            </w:r>
            <w:r w:rsidRPr="00493D1F">
              <w:rPr>
                <w:rFonts w:cs="Arial"/>
                <w:b/>
                <w:bCs/>
                <w:color w:val="000000"/>
                <w:szCs w:val="22"/>
                <w:lang w:val="en-NZ" w:eastAsia="en-NZ"/>
              </w:rPr>
              <w:t xml:space="preserve"> – ‘Plain packaging’</w:t>
            </w:r>
          </w:p>
        </w:tc>
      </w:tr>
      <w:tr w:rsidR="004D5A84" w:rsidRPr="00493D1F" w14:paraId="6A71A15F" w14:textId="77777777" w:rsidTr="1B502AF9">
        <w:trPr>
          <w:trHeight w:val="615"/>
        </w:trPr>
        <w:tc>
          <w:tcPr>
            <w:tcW w:w="177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tcPr>
          <w:p w14:paraId="3F5C4387" w14:textId="21AB3C65" w:rsidR="004D5A84" w:rsidRDefault="00F93FD0" w:rsidP="00493D1F">
            <w:pPr>
              <w:spacing w:after="0" w:line="240" w:lineRule="auto"/>
              <w:jc w:val="center"/>
              <w:textAlignment w:val="baseline"/>
              <w:rPr>
                <w:rFonts w:cs="Arial"/>
                <w:b/>
                <w:bCs/>
                <w:color w:val="000000"/>
                <w:szCs w:val="22"/>
                <w:lang w:val="en-NZ" w:eastAsia="en-NZ"/>
              </w:rPr>
            </w:pPr>
            <w:r>
              <w:rPr>
                <w:rFonts w:cs="Arial"/>
                <w:b/>
                <w:bCs/>
                <w:color w:val="000000"/>
                <w:szCs w:val="22"/>
                <w:lang w:val="en-NZ" w:eastAsia="en-NZ"/>
              </w:rPr>
              <w:t>Reduces Ine</w:t>
            </w:r>
            <w:r w:rsidR="004D5A84">
              <w:rPr>
                <w:rFonts w:cs="Arial"/>
                <w:b/>
                <w:bCs/>
                <w:color w:val="000000"/>
                <w:szCs w:val="22"/>
                <w:lang w:val="en-NZ" w:eastAsia="en-NZ"/>
              </w:rPr>
              <w:t>quity</w:t>
            </w:r>
          </w:p>
        </w:tc>
        <w:tc>
          <w:tcPr>
            <w:tcW w:w="4095" w:type="dxa"/>
            <w:tcBorders>
              <w:top w:val="single" w:sz="6" w:space="0" w:color="DDDDDD"/>
              <w:left w:val="single" w:sz="6" w:space="0" w:color="DDDDDD"/>
              <w:bottom w:val="single" w:sz="6" w:space="0" w:color="DDDDDD"/>
              <w:right w:val="single" w:sz="6" w:space="0" w:color="DDDDDD"/>
            </w:tcBorders>
            <w:shd w:val="clear" w:color="auto" w:fill="auto"/>
            <w:vAlign w:val="center"/>
          </w:tcPr>
          <w:p w14:paraId="68976414" w14:textId="0FB28DB3" w:rsidR="004D5A84" w:rsidRPr="00493D1F" w:rsidRDefault="00A6060B" w:rsidP="10D53B77">
            <w:pPr>
              <w:spacing w:after="0" w:line="240" w:lineRule="auto"/>
              <w:jc w:val="center"/>
              <w:textAlignment w:val="baseline"/>
              <w:rPr>
                <w:rFonts w:cs="Arial"/>
                <w:sz w:val="20"/>
                <w:lang w:val="en-NZ" w:eastAsia="en-NZ"/>
              </w:rPr>
            </w:pPr>
            <w:r w:rsidRPr="10D53B77">
              <w:rPr>
                <w:rFonts w:cs="Arial"/>
                <w:sz w:val="20"/>
                <w:lang w:val="en-NZ" w:eastAsia="en-NZ"/>
              </w:rPr>
              <w:t>0</w:t>
            </w:r>
          </w:p>
          <w:p w14:paraId="5197759F" w14:textId="7BB097CC" w:rsidR="004D5A84" w:rsidRPr="00493D1F" w:rsidRDefault="3B318023" w:rsidP="10D53B77">
            <w:pPr>
              <w:spacing w:after="0" w:line="240" w:lineRule="auto"/>
              <w:jc w:val="center"/>
              <w:textAlignment w:val="baseline"/>
              <w:rPr>
                <w:rFonts w:cs="Arial"/>
                <w:sz w:val="18"/>
                <w:szCs w:val="18"/>
                <w:lang w:val="en-NZ" w:eastAsia="en-NZ"/>
              </w:rPr>
            </w:pPr>
            <w:r w:rsidRPr="10D53B77">
              <w:rPr>
                <w:rFonts w:cs="Arial"/>
                <w:sz w:val="18"/>
                <w:szCs w:val="18"/>
              </w:rPr>
              <w:t>Māori youth, particularly girls, have highest rate of regular and daily vaping.</w:t>
            </w:r>
          </w:p>
        </w:tc>
        <w:tc>
          <w:tcPr>
            <w:tcW w:w="453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3C958D2D" w14:textId="77777777" w:rsidR="008413E8" w:rsidRPr="007A6AF9" w:rsidRDefault="008413E8" w:rsidP="008413E8">
            <w:pPr>
              <w:spacing w:after="0" w:line="240" w:lineRule="auto"/>
              <w:jc w:val="center"/>
              <w:textAlignment w:val="baseline"/>
              <w:rPr>
                <w:rFonts w:cs="Arial"/>
                <w:sz w:val="18"/>
                <w:szCs w:val="18"/>
                <w:lang w:val="en-NZ" w:eastAsia="en-NZ"/>
              </w:rPr>
            </w:pPr>
            <w:r w:rsidRPr="007A6AF9">
              <w:rPr>
                <w:rFonts w:cs="Arial"/>
                <w:b/>
                <w:color w:val="00B050"/>
                <w:sz w:val="20"/>
                <w:szCs w:val="18"/>
              </w:rPr>
              <w:t>++</w:t>
            </w:r>
          </w:p>
          <w:p w14:paraId="3A883DF6" w14:textId="78F16DF7" w:rsidR="004D5A84" w:rsidRPr="008413E8" w:rsidRDefault="5CD20856" w:rsidP="33A45F9F">
            <w:pPr>
              <w:spacing w:after="0" w:line="240" w:lineRule="auto"/>
              <w:jc w:val="center"/>
              <w:textAlignment w:val="baseline"/>
              <w:rPr>
                <w:rFonts w:cs="Arial"/>
                <w:sz w:val="18"/>
                <w:szCs w:val="18"/>
              </w:rPr>
            </w:pPr>
            <w:r w:rsidRPr="53D6C2BE">
              <w:rPr>
                <w:rFonts w:cs="Arial"/>
                <w:sz w:val="18"/>
                <w:szCs w:val="18"/>
              </w:rPr>
              <w:t>R</w:t>
            </w:r>
            <w:r w:rsidR="7C3697CE" w:rsidRPr="53D6C2BE">
              <w:rPr>
                <w:rFonts w:cs="Arial"/>
                <w:sz w:val="18"/>
                <w:szCs w:val="18"/>
              </w:rPr>
              <w:t xml:space="preserve">educed youth appeal </w:t>
            </w:r>
            <w:r w:rsidR="00637C73">
              <w:rPr>
                <w:rFonts w:cs="Arial"/>
                <w:sz w:val="18"/>
                <w:szCs w:val="18"/>
              </w:rPr>
              <w:t>likely to</w:t>
            </w:r>
            <w:r w:rsidR="7C3697CE" w:rsidRPr="53D6C2BE">
              <w:rPr>
                <w:rFonts w:cs="Arial"/>
                <w:sz w:val="18"/>
                <w:szCs w:val="18"/>
              </w:rPr>
              <w:t xml:space="preserve"> reduce inequity gap.</w:t>
            </w:r>
          </w:p>
        </w:tc>
        <w:tc>
          <w:tcPr>
            <w:tcW w:w="4283" w:type="dxa"/>
            <w:tcBorders>
              <w:top w:val="single" w:sz="6" w:space="0" w:color="DDDDDD"/>
              <w:left w:val="single" w:sz="6" w:space="0" w:color="DDDDDD"/>
              <w:bottom w:val="single" w:sz="6" w:space="0" w:color="DDDDDD"/>
              <w:right w:val="single" w:sz="6" w:space="0" w:color="DDDDDD"/>
            </w:tcBorders>
            <w:shd w:val="clear" w:color="auto" w:fill="auto"/>
            <w:vAlign w:val="center"/>
          </w:tcPr>
          <w:p w14:paraId="6F8DBF86" w14:textId="57DDA37D" w:rsidR="004D5A84" w:rsidRDefault="008413E8" w:rsidP="008413E8">
            <w:pPr>
              <w:spacing w:after="0" w:line="240" w:lineRule="auto"/>
              <w:jc w:val="center"/>
              <w:textAlignment w:val="baseline"/>
              <w:rPr>
                <w:rFonts w:cs="Arial"/>
                <w:b/>
                <w:color w:val="00B050"/>
                <w:sz w:val="20"/>
                <w:szCs w:val="18"/>
              </w:rPr>
            </w:pPr>
            <w:r w:rsidRPr="007A6AF9">
              <w:rPr>
                <w:rFonts w:cs="Arial"/>
                <w:b/>
                <w:color w:val="00B050"/>
                <w:sz w:val="20"/>
                <w:szCs w:val="18"/>
              </w:rPr>
              <w:t>+</w:t>
            </w:r>
            <w:r w:rsidR="009E0339" w:rsidRPr="007A6AF9">
              <w:rPr>
                <w:rFonts w:cs="Arial"/>
                <w:b/>
                <w:color w:val="00B050"/>
                <w:sz w:val="20"/>
                <w:szCs w:val="18"/>
              </w:rPr>
              <w:t>+</w:t>
            </w:r>
          </w:p>
          <w:p w14:paraId="17BDE11C" w14:textId="61149F07" w:rsidR="008413E8" w:rsidRPr="008413E8" w:rsidRDefault="009E0339" w:rsidP="008413E8">
            <w:pPr>
              <w:spacing w:after="0" w:line="240" w:lineRule="auto"/>
              <w:jc w:val="center"/>
              <w:textAlignment w:val="baseline"/>
              <w:rPr>
                <w:rFonts w:cs="Arial"/>
                <w:sz w:val="18"/>
                <w:szCs w:val="18"/>
                <w:lang w:val="en-NZ" w:eastAsia="en-NZ"/>
              </w:rPr>
            </w:pPr>
            <w:r>
              <w:rPr>
                <w:rFonts w:cs="Arial"/>
                <w:bCs/>
                <w:sz w:val="18"/>
                <w:szCs w:val="16"/>
              </w:rPr>
              <w:t xml:space="preserve">Māori youth, particularly girls, have highest rate of regular and daily vaping, reduced youth appeal </w:t>
            </w:r>
            <w:r w:rsidR="00637C73">
              <w:rPr>
                <w:rFonts w:cs="Arial"/>
                <w:bCs/>
                <w:sz w:val="18"/>
                <w:szCs w:val="16"/>
              </w:rPr>
              <w:t xml:space="preserve">likely to </w:t>
            </w:r>
            <w:r>
              <w:rPr>
                <w:rFonts w:cs="Arial"/>
                <w:bCs/>
                <w:sz w:val="18"/>
                <w:szCs w:val="16"/>
              </w:rPr>
              <w:t>reduce inequity gap.</w:t>
            </w:r>
          </w:p>
        </w:tc>
      </w:tr>
      <w:tr w:rsidR="00493D1F" w:rsidRPr="00493D1F" w14:paraId="06BC4795" w14:textId="77777777" w:rsidTr="00521749">
        <w:trPr>
          <w:trHeight w:val="915"/>
        </w:trPr>
        <w:tc>
          <w:tcPr>
            <w:tcW w:w="177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3FE0C5F0" w14:textId="0F815EA4" w:rsidR="00493D1F" w:rsidRPr="00493D1F" w:rsidRDefault="00ED4D46" w:rsidP="68AE47F3">
            <w:pPr>
              <w:spacing w:after="0" w:line="240" w:lineRule="auto"/>
              <w:jc w:val="center"/>
              <w:textAlignment w:val="baseline"/>
              <w:rPr>
                <w:rFonts w:cs="Arial"/>
                <w:b/>
                <w:bCs/>
                <w:color w:val="000000" w:themeColor="text1"/>
                <w:lang w:val="en-NZ" w:eastAsia="en-NZ"/>
              </w:rPr>
            </w:pPr>
            <w:r w:rsidRPr="68AE47F3">
              <w:rPr>
                <w:rFonts w:cs="Arial"/>
                <w:b/>
                <w:bCs/>
                <w:color w:val="000000" w:themeColor="text1"/>
                <w:lang w:val="en-NZ" w:eastAsia="en-NZ"/>
              </w:rPr>
              <w:t>H</w:t>
            </w:r>
            <w:r w:rsidR="00493D1F" w:rsidRPr="68AE47F3">
              <w:rPr>
                <w:rFonts w:cs="Arial"/>
                <w:b/>
                <w:bCs/>
                <w:color w:val="000000" w:themeColor="text1"/>
                <w:lang w:val="en-NZ" w:eastAsia="en-NZ"/>
              </w:rPr>
              <w:t>arm</w:t>
            </w:r>
            <w:r w:rsidRPr="68AE47F3">
              <w:rPr>
                <w:rFonts w:cs="Arial"/>
                <w:b/>
                <w:bCs/>
                <w:color w:val="000000" w:themeColor="text1"/>
                <w:lang w:val="en-NZ" w:eastAsia="en-NZ"/>
              </w:rPr>
              <w:t xml:space="preserve"> prevention</w:t>
            </w:r>
          </w:p>
        </w:tc>
        <w:tc>
          <w:tcPr>
            <w:tcW w:w="4095"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00FBB89" w14:textId="14AD9494" w:rsidR="5A836B05" w:rsidRDefault="5A836B05" w:rsidP="749287D6">
            <w:pPr>
              <w:spacing w:after="0" w:line="240" w:lineRule="auto"/>
              <w:jc w:val="center"/>
              <w:rPr>
                <w:rFonts w:ascii="Segoe UI" w:hAnsi="Segoe UI" w:cs="Segoe UI"/>
                <w:sz w:val="18"/>
                <w:szCs w:val="18"/>
                <w:lang w:val="en-NZ" w:eastAsia="en-NZ"/>
              </w:rPr>
            </w:pPr>
            <w:r w:rsidRPr="749287D6">
              <w:rPr>
                <w:rFonts w:cs="Arial"/>
                <w:sz w:val="20"/>
                <w:lang w:val="en-NZ" w:eastAsia="en-NZ"/>
              </w:rPr>
              <w:t>0</w:t>
            </w:r>
          </w:p>
          <w:p w14:paraId="2D166EC4" w14:textId="14AD9494" w:rsidR="00493D1F" w:rsidRPr="00493D1F" w:rsidRDefault="6347EE92" w:rsidP="749287D6">
            <w:pPr>
              <w:spacing w:after="0" w:line="240" w:lineRule="auto"/>
              <w:jc w:val="center"/>
              <w:textAlignment w:val="baseline"/>
              <w:rPr>
                <w:rFonts w:cs="Arial"/>
                <w:sz w:val="18"/>
                <w:szCs w:val="18"/>
                <w:lang w:val="en-NZ" w:eastAsia="en-NZ"/>
              </w:rPr>
            </w:pPr>
            <w:r w:rsidRPr="749287D6">
              <w:rPr>
                <w:rFonts w:cs="Arial"/>
                <w:sz w:val="18"/>
                <w:szCs w:val="18"/>
                <w:lang w:val="en-NZ" w:eastAsia="en-NZ"/>
              </w:rPr>
              <w:t xml:space="preserve">Product names and packaging currently appear to be designed to appeal to </w:t>
            </w:r>
            <w:proofErr w:type="spellStart"/>
            <w:r w:rsidRPr="749287D6">
              <w:rPr>
                <w:rFonts w:cs="Arial"/>
                <w:sz w:val="18"/>
                <w:szCs w:val="18"/>
                <w:lang w:val="en-NZ" w:eastAsia="en-NZ"/>
              </w:rPr>
              <w:t>rangitahi</w:t>
            </w:r>
            <w:proofErr w:type="spellEnd"/>
            <w:r w:rsidRPr="749287D6">
              <w:rPr>
                <w:rFonts w:cs="Arial"/>
                <w:sz w:val="18"/>
                <w:szCs w:val="18"/>
                <w:lang w:val="en-NZ" w:eastAsia="en-NZ"/>
              </w:rPr>
              <w:t>.</w:t>
            </w:r>
          </w:p>
        </w:tc>
        <w:tc>
          <w:tcPr>
            <w:tcW w:w="453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0A4223B" w14:textId="15BCDBFC" w:rsidR="00493D1F" w:rsidRPr="00501D9C" w:rsidRDefault="00493D1F" w:rsidP="00493D1F">
            <w:pPr>
              <w:spacing w:after="0" w:line="240" w:lineRule="auto"/>
              <w:jc w:val="center"/>
              <w:textAlignment w:val="baseline"/>
              <w:rPr>
                <w:rFonts w:cs="Arial"/>
                <w:b/>
                <w:color w:val="00B050"/>
                <w:sz w:val="20"/>
                <w:szCs w:val="18"/>
              </w:rPr>
            </w:pPr>
            <w:r w:rsidRPr="00501D9C">
              <w:rPr>
                <w:rFonts w:cs="Arial"/>
                <w:b/>
                <w:color w:val="00B050"/>
                <w:sz w:val="20"/>
                <w:szCs w:val="18"/>
              </w:rPr>
              <w:t>++</w:t>
            </w:r>
            <w:r w:rsidRPr="00501D9C">
              <w:rPr>
                <w:rFonts w:cs="Arial"/>
                <w:sz w:val="18"/>
                <w:szCs w:val="18"/>
                <w:lang w:val="en-NZ" w:eastAsia="en-NZ"/>
              </w:rPr>
              <w:t> </w:t>
            </w:r>
          </w:p>
          <w:p w14:paraId="43C200C8" w14:textId="4D72E759" w:rsidR="00493D1F" w:rsidRPr="00493D1F" w:rsidRDefault="00493D1F" w:rsidP="00493D1F">
            <w:pPr>
              <w:spacing w:after="0" w:line="240" w:lineRule="auto"/>
              <w:jc w:val="center"/>
              <w:textAlignment w:val="baseline"/>
              <w:rPr>
                <w:rFonts w:ascii="Segoe UI" w:hAnsi="Segoe UI" w:cs="Segoe UI"/>
                <w:sz w:val="18"/>
                <w:szCs w:val="18"/>
                <w:lang w:val="en-NZ" w:eastAsia="en-NZ"/>
              </w:rPr>
            </w:pPr>
            <w:r w:rsidRPr="00493D1F">
              <w:rPr>
                <w:rFonts w:cs="Arial"/>
                <w:sz w:val="18"/>
                <w:szCs w:val="18"/>
                <w:lang w:val="en-NZ" w:eastAsia="en-NZ"/>
              </w:rPr>
              <w:t>Reduces appeal to youth and therefore uptake while not limiting access to those who wish to quit</w:t>
            </w:r>
            <w:r w:rsidR="007D3D63">
              <w:rPr>
                <w:rFonts w:cs="Arial"/>
                <w:sz w:val="18"/>
                <w:szCs w:val="18"/>
                <w:lang w:val="en-NZ" w:eastAsia="en-NZ"/>
              </w:rPr>
              <w:t>.</w:t>
            </w:r>
          </w:p>
        </w:tc>
        <w:tc>
          <w:tcPr>
            <w:tcW w:w="4283"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7DB9DB2" w14:textId="77777777" w:rsidR="001F72A8" w:rsidRPr="00501D9C" w:rsidRDefault="001F72A8" w:rsidP="001F72A8">
            <w:pPr>
              <w:spacing w:after="0" w:line="240" w:lineRule="auto"/>
              <w:jc w:val="center"/>
              <w:textAlignment w:val="baseline"/>
              <w:rPr>
                <w:rFonts w:cs="Arial"/>
                <w:b/>
                <w:color w:val="00B050"/>
                <w:sz w:val="20"/>
                <w:szCs w:val="18"/>
              </w:rPr>
            </w:pPr>
            <w:r w:rsidRPr="00501D9C">
              <w:rPr>
                <w:rFonts w:cs="Arial"/>
                <w:b/>
                <w:color w:val="00B050"/>
                <w:sz w:val="20"/>
                <w:szCs w:val="18"/>
              </w:rPr>
              <w:t>+</w:t>
            </w:r>
          </w:p>
          <w:p w14:paraId="443A2C24" w14:textId="55CB1165" w:rsidR="00493D1F" w:rsidRPr="00493D1F" w:rsidRDefault="00493D1F" w:rsidP="00493D1F">
            <w:pPr>
              <w:spacing w:after="0" w:line="240" w:lineRule="auto"/>
              <w:jc w:val="center"/>
              <w:textAlignment w:val="baseline"/>
              <w:rPr>
                <w:rFonts w:cs="Arial"/>
                <w:b/>
                <w:color w:val="00B050"/>
              </w:rPr>
            </w:pPr>
            <w:r w:rsidRPr="00493D1F">
              <w:rPr>
                <w:rFonts w:cs="Arial"/>
                <w:sz w:val="18"/>
                <w:szCs w:val="18"/>
                <w:lang w:val="en-NZ" w:eastAsia="en-NZ"/>
              </w:rPr>
              <w:t>Reduces appeal to youth but may</w:t>
            </w:r>
            <w:r w:rsidR="00D418D6">
              <w:rPr>
                <w:rFonts w:cs="Arial"/>
                <w:sz w:val="18"/>
                <w:szCs w:val="18"/>
                <w:lang w:val="en-NZ" w:eastAsia="en-NZ"/>
              </w:rPr>
              <w:t xml:space="preserve"> also</w:t>
            </w:r>
            <w:r w:rsidRPr="00493D1F">
              <w:rPr>
                <w:rFonts w:cs="Arial"/>
                <w:sz w:val="18"/>
                <w:szCs w:val="18"/>
                <w:lang w:val="en-NZ" w:eastAsia="en-NZ"/>
              </w:rPr>
              <w:t xml:space="preserve"> impact on </w:t>
            </w:r>
            <w:r w:rsidR="00D418D6">
              <w:rPr>
                <w:rFonts w:cs="Arial"/>
                <w:sz w:val="18"/>
                <w:szCs w:val="18"/>
                <w:lang w:val="en-NZ" w:eastAsia="en-NZ"/>
              </w:rPr>
              <w:t>appeal</w:t>
            </w:r>
            <w:r w:rsidRPr="00493D1F">
              <w:rPr>
                <w:rFonts w:cs="Arial"/>
                <w:sz w:val="18"/>
                <w:szCs w:val="18"/>
                <w:lang w:val="en-NZ" w:eastAsia="en-NZ"/>
              </w:rPr>
              <w:t xml:space="preserve"> to those</w:t>
            </w:r>
            <w:r w:rsidR="00D418D6">
              <w:rPr>
                <w:rFonts w:cs="Arial"/>
                <w:sz w:val="18"/>
                <w:szCs w:val="18"/>
                <w:lang w:val="en-NZ" w:eastAsia="en-NZ"/>
              </w:rPr>
              <w:t xml:space="preserve"> adults</w:t>
            </w:r>
            <w:r w:rsidRPr="00493D1F">
              <w:rPr>
                <w:rFonts w:cs="Arial"/>
                <w:sz w:val="18"/>
                <w:szCs w:val="18"/>
                <w:lang w:val="en-NZ" w:eastAsia="en-NZ"/>
              </w:rPr>
              <w:t xml:space="preserve"> wishing to quit</w:t>
            </w:r>
            <w:r w:rsidR="007D3D63">
              <w:rPr>
                <w:rFonts w:cs="Arial"/>
                <w:sz w:val="18"/>
                <w:szCs w:val="18"/>
                <w:lang w:val="en-NZ" w:eastAsia="en-NZ"/>
              </w:rPr>
              <w:t>.</w:t>
            </w:r>
          </w:p>
        </w:tc>
      </w:tr>
      <w:tr w:rsidR="00493D1F" w:rsidRPr="00493D1F" w14:paraId="7EF604CA" w14:textId="77777777" w:rsidTr="1B502AF9">
        <w:trPr>
          <w:trHeight w:val="531"/>
        </w:trPr>
        <w:tc>
          <w:tcPr>
            <w:tcW w:w="177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0012E531" w14:textId="1812522C" w:rsidR="00493D1F" w:rsidRPr="00493D1F" w:rsidRDefault="00493D1F" w:rsidP="00493D1F">
            <w:pPr>
              <w:spacing w:after="0" w:line="240" w:lineRule="auto"/>
              <w:jc w:val="center"/>
              <w:textAlignment w:val="baseline"/>
              <w:rPr>
                <w:rFonts w:ascii="Segoe UI" w:hAnsi="Segoe UI" w:cs="Segoe UI"/>
                <w:sz w:val="18"/>
                <w:szCs w:val="18"/>
                <w:lang w:val="en-NZ" w:eastAsia="en-NZ"/>
              </w:rPr>
            </w:pPr>
            <w:r>
              <w:rPr>
                <w:b/>
              </w:rPr>
              <w:t>Effectiveness</w:t>
            </w:r>
          </w:p>
        </w:tc>
        <w:tc>
          <w:tcPr>
            <w:tcW w:w="4095"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6D29312" w14:textId="14AD9494" w:rsidR="00493D1F" w:rsidRPr="00493D1F" w:rsidRDefault="00493D1F" w:rsidP="749287D6">
            <w:pPr>
              <w:spacing w:after="0" w:line="240" w:lineRule="auto"/>
              <w:jc w:val="center"/>
              <w:textAlignment w:val="baseline"/>
              <w:rPr>
                <w:rFonts w:ascii="Segoe UI" w:hAnsi="Segoe UI" w:cs="Segoe UI"/>
                <w:sz w:val="18"/>
                <w:szCs w:val="18"/>
                <w:lang w:val="en-NZ" w:eastAsia="en-NZ"/>
              </w:rPr>
            </w:pPr>
            <w:r w:rsidRPr="53D6C2BE">
              <w:rPr>
                <w:rFonts w:cs="Arial"/>
                <w:sz w:val="20"/>
                <w:lang w:val="en-NZ" w:eastAsia="en-NZ"/>
              </w:rPr>
              <w:t>0</w:t>
            </w:r>
          </w:p>
          <w:p w14:paraId="6FEF35E8" w14:textId="655410C0" w:rsidR="00493D1F" w:rsidRPr="00493D1F" w:rsidRDefault="3FF46997" w:rsidP="59D4D97B">
            <w:pPr>
              <w:spacing w:after="0" w:line="240" w:lineRule="auto"/>
              <w:jc w:val="center"/>
              <w:textAlignment w:val="baseline"/>
              <w:rPr>
                <w:rFonts w:cs="Arial"/>
                <w:sz w:val="18"/>
                <w:szCs w:val="18"/>
                <w:lang w:val="en-NZ" w:eastAsia="en-NZ"/>
              </w:rPr>
            </w:pPr>
            <w:r w:rsidRPr="59D4D97B">
              <w:rPr>
                <w:rFonts w:cs="Arial"/>
                <w:sz w:val="18"/>
                <w:szCs w:val="18"/>
                <w:lang w:val="en-NZ" w:eastAsia="en-NZ"/>
              </w:rPr>
              <w:t>Products maintain current appeal to youth.</w:t>
            </w:r>
          </w:p>
        </w:tc>
        <w:tc>
          <w:tcPr>
            <w:tcW w:w="453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2EA15E5A" w14:textId="77777777" w:rsidR="001F72A8" w:rsidRPr="00501D9C" w:rsidRDefault="001F72A8" w:rsidP="001F72A8">
            <w:pPr>
              <w:spacing w:after="0" w:line="240" w:lineRule="auto"/>
              <w:jc w:val="center"/>
              <w:textAlignment w:val="baseline"/>
              <w:rPr>
                <w:rFonts w:cs="Arial"/>
                <w:b/>
                <w:color w:val="00B050"/>
                <w:sz w:val="20"/>
                <w:szCs w:val="18"/>
              </w:rPr>
            </w:pPr>
            <w:r w:rsidRPr="00501D9C">
              <w:rPr>
                <w:rFonts w:cs="Arial"/>
                <w:b/>
                <w:color w:val="00B050"/>
                <w:sz w:val="20"/>
                <w:szCs w:val="18"/>
              </w:rPr>
              <w:t>++</w:t>
            </w:r>
          </w:p>
          <w:p w14:paraId="16C330A1" w14:textId="3FD44549" w:rsidR="00493D1F" w:rsidRPr="00493D1F" w:rsidRDefault="00493D1F" w:rsidP="00493D1F">
            <w:pPr>
              <w:spacing w:after="0" w:line="240" w:lineRule="auto"/>
              <w:jc w:val="center"/>
              <w:textAlignment w:val="baseline"/>
              <w:rPr>
                <w:rFonts w:ascii="Segoe UI" w:hAnsi="Segoe UI" w:cs="Segoe UI"/>
                <w:sz w:val="18"/>
                <w:szCs w:val="18"/>
                <w:lang w:val="en-NZ" w:eastAsia="en-NZ"/>
              </w:rPr>
            </w:pPr>
            <w:r w:rsidRPr="00493D1F">
              <w:rPr>
                <w:rFonts w:cs="Arial"/>
                <w:sz w:val="18"/>
                <w:szCs w:val="18"/>
                <w:lang w:val="en-NZ" w:eastAsia="en-NZ"/>
              </w:rPr>
              <w:t>Reduce appeal to youth</w:t>
            </w:r>
            <w:r w:rsidR="007D3D63">
              <w:rPr>
                <w:rFonts w:cs="Arial"/>
                <w:sz w:val="18"/>
                <w:szCs w:val="18"/>
                <w:lang w:val="en-NZ" w:eastAsia="en-NZ"/>
              </w:rPr>
              <w:t>.</w:t>
            </w:r>
          </w:p>
        </w:tc>
        <w:tc>
          <w:tcPr>
            <w:tcW w:w="4283"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92D4815" w14:textId="0C35D5AB" w:rsidR="00493D1F" w:rsidRPr="00501D9C" w:rsidRDefault="00493D1F" w:rsidP="00493D1F">
            <w:pPr>
              <w:spacing w:after="0" w:line="240" w:lineRule="auto"/>
              <w:jc w:val="center"/>
              <w:textAlignment w:val="baseline"/>
              <w:rPr>
                <w:rFonts w:cs="Arial"/>
                <w:b/>
                <w:color w:val="00B050"/>
                <w:sz w:val="20"/>
                <w:szCs w:val="18"/>
              </w:rPr>
            </w:pPr>
            <w:r w:rsidRPr="00501D9C">
              <w:rPr>
                <w:rFonts w:cs="Arial"/>
                <w:b/>
                <w:color w:val="00B050"/>
                <w:sz w:val="20"/>
                <w:szCs w:val="18"/>
              </w:rPr>
              <w:t>++</w:t>
            </w:r>
          </w:p>
          <w:p w14:paraId="3933454A" w14:textId="36F3C72A" w:rsidR="00493D1F" w:rsidRPr="00493D1F" w:rsidRDefault="00493D1F" w:rsidP="00493D1F">
            <w:pPr>
              <w:spacing w:after="0" w:line="240" w:lineRule="auto"/>
              <w:jc w:val="center"/>
              <w:textAlignment w:val="baseline"/>
              <w:rPr>
                <w:rFonts w:ascii="Segoe UI" w:hAnsi="Segoe UI" w:cs="Segoe UI"/>
                <w:sz w:val="18"/>
                <w:szCs w:val="18"/>
                <w:lang w:val="en-NZ" w:eastAsia="en-NZ"/>
              </w:rPr>
            </w:pPr>
            <w:r w:rsidRPr="00493D1F">
              <w:rPr>
                <w:rFonts w:cs="Arial"/>
                <w:sz w:val="18"/>
                <w:szCs w:val="18"/>
                <w:lang w:val="en-NZ" w:eastAsia="en-NZ"/>
              </w:rPr>
              <w:t>Reduce appeal to youth</w:t>
            </w:r>
            <w:r w:rsidR="007D3D63">
              <w:rPr>
                <w:rFonts w:cs="Arial"/>
                <w:sz w:val="18"/>
                <w:szCs w:val="18"/>
                <w:lang w:val="en-NZ" w:eastAsia="en-NZ"/>
              </w:rPr>
              <w:t>.</w:t>
            </w:r>
          </w:p>
        </w:tc>
      </w:tr>
      <w:tr w:rsidR="00493D1F" w:rsidRPr="00493D1F" w14:paraId="7A0F5D55" w14:textId="77777777" w:rsidTr="1B502AF9">
        <w:trPr>
          <w:trHeight w:val="695"/>
        </w:trPr>
        <w:tc>
          <w:tcPr>
            <w:tcW w:w="177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3F22C294" w14:textId="2396800A" w:rsidR="00493D1F" w:rsidRPr="00493D1F" w:rsidRDefault="00205F38" w:rsidP="00493D1F">
            <w:pPr>
              <w:spacing w:after="0" w:line="240" w:lineRule="auto"/>
              <w:jc w:val="center"/>
              <w:textAlignment w:val="baseline"/>
              <w:rPr>
                <w:rFonts w:ascii="Segoe UI" w:hAnsi="Segoe UI" w:cs="Segoe UI"/>
                <w:sz w:val="18"/>
                <w:szCs w:val="18"/>
                <w:lang w:val="en-NZ" w:eastAsia="en-NZ"/>
              </w:rPr>
            </w:pPr>
            <w:r>
              <w:rPr>
                <w:rFonts w:cs="Arial"/>
                <w:b/>
                <w:color w:val="000000"/>
                <w:szCs w:val="22"/>
                <w:lang w:val="en-NZ"/>
              </w:rPr>
              <w:t>Cost and ease of implementation</w:t>
            </w:r>
          </w:p>
        </w:tc>
        <w:tc>
          <w:tcPr>
            <w:tcW w:w="4095"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78476B6" w14:textId="14AD9494" w:rsidR="00493D1F" w:rsidRPr="00493D1F" w:rsidRDefault="00493D1F" w:rsidP="749287D6">
            <w:pPr>
              <w:spacing w:after="0" w:line="240" w:lineRule="auto"/>
              <w:jc w:val="center"/>
              <w:textAlignment w:val="baseline"/>
              <w:rPr>
                <w:rFonts w:ascii="Segoe UI" w:hAnsi="Segoe UI" w:cs="Segoe UI"/>
                <w:sz w:val="18"/>
                <w:szCs w:val="18"/>
                <w:lang w:val="en-NZ" w:eastAsia="en-NZ"/>
              </w:rPr>
            </w:pPr>
            <w:r w:rsidRPr="53D6C2BE">
              <w:rPr>
                <w:rFonts w:cs="Arial"/>
                <w:sz w:val="20"/>
                <w:lang w:val="en-NZ" w:eastAsia="en-NZ"/>
              </w:rPr>
              <w:t>0</w:t>
            </w:r>
          </w:p>
          <w:p w14:paraId="338F71B9" w14:textId="76C6A001" w:rsidR="00493D1F" w:rsidRPr="00493D1F" w:rsidRDefault="4742FAE9" w:rsidP="45390403">
            <w:pPr>
              <w:spacing w:after="0" w:line="240" w:lineRule="auto"/>
              <w:jc w:val="center"/>
              <w:textAlignment w:val="baseline"/>
              <w:rPr>
                <w:rFonts w:cs="Arial"/>
                <w:sz w:val="18"/>
                <w:szCs w:val="18"/>
                <w:lang w:val="en-NZ" w:eastAsia="en-NZ"/>
              </w:rPr>
            </w:pPr>
            <w:r w:rsidRPr="12A0AB1E">
              <w:rPr>
                <w:rFonts w:cs="Arial"/>
                <w:sz w:val="18"/>
                <w:szCs w:val="18"/>
                <w:lang w:val="en-NZ" w:eastAsia="en-NZ"/>
              </w:rPr>
              <w:t>No change to cost for industry or regulator.</w:t>
            </w:r>
          </w:p>
        </w:tc>
        <w:tc>
          <w:tcPr>
            <w:tcW w:w="453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2F7EE249" w14:textId="77777777" w:rsidR="001F72A8" w:rsidRPr="00501D9C" w:rsidRDefault="001F72A8" w:rsidP="00493D1F">
            <w:pPr>
              <w:spacing w:after="0" w:line="240" w:lineRule="auto"/>
              <w:jc w:val="center"/>
              <w:textAlignment w:val="baseline"/>
              <w:rPr>
                <w:rFonts w:cs="Arial"/>
                <w:b/>
                <w:color w:val="FF0000"/>
                <w:sz w:val="20"/>
                <w:szCs w:val="18"/>
              </w:rPr>
            </w:pPr>
            <w:r w:rsidRPr="00501D9C">
              <w:rPr>
                <w:rFonts w:cs="Arial"/>
                <w:b/>
                <w:color w:val="FF0000"/>
                <w:sz w:val="20"/>
                <w:szCs w:val="18"/>
              </w:rPr>
              <w:t>-</w:t>
            </w:r>
          </w:p>
          <w:p w14:paraId="2B860DC1" w14:textId="4C221567" w:rsidR="00493D1F" w:rsidRPr="00493D1F" w:rsidRDefault="00493D1F" w:rsidP="00493D1F">
            <w:pPr>
              <w:spacing w:after="0" w:line="240" w:lineRule="auto"/>
              <w:jc w:val="center"/>
              <w:textAlignment w:val="baseline"/>
              <w:rPr>
                <w:rFonts w:ascii="Segoe UI" w:hAnsi="Segoe UI" w:cs="Segoe UI"/>
                <w:sz w:val="18"/>
                <w:szCs w:val="18"/>
                <w:lang w:val="en-NZ" w:eastAsia="en-NZ"/>
              </w:rPr>
            </w:pPr>
            <w:r w:rsidRPr="00493D1F">
              <w:rPr>
                <w:rFonts w:cs="Arial"/>
                <w:sz w:val="18"/>
                <w:szCs w:val="18"/>
                <w:lang w:val="en-NZ" w:eastAsia="en-NZ"/>
              </w:rPr>
              <w:t>Additional cost to industry</w:t>
            </w:r>
            <w:r w:rsidR="007D3D63">
              <w:rPr>
                <w:rFonts w:cs="Arial"/>
                <w:sz w:val="18"/>
                <w:szCs w:val="18"/>
                <w:lang w:val="en-NZ" w:eastAsia="en-NZ"/>
              </w:rPr>
              <w:t>.</w:t>
            </w:r>
          </w:p>
        </w:tc>
        <w:tc>
          <w:tcPr>
            <w:tcW w:w="4283"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CAF0B13" w14:textId="77777777" w:rsidR="001F72A8" w:rsidRPr="00501D9C" w:rsidRDefault="001F72A8" w:rsidP="00493D1F">
            <w:pPr>
              <w:spacing w:after="0" w:line="240" w:lineRule="auto"/>
              <w:jc w:val="center"/>
              <w:textAlignment w:val="baseline"/>
              <w:rPr>
                <w:rFonts w:cs="Arial"/>
                <w:b/>
                <w:color w:val="FF0000"/>
                <w:sz w:val="20"/>
                <w:szCs w:val="18"/>
              </w:rPr>
            </w:pPr>
            <w:r w:rsidRPr="00501D9C">
              <w:rPr>
                <w:rFonts w:cs="Arial"/>
                <w:b/>
                <w:color w:val="FF0000"/>
                <w:sz w:val="20"/>
                <w:szCs w:val="18"/>
              </w:rPr>
              <w:t>-</w:t>
            </w:r>
          </w:p>
          <w:p w14:paraId="01502105" w14:textId="5E235FCA" w:rsidR="00493D1F" w:rsidRPr="00493D1F" w:rsidRDefault="00493D1F" w:rsidP="00493D1F">
            <w:pPr>
              <w:spacing w:after="0" w:line="240" w:lineRule="auto"/>
              <w:jc w:val="center"/>
              <w:textAlignment w:val="baseline"/>
              <w:rPr>
                <w:rFonts w:ascii="Segoe UI" w:hAnsi="Segoe UI" w:cs="Segoe UI"/>
                <w:sz w:val="18"/>
                <w:szCs w:val="18"/>
                <w:lang w:val="en-NZ" w:eastAsia="en-NZ"/>
              </w:rPr>
            </w:pPr>
            <w:r w:rsidRPr="00493D1F">
              <w:rPr>
                <w:rFonts w:cs="Arial"/>
                <w:sz w:val="18"/>
                <w:szCs w:val="18"/>
                <w:lang w:val="en-NZ" w:eastAsia="en-NZ"/>
              </w:rPr>
              <w:t>Additional cost to industry</w:t>
            </w:r>
            <w:r w:rsidR="007D3D63">
              <w:rPr>
                <w:rFonts w:cs="Arial"/>
                <w:sz w:val="18"/>
                <w:szCs w:val="18"/>
                <w:lang w:val="en-NZ" w:eastAsia="en-NZ"/>
              </w:rPr>
              <w:t>.</w:t>
            </w:r>
          </w:p>
        </w:tc>
      </w:tr>
      <w:tr w:rsidR="00493D1F" w:rsidRPr="00493D1F" w14:paraId="043C6E8B" w14:textId="77777777" w:rsidTr="1B502AF9">
        <w:trPr>
          <w:trHeight w:val="570"/>
        </w:trPr>
        <w:tc>
          <w:tcPr>
            <w:tcW w:w="177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3A7C7FA4" w14:textId="1692EC01" w:rsidR="00493D1F" w:rsidRPr="00493D1F" w:rsidRDefault="00493D1F" w:rsidP="00493D1F">
            <w:pPr>
              <w:spacing w:after="0" w:line="240" w:lineRule="auto"/>
              <w:jc w:val="center"/>
              <w:textAlignment w:val="baseline"/>
              <w:rPr>
                <w:rFonts w:ascii="Segoe UI" w:hAnsi="Segoe UI" w:cs="Segoe UI"/>
                <w:sz w:val="18"/>
                <w:szCs w:val="18"/>
                <w:lang w:val="en-NZ" w:eastAsia="en-NZ"/>
              </w:rPr>
            </w:pPr>
            <w:r w:rsidRPr="00493D1F">
              <w:rPr>
                <w:rFonts w:cs="Arial"/>
                <w:b/>
                <w:bCs/>
                <w:color w:val="000000"/>
                <w:szCs w:val="22"/>
                <w:lang w:val="en-NZ" w:eastAsia="en-NZ"/>
              </w:rPr>
              <w:t>Overall assessment</w:t>
            </w:r>
            <w:r w:rsidRPr="00493D1F">
              <w:rPr>
                <w:rFonts w:cs="Arial"/>
                <w:color w:val="000000"/>
                <w:szCs w:val="22"/>
                <w:lang w:val="en-NZ" w:eastAsia="en-NZ"/>
              </w:rPr>
              <w:t> </w:t>
            </w:r>
          </w:p>
        </w:tc>
        <w:tc>
          <w:tcPr>
            <w:tcW w:w="4095"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5397C09" w14:textId="1E4FDC18" w:rsidR="00493D1F" w:rsidRPr="00493D1F" w:rsidRDefault="00493D1F" w:rsidP="00493D1F">
            <w:pPr>
              <w:spacing w:after="0" w:line="240" w:lineRule="auto"/>
              <w:jc w:val="center"/>
              <w:textAlignment w:val="baseline"/>
              <w:rPr>
                <w:rFonts w:ascii="Segoe UI" w:hAnsi="Segoe UI" w:cs="Segoe UI"/>
                <w:sz w:val="18"/>
                <w:szCs w:val="18"/>
                <w:lang w:val="en-NZ" w:eastAsia="en-NZ"/>
              </w:rPr>
            </w:pPr>
          </w:p>
        </w:tc>
        <w:tc>
          <w:tcPr>
            <w:tcW w:w="453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9584DB9" w14:textId="562AA9C3" w:rsidR="00493D1F" w:rsidRPr="00493D1F" w:rsidRDefault="00493D1F" w:rsidP="00493D1F">
            <w:pPr>
              <w:spacing w:after="0" w:line="240" w:lineRule="auto"/>
              <w:jc w:val="center"/>
              <w:textAlignment w:val="baseline"/>
              <w:rPr>
                <w:rFonts w:ascii="Segoe UI" w:hAnsi="Segoe UI" w:cs="Segoe UI"/>
                <w:sz w:val="18"/>
                <w:szCs w:val="18"/>
                <w:lang w:val="en-NZ" w:eastAsia="en-NZ"/>
              </w:rPr>
            </w:pPr>
            <w:r w:rsidRPr="00E2423E">
              <w:rPr>
                <w:rFonts w:cs="Arial"/>
                <w:b/>
                <w:sz w:val="20"/>
                <w:szCs w:val="18"/>
              </w:rPr>
              <w:t xml:space="preserve">Preferred </w:t>
            </w:r>
            <w:r w:rsidR="00F20DA6" w:rsidRPr="00E2423E">
              <w:rPr>
                <w:rFonts w:cs="Arial"/>
                <w:b/>
                <w:sz w:val="20"/>
                <w:szCs w:val="18"/>
              </w:rPr>
              <w:t>option</w:t>
            </w:r>
          </w:p>
        </w:tc>
        <w:tc>
          <w:tcPr>
            <w:tcW w:w="4283"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6BAA6D9F" w14:textId="3DBF7907" w:rsidR="00493D1F" w:rsidRPr="00493D1F" w:rsidRDefault="00493D1F" w:rsidP="00493D1F">
            <w:pPr>
              <w:spacing w:after="0" w:line="240" w:lineRule="auto"/>
              <w:jc w:val="center"/>
              <w:textAlignment w:val="baseline"/>
              <w:rPr>
                <w:rFonts w:ascii="Segoe UI" w:hAnsi="Segoe UI" w:cs="Segoe UI"/>
                <w:sz w:val="18"/>
                <w:szCs w:val="18"/>
                <w:lang w:val="en-NZ" w:eastAsia="en-NZ"/>
              </w:rPr>
            </w:pPr>
          </w:p>
        </w:tc>
      </w:tr>
    </w:tbl>
    <w:p w14:paraId="358916EE" w14:textId="3A0B39D5" w:rsidR="00FF04EC" w:rsidRPr="00500880" w:rsidRDefault="00FF04EC" w:rsidP="00493D1F">
      <w:pPr>
        <w:spacing w:after="120" w:line="240" w:lineRule="auto"/>
        <w:rPr>
          <w:lang w:val="en-NZ" w:eastAsia="en-NZ"/>
        </w:rPr>
        <w:sectPr w:rsidR="00FF04EC" w:rsidRPr="00500880" w:rsidSect="00B5612C">
          <w:footerReference w:type="default" r:id="rId46"/>
          <w:pgSz w:w="16838" w:h="11906" w:orient="landscape" w:code="9"/>
          <w:pgMar w:top="1418" w:right="1134" w:bottom="1418" w:left="992" w:header="454" w:footer="454" w:gutter="0"/>
          <w:cols w:space="708"/>
          <w:docGrid w:linePitch="360"/>
        </w:sectPr>
      </w:pPr>
    </w:p>
    <w:p w14:paraId="4A7EE4FA" w14:textId="524F1FA4" w:rsidR="00A34EDF" w:rsidRPr="00F4511C" w:rsidRDefault="00312412" w:rsidP="00F4511C">
      <w:pPr>
        <w:pStyle w:val="Heading3"/>
        <w:spacing w:before="120" w:after="120"/>
        <w:rPr>
          <w:rFonts w:ascii="Arial" w:hAnsi="Arial" w:cs="Arial"/>
          <w:lang w:val="en-NZ"/>
        </w:rPr>
      </w:pPr>
      <w:r w:rsidRPr="57AF1BDB">
        <w:rPr>
          <w:lang w:val="en-NZ"/>
        </w:rPr>
        <w:t xml:space="preserve">Issue </w:t>
      </w:r>
      <w:r w:rsidR="3EBC180C" w:rsidRPr="57AF1BDB">
        <w:rPr>
          <w:lang w:val="en-NZ"/>
        </w:rPr>
        <w:t>7</w:t>
      </w:r>
      <w:r w:rsidRPr="57AF1BDB">
        <w:rPr>
          <w:lang w:val="en-NZ"/>
        </w:rPr>
        <w:t xml:space="preserve"> </w:t>
      </w:r>
      <w:r w:rsidR="00AC68FC" w:rsidRPr="57AF1BDB">
        <w:rPr>
          <w:lang w:val="en-NZ"/>
        </w:rPr>
        <w:t xml:space="preserve">– </w:t>
      </w:r>
      <w:r w:rsidR="00AC68FC" w:rsidRPr="00F4511C">
        <w:rPr>
          <w:rFonts w:ascii="Arial" w:hAnsi="Arial" w:cs="Arial"/>
          <w:lang w:val="en-NZ"/>
        </w:rPr>
        <w:t xml:space="preserve">Addressing safety concerns with </w:t>
      </w:r>
      <w:r w:rsidR="00FF61B5">
        <w:rPr>
          <w:rFonts w:ascii="Arial" w:hAnsi="Arial" w:cs="Arial"/>
          <w:lang w:val="en-NZ"/>
        </w:rPr>
        <w:t>single-use</w:t>
      </w:r>
      <w:r w:rsidR="00AC68FC" w:rsidRPr="00F4511C">
        <w:rPr>
          <w:rFonts w:ascii="Arial" w:hAnsi="Arial" w:cs="Arial"/>
          <w:lang w:val="en-NZ"/>
        </w:rPr>
        <w:t xml:space="preserve"> products</w:t>
      </w:r>
    </w:p>
    <w:p w14:paraId="6CC3E37F" w14:textId="7592DD8D" w:rsidR="00850E55" w:rsidRPr="00F4511C" w:rsidRDefault="00850E55" w:rsidP="00F4511C">
      <w:pPr>
        <w:spacing w:before="120" w:after="120" w:line="240" w:lineRule="auto"/>
        <w:textAlignment w:val="baseline"/>
        <w:rPr>
          <w:rFonts w:cs="Arial"/>
          <w:lang w:val="en-NZ" w:eastAsia="en-NZ"/>
        </w:rPr>
      </w:pPr>
      <w:r w:rsidRPr="00F4511C">
        <w:rPr>
          <w:rFonts w:cs="Arial"/>
          <w:lang w:val="en-NZ" w:eastAsia="en-NZ"/>
        </w:rPr>
        <w:t>The Smokefree Regulations set out product safety requirements that all vaping products must meet</w:t>
      </w:r>
      <w:r w:rsidR="03157FD1" w:rsidRPr="00F4511C">
        <w:rPr>
          <w:rFonts w:cs="Arial"/>
          <w:lang w:val="en-NZ" w:eastAsia="en-NZ"/>
        </w:rPr>
        <w:t xml:space="preserve"> for</w:t>
      </w:r>
      <w:r w:rsidRPr="00F4511C">
        <w:rPr>
          <w:rFonts w:cs="Arial"/>
          <w:lang w:val="en-NZ" w:eastAsia="en-NZ"/>
        </w:rPr>
        <w:t xml:space="preserve"> import, </w:t>
      </w:r>
      <w:proofErr w:type="gramStart"/>
      <w:r w:rsidRPr="00F4511C">
        <w:rPr>
          <w:rFonts w:cs="Arial"/>
          <w:lang w:val="en-NZ" w:eastAsia="en-NZ"/>
        </w:rPr>
        <w:t>manufacture</w:t>
      </w:r>
      <w:proofErr w:type="gramEnd"/>
      <w:r w:rsidRPr="00F4511C">
        <w:rPr>
          <w:rFonts w:cs="Arial"/>
          <w:lang w:val="en-NZ" w:eastAsia="en-NZ"/>
        </w:rPr>
        <w:t xml:space="preserve"> or </w:t>
      </w:r>
      <w:r w:rsidR="73B4401F" w:rsidRPr="00F4511C">
        <w:rPr>
          <w:rFonts w:cs="Arial"/>
          <w:lang w:val="en-NZ" w:eastAsia="en-NZ"/>
        </w:rPr>
        <w:t>sale</w:t>
      </w:r>
      <w:r w:rsidRPr="00F4511C">
        <w:rPr>
          <w:rFonts w:cs="Arial"/>
          <w:lang w:val="en-NZ" w:eastAsia="en-NZ"/>
        </w:rPr>
        <w:t xml:space="preserve"> in </w:t>
      </w:r>
      <w:r w:rsidR="3741E053" w:rsidRPr="00F4511C">
        <w:rPr>
          <w:rFonts w:cs="Arial"/>
          <w:lang w:val="en-NZ" w:eastAsia="en-NZ"/>
        </w:rPr>
        <w:t>Aotearoa</w:t>
      </w:r>
      <w:r w:rsidRPr="00F4511C">
        <w:rPr>
          <w:rFonts w:cs="Arial"/>
          <w:lang w:val="en-NZ" w:eastAsia="en-NZ"/>
        </w:rPr>
        <w:t>.</w:t>
      </w:r>
    </w:p>
    <w:p w14:paraId="134C1817" w14:textId="17E7AC57" w:rsidR="00850E55" w:rsidRPr="00F4511C" w:rsidRDefault="00850E55" w:rsidP="00F4511C">
      <w:pPr>
        <w:spacing w:before="120" w:after="120" w:line="240" w:lineRule="auto"/>
        <w:textAlignment w:val="baseline"/>
        <w:rPr>
          <w:rFonts w:cs="Arial"/>
          <w:sz w:val="18"/>
          <w:szCs w:val="18"/>
          <w:lang w:val="en-NZ" w:eastAsia="en-NZ"/>
        </w:rPr>
      </w:pPr>
      <w:r w:rsidRPr="00F4511C">
        <w:rPr>
          <w:rFonts w:cs="Arial"/>
          <w:lang w:val="en-NZ" w:eastAsia="en-NZ"/>
        </w:rPr>
        <w:t xml:space="preserve">These regulations appear to have limited applicability for </w:t>
      </w:r>
      <w:proofErr w:type="gramStart"/>
      <w:r w:rsidR="00FF61B5">
        <w:rPr>
          <w:rFonts w:cs="Arial"/>
          <w:lang w:val="en-NZ" w:eastAsia="en-NZ"/>
        </w:rPr>
        <w:t>single-use</w:t>
      </w:r>
      <w:proofErr w:type="gramEnd"/>
      <w:r w:rsidRPr="00F4511C">
        <w:rPr>
          <w:rFonts w:cs="Arial"/>
          <w:lang w:val="en-NZ" w:eastAsia="en-NZ"/>
        </w:rPr>
        <w:t xml:space="preserve"> vape products (disposable vapes). For example, many </w:t>
      </w:r>
      <w:proofErr w:type="gramStart"/>
      <w:r w:rsidRPr="00F4511C">
        <w:rPr>
          <w:rFonts w:cs="Arial"/>
          <w:lang w:val="en-NZ" w:eastAsia="en-NZ"/>
        </w:rPr>
        <w:t>disposable</w:t>
      </w:r>
      <w:proofErr w:type="gramEnd"/>
      <w:r w:rsidRPr="00F4511C">
        <w:rPr>
          <w:rFonts w:cs="Arial"/>
          <w:lang w:val="en-NZ" w:eastAsia="en-NZ"/>
        </w:rPr>
        <w:t xml:space="preserve"> vapes do not have the same consumer information on them as reusable vapes and are unable to be traced should an adverse reaction</w:t>
      </w:r>
      <w:r w:rsidR="17E01081" w:rsidRPr="00F4511C">
        <w:rPr>
          <w:rFonts w:cs="Arial"/>
          <w:lang w:val="en-NZ" w:eastAsia="en-NZ"/>
        </w:rPr>
        <w:t xml:space="preserve"> or safety issue</w:t>
      </w:r>
      <w:r w:rsidRPr="00F4511C">
        <w:rPr>
          <w:rFonts w:cs="Arial"/>
          <w:lang w:val="en-NZ" w:eastAsia="en-NZ"/>
        </w:rPr>
        <w:t xml:space="preserve"> occur. Disposable vapes are also a </w:t>
      </w:r>
      <w:r w:rsidR="3940407B" w:rsidRPr="00F4511C">
        <w:rPr>
          <w:rFonts w:cs="Arial"/>
          <w:lang w:val="en-NZ" w:eastAsia="en-NZ"/>
        </w:rPr>
        <w:t xml:space="preserve">low-cost </w:t>
      </w:r>
      <w:r w:rsidR="00FF61B5">
        <w:rPr>
          <w:rFonts w:cs="Arial"/>
          <w:lang w:val="en-NZ" w:eastAsia="en-NZ"/>
        </w:rPr>
        <w:t>single-use</w:t>
      </w:r>
      <w:r w:rsidRPr="00F4511C">
        <w:rPr>
          <w:rFonts w:cs="Arial"/>
          <w:lang w:val="en-NZ" w:eastAsia="en-NZ"/>
        </w:rPr>
        <w:t xml:space="preserve"> product, lack child safety mechanisms</w:t>
      </w:r>
      <w:r w:rsidR="2332C42C" w:rsidRPr="00F4511C">
        <w:rPr>
          <w:rFonts w:cs="Arial"/>
          <w:lang w:val="en-NZ" w:eastAsia="en-NZ"/>
        </w:rPr>
        <w:t>,</w:t>
      </w:r>
      <w:r w:rsidRPr="00F4511C">
        <w:rPr>
          <w:rFonts w:cs="Arial"/>
          <w:lang w:val="en-NZ" w:eastAsia="en-NZ"/>
        </w:rPr>
        <w:t xml:space="preserve"> </w:t>
      </w:r>
      <w:r w:rsidR="006C7055" w:rsidRPr="00F4511C">
        <w:rPr>
          <w:rFonts w:cs="Arial"/>
          <w:lang w:val="en-NZ" w:eastAsia="en-NZ"/>
        </w:rPr>
        <w:t>have</w:t>
      </w:r>
      <w:r w:rsidRPr="00F4511C">
        <w:rPr>
          <w:rFonts w:cs="Arial"/>
          <w:lang w:val="en-NZ" w:eastAsia="en-NZ"/>
        </w:rPr>
        <w:t xml:space="preserve"> limited opportunities for recycling or safe disposal of batteries</w:t>
      </w:r>
      <w:r w:rsidR="002D797F" w:rsidRPr="00F4511C">
        <w:rPr>
          <w:rFonts w:cs="Arial"/>
          <w:lang w:val="en-NZ" w:eastAsia="en-NZ"/>
        </w:rPr>
        <w:t xml:space="preserve"> and contribute to increasing environmental waste</w:t>
      </w:r>
      <w:r w:rsidRPr="00F4511C">
        <w:rPr>
          <w:rFonts w:cs="Arial"/>
          <w:lang w:val="en-NZ" w:eastAsia="en-NZ"/>
        </w:rPr>
        <w:t>.</w:t>
      </w:r>
    </w:p>
    <w:p w14:paraId="1207A5AA" w14:textId="48C1043E" w:rsidR="00850E55" w:rsidRPr="00F4511C" w:rsidRDefault="1E59BFD4" w:rsidP="00F4511C">
      <w:pPr>
        <w:spacing w:before="120" w:after="120" w:line="240" w:lineRule="auto"/>
        <w:textAlignment w:val="baseline"/>
        <w:rPr>
          <w:rFonts w:cs="Arial"/>
          <w:sz w:val="18"/>
          <w:szCs w:val="18"/>
          <w:lang w:val="en-NZ" w:eastAsia="en-NZ"/>
        </w:rPr>
      </w:pPr>
      <w:r w:rsidRPr="00F4511C">
        <w:rPr>
          <w:rFonts w:cs="Arial"/>
          <w:lang w:val="en-NZ" w:eastAsia="en-NZ"/>
        </w:rPr>
        <w:t>U</w:t>
      </w:r>
      <w:r w:rsidR="0CF62FB2" w:rsidRPr="00F4511C">
        <w:rPr>
          <w:rFonts w:cs="Arial"/>
          <w:lang w:val="en-NZ" w:eastAsia="en-NZ"/>
        </w:rPr>
        <w:t>nlike reusable vapes, disposable vapes also have a fixed nicotine concentration that is generally</w:t>
      </w:r>
      <w:r w:rsidR="516E69F4" w:rsidRPr="00F4511C">
        <w:rPr>
          <w:rFonts w:cs="Arial"/>
          <w:lang w:val="en-NZ" w:eastAsia="en-NZ"/>
        </w:rPr>
        <w:t xml:space="preserve"> at or </w:t>
      </w:r>
      <w:r w:rsidR="0CF62FB2" w:rsidRPr="00F4511C">
        <w:rPr>
          <w:rFonts w:cs="Arial"/>
          <w:lang w:val="en-NZ" w:eastAsia="en-NZ"/>
        </w:rPr>
        <w:t xml:space="preserve">close to the maximum allowable levels and therefore </w:t>
      </w:r>
      <w:r w:rsidR="007C3007">
        <w:rPr>
          <w:rFonts w:cs="Arial"/>
          <w:lang w:val="en-NZ" w:eastAsia="en-NZ"/>
        </w:rPr>
        <w:t xml:space="preserve">potentially </w:t>
      </w:r>
      <w:r w:rsidR="0CF62FB2" w:rsidRPr="00F4511C">
        <w:rPr>
          <w:rFonts w:cs="Arial"/>
          <w:lang w:val="en-NZ" w:eastAsia="en-NZ"/>
        </w:rPr>
        <w:t xml:space="preserve">highly addictive. This is of particular concern as these products have quickly become the most popular vape product used by young people in the US and UK. </w:t>
      </w:r>
      <w:r w:rsidR="13C3D13D" w:rsidRPr="00F4511C">
        <w:rPr>
          <w:rFonts w:cs="Arial"/>
          <w:lang w:val="en-NZ" w:eastAsia="en-NZ"/>
        </w:rPr>
        <w:t>Aotearoa</w:t>
      </w:r>
      <w:r w:rsidR="0CF62FB2" w:rsidRPr="00F4511C">
        <w:rPr>
          <w:rFonts w:cs="Arial"/>
          <w:lang w:val="en-NZ" w:eastAsia="en-NZ"/>
        </w:rPr>
        <w:t xml:space="preserve"> appears to be following this trend with the use of disposable vapes by young people increasing from 12</w:t>
      </w:r>
      <w:r w:rsidR="008B7786" w:rsidRPr="00F4511C">
        <w:rPr>
          <w:rFonts w:cs="Arial"/>
          <w:lang w:val="en-NZ" w:eastAsia="en-NZ"/>
        </w:rPr>
        <w:t>%</w:t>
      </w:r>
      <w:r w:rsidR="0CF62FB2" w:rsidRPr="00F4511C">
        <w:rPr>
          <w:rFonts w:cs="Arial"/>
          <w:lang w:val="en-NZ" w:eastAsia="en-NZ"/>
        </w:rPr>
        <w:t xml:space="preserve"> (ever tried vapers) in 2021 to 39</w:t>
      </w:r>
      <w:r w:rsidR="008B7786" w:rsidRPr="00F4511C">
        <w:rPr>
          <w:rFonts w:cs="Arial"/>
          <w:lang w:val="en-NZ" w:eastAsia="en-NZ"/>
        </w:rPr>
        <w:t>%</w:t>
      </w:r>
      <w:r w:rsidR="0CF62FB2" w:rsidRPr="00F4511C">
        <w:rPr>
          <w:rFonts w:cs="Arial"/>
          <w:lang w:val="en-NZ" w:eastAsia="en-NZ"/>
        </w:rPr>
        <w:t xml:space="preserve"> in 2022.</w:t>
      </w:r>
      <w:r w:rsidR="00934327" w:rsidRPr="00F4511C">
        <w:rPr>
          <w:rStyle w:val="FootnoteReference"/>
          <w:rFonts w:cs="Arial"/>
          <w:lang w:val="en-NZ" w:eastAsia="en-NZ"/>
        </w:rPr>
        <w:footnoteReference w:id="9"/>
      </w:r>
      <w:r w:rsidR="0CF62FB2" w:rsidRPr="00F4511C">
        <w:rPr>
          <w:rFonts w:cs="Arial"/>
          <w:lang w:val="en-NZ" w:eastAsia="en-NZ"/>
        </w:rPr>
        <w:t xml:space="preserve"> </w:t>
      </w:r>
      <w:r w:rsidR="2EE93467" w:rsidRPr="00F4511C">
        <w:rPr>
          <w:rFonts w:cs="Arial"/>
        </w:rPr>
        <w:t>For young daily vapers, reusable and disposable vapes are equally most often used. However, reusable vape use dropped from 63.5</w:t>
      </w:r>
      <w:r w:rsidR="008B7786" w:rsidRPr="00F4511C">
        <w:rPr>
          <w:rFonts w:cs="Arial"/>
        </w:rPr>
        <w:t>%</w:t>
      </w:r>
      <w:r w:rsidR="2EE93467" w:rsidRPr="00F4511C">
        <w:rPr>
          <w:rFonts w:cs="Arial"/>
        </w:rPr>
        <w:t xml:space="preserve"> in 2021 to 38.5</w:t>
      </w:r>
      <w:r w:rsidR="008B7786" w:rsidRPr="00F4511C">
        <w:rPr>
          <w:rFonts w:cs="Arial"/>
        </w:rPr>
        <w:t>%</w:t>
      </w:r>
      <w:r w:rsidR="2EE93467" w:rsidRPr="00F4511C">
        <w:rPr>
          <w:rFonts w:cs="Arial"/>
        </w:rPr>
        <w:t xml:space="preserve"> in 2022, and disposable vape use increased from 9.0</w:t>
      </w:r>
      <w:r w:rsidR="008B7786" w:rsidRPr="00F4511C">
        <w:rPr>
          <w:rFonts w:cs="Arial"/>
        </w:rPr>
        <w:t>%</w:t>
      </w:r>
      <w:r w:rsidR="2EE93467" w:rsidRPr="00F4511C">
        <w:rPr>
          <w:rFonts w:cs="Arial"/>
        </w:rPr>
        <w:t xml:space="preserve"> in 2021 to 39.7</w:t>
      </w:r>
      <w:r w:rsidR="008B7786" w:rsidRPr="00F4511C">
        <w:rPr>
          <w:rFonts w:cs="Arial"/>
        </w:rPr>
        <w:t>%</w:t>
      </w:r>
      <w:r w:rsidR="2EE93467" w:rsidRPr="00F4511C">
        <w:rPr>
          <w:rFonts w:cs="Arial"/>
        </w:rPr>
        <w:t xml:space="preserve"> in 2022</w:t>
      </w:r>
      <w:r w:rsidR="366E71E0" w:rsidRPr="00F4511C">
        <w:rPr>
          <w:rFonts w:cs="Arial"/>
        </w:rPr>
        <w:t>. I</w:t>
      </w:r>
      <w:r w:rsidR="2EE93467" w:rsidRPr="00F4511C">
        <w:rPr>
          <w:rFonts w:cs="Arial"/>
        </w:rPr>
        <w:t xml:space="preserve">f this trend continues, disposables will rapidly become the most popular device for daily users as well. </w:t>
      </w:r>
      <w:r w:rsidR="0CF62FB2" w:rsidRPr="00F4511C">
        <w:rPr>
          <w:rFonts w:cs="Arial"/>
          <w:lang w:val="en-NZ" w:eastAsia="en-NZ"/>
        </w:rPr>
        <w:t xml:space="preserve">Disposable vapes are the </w:t>
      </w:r>
      <w:r w:rsidR="4E880785" w:rsidRPr="00F4511C">
        <w:rPr>
          <w:rFonts w:cs="Arial"/>
          <w:lang w:val="en-NZ" w:eastAsia="en-NZ"/>
        </w:rPr>
        <w:t>most used</w:t>
      </w:r>
      <w:r w:rsidR="0CF62FB2" w:rsidRPr="00F4511C">
        <w:rPr>
          <w:rFonts w:cs="Arial"/>
          <w:lang w:val="en-NZ" w:eastAsia="en-NZ"/>
        </w:rPr>
        <w:t xml:space="preserve"> device for young people across all ethnicities, with the highest rate of use in Pacific and Māori students.</w:t>
      </w:r>
    </w:p>
    <w:p w14:paraId="0E47E95F" w14:textId="1E825B9B" w:rsidR="00850E55" w:rsidRPr="00F4511C" w:rsidRDefault="00850E55" w:rsidP="00F4511C">
      <w:pPr>
        <w:spacing w:before="120" w:after="120" w:line="240" w:lineRule="auto"/>
        <w:textAlignment w:val="baseline"/>
        <w:rPr>
          <w:rFonts w:cs="Arial"/>
          <w:sz w:val="18"/>
          <w:szCs w:val="18"/>
          <w:lang w:val="en-NZ" w:eastAsia="en-NZ"/>
        </w:rPr>
      </w:pPr>
      <w:r w:rsidRPr="00F4511C">
        <w:rPr>
          <w:rFonts w:cs="Arial"/>
          <w:lang w:val="en-NZ" w:eastAsia="en-NZ"/>
        </w:rPr>
        <w:t xml:space="preserve">Introducing new product safety requirements will ensure that all vape products, including </w:t>
      </w:r>
      <w:proofErr w:type="gramStart"/>
      <w:r w:rsidR="00C87B33">
        <w:rPr>
          <w:rFonts w:cs="Arial"/>
          <w:lang w:val="en-NZ" w:eastAsia="en-NZ"/>
        </w:rPr>
        <w:t>single-use</w:t>
      </w:r>
      <w:proofErr w:type="gramEnd"/>
      <w:r w:rsidRPr="00F4511C">
        <w:rPr>
          <w:rFonts w:cs="Arial"/>
          <w:lang w:val="en-NZ" w:eastAsia="en-NZ"/>
        </w:rPr>
        <w:t>, are safer to use</w:t>
      </w:r>
      <w:r w:rsidR="05218704" w:rsidRPr="00F4511C">
        <w:rPr>
          <w:rFonts w:cs="Arial"/>
          <w:lang w:val="en-NZ" w:eastAsia="en-NZ"/>
        </w:rPr>
        <w:t>,</w:t>
      </w:r>
      <w:r w:rsidR="00EE44BF">
        <w:rPr>
          <w:rFonts w:cs="Arial"/>
          <w:lang w:val="en-NZ" w:eastAsia="en-NZ"/>
        </w:rPr>
        <w:t xml:space="preserve"> and disposable vapes are less addictive</w:t>
      </w:r>
      <w:r w:rsidR="00B17BDF" w:rsidRPr="00F4511C">
        <w:rPr>
          <w:rFonts w:cs="Arial"/>
          <w:lang w:val="en-NZ" w:eastAsia="en-NZ"/>
        </w:rPr>
        <w:t xml:space="preserve">. It </w:t>
      </w:r>
      <w:r w:rsidR="0077622A">
        <w:rPr>
          <w:rFonts w:cs="Arial"/>
          <w:lang w:val="en-NZ" w:eastAsia="en-NZ"/>
        </w:rPr>
        <w:t>c</w:t>
      </w:r>
      <w:r w:rsidR="00B17BDF" w:rsidRPr="00F4511C">
        <w:rPr>
          <w:rFonts w:cs="Arial"/>
          <w:lang w:val="en-NZ" w:eastAsia="en-NZ"/>
        </w:rPr>
        <w:t xml:space="preserve">ould </w:t>
      </w:r>
      <w:r w:rsidR="0077622A">
        <w:rPr>
          <w:rFonts w:cs="Arial"/>
          <w:lang w:val="en-NZ" w:eastAsia="en-NZ"/>
        </w:rPr>
        <w:t xml:space="preserve">also </w:t>
      </w:r>
      <w:r w:rsidR="00B17BDF" w:rsidRPr="00F4511C">
        <w:rPr>
          <w:rFonts w:cs="Arial"/>
          <w:lang w:val="en-NZ" w:eastAsia="en-NZ"/>
        </w:rPr>
        <w:t>reduce their appeal</w:t>
      </w:r>
      <w:r w:rsidRPr="00F4511C">
        <w:rPr>
          <w:rFonts w:cs="Arial"/>
          <w:lang w:val="en-NZ" w:eastAsia="en-NZ"/>
        </w:rPr>
        <w:t xml:space="preserve"> </w:t>
      </w:r>
      <w:r w:rsidR="12390614" w:rsidRPr="00F4511C">
        <w:rPr>
          <w:rFonts w:cs="Arial"/>
          <w:lang w:val="en-NZ" w:eastAsia="en-NZ"/>
        </w:rPr>
        <w:t>f</w:t>
      </w:r>
      <w:r w:rsidR="5B34AE71" w:rsidRPr="00F4511C">
        <w:rPr>
          <w:rFonts w:cs="Arial"/>
          <w:lang w:val="en-NZ" w:eastAsia="en-NZ"/>
        </w:rPr>
        <w:t>o</w:t>
      </w:r>
      <w:r w:rsidR="64D19682" w:rsidRPr="00F4511C">
        <w:rPr>
          <w:rFonts w:cs="Arial"/>
          <w:lang w:val="en-NZ" w:eastAsia="en-NZ"/>
        </w:rPr>
        <w:t>r</w:t>
      </w:r>
      <w:r w:rsidRPr="00F4511C">
        <w:rPr>
          <w:rFonts w:cs="Arial"/>
          <w:lang w:val="en-NZ" w:eastAsia="en-NZ"/>
        </w:rPr>
        <w:t xml:space="preserve"> young people</w:t>
      </w:r>
      <w:r w:rsidR="00B17BDF" w:rsidRPr="00F4511C">
        <w:rPr>
          <w:rFonts w:cs="Arial"/>
          <w:lang w:val="en-NZ" w:eastAsia="en-NZ"/>
        </w:rPr>
        <w:t xml:space="preserve">, as </w:t>
      </w:r>
      <w:r w:rsidR="00146DFE" w:rsidRPr="00F4511C">
        <w:rPr>
          <w:rFonts w:cs="Arial"/>
          <w:lang w:val="en-NZ" w:eastAsia="en-NZ"/>
        </w:rPr>
        <w:t xml:space="preserve">their cost </w:t>
      </w:r>
      <w:r w:rsidR="0077622A">
        <w:rPr>
          <w:rFonts w:cs="Arial"/>
          <w:lang w:val="en-NZ" w:eastAsia="en-NZ"/>
        </w:rPr>
        <w:t>may</w:t>
      </w:r>
      <w:r w:rsidR="00146DFE" w:rsidRPr="00F4511C">
        <w:rPr>
          <w:rFonts w:cs="Arial"/>
          <w:lang w:val="en-NZ" w:eastAsia="en-NZ"/>
        </w:rPr>
        <w:t xml:space="preserve"> increase </w:t>
      </w:r>
      <w:proofErr w:type="gramStart"/>
      <w:r w:rsidR="00146DFE" w:rsidRPr="00F4511C">
        <w:rPr>
          <w:rFonts w:cs="Arial"/>
          <w:lang w:val="en-NZ" w:eastAsia="en-NZ"/>
        </w:rPr>
        <w:t>as a consequence</w:t>
      </w:r>
      <w:proofErr w:type="gramEnd"/>
      <w:r w:rsidR="00146DFE" w:rsidRPr="00F4511C">
        <w:rPr>
          <w:rFonts w:cs="Arial"/>
          <w:lang w:val="en-NZ" w:eastAsia="en-NZ"/>
        </w:rPr>
        <w:t>.</w:t>
      </w:r>
    </w:p>
    <w:p w14:paraId="0463D6D6" w14:textId="0A00FF09" w:rsidR="00651208" w:rsidRPr="00850E55" w:rsidRDefault="45632671" w:rsidP="00F4511C">
      <w:pPr>
        <w:spacing w:before="120" w:after="120" w:line="240" w:lineRule="auto"/>
        <w:textAlignment w:val="baseline"/>
        <w:rPr>
          <w:rFonts w:cs="Arial"/>
          <w:lang w:val="en-NZ" w:eastAsia="en-NZ"/>
        </w:rPr>
      </w:pPr>
      <w:r w:rsidRPr="00F4511C">
        <w:rPr>
          <w:rFonts w:cs="Arial"/>
        </w:rPr>
        <w:t xml:space="preserve">The Ministry </w:t>
      </w:r>
      <w:r w:rsidR="00850E55" w:rsidRPr="00F4511C">
        <w:rPr>
          <w:rFonts w:cs="Arial"/>
        </w:rPr>
        <w:t>consulted on a proposal for</w:t>
      </w:r>
      <w:r w:rsidR="00850E55">
        <w:t xml:space="preserve"> the following additional product safety requirements for all vape products, </w:t>
      </w:r>
      <w:r w:rsidR="0080036B">
        <w:t>as well as</w:t>
      </w:r>
      <w:r w:rsidR="00850E55">
        <w:t xml:space="preserve"> limiting the allowable nicotine levels in disposable vapes</w:t>
      </w:r>
      <w:r w:rsidR="7FD24D56" w:rsidRPr="58911DBF">
        <w:rPr>
          <w:rFonts w:cs="Arial"/>
          <w:lang w:val="en-NZ" w:eastAsia="en-NZ"/>
        </w:rPr>
        <w:t>. The requirements as proposed were:</w:t>
      </w:r>
    </w:p>
    <w:tbl>
      <w:tblPr>
        <w:tblW w:w="90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5801"/>
      </w:tblGrid>
      <w:tr w:rsidR="00850E55" w:rsidRPr="00850E55" w14:paraId="25BD0185" w14:textId="77777777" w:rsidTr="14E07CE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19FE87EB" w14:textId="7A91454D" w:rsidR="00850E55" w:rsidRPr="00850E55" w:rsidRDefault="00850E55" w:rsidP="009016AB">
            <w:pPr>
              <w:spacing w:before="60" w:after="60" w:line="240" w:lineRule="auto"/>
              <w:jc w:val="both"/>
              <w:textAlignment w:val="baseline"/>
              <w:rPr>
                <w:rFonts w:ascii="Times New Roman" w:hAnsi="Times New Roman"/>
                <w:sz w:val="24"/>
                <w:szCs w:val="24"/>
                <w:lang w:val="en-NZ" w:eastAsia="en-NZ"/>
              </w:rPr>
            </w:pPr>
            <w:r w:rsidRPr="00850E55">
              <w:rPr>
                <w:rFonts w:cs="Arial"/>
                <w:b/>
                <w:bCs/>
                <w:sz w:val="20"/>
                <w:lang w:eastAsia="en-NZ"/>
              </w:rPr>
              <w:t>User safety mechanisms</w:t>
            </w:r>
          </w:p>
        </w:tc>
        <w:tc>
          <w:tcPr>
            <w:tcW w:w="5801" w:type="dxa"/>
            <w:tcBorders>
              <w:top w:val="single" w:sz="6" w:space="0" w:color="auto"/>
              <w:left w:val="single" w:sz="6" w:space="0" w:color="auto"/>
              <w:bottom w:val="single" w:sz="6" w:space="0" w:color="auto"/>
              <w:right w:val="single" w:sz="6" w:space="0" w:color="auto"/>
            </w:tcBorders>
            <w:shd w:val="clear" w:color="auto" w:fill="auto"/>
            <w:hideMark/>
          </w:tcPr>
          <w:p w14:paraId="54B10295" w14:textId="44DAB5F4" w:rsidR="00850E55" w:rsidRPr="00850E55" w:rsidRDefault="00850E55" w:rsidP="009016AB">
            <w:pPr>
              <w:spacing w:before="60" w:after="60" w:line="240" w:lineRule="auto"/>
              <w:textAlignment w:val="baseline"/>
              <w:rPr>
                <w:rFonts w:ascii="Times New Roman" w:hAnsi="Times New Roman"/>
                <w:sz w:val="24"/>
                <w:szCs w:val="24"/>
                <w:lang w:val="en-NZ" w:eastAsia="en-NZ"/>
              </w:rPr>
            </w:pPr>
            <w:r w:rsidRPr="00850E55">
              <w:rPr>
                <w:rFonts w:cs="Arial"/>
                <w:sz w:val="20"/>
                <w:lang w:eastAsia="en-NZ"/>
              </w:rPr>
              <w:t>all vaping devices must have a mechanism to prevent the device being activated or accidently operated by a child</w:t>
            </w:r>
          </w:p>
        </w:tc>
      </w:tr>
      <w:tr w:rsidR="00850E55" w:rsidRPr="00850E55" w14:paraId="5E265896" w14:textId="77777777" w:rsidTr="14E07CE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5EF01AAA" w14:textId="34E61A72" w:rsidR="00850E55" w:rsidRPr="00850E55" w:rsidRDefault="00850E55" w:rsidP="009016AB">
            <w:pPr>
              <w:spacing w:before="60" w:after="60" w:line="240" w:lineRule="auto"/>
              <w:jc w:val="both"/>
              <w:textAlignment w:val="baseline"/>
              <w:rPr>
                <w:rFonts w:ascii="Times New Roman" w:hAnsi="Times New Roman"/>
                <w:sz w:val="24"/>
                <w:szCs w:val="24"/>
                <w:lang w:val="en-NZ" w:eastAsia="en-NZ"/>
              </w:rPr>
            </w:pPr>
            <w:r w:rsidRPr="00850E55">
              <w:rPr>
                <w:rFonts w:cs="Arial"/>
                <w:b/>
                <w:bCs/>
                <w:sz w:val="20"/>
                <w:lang w:eastAsia="en-NZ"/>
              </w:rPr>
              <w:t>Removeable/replaceable batteries</w:t>
            </w:r>
          </w:p>
        </w:tc>
        <w:tc>
          <w:tcPr>
            <w:tcW w:w="5801" w:type="dxa"/>
            <w:tcBorders>
              <w:top w:val="single" w:sz="6" w:space="0" w:color="auto"/>
              <w:left w:val="single" w:sz="6" w:space="0" w:color="auto"/>
              <w:bottom w:val="single" w:sz="6" w:space="0" w:color="auto"/>
              <w:right w:val="single" w:sz="6" w:space="0" w:color="auto"/>
            </w:tcBorders>
            <w:shd w:val="clear" w:color="auto" w:fill="auto"/>
            <w:hideMark/>
          </w:tcPr>
          <w:p w14:paraId="3C3BD34F" w14:textId="75F8E53A" w:rsidR="00850E55" w:rsidRPr="00850E55" w:rsidRDefault="00850E55" w:rsidP="009016AB">
            <w:pPr>
              <w:spacing w:before="60" w:after="60" w:line="240" w:lineRule="auto"/>
              <w:textAlignment w:val="baseline"/>
              <w:rPr>
                <w:rFonts w:ascii="Times New Roman" w:hAnsi="Times New Roman"/>
                <w:sz w:val="24"/>
                <w:szCs w:val="24"/>
                <w:lang w:val="en-NZ" w:eastAsia="en-NZ"/>
              </w:rPr>
            </w:pPr>
            <w:r w:rsidRPr="61A924D9">
              <w:rPr>
                <w:rFonts w:cs="Arial"/>
                <w:sz w:val="20"/>
                <w:lang w:eastAsia="en-NZ"/>
              </w:rPr>
              <w:t>all vaping devices to have a removable battery to enable the battery to be inspected (and therefore prevent risk of battery failure/explosion</w:t>
            </w:r>
            <w:r w:rsidR="7142CD08" w:rsidRPr="61A924D9">
              <w:rPr>
                <w:rFonts w:cs="Arial"/>
                <w:sz w:val="20"/>
                <w:lang w:eastAsia="en-NZ"/>
              </w:rPr>
              <w:t>)</w:t>
            </w:r>
          </w:p>
        </w:tc>
      </w:tr>
      <w:tr w:rsidR="00850E55" w:rsidRPr="00850E55" w14:paraId="6E3B2422" w14:textId="77777777" w:rsidTr="14E07CE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00215900" w14:textId="0FAB2CE6" w:rsidR="00850E55" w:rsidRPr="00850E55" w:rsidRDefault="00850E55" w:rsidP="009016AB">
            <w:pPr>
              <w:spacing w:before="60" w:after="60" w:line="240" w:lineRule="auto"/>
              <w:jc w:val="both"/>
              <w:textAlignment w:val="baseline"/>
              <w:rPr>
                <w:rFonts w:ascii="Times New Roman" w:hAnsi="Times New Roman"/>
                <w:sz w:val="24"/>
                <w:szCs w:val="24"/>
                <w:lang w:val="en-NZ" w:eastAsia="en-NZ"/>
              </w:rPr>
            </w:pPr>
            <w:r w:rsidRPr="00850E55">
              <w:rPr>
                <w:rFonts w:cs="Arial"/>
                <w:b/>
                <w:bCs/>
                <w:sz w:val="20"/>
                <w:lang w:eastAsia="en-NZ"/>
              </w:rPr>
              <w:t>Substance container labelling</w:t>
            </w:r>
          </w:p>
        </w:tc>
        <w:tc>
          <w:tcPr>
            <w:tcW w:w="5801" w:type="dxa"/>
            <w:tcBorders>
              <w:top w:val="single" w:sz="6" w:space="0" w:color="auto"/>
              <w:left w:val="single" w:sz="6" w:space="0" w:color="auto"/>
              <w:bottom w:val="single" w:sz="6" w:space="0" w:color="auto"/>
              <w:right w:val="single" w:sz="6" w:space="0" w:color="auto"/>
            </w:tcBorders>
            <w:shd w:val="clear" w:color="auto" w:fill="auto"/>
            <w:hideMark/>
          </w:tcPr>
          <w:p w14:paraId="1A5FF4B3" w14:textId="51B91801" w:rsidR="00850E55" w:rsidRPr="00850E55" w:rsidRDefault="00850E55" w:rsidP="009016AB">
            <w:pPr>
              <w:spacing w:before="60" w:after="60" w:line="240" w:lineRule="auto"/>
              <w:ind w:left="15" w:hanging="15"/>
              <w:textAlignment w:val="baseline"/>
              <w:rPr>
                <w:rFonts w:ascii="Times New Roman" w:hAnsi="Times New Roman"/>
                <w:sz w:val="24"/>
                <w:szCs w:val="24"/>
                <w:lang w:val="en-NZ" w:eastAsia="en-NZ"/>
              </w:rPr>
            </w:pPr>
            <w:r w:rsidRPr="00850E55">
              <w:rPr>
                <w:rFonts w:cs="Arial"/>
                <w:sz w:val="20"/>
                <w:lang w:val="en-NZ" w:eastAsia="en-NZ"/>
              </w:rPr>
              <w:t>all vaping products must have the prescribed labels on substance containers, including single-use devices, where the container may be the device itself</w:t>
            </w:r>
          </w:p>
        </w:tc>
      </w:tr>
      <w:tr w:rsidR="00850E55" w:rsidRPr="00850E55" w14:paraId="55F1F3DF" w14:textId="77777777" w:rsidTr="14E07CE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6DE621E5" w14:textId="37DC0B52" w:rsidR="00850E55" w:rsidRPr="00850E55" w:rsidRDefault="00850E55" w:rsidP="009016AB">
            <w:pPr>
              <w:spacing w:before="60" w:after="60" w:line="240" w:lineRule="auto"/>
              <w:jc w:val="both"/>
              <w:textAlignment w:val="baseline"/>
              <w:rPr>
                <w:rFonts w:ascii="Times New Roman" w:hAnsi="Times New Roman"/>
                <w:sz w:val="24"/>
                <w:szCs w:val="24"/>
                <w:lang w:val="en-NZ" w:eastAsia="en-NZ"/>
              </w:rPr>
            </w:pPr>
            <w:r w:rsidRPr="00850E55">
              <w:rPr>
                <w:rFonts w:cs="Arial"/>
                <w:b/>
                <w:bCs/>
                <w:sz w:val="20"/>
                <w:lang w:eastAsia="en-NZ"/>
              </w:rPr>
              <w:t>Nicotine concentrations in non-refillable products</w:t>
            </w:r>
          </w:p>
        </w:tc>
        <w:tc>
          <w:tcPr>
            <w:tcW w:w="5801" w:type="dxa"/>
            <w:tcBorders>
              <w:top w:val="single" w:sz="6" w:space="0" w:color="auto"/>
              <w:left w:val="single" w:sz="6" w:space="0" w:color="auto"/>
              <w:bottom w:val="single" w:sz="6" w:space="0" w:color="auto"/>
              <w:right w:val="single" w:sz="6" w:space="0" w:color="auto"/>
            </w:tcBorders>
            <w:shd w:val="clear" w:color="auto" w:fill="auto"/>
            <w:hideMark/>
          </w:tcPr>
          <w:p w14:paraId="30AF2FAD" w14:textId="401F2602" w:rsidR="00850E55" w:rsidRPr="00850E55" w:rsidRDefault="00850E55" w:rsidP="009016AB">
            <w:pPr>
              <w:spacing w:before="60" w:after="60" w:line="240" w:lineRule="auto"/>
              <w:ind w:left="15" w:hanging="15"/>
              <w:textAlignment w:val="baseline"/>
              <w:rPr>
                <w:rFonts w:ascii="Times New Roman" w:hAnsi="Times New Roman"/>
                <w:sz w:val="24"/>
                <w:szCs w:val="24"/>
                <w:lang w:val="en-NZ" w:eastAsia="en-NZ"/>
              </w:rPr>
            </w:pPr>
            <w:r w:rsidRPr="00850E55">
              <w:rPr>
                <w:rFonts w:cs="Arial"/>
                <w:sz w:val="20"/>
                <w:lang w:val="en-NZ" w:eastAsia="en-NZ"/>
              </w:rPr>
              <w:t>reduce the maximum concentration of nicotine salts allowed in single-use products from 50mg/mL to 35mg/</w:t>
            </w:r>
            <w:proofErr w:type="spellStart"/>
            <w:r w:rsidRPr="00850E55">
              <w:rPr>
                <w:rFonts w:cs="Arial"/>
                <w:sz w:val="20"/>
                <w:lang w:val="en-NZ" w:eastAsia="en-NZ"/>
              </w:rPr>
              <w:t>mL</w:t>
            </w:r>
            <w:r w:rsidR="00D2015F">
              <w:rPr>
                <w:rFonts w:cs="Arial"/>
                <w:sz w:val="20"/>
                <w:lang w:val="en-NZ" w:eastAsia="en-NZ"/>
              </w:rPr>
              <w:t>.</w:t>
            </w:r>
            <w:proofErr w:type="spellEnd"/>
          </w:p>
          <w:p w14:paraId="4BC4BF76" w14:textId="6344B8CF" w:rsidR="00850E55" w:rsidRPr="00850E55" w:rsidRDefault="306F5684" w:rsidP="009016AB">
            <w:pPr>
              <w:spacing w:before="60" w:after="60" w:line="240" w:lineRule="auto"/>
              <w:textAlignment w:val="baseline"/>
              <w:rPr>
                <w:rFonts w:ascii="Times New Roman" w:hAnsi="Times New Roman"/>
                <w:sz w:val="24"/>
                <w:szCs w:val="24"/>
                <w:lang w:val="en-NZ" w:eastAsia="en-NZ"/>
              </w:rPr>
            </w:pPr>
            <w:r w:rsidRPr="14E07CEB">
              <w:rPr>
                <w:rFonts w:cs="Arial"/>
                <w:sz w:val="20"/>
                <w:lang w:eastAsia="en-NZ"/>
              </w:rPr>
              <w:t xml:space="preserve">nicotine levels must be displayed on single-use product labels in mg/mL and a </w:t>
            </w:r>
            <w:r w:rsidR="1281C9EE" w:rsidRPr="14E07CEB">
              <w:rPr>
                <w:rFonts w:cs="Arial"/>
                <w:sz w:val="20"/>
                <w:lang w:eastAsia="en-NZ"/>
              </w:rPr>
              <w:t>percent</w:t>
            </w:r>
            <w:r w:rsidRPr="14E07CEB">
              <w:rPr>
                <w:rFonts w:cs="Arial"/>
                <w:sz w:val="20"/>
                <w:lang w:eastAsia="en-NZ"/>
              </w:rPr>
              <w:t>age figure for nicotine/nicotine salt concentration is not sufficient</w:t>
            </w:r>
          </w:p>
        </w:tc>
      </w:tr>
      <w:tr w:rsidR="00850E55" w:rsidRPr="00850E55" w14:paraId="2DB9643D" w14:textId="77777777" w:rsidTr="14E07CE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3E25A254" w14:textId="321C9C86" w:rsidR="00850E55" w:rsidRPr="00850E55" w:rsidRDefault="00850E55" w:rsidP="009016AB">
            <w:pPr>
              <w:spacing w:before="60" w:after="60" w:line="240" w:lineRule="auto"/>
              <w:jc w:val="both"/>
              <w:textAlignment w:val="baseline"/>
              <w:rPr>
                <w:rFonts w:ascii="Times New Roman" w:hAnsi="Times New Roman"/>
                <w:sz w:val="24"/>
                <w:szCs w:val="24"/>
                <w:lang w:val="en-NZ" w:eastAsia="en-NZ"/>
              </w:rPr>
            </w:pPr>
            <w:r w:rsidRPr="00850E55">
              <w:rPr>
                <w:rFonts w:cs="Arial"/>
                <w:b/>
                <w:bCs/>
                <w:sz w:val="20"/>
                <w:lang w:eastAsia="en-NZ"/>
              </w:rPr>
              <w:t>Serial/batch numbers</w:t>
            </w:r>
          </w:p>
        </w:tc>
        <w:tc>
          <w:tcPr>
            <w:tcW w:w="5801" w:type="dxa"/>
            <w:tcBorders>
              <w:top w:val="single" w:sz="6" w:space="0" w:color="auto"/>
              <w:left w:val="single" w:sz="6" w:space="0" w:color="auto"/>
              <w:bottom w:val="single" w:sz="6" w:space="0" w:color="auto"/>
              <w:right w:val="single" w:sz="6" w:space="0" w:color="auto"/>
            </w:tcBorders>
            <w:shd w:val="clear" w:color="auto" w:fill="auto"/>
            <w:hideMark/>
          </w:tcPr>
          <w:p w14:paraId="44D15512" w14:textId="10A86016" w:rsidR="00850E55" w:rsidRPr="00850E55" w:rsidRDefault="00850E55" w:rsidP="009016AB">
            <w:pPr>
              <w:spacing w:before="60" w:after="60" w:line="240" w:lineRule="auto"/>
              <w:textAlignment w:val="baseline"/>
              <w:rPr>
                <w:rFonts w:ascii="Times New Roman" w:hAnsi="Times New Roman"/>
                <w:sz w:val="24"/>
                <w:szCs w:val="24"/>
                <w:lang w:val="en-NZ" w:eastAsia="en-NZ"/>
              </w:rPr>
            </w:pPr>
            <w:r w:rsidRPr="00850E55">
              <w:rPr>
                <w:rFonts w:cs="Arial"/>
                <w:sz w:val="20"/>
                <w:lang w:eastAsia="en-NZ"/>
              </w:rPr>
              <w:t>require serial/batch numbers on the single-use devices to ensure they can be traced in the event of a reaction</w:t>
            </w:r>
          </w:p>
        </w:tc>
      </w:tr>
    </w:tbl>
    <w:p w14:paraId="3C4743B0" w14:textId="5799DA37" w:rsidR="00850E55" w:rsidRPr="00850E55" w:rsidRDefault="00850E55" w:rsidP="00F4511C">
      <w:pPr>
        <w:spacing w:before="120" w:after="120" w:line="240" w:lineRule="auto"/>
        <w:textAlignment w:val="baseline"/>
        <w:rPr>
          <w:rFonts w:ascii="Segoe UI" w:hAnsi="Segoe UI" w:cs="Segoe UI"/>
          <w:sz w:val="18"/>
          <w:szCs w:val="18"/>
          <w:lang w:val="en-NZ" w:eastAsia="en-NZ"/>
        </w:rPr>
      </w:pPr>
      <w:r w:rsidRPr="02D6F528">
        <w:rPr>
          <w:rFonts w:cs="Arial"/>
          <w:i/>
          <w:lang w:val="en-NZ" w:eastAsia="en-NZ"/>
        </w:rPr>
        <w:t>Consultation feedback</w:t>
      </w:r>
    </w:p>
    <w:p w14:paraId="14FC9460" w14:textId="46EC1DD5" w:rsidR="00850E55" w:rsidRPr="00850E55" w:rsidRDefault="00850E55" w:rsidP="00F4511C">
      <w:pPr>
        <w:spacing w:before="120" w:after="120" w:line="240" w:lineRule="auto"/>
        <w:textAlignment w:val="baseline"/>
        <w:rPr>
          <w:rFonts w:ascii="Segoe UI" w:hAnsi="Segoe UI" w:cs="Segoe UI"/>
          <w:sz w:val="18"/>
          <w:szCs w:val="18"/>
          <w:lang w:val="en-NZ" w:eastAsia="en-NZ"/>
        </w:rPr>
      </w:pPr>
      <w:r w:rsidRPr="58911DBF">
        <w:rPr>
          <w:rFonts w:cs="Arial"/>
          <w:lang w:val="en-NZ" w:eastAsia="en-NZ"/>
        </w:rPr>
        <w:t xml:space="preserve">Feedback from consultation was extensive. Some stakeholders wanted to ban disposable vapes completely. This is out of scope of this RIS as banning the products would require an amendment to the </w:t>
      </w:r>
      <w:r w:rsidR="004C1916">
        <w:rPr>
          <w:rFonts w:cs="Arial"/>
          <w:lang w:val="en-NZ" w:eastAsia="en-NZ"/>
        </w:rPr>
        <w:t xml:space="preserve">Smokefree </w:t>
      </w:r>
      <w:r w:rsidRPr="58911DBF">
        <w:rPr>
          <w:rFonts w:cs="Arial"/>
          <w:lang w:val="en-NZ" w:eastAsia="en-NZ"/>
        </w:rPr>
        <w:t>Act.</w:t>
      </w:r>
    </w:p>
    <w:p w14:paraId="25D7F5F1" w14:textId="6DDED128" w:rsidR="701D661A" w:rsidRDefault="77D52F14" w:rsidP="002478F4">
      <w:pPr>
        <w:spacing w:before="120" w:after="120" w:line="240" w:lineRule="auto"/>
        <w:rPr>
          <w:rFonts w:eastAsia="Arial" w:cs="Arial"/>
          <w:lang w:val="en-NZ"/>
        </w:rPr>
      </w:pPr>
      <w:r w:rsidRPr="33A45F9F">
        <w:rPr>
          <w:rFonts w:eastAsia="Arial" w:cs="Arial"/>
          <w:lang w:val="en-NZ"/>
        </w:rPr>
        <w:t xml:space="preserve">Many submitters supported the reduction in nicotine levels in disposable vapes and there was consistent support </w:t>
      </w:r>
      <w:r w:rsidR="6560D594" w:rsidRPr="0CEB7148">
        <w:rPr>
          <w:rFonts w:eastAsia="Arial" w:cs="Arial"/>
          <w:lang w:val="en-NZ"/>
        </w:rPr>
        <w:t xml:space="preserve">for </w:t>
      </w:r>
      <w:r w:rsidR="12BD38B5" w:rsidRPr="0CEB7148">
        <w:rPr>
          <w:rFonts w:eastAsia="Arial" w:cs="Arial"/>
          <w:lang w:val="en-NZ"/>
        </w:rPr>
        <w:t>these</w:t>
      </w:r>
      <w:r w:rsidRPr="33A45F9F">
        <w:rPr>
          <w:rFonts w:eastAsia="Arial" w:cs="Arial"/>
          <w:lang w:val="en-NZ"/>
        </w:rPr>
        <w:t xml:space="preserve"> levels </w:t>
      </w:r>
      <w:r w:rsidR="7793633C" w:rsidRPr="358C6E00">
        <w:rPr>
          <w:rFonts w:eastAsia="Arial" w:cs="Arial"/>
          <w:lang w:val="en-NZ"/>
        </w:rPr>
        <w:t>to</w:t>
      </w:r>
      <w:r w:rsidRPr="33A45F9F">
        <w:rPr>
          <w:rFonts w:eastAsia="Arial" w:cs="Arial"/>
          <w:lang w:val="en-NZ"/>
        </w:rPr>
        <w:t xml:space="preserve"> be even lower. Others were concerned that disposable vapes would become more expensive/less available and therefore less accessible to those wishing to quit smoking. Industry submitters did not support reducing nicotine levels and argued that different levels for reusable and disposable vapes would be confusing and may impact on people’s ability to successfully stop smoking.</w:t>
      </w:r>
    </w:p>
    <w:p w14:paraId="1F3FE1BB" w14:textId="250394F9" w:rsidR="00915CB2" w:rsidRDefault="701D661A" w:rsidP="00F4511C">
      <w:pPr>
        <w:spacing w:before="120" w:after="120" w:line="240" w:lineRule="auto"/>
        <w:textAlignment w:val="baseline"/>
        <w:rPr>
          <w:rFonts w:eastAsia="Arial" w:cs="Arial"/>
          <w:lang w:val="en-NZ"/>
        </w:rPr>
      </w:pPr>
      <w:r w:rsidRPr="7C387F6B">
        <w:rPr>
          <w:rFonts w:eastAsia="Arial" w:cs="Arial"/>
          <w:lang w:val="en-NZ"/>
        </w:rPr>
        <w:t xml:space="preserve">There was </w:t>
      </w:r>
      <w:r w:rsidR="00351AF8">
        <w:rPr>
          <w:rFonts w:eastAsia="Arial" w:cs="Arial"/>
          <w:lang w:val="en-NZ"/>
        </w:rPr>
        <w:t xml:space="preserve">some </w:t>
      </w:r>
      <w:r w:rsidRPr="7C387F6B">
        <w:rPr>
          <w:rFonts w:eastAsia="Arial" w:cs="Arial"/>
          <w:lang w:val="en-NZ"/>
        </w:rPr>
        <w:t xml:space="preserve">concern </w:t>
      </w:r>
      <w:r w:rsidR="00351AF8">
        <w:rPr>
          <w:rFonts w:eastAsia="Arial" w:cs="Arial"/>
          <w:lang w:val="en-NZ"/>
        </w:rPr>
        <w:t xml:space="preserve">from industry </w:t>
      </w:r>
      <w:r w:rsidRPr="7C387F6B">
        <w:rPr>
          <w:rFonts w:eastAsia="Arial" w:cs="Arial"/>
          <w:lang w:val="en-NZ"/>
        </w:rPr>
        <w:t xml:space="preserve">around the requirements for removeable/replaceable batteries, due to manufacturers ability to safely implement such changes across all vape products. For example, submissions noted that </w:t>
      </w:r>
      <w:proofErr w:type="gramStart"/>
      <w:r w:rsidRPr="7C387F6B">
        <w:rPr>
          <w:rFonts w:eastAsia="Arial" w:cs="Arial"/>
          <w:lang w:val="en-NZ"/>
        </w:rPr>
        <w:t>the majority of</w:t>
      </w:r>
      <w:proofErr w:type="gramEnd"/>
      <w:r w:rsidRPr="7C387F6B">
        <w:rPr>
          <w:rFonts w:eastAsia="Arial" w:cs="Arial"/>
          <w:lang w:val="en-NZ"/>
        </w:rPr>
        <w:t xml:space="preserve"> vaping devices notified in </w:t>
      </w:r>
      <w:r w:rsidR="35ED8418" w:rsidRPr="7C387F6B">
        <w:rPr>
          <w:rFonts w:eastAsia="Arial" w:cs="Arial"/>
          <w:lang w:val="en-NZ"/>
        </w:rPr>
        <w:t>Aotearoa (both reusable and disposable) contain securely sealed inbuilt batteries</w:t>
      </w:r>
      <w:r w:rsidR="00AD1742">
        <w:rPr>
          <w:rFonts w:eastAsia="Arial" w:cs="Arial"/>
          <w:lang w:val="en-NZ"/>
        </w:rPr>
        <w:t xml:space="preserve"> and</w:t>
      </w:r>
      <w:r w:rsidR="00FC2B8C">
        <w:rPr>
          <w:rFonts w:eastAsia="Arial" w:cs="Arial"/>
          <w:lang w:val="en-NZ"/>
        </w:rPr>
        <w:t xml:space="preserve"> the proposed requirements</w:t>
      </w:r>
      <w:r w:rsidR="35ED8418" w:rsidRPr="7C387F6B">
        <w:rPr>
          <w:rFonts w:eastAsia="Arial" w:cs="Arial"/>
          <w:lang w:val="en-NZ"/>
        </w:rPr>
        <w:t xml:space="preserve"> </w:t>
      </w:r>
      <w:r w:rsidR="000675C1">
        <w:rPr>
          <w:rFonts w:eastAsia="Arial" w:cs="Arial"/>
          <w:lang w:val="en-NZ"/>
        </w:rPr>
        <w:t>may</w:t>
      </w:r>
      <w:r w:rsidR="000675C1" w:rsidRPr="7C387F6B">
        <w:rPr>
          <w:rFonts w:eastAsia="Arial" w:cs="Arial"/>
          <w:lang w:val="en-NZ"/>
        </w:rPr>
        <w:t xml:space="preserve"> </w:t>
      </w:r>
      <w:r w:rsidR="35ED8418" w:rsidRPr="7C387F6B">
        <w:rPr>
          <w:rFonts w:eastAsia="Arial" w:cs="Arial"/>
          <w:lang w:val="en-NZ"/>
        </w:rPr>
        <w:t xml:space="preserve">inadvertently </w:t>
      </w:r>
      <w:r w:rsidR="007E3049">
        <w:rPr>
          <w:rFonts w:eastAsia="Arial" w:cs="Arial"/>
          <w:lang w:val="en-NZ"/>
        </w:rPr>
        <w:t>reduce the supply of</w:t>
      </w:r>
      <w:r w:rsidR="35ED8418" w:rsidRPr="7C387F6B">
        <w:rPr>
          <w:rFonts w:eastAsia="Arial" w:cs="Arial"/>
          <w:lang w:val="en-NZ"/>
        </w:rPr>
        <w:t xml:space="preserve"> reusable vape</w:t>
      </w:r>
      <w:r w:rsidR="000675C1">
        <w:rPr>
          <w:rFonts w:eastAsia="Arial" w:cs="Arial"/>
          <w:lang w:val="en-NZ"/>
        </w:rPr>
        <w:t>s</w:t>
      </w:r>
      <w:r w:rsidR="35ED8418" w:rsidRPr="7C387F6B">
        <w:rPr>
          <w:rFonts w:eastAsia="Arial" w:cs="Arial"/>
          <w:lang w:val="en-NZ"/>
        </w:rPr>
        <w:t xml:space="preserve"> </w:t>
      </w:r>
      <w:r w:rsidR="000675C1">
        <w:rPr>
          <w:rFonts w:eastAsia="Arial" w:cs="Arial"/>
          <w:lang w:val="en-NZ"/>
        </w:rPr>
        <w:t xml:space="preserve">on the </w:t>
      </w:r>
      <w:r w:rsidR="35ED8418" w:rsidRPr="7C387F6B">
        <w:rPr>
          <w:rFonts w:eastAsia="Arial" w:cs="Arial"/>
          <w:lang w:val="en-NZ"/>
        </w:rPr>
        <w:t>market for adults wishing to quit smoking, at a time when legislative policies will be encouraging large numbers of adults who smoke to switch to vaping.</w:t>
      </w:r>
    </w:p>
    <w:p w14:paraId="434EF3E0" w14:textId="6D372B28" w:rsidR="00850E55" w:rsidRPr="00850E55" w:rsidRDefault="00850E55" w:rsidP="00F4511C">
      <w:pPr>
        <w:spacing w:before="120" w:after="120" w:line="240" w:lineRule="auto"/>
        <w:textAlignment w:val="baseline"/>
        <w:rPr>
          <w:rFonts w:ascii="Segoe UI" w:hAnsi="Segoe UI" w:cs="Segoe UI"/>
          <w:sz w:val="18"/>
          <w:szCs w:val="18"/>
          <w:lang w:val="en-NZ" w:eastAsia="en-NZ"/>
        </w:rPr>
      </w:pPr>
      <w:r w:rsidRPr="49764FD6">
        <w:rPr>
          <w:rFonts w:cs="Arial"/>
          <w:lang w:val="en-NZ" w:eastAsia="en-NZ"/>
        </w:rPr>
        <w:t xml:space="preserve">The options </w:t>
      </w:r>
      <w:r w:rsidR="00D74DA3" w:rsidRPr="49764FD6">
        <w:rPr>
          <w:rFonts w:cs="Arial"/>
          <w:lang w:val="en-NZ" w:eastAsia="en-NZ"/>
        </w:rPr>
        <w:t xml:space="preserve">for addressing </w:t>
      </w:r>
      <w:r w:rsidR="3BB006D9" w:rsidRPr="49764FD6">
        <w:rPr>
          <w:rFonts w:cs="Arial"/>
          <w:lang w:val="en-NZ" w:eastAsia="en-NZ"/>
        </w:rPr>
        <w:t xml:space="preserve">product </w:t>
      </w:r>
      <w:r w:rsidR="00D74DA3" w:rsidRPr="49764FD6">
        <w:rPr>
          <w:rFonts w:cs="Arial"/>
          <w:lang w:val="en-NZ" w:eastAsia="en-NZ"/>
        </w:rPr>
        <w:t>safety concerns</w:t>
      </w:r>
      <w:r w:rsidR="00EC025F">
        <w:rPr>
          <w:rFonts w:cs="Arial"/>
          <w:lang w:val="en-NZ" w:eastAsia="en-NZ"/>
        </w:rPr>
        <w:t xml:space="preserve"> and </w:t>
      </w:r>
      <w:r w:rsidR="003163E2">
        <w:rPr>
          <w:rFonts w:cs="Arial"/>
          <w:lang w:val="en-NZ" w:eastAsia="en-NZ"/>
        </w:rPr>
        <w:t>addictive nicotine salt levels</w:t>
      </w:r>
      <w:r w:rsidR="00A015E5">
        <w:rPr>
          <w:rFonts w:cs="Arial"/>
          <w:lang w:val="en-NZ" w:eastAsia="en-NZ"/>
        </w:rPr>
        <w:t xml:space="preserve"> in disposable vapes</w:t>
      </w:r>
      <w:r w:rsidR="00D74DA3" w:rsidRPr="49764FD6">
        <w:rPr>
          <w:rFonts w:cs="Arial"/>
          <w:lang w:val="en-NZ" w:eastAsia="en-NZ"/>
        </w:rPr>
        <w:t xml:space="preserve"> </w:t>
      </w:r>
      <w:r w:rsidRPr="49764FD6">
        <w:rPr>
          <w:rFonts w:cs="Arial"/>
          <w:lang w:val="en-NZ" w:eastAsia="en-NZ"/>
        </w:rPr>
        <w:t>are:</w:t>
      </w:r>
    </w:p>
    <w:p w14:paraId="4212A1F0" w14:textId="467B1F54" w:rsidR="00D74DA3" w:rsidRPr="00D74DA3" w:rsidRDefault="00850E55" w:rsidP="00F4511C">
      <w:pPr>
        <w:pStyle w:val="Heading4"/>
        <w:spacing w:after="120"/>
        <w:rPr>
          <w:lang w:val="en-NZ" w:eastAsia="en-NZ"/>
        </w:rPr>
      </w:pPr>
      <w:r w:rsidRPr="00850E55">
        <w:rPr>
          <w:lang w:val="en-NZ" w:eastAsia="en-NZ"/>
        </w:rPr>
        <w:t xml:space="preserve">Option </w:t>
      </w:r>
      <w:r w:rsidR="008B7786">
        <w:rPr>
          <w:lang w:val="en-NZ" w:eastAsia="en-NZ"/>
        </w:rPr>
        <w:t>1</w:t>
      </w:r>
      <w:r w:rsidR="00D74DA3">
        <w:rPr>
          <w:lang w:val="en-NZ" w:eastAsia="en-NZ"/>
        </w:rPr>
        <w:t xml:space="preserve"> – St</w:t>
      </w:r>
      <w:r w:rsidRPr="00850E55">
        <w:rPr>
          <w:lang w:val="en-NZ" w:eastAsia="en-NZ"/>
        </w:rPr>
        <w:t xml:space="preserve">atus </w:t>
      </w:r>
      <w:r w:rsidR="00D74DA3">
        <w:rPr>
          <w:lang w:val="en-NZ" w:eastAsia="en-NZ"/>
        </w:rPr>
        <w:t>Q</w:t>
      </w:r>
      <w:r w:rsidRPr="00850E55">
        <w:rPr>
          <w:lang w:val="en-NZ" w:eastAsia="en-NZ"/>
        </w:rPr>
        <w:t>uo</w:t>
      </w:r>
    </w:p>
    <w:p w14:paraId="46EEACBF" w14:textId="75B5A89F" w:rsidR="00850E55" w:rsidRPr="00850E55" w:rsidRDefault="00D74DA3" w:rsidP="00F4511C">
      <w:pPr>
        <w:spacing w:before="120" w:after="120" w:line="240" w:lineRule="auto"/>
        <w:textAlignment w:val="baseline"/>
        <w:rPr>
          <w:rFonts w:ascii="Segoe UI" w:hAnsi="Segoe UI" w:cs="Segoe UI"/>
          <w:sz w:val="18"/>
          <w:szCs w:val="18"/>
          <w:lang w:val="en-NZ" w:eastAsia="en-NZ"/>
        </w:rPr>
      </w:pPr>
      <w:r w:rsidRPr="00D74DA3">
        <w:rPr>
          <w:rFonts w:cs="Arial"/>
          <w:szCs w:val="22"/>
          <w:lang w:val="en-NZ" w:eastAsia="en-NZ"/>
        </w:rPr>
        <w:t>N</w:t>
      </w:r>
      <w:r w:rsidR="00850E55" w:rsidRPr="00850E55">
        <w:rPr>
          <w:rFonts w:cs="Arial"/>
          <w:szCs w:val="22"/>
          <w:lang w:val="en-NZ" w:eastAsia="en-NZ"/>
        </w:rPr>
        <w:t>o changes to existing product safety standards.</w:t>
      </w:r>
    </w:p>
    <w:p w14:paraId="18A560C9" w14:textId="166D1CC0" w:rsidR="00D74DA3" w:rsidRPr="00D74DA3" w:rsidRDefault="00850E55" w:rsidP="00F4511C">
      <w:pPr>
        <w:pStyle w:val="Heading4"/>
        <w:spacing w:after="120"/>
        <w:rPr>
          <w:lang w:val="en-NZ" w:eastAsia="en-NZ"/>
        </w:rPr>
      </w:pPr>
      <w:r w:rsidRPr="00850E55">
        <w:rPr>
          <w:lang w:val="en-NZ" w:eastAsia="en-NZ"/>
        </w:rPr>
        <w:t xml:space="preserve">Option </w:t>
      </w:r>
      <w:r w:rsidR="008B7786">
        <w:rPr>
          <w:lang w:val="en-NZ" w:eastAsia="en-NZ"/>
        </w:rPr>
        <w:t>2</w:t>
      </w:r>
    </w:p>
    <w:p w14:paraId="4D65E318" w14:textId="5E3A9C9D" w:rsidR="00850E55" w:rsidRPr="00850E55" w:rsidRDefault="00D74DA3" w:rsidP="00F4511C">
      <w:pPr>
        <w:spacing w:before="120" w:after="120" w:line="240" w:lineRule="auto"/>
        <w:textAlignment w:val="baseline"/>
        <w:rPr>
          <w:rFonts w:ascii="Segoe UI" w:hAnsi="Segoe UI" w:cs="Segoe UI"/>
          <w:sz w:val="18"/>
          <w:szCs w:val="18"/>
          <w:lang w:val="en-NZ" w:eastAsia="en-NZ"/>
        </w:rPr>
      </w:pPr>
      <w:r w:rsidRPr="0ADD35AD">
        <w:rPr>
          <w:rFonts w:cs="Arial"/>
          <w:lang w:val="en-NZ" w:eastAsia="en-NZ"/>
        </w:rPr>
        <w:t>A</w:t>
      </w:r>
      <w:r w:rsidR="00850E55" w:rsidRPr="0ADD35AD">
        <w:rPr>
          <w:rFonts w:cs="Arial"/>
          <w:lang w:val="en-NZ" w:eastAsia="en-NZ"/>
        </w:rPr>
        <w:t xml:space="preserve">dditional product safety requirements for reusable and </w:t>
      </w:r>
      <w:r w:rsidR="00C87B33">
        <w:rPr>
          <w:rFonts w:cs="Arial"/>
          <w:lang w:val="en-NZ" w:eastAsia="en-NZ"/>
        </w:rPr>
        <w:t>single-use</w:t>
      </w:r>
      <w:r w:rsidR="00850E55" w:rsidRPr="0ADD35AD">
        <w:rPr>
          <w:rFonts w:cs="Arial"/>
          <w:lang w:val="en-NZ" w:eastAsia="en-NZ"/>
        </w:rPr>
        <w:t xml:space="preserve"> products. This option adds additional product safety requirements to those already place in regulations.</w:t>
      </w:r>
    </w:p>
    <w:p w14:paraId="778E8F5C" w14:textId="3139AFD9" w:rsidR="00D74DA3" w:rsidRPr="00D74DA3" w:rsidRDefault="00850E55" w:rsidP="00F4511C">
      <w:pPr>
        <w:pStyle w:val="Heading4"/>
        <w:spacing w:after="120"/>
        <w:rPr>
          <w:lang w:val="en-NZ" w:eastAsia="en-NZ"/>
        </w:rPr>
      </w:pPr>
      <w:r w:rsidRPr="00850E55">
        <w:rPr>
          <w:lang w:val="en-NZ" w:eastAsia="en-NZ"/>
        </w:rPr>
        <w:t xml:space="preserve">Option </w:t>
      </w:r>
      <w:r w:rsidR="008B7786">
        <w:rPr>
          <w:lang w:val="en-NZ" w:eastAsia="en-NZ"/>
        </w:rPr>
        <w:t>3</w:t>
      </w:r>
    </w:p>
    <w:p w14:paraId="09F87E08" w14:textId="05D53C85" w:rsidR="00850E55" w:rsidRDefault="188F9012" w:rsidP="00F4511C">
      <w:pPr>
        <w:spacing w:before="120" w:after="120" w:line="240" w:lineRule="auto"/>
        <w:textAlignment w:val="baseline"/>
        <w:rPr>
          <w:rFonts w:cs="Arial"/>
          <w:lang w:val="en-NZ" w:eastAsia="en-NZ"/>
        </w:rPr>
      </w:pPr>
      <w:r w:rsidRPr="33A45F9F">
        <w:rPr>
          <w:rFonts w:cs="Arial"/>
          <w:lang w:val="en-NZ" w:eastAsia="en-NZ"/>
        </w:rPr>
        <w:t>R</w:t>
      </w:r>
      <w:r w:rsidR="0CF62FB2" w:rsidRPr="33A45F9F">
        <w:rPr>
          <w:rFonts w:cs="Arial"/>
          <w:lang w:val="en-NZ" w:eastAsia="en-NZ"/>
        </w:rPr>
        <w:t xml:space="preserve">educe nicotine levels in </w:t>
      </w:r>
      <w:r w:rsidR="00C87B33">
        <w:rPr>
          <w:rFonts w:cs="Arial"/>
          <w:lang w:val="en-NZ" w:eastAsia="en-NZ"/>
        </w:rPr>
        <w:t>single-use</w:t>
      </w:r>
      <w:r w:rsidR="0CF62FB2" w:rsidRPr="33A45F9F">
        <w:rPr>
          <w:rFonts w:cs="Arial"/>
          <w:lang w:val="en-NZ" w:eastAsia="en-NZ"/>
        </w:rPr>
        <w:t xml:space="preserve"> products. This option proposes to limit the allowable </w:t>
      </w:r>
      <w:r w:rsidR="00121711">
        <w:rPr>
          <w:rFonts w:cs="Arial"/>
          <w:lang w:val="en-NZ" w:eastAsia="en-NZ"/>
        </w:rPr>
        <w:t>maximum concentration of</w:t>
      </w:r>
      <w:r w:rsidR="00484D3E">
        <w:rPr>
          <w:rFonts w:cs="Arial"/>
          <w:lang w:val="en-NZ" w:eastAsia="en-NZ"/>
        </w:rPr>
        <w:t xml:space="preserve"> </w:t>
      </w:r>
      <w:r w:rsidR="0CF62FB2" w:rsidRPr="33A45F9F">
        <w:rPr>
          <w:rFonts w:cs="Arial"/>
          <w:lang w:val="en-NZ" w:eastAsia="en-NZ"/>
        </w:rPr>
        <w:t xml:space="preserve">nicotine </w:t>
      </w:r>
      <w:r w:rsidR="00484D3E">
        <w:rPr>
          <w:rFonts w:cs="Arial"/>
          <w:lang w:val="en-NZ" w:eastAsia="en-NZ"/>
        </w:rPr>
        <w:t xml:space="preserve">salt </w:t>
      </w:r>
      <w:r w:rsidR="0CF62FB2" w:rsidRPr="33A45F9F">
        <w:rPr>
          <w:rFonts w:cs="Arial"/>
          <w:lang w:val="en-NZ" w:eastAsia="en-NZ"/>
        </w:rPr>
        <w:t>levels in disposable vapes to 35mg</w:t>
      </w:r>
      <w:r w:rsidR="505BE7EE" w:rsidRPr="33A45F9F">
        <w:rPr>
          <w:rFonts w:cs="Arial"/>
          <w:lang w:val="en-NZ" w:eastAsia="en-NZ"/>
        </w:rPr>
        <w:t xml:space="preserve"> per </w:t>
      </w:r>
      <w:proofErr w:type="spellStart"/>
      <w:r w:rsidR="0CF62FB2" w:rsidRPr="33A45F9F">
        <w:rPr>
          <w:rFonts w:cs="Arial"/>
          <w:lang w:val="en-NZ" w:eastAsia="en-NZ"/>
        </w:rPr>
        <w:t>mL.</w:t>
      </w:r>
      <w:proofErr w:type="spellEnd"/>
    </w:p>
    <w:p w14:paraId="01E57F79" w14:textId="7EE1786F" w:rsidR="0000013C" w:rsidRPr="00A65799" w:rsidRDefault="0000013C" w:rsidP="00F951A2">
      <w:pPr>
        <w:spacing w:after="60" w:line="240" w:lineRule="auto"/>
        <w:textAlignment w:val="baseline"/>
        <w:rPr>
          <w:rFonts w:cs="Arial"/>
          <w:lang w:val="en-NZ" w:eastAsia="en-NZ"/>
        </w:rPr>
      </w:pPr>
      <w:r w:rsidRPr="57AF1BDB">
        <w:rPr>
          <w:rFonts w:cs="Arial"/>
          <w:b/>
          <w:bCs/>
          <w:sz w:val="20"/>
          <w:lang w:eastAsia="en-NZ"/>
        </w:rPr>
        <w:t xml:space="preserve">Table </w:t>
      </w:r>
      <w:r w:rsidR="008B7786">
        <w:rPr>
          <w:rFonts w:cs="Arial"/>
          <w:b/>
          <w:bCs/>
          <w:sz w:val="20"/>
          <w:lang w:eastAsia="en-NZ"/>
        </w:rPr>
        <w:t>14</w:t>
      </w:r>
      <w:r w:rsidRPr="57AF1BDB">
        <w:rPr>
          <w:rFonts w:cs="Arial"/>
          <w:b/>
          <w:bCs/>
          <w:sz w:val="20"/>
          <w:lang w:eastAsia="en-NZ"/>
        </w:rPr>
        <w:t>: Comparison of options </w:t>
      </w:r>
      <w:r w:rsidRPr="57AF1BDB">
        <w:rPr>
          <w:rFonts w:cs="Arial"/>
          <w:sz w:val="20"/>
          <w:lang w:val="en-NZ" w:eastAsia="en-NZ"/>
        </w:rPr>
        <w:t> </w:t>
      </w: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2265"/>
        <w:gridCol w:w="3264"/>
        <w:gridCol w:w="2226"/>
      </w:tblGrid>
      <w:tr w:rsidR="0000013C" w:rsidRPr="0000013C" w14:paraId="67C5A906" w14:textId="77777777" w:rsidTr="00F5293A">
        <w:trPr>
          <w:trHeight w:val="30"/>
        </w:trPr>
        <w:tc>
          <w:tcPr>
            <w:tcW w:w="1275" w:type="dxa"/>
            <w:tcBorders>
              <w:top w:val="single" w:sz="6" w:space="0" w:color="auto"/>
              <w:left w:val="nil"/>
              <w:bottom w:val="single" w:sz="6" w:space="0" w:color="auto"/>
              <w:right w:val="nil"/>
            </w:tcBorders>
            <w:shd w:val="clear" w:color="auto" w:fill="auto"/>
            <w:hideMark/>
          </w:tcPr>
          <w:p w14:paraId="5C5808B1" w14:textId="77777777" w:rsidR="0000013C" w:rsidRPr="00A65799" w:rsidRDefault="0000013C" w:rsidP="009016AB">
            <w:pPr>
              <w:spacing w:before="60" w:after="60" w:line="240" w:lineRule="auto"/>
              <w:textAlignment w:val="baseline"/>
              <w:rPr>
                <w:rFonts w:cs="Arial"/>
                <w:sz w:val="18"/>
                <w:szCs w:val="18"/>
                <w:lang w:val="en-NZ" w:eastAsia="en-NZ"/>
              </w:rPr>
            </w:pPr>
            <w:r w:rsidRPr="00A65799">
              <w:rPr>
                <w:rFonts w:cs="Arial"/>
                <w:b/>
                <w:sz w:val="18"/>
                <w:szCs w:val="18"/>
                <w:lang w:eastAsia="en-NZ"/>
              </w:rPr>
              <w:t>Options</w:t>
            </w:r>
            <w:r w:rsidRPr="00A65799">
              <w:rPr>
                <w:rFonts w:cs="Arial"/>
                <w:sz w:val="18"/>
                <w:szCs w:val="18"/>
                <w:lang w:val="en-NZ" w:eastAsia="en-NZ"/>
              </w:rPr>
              <w:t> </w:t>
            </w:r>
          </w:p>
        </w:tc>
        <w:tc>
          <w:tcPr>
            <w:tcW w:w="2265" w:type="dxa"/>
            <w:tcBorders>
              <w:top w:val="single" w:sz="6" w:space="0" w:color="auto"/>
              <w:left w:val="nil"/>
              <w:bottom w:val="single" w:sz="6" w:space="0" w:color="auto"/>
              <w:right w:val="nil"/>
            </w:tcBorders>
            <w:shd w:val="clear" w:color="auto" w:fill="auto"/>
            <w:hideMark/>
          </w:tcPr>
          <w:p w14:paraId="38525B6F" w14:textId="415FA369" w:rsidR="0000013C" w:rsidRPr="00A65799" w:rsidRDefault="0000013C" w:rsidP="009016AB">
            <w:pPr>
              <w:spacing w:before="60" w:after="60" w:line="240" w:lineRule="auto"/>
              <w:textAlignment w:val="baseline"/>
              <w:rPr>
                <w:rFonts w:cs="Arial"/>
                <w:sz w:val="18"/>
                <w:szCs w:val="18"/>
                <w:lang w:val="en-NZ" w:eastAsia="en-NZ"/>
              </w:rPr>
            </w:pPr>
            <w:r w:rsidRPr="00A65799">
              <w:rPr>
                <w:rFonts w:cs="Arial"/>
                <w:b/>
                <w:sz w:val="18"/>
                <w:szCs w:val="18"/>
                <w:lang w:eastAsia="en-NZ"/>
              </w:rPr>
              <w:t>Option 1 (status quo):</w:t>
            </w:r>
            <w:r w:rsidRPr="00A65799">
              <w:rPr>
                <w:rFonts w:cs="Arial"/>
                <w:sz w:val="18"/>
                <w:szCs w:val="18"/>
                <w:lang w:eastAsia="en-NZ"/>
              </w:rPr>
              <w:t xml:space="preserve"> no changes to regs</w:t>
            </w:r>
          </w:p>
        </w:tc>
        <w:tc>
          <w:tcPr>
            <w:tcW w:w="3264" w:type="dxa"/>
            <w:tcBorders>
              <w:top w:val="single" w:sz="6" w:space="0" w:color="auto"/>
              <w:left w:val="nil"/>
              <w:bottom w:val="single" w:sz="6" w:space="0" w:color="auto"/>
              <w:right w:val="nil"/>
            </w:tcBorders>
            <w:shd w:val="clear" w:color="auto" w:fill="auto"/>
            <w:hideMark/>
          </w:tcPr>
          <w:p w14:paraId="4A8A767C" w14:textId="1567221E" w:rsidR="0000013C" w:rsidRPr="00A65799" w:rsidRDefault="0000013C" w:rsidP="009016AB">
            <w:pPr>
              <w:spacing w:before="60" w:after="60" w:line="240" w:lineRule="auto"/>
              <w:textAlignment w:val="baseline"/>
              <w:rPr>
                <w:rFonts w:cs="Arial"/>
                <w:sz w:val="18"/>
                <w:szCs w:val="18"/>
                <w:lang w:val="en-NZ" w:eastAsia="en-NZ"/>
              </w:rPr>
            </w:pPr>
            <w:r w:rsidRPr="00A65799">
              <w:rPr>
                <w:rFonts w:cs="Arial"/>
                <w:b/>
                <w:sz w:val="18"/>
                <w:szCs w:val="18"/>
                <w:lang w:eastAsia="en-NZ"/>
              </w:rPr>
              <w:t xml:space="preserve">Option 2: </w:t>
            </w:r>
            <w:r w:rsidRPr="00A65799">
              <w:rPr>
                <w:rFonts w:cs="Arial"/>
                <w:sz w:val="18"/>
                <w:szCs w:val="18"/>
                <w:lang w:eastAsia="en-NZ"/>
              </w:rPr>
              <w:t xml:space="preserve">additional safety </w:t>
            </w:r>
            <w:r w:rsidR="005214C1" w:rsidRPr="00A65799">
              <w:rPr>
                <w:rFonts w:cs="Arial"/>
                <w:sz w:val="18"/>
                <w:szCs w:val="18"/>
                <w:lang w:eastAsia="en-NZ"/>
              </w:rPr>
              <w:t>requirements</w:t>
            </w:r>
            <w:r w:rsidRPr="00A65799">
              <w:rPr>
                <w:rFonts w:cs="Arial"/>
                <w:sz w:val="18"/>
                <w:szCs w:val="18"/>
                <w:lang w:eastAsia="en-NZ"/>
              </w:rPr>
              <w:t xml:space="preserve"> for reusable and </w:t>
            </w:r>
            <w:r w:rsidR="00C87B33">
              <w:rPr>
                <w:rFonts w:cs="Arial"/>
                <w:sz w:val="18"/>
                <w:szCs w:val="18"/>
                <w:lang w:eastAsia="en-NZ"/>
              </w:rPr>
              <w:t>single-use</w:t>
            </w:r>
            <w:r w:rsidRPr="00A65799">
              <w:rPr>
                <w:rFonts w:cs="Arial"/>
                <w:sz w:val="18"/>
                <w:szCs w:val="18"/>
                <w:lang w:eastAsia="en-NZ"/>
              </w:rPr>
              <w:t xml:space="preserve"> products</w:t>
            </w:r>
          </w:p>
        </w:tc>
        <w:tc>
          <w:tcPr>
            <w:tcW w:w="2226" w:type="dxa"/>
            <w:tcBorders>
              <w:top w:val="single" w:sz="6" w:space="0" w:color="auto"/>
              <w:left w:val="nil"/>
              <w:bottom w:val="single" w:sz="6" w:space="0" w:color="auto"/>
              <w:right w:val="nil"/>
            </w:tcBorders>
            <w:shd w:val="clear" w:color="auto" w:fill="auto"/>
            <w:hideMark/>
          </w:tcPr>
          <w:p w14:paraId="3CF03FA0" w14:textId="035D8ED6" w:rsidR="0000013C" w:rsidRPr="00A65799" w:rsidRDefault="0000013C" w:rsidP="009016AB">
            <w:pPr>
              <w:spacing w:before="60" w:after="60" w:line="240" w:lineRule="auto"/>
              <w:textAlignment w:val="baseline"/>
              <w:rPr>
                <w:rFonts w:cs="Arial"/>
                <w:sz w:val="18"/>
                <w:szCs w:val="18"/>
                <w:lang w:val="en-NZ" w:eastAsia="en-NZ"/>
              </w:rPr>
            </w:pPr>
            <w:r w:rsidRPr="00A65799">
              <w:rPr>
                <w:rFonts w:cs="Arial"/>
                <w:b/>
                <w:sz w:val="18"/>
                <w:szCs w:val="18"/>
                <w:lang w:eastAsia="en-NZ"/>
              </w:rPr>
              <w:t xml:space="preserve">Option </w:t>
            </w:r>
            <w:r w:rsidR="009B07C3">
              <w:rPr>
                <w:rFonts w:cs="Arial"/>
                <w:b/>
                <w:sz w:val="18"/>
                <w:szCs w:val="18"/>
                <w:lang w:eastAsia="en-NZ"/>
              </w:rPr>
              <w:t>3</w:t>
            </w:r>
            <w:r w:rsidR="00F915BD">
              <w:rPr>
                <w:rFonts w:cs="Arial"/>
                <w:b/>
                <w:sz w:val="18"/>
                <w:szCs w:val="18"/>
                <w:lang w:eastAsia="en-NZ"/>
              </w:rPr>
              <w:t>:</w:t>
            </w:r>
            <w:r w:rsidRPr="00A65799">
              <w:rPr>
                <w:rFonts w:cs="Arial"/>
                <w:b/>
                <w:sz w:val="18"/>
                <w:szCs w:val="18"/>
                <w:lang w:eastAsia="en-NZ"/>
              </w:rPr>
              <w:t xml:space="preserve"> </w:t>
            </w:r>
            <w:r w:rsidR="00C77AAB">
              <w:rPr>
                <w:rFonts w:cs="Arial"/>
                <w:bCs/>
                <w:sz w:val="18"/>
                <w:szCs w:val="18"/>
                <w:lang w:eastAsia="en-NZ"/>
              </w:rPr>
              <w:t>R</w:t>
            </w:r>
            <w:r w:rsidRPr="00261934">
              <w:rPr>
                <w:rFonts w:cs="Arial"/>
                <w:bCs/>
                <w:sz w:val="18"/>
                <w:szCs w:val="18"/>
                <w:lang w:eastAsia="en-NZ"/>
              </w:rPr>
              <w:t xml:space="preserve">educe nicotine levels in </w:t>
            </w:r>
            <w:r w:rsidR="00C87B33">
              <w:rPr>
                <w:rFonts w:cs="Arial"/>
                <w:bCs/>
                <w:sz w:val="18"/>
                <w:szCs w:val="18"/>
                <w:lang w:eastAsia="en-NZ"/>
              </w:rPr>
              <w:t>single-use</w:t>
            </w:r>
            <w:r w:rsidRPr="00A65799">
              <w:rPr>
                <w:rFonts w:cs="Arial"/>
                <w:sz w:val="18"/>
                <w:szCs w:val="18"/>
                <w:lang w:eastAsia="en-NZ"/>
              </w:rPr>
              <w:t xml:space="preserve"> products</w:t>
            </w:r>
          </w:p>
        </w:tc>
      </w:tr>
      <w:tr w:rsidR="0000013C" w:rsidRPr="0000013C" w14:paraId="311D3B6E" w14:textId="77777777" w:rsidTr="00F5293A">
        <w:trPr>
          <w:trHeight w:val="60"/>
        </w:trPr>
        <w:tc>
          <w:tcPr>
            <w:tcW w:w="1275" w:type="dxa"/>
            <w:tcBorders>
              <w:top w:val="single" w:sz="6" w:space="0" w:color="auto"/>
              <w:left w:val="nil"/>
              <w:bottom w:val="single" w:sz="6" w:space="0" w:color="auto"/>
              <w:right w:val="nil"/>
            </w:tcBorders>
            <w:shd w:val="clear" w:color="auto" w:fill="auto"/>
            <w:hideMark/>
          </w:tcPr>
          <w:p w14:paraId="24F24B75" w14:textId="77777777" w:rsidR="0000013C" w:rsidRPr="00A65799" w:rsidRDefault="0000013C" w:rsidP="009016AB">
            <w:pPr>
              <w:spacing w:before="60" w:after="60" w:line="240" w:lineRule="auto"/>
              <w:textAlignment w:val="baseline"/>
              <w:rPr>
                <w:rFonts w:cs="Arial"/>
                <w:sz w:val="18"/>
                <w:szCs w:val="18"/>
                <w:lang w:val="en-NZ" w:eastAsia="en-NZ"/>
              </w:rPr>
            </w:pPr>
            <w:r w:rsidRPr="00A65799">
              <w:rPr>
                <w:rFonts w:cs="Arial"/>
                <w:sz w:val="18"/>
                <w:szCs w:val="18"/>
                <w:lang w:eastAsia="en-NZ"/>
              </w:rPr>
              <w:t>Pros</w:t>
            </w:r>
            <w:r w:rsidRPr="00A65799">
              <w:rPr>
                <w:rFonts w:cs="Arial"/>
                <w:sz w:val="18"/>
                <w:szCs w:val="18"/>
                <w:lang w:val="en-NZ" w:eastAsia="en-NZ"/>
              </w:rPr>
              <w:t> </w:t>
            </w:r>
          </w:p>
        </w:tc>
        <w:tc>
          <w:tcPr>
            <w:tcW w:w="2265" w:type="dxa"/>
            <w:tcBorders>
              <w:top w:val="single" w:sz="6" w:space="0" w:color="auto"/>
              <w:left w:val="nil"/>
              <w:bottom w:val="single" w:sz="6" w:space="0" w:color="auto"/>
              <w:right w:val="nil"/>
            </w:tcBorders>
            <w:shd w:val="clear" w:color="auto" w:fill="auto"/>
            <w:hideMark/>
          </w:tcPr>
          <w:p w14:paraId="7E45A024" w14:textId="671D6AC9" w:rsidR="0000013C" w:rsidRPr="00A65799" w:rsidRDefault="0000013C" w:rsidP="009016AB">
            <w:pPr>
              <w:spacing w:before="60" w:after="60" w:line="240" w:lineRule="auto"/>
              <w:textAlignment w:val="baseline"/>
              <w:rPr>
                <w:rFonts w:cs="Arial"/>
                <w:sz w:val="18"/>
                <w:szCs w:val="18"/>
                <w:lang w:val="en-NZ" w:eastAsia="en-NZ"/>
              </w:rPr>
            </w:pPr>
            <w:r w:rsidRPr="00A65799">
              <w:rPr>
                <w:rFonts w:cs="Arial"/>
                <w:sz w:val="18"/>
                <w:szCs w:val="18"/>
                <w:lang w:eastAsia="en-NZ"/>
              </w:rPr>
              <w:t>No product changes for adult users</w:t>
            </w:r>
          </w:p>
          <w:p w14:paraId="16DF94DF" w14:textId="5FF43BFE" w:rsidR="0000013C" w:rsidRPr="00A65799" w:rsidRDefault="0000013C" w:rsidP="009016AB">
            <w:pPr>
              <w:spacing w:before="60" w:after="60" w:line="240" w:lineRule="auto"/>
              <w:textAlignment w:val="baseline"/>
              <w:rPr>
                <w:rFonts w:cs="Arial"/>
                <w:sz w:val="18"/>
                <w:szCs w:val="18"/>
                <w:lang w:val="en-NZ" w:eastAsia="en-NZ"/>
              </w:rPr>
            </w:pPr>
            <w:r w:rsidRPr="00A65799">
              <w:rPr>
                <w:rFonts w:cs="Arial"/>
                <w:sz w:val="18"/>
                <w:szCs w:val="18"/>
                <w:lang w:eastAsia="en-NZ"/>
              </w:rPr>
              <w:t>No additional costs to business or government</w:t>
            </w:r>
          </w:p>
        </w:tc>
        <w:tc>
          <w:tcPr>
            <w:tcW w:w="3264" w:type="dxa"/>
            <w:tcBorders>
              <w:top w:val="single" w:sz="6" w:space="0" w:color="auto"/>
              <w:left w:val="nil"/>
              <w:bottom w:val="single" w:sz="6" w:space="0" w:color="auto"/>
              <w:right w:val="nil"/>
            </w:tcBorders>
            <w:shd w:val="clear" w:color="auto" w:fill="auto"/>
            <w:hideMark/>
          </w:tcPr>
          <w:p w14:paraId="1A5EDED2" w14:textId="5D33CAD0" w:rsidR="0000013C" w:rsidRPr="00A65799" w:rsidRDefault="0000013C" w:rsidP="009016AB">
            <w:pPr>
              <w:spacing w:before="60" w:after="60" w:line="240" w:lineRule="auto"/>
              <w:textAlignment w:val="baseline"/>
              <w:rPr>
                <w:rFonts w:cs="Arial"/>
                <w:sz w:val="18"/>
                <w:szCs w:val="18"/>
                <w:lang w:val="en-NZ" w:eastAsia="en-NZ"/>
              </w:rPr>
            </w:pPr>
            <w:r w:rsidRPr="00A65799">
              <w:rPr>
                <w:rFonts w:cs="Arial"/>
                <w:sz w:val="18"/>
                <w:szCs w:val="18"/>
                <w:lang w:eastAsia="en-NZ"/>
              </w:rPr>
              <w:t xml:space="preserve">Reduces likelihood of harm for users and </w:t>
            </w:r>
            <w:proofErr w:type="gramStart"/>
            <w:r w:rsidRPr="00A65799">
              <w:rPr>
                <w:rFonts w:cs="Arial"/>
                <w:sz w:val="18"/>
                <w:szCs w:val="18"/>
                <w:lang w:eastAsia="en-NZ"/>
              </w:rPr>
              <w:t>general public</w:t>
            </w:r>
            <w:proofErr w:type="gramEnd"/>
          </w:p>
          <w:p w14:paraId="4496CD6B" w14:textId="1B5688DA" w:rsidR="0000013C" w:rsidRPr="00A65799" w:rsidRDefault="0000013C" w:rsidP="009016AB">
            <w:pPr>
              <w:spacing w:before="60" w:after="60" w:line="240" w:lineRule="auto"/>
              <w:textAlignment w:val="baseline"/>
              <w:rPr>
                <w:rFonts w:cs="Arial"/>
                <w:sz w:val="18"/>
                <w:szCs w:val="18"/>
                <w:lang w:eastAsia="en-NZ"/>
              </w:rPr>
            </w:pPr>
            <w:r w:rsidRPr="61A924D9">
              <w:rPr>
                <w:rFonts w:cs="Arial"/>
                <w:sz w:val="18"/>
                <w:szCs w:val="18"/>
                <w:lang w:eastAsia="en-NZ"/>
              </w:rPr>
              <w:t xml:space="preserve">Less accessible to </w:t>
            </w:r>
            <w:r w:rsidR="4837ABCC" w:rsidRPr="65340990">
              <w:rPr>
                <w:rFonts w:cs="Arial"/>
                <w:sz w:val="18"/>
                <w:szCs w:val="18"/>
                <w:lang w:eastAsia="en-NZ"/>
              </w:rPr>
              <w:t>small</w:t>
            </w:r>
            <w:r w:rsidR="3DC0E21E" w:rsidRPr="61A924D9">
              <w:rPr>
                <w:rFonts w:cs="Arial"/>
                <w:sz w:val="18"/>
                <w:szCs w:val="18"/>
                <w:lang w:eastAsia="en-NZ"/>
              </w:rPr>
              <w:t xml:space="preserve"> </w:t>
            </w:r>
            <w:r w:rsidR="1285D601" w:rsidRPr="61A924D9">
              <w:rPr>
                <w:rFonts w:cs="Arial"/>
                <w:sz w:val="18"/>
                <w:szCs w:val="18"/>
                <w:lang w:eastAsia="en-NZ"/>
              </w:rPr>
              <w:t>children</w:t>
            </w:r>
            <w:r w:rsidRPr="61A924D9">
              <w:rPr>
                <w:rFonts w:cs="Arial"/>
                <w:sz w:val="18"/>
                <w:szCs w:val="18"/>
                <w:lang w:eastAsia="en-NZ"/>
              </w:rPr>
              <w:t xml:space="preserve"> (eg, child locks</w:t>
            </w:r>
            <w:r w:rsidR="35219096" w:rsidRPr="491C3423">
              <w:rPr>
                <w:rFonts w:cs="Arial"/>
                <w:sz w:val="18"/>
                <w:szCs w:val="18"/>
                <w:lang w:eastAsia="en-NZ"/>
              </w:rPr>
              <w:t>)</w:t>
            </w:r>
          </w:p>
          <w:p w14:paraId="68536560" w14:textId="0CB9E544" w:rsidR="0000013C" w:rsidRPr="00A65799" w:rsidRDefault="0000013C" w:rsidP="009016AB">
            <w:pPr>
              <w:spacing w:before="60" w:after="60" w:line="240" w:lineRule="auto"/>
              <w:textAlignment w:val="baseline"/>
              <w:rPr>
                <w:rFonts w:cs="Arial"/>
                <w:sz w:val="18"/>
                <w:szCs w:val="18"/>
                <w:lang w:val="en-NZ" w:eastAsia="en-NZ"/>
              </w:rPr>
            </w:pPr>
            <w:r w:rsidRPr="00A65799">
              <w:rPr>
                <w:rFonts w:cs="Arial"/>
                <w:sz w:val="18"/>
                <w:szCs w:val="18"/>
                <w:lang w:eastAsia="en-NZ"/>
              </w:rPr>
              <w:t xml:space="preserve">Potential increased costs to </w:t>
            </w:r>
            <w:r w:rsidR="35219096" w:rsidRPr="220BB7A5">
              <w:rPr>
                <w:rFonts w:cs="Arial"/>
                <w:sz w:val="18"/>
                <w:szCs w:val="18"/>
                <w:lang w:eastAsia="en-NZ"/>
              </w:rPr>
              <w:t>user</w:t>
            </w:r>
            <w:r w:rsidR="5E0E1D0D" w:rsidRPr="220BB7A5">
              <w:rPr>
                <w:rFonts w:cs="Arial"/>
                <w:sz w:val="18"/>
                <w:szCs w:val="18"/>
                <w:lang w:eastAsia="en-NZ"/>
              </w:rPr>
              <w:t>s</w:t>
            </w:r>
            <w:r w:rsidRPr="00A65799">
              <w:rPr>
                <w:rFonts w:cs="Arial"/>
                <w:sz w:val="18"/>
                <w:szCs w:val="18"/>
                <w:lang w:eastAsia="en-NZ"/>
              </w:rPr>
              <w:t xml:space="preserve"> (less appealing to youth)</w:t>
            </w:r>
          </w:p>
          <w:p w14:paraId="019E8FAF" w14:textId="74DF2311" w:rsidR="622911EB" w:rsidRDefault="622911EB" w:rsidP="009016AB">
            <w:pPr>
              <w:spacing w:before="60" w:after="60" w:line="240" w:lineRule="auto"/>
              <w:rPr>
                <w:rFonts w:cs="Arial"/>
                <w:sz w:val="18"/>
                <w:szCs w:val="18"/>
                <w:lang w:eastAsia="en-NZ"/>
              </w:rPr>
            </w:pPr>
            <w:r w:rsidRPr="0C98DCB5">
              <w:rPr>
                <w:rFonts w:cs="Arial"/>
                <w:sz w:val="18"/>
                <w:szCs w:val="18"/>
                <w:lang w:eastAsia="en-NZ"/>
              </w:rPr>
              <w:t xml:space="preserve">Adults </w:t>
            </w:r>
            <w:r w:rsidRPr="25C2D96C">
              <w:rPr>
                <w:rFonts w:cs="Arial"/>
                <w:sz w:val="18"/>
                <w:szCs w:val="18"/>
                <w:lang w:eastAsia="en-NZ"/>
              </w:rPr>
              <w:t>choosing</w:t>
            </w:r>
            <w:r w:rsidRPr="0C98DCB5">
              <w:rPr>
                <w:rFonts w:cs="Arial"/>
                <w:sz w:val="18"/>
                <w:szCs w:val="18"/>
                <w:lang w:eastAsia="en-NZ"/>
              </w:rPr>
              <w:t xml:space="preserve"> to switch to </w:t>
            </w:r>
            <w:r w:rsidRPr="40880F0C">
              <w:rPr>
                <w:rFonts w:cs="Arial"/>
                <w:sz w:val="18"/>
                <w:szCs w:val="18"/>
                <w:lang w:eastAsia="en-NZ"/>
              </w:rPr>
              <w:t xml:space="preserve">a </w:t>
            </w:r>
            <w:r w:rsidRPr="190B5F99">
              <w:rPr>
                <w:rFonts w:cs="Arial"/>
                <w:sz w:val="18"/>
                <w:szCs w:val="18"/>
                <w:lang w:eastAsia="en-NZ"/>
              </w:rPr>
              <w:t>less</w:t>
            </w:r>
            <w:r w:rsidRPr="40880F0C">
              <w:rPr>
                <w:rFonts w:cs="Arial"/>
                <w:sz w:val="18"/>
                <w:szCs w:val="18"/>
                <w:lang w:eastAsia="en-NZ"/>
              </w:rPr>
              <w:t xml:space="preserve"> harmful product</w:t>
            </w:r>
            <w:r w:rsidRPr="31CBBA0C">
              <w:rPr>
                <w:rFonts w:cs="Arial"/>
                <w:sz w:val="18"/>
                <w:szCs w:val="18"/>
                <w:lang w:eastAsia="en-NZ"/>
              </w:rPr>
              <w:t xml:space="preserve"> can do so safely</w:t>
            </w:r>
          </w:p>
          <w:p w14:paraId="2BA718A8" w14:textId="77777777" w:rsidR="0000013C" w:rsidRDefault="0000013C" w:rsidP="009016AB">
            <w:pPr>
              <w:spacing w:before="60" w:after="60" w:line="240" w:lineRule="auto"/>
              <w:textAlignment w:val="baseline"/>
              <w:rPr>
                <w:rFonts w:cs="Arial"/>
                <w:sz w:val="18"/>
                <w:szCs w:val="18"/>
                <w:lang w:eastAsia="en-NZ"/>
              </w:rPr>
            </w:pPr>
            <w:r w:rsidRPr="00A65799">
              <w:rPr>
                <w:rFonts w:cs="Arial"/>
                <w:sz w:val="18"/>
                <w:szCs w:val="18"/>
                <w:lang w:eastAsia="en-NZ"/>
              </w:rPr>
              <w:t>Less environmental waste</w:t>
            </w:r>
          </w:p>
          <w:p w14:paraId="564248AB" w14:textId="3484849E" w:rsidR="00995BFD" w:rsidRPr="00A65799" w:rsidRDefault="00995BFD" w:rsidP="009016AB">
            <w:pPr>
              <w:spacing w:before="60" w:after="60" w:line="240" w:lineRule="auto"/>
              <w:textAlignment w:val="baseline"/>
              <w:rPr>
                <w:rFonts w:cs="Arial"/>
                <w:sz w:val="18"/>
                <w:szCs w:val="18"/>
                <w:lang w:val="en-NZ" w:eastAsia="en-NZ"/>
              </w:rPr>
            </w:pPr>
            <w:r>
              <w:rPr>
                <w:rFonts w:cs="Arial"/>
                <w:sz w:val="18"/>
                <w:szCs w:val="18"/>
                <w:lang w:eastAsia="en-NZ"/>
              </w:rPr>
              <w:t>Disposable</w:t>
            </w:r>
            <w:r w:rsidR="008E0A58">
              <w:rPr>
                <w:rFonts w:cs="Arial"/>
                <w:sz w:val="18"/>
                <w:szCs w:val="18"/>
                <w:lang w:eastAsia="en-NZ"/>
              </w:rPr>
              <w:t xml:space="preserve"> vapes</w:t>
            </w:r>
            <w:r>
              <w:rPr>
                <w:rFonts w:cs="Arial"/>
                <w:sz w:val="18"/>
                <w:szCs w:val="18"/>
                <w:lang w:eastAsia="en-NZ"/>
              </w:rPr>
              <w:t xml:space="preserve"> may subsequently cost more, and/or be less available</w:t>
            </w:r>
            <w:r w:rsidR="00266591">
              <w:rPr>
                <w:rFonts w:cs="Arial"/>
                <w:sz w:val="18"/>
                <w:szCs w:val="18"/>
                <w:lang w:eastAsia="en-NZ"/>
              </w:rPr>
              <w:t xml:space="preserve">. This will </w:t>
            </w:r>
            <w:r w:rsidR="00C10B38">
              <w:rPr>
                <w:rFonts w:cs="Arial"/>
                <w:sz w:val="18"/>
                <w:szCs w:val="18"/>
                <w:lang w:eastAsia="en-NZ"/>
              </w:rPr>
              <w:t>make them less likely to be used by young people.</w:t>
            </w:r>
          </w:p>
        </w:tc>
        <w:tc>
          <w:tcPr>
            <w:tcW w:w="2226" w:type="dxa"/>
            <w:tcBorders>
              <w:top w:val="single" w:sz="6" w:space="0" w:color="auto"/>
              <w:left w:val="nil"/>
              <w:bottom w:val="single" w:sz="6" w:space="0" w:color="auto"/>
              <w:right w:val="nil"/>
            </w:tcBorders>
            <w:shd w:val="clear" w:color="auto" w:fill="auto"/>
            <w:hideMark/>
          </w:tcPr>
          <w:p w14:paraId="47EAA050" w14:textId="6E968160" w:rsidR="0000013C" w:rsidRPr="00A65799" w:rsidRDefault="0000013C" w:rsidP="009016AB">
            <w:pPr>
              <w:spacing w:before="60" w:after="60" w:line="240" w:lineRule="auto"/>
              <w:textAlignment w:val="baseline"/>
              <w:rPr>
                <w:rFonts w:cs="Arial"/>
                <w:sz w:val="18"/>
                <w:szCs w:val="18"/>
                <w:lang w:val="en-NZ" w:eastAsia="en-NZ"/>
              </w:rPr>
            </w:pPr>
            <w:r w:rsidRPr="00A65799">
              <w:rPr>
                <w:rFonts w:cs="Arial"/>
                <w:sz w:val="18"/>
                <w:szCs w:val="18"/>
                <w:lang w:eastAsia="en-NZ"/>
              </w:rPr>
              <w:t>Less addictive for youth</w:t>
            </w:r>
          </w:p>
          <w:p w14:paraId="3DA93D71" w14:textId="77777777" w:rsidR="0000013C" w:rsidRDefault="0000013C" w:rsidP="009016AB">
            <w:pPr>
              <w:spacing w:before="60" w:after="60" w:line="240" w:lineRule="auto"/>
              <w:textAlignment w:val="baseline"/>
              <w:rPr>
                <w:rFonts w:cs="Arial"/>
                <w:sz w:val="18"/>
                <w:szCs w:val="18"/>
                <w:lang w:eastAsia="en-NZ"/>
              </w:rPr>
            </w:pPr>
            <w:r w:rsidRPr="00A65799">
              <w:rPr>
                <w:rFonts w:cs="Arial"/>
                <w:sz w:val="18"/>
                <w:szCs w:val="18"/>
                <w:lang w:eastAsia="en-NZ"/>
              </w:rPr>
              <w:t>Less addictive for non-smokers</w:t>
            </w:r>
          </w:p>
          <w:p w14:paraId="0F14EEE3" w14:textId="0F85E056" w:rsidR="00CB00DD" w:rsidRPr="00A65799" w:rsidRDefault="00CB00DD" w:rsidP="009016AB">
            <w:pPr>
              <w:spacing w:before="60" w:after="60" w:line="240" w:lineRule="auto"/>
              <w:textAlignment w:val="baseline"/>
              <w:rPr>
                <w:rFonts w:cs="Arial"/>
                <w:sz w:val="18"/>
                <w:szCs w:val="18"/>
                <w:lang w:val="en-NZ" w:eastAsia="en-NZ"/>
              </w:rPr>
            </w:pPr>
            <w:r w:rsidRPr="41D807BF">
              <w:rPr>
                <w:rFonts w:cs="Arial"/>
                <w:sz w:val="18"/>
                <w:szCs w:val="18"/>
                <w:lang w:eastAsia="en-NZ"/>
              </w:rPr>
              <w:t>Lower nicotine levels may have lower appeal to youth</w:t>
            </w:r>
          </w:p>
        </w:tc>
      </w:tr>
      <w:tr w:rsidR="0000013C" w:rsidRPr="0000013C" w14:paraId="2A7625BC" w14:textId="77777777" w:rsidTr="00F5293A">
        <w:trPr>
          <w:trHeight w:val="60"/>
        </w:trPr>
        <w:tc>
          <w:tcPr>
            <w:tcW w:w="1275" w:type="dxa"/>
            <w:tcBorders>
              <w:top w:val="single" w:sz="6" w:space="0" w:color="auto"/>
              <w:left w:val="nil"/>
              <w:bottom w:val="single" w:sz="6" w:space="0" w:color="auto"/>
              <w:right w:val="nil"/>
            </w:tcBorders>
            <w:shd w:val="clear" w:color="auto" w:fill="auto"/>
            <w:hideMark/>
          </w:tcPr>
          <w:p w14:paraId="497DB0F2" w14:textId="77777777" w:rsidR="0000013C" w:rsidRPr="00A65799" w:rsidRDefault="0000013C" w:rsidP="009016AB">
            <w:pPr>
              <w:spacing w:before="60" w:after="60" w:line="240" w:lineRule="auto"/>
              <w:textAlignment w:val="baseline"/>
              <w:rPr>
                <w:rFonts w:cs="Arial"/>
                <w:sz w:val="18"/>
                <w:szCs w:val="18"/>
                <w:lang w:val="en-NZ" w:eastAsia="en-NZ"/>
              </w:rPr>
            </w:pPr>
            <w:r w:rsidRPr="00A65799">
              <w:rPr>
                <w:rFonts w:cs="Arial"/>
                <w:sz w:val="18"/>
                <w:szCs w:val="18"/>
                <w:lang w:eastAsia="en-NZ"/>
              </w:rPr>
              <w:t>Cons</w:t>
            </w:r>
            <w:r w:rsidRPr="00A65799">
              <w:rPr>
                <w:rFonts w:cs="Arial"/>
                <w:sz w:val="18"/>
                <w:szCs w:val="18"/>
                <w:lang w:val="en-NZ" w:eastAsia="en-NZ"/>
              </w:rPr>
              <w:t> </w:t>
            </w:r>
          </w:p>
        </w:tc>
        <w:tc>
          <w:tcPr>
            <w:tcW w:w="2265" w:type="dxa"/>
            <w:tcBorders>
              <w:top w:val="single" w:sz="6" w:space="0" w:color="auto"/>
              <w:left w:val="nil"/>
              <w:bottom w:val="single" w:sz="6" w:space="0" w:color="auto"/>
              <w:right w:val="nil"/>
            </w:tcBorders>
            <w:shd w:val="clear" w:color="auto" w:fill="auto"/>
            <w:hideMark/>
          </w:tcPr>
          <w:p w14:paraId="75FA006A" w14:textId="7B9D662D" w:rsidR="0000013C" w:rsidRPr="00A65799" w:rsidRDefault="0000013C" w:rsidP="009016AB">
            <w:pPr>
              <w:spacing w:before="60" w:after="60" w:line="240" w:lineRule="auto"/>
              <w:textAlignment w:val="baseline"/>
              <w:rPr>
                <w:rFonts w:cs="Arial"/>
                <w:sz w:val="18"/>
                <w:szCs w:val="18"/>
                <w:lang w:val="en-NZ" w:eastAsia="en-NZ"/>
              </w:rPr>
            </w:pPr>
            <w:r w:rsidRPr="00A65799">
              <w:rPr>
                <w:rFonts w:cs="Arial"/>
                <w:sz w:val="18"/>
                <w:szCs w:val="18"/>
                <w:lang w:eastAsia="en-NZ"/>
              </w:rPr>
              <w:t>Children and young people at risk of harm</w:t>
            </w:r>
          </w:p>
          <w:p w14:paraId="12EECDCF" w14:textId="3AE1005B" w:rsidR="0000013C" w:rsidRPr="00A65799" w:rsidRDefault="0000013C" w:rsidP="009016AB">
            <w:pPr>
              <w:spacing w:before="60" w:after="60" w:line="240" w:lineRule="auto"/>
              <w:textAlignment w:val="baseline"/>
              <w:rPr>
                <w:rFonts w:cs="Arial"/>
                <w:sz w:val="18"/>
                <w:szCs w:val="18"/>
                <w:lang w:val="en-NZ" w:eastAsia="en-NZ"/>
              </w:rPr>
            </w:pPr>
            <w:r w:rsidRPr="00A65799">
              <w:rPr>
                <w:rFonts w:cs="Arial"/>
                <w:sz w:val="18"/>
                <w:szCs w:val="18"/>
                <w:lang w:eastAsia="en-NZ"/>
              </w:rPr>
              <w:t>Increased use of disposable products by youth</w:t>
            </w:r>
          </w:p>
          <w:p w14:paraId="6E5A35DE" w14:textId="2EB1F1FE" w:rsidR="0000013C" w:rsidRPr="00A65799" w:rsidRDefault="0000013C" w:rsidP="009016AB">
            <w:pPr>
              <w:spacing w:before="60" w:after="60" w:line="240" w:lineRule="auto"/>
              <w:textAlignment w:val="baseline"/>
              <w:rPr>
                <w:rFonts w:cs="Arial"/>
                <w:sz w:val="18"/>
                <w:szCs w:val="18"/>
                <w:lang w:val="en-NZ" w:eastAsia="en-NZ"/>
              </w:rPr>
            </w:pPr>
            <w:r w:rsidRPr="00A65799">
              <w:rPr>
                <w:rFonts w:cs="Arial"/>
                <w:sz w:val="18"/>
                <w:szCs w:val="18"/>
                <w:lang w:eastAsia="en-NZ"/>
              </w:rPr>
              <w:t>Increased environmental waste</w:t>
            </w:r>
          </w:p>
        </w:tc>
        <w:tc>
          <w:tcPr>
            <w:tcW w:w="3264" w:type="dxa"/>
            <w:tcBorders>
              <w:top w:val="single" w:sz="6" w:space="0" w:color="auto"/>
              <w:left w:val="nil"/>
              <w:bottom w:val="single" w:sz="6" w:space="0" w:color="auto"/>
              <w:right w:val="nil"/>
            </w:tcBorders>
            <w:shd w:val="clear" w:color="auto" w:fill="auto"/>
            <w:hideMark/>
          </w:tcPr>
          <w:p w14:paraId="15D18448" w14:textId="5768436E" w:rsidR="0000013C" w:rsidRPr="00A65799" w:rsidRDefault="0000013C" w:rsidP="009016AB">
            <w:pPr>
              <w:spacing w:before="60" w:after="60" w:line="240" w:lineRule="auto"/>
              <w:textAlignment w:val="baseline"/>
              <w:rPr>
                <w:rFonts w:cs="Arial"/>
                <w:sz w:val="18"/>
                <w:szCs w:val="18"/>
                <w:lang w:val="en-NZ" w:eastAsia="en-NZ"/>
              </w:rPr>
            </w:pPr>
            <w:r w:rsidRPr="00A65799">
              <w:rPr>
                <w:rFonts w:cs="Arial"/>
                <w:sz w:val="18"/>
                <w:szCs w:val="18"/>
                <w:lang w:eastAsia="en-NZ"/>
              </w:rPr>
              <w:t>Potential increased costs to user (less affordable for adults wishing to switch to less harmful product</w:t>
            </w:r>
            <w:r w:rsidR="56B33248" w:rsidRPr="7C302885">
              <w:rPr>
                <w:rFonts w:cs="Arial"/>
                <w:sz w:val="18"/>
                <w:szCs w:val="18"/>
                <w:lang w:eastAsia="en-NZ"/>
              </w:rPr>
              <w:t xml:space="preserve"> – though reusable vape products are still generally more affordable than tobacco</w:t>
            </w:r>
            <w:r w:rsidRPr="00A65799">
              <w:rPr>
                <w:rFonts w:cs="Arial"/>
                <w:sz w:val="18"/>
                <w:szCs w:val="18"/>
                <w:lang w:eastAsia="en-NZ"/>
              </w:rPr>
              <w:t>)</w:t>
            </w:r>
            <w:r w:rsidRPr="00A65799">
              <w:rPr>
                <w:rFonts w:cs="Arial"/>
                <w:sz w:val="18"/>
                <w:szCs w:val="18"/>
                <w:lang w:val="en-NZ" w:eastAsia="en-NZ"/>
              </w:rPr>
              <w:t> </w:t>
            </w:r>
          </w:p>
          <w:p w14:paraId="21CC70BC" w14:textId="55436B30" w:rsidR="0000013C" w:rsidRPr="00A65799" w:rsidRDefault="0000013C" w:rsidP="009016AB">
            <w:pPr>
              <w:spacing w:before="60" w:after="60" w:line="240" w:lineRule="auto"/>
              <w:textAlignment w:val="baseline"/>
              <w:rPr>
                <w:rFonts w:cs="Arial"/>
                <w:sz w:val="18"/>
                <w:szCs w:val="18"/>
                <w:lang w:val="en-NZ" w:eastAsia="en-NZ"/>
              </w:rPr>
            </w:pPr>
            <w:r w:rsidRPr="2F7C2993">
              <w:rPr>
                <w:rFonts w:cs="Arial"/>
                <w:sz w:val="18"/>
                <w:szCs w:val="18"/>
                <w:lang w:eastAsia="en-NZ"/>
              </w:rPr>
              <w:t>Compliance costs to industry</w:t>
            </w:r>
            <w:r w:rsidR="0D34479E" w:rsidRPr="2F7C2993">
              <w:rPr>
                <w:rFonts w:cs="Arial"/>
                <w:sz w:val="18"/>
                <w:szCs w:val="18"/>
                <w:lang w:eastAsia="en-NZ"/>
              </w:rPr>
              <w:t>, as will need to change the manufacturing of their products</w:t>
            </w:r>
          </w:p>
          <w:p w14:paraId="15CF6862" w14:textId="4418E944" w:rsidR="0000013C" w:rsidRPr="00A65799" w:rsidRDefault="0000013C" w:rsidP="009016AB">
            <w:pPr>
              <w:spacing w:before="60" w:after="60" w:line="240" w:lineRule="auto"/>
              <w:textAlignment w:val="baseline"/>
              <w:rPr>
                <w:rFonts w:cs="Arial"/>
                <w:sz w:val="18"/>
                <w:szCs w:val="18"/>
                <w:lang w:val="en-NZ" w:eastAsia="en-NZ"/>
              </w:rPr>
            </w:pPr>
            <w:r w:rsidRPr="00A65799">
              <w:rPr>
                <w:rFonts w:cs="Arial"/>
                <w:sz w:val="18"/>
                <w:szCs w:val="18"/>
                <w:lang w:eastAsia="en-NZ"/>
              </w:rPr>
              <w:t>Potential impact on existing reusable vape market if some products are</w:t>
            </w:r>
            <w:r w:rsidR="008E7CDE">
              <w:rPr>
                <w:rFonts w:cs="Arial"/>
                <w:sz w:val="18"/>
                <w:szCs w:val="18"/>
                <w:lang w:eastAsia="en-NZ"/>
              </w:rPr>
              <w:t xml:space="preserve"> unable to comply with </w:t>
            </w:r>
            <w:r w:rsidR="00C91D43">
              <w:rPr>
                <w:rFonts w:cs="Arial"/>
                <w:sz w:val="18"/>
                <w:szCs w:val="18"/>
                <w:lang w:eastAsia="en-NZ"/>
              </w:rPr>
              <w:t>the requirements and are</w:t>
            </w:r>
            <w:r w:rsidRPr="00A65799">
              <w:rPr>
                <w:rFonts w:cs="Arial"/>
                <w:sz w:val="18"/>
                <w:szCs w:val="18"/>
                <w:lang w:eastAsia="en-NZ"/>
              </w:rPr>
              <w:t xml:space="preserve"> removed from the market (reduced consumer choice)</w:t>
            </w:r>
          </w:p>
          <w:p w14:paraId="57007FAB" w14:textId="41AA53F9" w:rsidR="0000013C" w:rsidRPr="00A65799" w:rsidRDefault="0000013C" w:rsidP="009016AB">
            <w:pPr>
              <w:spacing w:before="60" w:after="60" w:line="240" w:lineRule="auto"/>
              <w:textAlignment w:val="baseline"/>
              <w:rPr>
                <w:rFonts w:cs="Arial"/>
                <w:sz w:val="18"/>
                <w:szCs w:val="18"/>
                <w:lang w:val="en-NZ" w:eastAsia="en-NZ"/>
              </w:rPr>
            </w:pPr>
            <w:r w:rsidRPr="00A65799">
              <w:rPr>
                <w:rFonts w:cs="Arial"/>
                <w:sz w:val="18"/>
                <w:szCs w:val="18"/>
                <w:lang w:eastAsia="en-NZ"/>
              </w:rPr>
              <w:t xml:space="preserve">Impact on </w:t>
            </w:r>
            <w:r w:rsidR="27CA7827" w:rsidRPr="5F56D51F">
              <w:rPr>
                <w:rFonts w:cs="Arial"/>
                <w:sz w:val="18"/>
                <w:szCs w:val="18"/>
                <w:lang w:eastAsia="en-NZ"/>
              </w:rPr>
              <w:t xml:space="preserve">some </w:t>
            </w:r>
            <w:r w:rsidRPr="00A65799">
              <w:rPr>
                <w:rFonts w:cs="Arial"/>
                <w:sz w:val="18"/>
                <w:szCs w:val="18"/>
                <w:lang w:eastAsia="en-NZ"/>
              </w:rPr>
              <w:t xml:space="preserve">stop smoking services (as disposable vapes </w:t>
            </w:r>
            <w:r w:rsidR="0B0DFBB2" w:rsidRPr="5F56D51F">
              <w:rPr>
                <w:rFonts w:cs="Arial"/>
                <w:sz w:val="18"/>
                <w:szCs w:val="18"/>
                <w:lang w:eastAsia="en-NZ"/>
              </w:rPr>
              <w:t xml:space="preserve">are more affordable to </w:t>
            </w:r>
            <w:r w:rsidRPr="00A65799">
              <w:rPr>
                <w:rFonts w:cs="Arial"/>
                <w:sz w:val="18"/>
                <w:szCs w:val="18"/>
                <w:lang w:eastAsia="en-NZ"/>
              </w:rPr>
              <w:t>use as a cessation tool)</w:t>
            </w:r>
          </w:p>
          <w:p w14:paraId="50E44155" w14:textId="1576E874" w:rsidR="0000013C" w:rsidRPr="00A65799" w:rsidRDefault="44CC01E9" w:rsidP="009016AB">
            <w:pPr>
              <w:spacing w:before="60" w:after="60" w:line="240" w:lineRule="auto"/>
              <w:textAlignment w:val="baseline"/>
              <w:rPr>
                <w:rFonts w:cs="Arial"/>
                <w:sz w:val="18"/>
                <w:szCs w:val="18"/>
                <w:lang w:eastAsia="en-NZ"/>
              </w:rPr>
            </w:pPr>
            <w:r w:rsidRPr="27DA06CF">
              <w:rPr>
                <w:rFonts w:cs="Arial"/>
                <w:sz w:val="18"/>
                <w:szCs w:val="18"/>
                <w:lang w:eastAsia="en-NZ"/>
              </w:rPr>
              <w:t xml:space="preserve">Removeable batteries </w:t>
            </w:r>
            <w:r w:rsidR="006945C8">
              <w:rPr>
                <w:rFonts w:cs="Arial"/>
                <w:sz w:val="18"/>
                <w:szCs w:val="18"/>
                <w:lang w:eastAsia="en-NZ"/>
              </w:rPr>
              <w:t xml:space="preserve">may be </w:t>
            </w:r>
            <w:r w:rsidRPr="27DA06CF">
              <w:rPr>
                <w:rFonts w:cs="Arial"/>
                <w:sz w:val="18"/>
                <w:szCs w:val="18"/>
                <w:lang w:eastAsia="en-NZ"/>
              </w:rPr>
              <w:t xml:space="preserve">difficult to implement </w:t>
            </w:r>
            <w:r w:rsidR="006945C8">
              <w:rPr>
                <w:rFonts w:cs="Arial"/>
                <w:sz w:val="18"/>
                <w:szCs w:val="18"/>
                <w:lang w:eastAsia="en-NZ"/>
              </w:rPr>
              <w:t>for all vape products</w:t>
            </w:r>
          </w:p>
        </w:tc>
        <w:tc>
          <w:tcPr>
            <w:tcW w:w="2226" w:type="dxa"/>
            <w:tcBorders>
              <w:top w:val="single" w:sz="6" w:space="0" w:color="auto"/>
              <w:left w:val="nil"/>
              <w:bottom w:val="single" w:sz="6" w:space="0" w:color="auto"/>
              <w:right w:val="nil"/>
            </w:tcBorders>
            <w:shd w:val="clear" w:color="auto" w:fill="auto"/>
            <w:hideMark/>
          </w:tcPr>
          <w:p w14:paraId="5FAB2987" w14:textId="136F8EFD" w:rsidR="0000013C" w:rsidRPr="00A65799" w:rsidRDefault="5BE75717" w:rsidP="009016AB">
            <w:pPr>
              <w:spacing w:before="60" w:after="60" w:line="240" w:lineRule="auto"/>
              <w:textAlignment w:val="baseline"/>
              <w:rPr>
                <w:rFonts w:cs="Arial"/>
                <w:sz w:val="18"/>
                <w:szCs w:val="18"/>
                <w:lang w:val="en-NZ" w:eastAsia="en-NZ"/>
              </w:rPr>
            </w:pPr>
            <w:r w:rsidRPr="09911188">
              <w:rPr>
                <w:rFonts w:cs="Arial"/>
                <w:sz w:val="18"/>
                <w:szCs w:val="18"/>
                <w:lang w:eastAsia="en-NZ"/>
              </w:rPr>
              <w:t xml:space="preserve">Possibly less effective </w:t>
            </w:r>
            <w:r w:rsidR="0000013C" w:rsidRPr="00A65799">
              <w:rPr>
                <w:rFonts w:cs="Arial"/>
                <w:sz w:val="18"/>
                <w:szCs w:val="18"/>
                <w:lang w:eastAsia="en-NZ"/>
              </w:rPr>
              <w:t>for adults wishing to successfully switch</w:t>
            </w:r>
            <w:r w:rsidR="00585D31">
              <w:rPr>
                <w:rFonts w:cs="Arial"/>
                <w:sz w:val="18"/>
                <w:szCs w:val="18"/>
                <w:lang w:eastAsia="en-NZ"/>
              </w:rPr>
              <w:t xml:space="preserve"> (noting that </w:t>
            </w:r>
            <w:r w:rsidR="009705DC">
              <w:rPr>
                <w:rFonts w:cs="Arial"/>
                <w:sz w:val="18"/>
                <w:szCs w:val="18"/>
                <w:lang w:eastAsia="en-NZ"/>
              </w:rPr>
              <w:t xml:space="preserve">nicotine salt level limits in </w:t>
            </w:r>
            <w:r w:rsidR="00585D31">
              <w:rPr>
                <w:rFonts w:cs="Arial"/>
                <w:sz w:val="18"/>
                <w:szCs w:val="18"/>
                <w:lang w:eastAsia="en-NZ"/>
              </w:rPr>
              <w:t xml:space="preserve">reusable </w:t>
            </w:r>
            <w:r w:rsidR="009705DC">
              <w:rPr>
                <w:rFonts w:cs="Arial"/>
                <w:sz w:val="18"/>
                <w:szCs w:val="18"/>
                <w:lang w:eastAsia="en-NZ"/>
              </w:rPr>
              <w:t xml:space="preserve">vapes </w:t>
            </w:r>
            <w:r w:rsidR="00A80DBE">
              <w:rPr>
                <w:rFonts w:cs="Arial"/>
                <w:sz w:val="18"/>
                <w:szCs w:val="18"/>
                <w:lang w:eastAsia="en-NZ"/>
              </w:rPr>
              <w:t>remain unchanged)</w:t>
            </w:r>
          </w:p>
          <w:p w14:paraId="4464FD1B" w14:textId="554946F1" w:rsidR="0000013C" w:rsidRPr="00A65799" w:rsidRDefault="00190C08" w:rsidP="009016AB">
            <w:pPr>
              <w:spacing w:before="60" w:after="60" w:line="240" w:lineRule="auto"/>
              <w:textAlignment w:val="baseline"/>
              <w:rPr>
                <w:rFonts w:cs="Arial"/>
                <w:sz w:val="18"/>
                <w:szCs w:val="18"/>
                <w:lang w:val="en-NZ" w:eastAsia="en-NZ"/>
              </w:rPr>
            </w:pPr>
            <w:r w:rsidRPr="2F7C2993">
              <w:rPr>
                <w:rFonts w:cs="Arial"/>
                <w:sz w:val="18"/>
                <w:szCs w:val="18"/>
                <w:lang w:eastAsia="en-NZ"/>
              </w:rPr>
              <w:t>Possible c</w:t>
            </w:r>
            <w:r w:rsidR="0000013C" w:rsidRPr="2F7C2993">
              <w:rPr>
                <w:rFonts w:cs="Arial"/>
                <w:sz w:val="18"/>
                <w:szCs w:val="18"/>
                <w:lang w:eastAsia="en-NZ"/>
              </w:rPr>
              <w:t>ompliance costs to industry</w:t>
            </w:r>
          </w:p>
          <w:p w14:paraId="750A629D" w14:textId="7A9D09F5" w:rsidR="0000013C" w:rsidRPr="00CB00DD" w:rsidRDefault="0000013C" w:rsidP="009016AB">
            <w:pPr>
              <w:spacing w:before="60" w:after="60" w:line="240" w:lineRule="auto"/>
              <w:textAlignment w:val="baseline"/>
              <w:rPr>
                <w:rFonts w:cs="Arial"/>
                <w:sz w:val="18"/>
                <w:szCs w:val="18"/>
                <w:lang w:val="en-NZ" w:eastAsia="en-NZ"/>
              </w:rPr>
            </w:pPr>
            <w:r w:rsidRPr="2F7C2993">
              <w:rPr>
                <w:rFonts w:cs="Arial"/>
                <w:sz w:val="18"/>
                <w:szCs w:val="18"/>
                <w:lang w:eastAsia="en-NZ"/>
              </w:rPr>
              <w:t xml:space="preserve">Impact on </w:t>
            </w:r>
            <w:r w:rsidR="72487FE7" w:rsidRPr="2F7C2993">
              <w:rPr>
                <w:rFonts w:cs="Arial"/>
                <w:sz w:val="18"/>
                <w:szCs w:val="18"/>
                <w:lang w:eastAsia="en-NZ"/>
              </w:rPr>
              <w:t xml:space="preserve">some </w:t>
            </w:r>
            <w:r w:rsidRPr="2F7C2993">
              <w:rPr>
                <w:rFonts w:cs="Arial"/>
                <w:sz w:val="18"/>
                <w:szCs w:val="18"/>
                <w:lang w:eastAsia="en-NZ"/>
              </w:rPr>
              <w:t>stop smoking services (as disposable vapes used as a cessation tool)</w:t>
            </w:r>
          </w:p>
        </w:tc>
      </w:tr>
    </w:tbl>
    <w:p w14:paraId="4E9DA2C6" w14:textId="6428BD71" w:rsidR="00A34EDF" w:rsidRPr="00850E55" w:rsidRDefault="00A34EDF" w:rsidP="00850E55">
      <w:pPr>
        <w:spacing w:after="0" w:line="240" w:lineRule="auto"/>
        <w:textAlignment w:val="baseline"/>
        <w:rPr>
          <w:rFonts w:cs="Arial"/>
          <w:szCs w:val="22"/>
          <w:lang w:val="en-NZ" w:eastAsia="en-NZ"/>
        </w:rPr>
        <w:sectPr w:rsidR="00A34EDF" w:rsidRPr="00850E55" w:rsidSect="00150D58">
          <w:headerReference w:type="even" r:id="rId47"/>
          <w:headerReference w:type="default" r:id="rId48"/>
          <w:footerReference w:type="even" r:id="rId49"/>
          <w:footerReference w:type="default" r:id="rId50"/>
          <w:pgSz w:w="11906" w:h="16838" w:code="9"/>
          <w:pgMar w:top="1134" w:right="1418" w:bottom="992" w:left="1418" w:header="454" w:footer="454" w:gutter="0"/>
          <w:cols w:space="708"/>
          <w:docGrid w:linePitch="360"/>
        </w:sectPr>
      </w:pPr>
    </w:p>
    <w:p w14:paraId="1B21B7A9" w14:textId="4B3BCF31" w:rsidR="004608BF" w:rsidRPr="004608BF" w:rsidRDefault="00FF04EC" w:rsidP="1B502AF9">
      <w:pPr>
        <w:pStyle w:val="Heading3"/>
        <w:rPr>
          <w:lang w:val="en-NZ"/>
        </w:rPr>
      </w:pPr>
      <w:r>
        <w:rPr>
          <w:lang w:val="en-NZ"/>
        </w:rPr>
        <w:t xml:space="preserve">How do the options </w:t>
      </w:r>
      <w:r w:rsidRPr="00501D9C">
        <w:rPr>
          <w:lang w:val="en-NZ"/>
        </w:rPr>
        <w:t xml:space="preserve">compare to the </w:t>
      </w:r>
      <w:proofErr w:type="gramStart"/>
      <w:r w:rsidRPr="00501D9C">
        <w:rPr>
          <w:lang w:val="en-NZ"/>
        </w:rPr>
        <w:t>status</w:t>
      </w:r>
      <w:r>
        <w:rPr>
          <w:lang w:val="en-NZ"/>
        </w:rPr>
        <w:t xml:space="preserve"> </w:t>
      </w:r>
      <w:r w:rsidRPr="00501D9C">
        <w:rPr>
          <w:lang w:val="en-NZ"/>
        </w:rPr>
        <w:t>quo</w:t>
      </w:r>
      <w:proofErr w:type="gramEnd"/>
    </w:p>
    <w:tbl>
      <w:tblPr>
        <w:tblW w:w="1380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3635"/>
        <w:gridCol w:w="4107"/>
        <w:gridCol w:w="4093"/>
      </w:tblGrid>
      <w:tr w:rsidR="004608BF" w:rsidRPr="004608BF" w14:paraId="70AC1CA1" w14:textId="77777777" w:rsidTr="59D4D97B">
        <w:trPr>
          <w:trHeight w:val="576"/>
        </w:trPr>
        <w:tc>
          <w:tcPr>
            <w:tcW w:w="196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7AE57735" w14:textId="77777777" w:rsidR="004608BF" w:rsidRPr="004608BF" w:rsidRDefault="004608BF" w:rsidP="004608BF">
            <w:pPr>
              <w:spacing w:after="0" w:line="240" w:lineRule="auto"/>
              <w:jc w:val="center"/>
              <w:textAlignment w:val="baseline"/>
              <w:rPr>
                <w:rFonts w:ascii="Segoe UI" w:hAnsi="Segoe UI" w:cs="Segoe UI"/>
                <w:sz w:val="18"/>
                <w:szCs w:val="18"/>
                <w:lang w:val="en-NZ" w:eastAsia="en-NZ"/>
              </w:rPr>
            </w:pPr>
            <w:r w:rsidRPr="004608BF">
              <w:rPr>
                <w:rFonts w:cs="Arial"/>
                <w:color w:val="FFFFFF"/>
                <w:sz w:val="20"/>
                <w:lang w:val="en-NZ" w:eastAsia="en-NZ"/>
              </w:rPr>
              <w:t> </w:t>
            </w:r>
          </w:p>
        </w:tc>
        <w:tc>
          <w:tcPr>
            <w:tcW w:w="363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501B306D" w14:textId="083A0486" w:rsidR="004608BF" w:rsidRPr="004608BF" w:rsidRDefault="004608BF" w:rsidP="004608BF">
            <w:pPr>
              <w:spacing w:after="0" w:line="240" w:lineRule="auto"/>
              <w:jc w:val="center"/>
              <w:textAlignment w:val="baseline"/>
              <w:rPr>
                <w:rFonts w:ascii="Segoe UI" w:hAnsi="Segoe UI" w:cs="Segoe UI"/>
                <w:sz w:val="18"/>
                <w:szCs w:val="18"/>
                <w:lang w:val="en-NZ" w:eastAsia="en-NZ"/>
              </w:rPr>
            </w:pPr>
            <w:r w:rsidRPr="004608BF">
              <w:rPr>
                <w:rFonts w:cs="Arial"/>
                <w:b/>
                <w:bCs/>
                <w:color w:val="000000"/>
                <w:szCs w:val="22"/>
                <w:lang w:val="en-NZ" w:eastAsia="en-NZ"/>
              </w:rPr>
              <w:t xml:space="preserve">Option </w:t>
            </w:r>
            <w:r w:rsidR="008B7786">
              <w:rPr>
                <w:rFonts w:cs="Arial"/>
                <w:b/>
                <w:bCs/>
                <w:color w:val="000000"/>
                <w:szCs w:val="22"/>
                <w:lang w:val="en-NZ" w:eastAsia="en-NZ"/>
              </w:rPr>
              <w:t>1</w:t>
            </w:r>
            <w:r w:rsidRPr="004608BF">
              <w:rPr>
                <w:rFonts w:cs="Arial"/>
                <w:b/>
                <w:bCs/>
                <w:color w:val="000000"/>
                <w:szCs w:val="22"/>
                <w:lang w:val="en-NZ" w:eastAsia="en-NZ"/>
              </w:rPr>
              <w:t xml:space="preserve"> – </w:t>
            </w:r>
            <w:r w:rsidR="00AC4862">
              <w:rPr>
                <w:rFonts w:cs="Arial"/>
                <w:b/>
                <w:bCs/>
                <w:color w:val="000000"/>
                <w:szCs w:val="22"/>
                <w:lang w:val="en-NZ" w:eastAsia="en-NZ"/>
              </w:rPr>
              <w:t>S</w:t>
            </w:r>
            <w:r w:rsidRPr="004608BF">
              <w:rPr>
                <w:rFonts w:cs="Arial"/>
                <w:b/>
                <w:bCs/>
                <w:color w:val="000000"/>
                <w:szCs w:val="22"/>
                <w:lang w:val="en-NZ" w:eastAsia="en-NZ"/>
              </w:rPr>
              <w:t>tatus quo</w:t>
            </w:r>
          </w:p>
        </w:tc>
        <w:tc>
          <w:tcPr>
            <w:tcW w:w="410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3E1DAF52" w14:textId="38AD3E3A" w:rsidR="004608BF" w:rsidRPr="004608BF" w:rsidRDefault="004608BF" w:rsidP="004608BF">
            <w:pPr>
              <w:spacing w:after="0" w:line="240" w:lineRule="auto"/>
              <w:jc w:val="center"/>
              <w:textAlignment w:val="baseline"/>
              <w:rPr>
                <w:rFonts w:ascii="Segoe UI" w:hAnsi="Segoe UI" w:cs="Segoe UI"/>
                <w:sz w:val="18"/>
                <w:szCs w:val="18"/>
                <w:lang w:val="en-NZ" w:eastAsia="en-NZ"/>
              </w:rPr>
            </w:pPr>
            <w:r w:rsidRPr="004608BF">
              <w:rPr>
                <w:rFonts w:cs="Arial"/>
                <w:b/>
                <w:bCs/>
                <w:color w:val="000000"/>
                <w:szCs w:val="22"/>
                <w:lang w:val="en-NZ" w:eastAsia="en-NZ"/>
              </w:rPr>
              <w:t xml:space="preserve">Option </w:t>
            </w:r>
            <w:r w:rsidR="008B7786">
              <w:rPr>
                <w:rFonts w:cs="Arial"/>
                <w:b/>
                <w:bCs/>
                <w:color w:val="000000"/>
                <w:szCs w:val="22"/>
                <w:lang w:val="en-NZ" w:eastAsia="en-NZ"/>
              </w:rPr>
              <w:t>2</w:t>
            </w:r>
            <w:r w:rsidRPr="004608BF">
              <w:rPr>
                <w:rFonts w:cs="Arial"/>
                <w:b/>
                <w:bCs/>
                <w:color w:val="000000"/>
                <w:szCs w:val="22"/>
                <w:lang w:val="en-NZ" w:eastAsia="en-NZ"/>
              </w:rPr>
              <w:t xml:space="preserve"> – </w:t>
            </w:r>
            <w:r w:rsidR="00AC4862">
              <w:rPr>
                <w:rFonts w:cs="Arial"/>
                <w:b/>
                <w:bCs/>
                <w:color w:val="000000"/>
                <w:szCs w:val="22"/>
                <w:lang w:val="en-NZ" w:eastAsia="en-NZ"/>
              </w:rPr>
              <w:t>A</w:t>
            </w:r>
            <w:r w:rsidRPr="004608BF">
              <w:rPr>
                <w:rFonts w:cs="Arial"/>
                <w:b/>
                <w:bCs/>
                <w:color w:val="000000"/>
                <w:szCs w:val="22"/>
                <w:lang w:val="en-NZ" w:eastAsia="en-NZ"/>
              </w:rPr>
              <w:t>dditional requirements</w:t>
            </w:r>
          </w:p>
        </w:tc>
        <w:tc>
          <w:tcPr>
            <w:tcW w:w="4093"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13DBC1F2" w14:textId="43856AE1" w:rsidR="004608BF" w:rsidRPr="004608BF" w:rsidRDefault="004608BF" w:rsidP="004608BF">
            <w:pPr>
              <w:spacing w:after="0" w:line="240" w:lineRule="auto"/>
              <w:jc w:val="center"/>
              <w:textAlignment w:val="baseline"/>
              <w:rPr>
                <w:rFonts w:ascii="Segoe UI" w:hAnsi="Segoe UI" w:cs="Segoe UI"/>
                <w:sz w:val="18"/>
                <w:szCs w:val="18"/>
                <w:lang w:val="en-NZ" w:eastAsia="en-NZ"/>
              </w:rPr>
            </w:pPr>
            <w:r w:rsidRPr="004608BF">
              <w:rPr>
                <w:rFonts w:cs="Arial"/>
                <w:b/>
                <w:bCs/>
                <w:color w:val="000000"/>
                <w:szCs w:val="22"/>
                <w:lang w:val="en-NZ" w:eastAsia="en-NZ"/>
              </w:rPr>
              <w:t xml:space="preserve">Option </w:t>
            </w:r>
            <w:r w:rsidR="008B7786">
              <w:rPr>
                <w:rFonts w:cs="Arial"/>
                <w:b/>
                <w:bCs/>
                <w:color w:val="000000"/>
                <w:szCs w:val="22"/>
                <w:lang w:val="en-NZ" w:eastAsia="en-NZ"/>
              </w:rPr>
              <w:t>3</w:t>
            </w:r>
            <w:r w:rsidRPr="004608BF">
              <w:rPr>
                <w:rFonts w:cs="Arial"/>
                <w:b/>
                <w:bCs/>
                <w:color w:val="000000"/>
                <w:szCs w:val="22"/>
                <w:lang w:val="en-NZ" w:eastAsia="en-NZ"/>
              </w:rPr>
              <w:t xml:space="preserve"> – </w:t>
            </w:r>
            <w:r w:rsidR="00073D06">
              <w:rPr>
                <w:rFonts w:cs="Arial"/>
                <w:b/>
                <w:bCs/>
                <w:color w:val="000000"/>
                <w:szCs w:val="22"/>
                <w:lang w:val="en-NZ" w:eastAsia="en-NZ"/>
              </w:rPr>
              <w:t>R</w:t>
            </w:r>
            <w:r w:rsidRPr="004608BF">
              <w:rPr>
                <w:rFonts w:cs="Arial"/>
                <w:b/>
                <w:bCs/>
                <w:color w:val="000000"/>
                <w:szCs w:val="22"/>
                <w:lang w:val="en-NZ" w:eastAsia="en-NZ"/>
              </w:rPr>
              <w:t>educe nicotine levels</w:t>
            </w:r>
          </w:p>
        </w:tc>
      </w:tr>
      <w:tr w:rsidR="004D5A84" w:rsidRPr="004608BF" w14:paraId="5AC74480" w14:textId="77777777" w:rsidTr="59D4D97B">
        <w:trPr>
          <w:trHeight w:val="615"/>
        </w:trPr>
        <w:tc>
          <w:tcPr>
            <w:tcW w:w="196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tcPr>
          <w:p w14:paraId="69D305EE" w14:textId="1498C5A3" w:rsidR="004D5A84" w:rsidRDefault="00F93FD0" w:rsidP="004608BF">
            <w:pPr>
              <w:spacing w:after="0" w:line="240" w:lineRule="auto"/>
              <w:jc w:val="center"/>
              <w:textAlignment w:val="baseline"/>
              <w:rPr>
                <w:rFonts w:cs="Arial"/>
                <w:b/>
                <w:bCs/>
                <w:color w:val="000000"/>
                <w:szCs w:val="22"/>
                <w:lang w:val="en-NZ" w:eastAsia="en-NZ"/>
              </w:rPr>
            </w:pPr>
            <w:r>
              <w:rPr>
                <w:rFonts w:cs="Arial"/>
                <w:b/>
                <w:bCs/>
                <w:color w:val="000000"/>
                <w:szCs w:val="22"/>
                <w:lang w:val="en-NZ" w:eastAsia="en-NZ"/>
              </w:rPr>
              <w:t>Reduces Ine</w:t>
            </w:r>
            <w:r w:rsidR="004D5A84">
              <w:rPr>
                <w:rFonts w:cs="Arial"/>
                <w:b/>
                <w:bCs/>
                <w:color w:val="000000"/>
                <w:szCs w:val="22"/>
                <w:lang w:val="en-NZ" w:eastAsia="en-NZ"/>
              </w:rPr>
              <w:t>quity</w:t>
            </w:r>
          </w:p>
        </w:tc>
        <w:tc>
          <w:tcPr>
            <w:tcW w:w="3635"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76DDF06" w14:textId="4151684D" w:rsidR="004D5A84" w:rsidRPr="004608BF" w:rsidRDefault="00A6060B" w:rsidP="7D110100">
            <w:pPr>
              <w:spacing w:after="0" w:line="240" w:lineRule="auto"/>
              <w:jc w:val="center"/>
              <w:textAlignment w:val="baseline"/>
              <w:rPr>
                <w:rFonts w:cs="Arial"/>
                <w:sz w:val="20"/>
                <w:lang w:val="en-NZ" w:eastAsia="en-NZ"/>
              </w:rPr>
            </w:pPr>
            <w:r w:rsidRPr="7D110100">
              <w:rPr>
                <w:rFonts w:cs="Arial"/>
                <w:sz w:val="20"/>
                <w:lang w:val="en-NZ" w:eastAsia="en-NZ"/>
              </w:rPr>
              <w:t>0</w:t>
            </w:r>
          </w:p>
          <w:p w14:paraId="5F977B23" w14:textId="794D6D62" w:rsidR="004D5A84" w:rsidRPr="004608BF" w:rsidRDefault="2704362C" w:rsidP="7D110100">
            <w:pPr>
              <w:spacing w:after="0" w:line="240" w:lineRule="auto"/>
              <w:jc w:val="center"/>
              <w:textAlignment w:val="baseline"/>
              <w:rPr>
                <w:rFonts w:cs="Arial"/>
                <w:sz w:val="18"/>
                <w:szCs w:val="18"/>
                <w:lang w:val="en-NZ" w:eastAsia="en-NZ"/>
              </w:rPr>
            </w:pPr>
            <w:r w:rsidRPr="7D110100">
              <w:rPr>
                <w:rFonts w:cs="Arial"/>
                <w:sz w:val="18"/>
                <w:szCs w:val="18"/>
              </w:rPr>
              <w:t>Māori youth, particularly girls, have highest rate of regular and daily vaping.</w:t>
            </w:r>
            <w:r w:rsidR="00FF6573">
              <w:rPr>
                <w:rFonts w:cs="Arial"/>
                <w:sz w:val="18"/>
                <w:szCs w:val="18"/>
              </w:rPr>
              <w:t xml:space="preserve"> </w:t>
            </w:r>
            <w:r w:rsidR="00FF6573">
              <w:rPr>
                <w:rFonts w:cs="Arial"/>
                <w:sz w:val="18"/>
                <w:szCs w:val="18"/>
                <w:lang w:val="en-NZ" w:eastAsia="en-NZ"/>
              </w:rPr>
              <w:t>Product safety concerns remain.</w:t>
            </w:r>
          </w:p>
        </w:tc>
        <w:tc>
          <w:tcPr>
            <w:tcW w:w="4107"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7F1F84E" w14:textId="5F8403E1" w:rsidR="008413E8" w:rsidRPr="007A6AF9" w:rsidRDefault="5E49AC2A" w:rsidP="19D33B6E">
            <w:pPr>
              <w:spacing w:after="0" w:line="240" w:lineRule="auto"/>
              <w:jc w:val="center"/>
              <w:rPr>
                <w:rFonts w:ascii="Segoe UI" w:hAnsi="Segoe UI" w:cs="Segoe UI"/>
                <w:sz w:val="16"/>
                <w:szCs w:val="16"/>
                <w:lang w:val="en-NZ" w:eastAsia="en-NZ"/>
              </w:rPr>
            </w:pPr>
            <w:r w:rsidRPr="19D33B6E">
              <w:rPr>
                <w:rFonts w:cs="Arial"/>
                <w:b/>
                <w:bCs/>
                <w:color w:val="00B050"/>
                <w:sz w:val="20"/>
              </w:rPr>
              <w:t>++</w:t>
            </w:r>
          </w:p>
          <w:p w14:paraId="515BDB56" w14:textId="031DD2AB" w:rsidR="004D5A84" w:rsidRPr="008413E8" w:rsidRDefault="00FB2CCC" w:rsidP="0CAE7842">
            <w:pPr>
              <w:spacing w:after="0" w:line="240" w:lineRule="auto"/>
              <w:jc w:val="center"/>
              <w:rPr>
                <w:rFonts w:cs="Arial"/>
                <w:sz w:val="18"/>
                <w:szCs w:val="18"/>
              </w:rPr>
            </w:pPr>
            <w:r w:rsidRPr="19D33B6E">
              <w:rPr>
                <w:rFonts w:cs="Arial"/>
                <w:sz w:val="18"/>
                <w:szCs w:val="18"/>
              </w:rPr>
              <w:t>Māori youth, particularly girls, have highest rate of regular and daily vaping</w:t>
            </w:r>
            <w:r w:rsidR="000934D3">
              <w:rPr>
                <w:rFonts w:cs="Arial"/>
                <w:sz w:val="18"/>
                <w:szCs w:val="18"/>
              </w:rPr>
              <w:t xml:space="preserve">. </w:t>
            </w:r>
            <w:r w:rsidR="00736645">
              <w:rPr>
                <w:rFonts w:cs="Arial"/>
                <w:sz w:val="18"/>
                <w:szCs w:val="18"/>
              </w:rPr>
              <w:t xml:space="preserve">Additional product </w:t>
            </w:r>
            <w:r w:rsidR="00D76507">
              <w:rPr>
                <w:rFonts w:cs="Arial"/>
                <w:sz w:val="18"/>
                <w:szCs w:val="18"/>
              </w:rPr>
              <w:t xml:space="preserve">safety concerns </w:t>
            </w:r>
            <w:r w:rsidR="00DC30AB">
              <w:rPr>
                <w:rFonts w:cs="Arial"/>
                <w:sz w:val="18"/>
                <w:szCs w:val="18"/>
              </w:rPr>
              <w:t>will ensure less</w:t>
            </w:r>
            <w:r w:rsidR="009E16C2">
              <w:rPr>
                <w:rFonts w:cs="Arial"/>
                <w:sz w:val="18"/>
                <w:szCs w:val="18"/>
              </w:rPr>
              <w:t xml:space="preserve"> harm</w:t>
            </w:r>
            <w:r w:rsidRPr="19D33B6E">
              <w:rPr>
                <w:rFonts w:cs="Arial"/>
                <w:sz w:val="18"/>
                <w:szCs w:val="18"/>
              </w:rPr>
              <w:t>.</w:t>
            </w:r>
          </w:p>
        </w:tc>
        <w:tc>
          <w:tcPr>
            <w:tcW w:w="4093"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4FC0A24" w14:textId="34EFBF24" w:rsidR="004D5A84" w:rsidRPr="000233CA" w:rsidRDefault="008413E8" w:rsidP="000233CA">
            <w:pPr>
              <w:spacing w:after="0" w:line="240" w:lineRule="auto"/>
              <w:jc w:val="center"/>
              <w:textAlignment w:val="baseline"/>
              <w:rPr>
                <w:rFonts w:ascii="Segoe UI" w:hAnsi="Segoe UI" w:cs="Segoe UI"/>
                <w:sz w:val="16"/>
                <w:szCs w:val="16"/>
                <w:lang w:val="en-NZ" w:eastAsia="en-NZ"/>
              </w:rPr>
            </w:pPr>
            <w:r w:rsidRPr="007A6AF9">
              <w:rPr>
                <w:rFonts w:cs="Arial"/>
                <w:b/>
                <w:color w:val="00B050"/>
                <w:sz w:val="20"/>
                <w:szCs w:val="18"/>
              </w:rPr>
              <w:t>+</w:t>
            </w:r>
            <w:r w:rsidR="0009367E">
              <w:rPr>
                <w:rFonts w:cs="Arial"/>
                <w:b/>
                <w:color w:val="00B050"/>
                <w:sz w:val="20"/>
                <w:szCs w:val="18"/>
              </w:rPr>
              <w:t>+</w:t>
            </w:r>
          </w:p>
          <w:p w14:paraId="4BFA421E" w14:textId="4BE17340" w:rsidR="000233CA" w:rsidRPr="008413E8" w:rsidRDefault="00373870" w:rsidP="004608BF">
            <w:pPr>
              <w:spacing w:after="0" w:line="240" w:lineRule="auto"/>
              <w:jc w:val="center"/>
              <w:textAlignment w:val="baseline"/>
              <w:rPr>
                <w:rFonts w:cs="Arial"/>
                <w:bCs/>
                <w:color w:val="00B050"/>
                <w:sz w:val="20"/>
                <w:szCs w:val="18"/>
              </w:rPr>
            </w:pPr>
            <w:r>
              <w:rPr>
                <w:rFonts w:cs="Arial"/>
                <w:bCs/>
                <w:sz w:val="18"/>
                <w:szCs w:val="16"/>
              </w:rPr>
              <w:t>Māori youth, particularly girls, have highest rate of regular and daily vaping</w:t>
            </w:r>
            <w:r w:rsidR="008A2B41">
              <w:rPr>
                <w:rFonts w:cs="Arial"/>
                <w:bCs/>
                <w:sz w:val="18"/>
                <w:szCs w:val="16"/>
              </w:rPr>
              <w:t>. Reduced nicotine level</w:t>
            </w:r>
            <w:r w:rsidR="002D2CC2">
              <w:rPr>
                <w:rFonts w:cs="Arial"/>
                <w:bCs/>
                <w:sz w:val="18"/>
                <w:szCs w:val="16"/>
              </w:rPr>
              <w:t>s</w:t>
            </w:r>
            <w:r w:rsidR="008A2B41">
              <w:rPr>
                <w:rFonts w:cs="Arial"/>
                <w:bCs/>
                <w:sz w:val="18"/>
                <w:szCs w:val="16"/>
              </w:rPr>
              <w:t xml:space="preserve"> </w:t>
            </w:r>
            <w:r w:rsidR="003763FB">
              <w:rPr>
                <w:rFonts w:cs="Arial"/>
                <w:bCs/>
                <w:sz w:val="18"/>
                <w:szCs w:val="16"/>
              </w:rPr>
              <w:t>in disposable vapes</w:t>
            </w:r>
            <w:r w:rsidR="0009367E">
              <w:rPr>
                <w:rFonts w:cs="Arial"/>
                <w:bCs/>
                <w:sz w:val="18"/>
                <w:szCs w:val="16"/>
              </w:rPr>
              <w:t xml:space="preserve"> </w:t>
            </w:r>
            <w:r w:rsidR="008B6AB6">
              <w:rPr>
                <w:rFonts w:cs="Arial"/>
                <w:bCs/>
                <w:sz w:val="18"/>
                <w:szCs w:val="16"/>
              </w:rPr>
              <w:t xml:space="preserve">will </w:t>
            </w:r>
            <w:r w:rsidR="00BD5E11">
              <w:rPr>
                <w:rFonts w:cs="Arial"/>
                <w:bCs/>
                <w:sz w:val="18"/>
                <w:szCs w:val="16"/>
              </w:rPr>
              <w:t>make them less ad</w:t>
            </w:r>
            <w:r w:rsidR="008B6AB6">
              <w:rPr>
                <w:rFonts w:cs="Arial"/>
                <w:bCs/>
                <w:sz w:val="18"/>
                <w:szCs w:val="16"/>
              </w:rPr>
              <w:t>dictive</w:t>
            </w:r>
            <w:r>
              <w:rPr>
                <w:rFonts w:cs="Arial"/>
                <w:bCs/>
                <w:sz w:val="18"/>
                <w:szCs w:val="16"/>
              </w:rPr>
              <w:t>.</w:t>
            </w:r>
          </w:p>
        </w:tc>
      </w:tr>
      <w:tr w:rsidR="004608BF" w:rsidRPr="004608BF" w14:paraId="2626B514" w14:textId="77777777" w:rsidTr="59D4D97B">
        <w:trPr>
          <w:trHeight w:val="615"/>
        </w:trPr>
        <w:tc>
          <w:tcPr>
            <w:tcW w:w="196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15D343C7" w14:textId="4290E9B4" w:rsidR="004608BF" w:rsidRPr="004608BF" w:rsidRDefault="00ED4D46" w:rsidP="004608BF">
            <w:pPr>
              <w:spacing w:after="0" w:line="240" w:lineRule="auto"/>
              <w:jc w:val="center"/>
              <w:textAlignment w:val="baseline"/>
              <w:rPr>
                <w:rFonts w:ascii="Segoe UI" w:hAnsi="Segoe UI" w:cs="Segoe UI"/>
                <w:sz w:val="18"/>
                <w:szCs w:val="18"/>
                <w:lang w:val="en-NZ" w:eastAsia="en-NZ"/>
              </w:rPr>
            </w:pPr>
            <w:r>
              <w:rPr>
                <w:rFonts w:cs="Arial"/>
                <w:b/>
                <w:bCs/>
                <w:color w:val="000000"/>
                <w:szCs w:val="22"/>
                <w:lang w:val="en-NZ" w:eastAsia="en-NZ"/>
              </w:rPr>
              <w:t>H</w:t>
            </w:r>
            <w:r w:rsidR="004608BF" w:rsidRPr="004608BF">
              <w:rPr>
                <w:rFonts w:cs="Arial"/>
                <w:b/>
                <w:bCs/>
                <w:color w:val="000000"/>
                <w:szCs w:val="22"/>
                <w:lang w:val="en-NZ" w:eastAsia="en-NZ"/>
              </w:rPr>
              <w:t>ar</w:t>
            </w:r>
            <w:r>
              <w:rPr>
                <w:rFonts w:cs="Arial"/>
                <w:b/>
                <w:bCs/>
                <w:color w:val="000000"/>
                <w:szCs w:val="22"/>
                <w:lang w:val="en-NZ" w:eastAsia="en-NZ"/>
              </w:rPr>
              <w:t xml:space="preserve">m </w:t>
            </w:r>
            <w:r w:rsidR="00605D51">
              <w:rPr>
                <w:rFonts w:cs="Arial"/>
                <w:b/>
                <w:bCs/>
                <w:color w:val="000000"/>
                <w:szCs w:val="22"/>
                <w:lang w:val="en-NZ" w:eastAsia="en-NZ"/>
              </w:rPr>
              <w:t>P</w:t>
            </w:r>
            <w:r>
              <w:rPr>
                <w:rFonts w:cs="Arial"/>
                <w:b/>
                <w:bCs/>
                <w:color w:val="000000"/>
                <w:szCs w:val="22"/>
                <w:lang w:val="en-NZ" w:eastAsia="en-NZ"/>
              </w:rPr>
              <w:t>revention</w:t>
            </w:r>
          </w:p>
        </w:tc>
        <w:tc>
          <w:tcPr>
            <w:tcW w:w="3635"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19B7F78" w14:textId="5CE2B5AA" w:rsidR="004608BF" w:rsidRPr="004608BF" w:rsidRDefault="004608BF" w:rsidP="12A0AB1E">
            <w:pPr>
              <w:spacing w:after="0" w:line="240" w:lineRule="auto"/>
              <w:jc w:val="center"/>
              <w:textAlignment w:val="baseline"/>
              <w:rPr>
                <w:rFonts w:ascii="Segoe UI" w:hAnsi="Segoe UI" w:cs="Segoe UI"/>
                <w:sz w:val="18"/>
                <w:szCs w:val="18"/>
                <w:lang w:val="en-NZ" w:eastAsia="en-NZ"/>
              </w:rPr>
            </w:pPr>
            <w:r w:rsidRPr="7D110100">
              <w:rPr>
                <w:rFonts w:cs="Arial"/>
                <w:sz w:val="20"/>
                <w:lang w:val="en-NZ" w:eastAsia="en-NZ"/>
              </w:rPr>
              <w:t>0</w:t>
            </w:r>
          </w:p>
          <w:p w14:paraId="64DBE35C" w14:textId="1849AEA7" w:rsidR="004608BF" w:rsidRPr="004608BF" w:rsidRDefault="002D6DF2" w:rsidP="79D172B8">
            <w:pPr>
              <w:spacing w:after="0" w:line="240" w:lineRule="auto"/>
              <w:jc w:val="center"/>
              <w:textAlignment w:val="baseline"/>
              <w:rPr>
                <w:rFonts w:cs="Arial"/>
                <w:sz w:val="18"/>
                <w:szCs w:val="18"/>
                <w:lang w:val="en-NZ" w:eastAsia="en-NZ"/>
              </w:rPr>
            </w:pPr>
            <w:r>
              <w:rPr>
                <w:rFonts w:cs="Arial"/>
                <w:sz w:val="18"/>
                <w:szCs w:val="18"/>
                <w:lang w:val="en-NZ" w:eastAsia="en-NZ"/>
              </w:rPr>
              <w:t>Product safety concerns rem</w:t>
            </w:r>
            <w:r w:rsidR="009F2C58">
              <w:rPr>
                <w:rFonts w:cs="Arial"/>
                <w:sz w:val="18"/>
                <w:szCs w:val="18"/>
                <w:lang w:val="en-NZ" w:eastAsia="en-NZ"/>
              </w:rPr>
              <w:t>ain</w:t>
            </w:r>
            <w:r w:rsidR="00686557">
              <w:rPr>
                <w:rFonts w:cs="Arial"/>
                <w:sz w:val="18"/>
                <w:szCs w:val="18"/>
                <w:lang w:val="en-NZ" w:eastAsia="en-NZ"/>
              </w:rPr>
              <w:t>.</w:t>
            </w:r>
          </w:p>
        </w:tc>
        <w:tc>
          <w:tcPr>
            <w:tcW w:w="4107"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62AE37DB" w14:textId="77CA2898" w:rsidR="004608BF" w:rsidRPr="007A6AF9" w:rsidRDefault="29E22D3C" w:rsidP="004608BF">
            <w:pPr>
              <w:spacing w:after="0" w:line="240" w:lineRule="auto"/>
              <w:jc w:val="center"/>
              <w:textAlignment w:val="baseline"/>
              <w:rPr>
                <w:rFonts w:ascii="Segoe UI" w:hAnsi="Segoe UI" w:cs="Segoe UI"/>
                <w:sz w:val="16"/>
                <w:szCs w:val="16"/>
                <w:lang w:val="en-NZ" w:eastAsia="en-NZ"/>
              </w:rPr>
            </w:pPr>
            <w:r w:rsidRPr="19D33B6E">
              <w:rPr>
                <w:rFonts w:cs="Arial"/>
                <w:b/>
                <w:bCs/>
                <w:color w:val="00B050"/>
                <w:sz w:val="20"/>
              </w:rPr>
              <w:t>+</w:t>
            </w:r>
            <w:r w:rsidR="0C7EFF14" w:rsidRPr="19D33B6E">
              <w:rPr>
                <w:rFonts w:cs="Arial"/>
                <w:b/>
                <w:bCs/>
                <w:color w:val="00B050"/>
                <w:sz w:val="20"/>
              </w:rPr>
              <w:t>+</w:t>
            </w:r>
          </w:p>
          <w:p w14:paraId="50A1BAED" w14:textId="3CC023C5" w:rsidR="004608BF" w:rsidRPr="004608BF" w:rsidRDefault="007E1EF9" w:rsidP="004608BF">
            <w:pPr>
              <w:spacing w:after="0" w:line="240" w:lineRule="auto"/>
              <w:jc w:val="center"/>
              <w:textAlignment w:val="baseline"/>
              <w:rPr>
                <w:rFonts w:cs="Arial"/>
                <w:sz w:val="18"/>
                <w:szCs w:val="18"/>
                <w:lang w:val="en-NZ" w:eastAsia="en-NZ"/>
              </w:rPr>
            </w:pPr>
            <w:r>
              <w:rPr>
                <w:rFonts w:cs="Arial"/>
                <w:sz w:val="18"/>
                <w:szCs w:val="18"/>
                <w:lang w:val="en-NZ" w:eastAsia="en-NZ"/>
              </w:rPr>
              <w:t xml:space="preserve">Product safety requirements </w:t>
            </w:r>
            <w:r w:rsidR="00F3527F">
              <w:rPr>
                <w:rFonts w:cs="Arial"/>
                <w:sz w:val="18"/>
                <w:szCs w:val="18"/>
                <w:lang w:val="en-NZ" w:eastAsia="en-NZ"/>
              </w:rPr>
              <w:t>will ensure less harm</w:t>
            </w:r>
            <w:r w:rsidR="00F81994">
              <w:rPr>
                <w:rFonts w:cs="Arial"/>
                <w:sz w:val="18"/>
                <w:szCs w:val="18"/>
                <w:lang w:val="en-NZ" w:eastAsia="en-NZ"/>
              </w:rPr>
              <w:t>.</w:t>
            </w:r>
            <w:r w:rsidR="004608BF" w:rsidRPr="004608BF">
              <w:rPr>
                <w:rFonts w:cs="Arial"/>
                <w:sz w:val="18"/>
                <w:szCs w:val="18"/>
                <w:lang w:val="en-NZ" w:eastAsia="en-NZ"/>
              </w:rPr>
              <w:t xml:space="preserve"> </w:t>
            </w:r>
          </w:p>
        </w:tc>
        <w:tc>
          <w:tcPr>
            <w:tcW w:w="4093"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1BD97A8" w14:textId="77777777" w:rsidR="0001647D" w:rsidRPr="007A6AF9" w:rsidRDefault="004608BF" w:rsidP="0001647D">
            <w:pPr>
              <w:spacing w:after="0" w:line="240" w:lineRule="auto"/>
              <w:jc w:val="center"/>
              <w:textAlignment w:val="baseline"/>
              <w:rPr>
                <w:rFonts w:ascii="Segoe UI" w:hAnsi="Segoe UI" w:cs="Segoe UI"/>
                <w:sz w:val="16"/>
                <w:szCs w:val="16"/>
                <w:lang w:val="en-NZ" w:eastAsia="en-NZ"/>
              </w:rPr>
            </w:pPr>
            <w:r w:rsidRPr="007A6AF9">
              <w:rPr>
                <w:rFonts w:cs="Arial"/>
                <w:b/>
                <w:color w:val="00B050"/>
                <w:sz w:val="20"/>
                <w:szCs w:val="18"/>
              </w:rPr>
              <w:t>+</w:t>
            </w:r>
            <w:r w:rsidR="0001647D" w:rsidRPr="007A6AF9">
              <w:rPr>
                <w:rFonts w:cs="Arial"/>
                <w:b/>
                <w:color w:val="00B050"/>
                <w:sz w:val="20"/>
                <w:szCs w:val="18"/>
              </w:rPr>
              <w:t>+</w:t>
            </w:r>
          </w:p>
          <w:p w14:paraId="2810D701" w14:textId="11700876" w:rsidR="004608BF" w:rsidRPr="007A6AF9" w:rsidRDefault="004608BF" w:rsidP="004608BF">
            <w:pPr>
              <w:spacing w:after="0" w:line="240" w:lineRule="auto"/>
              <w:jc w:val="center"/>
              <w:textAlignment w:val="baseline"/>
              <w:rPr>
                <w:rFonts w:ascii="Segoe UI" w:hAnsi="Segoe UI" w:cs="Segoe UI"/>
                <w:sz w:val="16"/>
                <w:szCs w:val="16"/>
                <w:lang w:val="en-NZ" w:eastAsia="en-NZ"/>
              </w:rPr>
            </w:pPr>
          </w:p>
          <w:p w14:paraId="29150327" w14:textId="66AE3000" w:rsidR="004608BF" w:rsidRPr="004608BF" w:rsidRDefault="002D2082" w:rsidP="59D4D97B">
            <w:pPr>
              <w:spacing w:after="0" w:line="240" w:lineRule="auto"/>
              <w:jc w:val="center"/>
              <w:textAlignment w:val="baseline"/>
              <w:rPr>
                <w:rFonts w:cs="Arial"/>
                <w:sz w:val="18"/>
                <w:szCs w:val="18"/>
                <w:lang w:val="en-NZ" w:eastAsia="en-NZ"/>
              </w:rPr>
            </w:pPr>
            <w:r>
              <w:rPr>
                <w:rFonts w:cs="Arial"/>
                <w:sz w:val="18"/>
                <w:szCs w:val="18"/>
                <w:lang w:val="en-NZ" w:eastAsia="en-NZ"/>
              </w:rPr>
              <w:t xml:space="preserve">Less addictive and therefore </w:t>
            </w:r>
            <w:r w:rsidR="000764A6">
              <w:rPr>
                <w:rFonts w:cs="Arial"/>
                <w:sz w:val="18"/>
                <w:szCs w:val="18"/>
                <w:lang w:val="en-NZ" w:eastAsia="en-NZ"/>
              </w:rPr>
              <w:t>less appealing to youth.</w:t>
            </w:r>
          </w:p>
        </w:tc>
      </w:tr>
      <w:tr w:rsidR="004608BF" w:rsidRPr="004608BF" w14:paraId="47DC9B06" w14:textId="77777777" w:rsidTr="59D4D97B">
        <w:trPr>
          <w:trHeight w:val="531"/>
        </w:trPr>
        <w:tc>
          <w:tcPr>
            <w:tcW w:w="196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35FD85CD" w14:textId="68322CEB" w:rsidR="004608BF" w:rsidRPr="004608BF" w:rsidRDefault="004608BF" w:rsidP="004608BF">
            <w:pPr>
              <w:spacing w:after="0" w:line="240" w:lineRule="auto"/>
              <w:jc w:val="center"/>
              <w:textAlignment w:val="baseline"/>
              <w:rPr>
                <w:rFonts w:ascii="Segoe UI" w:hAnsi="Segoe UI" w:cs="Segoe UI"/>
                <w:sz w:val="18"/>
                <w:szCs w:val="18"/>
                <w:lang w:val="en-NZ" w:eastAsia="en-NZ"/>
              </w:rPr>
            </w:pPr>
            <w:r>
              <w:rPr>
                <w:b/>
              </w:rPr>
              <w:t>Effectiveness</w:t>
            </w:r>
          </w:p>
        </w:tc>
        <w:tc>
          <w:tcPr>
            <w:tcW w:w="3635"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2DE931A2" w14:textId="60E2113F" w:rsidR="004608BF" w:rsidRPr="004608BF" w:rsidRDefault="004608BF" w:rsidP="12A0AB1E">
            <w:pPr>
              <w:spacing w:after="0" w:line="240" w:lineRule="auto"/>
              <w:jc w:val="center"/>
              <w:textAlignment w:val="baseline"/>
              <w:rPr>
                <w:rFonts w:ascii="Segoe UI" w:hAnsi="Segoe UI" w:cs="Segoe UI"/>
                <w:sz w:val="18"/>
                <w:szCs w:val="18"/>
                <w:lang w:val="en-NZ" w:eastAsia="en-NZ"/>
              </w:rPr>
            </w:pPr>
            <w:r w:rsidRPr="7D110100">
              <w:rPr>
                <w:rFonts w:cs="Arial"/>
                <w:sz w:val="20"/>
                <w:lang w:val="en-NZ" w:eastAsia="en-NZ"/>
              </w:rPr>
              <w:t>0</w:t>
            </w:r>
          </w:p>
          <w:p w14:paraId="5A02D287" w14:textId="43745B86" w:rsidR="004608BF" w:rsidRPr="004608BF" w:rsidRDefault="05711BF5" w:rsidP="75F9BE25">
            <w:pPr>
              <w:spacing w:after="0" w:line="240" w:lineRule="auto"/>
              <w:jc w:val="center"/>
              <w:textAlignment w:val="baseline"/>
              <w:rPr>
                <w:rFonts w:cs="Arial"/>
                <w:sz w:val="18"/>
                <w:szCs w:val="18"/>
                <w:lang w:val="en-NZ" w:eastAsia="en-NZ"/>
              </w:rPr>
            </w:pPr>
            <w:r w:rsidRPr="59D4D97B">
              <w:rPr>
                <w:rFonts w:cs="Arial"/>
                <w:sz w:val="20"/>
                <w:lang w:val="en-NZ" w:eastAsia="en-NZ"/>
              </w:rPr>
              <w:t>N</w:t>
            </w:r>
            <w:r w:rsidRPr="59D4D97B">
              <w:rPr>
                <w:rFonts w:cs="Arial"/>
                <w:sz w:val="18"/>
                <w:szCs w:val="18"/>
                <w:lang w:val="en-NZ" w:eastAsia="en-NZ"/>
              </w:rPr>
              <w:t xml:space="preserve">o change to current market, </w:t>
            </w:r>
            <w:r w:rsidR="0060187E">
              <w:rPr>
                <w:rFonts w:cs="Arial"/>
                <w:sz w:val="18"/>
                <w:szCs w:val="18"/>
                <w:lang w:val="en-NZ" w:eastAsia="en-NZ"/>
              </w:rPr>
              <w:t>product safety</w:t>
            </w:r>
            <w:r w:rsidR="003E0C21">
              <w:rPr>
                <w:rFonts w:cs="Arial"/>
                <w:sz w:val="18"/>
                <w:szCs w:val="18"/>
                <w:lang w:val="en-NZ" w:eastAsia="en-NZ"/>
              </w:rPr>
              <w:t xml:space="preserve"> concerns remain</w:t>
            </w:r>
            <w:r w:rsidR="002D6DF2">
              <w:rPr>
                <w:rFonts w:cs="Arial"/>
                <w:sz w:val="18"/>
                <w:szCs w:val="18"/>
                <w:lang w:val="en-NZ" w:eastAsia="en-NZ"/>
              </w:rPr>
              <w:t>.</w:t>
            </w:r>
            <w:r w:rsidR="0060187E">
              <w:rPr>
                <w:rFonts w:cs="Arial"/>
                <w:sz w:val="18"/>
                <w:szCs w:val="18"/>
                <w:lang w:val="en-NZ" w:eastAsia="en-NZ"/>
              </w:rPr>
              <w:t xml:space="preserve"> </w:t>
            </w:r>
          </w:p>
        </w:tc>
        <w:tc>
          <w:tcPr>
            <w:tcW w:w="4107"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A4C3A17" w14:textId="4E320012" w:rsidR="004608BF" w:rsidRPr="007A6AF9" w:rsidRDefault="004608BF" w:rsidP="6E0E0C72">
            <w:pPr>
              <w:spacing w:after="0" w:line="240" w:lineRule="auto"/>
              <w:jc w:val="center"/>
              <w:rPr>
                <w:rFonts w:cs="Arial"/>
                <w:sz w:val="18"/>
                <w:szCs w:val="18"/>
                <w:lang w:val="en-NZ" w:eastAsia="en-NZ"/>
              </w:rPr>
            </w:pPr>
            <w:r w:rsidRPr="76703FE5">
              <w:rPr>
                <w:rFonts w:cs="Arial"/>
                <w:b/>
                <w:color w:val="00B050"/>
                <w:sz w:val="20"/>
              </w:rPr>
              <w:t>++</w:t>
            </w:r>
          </w:p>
          <w:p w14:paraId="4EFE6F2D" w14:textId="6603F290" w:rsidR="004608BF" w:rsidRPr="004608BF" w:rsidRDefault="0051122A" w:rsidP="3BAD7AAC">
            <w:pPr>
              <w:spacing w:after="0" w:line="240" w:lineRule="auto"/>
              <w:jc w:val="center"/>
              <w:rPr>
                <w:rFonts w:cs="Arial"/>
                <w:sz w:val="18"/>
                <w:szCs w:val="18"/>
                <w:lang w:val="en-NZ" w:eastAsia="en-NZ"/>
              </w:rPr>
            </w:pPr>
            <w:r>
              <w:rPr>
                <w:rFonts w:cs="Arial"/>
                <w:sz w:val="18"/>
                <w:szCs w:val="18"/>
                <w:lang w:val="en-NZ" w:eastAsia="en-NZ"/>
              </w:rPr>
              <w:t>Product safety requirements will ensure less harm.</w:t>
            </w:r>
          </w:p>
        </w:tc>
        <w:tc>
          <w:tcPr>
            <w:tcW w:w="4093"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87C4D65" w14:textId="77777777" w:rsidR="0001647D" w:rsidRPr="007A6AF9" w:rsidRDefault="004608BF" w:rsidP="0001647D">
            <w:pPr>
              <w:spacing w:after="0" w:line="240" w:lineRule="auto"/>
              <w:jc w:val="center"/>
              <w:textAlignment w:val="baseline"/>
              <w:rPr>
                <w:rFonts w:ascii="Segoe UI" w:hAnsi="Segoe UI" w:cs="Segoe UI"/>
                <w:sz w:val="16"/>
                <w:szCs w:val="16"/>
                <w:lang w:val="en-NZ" w:eastAsia="en-NZ"/>
              </w:rPr>
            </w:pPr>
            <w:r w:rsidRPr="007A6AF9">
              <w:rPr>
                <w:rFonts w:cs="Arial"/>
                <w:b/>
                <w:color w:val="00B050"/>
                <w:sz w:val="20"/>
                <w:szCs w:val="18"/>
              </w:rPr>
              <w:t>+</w:t>
            </w:r>
            <w:r w:rsidR="0001647D" w:rsidRPr="007A6AF9">
              <w:rPr>
                <w:rFonts w:cs="Arial"/>
                <w:b/>
                <w:color w:val="00B050"/>
                <w:sz w:val="20"/>
                <w:szCs w:val="18"/>
              </w:rPr>
              <w:t>+</w:t>
            </w:r>
          </w:p>
          <w:p w14:paraId="11FBFEBF" w14:textId="33B2092A" w:rsidR="004608BF" w:rsidRPr="007A6AF9" w:rsidRDefault="004608BF" w:rsidP="004608BF">
            <w:pPr>
              <w:spacing w:after="0" w:line="240" w:lineRule="auto"/>
              <w:jc w:val="center"/>
              <w:textAlignment w:val="baseline"/>
              <w:rPr>
                <w:rFonts w:ascii="Segoe UI" w:hAnsi="Segoe UI" w:cs="Segoe UI"/>
                <w:sz w:val="16"/>
                <w:szCs w:val="16"/>
                <w:lang w:val="en-NZ" w:eastAsia="en-NZ"/>
              </w:rPr>
            </w:pPr>
          </w:p>
          <w:p w14:paraId="0B68A05C" w14:textId="32DF6938" w:rsidR="004608BF" w:rsidRPr="004608BF" w:rsidRDefault="0098201F" w:rsidP="004608BF">
            <w:pPr>
              <w:spacing w:after="0" w:line="240" w:lineRule="auto"/>
              <w:jc w:val="center"/>
              <w:textAlignment w:val="baseline"/>
              <w:rPr>
                <w:rFonts w:ascii="Segoe UI" w:hAnsi="Segoe UI" w:cs="Segoe UI"/>
                <w:sz w:val="18"/>
                <w:szCs w:val="18"/>
                <w:lang w:val="en-NZ" w:eastAsia="en-NZ"/>
              </w:rPr>
            </w:pPr>
            <w:r>
              <w:rPr>
                <w:rFonts w:cs="Arial"/>
                <w:sz w:val="18"/>
                <w:szCs w:val="18"/>
                <w:lang w:val="en-NZ" w:eastAsia="en-NZ"/>
              </w:rPr>
              <w:t>May r</w:t>
            </w:r>
            <w:r w:rsidR="00205F38" w:rsidRPr="004608BF">
              <w:rPr>
                <w:rFonts w:cs="Arial"/>
                <w:sz w:val="18"/>
                <w:szCs w:val="18"/>
                <w:lang w:val="en-NZ" w:eastAsia="en-NZ"/>
              </w:rPr>
              <w:t>educe</w:t>
            </w:r>
            <w:r w:rsidR="004608BF" w:rsidRPr="004608BF">
              <w:rPr>
                <w:rFonts w:cs="Arial"/>
                <w:sz w:val="18"/>
                <w:szCs w:val="18"/>
                <w:lang w:val="en-NZ" w:eastAsia="en-NZ"/>
              </w:rPr>
              <w:t xml:space="preserve"> appeal to youth</w:t>
            </w:r>
            <w:r w:rsidR="007D3D63">
              <w:rPr>
                <w:rFonts w:cs="Arial"/>
                <w:sz w:val="18"/>
                <w:szCs w:val="18"/>
                <w:lang w:val="en-NZ" w:eastAsia="en-NZ"/>
              </w:rPr>
              <w:t>.</w:t>
            </w:r>
          </w:p>
        </w:tc>
      </w:tr>
      <w:tr w:rsidR="004608BF" w:rsidRPr="004608BF" w14:paraId="365076D9" w14:textId="77777777" w:rsidTr="59D4D97B">
        <w:trPr>
          <w:trHeight w:val="889"/>
        </w:trPr>
        <w:tc>
          <w:tcPr>
            <w:tcW w:w="196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75341875" w14:textId="77E20A28" w:rsidR="004608BF" w:rsidRPr="004608BF" w:rsidRDefault="00205F38" w:rsidP="004608BF">
            <w:pPr>
              <w:spacing w:after="0" w:line="240" w:lineRule="auto"/>
              <w:jc w:val="center"/>
              <w:textAlignment w:val="baseline"/>
              <w:rPr>
                <w:rFonts w:ascii="Segoe UI" w:hAnsi="Segoe UI" w:cs="Segoe UI"/>
                <w:sz w:val="18"/>
                <w:szCs w:val="18"/>
                <w:lang w:val="en-NZ" w:eastAsia="en-NZ"/>
              </w:rPr>
            </w:pPr>
            <w:r>
              <w:rPr>
                <w:rFonts w:cs="Arial"/>
                <w:b/>
                <w:color w:val="000000"/>
                <w:szCs w:val="22"/>
                <w:lang w:val="en-NZ"/>
              </w:rPr>
              <w:t xml:space="preserve">Cost and ease of </w:t>
            </w:r>
            <w:r w:rsidR="00605D51">
              <w:rPr>
                <w:rFonts w:cs="Arial"/>
                <w:b/>
                <w:color w:val="000000"/>
                <w:szCs w:val="22"/>
                <w:lang w:val="en-NZ"/>
              </w:rPr>
              <w:t>I</w:t>
            </w:r>
            <w:r>
              <w:rPr>
                <w:rFonts w:cs="Arial"/>
                <w:b/>
                <w:color w:val="000000"/>
                <w:szCs w:val="22"/>
                <w:lang w:val="en-NZ"/>
              </w:rPr>
              <w:t>mplementation</w:t>
            </w:r>
          </w:p>
        </w:tc>
        <w:tc>
          <w:tcPr>
            <w:tcW w:w="3635"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EEA3EDC" w14:textId="4151684D" w:rsidR="004608BF" w:rsidRPr="004608BF" w:rsidRDefault="004608BF" w:rsidP="7D110100">
            <w:pPr>
              <w:spacing w:after="0" w:line="240" w:lineRule="auto"/>
              <w:jc w:val="center"/>
              <w:textAlignment w:val="baseline"/>
              <w:rPr>
                <w:rFonts w:ascii="Segoe UI" w:hAnsi="Segoe UI" w:cs="Segoe UI"/>
                <w:sz w:val="18"/>
                <w:szCs w:val="18"/>
                <w:lang w:val="en-NZ" w:eastAsia="en-NZ"/>
              </w:rPr>
            </w:pPr>
            <w:r w:rsidRPr="7D110100">
              <w:rPr>
                <w:rFonts w:cs="Arial"/>
                <w:sz w:val="20"/>
                <w:lang w:val="en-NZ" w:eastAsia="en-NZ"/>
              </w:rPr>
              <w:t>0</w:t>
            </w:r>
          </w:p>
          <w:p w14:paraId="6A9B3431" w14:textId="2F034937" w:rsidR="004608BF" w:rsidRPr="004608BF" w:rsidRDefault="6362BDD7" w:rsidP="1D242038">
            <w:pPr>
              <w:spacing w:after="0" w:line="240" w:lineRule="auto"/>
              <w:jc w:val="center"/>
              <w:textAlignment w:val="baseline"/>
              <w:rPr>
                <w:rFonts w:cs="Arial"/>
                <w:sz w:val="18"/>
                <w:szCs w:val="18"/>
                <w:lang w:val="en-NZ" w:eastAsia="en-NZ"/>
              </w:rPr>
            </w:pPr>
            <w:r w:rsidRPr="1D242038">
              <w:rPr>
                <w:rFonts w:cs="Arial"/>
                <w:sz w:val="18"/>
                <w:szCs w:val="18"/>
                <w:lang w:val="en-NZ" w:eastAsia="en-NZ"/>
              </w:rPr>
              <w:t>No change to current costs.</w:t>
            </w:r>
          </w:p>
        </w:tc>
        <w:tc>
          <w:tcPr>
            <w:tcW w:w="4107"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F2E2706" w14:textId="648A3439" w:rsidR="004608BF" w:rsidRPr="007A6AF9" w:rsidRDefault="2D979257" w:rsidP="00ED4D46">
            <w:pPr>
              <w:spacing w:after="0" w:line="240" w:lineRule="auto"/>
              <w:jc w:val="center"/>
              <w:textAlignment w:val="baseline"/>
              <w:rPr>
                <w:rFonts w:cs="Arial"/>
                <w:sz w:val="18"/>
                <w:szCs w:val="18"/>
                <w:lang w:val="en-NZ" w:eastAsia="en-NZ"/>
              </w:rPr>
            </w:pPr>
            <w:r w:rsidRPr="6E0E0C72">
              <w:rPr>
                <w:rFonts w:cs="Arial"/>
                <w:b/>
                <w:bCs/>
                <w:color w:val="FF0000"/>
                <w:sz w:val="20"/>
              </w:rPr>
              <w:t>-</w:t>
            </w:r>
            <w:r w:rsidR="5CE99CA6" w:rsidRPr="6E0E0C72">
              <w:rPr>
                <w:rFonts w:cs="Arial"/>
                <w:b/>
                <w:bCs/>
                <w:color w:val="FF0000"/>
                <w:sz w:val="20"/>
              </w:rPr>
              <w:t xml:space="preserve"> </w:t>
            </w:r>
            <w:r w:rsidR="00ED4D46" w:rsidRPr="6E0E0C72">
              <w:rPr>
                <w:rFonts w:cs="Arial"/>
                <w:b/>
                <w:color w:val="FF0000"/>
                <w:sz w:val="20"/>
              </w:rPr>
              <w:t>-</w:t>
            </w:r>
          </w:p>
          <w:p w14:paraId="089BE840" w14:textId="54E82F25" w:rsidR="004608BF" w:rsidRPr="004608BF" w:rsidRDefault="004608BF" w:rsidP="00D74DA3">
            <w:pPr>
              <w:spacing w:after="0" w:line="240" w:lineRule="auto"/>
              <w:jc w:val="center"/>
              <w:textAlignment w:val="baseline"/>
              <w:rPr>
                <w:rFonts w:cs="Arial"/>
                <w:sz w:val="18"/>
                <w:szCs w:val="18"/>
                <w:lang w:val="en-NZ" w:eastAsia="en-NZ"/>
              </w:rPr>
            </w:pPr>
            <w:r w:rsidRPr="004608BF">
              <w:rPr>
                <w:rFonts w:cs="Arial"/>
                <w:sz w:val="18"/>
                <w:szCs w:val="18"/>
                <w:lang w:val="en-NZ" w:eastAsia="en-NZ"/>
              </w:rPr>
              <w:t>Additional cost to industry</w:t>
            </w:r>
            <w:r w:rsidR="007D3D63">
              <w:rPr>
                <w:rFonts w:cs="Arial"/>
                <w:sz w:val="18"/>
                <w:szCs w:val="18"/>
                <w:lang w:val="en-NZ" w:eastAsia="en-NZ"/>
              </w:rPr>
              <w:t>.</w:t>
            </w:r>
            <w:r w:rsidR="0CC20F34" w:rsidRPr="6E0E0C72">
              <w:rPr>
                <w:rFonts w:cs="Arial"/>
                <w:sz w:val="18"/>
                <w:szCs w:val="18"/>
                <w:lang w:val="en-NZ" w:eastAsia="en-NZ"/>
              </w:rPr>
              <w:t xml:space="preserve"> Greater compliance burden to ensure new requirements implemented.</w:t>
            </w:r>
          </w:p>
        </w:tc>
        <w:tc>
          <w:tcPr>
            <w:tcW w:w="4093"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09A996A7" w14:textId="28B6C858" w:rsidR="004608BF" w:rsidRPr="009D1315" w:rsidRDefault="009D1315" w:rsidP="009D1315">
            <w:pPr>
              <w:spacing w:after="0" w:line="240" w:lineRule="auto"/>
              <w:jc w:val="center"/>
              <w:textAlignment w:val="baseline"/>
              <w:rPr>
                <w:rFonts w:cs="Arial"/>
                <w:sz w:val="18"/>
                <w:szCs w:val="18"/>
                <w:lang w:val="en-NZ" w:eastAsia="en-NZ"/>
              </w:rPr>
            </w:pPr>
            <w:r w:rsidRPr="007A6AF9">
              <w:rPr>
                <w:rFonts w:cs="Arial"/>
                <w:b/>
                <w:color w:val="FF0000"/>
                <w:sz w:val="20"/>
                <w:szCs w:val="18"/>
              </w:rPr>
              <w:t>-</w:t>
            </w:r>
          </w:p>
          <w:p w14:paraId="60299546" w14:textId="02C3B4B3" w:rsidR="009D1315" w:rsidRPr="009D1315" w:rsidRDefault="009D1315" w:rsidP="004608BF">
            <w:pPr>
              <w:spacing w:after="0" w:line="240" w:lineRule="auto"/>
              <w:jc w:val="center"/>
              <w:textAlignment w:val="baseline"/>
              <w:rPr>
                <w:rFonts w:cs="Arial"/>
                <w:bCs/>
                <w:color w:val="FF0000"/>
              </w:rPr>
            </w:pPr>
            <w:r w:rsidRPr="009D1315">
              <w:rPr>
                <w:rFonts w:cs="Arial"/>
                <w:bCs/>
                <w:sz w:val="18"/>
                <w:szCs w:val="16"/>
              </w:rPr>
              <w:t>Some cost to industry.</w:t>
            </w:r>
          </w:p>
        </w:tc>
      </w:tr>
      <w:tr w:rsidR="004608BF" w:rsidRPr="004608BF" w14:paraId="227D01AA" w14:textId="77777777" w:rsidTr="6E0E0C72">
        <w:trPr>
          <w:trHeight w:val="615"/>
        </w:trPr>
        <w:tc>
          <w:tcPr>
            <w:tcW w:w="196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47EC2332" w14:textId="77777777" w:rsidR="004608BF" w:rsidRPr="004608BF" w:rsidRDefault="004608BF" w:rsidP="004608BF">
            <w:pPr>
              <w:spacing w:after="0" w:line="240" w:lineRule="auto"/>
              <w:jc w:val="center"/>
              <w:textAlignment w:val="baseline"/>
              <w:rPr>
                <w:rFonts w:ascii="Segoe UI" w:hAnsi="Segoe UI" w:cs="Segoe UI"/>
                <w:sz w:val="18"/>
                <w:szCs w:val="18"/>
                <w:lang w:val="en-NZ" w:eastAsia="en-NZ"/>
              </w:rPr>
            </w:pPr>
            <w:r w:rsidRPr="004608BF">
              <w:rPr>
                <w:rFonts w:cs="Arial"/>
                <w:b/>
                <w:bCs/>
                <w:color w:val="000000"/>
                <w:szCs w:val="22"/>
                <w:lang w:val="en-NZ" w:eastAsia="en-NZ"/>
              </w:rPr>
              <w:t>Overall assessment</w:t>
            </w:r>
            <w:r w:rsidRPr="004608BF">
              <w:rPr>
                <w:rFonts w:cs="Arial"/>
                <w:color w:val="000000"/>
                <w:szCs w:val="22"/>
                <w:lang w:val="en-NZ" w:eastAsia="en-NZ"/>
              </w:rPr>
              <w:t> </w:t>
            </w:r>
          </w:p>
        </w:tc>
        <w:tc>
          <w:tcPr>
            <w:tcW w:w="3635"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90F1020" w14:textId="407D68C9" w:rsidR="004608BF" w:rsidRPr="004608BF" w:rsidRDefault="004608BF" w:rsidP="004608BF">
            <w:pPr>
              <w:spacing w:after="0" w:line="240" w:lineRule="auto"/>
              <w:jc w:val="center"/>
              <w:textAlignment w:val="baseline"/>
              <w:rPr>
                <w:rFonts w:ascii="Segoe UI" w:hAnsi="Segoe UI" w:cs="Segoe UI"/>
                <w:sz w:val="18"/>
                <w:szCs w:val="18"/>
                <w:lang w:val="en-NZ" w:eastAsia="en-NZ"/>
              </w:rPr>
            </w:pPr>
          </w:p>
        </w:tc>
        <w:tc>
          <w:tcPr>
            <w:tcW w:w="4107"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61EA8918" w14:textId="6A392799" w:rsidR="004608BF" w:rsidRPr="004608BF" w:rsidRDefault="004608BF">
            <w:pPr>
              <w:spacing w:after="0" w:line="240" w:lineRule="auto"/>
              <w:jc w:val="center"/>
              <w:textAlignment w:val="baseline"/>
              <w:rPr>
                <w:rFonts w:cs="Segoe UI"/>
                <w:sz w:val="18"/>
                <w:szCs w:val="18"/>
                <w:lang w:val="en-NZ" w:eastAsia="en-NZ"/>
              </w:rPr>
            </w:pPr>
          </w:p>
        </w:tc>
        <w:tc>
          <w:tcPr>
            <w:tcW w:w="4093"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D9A4604" w14:textId="2B7C6239" w:rsidR="00F275F5" w:rsidRPr="00E2423E" w:rsidRDefault="00C675A7" w:rsidP="00C21091">
            <w:pPr>
              <w:spacing w:after="0" w:line="240" w:lineRule="auto"/>
              <w:jc w:val="center"/>
              <w:textAlignment w:val="baseline"/>
              <w:rPr>
                <w:rFonts w:cs="Arial"/>
                <w:b/>
                <w:sz w:val="20"/>
              </w:rPr>
            </w:pPr>
            <w:r w:rsidRPr="00E2423E">
              <w:rPr>
                <w:rFonts w:cs="Arial"/>
                <w:b/>
                <w:sz w:val="20"/>
              </w:rPr>
              <w:t>Preferred option</w:t>
            </w:r>
          </w:p>
        </w:tc>
      </w:tr>
    </w:tbl>
    <w:p w14:paraId="6E603DE1" w14:textId="5C568F6D" w:rsidR="00FF04EC" w:rsidRPr="00BF6B06" w:rsidRDefault="00FF04EC" w:rsidP="00BF6B06">
      <w:pPr>
        <w:pStyle w:val="Heading3"/>
        <w:rPr>
          <w:noProof/>
          <w:lang w:val="en-NZ" w:eastAsia="en-NZ"/>
        </w:rPr>
        <w:sectPr w:rsidR="00FF04EC" w:rsidRPr="00BF6B06" w:rsidSect="00B5612C">
          <w:footerReference w:type="default" r:id="rId51"/>
          <w:pgSz w:w="16838" w:h="11906" w:orient="landscape" w:code="9"/>
          <w:pgMar w:top="1418" w:right="1134" w:bottom="1418" w:left="992" w:header="454" w:footer="454" w:gutter="0"/>
          <w:cols w:space="708"/>
          <w:docGrid w:linePitch="360"/>
        </w:sectPr>
      </w:pPr>
    </w:p>
    <w:p w14:paraId="61101DDA" w14:textId="35E2C7E0" w:rsidR="00261F95" w:rsidRDefault="515A637A" w:rsidP="00F4511C">
      <w:pPr>
        <w:pStyle w:val="Heading3"/>
        <w:spacing w:before="120" w:after="120"/>
        <w:rPr>
          <w:lang w:val="en-NZ"/>
        </w:rPr>
      </w:pPr>
      <w:r w:rsidRPr="5FC4B69B">
        <w:rPr>
          <w:lang w:val="en-NZ"/>
        </w:rPr>
        <w:t xml:space="preserve">Issue </w:t>
      </w:r>
      <w:r w:rsidR="088571A3" w:rsidRPr="5FC4B69B">
        <w:rPr>
          <w:lang w:val="en-NZ"/>
        </w:rPr>
        <w:t>8</w:t>
      </w:r>
      <w:r w:rsidRPr="5FC4B69B">
        <w:rPr>
          <w:lang w:val="en-NZ"/>
        </w:rPr>
        <w:t xml:space="preserve"> – </w:t>
      </w:r>
      <w:r w:rsidR="00FF04EC" w:rsidRPr="5FC4B69B">
        <w:rPr>
          <w:lang w:val="en-NZ"/>
        </w:rPr>
        <w:t xml:space="preserve">Proximity </w:t>
      </w:r>
      <w:r w:rsidR="32E37A50" w:rsidRPr="5FC4B69B">
        <w:rPr>
          <w:lang w:val="en-NZ"/>
        </w:rPr>
        <w:t>r</w:t>
      </w:r>
      <w:r w:rsidR="00FF04EC" w:rsidRPr="5FC4B69B">
        <w:rPr>
          <w:lang w:val="en-NZ"/>
        </w:rPr>
        <w:t>estrictions</w:t>
      </w:r>
    </w:p>
    <w:p w14:paraId="420ADC39" w14:textId="4337819F" w:rsidR="00CE5D19" w:rsidRPr="00CE5D19" w:rsidRDefault="00996D26" w:rsidP="00F4511C">
      <w:pPr>
        <w:spacing w:before="120" w:after="120" w:line="240" w:lineRule="auto"/>
        <w:textAlignment w:val="baseline"/>
        <w:rPr>
          <w:rFonts w:cs="Arial"/>
          <w:lang w:val="en-NZ" w:eastAsia="en-NZ"/>
        </w:rPr>
      </w:pPr>
      <w:r w:rsidRPr="58911DBF">
        <w:rPr>
          <w:rFonts w:cs="Arial"/>
          <w:lang w:val="en-NZ" w:eastAsia="en-NZ"/>
        </w:rPr>
        <w:t>Specialist Vape Retailers (</w:t>
      </w:r>
      <w:r w:rsidR="0C50D262" w:rsidRPr="33A45F9F">
        <w:rPr>
          <w:rFonts w:cs="Arial"/>
          <w:lang w:val="en-NZ" w:eastAsia="en-NZ"/>
        </w:rPr>
        <w:t>SVRs</w:t>
      </w:r>
      <w:r>
        <w:rPr>
          <w:rFonts w:cs="Arial"/>
          <w:lang w:val="en-NZ" w:eastAsia="en-NZ"/>
        </w:rPr>
        <w:t>)</w:t>
      </w:r>
      <w:r w:rsidR="0C50D262" w:rsidRPr="33A45F9F">
        <w:rPr>
          <w:rFonts w:cs="Arial"/>
          <w:lang w:val="en-NZ" w:eastAsia="en-NZ"/>
        </w:rPr>
        <w:t xml:space="preserve"> have been operating since August 2021. </w:t>
      </w:r>
    </w:p>
    <w:p w14:paraId="279D3F8A" w14:textId="352A2D8C" w:rsidR="00CE5D19" w:rsidRPr="00CE5D19" w:rsidRDefault="00CE5D19" w:rsidP="00F4511C">
      <w:pPr>
        <w:spacing w:before="120" w:after="120" w:line="240" w:lineRule="auto"/>
        <w:textAlignment w:val="baseline"/>
        <w:rPr>
          <w:rFonts w:ascii="Segoe UI" w:hAnsi="Segoe UI" w:cs="Segoe UI"/>
          <w:sz w:val="18"/>
          <w:szCs w:val="18"/>
          <w:lang w:val="en-NZ" w:eastAsia="en-NZ"/>
        </w:rPr>
      </w:pPr>
      <w:r w:rsidRPr="58911DBF">
        <w:rPr>
          <w:rFonts w:cs="Arial"/>
          <w:lang w:val="en-NZ" w:eastAsia="en-NZ"/>
        </w:rPr>
        <w:t xml:space="preserve">The </w:t>
      </w:r>
      <w:r w:rsidR="002878AE">
        <w:rPr>
          <w:rFonts w:cs="Arial"/>
          <w:lang w:val="en-NZ" w:eastAsia="en-NZ"/>
        </w:rPr>
        <w:t xml:space="preserve">Smokefree </w:t>
      </w:r>
      <w:r w:rsidRPr="58911DBF">
        <w:rPr>
          <w:rFonts w:cs="Arial"/>
          <w:lang w:val="en-NZ" w:eastAsia="en-NZ"/>
        </w:rPr>
        <w:t>Act sets out the following approval criteria for SVRs:</w:t>
      </w:r>
    </w:p>
    <w:p w14:paraId="569B595D" w14:textId="022A90C5" w:rsidR="00CE5D19" w:rsidRPr="00646D84" w:rsidRDefault="00CE5D19" w:rsidP="00131678">
      <w:pPr>
        <w:pStyle w:val="ReportBody-MOH"/>
        <w:numPr>
          <w:ilvl w:val="0"/>
          <w:numId w:val="9"/>
        </w:numPr>
        <w:ind w:left="426" w:hanging="426"/>
        <w:rPr>
          <w:rFonts w:ascii="Arial" w:hAnsi="Arial"/>
          <w:kern w:val="0"/>
          <w:szCs w:val="20"/>
        </w:rPr>
      </w:pPr>
      <w:r w:rsidRPr="00646D84">
        <w:rPr>
          <w:rFonts w:ascii="Arial" w:hAnsi="Arial"/>
          <w:kern w:val="0"/>
          <w:szCs w:val="20"/>
        </w:rPr>
        <w:t>the retail premises in which vaping products are sold are a fixed and permanent structure and appropriate premises from which to operate</w:t>
      </w:r>
    </w:p>
    <w:p w14:paraId="20C02286" w14:textId="3099CDC0" w:rsidR="00CE5D19" w:rsidRPr="00646D84" w:rsidRDefault="00CE5D19" w:rsidP="00131678">
      <w:pPr>
        <w:pStyle w:val="ReportBody-MOH"/>
        <w:numPr>
          <w:ilvl w:val="0"/>
          <w:numId w:val="9"/>
        </w:numPr>
        <w:ind w:left="426" w:hanging="426"/>
        <w:rPr>
          <w:rFonts w:ascii="Arial" w:hAnsi="Arial"/>
          <w:kern w:val="0"/>
          <w:szCs w:val="20"/>
        </w:rPr>
      </w:pPr>
      <w:r w:rsidRPr="00646D84">
        <w:rPr>
          <w:rFonts w:ascii="Arial" w:hAnsi="Arial"/>
          <w:kern w:val="0"/>
          <w:szCs w:val="20"/>
        </w:rPr>
        <w:t>at least 70</w:t>
      </w:r>
      <w:r w:rsidR="008B7786" w:rsidRPr="00646D84">
        <w:rPr>
          <w:rFonts w:ascii="Arial" w:hAnsi="Arial"/>
          <w:kern w:val="0"/>
          <w:szCs w:val="20"/>
        </w:rPr>
        <w:t>%</w:t>
      </w:r>
      <w:r w:rsidRPr="00646D84">
        <w:rPr>
          <w:rFonts w:ascii="Arial" w:hAnsi="Arial"/>
          <w:kern w:val="0"/>
          <w:szCs w:val="20"/>
        </w:rPr>
        <w:t xml:space="preserve"> of total sales are vaping products (or 60</w:t>
      </w:r>
      <w:r w:rsidR="008B7786" w:rsidRPr="00646D84">
        <w:rPr>
          <w:rFonts w:ascii="Arial" w:hAnsi="Arial"/>
          <w:kern w:val="0"/>
          <w:szCs w:val="20"/>
        </w:rPr>
        <w:t>%</w:t>
      </w:r>
      <w:r w:rsidRPr="00646D84">
        <w:rPr>
          <w:rFonts w:ascii="Arial" w:hAnsi="Arial"/>
          <w:kern w:val="0"/>
          <w:szCs w:val="20"/>
        </w:rPr>
        <w:t xml:space="preserve"> in some</w:t>
      </w:r>
      <w:r w:rsidR="24A807A4" w:rsidRPr="00646D84">
        <w:rPr>
          <w:rFonts w:ascii="Arial" w:hAnsi="Arial"/>
          <w:kern w:val="0"/>
          <w:szCs w:val="20"/>
        </w:rPr>
        <w:t xml:space="preserve"> defined</w:t>
      </w:r>
      <w:r w:rsidRPr="00646D84">
        <w:rPr>
          <w:rFonts w:ascii="Arial" w:hAnsi="Arial"/>
          <w:kern w:val="0"/>
          <w:szCs w:val="20"/>
        </w:rPr>
        <w:t xml:space="preserve"> circumstances).</w:t>
      </w:r>
    </w:p>
    <w:p w14:paraId="42F63AD0" w14:textId="66AAA06C" w:rsidR="00CE5D19" w:rsidRPr="00CE5D19" w:rsidRDefault="00CE5D19" w:rsidP="00F4511C">
      <w:pPr>
        <w:spacing w:before="120" w:after="120" w:line="240" w:lineRule="auto"/>
        <w:textAlignment w:val="baseline"/>
        <w:rPr>
          <w:rFonts w:ascii="Segoe UI" w:hAnsi="Segoe UI" w:cs="Segoe UI"/>
          <w:sz w:val="18"/>
          <w:szCs w:val="18"/>
          <w:lang w:val="en-NZ" w:eastAsia="en-NZ"/>
        </w:rPr>
      </w:pPr>
      <w:r w:rsidRPr="58911DBF">
        <w:rPr>
          <w:rFonts w:cs="Arial"/>
          <w:lang w:val="en-NZ" w:eastAsia="en-NZ"/>
        </w:rPr>
        <w:t>There is a regulation-making power that enables further approval criteria to be made</w:t>
      </w:r>
      <w:r w:rsidR="7A1E04C5" w:rsidRPr="58911DBF">
        <w:rPr>
          <w:rFonts w:cs="Arial"/>
          <w:lang w:val="en-NZ" w:eastAsia="en-NZ"/>
        </w:rPr>
        <w:t>, including</w:t>
      </w:r>
      <w:r w:rsidRPr="58911DBF">
        <w:rPr>
          <w:rFonts w:cs="Arial"/>
          <w:lang w:val="en-NZ" w:eastAsia="en-NZ"/>
        </w:rPr>
        <w:t xml:space="preserve"> in relation to where a SVR can be located.</w:t>
      </w:r>
    </w:p>
    <w:p w14:paraId="60D1EDC5" w14:textId="1100D0BF" w:rsidR="00CE5D19" w:rsidRPr="00CE5D19" w:rsidRDefault="00CE5D19" w:rsidP="00F4511C">
      <w:pPr>
        <w:spacing w:before="120" w:after="120" w:line="240" w:lineRule="auto"/>
        <w:textAlignment w:val="baseline"/>
        <w:rPr>
          <w:rFonts w:ascii="Segoe UI" w:hAnsi="Segoe UI" w:cs="Segoe UI"/>
          <w:sz w:val="18"/>
          <w:szCs w:val="18"/>
          <w:lang w:val="en-NZ" w:eastAsia="en-NZ"/>
        </w:rPr>
      </w:pPr>
      <w:r w:rsidRPr="58911DBF">
        <w:rPr>
          <w:rFonts w:cs="Arial"/>
          <w:lang w:val="en-NZ" w:eastAsia="en-NZ"/>
        </w:rPr>
        <w:t xml:space="preserve">There is currently </w:t>
      </w:r>
      <w:r w:rsidRPr="58911DBF">
        <w:rPr>
          <w:rFonts w:cs="Arial"/>
          <w:lang w:eastAsia="en-NZ"/>
        </w:rPr>
        <w:t xml:space="preserve">very limited evidence on whether the proximity of SVRs to schools has an impact on youth vaping rates. The 2022 ASH survey of Year 10 students found that the most common source of vapes for this age group is from friends </w:t>
      </w:r>
      <w:r w:rsidR="0565CB86" w:rsidRPr="58911DBF">
        <w:rPr>
          <w:rFonts w:cs="Arial"/>
          <w:lang w:eastAsia="en-NZ"/>
        </w:rPr>
        <w:t>(</w:t>
      </w:r>
      <w:r w:rsidRPr="58911DBF">
        <w:rPr>
          <w:rFonts w:cs="Arial"/>
          <w:lang w:eastAsia="en-NZ"/>
        </w:rPr>
        <w:t>43% were given by friends). The least common source is buying online or in a shop. Further, the survey also showed no significant relationship between the density of SVRs to a school (within 1.5km proximity) and school vaping prevalence.</w:t>
      </w:r>
    </w:p>
    <w:p w14:paraId="34E0807E" w14:textId="2BCBE197" w:rsidR="00CE5D19" w:rsidRPr="00CE5D19" w:rsidRDefault="0029494F" w:rsidP="006C792E">
      <w:pPr>
        <w:spacing w:before="120" w:after="120" w:line="240" w:lineRule="auto"/>
        <w:textAlignment w:val="baseline"/>
        <w:rPr>
          <w:rFonts w:cs="Arial"/>
          <w:lang w:val="en-NZ" w:eastAsia="en-NZ"/>
        </w:rPr>
      </w:pPr>
      <w:r w:rsidRPr="33A45F9F">
        <w:rPr>
          <w:rFonts w:cs="Arial"/>
          <w:lang w:val="en-NZ" w:eastAsia="en-NZ"/>
        </w:rPr>
        <w:t>Since establishment</w:t>
      </w:r>
      <w:r>
        <w:rPr>
          <w:rFonts w:cs="Arial"/>
          <w:lang w:val="en-NZ" w:eastAsia="en-NZ"/>
        </w:rPr>
        <w:t xml:space="preserve"> of SVRs</w:t>
      </w:r>
      <w:r w:rsidRPr="33A45F9F">
        <w:rPr>
          <w:rFonts w:cs="Arial"/>
          <w:lang w:val="en-NZ" w:eastAsia="en-NZ"/>
        </w:rPr>
        <w:t>, concerns have been raised in the media, ministerial correspondence and through submissions on the Smokefree Bill regarding the proximity of these retailers to schools</w:t>
      </w:r>
      <w:r w:rsidRPr="19AFD816">
        <w:rPr>
          <w:rFonts w:cs="Arial"/>
          <w:lang w:val="en-NZ" w:eastAsia="en-NZ"/>
        </w:rPr>
        <w:t>/</w:t>
      </w:r>
      <w:proofErr w:type="spellStart"/>
      <w:r w:rsidRPr="19AFD816">
        <w:rPr>
          <w:rFonts w:cs="Arial"/>
          <w:lang w:val="en-NZ" w:eastAsia="en-NZ"/>
        </w:rPr>
        <w:t>kura</w:t>
      </w:r>
      <w:proofErr w:type="spellEnd"/>
      <w:r w:rsidRPr="33A45F9F">
        <w:rPr>
          <w:rFonts w:cs="Arial"/>
          <w:lang w:val="en-NZ" w:eastAsia="en-NZ"/>
        </w:rPr>
        <w:t xml:space="preserve"> and the impact this is having on youth vaping.</w:t>
      </w:r>
      <w:r>
        <w:rPr>
          <w:rFonts w:cs="Arial"/>
          <w:lang w:val="en-NZ" w:eastAsia="en-NZ"/>
        </w:rPr>
        <w:t xml:space="preserve"> </w:t>
      </w:r>
      <w:proofErr w:type="gramStart"/>
      <w:r>
        <w:rPr>
          <w:rFonts w:cs="Arial"/>
          <w:lang w:val="en-NZ" w:eastAsia="en-NZ"/>
        </w:rPr>
        <w:t>In light of</w:t>
      </w:r>
      <w:proofErr w:type="gramEnd"/>
      <w:r>
        <w:rPr>
          <w:rFonts w:cs="Arial"/>
          <w:lang w:val="en-NZ" w:eastAsia="en-NZ"/>
        </w:rPr>
        <w:t xml:space="preserve"> these growing concerns</w:t>
      </w:r>
      <w:r w:rsidR="00504FAB">
        <w:rPr>
          <w:rFonts w:cs="Arial"/>
          <w:lang w:val="en-NZ" w:eastAsia="en-NZ"/>
        </w:rPr>
        <w:t>, t</w:t>
      </w:r>
      <w:r w:rsidR="62F88B44" w:rsidRPr="33A45F9F">
        <w:rPr>
          <w:rFonts w:cs="Arial"/>
          <w:lang w:val="en-NZ" w:eastAsia="en-NZ"/>
        </w:rPr>
        <w:t>he Ministry</w:t>
      </w:r>
      <w:r w:rsidR="5E5410EC" w:rsidRPr="33A45F9F">
        <w:rPr>
          <w:rFonts w:cs="Arial"/>
          <w:lang w:val="en-NZ" w:eastAsia="en-NZ"/>
        </w:rPr>
        <w:t xml:space="preserve"> consulted on a proposal </w:t>
      </w:r>
      <w:r w:rsidR="190CC0CA" w:rsidRPr="33A45F9F">
        <w:rPr>
          <w:rFonts w:cs="Arial"/>
          <w:lang w:val="en-NZ" w:eastAsia="en-NZ"/>
        </w:rPr>
        <w:t xml:space="preserve">to </w:t>
      </w:r>
      <w:r w:rsidR="5E5410EC" w:rsidRPr="33A45F9F">
        <w:rPr>
          <w:rFonts w:cs="Arial"/>
          <w:lang w:val="en-NZ" w:eastAsia="en-NZ"/>
        </w:rPr>
        <w:t xml:space="preserve">set proximity restrictions </w:t>
      </w:r>
      <w:r w:rsidR="61843686" w:rsidRPr="33A45F9F">
        <w:rPr>
          <w:rFonts w:cs="Arial"/>
          <w:lang w:val="en-NZ" w:eastAsia="en-NZ"/>
        </w:rPr>
        <w:t>on</w:t>
      </w:r>
      <w:r w:rsidR="5E5410EC" w:rsidRPr="33A45F9F">
        <w:rPr>
          <w:rFonts w:cs="Arial"/>
          <w:lang w:val="en-NZ" w:eastAsia="en-NZ"/>
        </w:rPr>
        <w:t xml:space="preserve"> where a SVR </w:t>
      </w:r>
      <w:r w:rsidR="01ED35BA" w:rsidRPr="33A45F9F">
        <w:rPr>
          <w:rFonts w:cs="Arial"/>
          <w:lang w:val="en-NZ" w:eastAsia="en-NZ"/>
        </w:rPr>
        <w:t>can be</w:t>
      </w:r>
      <w:r w:rsidR="5E5410EC" w:rsidRPr="33A45F9F">
        <w:rPr>
          <w:rFonts w:cs="Arial"/>
          <w:lang w:val="en-NZ" w:eastAsia="en-NZ"/>
        </w:rPr>
        <w:t xml:space="preserve"> located. This would mean that the Director-General would need to </w:t>
      </w:r>
      <w:proofErr w:type="gramStart"/>
      <w:r w:rsidR="5E5410EC" w:rsidRPr="33A45F9F">
        <w:rPr>
          <w:rFonts w:cs="Arial"/>
          <w:lang w:val="en-NZ" w:eastAsia="en-NZ"/>
        </w:rPr>
        <w:t>give consideration to</w:t>
      </w:r>
      <w:proofErr w:type="gramEnd"/>
      <w:r w:rsidR="5E5410EC" w:rsidRPr="33A45F9F">
        <w:rPr>
          <w:rFonts w:cs="Arial"/>
          <w:lang w:val="en-NZ" w:eastAsia="en-NZ"/>
        </w:rPr>
        <w:t xml:space="preserve"> where a business intends to operate when deciding to give a person approval to be an SVR. For example, the distance from schools, marae and sports grounds or other considerations specific to certain communities.</w:t>
      </w:r>
      <w:r w:rsidR="493016F7" w:rsidRPr="33A45F9F">
        <w:rPr>
          <w:rFonts w:cs="Arial"/>
          <w:lang w:val="en-NZ" w:eastAsia="en-NZ"/>
        </w:rPr>
        <w:t xml:space="preserve"> The proposal would only apply to new applications, not existing SVRs.</w:t>
      </w:r>
    </w:p>
    <w:p w14:paraId="1C85C47C" w14:textId="2231A791" w:rsidR="00CE5D19" w:rsidRPr="00CE5D19" w:rsidRDefault="00CE5D19" w:rsidP="00F4511C">
      <w:pPr>
        <w:spacing w:before="120" w:after="120" w:line="240" w:lineRule="auto"/>
        <w:textAlignment w:val="baseline"/>
        <w:rPr>
          <w:rFonts w:ascii="Segoe UI" w:hAnsi="Segoe UI" w:cs="Segoe UI"/>
          <w:sz w:val="18"/>
          <w:szCs w:val="18"/>
          <w:lang w:val="en-NZ" w:eastAsia="en-NZ"/>
        </w:rPr>
      </w:pPr>
      <w:r w:rsidRPr="00CE5D19">
        <w:rPr>
          <w:rFonts w:cs="Arial"/>
          <w:i/>
          <w:iCs/>
          <w:szCs w:val="22"/>
          <w:lang w:val="en-NZ" w:eastAsia="en-NZ"/>
        </w:rPr>
        <w:t>Consultation feedback</w:t>
      </w:r>
    </w:p>
    <w:p w14:paraId="38CD315F" w14:textId="78E99488" w:rsidR="78AC5033" w:rsidRDefault="0E369A76" w:rsidP="00F4511C">
      <w:pPr>
        <w:spacing w:before="120" w:after="120" w:line="240" w:lineRule="auto"/>
        <w:rPr>
          <w:rFonts w:cs="Arial"/>
          <w:sz w:val="18"/>
          <w:szCs w:val="18"/>
          <w:lang w:val="en-NZ" w:eastAsia="en-NZ"/>
        </w:rPr>
      </w:pPr>
      <w:r w:rsidRPr="59D4D97B">
        <w:rPr>
          <w:rFonts w:cs="Arial"/>
          <w:lang w:val="en-NZ"/>
        </w:rPr>
        <w:t>A significant number of submitters supported restrictions on proximity to schools</w:t>
      </w:r>
      <w:r w:rsidR="6F871E6D" w:rsidRPr="59D4D97B">
        <w:rPr>
          <w:rFonts w:cs="Arial"/>
          <w:lang w:val="en-NZ"/>
        </w:rPr>
        <w:t>, primarily to</w:t>
      </w:r>
      <w:r w:rsidR="089FC7CD" w:rsidRPr="59D4D97B">
        <w:rPr>
          <w:rFonts w:cs="Arial"/>
          <w:lang w:val="en-NZ"/>
        </w:rPr>
        <w:t xml:space="preserve"> help reduce youth uptake of vaping.</w:t>
      </w:r>
      <w:r w:rsidR="5F1BD834" w:rsidRPr="59D4D97B">
        <w:rPr>
          <w:rFonts w:cs="Arial"/>
          <w:lang w:val="en-NZ"/>
        </w:rPr>
        <w:t xml:space="preserve"> However, </w:t>
      </w:r>
      <w:r w:rsidR="3D7AB289" w:rsidRPr="59D4D97B">
        <w:rPr>
          <w:rFonts w:cs="Arial"/>
          <w:lang w:val="en-NZ"/>
        </w:rPr>
        <w:t xml:space="preserve">some submitters considered </w:t>
      </w:r>
      <w:r w:rsidR="5F1BD834" w:rsidRPr="59D4D97B">
        <w:rPr>
          <w:rFonts w:cs="Arial"/>
          <w:lang w:val="en-NZ"/>
        </w:rPr>
        <w:t xml:space="preserve">that proximity restrictions </w:t>
      </w:r>
      <w:r w:rsidR="643395E2" w:rsidRPr="59D4D97B">
        <w:rPr>
          <w:rFonts w:cs="Arial"/>
          <w:lang w:val="en-NZ"/>
        </w:rPr>
        <w:t>could</w:t>
      </w:r>
      <w:r w:rsidR="20D25EF9" w:rsidRPr="59D4D97B">
        <w:rPr>
          <w:rFonts w:cs="Arial"/>
          <w:lang w:val="en-NZ"/>
        </w:rPr>
        <w:t xml:space="preserve"> unintentionally result in some towns or areas </w:t>
      </w:r>
      <w:r w:rsidR="1FAF8CB4" w:rsidRPr="59D4D97B">
        <w:rPr>
          <w:rFonts w:cs="Arial"/>
          <w:lang w:val="en-NZ"/>
        </w:rPr>
        <w:t>having no SVRs</w:t>
      </w:r>
      <w:r w:rsidR="0D1D54FB" w:rsidRPr="59D4D97B">
        <w:rPr>
          <w:rFonts w:cs="Arial"/>
          <w:lang w:val="en-NZ"/>
        </w:rPr>
        <w:t xml:space="preserve">, which would </w:t>
      </w:r>
      <w:r w:rsidR="7F6B9FAD" w:rsidRPr="59D4D97B">
        <w:rPr>
          <w:rFonts w:cs="Arial"/>
          <w:lang w:val="en-NZ" w:eastAsia="en-NZ"/>
        </w:rPr>
        <w:t xml:space="preserve">impact on </w:t>
      </w:r>
      <w:r w:rsidR="524D3720" w:rsidRPr="59D4D97B">
        <w:rPr>
          <w:rFonts w:cs="Arial"/>
          <w:lang w:val="en-NZ" w:eastAsia="en-NZ"/>
        </w:rPr>
        <w:t xml:space="preserve">adult smokers’ </w:t>
      </w:r>
      <w:r w:rsidR="7F6B9FAD" w:rsidRPr="59D4D97B">
        <w:rPr>
          <w:rFonts w:cs="Arial"/>
          <w:lang w:val="en-NZ" w:eastAsia="en-NZ"/>
        </w:rPr>
        <w:t>access</w:t>
      </w:r>
      <w:r w:rsidR="080227DF" w:rsidRPr="59D4D97B">
        <w:rPr>
          <w:rFonts w:cs="Arial"/>
          <w:lang w:val="en-NZ" w:eastAsia="en-NZ"/>
        </w:rPr>
        <w:t xml:space="preserve"> </w:t>
      </w:r>
      <w:r w:rsidR="7F6B9FAD" w:rsidRPr="59D4D97B">
        <w:rPr>
          <w:rFonts w:cs="Arial"/>
          <w:lang w:val="en-NZ" w:eastAsia="en-NZ"/>
        </w:rPr>
        <w:t xml:space="preserve">to </w:t>
      </w:r>
      <w:r w:rsidR="1F816BDA" w:rsidRPr="59D4D97B">
        <w:rPr>
          <w:rFonts w:cs="Arial"/>
          <w:lang w:val="en-NZ" w:eastAsia="en-NZ"/>
        </w:rPr>
        <w:t>vaping products</w:t>
      </w:r>
      <w:r w:rsidR="00B95931">
        <w:rPr>
          <w:rFonts w:cs="Arial"/>
          <w:lang w:val="en-NZ" w:eastAsia="en-NZ"/>
        </w:rPr>
        <w:t xml:space="preserve"> (although vaping products would still be available from </w:t>
      </w:r>
      <w:r w:rsidR="00D410D9">
        <w:rPr>
          <w:rFonts w:cs="Arial"/>
          <w:lang w:val="en-NZ" w:eastAsia="en-NZ"/>
        </w:rPr>
        <w:t>other retail outlets and existing SVRs)</w:t>
      </w:r>
      <w:r w:rsidR="7F6B9FAD" w:rsidRPr="59D4D97B">
        <w:rPr>
          <w:rFonts w:cs="Arial"/>
          <w:lang w:val="en-NZ" w:eastAsia="en-NZ"/>
        </w:rPr>
        <w:t>.</w:t>
      </w:r>
    </w:p>
    <w:p w14:paraId="7420DD69" w14:textId="77DD3A56" w:rsidR="436F4FDA" w:rsidRDefault="436F4FDA" w:rsidP="00F4511C">
      <w:pPr>
        <w:spacing w:before="120" w:after="120" w:line="240" w:lineRule="auto"/>
        <w:rPr>
          <w:rFonts w:cs="Arial"/>
          <w:lang w:val="en-NZ" w:eastAsia="en-NZ"/>
        </w:rPr>
      </w:pPr>
      <w:r w:rsidRPr="59D4D97B">
        <w:rPr>
          <w:rFonts w:cs="Arial"/>
          <w:lang w:val="en-NZ" w:eastAsia="en-NZ"/>
        </w:rPr>
        <w:t xml:space="preserve">Other common feedback, also seen in recent media coverage, is the clustering of </w:t>
      </w:r>
      <w:r w:rsidR="00A87155">
        <w:rPr>
          <w:rFonts w:cs="Arial"/>
          <w:lang w:val="en-NZ" w:eastAsia="en-NZ"/>
        </w:rPr>
        <w:t>SVRs</w:t>
      </w:r>
      <w:r w:rsidRPr="59D4D97B">
        <w:rPr>
          <w:rFonts w:cs="Arial"/>
          <w:lang w:val="en-NZ" w:eastAsia="en-NZ"/>
        </w:rPr>
        <w:t xml:space="preserve"> in small urban centres. There is concern that there are already too many retailers of vape products in</w:t>
      </w:r>
      <w:r w:rsidR="797D00B0" w:rsidRPr="59D4D97B">
        <w:rPr>
          <w:rFonts w:cs="Arial"/>
          <w:lang w:val="en-NZ" w:eastAsia="en-NZ"/>
        </w:rPr>
        <w:t xml:space="preserve"> proximity of certain sites, and in</w:t>
      </w:r>
      <w:r w:rsidRPr="59D4D97B">
        <w:rPr>
          <w:rFonts w:cs="Arial"/>
          <w:lang w:val="en-NZ" w:eastAsia="en-NZ"/>
        </w:rPr>
        <w:t xml:space="preserve"> Aotearoa </w:t>
      </w:r>
      <w:r w:rsidR="1035985E" w:rsidRPr="59D4D97B">
        <w:rPr>
          <w:rFonts w:cs="Arial"/>
          <w:lang w:val="en-NZ" w:eastAsia="en-NZ"/>
        </w:rPr>
        <w:t xml:space="preserve">more </w:t>
      </w:r>
      <w:r w:rsidRPr="59D4D97B">
        <w:rPr>
          <w:rFonts w:cs="Arial"/>
          <w:lang w:val="en-NZ" w:eastAsia="en-NZ"/>
        </w:rPr>
        <w:t>generally.</w:t>
      </w:r>
    </w:p>
    <w:p w14:paraId="35191F72" w14:textId="65F62AFC" w:rsidR="00CE5D19" w:rsidRPr="00CE5D19" w:rsidRDefault="00CE5D19" w:rsidP="00F4511C">
      <w:pPr>
        <w:spacing w:before="120" w:after="120" w:line="240" w:lineRule="auto"/>
        <w:textAlignment w:val="baseline"/>
        <w:rPr>
          <w:rFonts w:ascii="Segoe UI" w:hAnsi="Segoe UI" w:cs="Segoe UI"/>
          <w:sz w:val="18"/>
          <w:szCs w:val="18"/>
          <w:lang w:val="en-NZ" w:eastAsia="en-NZ"/>
        </w:rPr>
      </w:pPr>
      <w:r w:rsidRPr="00CE5D19">
        <w:rPr>
          <w:rFonts w:cs="Arial"/>
          <w:szCs w:val="22"/>
          <w:lang w:val="en-NZ" w:eastAsia="en-NZ"/>
        </w:rPr>
        <w:t>Options</w:t>
      </w:r>
      <w:r w:rsidR="00D74DA3">
        <w:rPr>
          <w:rFonts w:cs="Arial"/>
          <w:szCs w:val="22"/>
          <w:lang w:val="en-NZ" w:eastAsia="en-NZ"/>
        </w:rPr>
        <w:t xml:space="preserve"> for proximity restrictions are:</w:t>
      </w:r>
    </w:p>
    <w:p w14:paraId="245D2596" w14:textId="7A3EDBEA" w:rsidR="00D74DA3" w:rsidRPr="00D74DA3" w:rsidRDefault="00CE5D19" w:rsidP="00F4511C">
      <w:pPr>
        <w:pStyle w:val="Heading4"/>
        <w:spacing w:after="120"/>
        <w:rPr>
          <w:lang w:val="en-NZ" w:eastAsia="en-NZ"/>
        </w:rPr>
      </w:pPr>
      <w:r w:rsidRPr="00CE5D19">
        <w:rPr>
          <w:lang w:val="en-NZ" w:eastAsia="en-NZ"/>
        </w:rPr>
        <w:t xml:space="preserve">Option </w:t>
      </w:r>
      <w:r w:rsidR="008B7786">
        <w:rPr>
          <w:lang w:val="en-NZ" w:eastAsia="en-NZ"/>
        </w:rPr>
        <w:t>1</w:t>
      </w:r>
      <w:r w:rsidR="00D74DA3">
        <w:rPr>
          <w:lang w:val="en-NZ" w:eastAsia="en-NZ"/>
        </w:rPr>
        <w:t xml:space="preserve"> – S</w:t>
      </w:r>
      <w:r w:rsidRPr="00CE5D19">
        <w:rPr>
          <w:lang w:val="en-NZ" w:eastAsia="en-NZ"/>
        </w:rPr>
        <w:t xml:space="preserve">tatus </w:t>
      </w:r>
      <w:r w:rsidR="00D74DA3">
        <w:rPr>
          <w:lang w:val="en-NZ" w:eastAsia="en-NZ"/>
        </w:rPr>
        <w:t>Q</w:t>
      </w:r>
      <w:r w:rsidRPr="00CE5D19">
        <w:rPr>
          <w:lang w:val="en-NZ" w:eastAsia="en-NZ"/>
        </w:rPr>
        <w:t>uo</w:t>
      </w:r>
    </w:p>
    <w:p w14:paraId="1FD81A94" w14:textId="0DCEA675" w:rsidR="00CE5D19" w:rsidRPr="00CE5D19" w:rsidRDefault="00D74DA3" w:rsidP="00F4511C">
      <w:pPr>
        <w:spacing w:before="120" w:after="120" w:line="240" w:lineRule="auto"/>
        <w:textAlignment w:val="baseline"/>
        <w:rPr>
          <w:rFonts w:ascii="Segoe UI" w:hAnsi="Segoe UI" w:cs="Segoe UI"/>
          <w:sz w:val="18"/>
          <w:szCs w:val="18"/>
          <w:lang w:val="en-NZ" w:eastAsia="en-NZ"/>
        </w:rPr>
      </w:pPr>
      <w:r>
        <w:rPr>
          <w:rFonts w:cs="Arial"/>
          <w:szCs w:val="22"/>
          <w:lang w:val="en-NZ" w:eastAsia="en-NZ"/>
        </w:rPr>
        <w:t>N</w:t>
      </w:r>
      <w:r w:rsidR="00CE5D19" w:rsidRPr="00CE5D19">
        <w:rPr>
          <w:rFonts w:cs="Arial"/>
          <w:szCs w:val="22"/>
          <w:lang w:val="en-NZ" w:eastAsia="en-NZ"/>
        </w:rPr>
        <w:t>o changes to existing approval requirements</w:t>
      </w:r>
      <w:r>
        <w:rPr>
          <w:rFonts w:cs="Arial"/>
          <w:szCs w:val="22"/>
          <w:lang w:val="en-NZ" w:eastAsia="en-NZ"/>
        </w:rPr>
        <w:t>.</w:t>
      </w:r>
    </w:p>
    <w:p w14:paraId="29D40285" w14:textId="1A18E1B7" w:rsidR="00D74DA3" w:rsidRPr="00D74DA3" w:rsidRDefault="00CE5D19" w:rsidP="00F4511C">
      <w:pPr>
        <w:pStyle w:val="Heading4"/>
        <w:spacing w:after="120"/>
        <w:rPr>
          <w:lang w:val="en-NZ" w:eastAsia="en-NZ"/>
        </w:rPr>
      </w:pPr>
      <w:r w:rsidRPr="00CE5D19">
        <w:rPr>
          <w:lang w:val="en-NZ" w:eastAsia="en-NZ"/>
        </w:rPr>
        <w:t xml:space="preserve">Option </w:t>
      </w:r>
      <w:r w:rsidR="008B7786">
        <w:rPr>
          <w:lang w:val="en-NZ" w:eastAsia="en-NZ"/>
        </w:rPr>
        <w:t>2</w:t>
      </w:r>
    </w:p>
    <w:p w14:paraId="40806227" w14:textId="0D916CC6" w:rsidR="00CE5D19" w:rsidRPr="00CE5D19" w:rsidRDefault="3106BF1D" w:rsidP="00F4511C">
      <w:pPr>
        <w:spacing w:before="120" w:after="120" w:line="240" w:lineRule="auto"/>
        <w:textAlignment w:val="baseline"/>
        <w:rPr>
          <w:rFonts w:cs="Arial"/>
          <w:lang w:val="en-NZ" w:eastAsia="en-NZ"/>
        </w:rPr>
      </w:pPr>
      <w:r w:rsidRPr="343E5FDF">
        <w:rPr>
          <w:rFonts w:cs="Arial"/>
          <w:lang w:val="en-NZ" w:eastAsia="en-NZ"/>
        </w:rPr>
        <w:t xml:space="preserve">The </w:t>
      </w:r>
      <w:r w:rsidR="5E5410EC" w:rsidRPr="343E5FDF">
        <w:rPr>
          <w:rFonts w:cs="Arial"/>
          <w:lang w:val="en-NZ" w:eastAsia="en-NZ"/>
        </w:rPr>
        <w:t>D</w:t>
      </w:r>
      <w:r w:rsidR="00244136">
        <w:rPr>
          <w:rFonts w:cs="Arial"/>
          <w:lang w:val="en-NZ" w:eastAsia="en-NZ"/>
        </w:rPr>
        <w:t>irector-</w:t>
      </w:r>
      <w:r w:rsidR="5E5410EC" w:rsidRPr="343E5FDF">
        <w:rPr>
          <w:rFonts w:cs="Arial"/>
          <w:lang w:val="en-NZ" w:eastAsia="en-NZ"/>
        </w:rPr>
        <w:t>G</w:t>
      </w:r>
      <w:r w:rsidR="00244136">
        <w:rPr>
          <w:rFonts w:cs="Arial"/>
          <w:lang w:val="en-NZ" w:eastAsia="en-NZ"/>
        </w:rPr>
        <w:t>eneral</w:t>
      </w:r>
      <w:r w:rsidR="5E5410EC" w:rsidRPr="343E5FDF">
        <w:rPr>
          <w:rFonts w:cs="Arial"/>
          <w:lang w:val="en-NZ" w:eastAsia="en-NZ"/>
        </w:rPr>
        <w:t xml:space="preserve"> must take proximity considerations into account. This option </w:t>
      </w:r>
      <w:r w:rsidR="00E96E82">
        <w:rPr>
          <w:rFonts w:cs="Arial"/>
          <w:lang w:val="en-NZ" w:eastAsia="en-NZ"/>
        </w:rPr>
        <w:t xml:space="preserve">does not set out specific </w:t>
      </w:r>
      <w:r w:rsidR="00FB7498">
        <w:rPr>
          <w:rFonts w:cs="Arial"/>
          <w:lang w:val="en-NZ" w:eastAsia="en-NZ"/>
        </w:rPr>
        <w:t xml:space="preserve">distances or locations in the regulations but </w:t>
      </w:r>
      <w:r w:rsidR="00AC22C6">
        <w:rPr>
          <w:rFonts w:cs="Arial"/>
          <w:lang w:val="en-NZ" w:eastAsia="en-NZ"/>
        </w:rPr>
        <w:t xml:space="preserve">allows the regulator to </w:t>
      </w:r>
      <w:proofErr w:type="gramStart"/>
      <w:r w:rsidR="00AC22C6">
        <w:rPr>
          <w:rFonts w:cs="Arial"/>
          <w:lang w:val="en-NZ" w:eastAsia="en-NZ"/>
        </w:rPr>
        <w:t>give consideration to</w:t>
      </w:r>
      <w:proofErr w:type="gramEnd"/>
      <w:r w:rsidR="00AC22C6">
        <w:rPr>
          <w:rFonts w:cs="Arial"/>
          <w:lang w:val="en-NZ" w:eastAsia="en-NZ"/>
        </w:rPr>
        <w:t xml:space="preserve"> such matters wh</w:t>
      </w:r>
      <w:r w:rsidR="00270B3C">
        <w:rPr>
          <w:rFonts w:cs="Arial"/>
          <w:lang w:val="en-NZ" w:eastAsia="en-NZ"/>
        </w:rPr>
        <w:t xml:space="preserve">en considering SVR approvals. </w:t>
      </w:r>
    </w:p>
    <w:p w14:paraId="237111A1" w14:textId="0D289551" w:rsidR="00D74DA3" w:rsidRPr="00D74DA3" w:rsidRDefault="00CE5D19" w:rsidP="00F4511C">
      <w:pPr>
        <w:pStyle w:val="Heading4"/>
        <w:spacing w:after="120"/>
        <w:rPr>
          <w:lang w:val="en-NZ" w:eastAsia="en-NZ"/>
        </w:rPr>
      </w:pPr>
      <w:r w:rsidRPr="00CE5D19">
        <w:rPr>
          <w:lang w:val="en-NZ" w:eastAsia="en-NZ"/>
        </w:rPr>
        <w:t>Option</w:t>
      </w:r>
      <w:r w:rsidR="008B7786">
        <w:rPr>
          <w:lang w:val="en-NZ" w:eastAsia="en-NZ"/>
        </w:rPr>
        <w:t xml:space="preserve"> 2</w:t>
      </w:r>
    </w:p>
    <w:p w14:paraId="01DE9294" w14:textId="77777777" w:rsidR="00B543C6" w:rsidRDefault="5E5410EC" w:rsidP="00F4511C">
      <w:pPr>
        <w:spacing w:before="120" w:after="120" w:line="240" w:lineRule="auto"/>
        <w:textAlignment w:val="baseline"/>
        <w:rPr>
          <w:rFonts w:cs="Arial"/>
          <w:lang w:val="en-NZ" w:eastAsia="en-NZ"/>
        </w:rPr>
      </w:pPr>
      <w:r w:rsidRPr="2CA2BD4D">
        <w:rPr>
          <w:rFonts w:cs="Arial"/>
          <w:lang w:val="en-NZ" w:eastAsia="en-NZ"/>
        </w:rPr>
        <w:t>SVRs must meet proximity requirements. This option would set out in regulations the minimum allowable distance of an SVR to locations of interest such as schools, marae, sport grounds.</w:t>
      </w:r>
    </w:p>
    <w:p w14:paraId="08560D39" w14:textId="77777777" w:rsidR="00B543C6" w:rsidRDefault="00B543C6" w:rsidP="00F4511C">
      <w:pPr>
        <w:spacing w:before="120" w:after="120" w:line="240" w:lineRule="auto"/>
        <w:rPr>
          <w:rFonts w:cs="Arial"/>
          <w:lang w:val="en-NZ" w:eastAsia="en-NZ"/>
        </w:rPr>
      </w:pPr>
    </w:p>
    <w:p w14:paraId="6B4F5708" w14:textId="77777777" w:rsidR="001E7CF5" w:rsidRDefault="001E7CF5" w:rsidP="00F4511C">
      <w:pPr>
        <w:spacing w:before="120" w:after="120" w:line="240" w:lineRule="auto"/>
        <w:rPr>
          <w:rFonts w:cs="Arial"/>
          <w:lang w:val="en-NZ" w:eastAsia="en-NZ"/>
        </w:rPr>
      </w:pPr>
    </w:p>
    <w:p w14:paraId="43CB6DF6" w14:textId="77777777" w:rsidR="001E7CF5" w:rsidRDefault="001E7CF5" w:rsidP="00F4511C">
      <w:pPr>
        <w:spacing w:before="120" w:after="120" w:line="240" w:lineRule="auto"/>
        <w:rPr>
          <w:rFonts w:cs="Arial"/>
          <w:lang w:val="en-NZ" w:eastAsia="en-NZ"/>
        </w:rPr>
      </w:pPr>
    </w:p>
    <w:p w14:paraId="60C0C561" w14:textId="77777777" w:rsidR="2CA2BD4D" w:rsidRDefault="2CA2BD4D" w:rsidP="2CA2BD4D">
      <w:pPr>
        <w:spacing w:after="0" w:line="240" w:lineRule="auto"/>
        <w:rPr>
          <w:rFonts w:ascii="Segoe UI" w:hAnsi="Segoe UI" w:cs="Segoe UI"/>
          <w:sz w:val="18"/>
          <w:szCs w:val="18"/>
          <w:lang w:val="en-NZ" w:eastAsia="en-NZ"/>
        </w:rPr>
      </w:pPr>
    </w:p>
    <w:p w14:paraId="6E23A429" w14:textId="01494848" w:rsidR="00CE5D19" w:rsidRPr="00A65799" w:rsidRDefault="2ED56203" w:rsidP="00F951A2">
      <w:pPr>
        <w:spacing w:after="60" w:line="240" w:lineRule="auto"/>
        <w:textAlignment w:val="baseline"/>
        <w:rPr>
          <w:rFonts w:cs="Arial"/>
          <w:lang w:val="en-NZ" w:eastAsia="en-NZ"/>
        </w:rPr>
      </w:pPr>
      <w:r w:rsidRPr="00A65799">
        <w:rPr>
          <w:rFonts w:cs="Arial"/>
          <w:b/>
          <w:sz w:val="20"/>
          <w:lang w:eastAsia="en-NZ"/>
        </w:rPr>
        <w:t xml:space="preserve">Table </w:t>
      </w:r>
      <w:r w:rsidR="008B7786">
        <w:rPr>
          <w:rFonts w:cs="Arial"/>
          <w:b/>
          <w:sz w:val="20"/>
          <w:lang w:eastAsia="en-NZ"/>
        </w:rPr>
        <w:t>14</w:t>
      </w:r>
      <w:r w:rsidRPr="00A65799">
        <w:rPr>
          <w:rFonts w:cs="Arial"/>
          <w:b/>
          <w:sz w:val="20"/>
          <w:lang w:eastAsia="en-NZ"/>
        </w:rPr>
        <w:t>: Comparison of options </w:t>
      </w:r>
      <w:r w:rsidRPr="2CA2BD4D">
        <w:rPr>
          <w:rFonts w:cs="Arial"/>
          <w:sz w:val="20"/>
          <w:lang w:val="en-NZ" w:eastAsia="en-NZ"/>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2295"/>
        <w:gridCol w:w="2640"/>
        <w:gridCol w:w="2580"/>
      </w:tblGrid>
      <w:tr w:rsidR="00CE5D19" w:rsidRPr="00CE5D19" w14:paraId="78083F13" w14:textId="77777777" w:rsidTr="14E07CEB">
        <w:trPr>
          <w:trHeight w:val="30"/>
        </w:trPr>
        <w:tc>
          <w:tcPr>
            <w:tcW w:w="1125" w:type="dxa"/>
            <w:tcBorders>
              <w:top w:val="single" w:sz="6" w:space="0" w:color="auto"/>
              <w:left w:val="nil"/>
              <w:bottom w:val="single" w:sz="6" w:space="0" w:color="auto"/>
              <w:right w:val="nil"/>
            </w:tcBorders>
            <w:shd w:val="clear" w:color="auto" w:fill="auto"/>
            <w:hideMark/>
          </w:tcPr>
          <w:p w14:paraId="685DA0BE" w14:textId="77777777" w:rsidR="00CE5D19" w:rsidRPr="00A65799" w:rsidRDefault="00CE5D19" w:rsidP="009016AB">
            <w:pPr>
              <w:spacing w:before="60" w:after="60" w:line="240" w:lineRule="auto"/>
              <w:textAlignment w:val="baseline"/>
              <w:rPr>
                <w:rFonts w:cs="Arial"/>
                <w:sz w:val="18"/>
                <w:szCs w:val="18"/>
                <w:lang w:val="en-NZ" w:eastAsia="en-NZ"/>
              </w:rPr>
            </w:pPr>
            <w:r w:rsidRPr="00A65799">
              <w:rPr>
                <w:rFonts w:cs="Arial"/>
                <w:b/>
                <w:sz w:val="18"/>
                <w:szCs w:val="18"/>
                <w:lang w:eastAsia="en-NZ"/>
              </w:rPr>
              <w:t>Options</w:t>
            </w:r>
            <w:r w:rsidRPr="00A65799">
              <w:rPr>
                <w:rFonts w:cs="Arial"/>
                <w:sz w:val="18"/>
                <w:szCs w:val="18"/>
                <w:lang w:val="en-NZ" w:eastAsia="en-NZ"/>
              </w:rPr>
              <w:t> </w:t>
            </w:r>
          </w:p>
        </w:tc>
        <w:tc>
          <w:tcPr>
            <w:tcW w:w="2295" w:type="dxa"/>
            <w:tcBorders>
              <w:top w:val="single" w:sz="6" w:space="0" w:color="auto"/>
              <w:left w:val="nil"/>
              <w:bottom w:val="single" w:sz="6" w:space="0" w:color="auto"/>
              <w:right w:val="nil"/>
            </w:tcBorders>
            <w:shd w:val="clear" w:color="auto" w:fill="auto"/>
            <w:hideMark/>
          </w:tcPr>
          <w:p w14:paraId="6AEC8FEF" w14:textId="43F60A4E" w:rsidR="00CE5D19" w:rsidRPr="00A65799" w:rsidRDefault="00CE5D19" w:rsidP="009016AB">
            <w:pPr>
              <w:spacing w:before="60" w:after="60" w:line="240" w:lineRule="auto"/>
              <w:textAlignment w:val="baseline"/>
              <w:rPr>
                <w:rFonts w:cs="Arial"/>
                <w:sz w:val="18"/>
                <w:szCs w:val="18"/>
                <w:lang w:val="en-NZ" w:eastAsia="en-NZ"/>
              </w:rPr>
            </w:pPr>
            <w:r w:rsidRPr="00A65799">
              <w:rPr>
                <w:rFonts w:cs="Arial"/>
                <w:b/>
                <w:sz w:val="18"/>
                <w:szCs w:val="18"/>
                <w:lang w:eastAsia="en-NZ"/>
              </w:rPr>
              <w:t>Option 1 (status quo):</w:t>
            </w:r>
            <w:r w:rsidRPr="00A65799">
              <w:rPr>
                <w:rFonts w:cs="Arial"/>
                <w:sz w:val="18"/>
                <w:szCs w:val="18"/>
                <w:lang w:eastAsia="en-NZ"/>
              </w:rPr>
              <w:t xml:space="preserve"> no changes to regs</w:t>
            </w:r>
          </w:p>
        </w:tc>
        <w:tc>
          <w:tcPr>
            <w:tcW w:w="2640" w:type="dxa"/>
            <w:tcBorders>
              <w:top w:val="single" w:sz="6" w:space="0" w:color="auto"/>
              <w:left w:val="nil"/>
              <w:bottom w:val="single" w:sz="6" w:space="0" w:color="auto"/>
              <w:right w:val="nil"/>
            </w:tcBorders>
            <w:shd w:val="clear" w:color="auto" w:fill="auto"/>
            <w:hideMark/>
          </w:tcPr>
          <w:p w14:paraId="105AA7C8" w14:textId="2B367432" w:rsidR="00CE5D19" w:rsidRPr="00A65799" w:rsidRDefault="00CE5D19" w:rsidP="009016AB">
            <w:pPr>
              <w:spacing w:before="60" w:after="60" w:line="240" w:lineRule="auto"/>
              <w:textAlignment w:val="baseline"/>
              <w:rPr>
                <w:rFonts w:cs="Arial"/>
                <w:sz w:val="18"/>
                <w:szCs w:val="18"/>
                <w:lang w:val="en-NZ" w:eastAsia="en-NZ"/>
              </w:rPr>
            </w:pPr>
            <w:r w:rsidRPr="00A65799">
              <w:rPr>
                <w:rFonts w:cs="Arial"/>
                <w:b/>
                <w:sz w:val="18"/>
                <w:szCs w:val="18"/>
                <w:lang w:eastAsia="en-NZ"/>
              </w:rPr>
              <w:t xml:space="preserve">Option 2: </w:t>
            </w:r>
            <w:r w:rsidRPr="00A65799">
              <w:rPr>
                <w:rFonts w:cs="Arial"/>
                <w:sz w:val="18"/>
                <w:szCs w:val="18"/>
                <w:lang w:eastAsia="en-NZ"/>
              </w:rPr>
              <w:t>D</w:t>
            </w:r>
            <w:r w:rsidR="00435616">
              <w:rPr>
                <w:rFonts w:cs="Arial"/>
                <w:sz w:val="18"/>
                <w:szCs w:val="18"/>
                <w:lang w:eastAsia="en-NZ"/>
              </w:rPr>
              <w:t>irector-</w:t>
            </w:r>
            <w:r w:rsidRPr="00A65799">
              <w:rPr>
                <w:rFonts w:cs="Arial"/>
                <w:sz w:val="18"/>
                <w:szCs w:val="18"/>
                <w:lang w:eastAsia="en-NZ"/>
              </w:rPr>
              <w:t>G</w:t>
            </w:r>
            <w:r w:rsidR="00435616">
              <w:rPr>
                <w:rFonts w:cs="Arial"/>
                <w:sz w:val="18"/>
                <w:szCs w:val="18"/>
                <w:lang w:eastAsia="en-NZ"/>
              </w:rPr>
              <w:t>eneral</w:t>
            </w:r>
            <w:r w:rsidRPr="00A65799">
              <w:rPr>
                <w:rFonts w:cs="Arial"/>
                <w:sz w:val="18"/>
                <w:szCs w:val="18"/>
                <w:lang w:eastAsia="en-NZ"/>
              </w:rPr>
              <w:t xml:space="preserve"> must </w:t>
            </w:r>
            <w:proofErr w:type="gramStart"/>
            <w:r w:rsidRPr="00A65799">
              <w:rPr>
                <w:rFonts w:cs="Arial"/>
                <w:sz w:val="18"/>
                <w:szCs w:val="18"/>
                <w:lang w:eastAsia="en-NZ"/>
              </w:rPr>
              <w:t>take into account</w:t>
            </w:r>
            <w:proofErr w:type="gramEnd"/>
            <w:r w:rsidRPr="00A65799">
              <w:rPr>
                <w:rFonts w:cs="Arial"/>
                <w:sz w:val="18"/>
                <w:szCs w:val="18"/>
                <w:lang w:eastAsia="en-NZ"/>
              </w:rPr>
              <w:t xml:space="preserve"> proximity considerations</w:t>
            </w:r>
          </w:p>
        </w:tc>
        <w:tc>
          <w:tcPr>
            <w:tcW w:w="2580" w:type="dxa"/>
            <w:tcBorders>
              <w:top w:val="single" w:sz="6" w:space="0" w:color="auto"/>
              <w:left w:val="nil"/>
              <w:bottom w:val="single" w:sz="6" w:space="0" w:color="auto"/>
              <w:right w:val="nil"/>
            </w:tcBorders>
            <w:shd w:val="clear" w:color="auto" w:fill="auto"/>
            <w:hideMark/>
          </w:tcPr>
          <w:p w14:paraId="00E36320" w14:textId="32A8F148" w:rsidR="00CE5D19" w:rsidRPr="00A65799" w:rsidRDefault="00CE5D19" w:rsidP="009016AB">
            <w:pPr>
              <w:spacing w:before="60" w:after="60" w:line="240" w:lineRule="auto"/>
              <w:textAlignment w:val="baseline"/>
              <w:rPr>
                <w:rFonts w:cs="Arial"/>
                <w:sz w:val="18"/>
                <w:szCs w:val="18"/>
                <w:lang w:val="en-NZ" w:eastAsia="en-NZ"/>
              </w:rPr>
            </w:pPr>
            <w:r w:rsidRPr="00A65799">
              <w:rPr>
                <w:rFonts w:cs="Arial"/>
                <w:b/>
                <w:sz w:val="18"/>
                <w:szCs w:val="18"/>
                <w:lang w:eastAsia="en-NZ"/>
              </w:rPr>
              <w:t xml:space="preserve">Option </w:t>
            </w:r>
            <w:r w:rsidR="008B7786">
              <w:rPr>
                <w:rFonts w:cs="Arial"/>
                <w:b/>
                <w:sz w:val="18"/>
                <w:szCs w:val="18"/>
                <w:lang w:eastAsia="en-NZ"/>
              </w:rPr>
              <w:t>3</w:t>
            </w:r>
            <w:r w:rsidRPr="00A65799">
              <w:rPr>
                <w:rFonts w:cs="Arial"/>
                <w:b/>
                <w:sz w:val="18"/>
                <w:szCs w:val="18"/>
                <w:lang w:eastAsia="en-NZ"/>
              </w:rPr>
              <w:t xml:space="preserve">: </w:t>
            </w:r>
            <w:r w:rsidRPr="00A65799">
              <w:rPr>
                <w:rFonts w:cs="Arial"/>
                <w:sz w:val="18"/>
                <w:szCs w:val="18"/>
                <w:lang w:eastAsia="en-NZ"/>
              </w:rPr>
              <w:t>SVRs must meet proximity requirements</w:t>
            </w:r>
          </w:p>
        </w:tc>
      </w:tr>
      <w:tr w:rsidR="00CE5D19" w:rsidRPr="00CE5D19" w14:paraId="2B0BCA9E" w14:textId="77777777" w:rsidTr="14E07CEB">
        <w:trPr>
          <w:trHeight w:val="60"/>
        </w:trPr>
        <w:tc>
          <w:tcPr>
            <w:tcW w:w="1125" w:type="dxa"/>
            <w:tcBorders>
              <w:top w:val="single" w:sz="6" w:space="0" w:color="auto"/>
              <w:left w:val="nil"/>
              <w:bottom w:val="single" w:sz="6" w:space="0" w:color="auto"/>
              <w:right w:val="nil"/>
            </w:tcBorders>
            <w:shd w:val="clear" w:color="auto" w:fill="auto"/>
            <w:hideMark/>
          </w:tcPr>
          <w:p w14:paraId="6F68AB35" w14:textId="77777777" w:rsidR="00CE5D19" w:rsidRPr="00A65799" w:rsidRDefault="00CE5D19" w:rsidP="009016AB">
            <w:pPr>
              <w:spacing w:before="60" w:after="60" w:line="240" w:lineRule="auto"/>
              <w:textAlignment w:val="baseline"/>
              <w:rPr>
                <w:rFonts w:cs="Arial"/>
                <w:sz w:val="18"/>
                <w:szCs w:val="18"/>
                <w:lang w:val="en-NZ" w:eastAsia="en-NZ"/>
              </w:rPr>
            </w:pPr>
            <w:r w:rsidRPr="00A65799">
              <w:rPr>
                <w:rFonts w:cs="Arial"/>
                <w:sz w:val="18"/>
                <w:szCs w:val="18"/>
                <w:lang w:eastAsia="en-NZ"/>
              </w:rPr>
              <w:t>Pros</w:t>
            </w:r>
            <w:r w:rsidRPr="00A65799">
              <w:rPr>
                <w:rFonts w:cs="Arial"/>
                <w:sz w:val="18"/>
                <w:szCs w:val="18"/>
                <w:lang w:val="en-NZ" w:eastAsia="en-NZ"/>
              </w:rPr>
              <w:t> </w:t>
            </w:r>
          </w:p>
        </w:tc>
        <w:tc>
          <w:tcPr>
            <w:tcW w:w="2295" w:type="dxa"/>
            <w:tcBorders>
              <w:top w:val="single" w:sz="6" w:space="0" w:color="auto"/>
              <w:left w:val="nil"/>
              <w:bottom w:val="single" w:sz="6" w:space="0" w:color="auto"/>
              <w:right w:val="nil"/>
            </w:tcBorders>
            <w:shd w:val="clear" w:color="auto" w:fill="auto"/>
            <w:hideMark/>
          </w:tcPr>
          <w:p w14:paraId="1D7CF6AF" w14:textId="79E5CB31" w:rsidR="00CE5D19" w:rsidRPr="00A65799" w:rsidRDefault="5E5410EC" w:rsidP="009016AB">
            <w:pPr>
              <w:spacing w:before="60" w:after="60" w:line="240" w:lineRule="auto"/>
              <w:textAlignment w:val="baseline"/>
              <w:rPr>
                <w:rFonts w:cs="Arial"/>
                <w:sz w:val="18"/>
                <w:szCs w:val="18"/>
                <w:lang w:val="en-NZ" w:eastAsia="en-NZ"/>
              </w:rPr>
            </w:pPr>
            <w:r w:rsidRPr="33A45F9F">
              <w:rPr>
                <w:rFonts w:cs="Arial"/>
                <w:sz w:val="18"/>
                <w:szCs w:val="18"/>
                <w:lang w:eastAsia="en-NZ"/>
              </w:rPr>
              <w:t>No change in access and availability for adults wishing to switch to less harmful product</w:t>
            </w:r>
            <w:r w:rsidR="0A534E85" w:rsidRPr="33A45F9F">
              <w:rPr>
                <w:rFonts w:cs="Arial"/>
                <w:sz w:val="18"/>
                <w:szCs w:val="18"/>
                <w:lang w:eastAsia="en-NZ"/>
              </w:rPr>
              <w:t>s</w:t>
            </w:r>
          </w:p>
        </w:tc>
        <w:tc>
          <w:tcPr>
            <w:tcW w:w="2640" w:type="dxa"/>
            <w:tcBorders>
              <w:top w:val="single" w:sz="6" w:space="0" w:color="auto"/>
              <w:left w:val="nil"/>
              <w:bottom w:val="single" w:sz="6" w:space="0" w:color="auto"/>
              <w:right w:val="nil"/>
            </w:tcBorders>
            <w:shd w:val="clear" w:color="auto" w:fill="auto"/>
            <w:hideMark/>
          </w:tcPr>
          <w:p w14:paraId="5E1056BD" w14:textId="0567B65C" w:rsidR="00CE5D19" w:rsidRPr="00A65799" w:rsidRDefault="38F91A97" w:rsidP="009016AB">
            <w:pPr>
              <w:spacing w:before="60" w:after="60" w:line="240" w:lineRule="auto"/>
              <w:textAlignment w:val="baseline"/>
              <w:rPr>
                <w:rFonts w:cs="Arial"/>
                <w:sz w:val="18"/>
                <w:szCs w:val="18"/>
                <w:lang w:val="en-NZ" w:eastAsia="en-NZ"/>
              </w:rPr>
            </w:pPr>
            <w:r w:rsidRPr="33A45F9F">
              <w:rPr>
                <w:rFonts w:cs="Arial"/>
                <w:sz w:val="18"/>
                <w:szCs w:val="18"/>
                <w:lang w:eastAsia="en-NZ"/>
              </w:rPr>
              <w:t>May a</w:t>
            </w:r>
            <w:r w:rsidR="5E5410EC" w:rsidRPr="33A45F9F">
              <w:rPr>
                <w:rFonts w:cs="Arial"/>
                <w:sz w:val="18"/>
                <w:szCs w:val="18"/>
                <w:lang w:eastAsia="en-NZ"/>
              </w:rPr>
              <w:t xml:space="preserve">ddress objective of reducing </w:t>
            </w:r>
            <w:r w:rsidR="0BF05759" w:rsidRPr="33A45F9F">
              <w:rPr>
                <w:rFonts w:cs="Arial"/>
                <w:sz w:val="18"/>
                <w:szCs w:val="18"/>
                <w:lang w:eastAsia="en-NZ"/>
              </w:rPr>
              <w:t xml:space="preserve">access </w:t>
            </w:r>
            <w:r w:rsidR="5E5410EC" w:rsidRPr="33A45F9F">
              <w:rPr>
                <w:rFonts w:cs="Arial"/>
                <w:sz w:val="18"/>
                <w:szCs w:val="18"/>
                <w:lang w:eastAsia="en-NZ"/>
              </w:rPr>
              <w:t>to youth</w:t>
            </w:r>
          </w:p>
          <w:p w14:paraId="33DC6F39" w14:textId="0D7CDDDF" w:rsidR="00CE5D19" w:rsidRPr="00A65799" w:rsidRDefault="00CE5D19" w:rsidP="009016AB">
            <w:pPr>
              <w:spacing w:before="60" w:after="60" w:line="240" w:lineRule="auto"/>
              <w:textAlignment w:val="baseline"/>
              <w:rPr>
                <w:rFonts w:cs="Arial"/>
                <w:sz w:val="18"/>
                <w:szCs w:val="18"/>
                <w:lang w:val="en-NZ" w:eastAsia="en-NZ"/>
              </w:rPr>
            </w:pPr>
            <w:r w:rsidRPr="00A65799">
              <w:rPr>
                <w:rFonts w:cs="Arial"/>
                <w:sz w:val="18"/>
                <w:szCs w:val="18"/>
                <w:lang w:eastAsia="en-NZ"/>
              </w:rPr>
              <w:t>Vaping products are less likely to be seen as normal consumer products</w:t>
            </w:r>
          </w:p>
          <w:p w14:paraId="6158BA7C" w14:textId="479A26E9" w:rsidR="00CE5D19" w:rsidRPr="00A65799" w:rsidRDefault="380E3265" w:rsidP="009016AB">
            <w:pPr>
              <w:spacing w:before="60" w:after="60" w:line="240" w:lineRule="auto"/>
              <w:textAlignment w:val="baseline"/>
              <w:rPr>
                <w:rFonts w:cs="Arial"/>
                <w:sz w:val="18"/>
                <w:szCs w:val="18"/>
                <w:lang w:eastAsia="en-NZ"/>
              </w:rPr>
            </w:pPr>
            <w:r w:rsidRPr="1B502AF9">
              <w:rPr>
                <w:rFonts w:cs="Arial"/>
                <w:sz w:val="18"/>
                <w:szCs w:val="18"/>
                <w:lang w:eastAsia="en-NZ"/>
              </w:rPr>
              <w:t xml:space="preserve">Regulator discretion will allow areas to maintain access to </w:t>
            </w:r>
            <w:r w:rsidR="004F08EA">
              <w:rPr>
                <w:rFonts w:cs="Arial"/>
                <w:sz w:val="18"/>
                <w:szCs w:val="18"/>
                <w:lang w:eastAsia="en-NZ"/>
              </w:rPr>
              <w:t>vaping products</w:t>
            </w:r>
            <w:r w:rsidRPr="1B502AF9">
              <w:rPr>
                <w:rFonts w:cs="Arial"/>
                <w:sz w:val="18"/>
                <w:szCs w:val="18"/>
                <w:lang w:eastAsia="en-NZ"/>
              </w:rPr>
              <w:t xml:space="preserve"> where </w:t>
            </w:r>
            <w:r w:rsidR="000D0787">
              <w:rPr>
                <w:rFonts w:cs="Arial"/>
                <w:sz w:val="18"/>
                <w:szCs w:val="18"/>
                <w:lang w:eastAsia="en-NZ"/>
              </w:rPr>
              <w:t>set</w:t>
            </w:r>
            <w:r w:rsidRPr="1B502AF9">
              <w:rPr>
                <w:rFonts w:cs="Arial"/>
                <w:sz w:val="18"/>
                <w:szCs w:val="18"/>
                <w:lang w:eastAsia="en-NZ"/>
              </w:rPr>
              <w:t xml:space="preserve"> proximity </w:t>
            </w:r>
            <w:r w:rsidR="007B016E">
              <w:rPr>
                <w:rFonts w:cs="Arial"/>
                <w:sz w:val="18"/>
                <w:szCs w:val="18"/>
                <w:lang w:eastAsia="en-NZ"/>
              </w:rPr>
              <w:t>restrictions</w:t>
            </w:r>
            <w:r w:rsidRPr="1B502AF9">
              <w:rPr>
                <w:rFonts w:cs="Arial"/>
                <w:sz w:val="18"/>
                <w:szCs w:val="18"/>
                <w:lang w:eastAsia="en-NZ"/>
              </w:rPr>
              <w:t xml:space="preserve"> may otherwise </w:t>
            </w:r>
            <w:r w:rsidR="00DB4941">
              <w:rPr>
                <w:rFonts w:cs="Arial"/>
                <w:sz w:val="18"/>
                <w:szCs w:val="18"/>
                <w:lang w:eastAsia="en-NZ"/>
              </w:rPr>
              <w:t>limit</w:t>
            </w:r>
            <w:r w:rsidR="00DB4941" w:rsidRPr="1B502AF9">
              <w:rPr>
                <w:rFonts w:cs="Arial"/>
                <w:sz w:val="18"/>
                <w:szCs w:val="18"/>
                <w:lang w:eastAsia="en-NZ"/>
              </w:rPr>
              <w:t xml:space="preserve"> </w:t>
            </w:r>
            <w:r w:rsidRPr="1B502AF9">
              <w:rPr>
                <w:rFonts w:cs="Arial"/>
                <w:sz w:val="18"/>
                <w:szCs w:val="18"/>
                <w:lang w:eastAsia="en-NZ"/>
              </w:rPr>
              <w:t xml:space="preserve">this. </w:t>
            </w:r>
          </w:p>
        </w:tc>
        <w:tc>
          <w:tcPr>
            <w:tcW w:w="2580" w:type="dxa"/>
            <w:tcBorders>
              <w:top w:val="single" w:sz="6" w:space="0" w:color="auto"/>
              <w:left w:val="nil"/>
              <w:bottom w:val="single" w:sz="6" w:space="0" w:color="auto"/>
              <w:right w:val="nil"/>
            </w:tcBorders>
            <w:shd w:val="clear" w:color="auto" w:fill="auto"/>
            <w:hideMark/>
          </w:tcPr>
          <w:p w14:paraId="07D370F4" w14:textId="77777777" w:rsidR="00854F56" w:rsidRPr="00A65799" w:rsidRDefault="00854F56" w:rsidP="009016AB">
            <w:pPr>
              <w:spacing w:before="60" w:after="60" w:line="240" w:lineRule="auto"/>
              <w:textAlignment w:val="baseline"/>
              <w:rPr>
                <w:rFonts w:cs="Arial"/>
                <w:sz w:val="18"/>
                <w:szCs w:val="18"/>
                <w:lang w:val="en-NZ" w:eastAsia="en-NZ"/>
              </w:rPr>
            </w:pPr>
            <w:r w:rsidRPr="33A45F9F">
              <w:rPr>
                <w:rFonts w:cs="Arial"/>
                <w:sz w:val="18"/>
                <w:szCs w:val="18"/>
                <w:lang w:eastAsia="en-NZ"/>
              </w:rPr>
              <w:t>May address objective of reducing access to youth</w:t>
            </w:r>
          </w:p>
          <w:p w14:paraId="57B5C172" w14:textId="5930FAA9" w:rsidR="00CE5D19" w:rsidRPr="00A65799" w:rsidRDefault="00CE5D19" w:rsidP="009016AB">
            <w:pPr>
              <w:spacing w:before="60" w:after="60" w:line="240" w:lineRule="auto"/>
              <w:textAlignment w:val="baseline"/>
              <w:rPr>
                <w:rFonts w:cs="Arial"/>
                <w:sz w:val="18"/>
                <w:szCs w:val="18"/>
                <w:lang w:val="en-NZ" w:eastAsia="en-NZ"/>
              </w:rPr>
            </w:pPr>
            <w:r w:rsidRPr="00A65799">
              <w:rPr>
                <w:rFonts w:cs="Arial"/>
                <w:sz w:val="18"/>
                <w:szCs w:val="18"/>
                <w:lang w:eastAsia="en-NZ"/>
              </w:rPr>
              <w:t>Vaping products are unlikely to be seen as normal consumer products</w:t>
            </w:r>
          </w:p>
          <w:p w14:paraId="58BDF80F" w14:textId="4F73DB42" w:rsidR="00CE5D19" w:rsidRPr="00A65799" w:rsidRDefault="00CE5D19" w:rsidP="009016AB">
            <w:pPr>
              <w:spacing w:before="60" w:after="60" w:line="240" w:lineRule="auto"/>
              <w:textAlignment w:val="baseline"/>
              <w:rPr>
                <w:rFonts w:cs="Arial"/>
                <w:sz w:val="18"/>
                <w:szCs w:val="18"/>
                <w:lang w:val="en-NZ" w:eastAsia="en-NZ"/>
              </w:rPr>
            </w:pPr>
            <w:r w:rsidRPr="00A65799">
              <w:rPr>
                <w:rFonts w:cs="Arial"/>
                <w:sz w:val="18"/>
                <w:szCs w:val="18"/>
                <w:lang w:eastAsia="en-NZ"/>
              </w:rPr>
              <w:t>Gives certainty to applicants and Regulator</w:t>
            </w:r>
          </w:p>
        </w:tc>
      </w:tr>
      <w:tr w:rsidR="00CE5D19" w:rsidRPr="00CE5D19" w14:paraId="7E7BD6C8" w14:textId="77777777" w:rsidTr="14E07CEB">
        <w:trPr>
          <w:trHeight w:val="60"/>
        </w:trPr>
        <w:tc>
          <w:tcPr>
            <w:tcW w:w="1125" w:type="dxa"/>
            <w:tcBorders>
              <w:top w:val="single" w:sz="6" w:space="0" w:color="auto"/>
              <w:left w:val="nil"/>
              <w:bottom w:val="single" w:sz="6" w:space="0" w:color="auto"/>
              <w:right w:val="nil"/>
            </w:tcBorders>
            <w:shd w:val="clear" w:color="auto" w:fill="auto"/>
            <w:hideMark/>
          </w:tcPr>
          <w:p w14:paraId="7E68CB0A" w14:textId="77777777" w:rsidR="00CE5D19" w:rsidRPr="00A65799" w:rsidRDefault="00CE5D19" w:rsidP="009016AB">
            <w:pPr>
              <w:spacing w:before="60" w:after="60" w:line="240" w:lineRule="auto"/>
              <w:textAlignment w:val="baseline"/>
              <w:rPr>
                <w:rFonts w:cs="Arial"/>
                <w:sz w:val="18"/>
                <w:szCs w:val="18"/>
                <w:lang w:val="en-NZ" w:eastAsia="en-NZ"/>
              </w:rPr>
            </w:pPr>
            <w:r w:rsidRPr="00A65799">
              <w:rPr>
                <w:rFonts w:cs="Arial"/>
                <w:sz w:val="18"/>
                <w:szCs w:val="18"/>
                <w:lang w:eastAsia="en-NZ"/>
              </w:rPr>
              <w:t>Cons</w:t>
            </w:r>
            <w:r w:rsidRPr="00A65799">
              <w:rPr>
                <w:rFonts w:cs="Arial"/>
                <w:sz w:val="18"/>
                <w:szCs w:val="18"/>
                <w:lang w:val="en-NZ" w:eastAsia="en-NZ"/>
              </w:rPr>
              <w:t> </w:t>
            </w:r>
          </w:p>
        </w:tc>
        <w:tc>
          <w:tcPr>
            <w:tcW w:w="2295" w:type="dxa"/>
            <w:tcBorders>
              <w:top w:val="single" w:sz="6" w:space="0" w:color="auto"/>
              <w:left w:val="nil"/>
              <w:bottom w:val="single" w:sz="6" w:space="0" w:color="auto"/>
              <w:right w:val="nil"/>
            </w:tcBorders>
            <w:shd w:val="clear" w:color="auto" w:fill="auto"/>
            <w:hideMark/>
          </w:tcPr>
          <w:p w14:paraId="380799F9" w14:textId="201D7179" w:rsidR="00A02110" w:rsidRDefault="00FC4206" w:rsidP="009016AB">
            <w:pPr>
              <w:spacing w:before="60" w:after="60" w:line="240" w:lineRule="auto"/>
              <w:textAlignment w:val="baseline"/>
              <w:rPr>
                <w:rFonts w:cs="Arial"/>
                <w:sz w:val="18"/>
                <w:szCs w:val="18"/>
                <w:lang w:eastAsia="en-NZ"/>
              </w:rPr>
            </w:pPr>
            <w:r>
              <w:rPr>
                <w:rFonts w:cs="Arial"/>
                <w:sz w:val="18"/>
                <w:szCs w:val="18"/>
                <w:lang w:eastAsia="en-NZ"/>
              </w:rPr>
              <w:t>Potential risk of vaping products seen by youth as a normal consumer product</w:t>
            </w:r>
            <w:r w:rsidR="004853A6">
              <w:rPr>
                <w:rFonts w:cs="Arial"/>
                <w:sz w:val="18"/>
                <w:szCs w:val="18"/>
                <w:lang w:eastAsia="en-NZ"/>
              </w:rPr>
              <w:t>.</w:t>
            </w:r>
          </w:p>
          <w:p w14:paraId="691FE0B5" w14:textId="36DAD8C0" w:rsidR="00A02110" w:rsidRPr="00A65799" w:rsidRDefault="00A02110" w:rsidP="009016AB">
            <w:pPr>
              <w:spacing w:before="60" w:after="60" w:line="240" w:lineRule="auto"/>
              <w:textAlignment w:val="baseline"/>
              <w:rPr>
                <w:rFonts w:cs="Arial"/>
                <w:sz w:val="18"/>
                <w:szCs w:val="18"/>
                <w:lang w:eastAsia="en-NZ"/>
              </w:rPr>
            </w:pPr>
            <w:r>
              <w:rPr>
                <w:rFonts w:cs="Arial"/>
                <w:sz w:val="18"/>
                <w:szCs w:val="18"/>
                <w:lang w:eastAsia="en-NZ"/>
              </w:rPr>
              <w:t>Public distrust of the vaping regulatory regime.</w:t>
            </w:r>
          </w:p>
          <w:p w14:paraId="2C990FF3" w14:textId="5AA2E327" w:rsidR="00CE5D19" w:rsidRPr="00A65799" w:rsidRDefault="00CE5D19" w:rsidP="009016AB">
            <w:pPr>
              <w:spacing w:before="60" w:after="60" w:line="240" w:lineRule="auto"/>
              <w:textAlignment w:val="baseline"/>
              <w:rPr>
                <w:rFonts w:cs="Arial"/>
                <w:sz w:val="18"/>
                <w:szCs w:val="18"/>
                <w:lang w:val="en-NZ" w:eastAsia="en-NZ"/>
              </w:rPr>
            </w:pPr>
          </w:p>
        </w:tc>
        <w:tc>
          <w:tcPr>
            <w:tcW w:w="2640" w:type="dxa"/>
            <w:tcBorders>
              <w:top w:val="single" w:sz="6" w:space="0" w:color="auto"/>
              <w:left w:val="nil"/>
              <w:bottom w:val="single" w:sz="6" w:space="0" w:color="auto"/>
              <w:right w:val="nil"/>
            </w:tcBorders>
            <w:shd w:val="clear" w:color="auto" w:fill="auto"/>
            <w:hideMark/>
          </w:tcPr>
          <w:p w14:paraId="0705A4B0" w14:textId="0E9899B3" w:rsidR="00CE5D19" w:rsidRPr="00A65799" w:rsidRDefault="0CE242B8" w:rsidP="009016AB">
            <w:pPr>
              <w:spacing w:before="60" w:after="60" w:line="240" w:lineRule="auto"/>
              <w:textAlignment w:val="baseline"/>
              <w:rPr>
                <w:rFonts w:cs="Arial"/>
                <w:sz w:val="18"/>
                <w:szCs w:val="18"/>
                <w:lang w:eastAsia="en-NZ"/>
              </w:rPr>
            </w:pPr>
            <w:r w:rsidRPr="33A45F9F">
              <w:rPr>
                <w:rFonts w:cs="Arial"/>
                <w:sz w:val="18"/>
                <w:szCs w:val="18"/>
                <w:lang w:eastAsia="en-NZ"/>
              </w:rPr>
              <w:t>E</w:t>
            </w:r>
            <w:r w:rsidR="5E5410EC" w:rsidRPr="33A45F9F">
              <w:rPr>
                <w:rFonts w:cs="Arial"/>
                <w:sz w:val="18"/>
                <w:szCs w:val="18"/>
                <w:lang w:eastAsia="en-NZ"/>
              </w:rPr>
              <w:t xml:space="preserve">vidence on impact </w:t>
            </w:r>
            <w:r w:rsidR="2868BDEF" w:rsidRPr="33A45F9F">
              <w:rPr>
                <w:rFonts w:cs="Arial"/>
                <w:sz w:val="18"/>
                <w:szCs w:val="18"/>
                <w:lang w:eastAsia="en-NZ"/>
              </w:rPr>
              <w:t xml:space="preserve">of proximity </w:t>
            </w:r>
            <w:r w:rsidR="5E5410EC" w:rsidRPr="33A45F9F">
              <w:rPr>
                <w:rFonts w:cs="Arial"/>
                <w:sz w:val="18"/>
                <w:szCs w:val="18"/>
                <w:lang w:eastAsia="en-NZ"/>
              </w:rPr>
              <w:t>on youth vaping rates</w:t>
            </w:r>
            <w:r w:rsidR="1A4A8B18" w:rsidRPr="33A45F9F">
              <w:rPr>
                <w:rFonts w:cs="Arial"/>
                <w:sz w:val="18"/>
                <w:szCs w:val="18"/>
                <w:lang w:eastAsia="en-NZ"/>
              </w:rPr>
              <w:t xml:space="preserve"> unclear</w:t>
            </w:r>
          </w:p>
          <w:p w14:paraId="7E8BAB62" w14:textId="1DF8C786" w:rsidR="00CE5D19" w:rsidRPr="006C792E" w:rsidRDefault="00CE5D19" w:rsidP="006C792E">
            <w:pPr>
              <w:spacing w:before="60" w:after="60" w:line="240" w:lineRule="auto"/>
              <w:rPr>
                <w:rFonts w:cs="Arial"/>
                <w:sz w:val="18"/>
                <w:szCs w:val="18"/>
                <w:lang w:eastAsia="en-NZ"/>
              </w:rPr>
            </w:pPr>
            <w:r w:rsidRPr="00A65799">
              <w:rPr>
                <w:rFonts w:cs="Arial"/>
                <w:sz w:val="18"/>
                <w:szCs w:val="18"/>
                <w:lang w:eastAsia="en-NZ"/>
              </w:rPr>
              <w:t>May impact on adults wishing to switch (less accessible)</w:t>
            </w:r>
            <w:r w:rsidR="00100389">
              <w:rPr>
                <w:rFonts w:cs="Arial"/>
                <w:sz w:val="18"/>
                <w:szCs w:val="18"/>
                <w:lang w:eastAsia="en-NZ"/>
              </w:rPr>
              <w:t>. Products would still be available in other retail outlets and existing SVRs.</w:t>
            </w:r>
          </w:p>
          <w:p w14:paraId="0CDFCB4B" w14:textId="1DE132AF" w:rsidR="00CE5D19" w:rsidRPr="00A65799" w:rsidRDefault="00CE5D19" w:rsidP="009016AB">
            <w:pPr>
              <w:spacing w:before="60" w:after="60" w:line="240" w:lineRule="auto"/>
              <w:textAlignment w:val="baseline"/>
              <w:rPr>
                <w:rFonts w:cs="Arial"/>
                <w:sz w:val="18"/>
                <w:szCs w:val="18"/>
                <w:lang w:val="en-NZ" w:eastAsia="en-NZ"/>
              </w:rPr>
            </w:pPr>
            <w:r w:rsidRPr="00A65799">
              <w:rPr>
                <w:rFonts w:cs="Arial"/>
                <w:sz w:val="18"/>
                <w:szCs w:val="18"/>
                <w:lang w:eastAsia="en-NZ"/>
              </w:rPr>
              <w:t>Less certainty to applicants and Regulator</w:t>
            </w:r>
            <w:r w:rsidR="00E94CB6">
              <w:rPr>
                <w:rFonts w:cs="Arial"/>
                <w:sz w:val="18"/>
                <w:szCs w:val="18"/>
                <w:lang w:eastAsia="en-NZ"/>
              </w:rPr>
              <w:t>.</w:t>
            </w:r>
          </w:p>
        </w:tc>
        <w:tc>
          <w:tcPr>
            <w:tcW w:w="2580" w:type="dxa"/>
            <w:tcBorders>
              <w:top w:val="single" w:sz="6" w:space="0" w:color="auto"/>
              <w:left w:val="nil"/>
              <w:bottom w:val="single" w:sz="6" w:space="0" w:color="auto"/>
              <w:right w:val="nil"/>
            </w:tcBorders>
            <w:shd w:val="clear" w:color="auto" w:fill="auto"/>
            <w:hideMark/>
          </w:tcPr>
          <w:p w14:paraId="0086A2B0" w14:textId="0D74B722" w:rsidR="00CE5D19" w:rsidRPr="002B73FA" w:rsidRDefault="493AA972" w:rsidP="009016AB">
            <w:pPr>
              <w:spacing w:before="60" w:after="60" w:line="240" w:lineRule="auto"/>
              <w:textAlignment w:val="baseline"/>
              <w:rPr>
                <w:rFonts w:cs="Arial"/>
                <w:sz w:val="18"/>
                <w:szCs w:val="18"/>
                <w:lang w:eastAsia="en-NZ"/>
              </w:rPr>
            </w:pPr>
            <w:r w:rsidRPr="33A45F9F">
              <w:rPr>
                <w:rFonts w:cs="Arial"/>
                <w:sz w:val="18"/>
                <w:szCs w:val="18"/>
                <w:lang w:eastAsia="en-NZ"/>
              </w:rPr>
              <w:t>E</w:t>
            </w:r>
            <w:r w:rsidR="5E5410EC" w:rsidRPr="33A45F9F">
              <w:rPr>
                <w:rFonts w:cs="Arial"/>
                <w:sz w:val="18"/>
                <w:szCs w:val="18"/>
                <w:lang w:eastAsia="en-NZ"/>
              </w:rPr>
              <w:t xml:space="preserve">vidence on impact </w:t>
            </w:r>
            <w:r w:rsidR="607FAFC3" w:rsidRPr="33A45F9F">
              <w:rPr>
                <w:rFonts w:cs="Arial"/>
                <w:sz w:val="18"/>
                <w:szCs w:val="18"/>
                <w:lang w:eastAsia="en-NZ"/>
              </w:rPr>
              <w:t>of proximit</w:t>
            </w:r>
            <w:r w:rsidR="2E614E38" w:rsidRPr="33A45F9F">
              <w:rPr>
                <w:rFonts w:cs="Arial"/>
                <w:sz w:val="18"/>
                <w:szCs w:val="18"/>
                <w:lang w:eastAsia="en-NZ"/>
              </w:rPr>
              <w:t>y</w:t>
            </w:r>
            <w:r w:rsidR="607FAFC3" w:rsidRPr="33A45F9F">
              <w:rPr>
                <w:rFonts w:cs="Arial"/>
                <w:sz w:val="18"/>
                <w:szCs w:val="18"/>
                <w:lang w:eastAsia="en-NZ"/>
              </w:rPr>
              <w:t xml:space="preserve"> </w:t>
            </w:r>
            <w:r w:rsidR="5E5410EC" w:rsidRPr="33A45F9F">
              <w:rPr>
                <w:rFonts w:cs="Arial"/>
                <w:sz w:val="18"/>
                <w:szCs w:val="18"/>
                <w:lang w:eastAsia="en-NZ"/>
              </w:rPr>
              <w:t>on youth vaping rates</w:t>
            </w:r>
            <w:r w:rsidR="6BD827D7" w:rsidRPr="33A45F9F">
              <w:rPr>
                <w:rFonts w:cs="Arial"/>
                <w:sz w:val="18"/>
                <w:szCs w:val="18"/>
                <w:lang w:eastAsia="en-NZ"/>
              </w:rPr>
              <w:t xml:space="preserve"> unclear</w:t>
            </w:r>
          </w:p>
          <w:p w14:paraId="702481B3" w14:textId="206DD72B" w:rsidR="00CE5D19" w:rsidRDefault="00CE5D19" w:rsidP="009016AB">
            <w:pPr>
              <w:spacing w:before="60" w:after="60" w:line="240" w:lineRule="auto"/>
              <w:rPr>
                <w:rFonts w:cs="Arial"/>
                <w:sz w:val="18"/>
                <w:szCs w:val="18"/>
                <w:lang w:eastAsia="en-NZ"/>
              </w:rPr>
            </w:pPr>
            <w:r w:rsidRPr="19AFD816">
              <w:rPr>
                <w:rFonts w:cs="Arial"/>
                <w:sz w:val="18"/>
                <w:szCs w:val="18"/>
                <w:lang w:eastAsia="en-NZ"/>
              </w:rPr>
              <w:t>May impact on adults wishing to switch (less accessible)</w:t>
            </w:r>
            <w:r w:rsidR="77651208" w:rsidRPr="19AFD816">
              <w:rPr>
                <w:rFonts w:cs="Arial"/>
                <w:sz w:val="18"/>
                <w:szCs w:val="18"/>
                <w:lang w:eastAsia="en-NZ"/>
              </w:rPr>
              <w:t xml:space="preserve">. </w:t>
            </w:r>
            <w:r w:rsidR="00C842D9">
              <w:rPr>
                <w:rFonts w:cs="Arial"/>
                <w:sz w:val="18"/>
                <w:szCs w:val="18"/>
                <w:lang w:eastAsia="en-NZ"/>
              </w:rPr>
              <w:t>P</w:t>
            </w:r>
            <w:r w:rsidR="009B1858">
              <w:rPr>
                <w:rFonts w:cs="Arial"/>
                <w:sz w:val="18"/>
                <w:szCs w:val="18"/>
                <w:lang w:eastAsia="en-NZ"/>
              </w:rPr>
              <w:t>roducts would still be available in other retail outlets and existing SVRs.</w:t>
            </w:r>
          </w:p>
          <w:p w14:paraId="4D4BD963" w14:textId="3625A51B" w:rsidR="00CE5D19" w:rsidRPr="002B73FA" w:rsidRDefault="00C7105C" w:rsidP="009016AB">
            <w:pPr>
              <w:spacing w:before="60" w:after="60" w:line="240" w:lineRule="auto"/>
              <w:textAlignment w:val="baseline"/>
              <w:rPr>
                <w:rFonts w:cs="Arial"/>
                <w:sz w:val="18"/>
                <w:szCs w:val="18"/>
                <w:lang w:eastAsia="en-NZ"/>
              </w:rPr>
            </w:pPr>
            <w:r>
              <w:rPr>
                <w:rFonts w:cs="Arial"/>
                <w:sz w:val="18"/>
                <w:szCs w:val="18"/>
                <w:lang w:eastAsia="en-NZ"/>
              </w:rPr>
              <w:t>P</w:t>
            </w:r>
            <w:r w:rsidR="004A68AD">
              <w:rPr>
                <w:rFonts w:cs="Arial"/>
                <w:sz w:val="18"/>
                <w:szCs w:val="18"/>
                <w:lang w:eastAsia="en-NZ"/>
              </w:rPr>
              <w:t xml:space="preserve">roximity restrictions </w:t>
            </w:r>
            <w:r w:rsidR="007402CA">
              <w:rPr>
                <w:rFonts w:cs="Arial"/>
                <w:sz w:val="18"/>
                <w:szCs w:val="18"/>
                <w:lang w:eastAsia="en-NZ"/>
              </w:rPr>
              <w:t xml:space="preserve">may </w:t>
            </w:r>
            <w:r w:rsidR="00E35134" w:rsidRPr="00E35134">
              <w:rPr>
                <w:rFonts w:cs="Arial"/>
                <w:sz w:val="18"/>
                <w:szCs w:val="18"/>
                <w:lang w:eastAsia="en-NZ"/>
              </w:rPr>
              <w:t>inadvertently</w:t>
            </w:r>
            <w:r>
              <w:rPr>
                <w:rFonts w:cs="Arial"/>
                <w:sz w:val="18"/>
                <w:szCs w:val="18"/>
                <w:lang w:eastAsia="en-NZ"/>
              </w:rPr>
              <w:t xml:space="preserve"> </w:t>
            </w:r>
            <w:r w:rsidR="006C2517">
              <w:rPr>
                <w:rFonts w:cs="Arial"/>
                <w:sz w:val="18"/>
                <w:szCs w:val="18"/>
                <w:lang w:eastAsia="en-NZ"/>
              </w:rPr>
              <w:t xml:space="preserve">limit </w:t>
            </w:r>
            <w:r>
              <w:rPr>
                <w:rFonts w:cs="Arial"/>
                <w:sz w:val="18"/>
                <w:szCs w:val="18"/>
                <w:lang w:eastAsia="en-NZ"/>
              </w:rPr>
              <w:t xml:space="preserve">vape products </w:t>
            </w:r>
            <w:r w:rsidR="00EC5C03">
              <w:rPr>
                <w:rFonts w:cs="Arial"/>
                <w:sz w:val="18"/>
                <w:szCs w:val="18"/>
                <w:lang w:eastAsia="en-NZ"/>
              </w:rPr>
              <w:t>if set incorrectly.</w:t>
            </w:r>
          </w:p>
          <w:p w14:paraId="6B029DD0" w14:textId="5D3BCE41" w:rsidR="00CE5D19" w:rsidRPr="002B73FA" w:rsidRDefault="1D3D5C1B" w:rsidP="009016AB">
            <w:pPr>
              <w:spacing w:before="60" w:after="60" w:line="240" w:lineRule="auto"/>
              <w:textAlignment w:val="baseline"/>
              <w:rPr>
                <w:rFonts w:eastAsia="Arial" w:cs="Arial"/>
                <w:sz w:val="18"/>
                <w:szCs w:val="18"/>
              </w:rPr>
            </w:pPr>
            <w:r w:rsidRPr="14E07CEB">
              <w:rPr>
                <w:rFonts w:eastAsia="Arial" w:cs="Arial"/>
                <w:sz w:val="18"/>
                <w:szCs w:val="18"/>
              </w:rPr>
              <w:t xml:space="preserve">Provisional </w:t>
            </w:r>
            <w:r w:rsidR="74448D80" w:rsidRPr="14E07CEB">
              <w:rPr>
                <w:rFonts w:eastAsia="Arial" w:cs="Arial"/>
                <w:sz w:val="18"/>
                <w:szCs w:val="18"/>
              </w:rPr>
              <w:t xml:space="preserve">analysis of </w:t>
            </w:r>
            <w:r w:rsidRPr="14E07CEB">
              <w:rPr>
                <w:rFonts w:eastAsia="Arial" w:cs="Arial"/>
                <w:sz w:val="18"/>
                <w:szCs w:val="18"/>
              </w:rPr>
              <w:t xml:space="preserve">Health Survey results show dual use </w:t>
            </w:r>
            <w:r w:rsidR="0CB53BB8" w:rsidRPr="14E07CEB">
              <w:rPr>
                <w:rFonts w:eastAsia="Arial" w:cs="Arial"/>
                <w:sz w:val="18"/>
                <w:szCs w:val="18"/>
              </w:rPr>
              <w:t>(</w:t>
            </w:r>
            <w:r w:rsidR="7094FE93" w:rsidRPr="14E07CEB">
              <w:rPr>
                <w:rFonts w:eastAsia="Arial" w:cs="Arial"/>
                <w:sz w:val="18"/>
                <w:szCs w:val="18"/>
              </w:rPr>
              <w:t xml:space="preserve">smoking and vaping) </w:t>
            </w:r>
            <w:r w:rsidRPr="14E07CEB">
              <w:rPr>
                <w:rFonts w:eastAsia="Arial" w:cs="Arial"/>
                <w:sz w:val="18"/>
                <w:szCs w:val="18"/>
              </w:rPr>
              <w:t xml:space="preserve">is more prevalent in neighbourhoods with higher deprivation. Therefore, proximity restrictions </w:t>
            </w:r>
            <w:r w:rsidR="0428C877" w:rsidRPr="14E07CEB">
              <w:rPr>
                <w:rFonts w:eastAsia="Arial" w:cs="Arial"/>
                <w:sz w:val="18"/>
                <w:szCs w:val="18"/>
              </w:rPr>
              <w:t xml:space="preserve">may </w:t>
            </w:r>
            <w:r w:rsidRPr="14E07CEB">
              <w:rPr>
                <w:rFonts w:eastAsia="Arial" w:cs="Arial"/>
                <w:sz w:val="18"/>
                <w:szCs w:val="18"/>
              </w:rPr>
              <w:t>impact</w:t>
            </w:r>
            <w:r w:rsidR="41C1A6BE" w:rsidRPr="14E07CEB">
              <w:rPr>
                <w:rFonts w:eastAsia="Arial" w:cs="Arial"/>
                <w:sz w:val="18"/>
                <w:szCs w:val="18"/>
              </w:rPr>
              <w:t xml:space="preserve"> lower socioeconomic communities more</w:t>
            </w:r>
            <w:r w:rsidR="535AD17B" w:rsidRPr="14E07CEB">
              <w:rPr>
                <w:rFonts w:eastAsia="Arial" w:cs="Arial"/>
                <w:sz w:val="18"/>
                <w:szCs w:val="18"/>
              </w:rPr>
              <w:t xml:space="preserve"> by making vaping products less available</w:t>
            </w:r>
            <w:r w:rsidR="41C1A6BE" w:rsidRPr="14E07CEB">
              <w:rPr>
                <w:rFonts w:eastAsia="Arial" w:cs="Arial"/>
                <w:sz w:val="18"/>
                <w:szCs w:val="18"/>
              </w:rPr>
              <w:t>.</w:t>
            </w:r>
          </w:p>
        </w:tc>
      </w:tr>
    </w:tbl>
    <w:p w14:paraId="5D1997D0" w14:textId="77777777" w:rsidR="00CE5D19" w:rsidRPr="00CE5D19" w:rsidRDefault="00CE5D19" w:rsidP="00CE5D19">
      <w:pPr>
        <w:rPr>
          <w:lang w:val="en-NZ"/>
        </w:rPr>
      </w:pPr>
    </w:p>
    <w:p w14:paraId="6A897138" w14:textId="5F41ABFC" w:rsidR="00FF04EC" w:rsidRPr="001A4B31" w:rsidRDefault="00FF04EC" w:rsidP="00BB0ADF">
      <w:pPr>
        <w:pStyle w:val="Heading4"/>
        <w:rPr>
          <w:lang w:val="en-NZ"/>
        </w:rPr>
      </w:pPr>
    </w:p>
    <w:p w14:paraId="32E73DB5" w14:textId="77777777" w:rsidR="004D0FD4" w:rsidRPr="004D0FD4" w:rsidRDefault="004D0FD4" w:rsidP="004D0FD4">
      <w:pPr>
        <w:rPr>
          <w:lang w:val="en-NZ"/>
        </w:rPr>
      </w:pPr>
    </w:p>
    <w:p w14:paraId="1A36F2E5" w14:textId="77777777" w:rsidR="004D0FD4" w:rsidRPr="004D0FD4" w:rsidRDefault="004D0FD4" w:rsidP="004D0FD4">
      <w:pPr>
        <w:rPr>
          <w:lang w:val="en-NZ"/>
        </w:rPr>
      </w:pPr>
    </w:p>
    <w:p w14:paraId="29956850" w14:textId="77777777" w:rsidR="004D0FD4" w:rsidRPr="004D0FD4" w:rsidRDefault="004D0FD4" w:rsidP="004D0FD4">
      <w:pPr>
        <w:rPr>
          <w:lang w:val="en-NZ"/>
        </w:rPr>
      </w:pPr>
    </w:p>
    <w:p w14:paraId="2BB73C21" w14:textId="77777777" w:rsidR="004D0FD4" w:rsidRPr="004D0FD4" w:rsidRDefault="004D0FD4" w:rsidP="004D0FD4">
      <w:pPr>
        <w:rPr>
          <w:lang w:val="en-NZ"/>
        </w:rPr>
      </w:pPr>
    </w:p>
    <w:p w14:paraId="0B218487" w14:textId="2DC4F04F" w:rsidR="004D0FD4" w:rsidRPr="004D0FD4" w:rsidRDefault="004D0FD4" w:rsidP="004D0FD4">
      <w:pPr>
        <w:tabs>
          <w:tab w:val="left" w:pos="6975"/>
        </w:tabs>
        <w:rPr>
          <w:lang w:val="en-NZ"/>
        </w:rPr>
        <w:sectPr w:rsidR="004D0FD4" w:rsidRPr="004D0FD4" w:rsidSect="00150D58">
          <w:headerReference w:type="even" r:id="rId52"/>
          <w:headerReference w:type="default" r:id="rId53"/>
          <w:footerReference w:type="even" r:id="rId54"/>
          <w:footerReference w:type="default" r:id="rId55"/>
          <w:pgSz w:w="11906" w:h="16838" w:code="9"/>
          <w:pgMar w:top="1134" w:right="1418" w:bottom="992" w:left="1418" w:header="454" w:footer="454" w:gutter="0"/>
          <w:cols w:space="708"/>
          <w:docGrid w:linePitch="360"/>
        </w:sectPr>
      </w:pPr>
    </w:p>
    <w:p w14:paraId="1FE5E717" w14:textId="1253B2C0" w:rsidR="00FF04EC" w:rsidRPr="00A864A5" w:rsidRDefault="00FF04EC" w:rsidP="00FF04EC">
      <w:pPr>
        <w:pStyle w:val="Heading3"/>
        <w:rPr>
          <w:lang w:val="en-NZ"/>
        </w:rPr>
      </w:pPr>
      <w:r w:rsidRPr="58911DBF">
        <w:rPr>
          <w:lang w:val="en-NZ"/>
        </w:rPr>
        <w:t xml:space="preserve">How do the options compare to the </w:t>
      </w:r>
      <w:proofErr w:type="gramStart"/>
      <w:r w:rsidRPr="58911DBF">
        <w:rPr>
          <w:lang w:val="en-NZ"/>
        </w:rPr>
        <w:t>status quo</w:t>
      </w:r>
      <w:proofErr w:type="gramEnd"/>
    </w:p>
    <w:p w14:paraId="1227E9CC" w14:textId="77777777" w:rsidR="003D37FC" w:rsidRPr="003D37FC" w:rsidRDefault="003D37FC" w:rsidP="003D37FC">
      <w:pPr>
        <w:rPr>
          <w:lang w:val="en-NZ"/>
        </w:rPr>
      </w:pPr>
    </w:p>
    <w:tbl>
      <w:tblPr>
        <w:tblW w:w="1403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3450"/>
        <w:gridCol w:w="4410"/>
        <w:gridCol w:w="4420"/>
      </w:tblGrid>
      <w:tr w:rsidR="003D37FC" w:rsidRPr="003D37FC" w14:paraId="46060AD8" w14:textId="77777777" w:rsidTr="59D4D97B">
        <w:trPr>
          <w:trHeight w:val="745"/>
        </w:trPr>
        <w:tc>
          <w:tcPr>
            <w:tcW w:w="175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0DC33C49" w14:textId="77777777" w:rsidR="003D37FC" w:rsidRPr="003D37FC" w:rsidRDefault="003D37FC" w:rsidP="003D37FC">
            <w:pPr>
              <w:spacing w:after="0" w:line="240" w:lineRule="auto"/>
              <w:jc w:val="center"/>
              <w:textAlignment w:val="baseline"/>
              <w:rPr>
                <w:rFonts w:ascii="Times New Roman" w:hAnsi="Times New Roman"/>
                <w:sz w:val="24"/>
                <w:szCs w:val="24"/>
                <w:lang w:val="en-NZ" w:eastAsia="en-NZ"/>
              </w:rPr>
            </w:pPr>
            <w:r w:rsidRPr="003D37FC">
              <w:rPr>
                <w:rFonts w:cs="Arial"/>
                <w:color w:val="FFFFFF"/>
                <w:sz w:val="20"/>
                <w:lang w:val="en-NZ" w:eastAsia="en-NZ"/>
              </w:rPr>
              <w:t> </w:t>
            </w:r>
          </w:p>
        </w:tc>
        <w:tc>
          <w:tcPr>
            <w:tcW w:w="345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15EC8654" w14:textId="186BBE40" w:rsidR="003D37FC" w:rsidRPr="003D37FC" w:rsidRDefault="003D37FC" w:rsidP="003D37FC">
            <w:pPr>
              <w:spacing w:after="0" w:line="240" w:lineRule="auto"/>
              <w:jc w:val="center"/>
              <w:textAlignment w:val="baseline"/>
              <w:rPr>
                <w:rFonts w:ascii="Times New Roman" w:hAnsi="Times New Roman"/>
                <w:sz w:val="24"/>
                <w:szCs w:val="24"/>
                <w:lang w:val="en-NZ" w:eastAsia="en-NZ"/>
              </w:rPr>
            </w:pPr>
            <w:r w:rsidRPr="003D37FC">
              <w:rPr>
                <w:rFonts w:cs="Arial"/>
                <w:b/>
                <w:bCs/>
                <w:color w:val="000000"/>
                <w:szCs w:val="22"/>
                <w:lang w:val="en-NZ" w:eastAsia="en-NZ"/>
              </w:rPr>
              <w:t xml:space="preserve">Option </w:t>
            </w:r>
            <w:r w:rsidR="0096571C">
              <w:rPr>
                <w:rFonts w:cs="Arial"/>
                <w:b/>
                <w:bCs/>
                <w:color w:val="000000"/>
                <w:szCs w:val="22"/>
                <w:lang w:val="en-NZ" w:eastAsia="en-NZ"/>
              </w:rPr>
              <w:t>1</w:t>
            </w:r>
            <w:r w:rsidRPr="003D37FC">
              <w:rPr>
                <w:rFonts w:cs="Arial"/>
                <w:b/>
                <w:bCs/>
                <w:color w:val="000000"/>
                <w:szCs w:val="22"/>
                <w:lang w:val="en-NZ" w:eastAsia="en-NZ"/>
              </w:rPr>
              <w:t xml:space="preserve"> – </w:t>
            </w:r>
            <w:r w:rsidR="000F1A02">
              <w:rPr>
                <w:rFonts w:cs="Arial"/>
                <w:b/>
                <w:bCs/>
                <w:color w:val="000000"/>
                <w:szCs w:val="22"/>
                <w:lang w:val="en-NZ" w:eastAsia="en-NZ"/>
              </w:rPr>
              <w:t>S</w:t>
            </w:r>
            <w:r w:rsidRPr="003D37FC">
              <w:rPr>
                <w:rFonts w:cs="Arial"/>
                <w:b/>
                <w:bCs/>
                <w:color w:val="000000"/>
                <w:szCs w:val="22"/>
                <w:lang w:val="en-NZ" w:eastAsia="en-NZ"/>
              </w:rPr>
              <w:t>tatus quo</w:t>
            </w:r>
          </w:p>
        </w:tc>
        <w:tc>
          <w:tcPr>
            <w:tcW w:w="441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2DE9F4C5" w14:textId="1F461C6D" w:rsidR="003D37FC" w:rsidRPr="003D37FC" w:rsidRDefault="003D37FC" w:rsidP="003D37FC">
            <w:pPr>
              <w:spacing w:after="0" w:line="240" w:lineRule="auto"/>
              <w:jc w:val="center"/>
              <w:textAlignment w:val="baseline"/>
              <w:rPr>
                <w:rFonts w:ascii="Times New Roman" w:hAnsi="Times New Roman"/>
                <w:sz w:val="24"/>
                <w:szCs w:val="24"/>
                <w:lang w:val="en-NZ" w:eastAsia="en-NZ"/>
              </w:rPr>
            </w:pPr>
            <w:r w:rsidRPr="003D37FC">
              <w:rPr>
                <w:rFonts w:cs="Arial"/>
                <w:b/>
                <w:bCs/>
                <w:color w:val="000000"/>
                <w:szCs w:val="22"/>
                <w:lang w:val="en-NZ" w:eastAsia="en-NZ"/>
              </w:rPr>
              <w:t xml:space="preserve">Option </w:t>
            </w:r>
            <w:r w:rsidR="0096571C">
              <w:rPr>
                <w:rFonts w:cs="Arial"/>
                <w:b/>
                <w:bCs/>
                <w:color w:val="000000"/>
                <w:szCs w:val="22"/>
                <w:lang w:val="en-NZ" w:eastAsia="en-NZ"/>
              </w:rPr>
              <w:t>2</w:t>
            </w:r>
            <w:r>
              <w:rPr>
                <w:rFonts w:cs="Arial"/>
                <w:b/>
                <w:bCs/>
                <w:color w:val="000000"/>
                <w:szCs w:val="22"/>
                <w:lang w:val="en-NZ" w:eastAsia="en-NZ"/>
              </w:rPr>
              <w:t xml:space="preserve"> </w:t>
            </w:r>
            <w:r w:rsidRPr="003D37FC">
              <w:rPr>
                <w:rFonts w:cs="Arial"/>
                <w:b/>
                <w:bCs/>
                <w:color w:val="000000"/>
                <w:szCs w:val="22"/>
                <w:lang w:val="en-NZ" w:eastAsia="en-NZ"/>
              </w:rPr>
              <w:t>– D</w:t>
            </w:r>
            <w:r w:rsidR="00943C29">
              <w:rPr>
                <w:rFonts w:cs="Arial"/>
                <w:b/>
                <w:bCs/>
                <w:color w:val="000000"/>
                <w:szCs w:val="22"/>
                <w:lang w:val="en-NZ" w:eastAsia="en-NZ"/>
              </w:rPr>
              <w:t>irector-</w:t>
            </w:r>
            <w:r w:rsidRPr="003D37FC">
              <w:rPr>
                <w:rFonts w:cs="Arial"/>
                <w:b/>
                <w:bCs/>
                <w:color w:val="000000"/>
                <w:szCs w:val="22"/>
                <w:lang w:val="en-NZ" w:eastAsia="en-NZ"/>
              </w:rPr>
              <w:t>G</w:t>
            </w:r>
            <w:r w:rsidR="00943C29">
              <w:rPr>
                <w:rFonts w:cs="Arial"/>
                <w:b/>
                <w:bCs/>
                <w:color w:val="000000"/>
                <w:szCs w:val="22"/>
                <w:lang w:val="en-NZ" w:eastAsia="en-NZ"/>
              </w:rPr>
              <w:t>eneral</w:t>
            </w:r>
            <w:r w:rsidRPr="003D37FC">
              <w:rPr>
                <w:rFonts w:cs="Arial"/>
                <w:b/>
                <w:bCs/>
                <w:color w:val="000000"/>
                <w:szCs w:val="22"/>
                <w:lang w:val="en-NZ" w:eastAsia="en-NZ"/>
              </w:rPr>
              <w:t xml:space="preserve"> must </w:t>
            </w:r>
            <w:proofErr w:type="gramStart"/>
            <w:r w:rsidRPr="003D37FC">
              <w:rPr>
                <w:rFonts w:cs="Arial"/>
                <w:b/>
                <w:bCs/>
                <w:i/>
                <w:iCs/>
                <w:color w:val="000000"/>
                <w:szCs w:val="22"/>
                <w:lang w:val="en-NZ" w:eastAsia="en-NZ"/>
              </w:rPr>
              <w:t>take into account</w:t>
            </w:r>
            <w:proofErr w:type="gramEnd"/>
            <w:r w:rsidRPr="003D37FC">
              <w:rPr>
                <w:rFonts w:cs="Arial"/>
                <w:b/>
                <w:bCs/>
                <w:color w:val="000000"/>
                <w:szCs w:val="22"/>
                <w:lang w:val="en-NZ" w:eastAsia="en-NZ"/>
              </w:rPr>
              <w:t xml:space="preserve"> proximity requirements</w:t>
            </w:r>
          </w:p>
        </w:tc>
        <w:tc>
          <w:tcPr>
            <w:tcW w:w="44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03600283" w14:textId="49135B0D" w:rsidR="003D37FC" w:rsidRPr="003D37FC" w:rsidRDefault="7D3A27E5" w:rsidP="003D37FC">
            <w:pPr>
              <w:spacing w:after="0" w:line="240" w:lineRule="auto"/>
              <w:jc w:val="center"/>
              <w:textAlignment w:val="baseline"/>
              <w:rPr>
                <w:rFonts w:ascii="Times New Roman" w:hAnsi="Times New Roman"/>
                <w:sz w:val="24"/>
                <w:szCs w:val="24"/>
                <w:lang w:val="en-NZ" w:eastAsia="en-NZ"/>
              </w:rPr>
            </w:pPr>
            <w:r w:rsidRPr="59D4D97B">
              <w:rPr>
                <w:rFonts w:cs="Arial"/>
                <w:b/>
                <w:bCs/>
                <w:color w:val="000000" w:themeColor="text1"/>
                <w:lang w:val="en-NZ" w:eastAsia="en-NZ"/>
              </w:rPr>
              <w:t xml:space="preserve">Option </w:t>
            </w:r>
            <w:r w:rsidR="0096571C">
              <w:rPr>
                <w:rFonts w:cs="Arial"/>
                <w:b/>
                <w:bCs/>
                <w:color w:val="000000" w:themeColor="text1"/>
                <w:lang w:val="en-NZ" w:eastAsia="en-NZ"/>
              </w:rPr>
              <w:t>3</w:t>
            </w:r>
            <w:r w:rsidRPr="59D4D97B">
              <w:rPr>
                <w:rFonts w:cs="Arial"/>
                <w:b/>
                <w:bCs/>
                <w:color w:val="000000" w:themeColor="text1"/>
                <w:lang w:val="en-NZ" w:eastAsia="en-NZ"/>
              </w:rPr>
              <w:t xml:space="preserve"> – SVRs </w:t>
            </w:r>
            <w:r w:rsidRPr="1B502AF9">
              <w:rPr>
                <w:rFonts w:cs="Arial"/>
                <w:b/>
                <w:color w:val="000000" w:themeColor="text1"/>
                <w:lang w:val="en-NZ" w:eastAsia="en-NZ"/>
              </w:rPr>
              <w:t xml:space="preserve">must </w:t>
            </w:r>
            <w:r w:rsidRPr="59D4D97B">
              <w:rPr>
                <w:rFonts w:cs="Arial"/>
                <w:b/>
                <w:bCs/>
                <w:i/>
                <w:iCs/>
                <w:color w:val="000000" w:themeColor="text1"/>
                <w:lang w:val="en-NZ" w:eastAsia="en-NZ"/>
              </w:rPr>
              <w:t>meet</w:t>
            </w:r>
            <w:r w:rsidRPr="59D4D97B">
              <w:rPr>
                <w:rFonts w:cs="Arial"/>
                <w:b/>
                <w:bCs/>
                <w:color w:val="000000" w:themeColor="text1"/>
                <w:lang w:val="en-NZ" w:eastAsia="en-NZ"/>
              </w:rPr>
              <w:t xml:space="preserve"> proximity requirements</w:t>
            </w:r>
          </w:p>
        </w:tc>
      </w:tr>
      <w:tr w:rsidR="003B6C5F" w:rsidRPr="003D37FC" w14:paraId="1DAB4DF7" w14:textId="77777777" w:rsidTr="6050CA35">
        <w:trPr>
          <w:trHeight w:val="1230"/>
        </w:trPr>
        <w:tc>
          <w:tcPr>
            <w:tcW w:w="175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tcPr>
          <w:p w14:paraId="5BC5DDB6" w14:textId="4BA4D954" w:rsidR="003B6C5F" w:rsidRDefault="00F93FD0" w:rsidP="003D37FC">
            <w:pPr>
              <w:spacing w:after="0" w:line="240" w:lineRule="auto"/>
              <w:jc w:val="center"/>
              <w:textAlignment w:val="baseline"/>
              <w:rPr>
                <w:rFonts w:cs="Arial"/>
                <w:b/>
                <w:bCs/>
                <w:color w:val="000000"/>
                <w:szCs w:val="22"/>
                <w:lang w:val="en-NZ" w:eastAsia="en-NZ"/>
              </w:rPr>
            </w:pPr>
            <w:r>
              <w:rPr>
                <w:rFonts w:cs="Arial"/>
                <w:b/>
                <w:bCs/>
                <w:color w:val="000000"/>
                <w:szCs w:val="22"/>
                <w:lang w:val="en-NZ" w:eastAsia="en-NZ"/>
              </w:rPr>
              <w:t>Reduces Ine</w:t>
            </w:r>
            <w:r w:rsidR="003B6C5F">
              <w:rPr>
                <w:rFonts w:cs="Arial"/>
                <w:b/>
                <w:bCs/>
                <w:color w:val="000000"/>
                <w:szCs w:val="22"/>
                <w:lang w:val="en-NZ" w:eastAsia="en-NZ"/>
              </w:rPr>
              <w:t>quity</w:t>
            </w:r>
          </w:p>
        </w:tc>
        <w:tc>
          <w:tcPr>
            <w:tcW w:w="345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0D0AFA0C" w14:textId="099D4F6C" w:rsidR="003B6C5F" w:rsidRPr="003D37FC" w:rsidRDefault="6F708FCC" w:rsidP="73148371">
            <w:pPr>
              <w:spacing w:after="0" w:line="240" w:lineRule="auto"/>
              <w:jc w:val="center"/>
              <w:textAlignment w:val="baseline"/>
              <w:rPr>
                <w:rFonts w:cs="Arial"/>
                <w:sz w:val="18"/>
                <w:szCs w:val="18"/>
                <w:lang w:val="en-NZ" w:eastAsia="en-NZ"/>
              </w:rPr>
            </w:pPr>
            <w:r w:rsidRPr="59D4D97B">
              <w:rPr>
                <w:rFonts w:cs="Arial"/>
                <w:sz w:val="20"/>
                <w:lang w:val="en-NZ" w:eastAsia="en-NZ"/>
              </w:rPr>
              <w:t>0</w:t>
            </w:r>
          </w:p>
          <w:p w14:paraId="50D773D2" w14:textId="31249BC7" w:rsidR="003B6C5F" w:rsidRPr="003D37FC" w:rsidRDefault="671A275A" w:rsidP="73148371">
            <w:pPr>
              <w:spacing w:after="0" w:line="240" w:lineRule="auto"/>
              <w:jc w:val="center"/>
              <w:textAlignment w:val="baseline"/>
              <w:rPr>
                <w:rFonts w:cs="Arial"/>
                <w:sz w:val="18"/>
                <w:szCs w:val="18"/>
                <w:lang w:val="en-NZ" w:eastAsia="en-NZ"/>
              </w:rPr>
            </w:pPr>
            <w:r w:rsidRPr="73148371">
              <w:rPr>
                <w:rFonts w:cs="Arial"/>
                <w:sz w:val="18"/>
                <w:szCs w:val="18"/>
              </w:rPr>
              <w:t>Māori youth, particularly girls, have highest rate of regular and daily vaping.</w:t>
            </w:r>
          </w:p>
        </w:tc>
        <w:tc>
          <w:tcPr>
            <w:tcW w:w="441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3EFD4DD1" w14:textId="227E2C20" w:rsidR="008413E8" w:rsidRDefault="008413E8" w:rsidP="008413E8">
            <w:pPr>
              <w:spacing w:after="0" w:line="240" w:lineRule="auto"/>
              <w:jc w:val="center"/>
              <w:textAlignment w:val="baseline"/>
              <w:rPr>
                <w:rFonts w:cs="Arial"/>
                <w:b/>
                <w:color w:val="00B050"/>
                <w:sz w:val="20"/>
                <w:lang w:val="en-NZ" w:eastAsia="en-NZ"/>
              </w:rPr>
            </w:pPr>
            <w:r w:rsidRPr="1B502AF9">
              <w:rPr>
                <w:rFonts w:cs="Arial"/>
                <w:b/>
                <w:color w:val="00B050"/>
                <w:sz w:val="20"/>
              </w:rPr>
              <w:t>+</w:t>
            </w:r>
          </w:p>
          <w:p w14:paraId="74831DEC" w14:textId="5A647E76" w:rsidR="00510FD6" w:rsidRPr="008413E8" w:rsidRDefault="011E96DA" w:rsidP="007320D9">
            <w:pPr>
              <w:spacing w:after="0" w:line="240" w:lineRule="auto"/>
              <w:jc w:val="center"/>
              <w:textAlignment w:val="baseline"/>
              <w:rPr>
                <w:rFonts w:eastAsia="Arial" w:cs="Arial"/>
                <w:sz w:val="18"/>
                <w:szCs w:val="18"/>
                <w:lang w:val="en-NZ"/>
              </w:rPr>
            </w:pPr>
            <w:r w:rsidRPr="59D4D97B">
              <w:rPr>
                <w:rFonts w:eastAsia="Arial" w:cs="Arial"/>
                <w:sz w:val="18"/>
                <w:szCs w:val="18"/>
              </w:rPr>
              <w:t xml:space="preserve"> Māori youth, particularly girls, have highest rate of regular and daily vaping</w:t>
            </w:r>
            <w:r w:rsidR="001743A3">
              <w:rPr>
                <w:rFonts w:eastAsia="Arial" w:cs="Arial"/>
                <w:sz w:val="18"/>
                <w:szCs w:val="18"/>
              </w:rPr>
              <w:t>. R</w:t>
            </w:r>
            <w:r w:rsidRPr="59D4D97B">
              <w:rPr>
                <w:rFonts w:eastAsia="Arial" w:cs="Arial"/>
                <w:sz w:val="18"/>
                <w:szCs w:val="18"/>
              </w:rPr>
              <w:t xml:space="preserve">educed access </w:t>
            </w:r>
            <w:r w:rsidR="00140EC2">
              <w:rPr>
                <w:rFonts w:eastAsia="Arial" w:cs="Arial"/>
                <w:sz w:val="18"/>
                <w:szCs w:val="18"/>
              </w:rPr>
              <w:t>is likely to</w:t>
            </w:r>
            <w:r w:rsidR="006C40C4">
              <w:rPr>
                <w:rFonts w:eastAsia="Arial" w:cs="Arial"/>
                <w:sz w:val="18"/>
                <w:szCs w:val="18"/>
              </w:rPr>
              <w:t xml:space="preserve"> help</w:t>
            </w:r>
            <w:r w:rsidRPr="59D4D97B">
              <w:rPr>
                <w:rFonts w:eastAsia="Arial" w:cs="Arial"/>
                <w:sz w:val="18"/>
                <w:szCs w:val="18"/>
              </w:rPr>
              <w:t xml:space="preserve"> reduce inequity gap</w:t>
            </w:r>
            <w:r w:rsidR="329AD137" w:rsidRPr="59D4D97B">
              <w:rPr>
                <w:rFonts w:eastAsia="Arial" w:cs="Arial"/>
                <w:sz w:val="18"/>
                <w:szCs w:val="18"/>
              </w:rPr>
              <w:t>.</w:t>
            </w:r>
          </w:p>
        </w:tc>
        <w:tc>
          <w:tcPr>
            <w:tcW w:w="442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84DA3B1" w14:textId="71EB388E" w:rsidR="003B6C5F" w:rsidRPr="003D6530" w:rsidRDefault="72124CD1" w:rsidP="003D6530">
            <w:pPr>
              <w:spacing w:after="0" w:line="240" w:lineRule="auto"/>
              <w:jc w:val="center"/>
              <w:textAlignment w:val="baseline"/>
              <w:rPr>
                <w:rFonts w:cs="Arial"/>
                <w:sz w:val="18"/>
                <w:szCs w:val="18"/>
                <w:lang w:val="en-NZ" w:eastAsia="en-NZ"/>
              </w:rPr>
            </w:pPr>
            <w:r w:rsidRPr="1B502AF9">
              <w:rPr>
                <w:rFonts w:cs="Arial"/>
                <w:b/>
                <w:bCs/>
                <w:color w:val="00B050"/>
                <w:sz w:val="20"/>
              </w:rPr>
              <w:t>+</w:t>
            </w:r>
          </w:p>
          <w:p w14:paraId="05EB942B" w14:textId="5C544F74" w:rsidR="00510FD6" w:rsidRDefault="682D91EA" w:rsidP="007320D9">
            <w:pPr>
              <w:spacing w:after="0" w:line="240" w:lineRule="auto"/>
              <w:jc w:val="center"/>
              <w:textAlignment w:val="baseline"/>
              <w:rPr>
                <w:rFonts w:cs="Arial"/>
                <w:sz w:val="18"/>
                <w:szCs w:val="18"/>
              </w:rPr>
            </w:pPr>
            <w:r w:rsidRPr="76C3810C">
              <w:rPr>
                <w:rFonts w:cs="Arial"/>
                <w:sz w:val="18"/>
                <w:szCs w:val="18"/>
              </w:rPr>
              <w:t>Māori youth, particularly girls, have highest rate of regular and daily vaping</w:t>
            </w:r>
            <w:r w:rsidR="008656B9">
              <w:rPr>
                <w:rFonts w:cs="Arial"/>
                <w:sz w:val="18"/>
                <w:szCs w:val="18"/>
              </w:rPr>
              <w:t>. R</w:t>
            </w:r>
            <w:r w:rsidRPr="76C3810C">
              <w:rPr>
                <w:rFonts w:cs="Arial"/>
                <w:sz w:val="18"/>
                <w:szCs w:val="18"/>
              </w:rPr>
              <w:t xml:space="preserve">educed </w:t>
            </w:r>
            <w:r w:rsidR="008656B9">
              <w:rPr>
                <w:rFonts w:cs="Arial"/>
                <w:sz w:val="18"/>
                <w:szCs w:val="18"/>
              </w:rPr>
              <w:t xml:space="preserve">access </w:t>
            </w:r>
            <w:r w:rsidR="006C40C4">
              <w:rPr>
                <w:rFonts w:cs="Arial"/>
                <w:sz w:val="18"/>
                <w:szCs w:val="18"/>
              </w:rPr>
              <w:t xml:space="preserve">is likely to </w:t>
            </w:r>
            <w:r w:rsidR="008656B9">
              <w:rPr>
                <w:rFonts w:cs="Arial"/>
                <w:sz w:val="18"/>
                <w:szCs w:val="18"/>
              </w:rPr>
              <w:t xml:space="preserve">reduce </w:t>
            </w:r>
            <w:r w:rsidR="00FA3B6D">
              <w:rPr>
                <w:rFonts w:cs="Arial"/>
                <w:sz w:val="18"/>
                <w:szCs w:val="18"/>
              </w:rPr>
              <w:t>inequity gap</w:t>
            </w:r>
            <w:r w:rsidR="309646D2" w:rsidRPr="6050CA35">
              <w:rPr>
                <w:rFonts w:cs="Arial"/>
                <w:sz w:val="18"/>
                <w:szCs w:val="18"/>
              </w:rPr>
              <w:t>.</w:t>
            </w:r>
            <w:r w:rsidR="520307FD" w:rsidRPr="6050CA35">
              <w:rPr>
                <w:rFonts w:cs="Arial"/>
                <w:sz w:val="18"/>
                <w:szCs w:val="18"/>
              </w:rPr>
              <w:t xml:space="preserve"> </w:t>
            </w:r>
          </w:p>
          <w:p w14:paraId="651FD062" w14:textId="0A2343C5" w:rsidR="00510FD6" w:rsidRPr="008413E8" w:rsidRDefault="00510FD6" w:rsidP="007320D9">
            <w:pPr>
              <w:spacing w:after="0" w:line="240" w:lineRule="auto"/>
              <w:jc w:val="center"/>
              <w:textAlignment w:val="baseline"/>
              <w:rPr>
                <w:rFonts w:eastAsia="Arial" w:cs="Arial"/>
                <w:sz w:val="18"/>
                <w:szCs w:val="18"/>
              </w:rPr>
            </w:pPr>
          </w:p>
        </w:tc>
      </w:tr>
      <w:tr w:rsidR="003D37FC" w:rsidRPr="003D37FC" w14:paraId="0B6779BC" w14:textId="77777777" w:rsidTr="59D4D97B">
        <w:trPr>
          <w:trHeight w:hRule="exact" w:val="992"/>
        </w:trPr>
        <w:tc>
          <w:tcPr>
            <w:tcW w:w="175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70DACA32" w14:textId="7E3F20AA" w:rsidR="003D37FC" w:rsidRPr="003D37FC" w:rsidRDefault="003D37FC" w:rsidP="003D37FC">
            <w:pPr>
              <w:spacing w:after="0" w:line="240" w:lineRule="auto"/>
              <w:jc w:val="center"/>
              <w:textAlignment w:val="baseline"/>
              <w:rPr>
                <w:rFonts w:ascii="Times New Roman" w:hAnsi="Times New Roman"/>
                <w:sz w:val="24"/>
                <w:szCs w:val="24"/>
                <w:lang w:val="en-NZ" w:eastAsia="en-NZ"/>
              </w:rPr>
            </w:pPr>
            <w:r>
              <w:rPr>
                <w:rFonts w:cs="Arial"/>
                <w:b/>
                <w:bCs/>
                <w:color w:val="000000"/>
                <w:szCs w:val="22"/>
                <w:lang w:val="en-NZ" w:eastAsia="en-NZ"/>
              </w:rPr>
              <w:t>H</w:t>
            </w:r>
            <w:r w:rsidRPr="003D37FC">
              <w:rPr>
                <w:rFonts w:cs="Arial"/>
                <w:b/>
                <w:bCs/>
                <w:color w:val="000000"/>
                <w:szCs w:val="22"/>
                <w:lang w:val="en-NZ" w:eastAsia="en-NZ"/>
              </w:rPr>
              <w:t>ar</w:t>
            </w:r>
            <w:r>
              <w:rPr>
                <w:rFonts w:cs="Arial"/>
                <w:b/>
                <w:bCs/>
                <w:color w:val="000000"/>
                <w:szCs w:val="22"/>
                <w:lang w:val="en-NZ" w:eastAsia="en-NZ"/>
              </w:rPr>
              <w:t>m prevention</w:t>
            </w:r>
          </w:p>
        </w:tc>
        <w:tc>
          <w:tcPr>
            <w:tcW w:w="345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D159749" w14:textId="698B5BF4" w:rsidR="003D37FC" w:rsidRPr="003D37FC" w:rsidRDefault="279CA369" w:rsidP="73148371">
            <w:pPr>
              <w:spacing w:after="0" w:line="240" w:lineRule="auto"/>
              <w:jc w:val="center"/>
              <w:textAlignment w:val="baseline"/>
              <w:rPr>
                <w:rFonts w:ascii="Times New Roman" w:hAnsi="Times New Roman"/>
                <w:sz w:val="24"/>
                <w:szCs w:val="24"/>
                <w:lang w:val="en-NZ" w:eastAsia="en-NZ"/>
              </w:rPr>
            </w:pPr>
            <w:r w:rsidRPr="59D4D97B">
              <w:rPr>
                <w:rFonts w:cs="Arial"/>
                <w:sz w:val="20"/>
                <w:lang w:val="en-NZ" w:eastAsia="en-NZ"/>
              </w:rPr>
              <w:t>0</w:t>
            </w:r>
          </w:p>
          <w:p w14:paraId="148BD62E" w14:textId="0E8D5CBD" w:rsidR="003D37FC" w:rsidRPr="003D37FC" w:rsidRDefault="40A11432" w:rsidP="04BF228A">
            <w:pPr>
              <w:spacing w:after="0" w:line="240" w:lineRule="auto"/>
              <w:jc w:val="center"/>
              <w:textAlignment w:val="baseline"/>
              <w:rPr>
                <w:rFonts w:cs="Arial"/>
                <w:sz w:val="18"/>
                <w:szCs w:val="18"/>
                <w:lang w:val="en-NZ" w:eastAsia="en-NZ"/>
              </w:rPr>
            </w:pPr>
            <w:r w:rsidRPr="59D4D97B">
              <w:rPr>
                <w:rFonts w:cs="Arial"/>
                <w:sz w:val="18"/>
                <w:szCs w:val="18"/>
                <w:lang w:val="en-NZ" w:eastAsia="en-NZ"/>
              </w:rPr>
              <w:t xml:space="preserve">Public perception of store location is that it targets youth, </w:t>
            </w:r>
            <w:proofErr w:type="gramStart"/>
            <w:r w:rsidRPr="59D4D97B">
              <w:rPr>
                <w:rFonts w:cs="Arial"/>
                <w:sz w:val="18"/>
                <w:szCs w:val="18"/>
                <w:lang w:val="en-NZ" w:eastAsia="en-NZ"/>
              </w:rPr>
              <w:t>eg</w:t>
            </w:r>
            <w:proofErr w:type="gramEnd"/>
            <w:r w:rsidRPr="59D4D97B">
              <w:rPr>
                <w:rFonts w:cs="Arial"/>
                <w:sz w:val="18"/>
                <w:szCs w:val="18"/>
                <w:lang w:val="en-NZ" w:eastAsia="en-NZ"/>
              </w:rPr>
              <w:t xml:space="preserve"> if they are near schools.</w:t>
            </w:r>
          </w:p>
        </w:tc>
        <w:tc>
          <w:tcPr>
            <w:tcW w:w="441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3A4597C" w14:textId="77777777" w:rsidR="003D37FC" w:rsidRPr="003D37FC" w:rsidRDefault="003D37FC" w:rsidP="003D37FC">
            <w:pPr>
              <w:spacing w:after="0" w:line="240" w:lineRule="auto"/>
              <w:jc w:val="center"/>
              <w:textAlignment w:val="baseline"/>
              <w:rPr>
                <w:rFonts w:ascii="Times New Roman" w:hAnsi="Times New Roman"/>
                <w:sz w:val="24"/>
                <w:szCs w:val="24"/>
                <w:lang w:val="en-NZ" w:eastAsia="en-NZ"/>
              </w:rPr>
            </w:pPr>
            <w:r w:rsidRPr="003D37FC">
              <w:rPr>
                <w:rFonts w:cs="Arial"/>
                <w:sz w:val="20"/>
                <w:lang w:val="en-NZ" w:eastAsia="en-NZ"/>
              </w:rPr>
              <w:t>0 </w:t>
            </w:r>
          </w:p>
          <w:p w14:paraId="6309BB6B" w14:textId="7A16026F" w:rsidR="003D37FC" w:rsidRPr="003D37FC" w:rsidRDefault="16165B6E" w:rsidP="003D37FC">
            <w:pPr>
              <w:spacing w:after="0" w:line="240" w:lineRule="auto"/>
              <w:jc w:val="center"/>
              <w:textAlignment w:val="baseline"/>
              <w:rPr>
                <w:rFonts w:ascii="Times New Roman" w:hAnsi="Times New Roman"/>
                <w:sz w:val="24"/>
                <w:szCs w:val="24"/>
                <w:lang w:val="en-NZ" w:eastAsia="en-NZ"/>
              </w:rPr>
            </w:pPr>
            <w:r w:rsidRPr="33A45F9F">
              <w:rPr>
                <w:rFonts w:cs="Arial"/>
                <w:sz w:val="18"/>
                <w:szCs w:val="18"/>
                <w:lang w:val="en-NZ" w:eastAsia="en-NZ"/>
              </w:rPr>
              <w:t xml:space="preserve">Current evidence </w:t>
            </w:r>
            <w:r w:rsidR="21B91ADF" w:rsidRPr="1B502AF9">
              <w:rPr>
                <w:rFonts w:cs="Arial"/>
                <w:sz w:val="18"/>
                <w:szCs w:val="18"/>
                <w:lang w:val="en-NZ" w:eastAsia="en-NZ"/>
              </w:rPr>
              <w:t>on</w:t>
            </w:r>
            <w:r w:rsidRPr="33A45F9F">
              <w:rPr>
                <w:rFonts w:cs="Arial"/>
                <w:sz w:val="18"/>
                <w:szCs w:val="18"/>
                <w:lang w:val="en-NZ" w:eastAsia="en-NZ"/>
              </w:rPr>
              <w:t xml:space="preserve"> impact</w:t>
            </w:r>
            <w:r w:rsidR="7B3636A8" w:rsidRPr="1B502AF9">
              <w:rPr>
                <w:rFonts w:cs="Arial"/>
                <w:sz w:val="18"/>
                <w:szCs w:val="18"/>
                <w:lang w:val="en-NZ" w:eastAsia="en-NZ"/>
              </w:rPr>
              <w:t xml:space="preserve"> is unclear</w:t>
            </w:r>
            <w:r w:rsidR="5164BF6A" w:rsidRPr="1B502AF9">
              <w:rPr>
                <w:rFonts w:cs="Arial"/>
                <w:sz w:val="18"/>
                <w:szCs w:val="18"/>
                <w:lang w:val="en-NZ" w:eastAsia="en-NZ"/>
              </w:rPr>
              <w:t xml:space="preserve">. </w:t>
            </w:r>
            <w:r w:rsidRPr="33A45F9F">
              <w:rPr>
                <w:rFonts w:cs="Arial"/>
                <w:sz w:val="18"/>
                <w:szCs w:val="18"/>
                <w:lang w:val="en-NZ" w:eastAsia="en-NZ"/>
              </w:rPr>
              <w:t>May limit access to adults wishing to switch</w:t>
            </w:r>
            <w:r w:rsidR="6F900F13" w:rsidRPr="33A45F9F">
              <w:rPr>
                <w:rFonts w:cs="Arial"/>
                <w:sz w:val="18"/>
                <w:szCs w:val="18"/>
                <w:lang w:val="en-NZ" w:eastAsia="en-NZ"/>
              </w:rPr>
              <w:t>.</w:t>
            </w:r>
            <w:r w:rsidRPr="33A45F9F">
              <w:rPr>
                <w:rFonts w:cs="Arial"/>
                <w:sz w:val="18"/>
                <w:szCs w:val="18"/>
                <w:lang w:val="en-NZ" w:eastAsia="en-NZ"/>
              </w:rPr>
              <w:t> </w:t>
            </w:r>
          </w:p>
        </w:tc>
        <w:tc>
          <w:tcPr>
            <w:tcW w:w="442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0767DBC1" w14:textId="13BDF457" w:rsidR="003D37FC" w:rsidRPr="007D3D63" w:rsidRDefault="48E3CC87" w:rsidP="003D37FC">
            <w:pPr>
              <w:spacing w:after="0" w:line="240" w:lineRule="auto"/>
              <w:jc w:val="center"/>
              <w:textAlignment w:val="baseline"/>
              <w:rPr>
                <w:rFonts w:ascii="Times New Roman" w:hAnsi="Times New Roman"/>
                <w:lang w:val="en-NZ" w:eastAsia="en-NZ"/>
              </w:rPr>
            </w:pPr>
            <w:r w:rsidRPr="65340990">
              <w:rPr>
                <w:rFonts w:cs="Arial"/>
                <w:sz w:val="20"/>
              </w:rPr>
              <w:t>0</w:t>
            </w:r>
          </w:p>
          <w:p w14:paraId="36663376" w14:textId="31F202A5" w:rsidR="003D37FC" w:rsidRPr="003D37FC" w:rsidRDefault="003D37FC" w:rsidP="003D37FC">
            <w:pPr>
              <w:spacing w:after="0" w:line="240" w:lineRule="auto"/>
              <w:jc w:val="center"/>
              <w:textAlignment w:val="baseline"/>
              <w:rPr>
                <w:rFonts w:ascii="Times New Roman" w:hAnsi="Times New Roman"/>
                <w:sz w:val="24"/>
                <w:szCs w:val="24"/>
                <w:lang w:val="en-NZ" w:eastAsia="en-NZ"/>
              </w:rPr>
            </w:pPr>
            <w:r w:rsidRPr="003D37FC">
              <w:rPr>
                <w:rFonts w:cs="Arial"/>
                <w:sz w:val="18"/>
                <w:szCs w:val="18"/>
                <w:lang w:val="en-NZ" w:eastAsia="en-NZ"/>
              </w:rPr>
              <w:t xml:space="preserve">Current evidence </w:t>
            </w:r>
            <w:r w:rsidR="007378D2" w:rsidRPr="1B502AF9">
              <w:rPr>
                <w:rFonts w:cs="Arial"/>
                <w:sz w:val="18"/>
                <w:szCs w:val="18"/>
                <w:lang w:val="en-NZ" w:eastAsia="en-NZ"/>
              </w:rPr>
              <w:t>on</w:t>
            </w:r>
            <w:r w:rsidRPr="003D37FC">
              <w:rPr>
                <w:rFonts w:cs="Arial"/>
                <w:sz w:val="18"/>
                <w:szCs w:val="18"/>
                <w:lang w:val="en-NZ" w:eastAsia="en-NZ"/>
              </w:rPr>
              <w:t xml:space="preserve"> impact</w:t>
            </w:r>
            <w:r w:rsidR="007378D2" w:rsidRPr="1B502AF9">
              <w:rPr>
                <w:rFonts w:cs="Arial"/>
                <w:sz w:val="18"/>
                <w:szCs w:val="18"/>
                <w:lang w:val="en-NZ" w:eastAsia="en-NZ"/>
              </w:rPr>
              <w:t xml:space="preserve"> is unclear. </w:t>
            </w:r>
            <w:r w:rsidR="007378D2" w:rsidRPr="33A45F9F">
              <w:rPr>
                <w:rFonts w:cs="Arial"/>
                <w:sz w:val="18"/>
                <w:szCs w:val="18"/>
                <w:lang w:val="en-NZ" w:eastAsia="en-NZ"/>
              </w:rPr>
              <w:t>May</w:t>
            </w:r>
            <w:r w:rsidRPr="003D37FC">
              <w:rPr>
                <w:rFonts w:cs="Arial"/>
                <w:sz w:val="18"/>
                <w:szCs w:val="18"/>
                <w:lang w:val="en-NZ" w:eastAsia="en-NZ"/>
              </w:rPr>
              <w:t xml:space="preserve"> limit access to adults wishing to switch</w:t>
            </w:r>
            <w:r w:rsidR="00856966">
              <w:rPr>
                <w:rFonts w:cs="Arial"/>
                <w:sz w:val="18"/>
                <w:szCs w:val="18"/>
                <w:lang w:val="en-NZ" w:eastAsia="en-NZ"/>
              </w:rPr>
              <w:t>.</w:t>
            </w:r>
            <w:r w:rsidR="007378D2" w:rsidRPr="33A45F9F">
              <w:rPr>
                <w:rFonts w:cs="Arial"/>
                <w:sz w:val="18"/>
                <w:szCs w:val="18"/>
                <w:lang w:val="en-NZ" w:eastAsia="en-NZ"/>
              </w:rPr>
              <w:t> </w:t>
            </w:r>
          </w:p>
        </w:tc>
      </w:tr>
      <w:tr w:rsidR="003D37FC" w:rsidRPr="003D37FC" w14:paraId="73B52584" w14:textId="77777777" w:rsidTr="59D4D97B">
        <w:trPr>
          <w:trHeight w:val="537"/>
        </w:trPr>
        <w:tc>
          <w:tcPr>
            <w:tcW w:w="175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1BB5C7F6" w14:textId="4E7B4510" w:rsidR="003D37FC" w:rsidRPr="003D37FC" w:rsidRDefault="003D37FC" w:rsidP="003D37FC">
            <w:pPr>
              <w:spacing w:after="0" w:line="240" w:lineRule="auto"/>
              <w:jc w:val="center"/>
              <w:textAlignment w:val="baseline"/>
              <w:rPr>
                <w:rFonts w:ascii="Times New Roman" w:hAnsi="Times New Roman"/>
                <w:sz w:val="24"/>
                <w:szCs w:val="24"/>
                <w:lang w:val="en-NZ" w:eastAsia="en-NZ"/>
              </w:rPr>
            </w:pPr>
            <w:r>
              <w:rPr>
                <w:b/>
              </w:rPr>
              <w:t>Effectiveness</w:t>
            </w:r>
          </w:p>
        </w:tc>
        <w:tc>
          <w:tcPr>
            <w:tcW w:w="345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47C64FE" w14:textId="5DF10C49" w:rsidR="003D37FC" w:rsidRPr="003D37FC" w:rsidRDefault="003D37FC" w:rsidP="04BF228A">
            <w:pPr>
              <w:spacing w:after="0" w:line="240" w:lineRule="auto"/>
              <w:jc w:val="center"/>
              <w:textAlignment w:val="baseline"/>
              <w:rPr>
                <w:rFonts w:ascii="Times New Roman" w:hAnsi="Times New Roman"/>
                <w:sz w:val="24"/>
                <w:szCs w:val="24"/>
                <w:lang w:val="en-NZ" w:eastAsia="en-NZ"/>
              </w:rPr>
            </w:pPr>
            <w:r w:rsidRPr="5226C9A4">
              <w:rPr>
                <w:rFonts w:cs="Arial"/>
                <w:sz w:val="20"/>
                <w:lang w:val="en-NZ" w:eastAsia="en-NZ"/>
              </w:rPr>
              <w:t>0</w:t>
            </w:r>
          </w:p>
          <w:p w14:paraId="27C4F7B8" w14:textId="64604DCD" w:rsidR="003D37FC" w:rsidRPr="003D37FC" w:rsidRDefault="32DA1F7F" w:rsidP="59D4D97B">
            <w:pPr>
              <w:spacing w:after="0" w:line="240" w:lineRule="auto"/>
              <w:jc w:val="center"/>
              <w:textAlignment w:val="baseline"/>
              <w:rPr>
                <w:rFonts w:cs="Arial"/>
                <w:sz w:val="20"/>
                <w:lang w:val="en-NZ" w:eastAsia="en-NZ"/>
              </w:rPr>
            </w:pPr>
            <w:r w:rsidRPr="59D4D97B">
              <w:rPr>
                <w:rFonts w:cs="Arial"/>
                <w:sz w:val="20"/>
                <w:lang w:val="en-NZ" w:eastAsia="en-NZ"/>
              </w:rPr>
              <w:t xml:space="preserve">No </w:t>
            </w:r>
            <w:r w:rsidRPr="59D4D97B">
              <w:rPr>
                <w:rFonts w:cs="Arial"/>
                <w:sz w:val="18"/>
                <w:szCs w:val="18"/>
                <w:lang w:val="en-NZ" w:eastAsia="en-NZ"/>
              </w:rPr>
              <w:t>changes to regulations, specialist vaping stores can open with no proximity or location restrictions</w:t>
            </w:r>
            <w:r w:rsidRPr="59D4D97B">
              <w:rPr>
                <w:rFonts w:cs="Arial"/>
                <w:sz w:val="20"/>
                <w:lang w:val="en-NZ" w:eastAsia="en-NZ"/>
              </w:rPr>
              <w:t>.</w:t>
            </w:r>
          </w:p>
        </w:tc>
        <w:tc>
          <w:tcPr>
            <w:tcW w:w="441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A600F08" w14:textId="79550DAA" w:rsidR="003D37FC" w:rsidRPr="007D3D63" w:rsidRDefault="003D37FC" w:rsidP="003D37FC">
            <w:pPr>
              <w:spacing w:after="0" w:line="240" w:lineRule="auto"/>
              <w:jc w:val="center"/>
              <w:textAlignment w:val="baseline"/>
              <w:rPr>
                <w:rFonts w:ascii="Times New Roman" w:hAnsi="Times New Roman"/>
                <w:szCs w:val="22"/>
                <w:lang w:val="en-NZ" w:eastAsia="en-NZ"/>
              </w:rPr>
            </w:pPr>
            <w:r w:rsidRPr="007D3D63">
              <w:rPr>
                <w:rFonts w:cs="Arial"/>
                <w:b/>
                <w:color w:val="00B050"/>
                <w:sz w:val="20"/>
                <w:szCs w:val="18"/>
              </w:rPr>
              <w:t>+</w:t>
            </w:r>
          </w:p>
          <w:p w14:paraId="622D80CB" w14:textId="05947A40" w:rsidR="003D37FC" w:rsidRPr="00D448B8" w:rsidRDefault="2561115A" w:rsidP="003D37FC">
            <w:pPr>
              <w:spacing w:after="0" w:line="240" w:lineRule="auto"/>
              <w:jc w:val="center"/>
              <w:textAlignment w:val="baseline"/>
              <w:rPr>
                <w:rFonts w:cs="Arial"/>
                <w:sz w:val="18"/>
                <w:szCs w:val="18"/>
                <w:lang w:val="en-NZ" w:eastAsia="en-NZ"/>
              </w:rPr>
            </w:pPr>
            <w:r w:rsidRPr="1B502AF9">
              <w:rPr>
                <w:rFonts w:cs="Arial"/>
                <w:sz w:val="18"/>
                <w:szCs w:val="18"/>
                <w:lang w:val="en-NZ" w:eastAsia="en-NZ"/>
              </w:rPr>
              <w:t xml:space="preserve">May </w:t>
            </w:r>
            <w:r w:rsidR="25993E38" w:rsidRPr="1B502AF9">
              <w:rPr>
                <w:rFonts w:cs="Arial"/>
                <w:sz w:val="18"/>
                <w:szCs w:val="18"/>
                <w:lang w:val="en-NZ" w:eastAsia="en-NZ"/>
              </w:rPr>
              <w:t>d</w:t>
            </w:r>
            <w:r w:rsidR="003D37FC" w:rsidRPr="1B502AF9">
              <w:rPr>
                <w:rFonts w:cs="Arial"/>
                <w:sz w:val="18"/>
                <w:szCs w:val="18"/>
                <w:lang w:val="en-NZ" w:eastAsia="en-NZ"/>
              </w:rPr>
              <w:t>e-normalise</w:t>
            </w:r>
            <w:r w:rsidR="3B25EF1A" w:rsidRPr="1B502AF9">
              <w:rPr>
                <w:rFonts w:cs="Arial"/>
                <w:sz w:val="18"/>
                <w:szCs w:val="18"/>
                <w:lang w:val="en-NZ" w:eastAsia="en-NZ"/>
              </w:rPr>
              <w:t xml:space="preserve"> </w:t>
            </w:r>
            <w:r w:rsidR="003D37FC" w:rsidRPr="1B502AF9">
              <w:rPr>
                <w:rFonts w:cs="Arial"/>
                <w:sz w:val="18"/>
                <w:szCs w:val="18"/>
                <w:lang w:val="en-NZ" w:eastAsia="en-NZ"/>
              </w:rPr>
              <w:t>vaping</w:t>
            </w:r>
            <w:r w:rsidR="72085D69" w:rsidRPr="1B502AF9">
              <w:rPr>
                <w:rFonts w:cs="Arial"/>
                <w:sz w:val="18"/>
                <w:szCs w:val="18"/>
                <w:lang w:val="en-NZ" w:eastAsia="en-NZ"/>
              </w:rPr>
              <w:t>.</w:t>
            </w:r>
          </w:p>
        </w:tc>
        <w:tc>
          <w:tcPr>
            <w:tcW w:w="442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7BE410B" w14:textId="3841C8F4" w:rsidR="16165B6E" w:rsidRDefault="39AD50AC" w:rsidP="52D2ABE3">
            <w:pPr>
              <w:spacing w:after="0" w:line="240" w:lineRule="auto"/>
              <w:jc w:val="center"/>
              <w:rPr>
                <w:rFonts w:cs="Arial"/>
                <w:b/>
                <w:bCs/>
                <w:color w:val="00B050"/>
                <w:sz w:val="20"/>
              </w:rPr>
            </w:pPr>
            <w:r w:rsidRPr="52D2ABE3">
              <w:rPr>
                <w:rFonts w:cs="Arial"/>
                <w:b/>
                <w:bCs/>
                <w:color w:val="00B050"/>
                <w:sz w:val="20"/>
              </w:rPr>
              <w:t xml:space="preserve"> +</w:t>
            </w:r>
          </w:p>
          <w:p w14:paraId="1538A750" w14:textId="4EC6FCFA" w:rsidR="003D37FC" w:rsidRPr="003D37FC" w:rsidRDefault="00ED371D" w:rsidP="003D37FC">
            <w:pPr>
              <w:spacing w:after="0" w:line="240" w:lineRule="auto"/>
              <w:jc w:val="center"/>
              <w:textAlignment w:val="baseline"/>
              <w:rPr>
                <w:rFonts w:ascii="Times New Roman" w:hAnsi="Times New Roman"/>
                <w:sz w:val="24"/>
                <w:szCs w:val="24"/>
                <w:lang w:val="en-NZ" w:eastAsia="en-NZ"/>
              </w:rPr>
            </w:pPr>
            <w:r>
              <w:rPr>
                <w:rFonts w:cs="Arial"/>
                <w:sz w:val="18"/>
                <w:szCs w:val="18"/>
                <w:lang w:val="en-NZ" w:eastAsia="en-NZ"/>
              </w:rPr>
              <w:t>May d</w:t>
            </w:r>
            <w:r w:rsidR="003D37FC" w:rsidRPr="003D37FC">
              <w:rPr>
                <w:rFonts w:cs="Arial"/>
                <w:sz w:val="18"/>
                <w:szCs w:val="18"/>
                <w:lang w:val="en-NZ" w:eastAsia="en-NZ"/>
              </w:rPr>
              <w:t>e-normalise vapin</w:t>
            </w:r>
            <w:r w:rsidR="00856966">
              <w:rPr>
                <w:rFonts w:cs="Arial"/>
                <w:sz w:val="18"/>
                <w:szCs w:val="18"/>
                <w:lang w:val="en-NZ" w:eastAsia="en-NZ"/>
              </w:rPr>
              <w:t>g.</w:t>
            </w:r>
          </w:p>
        </w:tc>
      </w:tr>
      <w:tr w:rsidR="003D37FC" w:rsidRPr="003D37FC" w14:paraId="51E0F09F" w14:textId="77777777" w:rsidTr="59D4D97B">
        <w:trPr>
          <w:trHeight w:val="390"/>
        </w:trPr>
        <w:tc>
          <w:tcPr>
            <w:tcW w:w="175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076D3410" w14:textId="2AB6E39E" w:rsidR="003D37FC" w:rsidRPr="003D37FC" w:rsidRDefault="00205F38" w:rsidP="003D37FC">
            <w:pPr>
              <w:spacing w:after="0" w:line="240" w:lineRule="auto"/>
              <w:jc w:val="center"/>
              <w:textAlignment w:val="baseline"/>
              <w:rPr>
                <w:rFonts w:ascii="Times New Roman" w:hAnsi="Times New Roman"/>
                <w:sz w:val="24"/>
                <w:szCs w:val="24"/>
                <w:lang w:val="en-NZ" w:eastAsia="en-NZ"/>
              </w:rPr>
            </w:pPr>
            <w:r>
              <w:rPr>
                <w:rFonts w:cs="Arial"/>
                <w:b/>
                <w:color w:val="000000"/>
                <w:szCs w:val="22"/>
                <w:lang w:val="en-NZ"/>
              </w:rPr>
              <w:t>Cost and ease of implementation</w:t>
            </w:r>
          </w:p>
        </w:tc>
        <w:tc>
          <w:tcPr>
            <w:tcW w:w="345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3880D5F" w14:textId="5DF10C49" w:rsidR="003D37FC" w:rsidRPr="003D37FC" w:rsidRDefault="003D37FC" w:rsidP="04BF228A">
            <w:pPr>
              <w:spacing w:after="0" w:line="240" w:lineRule="auto"/>
              <w:jc w:val="center"/>
              <w:textAlignment w:val="baseline"/>
              <w:rPr>
                <w:rFonts w:ascii="Times New Roman" w:hAnsi="Times New Roman"/>
                <w:sz w:val="24"/>
                <w:szCs w:val="24"/>
                <w:lang w:val="en-NZ" w:eastAsia="en-NZ"/>
              </w:rPr>
            </w:pPr>
            <w:r w:rsidRPr="5226C9A4">
              <w:rPr>
                <w:rFonts w:cs="Arial"/>
                <w:sz w:val="20"/>
                <w:lang w:val="en-NZ" w:eastAsia="en-NZ"/>
              </w:rPr>
              <w:t>0</w:t>
            </w:r>
          </w:p>
          <w:p w14:paraId="03730E14" w14:textId="06E246CB" w:rsidR="003D37FC" w:rsidRPr="003D37FC" w:rsidRDefault="55D31BF0" w:rsidP="673AFE33">
            <w:pPr>
              <w:spacing w:after="0" w:line="240" w:lineRule="auto"/>
              <w:jc w:val="center"/>
              <w:textAlignment w:val="baseline"/>
              <w:rPr>
                <w:rFonts w:cs="Arial"/>
                <w:sz w:val="18"/>
                <w:szCs w:val="18"/>
                <w:lang w:val="en-NZ" w:eastAsia="en-NZ"/>
              </w:rPr>
            </w:pPr>
            <w:r w:rsidRPr="59D4D97B">
              <w:rPr>
                <w:rFonts w:cs="Arial"/>
                <w:sz w:val="18"/>
                <w:szCs w:val="18"/>
                <w:lang w:val="en-NZ" w:eastAsia="en-NZ"/>
              </w:rPr>
              <w:t>No change to current costs.</w:t>
            </w:r>
          </w:p>
        </w:tc>
        <w:tc>
          <w:tcPr>
            <w:tcW w:w="441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6FEFB495" w14:textId="0175860F" w:rsidR="003D37FC" w:rsidRPr="007D3D63" w:rsidRDefault="003D37FC" w:rsidP="003D37FC">
            <w:pPr>
              <w:spacing w:after="0" w:line="240" w:lineRule="auto"/>
              <w:jc w:val="center"/>
              <w:textAlignment w:val="baseline"/>
              <w:rPr>
                <w:rFonts w:cs="Arial"/>
                <w:sz w:val="18"/>
                <w:szCs w:val="18"/>
                <w:lang w:val="en-NZ" w:eastAsia="en-NZ"/>
              </w:rPr>
            </w:pPr>
            <w:r w:rsidRPr="007D3D63">
              <w:rPr>
                <w:rFonts w:cs="Arial"/>
                <w:b/>
                <w:color w:val="FF0000"/>
                <w:sz w:val="20"/>
                <w:szCs w:val="18"/>
              </w:rPr>
              <w:t>-</w:t>
            </w:r>
          </w:p>
          <w:p w14:paraId="59EFB57C" w14:textId="00C2D7B1" w:rsidR="003D37FC" w:rsidRPr="003D37FC" w:rsidRDefault="003D37FC" w:rsidP="2FC23C9B">
            <w:pPr>
              <w:spacing w:after="0" w:line="240" w:lineRule="auto"/>
              <w:jc w:val="center"/>
              <w:textAlignment w:val="baseline"/>
              <w:rPr>
                <w:rFonts w:cs="Arial"/>
                <w:sz w:val="18"/>
                <w:szCs w:val="18"/>
                <w:lang w:val="en-NZ" w:eastAsia="en-NZ"/>
              </w:rPr>
            </w:pPr>
            <w:r w:rsidRPr="2FC23C9B">
              <w:rPr>
                <w:rFonts w:cs="Arial"/>
                <w:sz w:val="18"/>
                <w:szCs w:val="18"/>
                <w:lang w:val="en-NZ" w:eastAsia="en-NZ"/>
              </w:rPr>
              <w:t>Less certainty to applicant and Regulator.</w:t>
            </w:r>
          </w:p>
        </w:tc>
        <w:tc>
          <w:tcPr>
            <w:tcW w:w="442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C122B8A" w14:textId="1746B78F" w:rsidR="003D37FC" w:rsidRPr="00C7429D" w:rsidRDefault="004C5C3F" w:rsidP="76C3810C">
            <w:pPr>
              <w:spacing w:after="0" w:line="240" w:lineRule="auto"/>
              <w:jc w:val="center"/>
              <w:textAlignment w:val="baseline"/>
              <w:rPr>
                <w:rFonts w:cs="Arial"/>
                <w:b/>
                <w:color w:val="00B050"/>
                <w:sz w:val="20"/>
                <w:szCs w:val="18"/>
              </w:rPr>
            </w:pPr>
            <w:r w:rsidRPr="00C7429D">
              <w:rPr>
                <w:rFonts w:cs="Arial"/>
                <w:b/>
                <w:color w:val="00B050"/>
                <w:sz w:val="20"/>
                <w:szCs w:val="18"/>
              </w:rPr>
              <w:t>+</w:t>
            </w:r>
          </w:p>
          <w:p w14:paraId="401D30A3" w14:textId="39E04365" w:rsidR="003D37FC" w:rsidRPr="004C5C3F" w:rsidRDefault="000D333B" w:rsidP="003D37FC">
            <w:pPr>
              <w:spacing w:after="0" w:line="240" w:lineRule="auto"/>
              <w:jc w:val="center"/>
              <w:textAlignment w:val="baseline"/>
              <w:rPr>
                <w:rFonts w:cs="Arial"/>
                <w:sz w:val="20"/>
              </w:rPr>
            </w:pPr>
            <w:r w:rsidRPr="004C5C3F">
              <w:rPr>
                <w:rFonts w:cs="Arial"/>
                <w:sz w:val="20"/>
              </w:rPr>
              <w:t>Greater certainty to applicant and Regulator</w:t>
            </w:r>
            <w:r w:rsidR="000C0BF8" w:rsidRPr="004C5C3F">
              <w:rPr>
                <w:rFonts w:cs="Arial"/>
                <w:sz w:val="20"/>
              </w:rPr>
              <w:t xml:space="preserve">. </w:t>
            </w:r>
          </w:p>
        </w:tc>
      </w:tr>
      <w:tr w:rsidR="003D37FC" w:rsidRPr="003D37FC" w14:paraId="35B33D96" w14:textId="77777777" w:rsidTr="59D4D97B">
        <w:trPr>
          <w:trHeight w:val="418"/>
        </w:trPr>
        <w:tc>
          <w:tcPr>
            <w:tcW w:w="175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3D7BD595" w14:textId="77777777" w:rsidR="003D37FC" w:rsidRPr="003D37FC" w:rsidRDefault="003D37FC" w:rsidP="003D37FC">
            <w:pPr>
              <w:spacing w:after="0" w:line="240" w:lineRule="auto"/>
              <w:jc w:val="center"/>
              <w:textAlignment w:val="baseline"/>
              <w:rPr>
                <w:rFonts w:ascii="Times New Roman" w:hAnsi="Times New Roman"/>
                <w:sz w:val="24"/>
                <w:szCs w:val="24"/>
                <w:lang w:val="en-NZ" w:eastAsia="en-NZ"/>
              </w:rPr>
            </w:pPr>
            <w:r w:rsidRPr="003D37FC">
              <w:rPr>
                <w:rFonts w:cs="Arial"/>
                <w:b/>
                <w:bCs/>
                <w:color w:val="000000"/>
                <w:szCs w:val="22"/>
                <w:lang w:val="en-NZ" w:eastAsia="en-NZ"/>
              </w:rPr>
              <w:t>Overall assessment</w:t>
            </w:r>
            <w:r w:rsidRPr="003D37FC">
              <w:rPr>
                <w:rFonts w:cs="Arial"/>
                <w:color w:val="000000"/>
                <w:szCs w:val="22"/>
                <w:lang w:val="en-NZ" w:eastAsia="en-NZ"/>
              </w:rPr>
              <w:t> </w:t>
            </w:r>
          </w:p>
        </w:tc>
        <w:tc>
          <w:tcPr>
            <w:tcW w:w="345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2BD9C74" w14:textId="6B864225" w:rsidR="003D37FC" w:rsidRPr="003D37FC" w:rsidRDefault="003D37FC" w:rsidP="003D37FC">
            <w:pPr>
              <w:spacing w:after="0" w:line="240" w:lineRule="auto"/>
              <w:jc w:val="center"/>
              <w:textAlignment w:val="baseline"/>
              <w:rPr>
                <w:rFonts w:ascii="Times New Roman" w:hAnsi="Times New Roman"/>
                <w:sz w:val="24"/>
                <w:szCs w:val="24"/>
                <w:lang w:val="en-NZ" w:eastAsia="en-NZ"/>
              </w:rPr>
            </w:pPr>
          </w:p>
        </w:tc>
        <w:tc>
          <w:tcPr>
            <w:tcW w:w="441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F27FA7D" w14:textId="18A47816" w:rsidR="003D37FC" w:rsidRPr="003D37FC" w:rsidRDefault="003D37FC" w:rsidP="003D37FC">
            <w:pPr>
              <w:spacing w:after="0" w:line="240" w:lineRule="auto"/>
              <w:jc w:val="center"/>
              <w:textAlignment w:val="baseline"/>
              <w:rPr>
                <w:rFonts w:ascii="Times New Roman" w:hAnsi="Times New Roman"/>
                <w:sz w:val="24"/>
                <w:szCs w:val="24"/>
                <w:lang w:val="en-NZ" w:eastAsia="en-NZ"/>
              </w:rPr>
            </w:pPr>
          </w:p>
        </w:tc>
        <w:tc>
          <w:tcPr>
            <w:tcW w:w="442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6F774B78" w14:textId="789F942B" w:rsidR="003D37FC" w:rsidRPr="003D37FC" w:rsidRDefault="000C0BF8" w:rsidP="58911DBF">
            <w:pPr>
              <w:spacing w:after="0" w:line="240" w:lineRule="auto"/>
              <w:jc w:val="center"/>
              <w:textAlignment w:val="baseline"/>
              <w:rPr>
                <w:rFonts w:ascii="Times New Roman" w:hAnsi="Times New Roman"/>
                <w:sz w:val="24"/>
                <w:szCs w:val="24"/>
                <w:lang w:val="en-NZ" w:eastAsia="en-NZ"/>
              </w:rPr>
            </w:pPr>
            <w:r w:rsidRPr="00E2423E">
              <w:rPr>
                <w:rFonts w:cs="Arial"/>
                <w:b/>
                <w:sz w:val="20"/>
              </w:rPr>
              <w:t>Preferred option</w:t>
            </w:r>
          </w:p>
          <w:p w14:paraId="4BC159E9" w14:textId="1D042DF5" w:rsidR="003D37FC" w:rsidRPr="003D37FC" w:rsidRDefault="003D37FC" w:rsidP="58911DBF">
            <w:pPr>
              <w:spacing w:after="0" w:line="240" w:lineRule="auto"/>
              <w:jc w:val="center"/>
              <w:textAlignment w:val="baseline"/>
              <w:rPr>
                <w:rFonts w:cs="Arial"/>
                <w:sz w:val="18"/>
                <w:szCs w:val="18"/>
                <w:lang w:val="en-NZ" w:eastAsia="en-NZ"/>
              </w:rPr>
            </w:pPr>
          </w:p>
        </w:tc>
      </w:tr>
    </w:tbl>
    <w:p w14:paraId="384E7BC2" w14:textId="77777777" w:rsidR="003D37FC" w:rsidRPr="003D37FC" w:rsidRDefault="003D37FC" w:rsidP="003D37FC">
      <w:pPr>
        <w:spacing w:after="0" w:line="240" w:lineRule="auto"/>
        <w:textAlignment w:val="baseline"/>
        <w:rPr>
          <w:rFonts w:ascii="Segoe UI" w:hAnsi="Segoe UI" w:cs="Segoe UI"/>
          <w:b/>
          <w:bCs/>
          <w:color w:val="0082AB"/>
          <w:sz w:val="18"/>
          <w:szCs w:val="18"/>
          <w:lang w:val="en-NZ" w:eastAsia="en-NZ"/>
        </w:rPr>
      </w:pPr>
      <w:r w:rsidRPr="003D37FC">
        <w:rPr>
          <w:rFonts w:ascii="Arial Bold" w:hAnsi="Arial Bold" w:cs="Segoe UI"/>
          <w:b/>
          <w:bCs/>
          <w:color w:val="0082AB"/>
          <w:sz w:val="24"/>
          <w:szCs w:val="24"/>
          <w:lang w:val="en-NZ" w:eastAsia="en-NZ"/>
        </w:rPr>
        <w:t> </w:t>
      </w:r>
    </w:p>
    <w:p w14:paraId="74157A36" w14:textId="5E4DA9DD" w:rsidR="00C97B81" w:rsidRPr="00CA6613" w:rsidRDefault="00C97B81" w:rsidP="58911DBF">
      <w:pPr>
        <w:rPr>
          <w:noProof/>
          <w:lang w:val="en-NZ" w:eastAsia="en-NZ"/>
        </w:rPr>
        <w:sectPr w:rsidR="00C97B81" w:rsidRPr="00CA6613" w:rsidSect="00B5612C">
          <w:footerReference w:type="default" r:id="rId56"/>
          <w:pgSz w:w="16838" w:h="11906" w:orient="landscape" w:code="9"/>
          <w:pgMar w:top="1418" w:right="1134" w:bottom="1418" w:left="992" w:header="454" w:footer="454" w:gutter="0"/>
          <w:cols w:space="708"/>
          <w:docGrid w:linePitch="360"/>
        </w:sectPr>
      </w:pPr>
    </w:p>
    <w:p w14:paraId="63AA11ED" w14:textId="214EB5EF" w:rsidR="00CA6613" w:rsidRPr="00CA6613" w:rsidRDefault="00CA6613" w:rsidP="001E7CF5">
      <w:pPr>
        <w:pStyle w:val="Heading3"/>
        <w:spacing w:before="120" w:after="120"/>
        <w:rPr>
          <w:lang w:val="en-NZ" w:eastAsia="en-NZ"/>
        </w:rPr>
      </w:pPr>
      <w:r>
        <w:rPr>
          <w:noProof/>
          <w:lang w:val="en-NZ" w:eastAsia="en-NZ"/>
        </w:rPr>
        <w:t>What option is likely to best address the problem, meet the policy objectives, and deliver the highest net benefits?</w:t>
      </w:r>
    </w:p>
    <w:p w14:paraId="243EED56" w14:textId="169E38B3" w:rsidR="2863247E" w:rsidRDefault="6CEC7ECA" w:rsidP="001E7CF5">
      <w:pPr>
        <w:pStyle w:val="Heading4"/>
        <w:spacing w:after="120"/>
        <w:rPr>
          <w:lang w:val="en-NZ" w:eastAsia="en-NZ"/>
        </w:rPr>
      </w:pPr>
      <w:r w:rsidRPr="59D4D97B">
        <w:rPr>
          <w:lang w:val="en-NZ" w:eastAsia="en-NZ"/>
        </w:rPr>
        <w:t xml:space="preserve">Smoked Tobacco </w:t>
      </w:r>
    </w:p>
    <w:p w14:paraId="4ECE6CBF" w14:textId="6F57CDA7" w:rsidR="004C3171" w:rsidRDefault="004C3171" w:rsidP="001E7CF5">
      <w:pPr>
        <w:spacing w:before="120" w:after="120"/>
        <w:rPr>
          <w:lang w:val="en-NZ" w:eastAsia="en-NZ"/>
        </w:rPr>
      </w:pPr>
      <w:r w:rsidRPr="0F275B5E">
        <w:rPr>
          <w:lang w:val="en-NZ" w:eastAsia="en-NZ"/>
        </w:rPr>
        <w:t>The Ministry’s preferred options to enable the successful establishment of the Smoked Tobacco Regulatory Regime are set out below. The</w:t>
      </w:r>
      <w:r w:rsidR="00F67327">
        <w:rPr>
          <w:lang w:val="en-NZ" w:eastAsia="en-NZ"/>
        </w:rPr>
        <w:t>se</w:t>
      </w:r>
      <w:r w:rsidRPr="0F275B5E">
        <w:rPr>
          <w:lang w:val="en-NZ" w:eastAsia="en-NZ"/>
        </w:rPr>
        <w:t xml:space="preserve"> have been refined following consultation.</w:t>
      </w:r>
    </w:p>
    <w:p w14:paraId="05E03362" w14:textId="7A38F34E" w:rsidR="00CA6613" w:rsidRPr="00E17046" w:rsidRDefault="00E17046" w:rsidP="001E7CF5">
      <w:pPr>
        <w:spacing w:before="120" w:after="120"/>
        <w:rPr>
          <w:lang w:val="en-NZ" w:eastAsia="en-NZ"/>
        </w:rPr>
      </w:pPr>
      <w:r w:rsidRPr="00E17046">
        <w:rPr>
          <w:lang w:val="en-NZ" w:eastAsia="en-NZ"/>
        </w:rPr>
        <w:t>The preferred options are:</w:t>
      </w:r>
    </w:p>
    <w:p w14:paraId="2A71F150" w14:textId="7EC23CF5" w:rsidR="00F42709" w:rsidRDefault="013D70D7" w:rsidP="00131678">
      <w:pPr>
        <w:pStyle w:val="ListParagraph"/>
        <w:numPr>
          <w:ilvl w:val="1"/>
          <w:numId w:val="7"/>
        </w:numPr>
        <w:spacing w:before="120" w:after="120" w:line="240" w:lineRule="auto"/>
        <w:ind w:left="426" w:hanging="426"/>
        <w:rPr>
          <w:lang w:val="en-NZ" w:eastAsia="en-NZ"/>
        </w:rPr>
      </w:pPr>
      <w:r w:rsidRPr="00F42709">
        <w:rPr>
          <w:lang w:val="en-NZ" w:eastAsia="en-NZ"/>
        </w:rPr>
        <w:t>s</w:t>
      </w:r>
      <w:r w:rsidR="13DAC6B0" w:rsidRPr="00F42709">
        <w:rPr>
          <w:lang w:val="en-NZ" w:eastAsia="en-NZ"/>
        </w:rPr>
        <w:t xml:space="preserve">et </w:t>
      </w:r>
      <w:r w:rsidR="4A148B8D" w:rsidRPr="00F42709">
        <w:rPr>
          <w:lang w:val="en-NZ" w:eastAsia="en-NZ"/>
        </w:rPr>
        <w:t xml:space="preserve">additional </w:t>
      </w:r>
      <w:r w:rsidR="00E42733">
        <w:rPr>
          <w:lang w:val="en-NZ" w:eastAsia="en-NZ"/>
        </w:rPr>
        <w:t>requirements for approval</w:t>
      </w:r>
      <w:r w:rsidR="13DAC6B0" w:rsidRPr="00F42709">
        <w:rPr>
          <w:lang w:val="en-NZ" w:eastAsia="en-NZ"/>
        </w:rPr>
        <w:t xml:space="preserve"> as a smoked tobacco retailer in regulations</w:t>
      </w:r>
      <w:r w:rsidR="001C7DFE">
        <w:rPr>
          <w:lang w:val="en-NZ" w:eastAsia="en-NZ"/>
        </w:rPr>
        <w:t xml:space="preserve">, as detailed in table </w:t>
      </w:r>
      <w:r w:rsidR="0073314B">
        <w:rPr>
          <w:lang w:val="en-NZ" w:eastAsia="en-NZ"/>
        </w:rPr>
        <w:t>5</w:t>
      </w:r>
      <w:r w:rsidR="001C7DFE">
        <w:rPr>
          <w:lang w:val="en-NZ" w:eastAsia="en-NZ"/>
        </w:rPr>
        <w:t>.</w:t>
      </w:r>
    </w:p>
    <w:p w14:paraId="240E119E" w14:textId="75C20F2D" w:rsidR="00C822F7" w:rsidRPr="00F42709" w:rsidRDefault="00C822F7" w:rsidP="001E7CF5">
      <w:pPr>
        <w:spacing w:before="120" w:after="120" w:line="240" w:lineRule="auto"/>
        <w:ind w:left="426"/>
        <w:rPr>
          <w:lang w:val="en-NZ" w:eastAsia="en-NZ"/>
        </w:rPr>
      </w:pPr>
      <w:r w:rsidRPr="00F42709">
        <w:rPr>
          <w:lang w:val="en-NZ" w:eastAsia="en-NZ"/>
        </w:rPr>
        <w:t>This option has been refined following consultation to</w:t>
      </w:r>
      <w:r w:rsidR="00943766">
        <w:rPr>
          <w:lang w:val="en-NZ" w:eastAsia="en-NZ"/>
        </w:rPr>
        <w:t xml:space="preserve"> </w:t>
      </w:r>
      <w:r w:rsidR="006165D6">
        <w:rPr>
          <w:lang w:val="en-NZ" w:eastAsia="en-NZ"/>
        </w:rPr>
        <w:t xml:space="preserve">include </w:t>
      </w:r>
      <w:r w:rsidR="0079691C">
        <w:rPr>
          <w:lang w:val="en-NZ" w:eastAsia="en-NZ"/>
        </w:rPr>
        <w:t>a 7-ye</w:t>
      </w:r>
      <w:r w:rsidR="00B44F91">
        <w:rPr>
          <w:lang w:val="en-NZ" w:eastAsia="en-NZ"/>
        </w:rPr>
        <w:t>a</w:t>
      </w:r>
      <w:r w:rsidR="0079691C">
        <w:rPr>
          <w:lang w:val="en-NZ" w:eastAsia="en-NZ"/>
        </w:rPr>
        <w:t xml:space="preserve">r </w:t>
      </w:r>
      <w:r w:rsidR="00B44F91">
        <w:rPr>
          <w:lang w:val="en-NZ" w:eastAsia="en-NZ"/>
        </w:rPr>
        <w:t>timeframe for convictions in ‘fit and prop</w:t>
      </w:r>
      <w:r w:rsidR="00D86EAE">
        <w:rPr>
          <w:lang w:val="en-NZ" w:eastAsia="en-NZ"/>
        </w:rPr>
        <w:t>er person’ requirements</w:t>
      </w:r>
      <w:r w:rsidR="003C7200">
        <w:rPr>
          <w:lang w:val="en-NZ" w:eastAsia="en-NZ"/>
        </w:rPr>
        <w:t>.</w:t>
      </w:r>
    </w:p>
    <w:p w14:paraId="740E87A8" w14:textId="64A054E5" w:rsidR="00E17046" w:rsidRDefault="4F617AB9" w:rsidP="00131678">
      <w:pPr>
        <w:pStyle w:val="ListParagraph"/>
        <w:numPr>
          <w:ilvl w:val="1"/>
          <w:numId w:val="7"/>
        </w:numPr>
        <w:spacing w:before="120" w:after="120"/>
        <w:ind w:left="426" w:hanging="426"/>
        <w:rPr>
          <w:lang w:val="en-NZ" w:eastAsia="en-NZ"/>
        </w:rPr>
      </w:pPr>
      <w:r w:rsidRPr="008E7DD6">
        <w:rPr>
          <w:lang w:val="en-NZ" w:eastAsia="en-NZ"/>
        </w:rPr>
        <w:t>s</w:t>
      </w:r>
      <w:r w:rsidR="031B26A4" w:rsidRPr="008E7DD6">
        <w:rPr>
          <w:lang w:val="en-NZ" w:eastAsia="en-NZ"/>
        </w:rPr>
        <w:t>et</w:t>
      </w:r>
      <w:r w:rsidR="031B26A4" w:rsidRPr="59D4D97B">
        <w:rPr>
          <w:lang w:val="en-NZ" w:eastAsia="en-NZ"/>
        </w:rPr>
        <w:t xml:space="preserve"> decision</w:t>
      </w:r>
      <w:r w:rsidR="00075F86">
        <w:rPr>
          <w:lang w:val="en-NZ" w:eastAsia="en-NZ"/>
        </w:rPr>
        <w:t>-</w:t>
      </w:r>
      <w:r w:rsidR="031B26A4" w:rsidRPr="59D4D97B">
        <w:rPr>
          <w:lang w:val="en-NZ" w:eastAsia="en-NZ"/>
        </w:rPr>
        <w:t>making criteria to rank applicants for smoked tobacco in regulations</w:t>
      </w:r>
      <w:r w:rsidR="5C6B4204" w:rsidRPr="1B502AF9">
        <w:rPr>
          <w:lang w:val="en-NZ" w:eastAsia="en-NZ"/>
        </w:rPr>
        <w:t xml:space="preserve"> </w:t>
      </w:r>
      <w:r w:rsidR="00075F86">
        <w:rPr>
          <w:lang w:val="en-NZ" w:eastAsia="en-NZ"/>
        </w:rPr>
        <w:t>as detailed in table</w:t>
      </w:r>
      <w:r w:rsidR="006E164C">
        <w:rPr>
          <w:lang w:val="en-NZ" w:eastAsia="en-NZ"/>
        </w:rPr>
        <w:t xml:space="preserve"> 7</w:t>
      </w:r>
      <w:r w:rsidR="00075F86">
        <w:rPr>
          <w:lang w:val="en-NZ" w:eastAsia="en-NZ"/>
        </w:rPr>
        <w:t>.</w:t>
      </w:r>
    </w:p>
    <w:p w14:paraId="34FCD5AB" w14:textId="789DED07" w:rsidR="00075F86" w:rsidRPr="00075F86" w:rsidRDefault="00075F86" w:rsidP="001E7CF5">
      <w:pPr>
        <w:spacing w:before="120" w:after="120" w:line="240" w:lineRule="auto"/>
        <w:ind w:left="426"/>
        <w:rPr>
          <w:lang w:val="en-NZ" w:eastAsia="en-NZ"/>
        </w:rPr>
      </w:pPr>
      <w:r w:rsidRPr="00075F86">
        <w:rPr>
          <w:lang w:val="en-NZ" w:eastAsia="en-NZ"/>
        </w:rPr>
        <w:t xml:space="preserve">This option has been refined following consultation to </w:t>
      </w:r>
      <w:r w:rsidR="00116808">
        <w:rPr>
          <w:lang w:val="en-NZ" w:eastAsia="en-NZ"/>
        </w:rPr>
        <w:t>remove reference to grocery or convenience store items</w:t>
      </w:r>
      <w:r w:rsidR="00651CB0">
        <w:rPr>
          <w:lang w:val="en-NZ" w:eastAsia="en-NZ"/>
        </w:rPr>
        <w:t xml:space="preserve"> and </w:t>
      </w:r>
      <w:r w:rsidR="00DF543E">
        <w:rPr>
          <w:lang w:val="en-NZ" w:eastAsia="en-NZ"/>
        </w:rPr>
        <w:t xml:space="preserve">to respond to concerns that </w:t>
      </w:r>
      <w:r w:rsidR="009118D8">
        <w:rPr>
          <w:lang w:val="en-NZ" w:eastAsia="en-NZ"/>
        </w:rPr>
        <w:t>retailers may be approved where they currently did not exist.</w:t>
      </w:r>
    </w:p>
    <w:p w14:paraId="1F7F7050" w14:textId="391AE3CD" w:rsidR="00AE4224" w:rsidRPr="00E116F1" w:rsidRDefault="005E65EC" w:rsidP="00131678">
      <w:pPr>
        <w:pStyle w:val="ListParagraph"/>
        <w:numPr>
          <w:ilvl w:val="1"/>
          <w:numId w:val="7"/>
        </w:numPr>
        <w:spacing w:before="120" w:after="120"/>
        <w:ind w:left="426" w:hanging="426"/>
        <w:rPr>
          <w:lang w:val="en-NZ" w:eastAsia="en-NZ"/>
        </w:rPr>
      </w:pPr>
      <w:r w:rsidRPr="00E116F1">
        <w:rPr>
          <w:lang w:val="en-NZ" w:eastAsia="en-NZ"/>
        </w:rPr>
        <w:t>set the full range of proposed product requirement in regulations</w:t>
      </w:r>
      <w:r w:rsidR="00AE4224" w:rsidRPr="00E116F1">
        <w:rPr>
          <w:lang w:val="en-NZ" w:eastAsia="en-NZ"/>
        </w:rPr>
        <w:t xml:space="preserve">, as detailed in table </w:t>
      </w:r>
      <w:r w:rsidR="009A6E00">
        <w:rPr>
          <w:lang w:val="en-NZ" w:eastAsia="en-NZ"/>
        </w:rPr>
        <w:t>9</w:t>
      </w:r>
      <w:r w:rsidR="00AE4224" w:rsidRPr="00E116F1">
        <w:rPr>
          <w:lang w:val="en-NZ" w:eastAsia="en-NZ"/>
        </w:rPr>
        <w:t>.</w:t>
      </w:r>
    </w:p>
    <w:p w14:paraId="66CA13A8" w14:textId="39708A2F" w:rsidR="00AE4224" w:rsidRPr="00AE4224" w:rsidRDefault="00AE4224" w:rsidP="001E7CF5">
      <w:pPr>
        <w:spacing w:before="120" w:after="120"/>
        <w:ind w:left="426"/>
        <w:rPr>
          <w:lang w:val="en-NZ" w:eastAsia="en-NZ"/>
        </w:rPr>
      </w:pPr>
      <w:r w:rsidRPr="00F42709">
        <w:rPr>
          <w:lang w:val="en-NZ" w:eastAsia="en-NZ"/>
        </w:rPr>
        <w:t>This option has been refined following consultation to</w:t>
      </w:r>
      <w:r w:rsidR="00DE56DB">
        <w:rPr>
          <w:lang w:val="en-NZ" w:eastAsia="en-NZ"/>
        </w:rPr>
        <w:t xml:space="preserve"> allow some variation in the testing methods for low nicotine smoked tobacco</w:t>
      </w:r>
      <w:r w:rsidR="00283F22">
        <w:rPr>
          <w:lang w:val="en-NZ" w:eastAsia="en-NZ"/>
        </w:rPr>
        <w:t>.</w:t>
      </w:r>
    </w:p>
    <w:p w14:paraId="039BA534" w14:textId="7FA22457" w:rsidR="00153100" w:rsidRDefault="00283F22" w:rsidP="00131678">
      <w:pPr>
        <w:pStyle w:val="ListParagraph"/>
        <w:numPr>
          <w:ilvl w:val="1"/>
          <w:numId w:val="7"/>
        </w:numPr>
        <w:spacing w:before="120" w:after="120"/>
        <w:ind w:left="426" w:hanging="426"/>
        <w:rPr>
          <w:lang w:val="en-NZ" w:eastAsia="en-NZ"/>
        </w:rPr>
      </w:pPr>
      <w:r>
        <w:rPr>
          <w:lang w:val="en-NZ" w:eastAsia="en-NZ"/>
        </w:rPr>
        <w:t>set the level of</w:t>
      </w:r>
      <w:r w:rsidR="2DE2DC74" w:rsidRPr="1B502AF9">
        <w:rPr>
          <w:lang w:val="en-NZ" w:eastAsia="en-NZ"/>
        </w:rPr>
        <w:t xml:space="preserve"> cost-recovery fees </w:t>
      </w:r>
      <w:r>
        <w:rPr>
          <w:lang w:val="en-NZ" w:eastAsia="en-NZ"/>
        </w:rPr>
        <w:t>in</w:t>
      </w:r>
      <w:r w:rsidRPr="1B502AF9">
        <w:rPr>
          <w:lang w:val="en-NZ" w:eastAsia="en-NZ"/>
        </w:rPr>
        <w:t xml:space="preserve"> </w:t>
      </w:r>
      <w:r w:rsidR="2DE2DC74" w:rsidRPr="1B502AF9">
        <w:rPr>
          <w:lang w:val="en-NZ" w:eastAsia="en-NZ"/>
        </w:rPr>
        <w:t>regulations</w:t>
      </w:r>
      <w:r w:rsidR="318668F0" w:rsidRPr="1B502AF9">
        <w:rPr>
          <w:lang w:val="en-NZ" w:eastAsia="en-NZ"/>
        </w:rPr>
        <w:t>,</w:t>
      </w:r>
      <w:r>
        <w:rPr>
          <w:lang w:val="en-NZ" w:eastAsia="en-NZ"/>
        </w:rPr>
        <w:t xml:space="preserve"> as detailed in table </w:t>
      </w:r>
      <w:r w:rsidR="009A6E00">
        <w:rPr>
          <w:lang w:val="en-NZ" w:eastAsia="en-NZ"/>
        </w:rPr>
        <w:t>2</w:t>
      </w:r>
      <w:r w:rsidR="00E16279">
        <w:rPr>
          <w:lang w:val="en-NZ" w:eastAsia="en-NZ"/>
        </w:rPr>
        <w:t>.</w:t>
      </w:r>
    </w:p>
    <w:p w14:paraId="39C67100" w14:textId="44CB8A3C" w:rsidR="00E16279" w:rsidRPr="00E16279" w:rsidRDefault="00E16279" w:rsidP="001E7CF5">
      <w:pPr>
        <w:spacing w:before="120" w:after="120"/>
        <w:ind w:left="426"/>
        <w:rPr>
          <w:lang w:val="en-NZ" w:eastAsia="en-NZ"/>
        </w:rPr>
      </w:pPr>
      <w:r w:rsidRPr="00075F86">
        <w:rPr>
          <w:lang w:val="en-NZ" w:eastAsia="en-NZ"/>
        </w:rPr>
        <w:t>This option has been refined following consultation to</w:t>
      </w:r>
      <w:r w:rsidR="00D2707A">
        <w:rPr>
          <w:lang w:val="en-NZ" w:eastAsia="en-NZ"/>
        </w:rPr>
        <w:t xml:space="preserve"> </w:t>
      </w:r>
      <w:r w:rsidR="003F7FD8" w:rsidRPr="0036794B">
        <w:rPr>
          <w:rFonts w:cs="Arial"/>
        </w:rPr>
        <w:t xml:space="preserve">change the retail application fee </w:t>
      </w:r>
      <w:r w:rsidR="003F7FD8" w:rsidRPr="10649395">
        <w:rPr>
          <w:rFonts w:cs="Arial"/>
        </w:rPr>
        <w:t>to $1475</w:t>
      </w:r>
      <w:r w:rsidR="003F7FD8">
        <w:rPr>
          <w:rFonts w:cs="Arial"/>
        </w:rPr>
        <w:t>.</w:t>
      </w:r>
    </w:p>
    <w:p w14:paraId="591808CD" w14:textId="45EA8924" w:rsidR="00612BFF" w:rsidRPr="001D5010" w:rsidRDefault="50EC485C" w:rsidP="00131678">
      <w:pPr>
        <w:pStyle w:val="ListParagraph"/>
        <w:numPr>
          <w:ilvl w:val="1"/>
          <w:numId w:val="7"/>
        </w:numPr>
        <w:spacing w:before="120" w:after="120"/>
        <w:ind w:left="426" w:hanging="426"/>
        <w:rPr>
          <w:lang w:val="en-NZ" w:eastAsia="en-NZ"/>
        </w:rPr>
      </w:pPr>
      <w:r w:rsidRPr="59D4D97B">
        <w:rPr>
          <w:lang w:val="en-NZ" w:eastAsia="en-NZ"/>
        </w:rPr>
        <w:t>s</w:t>
      </w:r>
      <w:r w:rsidR="2DE2DC74" w:rsidRPr="59D4D97B">
        <w:rPr>
          <w:lang w:val="en-NZ" w:eastAsia="en-NZ"/>
        </w:rPr>
        <w:t>et out</w:t>
      </w:r>
      <w:r w:rsidR="29B75525" w:rsidRPr="59D4D97B">
        <w:rPr>
          <w:lang w:val="en-NZ" w:eastAsia="en-NZ"/>
        </w:rPr>
        <w:t xml:space="preserve"> </w:t>
      </w:r>
      <w:r w:rsidR="001154A5">
        <w:rPr>
          <w:lang w:val="en-NZ" w:eastAsia="en-NZ"/>
        </w:rPr>
        <w:t xml:space="preserve">requirements in regulations that </w:t>
      </w:r>
      <w:r w:rsidR="001D5010" w:rsidRPr="007D16B3">
        <w:rPr>
          <w:lang w:val="en-NZ"/>
        </w:rPr>
        <w:t>distributors</w:t>
      </w:r>
      <w:r w:rsidR="001154A5" w:rsidRPr="007D16B3">
        <w:rPr>
          <w:lang w:val="en-NZ"/>
        </w:rPr>
        <w:t xml:space="preserve"> of smoked tobacco products</w:t>
      </w:r>
      <w:r w:rsidR="00350F3D" w:rsidRPr="007D16B3">
        <w:rPr>
          <w:lang w:val="en-NZ"/>
        </w:rPr>
        <w:t xml:space="preserve"> (and retailers of notifiable products, including vapes) must provide</w:t>
      </w:r>
      <w:r w:rsidR="001D5010" w:rsidRPr="007D16B3">
        <w:rPr>
          <w:lang w:val="en-NZ"/>
        </w:rPr>
        <w:t>, on an annual basis, their contact details (including name, business name, company number/New Zealand business number, address, phone numbers and email addresses) when they register on Manatū Hauora’s database</w:t>
      </w:r>
      <w:r w:rsidR="00345AD4" w:rsidRPr="007D16B3">
        <w:rPr>
          <w:lang w:val="en-NZ"/>
        </w:rPr>
        <w:t>.</w:t>
      </w:r>
    </w:p>
    <w:p w14:paraId="49F6ED0C" w14:textId="02884BE5" w:rsidR="00EA680B" w:rsidRDefault="00D72775" w:rsidP="001E7CF5">
      <w:pPr>
        <w:spacing w:before="120" w:after="120" w:line="240" w:lineRule="auto"/>
        <w:rPr>
          <w:color w:val="000000" w:themeColor="text1"/>
          <w:lang w:val="en-NZ"/>
        </w:rPr>
      </w:pPr>
      <w:r w:rsidRPr="58911DBF">
        <w:rPr>
          <w:color w:val="000000" w:themeColor="text1"/>
          <w:lang w:val="en-NZ"/>
        </w:rPr>
        <w:t xml:space="preserve">These regulations will support </w:t>
      </w:r>
      <w:r w:rsidR="00DD0D9A">
        <w:rPr>
          <w:color w:val="000000" w:themeColor="text1"/>
          <w:lang w:val="en-NZ"/>
        </w:rPr>
        <w:t xml:space="preserve">the successful implementation </w:t>
      </w:r>
      <w:r w:rsidR="00A933AD">
        <w:rPr>
          <w:color w:val="000000" w:themeColor="text1"/>
          <w:lang w:val="en-NZ"/>
        </w:rPr>
        <w:t xml:space="preserve">of Smokefree Act’s objectives </w:t>
      </w:r>
      <w:r w:rsidR="009B06AD">
        <w:rPr>
          <w:color w:val="000000" w:themeColor="text1"/>
          <w:lang w:val="en-NZ"/>
        </w:rPr>
        <w:t xml:space="preserve">as well as </w:t>
      </w:r>
      <w:r w:rsidRPr="58911DBF">
        <w:rPr>
          <w:color w:val="000000" w:themeColor="text1"/>
          <w:lang w:val="en-NZ"/>
        </w:rPr>
        <w:t xml:space="preserve">the Crown’s Te Tiriti </w:t>
      </w:r>
      <w:r w:rsidR="5D6770C7" w:rsidRPr="58911DBF">
        <w:rPr>
          <w:color w:val="000000" w:themeColor="text1"/>
          <w:lang w:val="en-NZ"/>
        </w:rPr>
        <w:t xml:space="preserve">o Waitangi </w:t>
      </w:r>
      <w:r w:rsidRPr="58911DBF">
        <w:rPr>
          <w:color w:val="000000" w:themeColor="text1"/>
          <w:lang w:val="en-NZ"/>
        </w:rPr>
        <w:t>obligations by removing the addictiveness of smoked tobacco, and empowering smokers with the choice to continue smoking, quit, or switch to a less harmful alternative.</w:t>
      </w:r>
    </w:p>
    <w:p w14:paraId="4DB2A1C4" w14:textId="77777777" w:rsidR="00D63EE1" w:rsidRDefault="00D63EE1" w:rsidP="005D6D2E">
      <w:pPr>
        <w:spacing w:line="240" w:lineRule="auto"/>
        <w:rPr>
          <w:color w:val="000000" w:themeColor="text1"/>
          <w:lang w:val="en-NZ"/>
        </w:rPr>
      </w:pPr>
    </w:p>
    <w:p w14:paraId="3DF02191" w14:textId="77777777" w:rsidR="00D63EE1" w:rsidRDefault="00D63EE1" w:rsidP="005D6D2E">
      <w:pPr>
        <w:spacing w:line="240" w:lineRule="auto"/>
        <w:rPr>
          <w:color w:val="000000" w:themeColor="text1"/>
          <w:lang w:val="en-NZ"/>
        </w:rPr>
      </w:pPr>
    </w:p>
    <w:p w14:paraId="20D18F2A" w14:textId="77777777" w:rsidR="00D63EE1" w:rsidRDefault="00D63EE1" w:rsidP="005D6D2E">
      <w:pPr>
        <w:spacing w:line="240" w:lineRule="auto"/>
        <w:rPr>
          <w:color w:val="000000" w:themeColor="text1"/>
          <w:lang w:val="en-NZ"/>
        </w:rPr>
      </w:pPr>
    </w:p>
    <w:p w14:paraId="6F5285CB" w14:textId="77777777" w:rsidR="00D63EE1" w:rsidRDefault="00D63EE1" w:rsidP="005D6D2E">
      <w:pPr>
        <w:spacing w:line="240" w:lineRule="auto"/>
        <w:rPr>
          <w:color w:val="000000" w:themeColor="text1"/>
          <w:lang w:val="en-NZ"/>
        </w:rPr>
      </w:pPr>
    </w:p>
    <w:p w14:paraId="790E5C74" w14:textId="77777777" w:rsidR="00D63EE1" w:rsidRDefault="00D63EE1" w:rsidP="005D6D2E">
      <w:pPr>
        <w:spacing w:line="240" w:lineRule="auto"/>
        <w:rPr>
          <w:color w:val="000000" w:themeColor="text1"/>
          <w:lang w:val="en-NZ"/>
        </w:rPr>
      </w:pPr>
    </w:p>
    <w:p w14:paraId="42B3AE33" w14:textId="77777777" w:rsidR="00D63EE1" w:rsidRDefault="00D63EE1" w:rsidP="005D6D2E">
      <w:pPr>
        <w:spacing w:line="240" w:lineRule="auto"/>
        <w:rPr>
          <w:color w:val="000000" w:themeColor="text1"/>
          <w:lang w:val="en-NZ"/>
        </w:rPr>
      </w:pPr>
    </w:p>
    <w:p w14:paraId="55A1E21F" w14:textId="77777777" w:rsidR="00D63EE1" w:rsidRDefault="00D63EE1" w:rsidP="005D6D2E">
      <w:pPr>
        <w:spacing w:line="240" w:lineRule="auto"/>
        <w:rPr>
          <w:color w:val="000000" w:themeColor="text1"/>
          <w:lang w:val="en-NZ"/>
        </w:rPr>
      </w:pPr>
    </w:p>
    <w:p w14:paraId="1C1AE06F" w14:textId="77777777" w:rsidR="001E7CF5" w:rsidRDefault="001E7CF5" w:rsidP="005D6D2E">
      <w:pPr>
        <w:spacing w:line="240" w:lineRule="auto"/>
        <w:rPr>
          <w:color w:val="000000" w:themeColor="text1"/>
          <w:lang w:val="en-NZ"/>
        </w:rPr>
      </w:pPr>
    </w:p>
    <w:p w14:paraId="5B88E180" w14:textId="77777777" w:rsidR="001E7CF5" w:rsidRDefault="001E7CF5" w:rsidP="005D6D2E">
      <w:pPr>
        <w:spacing w:line="240" w:lineRule="auto"/>
        <w:rPr>
          <w:color w:val="000000" w:themeColor="text1"/>
          <w:lang w:val="en-NZ"/>
        </w:rPr>
      </w:pPr>
    </w:p>
    <w:p w14:paraId="66D5C7A5" w14:textId="77777777" w:rsidR="00D63EE1" w:rsidRDefault="00D63EE1" w:rsidP="005D6D2E">
      <w:pPr>
        <w:spacing w:line="240" w:lineRule="auto"/>
        <w:rPr>
          <w:color w:val="000000" w:themeColor="text1"/>
          <w:lang w:val="en-NZ"/>
        </w:rPr>
      </w:pPr>
    </w:p>
    <w:p w14:paraId="19588E73" w14:textId="77777777" w:rsidR="00D63EE1" w:rsidRDefault="00D63EE1" w:rsidP="005D6D2E">
      <w:pPr>
        <w:spacing w:line="240" w:lineRule="auto"/>
        <w:rPr>
          <w:color w:val="000000" w:themeColor="text1"/>
          <w:lang w:val="en-NZ"/>
        </w:rPr>
      </w:pPr>
    </w:p>
    <w:p w14:paraId="70EA84ED" w14:textId="580302CB" w:rsidR="00655D33" w:rsidRPr="00E60F86" w:rsidRDefault="00655D33" w:rsidP="001E7CF5">
      <w:pPr>
        <w:spacing w:before="120" w:after="120" w:line="240" w:lineRule="auto"/>
        <w:rPr>
          <w:b/>
          <w:bCs/>
          <w:color w:val="595959" w:themeColor="text1" w:themeTint="A6"/>
          <w:lang w:val="en-NZ" w:eastAsia="en-NZ"/>
        </w:rPr>
      </w:pPr>
      <w:r w:rsidRPr="00E60F86">
        <w:rPr>
          <w:b/>
          <w:bCs/>
          <w:color w:val="595959" w:themeColor="text1" w:themeTint="A6"/>
          <w:lang w:val="en-NZ" w:eastAsia="en-NZ"/>
        </w:rPr>
        <w:t>Youth vaping</w:t>
      </w:r>
    </w:p>
    <w:p w14:paraId="1E4E41D7" w14:textId="42206C60" w:rsidR="00042910" w:rsidRDefault="00947471" w:rsidP="001E7CF5">
      <w:pPr>
        <w:spacing w:before="120" w:after="120" w:line="240" w:lineRule="auto"/>
        <w:rPr>
          <w:lang w:val="en-NZ" w:eastAsia="en-NZ"/>
        </w:rPr>
      </w:pPr>
      <w:r>
        <w:rPr>
          <w:lang w:val="en-NZ" w:eastAsia="en-NZ"/>
        </w:rPr>
        <w:t>The Ministry’s</w:t>
      </w:r>
      <w:r w:rsidR="00042910">
        <w:rPr>
          <w:lang w:val="en-NZ" w:eastAsia="en-NZ"/>
        </w:rPr>
        <w:t xml:space="preserve"> p</w:t>
      </w:r>
      <w:r w:rsidR="00042910" w:rsidRPr="00CC4896">
        <w:rPr>
          <w:lang w:val="en-NZ" w:eastAsia="en-NZ"/>
        </w:rPr>
        <w:t>referred option</w:t>
      </w:r>
      <w:r w:rsidR="00042910">
        <w:rPr>
          <w:lang w:val="en-NZ" w:eastAsia="en-NZ"/>
        </w:rPr>
        <w:t>s to strengthen vaping regulations are</w:t>
      </w:r>
      <w:r w:rsidR="00042910" w:rsidRPr="00CC4896">
        <w:rPr>
          <w:lang w:val="en-NZ" w:eastAsia="en-NZ"/>
        </w:rPr>
        <w:t xml:space="preserve"> set out below. </w:t>
      </w:r>
      <w:r w:rsidR="00042910">
        <w:rPr>
          <w:lang w:val="en-NZ" w:eastAsia="en-NZ"/>
        </w:rPr>
        <w:t>These have been refined following public consultation and are intended to reduce the appeal of vape products to youth.</w:t>
      </w:r>
    </w:p>
    <w:p w14:paraId="3A78F79D" w14:textId="77777777" w:rsidR="00C34026" w:rsidRDefault="00887D0D" w:rsidP="001E7CF5">
      <w:pPr>
        <w:spacing w:before="120" w:after="120" w:line="240" w:lineRule="auto"/>
        <w:rPr>
          <w:lang w:val="en-NZ" w:eastAsia="en-NZ"/>
        </w:rPr>
      </w:pPr>
      <w:r>
        <w:rPr>
          <w:lang w:val="en-NZ" w:eastAsia="en-NZ"/>
        </w:rPr>
        <w:t>The preferred options are:</w:t>
      </w:r>
    </w:p>
    <w:p w14:paraId="73BA5064" w14:textId="5B7DCDEC" w:rsidR="003D0D82" w:rsidRDefault="1F7FFC36" w:rsidP="006E7DA7">
      <w:pPr>
        <w:pStyle w:val="ListParagraph"/>
        <w:numPr>
          <w:ilvl w:val="0"/>
          <w:numId w:val="22"/>
        </w:numPr>
        <w:spacing w:before="120" w:after="120" w:line="240" w:lineRule="auto"/>
        <w:ind w:left="426" w:hanging="426"/>
        <w:rPr>
          <w:lang w:val="en-NZ" w:eastAsia="en-NZ"/>
        </w:rPr>
      </w:pPr>
      <w:r w:rsidRPr="00535BBD">
        <w:rPr>
          <w:lang w:val="en-NZ" w:eastAsia="en-NZ"/>
        </w:rPr>
        <w:t>limiting the way flavours are described on packaging and products to accurately reflect their actual flavour.</w:t>
      </w:r>
      <w:r w:rsidR="04C84BCF" w:rsidRPr="00535BBD">
        <w:rPr>
          <w:lang w:val="en-NZ" w:eastAsia="en-NZ"/>
        </w:rPr>
        <w:t xml:space="preserve"> P</w:t>
      </w:r>
      <w:r w:rsidR="198DA9BD" w:rsidRPr="00535BBD">
        <w:rPr>
          <w:lang w:val="en-NZ" w:eastAsia="en-NZ"/>
        </w:rPr>
        <w:t>e</w:t>
      </w:r>
      <w:r w:rsidRPr="00535BBD">
        <w:rPr>
          <w:lang w:val="en-NZ" w:eastAsia="en-NZ"/>
        </w:rPr>
        <w:t xml:space="preserve">rmitted flavour descriptions </w:t>
      </w:r>
      <w:r w:rsidR="4D61174D" w:rsidRPr="00535BBD">
        <w:rPr>
          <w:lang w:val="en-NZ" w:eastAsia="en-NZ"/>
        </w:rPr>
        <w:t>will be</w:t>
      </w:r>
      <w:r w:rsidRPr="00535BBD">
        <w:rPr>
          <w:lang w:val="en-NZ" w:eastAsia="en-NZ"/>
        </w:rPr>
        <w:t xml:space="preserve"> </w:t>
      </w:r>
      <w:r w:rsidR="5D487302" w:rsidRPr="00535BBD">
        <w:rPr>
          <w:lang w:val="en-NZ" w:eastAsia="en-NZ"/>
        </w:rPr>
        <w:t>prescribed</w:t>
      </w:r>
      <w:r w:rsidR="0BEC4B43" w:rsidRPr="00535BBD">
        <w:rPr>
          <w:lang w:val="en-NZ" w:eastAsia="en-NZ"/>
        </w:rPr>
        <w:t xml:space="preserve"> </w:t>
      </w:r>
      <w:r w:rsidRPr="00535BBD">
        <w:rPr>
          <w:lang w:val="en-NZ" w:eastAsia="en-NZ"/>
        </w:rPr>
        <w:t xml:space="preserve">on </w:t>
      </w:r>
      <w:r w:rsidR="3B2564D9" w:rsidRPr="00535BBD">
        <w:rPr>
          <w:lang w:val="en-NZ" w:eastAsia="en-NZ"/>
        </w:rPr>
        <w:t>the Ministry’s</w:t>
      </w:r>
      <w:r w:rsidRPr="00535BBD">
        <w:rPr>
          <w:lang w:val="en-NZ" w:eastAsia="en-NZ"/>
        </w:rPr>
        <w:t xml:space="preserve"> </w:t>
      </w:r>
      <w:r w:rsidR="6624D73C" w:rsidRPr="00535BBD">
        <w:rPr>
          <w:lang w:val="en-NZ" w:eastAsia="en-NZ"/>
        </w:rPr>
        <w:t>web</w:t>
      </w:r>
      <w:r w:rsidR="4992E38A" w:rsidRPr="00535BBD">
        <w:rPr>
          <w:lang w:val="en-NZ" w:eastAsia="en-NZ"/>
        </w:rPr>
        <w:t>site</w:t>
      </w:r>
      <w:r w:rsidR="003D0D82">
        <w:rPr>
          <w:lang w:val="en-NZ" w:eastAsia="en-NZ"/>
        </w:rPr>
        <w:t>.</w:t>
      </w:r>
    </w:p>
    <w:p w14:paraId="0451BC31" w14:textId="77777777" w:rsidR="003D0D82" w:rsidRDefault="003D0D82" w:rsidP="003D0D82">
      <w:pPr>
        <w:pStyle w:val="ListParagraph"/>
        <w:spacing w:before="120" w:after="120" w:line="240" w:lineRule="auto"/>
        <w:ind w:left="426"/>
        <w:rPr>
          <w:lang w:val="en-NZ" w:eastAsia="en-NZ"/>
        </w:rPr>
      </w:pPr>
    </w:p>
    <w:p w14:paraId="0878EF85" w14:textId="6F7EEF96" w:rsidR="00042910" w:rsidRPr="006E7DA7" w:rsidRDefault="00042910" w:rsidP="003D0D82">
      <w:pPr>
        <w:pStyle w:val="ListParagraph"/>
        <w:numPr>
          <w:ilvl w:val="0"/>
          <w:numId w:val="22"/>
        </w:numPr>
        <w:spacing w:before="120" w:after="120" w:line="240" w:lineRule="auto"/>
        <w:ind w:left="426" w:hanging="426"/>
        <w:rPr>
          <w:lang w:val="en-NZ" w:eastAsia="en-NZ"/>
        </w:rPr>
      </w:pPr>
      <w:r w:rsidRPr="006E7DA7">
        <w:rPr>
          <w:lang w:val="en-NZ" w:eastAsia="en-NZ"/>
        </w:rPr>
        <w:t>amending vaping product safety standards, as follows:</w:t>
      </w:r>
    </w:p>
    <w:tbl>
      <w:tblPr>
        <w:tblStyle w:val="TableGrid"/>
        <w:tblW w:w="8363" w:type="dxa"/>
        <w:tblInd w:w="-5" w:type="dxa"/>
        <w:tblLook w:val="04A0" w:firstRow="1" w:lastRow="0" w:firstColumn="1" w:lastColumn="0" w:noHBand="0" w:noVBand="1"/>
      </w:tblPr>
      <w:tblGrid>
        <w:gridCol w:w="4530"/>
        <w:gridCol w:w="3833"/>
      </w:tblGrid>
      <w:tr w:rsidR="00042910" w:rsidRPr="00E764D5" w14:paraId="19A028A1" w14:textId="77777777" w:rsidTr="006C792E">
        <w:tc>
          <w:tcPr>
            <w:tcW w:w="4530" w:type="dxa"/>
            <w:shd w:val="clear" w:color="auto" w:fill="auto"/>
          </w:tcPr>
          <w:p w14:paraId="22896369" w14:textId="75880974" w:rsidR="00042910" w:rsidRPr="00E60F86" w:rsidRDefault="00951D72" w:rsidP="009016AB">
            <w:pPr>
              <w:spacing w:before="60" w:after="60" w:line="240" w:lineRule="auto"/>
              <w:rPr>
                <w:rStyle w:val="eop"/>
                <w:rFonts w:cs="Arial"/>
                <w:b/>
                <w:bCs/>
              </w:rPr>
            </w:pPr>
            <w:r w:rsidRPr="00F475B4">
              <w:rPr>
                <w:rStyle w:val="eop"/>
                <w:rFonts w:cs="Arial"/>
                <w:b/>
                <w:sz w:val="20"/>
              </w:rPr>
              <w:t>U</w:t>
            </w:r>
            <w:r w:rsidRPr="00E60F86">
              <w:rPr>
                <w:rStyle w:val="eop"/>
                <w:rFonts w:cs="Arial"/>
                <w:b/>
                <w:bCs/>
                <w:sz w:val="20"/>
              </w:rPr>
              <w:t>ser safety mechanisms</w:t>
            </w:r>
          </w:p>
        </w:tc>
        <w:tc>
          <w:tcPr>
            <w:tcW w:w="3833" w:type="dxa"/>
            <w:shd w:val="clear" w:color="auto" w:fill="auto"/>
          </w:tcPr>
          <w:p w14:paraId="0C5B1FA6" w14:textId="30CD1F0B" w:rsidR="00DC5093" w:rsidRPr="00E60F86" w:rsidRDefault="008D46B9" w:rsidP="009016AB">
            <w:pPr>
              <w:pStyle w:val="Bullet"/>
              <w:numPr>
                <w:ilvl w:val="0"/>
                <w:numId w:val="0"/>
              </w:numPr>
              <w:spacing w:before="60" w:after="60"/>
              <w:rPr>
                <w:rStyle w:val="eop"/>
                <w:rFonts w:ascii="Arial" w:hAnsi="Arial" w:cs="Arial"/>
                <w:sz w:val="20"/>
                <w:lang w:val="en-GB"/>
              </w:rPr>
            </w:pPr>
            <w:r>
              <w:rPr>
                <w:rStyle w:val="eop"/>
                <w:rFonts w:ascii="Arial" w:hAnsi="Arial" w:cs="Arial"/>
                <w:sz w:val="20"/>
                <w:lang w:val="en-GB"/>
              </w:rPr>
              <w:t>a</w:t>
            </w:r>
            <w:r>
              <w:rPr>
                <w:rStyle w:val="eop"/>
                <w:rFonts w:ascii="Arial" w:hAnsi="Arial" w:cs="Arial"/>
                <w:lang w:val="en-GB"/>
              </w:rPr>
              <w:t>ll</w:t>
            </w:r>
            <w:r w:rsidR="00DC5093" w:rsidRPr="00E60F86">
              <w:rPr>
                <w:rStyle w:val="eop"/>
                <w:rFonts w:ascii="Arial" w:hAnsi="Arial" w:cs="Arial"/>
                <w:sz w:val="20"/>
                <w:lang w:val="en-GB"/>
              </w:rPr>
              <w:t xml:space="preserve"> vaping products must have a mechanism to prevent the device being activated or accidently operated by a child</w:t>
            </w:r>
          </w:p>
          <w:p w14:paraId="0BB77F6D" w14:textId="4B71A4B5" w:rsidR="00042910" w:rsidRPr="00E764D5" w:rsidRDefault="00042910" w:rsidP="009016AB">
            <w:pPr>
              <w:pStyle w:val="Bullet"/>
              <w:numPr>
                <w:ilvl w:val="0"/>
                <w:numId w:val="0"/>
              </w:numPr>
              <w:spacing w:before="60" w:after="60"/>
              <w:rPr>
                <w:rFonts w:ascii="Arial" w:hAnsi="Arial" w:cs="Arial"/>
                <w:sz w:val="20"/>
              </w:rPr>
            </w:pPr>
          </w:p>
        </w:tc>
      </w:tr>
      <w:tr w:rsidR="00F903D4" w:rsidRPr="00E218CF" w14:paraId="7091FB45" w14:textId="77777777" w:rsidTr="006C792E">
        <w:tc>
          <w:tcPr>
            <w:tcW w:w="4530" w:type="dxa"/>
            <w:shd w:val="clear" w:color="auto" w:fill="auto"/>
          </w:tcPr>
          <w:p w14:paraId="59D52CAB" w14:textId="6360F483" w:rsidR="00F903D4" w:rsidRPr="006C792E" w:rsidRDefault="00F903D4" w:rsidP="009016AB">
            <w:pPr>
              <w:spacing w:before="60" w:after="60" w:line="240" w:lineRule="auto"/>
              <w:rPr>
                <w:rStyle w:val="eop"/>
                <w:rFonts w:cs="Arial"/>
                <w:b/>
                <w:sz w:val="20"/>
                <w:bdr w:val="single" w:sz="4" w:space="0" w:color="auto"/>
              </w:rPr>
            </w:pPr>
            <w:r w:rsidRPr="006F108C">
              <w:rPr>
                <w:rStyle w:val="eop"/>
                <w:rFonts w:cs="Arial"/>
                <w:b/>
                <w:bCs/>
                <w:sz w:val="20"/>
              </w:rPr>
              <w:t>Removable batteries</w:t>
            </w:r>
          </w:p>
        </w:tc>
        <w:tc>
          <w:tcPr>
            <w:tcW w:w="3833" w:type="dxa"/>
            <w:shd w:val="clear" w:color="auto" w:fill="auto"/>
          </w:tcPr>
          <w:p w14:paraId="039A1BA3" w14:textId="0C7CD28A" w:rsidR="003A6260" w:rsidRPr="006F108C" w:rsidRDefault="003A6260" w:rsidP="006F108C">
            <w:pPr>
              <w:pStyle w:val="Bullet"/>
              <w:numPr>
                <w:ilvl w:val="0"/>
                <w:numId w:val="0"/>
              </w:numPr>
              <w:spacing w:before="60" w:after="60"/>
              <w:rPr>
                <w:rStyle w:val="eop"/>
                <w:rFonts w:ascii="Arial" w:hAnsi="Arial" w:cs="Arial"/>
                <w:sz w:val="20"/>
                <w:lang w:val="en-GB"/>
              </w:rPr>
            </w:pPr>
            <w:r w:rsidRPr="006F108C">
              <w:rPr>
                <w:rStyle w:val="eop"/>
                <w:rFonts w:ascii="Arial" w:hAnsi="Arial" w:cs="Arial"/>
                <w:sz w:val="20"/>
                <w:lang w:val="en-GB"/>
              </w:rPr>
              <w:t xml:space="preserve">all vaping devices </w:t>
            </w:r>
            <w:r w:rsidR="00995624" w:rsidRPr="006F108C">
              <w:rPr>
                <w:rStyle w:val="eop"/>
                <w:rFonts w:ascii="Arial" w:hAnsi="Arial" w:cs="Arial"/>
                <w:sz w:val="20"/>
                <w:lang w:val="en-GB"/>
              </w:rPr>
              <w:t>must have</w:t>
            </w:r>
            <w:r w:rsidRPr="006F108C">
              <w:rPr>
                <w:rStyle w:val="eop"/>
                <w:rFonts w:ascii="Arial" w:hAnsi="Arial" w:cs="Arial"/>
                <w:sz w:val="20"/>
                <w:lang w:val="en-GB"/>
              </w:rPr>
              <w:t xml:space="preserve"> a removable battery to enable the battery to be inspected (and therefore prevent risk of battery failure/explosion)</w:t>
            </w:r>
          </w:p>
          <w:p w14:paraId="621F9487" w14:textId="77777777" w:rsidR="00F903D4" w:rsidRPr="006C792E" w:rsidDel="008D46B9" w:rsidRDefault="00F903D4" w:rsidP="009016AB">
            <w:pPr>
              <w:pStyle w:val="Bullet"/>
              <w:numPr>
                <w:ilvl w:val="0"/>
                <w:numId w:val="0"/>
              </w:numPr>
              <w:spacing w:before="60" w:after="60"/>
              <w:rPr>
                <w:rStyle w:val="eop"/>
                <w:rFonts w:ascii="Arial" w:hAnsi="Arial" w:cs="Arial"/>
                <w:b/>
                <w:sz w:val="20"/>
                <w:bdr w:val="single" w:sz="4" w:space="0" w:color="auto"/>
                <w:lang w:val="en-GB"/>
              </w:rPr>
            </w:pPr>
          </w:p>
        </w:tc>
      </w:tr>
      <w:tr w:rsidR="00431D4C" w:rsidRPr="00E764D5" w14:paraId="18AF86A6" w14:textId="77777777" w:rsidTr="006C792E">
        <w:tc>
          <w:tcPr>
            <w:tcW w:w="4530" w:type="dxa"/>
            <w:shd w:val="clear" w:color="auto" w:fill="auto"/>
          </w:tcPr>
          <w:p w14:paraId="30436C86" w14:textId="0EF436CC" w:rsidR="00431D4C" w:rsidRPr="006C792E" w:rsidRDefault="00431D4C" w:rsidP="009016AB">
            <w:pPr>
              <w:spacing w:before="60" w:after="60" w:line="240" w:lineRule="auto"/>
              <w:rPr>
                <w:rStyle w:val="eop"/>
                <w:rFonts w:cs="Arial"/>
                <w:b/>
                <w:bCs/>
                <w:sz w:val="20"/>
              </w:rPr>
            </w:pPr>
            <w:r w:rsidRPr="00E764D5">
              <w:rPr>
                <w:rStyle w:val="eop"/>
                <w:rFonts w:cs="Arial"/>
                <w:b/>
                <w:bCs/>
                <w:sz w:val="20"/>
              </w:rPr>
              <w:t>Substance container labelling</w:t>
            </w:r>
          </w:p>
        </w:tc>
        <w:tc>
          <w:tcPr>
            <w:tcW w:w="3833" w:type="dxa"/>
            <w:shd w:val="clear" w:color="auto" w:fill="auto"/>
          </w:tcPr>
          <w:p w14:paraId="16ECD6CF" w14:textId="77777777" w:rsidR="001D62B5" w:rsidRDefault="001D62B5" w:rsidP="009016AB">
            <w:pPr>
              <w:pStyle w:val="Bullet"/>
              <w:numPr>
                <w:ilvl w:val="0"/>
                <w:numId w:val="0"/>
              </w:numPr>
              <w:spacing w:before="60" w:after="60"/>
              <w:rPr>
                <w:rStyle w:val="eop"/>
                <w:rFonts w:ascii="Arial" w:hAnsi="Arial" w:cs="Arial"/>
                <w:sz w:val="20"/>
                <w:lang w:val="en-GB"/>
              </w:rPr>
            </w:pPr>
            <w:r w:rsidRPr="00E60F86">
              <w:rPr>
                <w:rStyle w:val="eop"/>
                <w:rFonts w:ascii="Arial" w:hAnsi="Arial" w:cs="Arial"/>
                <w:sz w:val="20"/>
                <w:lang w:val="en-GB"/>
              </w:rPr>
              <w:t>all vaping products must have the prescribed labels on substance containers, including single-use devices, where the container may be the device itself</w:t>
            </w:r>
          </w:p>
          <w:p w14:paraId="25A727D3" w14:textId="0394EB8E" w:rsidR="001D62B5" w:rsidRPr="00E764D5" w:rsidRDefault="001D62B5" w:rsidP="009016AB">
            <w:pPr>
              <w:pStyle w:val="Bullet"/>
              <w:numPr>
                <w:ilvl w:val="0"/>
                <w:numId w:val="0"/>
              </w:numPr>
              <w:spacing w:before="60" w:after="60"/>
              <w:rPr>
                <w:sz w:val="20"/>
              </w:rPr>
            </w:pPr>
          </w:p>
        </w:tc>
      </w:tr>
      <w:tr w:rsidR="00431D4C" w:rsidRPr="00E764D5" w14:paraId="24EDEFF7" w14:textId="77777777" w:rsidTr="006C792E">
        <w:tc>
          <w:tcPr>
            <w:tcW w:w="4530" w:type="dxa"/>
            <w:shd w:val="clear" w:color="auto" w:fill="auto"/>
          </w:tcPr>
          <w:p w14:paraId="0EF6EB40" w14:textId="65080FCA" w:rsidR="00431D4C" w:rsidRPr="00E764D5" w:rsidRDefault="00431D4C" w:rsidP="009016AB">
            <w:pPr>
              <w:spacing w:before="60" w:after="60" w:line="240" w:lineRule="auto"/>
              <w:rPr>
                <w:rStyle w:val="eop"/>
                <w:rFonts w:cs="Arial"/>
                <w:b/>
                <w:bCs/>
                <w:sz w:val="20"/>
              </w:rPr>
            </w:pPr>
            <w:r w:rsidRPr="00E764D5">
              <w:rPr>
                <w:rStyle w:val="eop"/>
                <w:rFonts w:cs="Arial"/>
                <w:b/>
                <w:bCs/>
                <w:sz w:val="20"/>
              </w:rPr>
              <w:t>Serial/batch numbers</w:t>
            </w:r>
          </w:p>
        </w:tc>
        <w:tc>
          <w:tcPr>
            <w:tcW w:w="3833" w:type="dxa"/>
            <w:shd w:val="clear" w:color="auto" w:fill="auto"/>
          </w:tcPr>
          <w:p w14:paraId="31ABBFE8" w14:textId="2C4C6426" w:rsidR="00431D4C" w:rsidRPr="00E764D5" w:rsidRDefault="00307571" w:rsidP="009016AB">
            <w:pPr>
              <w:spacing w:before="60" w:after="60" w:line="240" w:lineRule="auto"/>
              <w:rPr>
                <w:rStyle w:val="eop"/>
                <w:rFonts w:cs="Arial"/>
                <w:sz w:val="20"/>
              </w:rPr>
            </w:pPr>
            <w:r w:rsidRPr="00E60F86">
              <w:rPr>
                <w:rStyle w:val="eop"/>
                <w:rFonts w:cs="Arial"/>
                <w:sz w:val="20"/>
              </w:rPr>
              <w:t>single-use vaping devices must have serial/batch numbers on the device to ensure they can be traced in the event of an incident or adverse reaction</w:t>
            </w:r>
          </w:p>
        </w:tc>
      </w:tr>
    </w:tbl>
    <w:p w14:paraId="20CD3C3D" w14:textId="77777777" w:rsidR="00042910" w:rsidRDefault="00042910" w:rsidP="00042910">
      <w:pPr>
        <w:pStyle w:val="ListParagraph"/>
        <w:spacing w:after="0" w:line="240" w:lineRule="auto"/>
        <w:ind w:left="720"/>
        <w:rPr>
          <w:lang w:val="en-NZ" w:eastAsia="en-NZ"/>
        </w:rPr>
      </w:pPr>
    </w:p>
    <w:p w14:paraId="795C9593" w14:textId="59A6B640" w:rsidR="00042910" w:rsidRDefault="00042910" w:rsidP="000E4183">
      <w:pPr>
        <w:pStyle w:val="ListParagraph"/>
        <w:numPr>
          <w:ilvl w:val="0"/>
          <w:numId w:val="22"/>
        </w:numPr>
        <w:spacing w:before="120" w:after="120" w:line="240" w:lineRule="auto"/>
        <w:ind w:left="426" w:hanging="426"/>
        <w:rPr>
          <w:lang w:val="en-NZ" w:eastAsia="en-NZ"/>
        </w:rPr>
      </w:pPr>
      <w:r>
        <w:rPr>
          <w:lang w:val="en-NZ" w:eastAsia="en-NZ"/>
        </w:rPr>
        <w:t xml:space="preserve">reducing the maximum allowable concentration of nicotine salts in </w:t>
      </w:r>
      <w:proofErr w:type="gramStart"/>
      <w:r w:rsidR="00C87B33">
        <w:rPr>
          <w:lang w:val="en-NZ" w:eastAsia="en-NZ"/>
        </w:rPr>
        <w:t>single-use</w:t>
      </w:r>
      <w:proofErr w:type="gramEnd"/>
      <w:r>
        <w:rPr>
          <w:lang w:val="en-NZ" w:eastAsia="en-NZ"/>
        </w:rPr>
        <w:t xml:space="preserve"> vape products to 35mg/mL and requiring the level to be displayed on the label in mg/mL (not as a </w:t>
      </w:r>
      <w:r w:rsidR="008B7786">
        <w:rPr>
          <w:lang w:val="en-NZ" w:eastAsia="en-NZ"/>
        </w:rPr>
        <w:t>percent</w:t>
      </w:r>
      <w:r>
        <w:rPr>
          <w:lang w:val="en-NZ" w:eastAsia="en-NZ"/>
        </w:rPr>
        <w:t xml:space="preserve">age). </w:t>
      </w:r>
    </w:p>
    <w:p w14:paraId="6FE3198B" w14:textId="77777777" w:rsidR="00042910" w:rsidRDefault="00042910" w:rsidP="001E7CF5">
      <w:pPr>
        <w:pStyle w:val="ListParagraph"/>
        <w:spacing w:before="120" w:after="120" w:line="240" w:lineRule="auto"/>
        <w:ind w:left="720"/>
        <w:rPr>
          <w:lang w:val="en-NZ" w:eastAsia="en-NZ"/>
        </w:rPr>
      </w:pPr>
    </w:p>
    <w:p w14:paraId="7BBC29AC" w14:textId="4DB9EABC" w:rsidR="0094621B" w:rsidRDefault="00394160" w:rsidP="00131678">
      <w:pPr>
        <w:pStyle w:val="ListParagraph"/>
        <w:numPr>
          <w:ilvl w:val="0"/>
          <w:numId w:val="22"/>
        </w:numPr>
        <w:spacing w:before="120" w:after="120" w:line="240" w:lineRule="auto"/>
        <w:ind w:left="426" w:hanging="426"/>
        <w:rPr>
          <w:lang w:val="en-NZ" w:eastAsia="en-NZ"/>
        </w:rPr>
      </w:pPr>
      <w:r>
        <w:rPr>
          <w:lang w:val="en-NZ" w:eastAsia="en-NZ"/>
        </w:rPr>
        <w:t>requiring that</w:t>
      </w:r>
      <w:r w:rsidR="004952FE">
        <w:rPr>
          <w:lang w:val="en-NZ" w:eastAsia="en-NZ"/>
        </w:rPr>
        <w:t xml:space="preserve"> </w:t>
      </w:r>
      <w:r w:rsidR="00FA7326">
        <w:rPr>
          <w:lang w:val="en-NZ" w:eastAsia="en-NZ"/>
        </w:rPr>
        <w:t xml:space="preserve">new </w:t>
      </w:r>
      <w:r w:rsidR="004952FE">
        <w:rPr>
          <w:lang w:val="en-NZ" w:eastAsia="en-NZ"/>
        </w:rPr>
        <w:t>SVRs must</w:t>
      </w:r>
      <w:r w:rsidR="0094621B">
        <w:rPr>
          <w:lang w:val="en-NZ" w:eastAsia="en-NZ"/>
        </w:rPr>
        <w:t>:</w:t>
      </w:r>
    </w:p>
    <w:p w14:paraId="640D109F" w14:textId="4846A70D" w:rsidR="006F60FD" w:rsidRDefault="00E52D12" w:rsidP="00131678">
      <w:pPr>
        <w:pStyle w:val="Bullet"/>
        <w:numPr>
          <w:ilvl w:val="0"/>
          <w:numId w:val="23"/>
        </w:numPr>
        <w:spacing w:before="120" w:after="120"/>
        <w:ind w:left="851" w:hanging="425"/>
        <w:rPr>
          <w:rFonts w:ascii="Arial" w:hAnsi="Arial"/>
          <w:sz w:val="22"/>
          <w:lang w:eastAsia="en-NZ"/>
        </w:rPr>
      </w:pPr>
      <w:r w:rsidRPr="00E52D12">
        <w:rPr>
          <w:rFonts w:ascii="Arial" w:hAnsi="Arial"/>
          <w:sz w:val="22"/>
          <w:lang w:eastAsia="en-NZ"/>
        </w:rPr>
        <w:t>be further than</w:t>
      </w:r>
      <w:r>
        <w:rPr>
          <w:rFonts w:ascii="Arial" w:hAnsi="Arial"/>
          <w:sz w:val="22"/>
          <w:lang w:eastAsia="en-NZ"/>
        </w:rPr>
        <w:t xml:space="preserve"> </w:t>
      </w:r>
      <w:r w:rsidR="00F475B4">
        <w:rPr>
          <w:rFonts w:ascii="Arial" w:hAnsi="Arial"/>
          <w:sz w:val="22"/>
          <w:lang w:eastAsia="en-NZ"/>
        </w:rPr>
        <w:t>3</w:t>
      </w:r>
      <w:r w:rsidR="00367A80" w:rsidRPr="00E60F86">
        <w:rPr>
          <w:rFonts w:ascii="Arial" w:hAnsi="Arial"/>
          <w:sz w:val="22"/>
          <w:lang w:eastAsia="en-NZ"/>
        </w:rPr>
        <w:t>00m from the location point for a school on the Minister of Education database</w:t>
      </w:r>
    </w:p>
    <w:p w14:paraId="3BD38EEF" w14:textId="111451EB" w:rsidR="0085714D" w:rsidRDefault="00E52D12" w:rsidP="00131678">
      <w:pPr>
        <w:pStyle w:val="Bullet"/>
        <w:numPr>
          <w:ilvl w:val="0"/>
          <w:numId w:val="23"/>
        </w:numPr>
        <w:spacing w:before="120" w:after="120"/>
        <w:ind w:left="851" w:hanging="425"/>
        <w:rPr>
          <w:rFonts w:ascii="Arial" w:hAnsi="Arial"/>
          <w:sz w:val="22"/>
          <w:lang w:eastAsia="en-NZ"/>
        </w:rPr>
      </w:pPr>
      <w:r w:rsidRPr="00E52D12">
        <w:rPr>
          <w:rFonts w:ascii="Arial" w:hAnsi="Arial"/>
          <w:sz w:val="22"/>
          <w:lang w:eastAsia="en-NZ"/>
        </w:rPr>
        <w:t xml:space="preserve">be further than 300m from a Marae as listed on the Te </w:t>
      </w:r>
      <w:proofErr w:type="spellStart"/>
      <w:r w:rsidRPr="00E52D12">
        <w:rPr>
          <w:rFonts w:ascii="Arial" w:hAnsi="Arial"/>
          <w:sz w:val="22"/>
          <w:lang w:eastAsia="en-NZ"/>
        </w:rPr>
        <w:t>Pun</w:t>
      </w:r>
      <w:r w:rsidR="005D73A1">
        <w:rPr>
          <w:rFonts w:ascii="Arial" w:hAnsi="Arial"/>
          <w:sz w:val="22"/>
          <w:lang w:eastAsia="en-NZ"/>
        </w:rPr>
        <w:t>i</w:t>
      </w:r>
      <w:proofErr w:type="spellEnd"/>
      <w:r w:rsidRPr="00E52D12">
        <w:rPr>
          <w:rFonts w:ascii="Arial" w:hAnsi="Arial"/>
          <w:sz w:val="22"/>
          <w:lang w:eastAsia="en-NZ"/>
        </w:rPr>
        <w:t xml:space="preserve"> Kokiri website</w:t>
      </w:r>
    </w:p>
    <w:p w14:paraId="215B531C" w14:textId="54774BEC" w:rsidR="00DC5914" w:rsidRDefault="00DC5914" w:rsidP="00131678">
      <w:pPr>
        <w:pStyle w:val="Bullet"/>
        <w:numPr>
          <w:ilvl w:val="0"/>
          <w:numId w:val="23"/>
        </w:numPr>
        <w:spacing w:before="120" w:after="120"/>
        <w:ind w:left="851" w:hanging="425"/>
        <w:rPr>
          <w:rFonts w:ascii="Arial" w:hAnsi="Arial"/>
          <w:sz w:val="22"/>
          <w:lang w:eastAsia="en-NZ"/>
        </w:rPr>
      </w:pPr>
      <w:r>
        <w:rPr>
          <w:rFonts w:ascii="Arial" w:hAnsi="Arial"/>
          <w:sz w:val="22"/>
          <w:lang w:eastAsia="en-NZ"/>
        </w:rPr>
        <w:t>understand their obligations under the Smokefree Act</w:t>
      </w:r>
      <w:r w:rsidR="00C404B3">
        <w:rPr>
          <w:rFonts w:ascii="Arial" w:hAnsi="Arial"/>
          <w:sz w:val="22"/>
          <w:lang w:eastAsia="en-NZ"/>
        </w:rPr>
        <w:t>.</w:t>
      </w:r>
    </w:p>
    <w:p w14:paraId="7EBBD998" w14:textId="27A80E77" w:rsidR="00042910" w:rsidRDefault="00042910" w:rsidP="001E7CF5">
      <w:pPr>
        <w:spacing w:before="120" w:after="120" w:line="240" w:lineRule="auto"/>
        <w:ind w:left="426"/>
        <w:rPr>
          <w:lang w:val="en-NZ" w:eastAsia="en-NZ"/>
        </w:rPr>
      </w:pPr>
      <w:r w:rsidRPr="00004100">
        <w:rPr>
          <w:lang w:val="en-NZ" w:eastAsia="en-NZ"/>
        </w:rPr>
        <w:t>This option has been refined following consultatio</w:t>
      </w:r>
      <w:r w:rsidR="003A1765">
        <w:rPr>
          <w:lang w:val="en-NZ" w:eastAsia="en-NZ"/>
        </w:rPr>
        <w:t>n</w:t>
      </w:r>
      <w:r w:rsidR="00446E19">
        <w:rPr>
          <w:lang w:val="en-NZ" w:eastAsia="en-NZ"/>
        </w:rPr>
        <w:t xml:space="preserve"> to </w:t>
      </w:r>
      <w:r w:rsidR="00446E19" w:rsidRPr="00004100">
        <w:rPr>
          <w:lang w:val="en-NZ" w:eastAsia="en-NZ"/>
        </w:rPr>
        <w:t xml:space="preserve">reflect general concerns around retailers’ understanding of their obligations under the Smokefree Act and </w:t>
      </w:r>
      <w:r w:rsidR="00420D3A">
        <w:rPr>
          <w:lang w:val="en-NZ" w:eastAsia="en-NZ"/>
        </w:rPr>
        <w:t>to</w:t>
      </w:r>
      <w:r w:rsidR="003A1765">
        <w:rPr>
          <w:lang w:val="en-NZ" w:eastAsia="en-NZ"/>
        </w:rPr>
        <w:t xml:space="preserve"> </w:t>
      </w:r>
      <w:r w:rsidR="00420D3A">
        <w:rPr>
          <w:lang w:val="en-NZ" w:eastAsia="en-NZ"/>
        </w:rPr>
        <w:t>limit</w:t>
      </w:r>
      <w:r w:rsidR="00D60494">
        <w:rPr>
          <w:lang w:val="en-NZ" w:eastAsia="en-NZ"/>
        </w:rPr>
        <w:t xml:space="preserve"> proximity restrictions </w:t>
      </w:r>
      <w:r w:rsidR="00420D3A">
        <w:rPr>
          <w:lang w:val="en-NZ" w:eastAsia="en-NZ"/>
        </w:rPr>
        <w:t>to</w:t>
      </w:r>
      <w:r w:rsidR="008E54F6">
        <w:rPr>
          <w:lang w:val="en-NZ" w:eastAsia="en-NZ"/>
        </w:rPr>
        <w:t xml:space="preserve"> </w:t>
      </w:r>
      <w:r w:rsidR="00D60494">
        <w:rPr>
          <w:lang w:val="en-NZ" w:eastAsia="en-NZ"/>
        </w:rPr>
        <w:t>schools</w:t>
      </w:r>
      <w:r w:rsidR="00915AC0">
        <w:rPr>
          <w:lang w:val="en-NZ" w:eastAsia="en-NZ"/>
        </w:rPr>
        <w:t xml:space="preserve"> and Marae</w:t>
      </w:r>
      <w:r w:rsidR="00D60494">
        <w:rPr>
          <w:lang w:val="en-NZ" w:eastAsia="en-NZ"/>
        </w:rPr>
        <w:t xml:space="preserve">. </w:t>
      </w:r>
    </w:p>
    <w:p w14:paraId="74224596" w14:textId="77777777" w:rsidR="00DF6436" w:rsidRDefault="00DF6436" w:rsidP="00004100">
      <w:pPr>
        <w:spacing w:after="0" w:line="240" w:lineRule="auto"/>
        <w:rPr>
          <w:lang w:val="en-NZ" w:eastAsia="en-NZ"/>
        </w:rPr>
      </w:pPr>
    </w:p>
    <w:p w14:paraId="6E93AC20" w14:textId="77777777" w:rsidR="00DF6436" w:rsidRDefault="00DF6436" w:rsidP="00004100">
      <w:pPr>
        <w:spacing w:after="0" w:line="240" w:lineRule="auto"/>
        <w:rPr>
          <w:lang w:val="en-NZ" w:eastAsia="en-NZ"/>
        </w:rPr>
      </w:pPr>
    </w:p>
    <w:p w14:paraId="65A72676" w14:textId="77777777" w:rsidR="00DF6436" w:rsidRDefault="00DF6436" w:rsidP="00004100">
      <w:pPr>
        <w:spacing w:after="0" w:line="240" w:lineRule="auto"/>
        <w:rPr>
          <w:lang w:val="en-NZ" w:eastAsia="en-NZ"/>
        </w:rPr>
      </w:pPr>
    </w:p>
    <w:p w14:paraId="62DFDD87" w14:textId="77777777" w:rsidR="00DF6436" w:rsidRDefault="00DF6436" w:rsidP="00004100">
      <w:pPr>
        <w:spacing w:after="0" w:line="240" w:lineRule="auto"/>
        <w:rPr>
          <w:lang w:val="en-NZ" w:eastAsia="en-NZ"/>
        </w:rPr>
      </w:pPr>
    </w:p>
    <w:p w14:paraId="55BBB67A" w14:textId="77777777" w:rsidR="00DF6436" w:rsidRDefault="00DF6436" w:rsidP="00004100">
      <w:pPr>
        <w:spacing w:after="0" w:line="240" w:lineRule="auto"/>
        <w:rPr>
          <w:lang w:val="en-NZ" w:eastAsia="en-NZ"/>
        </w:rPr>
      </w:pPr>
    </w:p>
    <w:p w14:paraId="4635150E" w14:textId="77777777" w:rsidR="00DF6436" w:rsidRDefault="00DF6436" w:rsidP="00004100">
      <w:pPr>
        <w:spacing w:after="0" w:line="240" w:lineRule="auto"/>
        <w:rPr>
          <w:lang w:val="en-NZ" w:eastAsia="en-NZ"/>
        </w:rPr>
      </w:pPr>
    </w:p>
    <w:p w14:paraId="6C23CFDB" w14:textId="77777777" w:rsidR="00DF6436" w:rsidRPr="00004100" w:rsidRDefault="00DF6436" w:rsidP="00C404B3">
      <w:pPr>
        <w:spacing w:after="0" w:line="240" w:lineRule="auto"/>
        <w:rPr>
          <w:lang w:val="en-NZ" w:eastAsia="en-NZ"/>
        </w:rPr>
      </w:pPr>
    </w:p>
    <w:p w14:paraId="76FE5849" w14:textId="45D218DF" w:rsidR="00FF04EC" w:rsidRDefault="00FF04EC" w:rsidP="001E7CF5">
      <w:pPr>
        <w:pStyle w:val="Heading3"/>
        <w:spacing w:before="120" w:after="120"/>
        <w:rPr>
          <w:lang w:val="en-NZ"/>
        </w:rPr>
      </w:pPr>
      <w:r w:rsidRPr="001F32FA">
        <w:rPr>
          <w:lang w:val="en-NZ" w:eastAsia="en-NZ"/>
        </w:rPr>
        <w:t>What are</w:t>
      </w:r>
      <w:r w:rsidRPr="001F32FA">
        <w:rPr>
          <w:lang w:val="en-NZ"/>
        </w:rPr>
        <w:t xml:space="preserve"> the marginal costs</w:t>
      </w:r>
      <w:r w:rsidRPr="00A864A5">
        <w:rPr>
          <w:lang w:val="en-NZ"/>
        </w:rPr>
        <w:t xml:space="preserve"> and benefits of </w:t>
      </w:r>
      <w:r>
        <w:rPr>
          <w:lang w:val="en-NZ"/>
        </w:rPr>
        <w:t>the</w:t>
      </w:r>
      <w:r w:rsidRPr="00A864A5">
        <w:rPr>
          <w:lang w:val="en-NZ"/>
        </w:rPr>
        <w:t xml:space="preserve"> option</w:t>
      </w:r>
      <w:r w:rsidR="00F17030">
        <w:rPr>
          <w:lang w:val="en-NZ"/>
        </w:rPr>
        <w:t>s</w:t>
      </w:r>
      <w:r>
        <w:rPr>
          <w:lang w:val="en-NZ"/>
        </w:rPr>
        <w:t>?</w:t>
      </w:r>
    </w:p>
    <w:p w14:paraId="707E5364" w14:textId="25D280F1" w:rsidR="00C8180F" w:rsidRDefault="00C8180F" w:rsidP="001E7CF5">
      <w:pPr>
        <w:pStyle w:val="Heading4"/>
        <w:spacing w:after="120"/>
        <w:rPr>
          <w:lang w:val="en-NZ"/>
        </w:rPr>
      </w:pPr>
      <w:r w:rsidRPr="794B25FD">
        <w:rPr>
          <w:lang w:val="en-NZ"/>
        </w:rPr>
        <w:t>Smoked Tobacco Options</w:t>
      </w:r>
    </w:p>
    <w:p w14:paraId="5DFA3131" w14:textId="38873A65" w:rsidR="00F41AD1" w:rsidRPr="00F41AD1" w:rsidRDefault="638B174F" w:rsidP="008F6B39">
      <w:pPr>
        <w:spacing w:before="120" w:after="120" w:line="240" w:lineRule="auto"/>
        <w:rPr>
          <w:lang w:val="en-NZ"/>
        </w:rPr>
      </w:pPr>
      <w:r w:rsidRPr="33A45F9F">
        <w:rPr>
          <w:lang w:val="en-NZ"/>
        </w:rPr>
        <w:t xml:space="preserve">The costs and benefits analysed here are for the </w:t>
      </w:r>
      <w:r w:rsidR="5661C299" w:rsidRPr="33A45F9F">
        <w:rPr>
          <w:lang w:val="en-NZ"/>
        </w:rPr>
        <w:t>regulatory</w:t>
      </w:r>
      <w:r w:rsidRPr="33A45F9F">
        <w:rPr>
          <w:lang w:val="en-NZ"/>
        </w:rPr>
        <w:t xml:space="preserve"> regime specifically, but </w:t>
      </w:r>
      <w:r w:rsidR="15864ED8" w:rsidRPr="33A45F9F">
        <w:rPr>
          <w:lang w:val="en-NZ"/>
        </w:rPr>
        <w:t xml:space="preserve">if the regulations </w:t>
      </w:r>
      <w:r w:rsidR="5682F506" w:rsidRPr="33A45F9F">
        <w:rPr>
          <w:lang w:val="en-NZ"/>
        </w:rPr>
        <w:t xml:space="preserve">described </w:t>
      </w:r>
      <w:r w:rsidR="15864ED8" w:rsidRPr="33A45F9F">
        <w:rPr>
          <w:lang w:val="en-NZ"/>
        </w:rPr>
        <w:t>are not in place, the</w:t>
      </w:r>
      <w:r w:rsidR="7F3D916C" w:rsidRPr="33A45F9F">
        <w:rPr>
          <w:lang w:val="en-NZ"/>
        </w:rPr>
        <w:t xml:space="preserve"> full benefits of the </w:t>
      </w:r>
      <w:r w:rsidR="5682F506" w:rsidRPr="33A45F9F">
        <w:rPr>
          <w:lang w:val="en-NZ"/>
        </w:rPr>
        <w:t xml:space="preserve">broader Smokefree 2025 </w:t>
      </w:r>
      <w:r w:rsidR="7F3D916C" w:rsidRPr="33A45F9F">
        <w:rPr>
          <w:lang w:val="en-NZ"/>
        </w:rPr>
        <w:t xml:space="preserve">policy will not be </w:t>
      </w:r>
      <w:r w:rsidR="68D4959F" w:rsidRPr="1B502AF9">
        <w:rPr>
          <w:lang w:val="en-NZ"/>
        </w:rPr>
        <w:t>realised</w:t>
      </w:r>
      <w:r w:rsidR="7F3D916C" w:rsidRPr="1B502AF9">
        <w:rPr>
          <w:lang w:val="en-NZ"/>
        </w:rPr>
        <w:t>.</w:t>
      </w:r>
      <w:r w:rsidR="3302081E" w:rsidRPr="33A45F9F">
        <w:rPr>
          <w:lang w:val="en-NZ"/>
        </w:rPr>
        <w:t xml:space="preserve"> </w:t>
      </w:r>
      <w:r w:rsidR="06F4CB1B" w:rsidRPr="33A45F9F">
        <w:rPr>
          <w:lang w:val="en-NZ"/>
        </w:rPr>
        <w:t xml:space="preserve">These were </w:t>
      </w:r>
      <w:r w:rsidR="105592DF" w:rsidRPr="33A45F9F">
        <w:rPr>
          <w:lang w:val="en-NZ"/>
        </w:rPr>
        <w:t>discussed</w:t>
      </w:r>
      <w:r w:rsidR="694A341B" w:rsidRPr="33A45F9F">
        <w:rPr>
          <w:lang w:val="en-NZ"/>
        </w:rPr>
        <w:t xml:space="preserve"> in the </w:t>
      </w:r>
      <w:r w:rsidR="185E09DF" w:rsidRPr="33A45F9F">
        <w:rPr>
          <w:lang w:val="en-NZ"/>
        </w:rPr>
        <w:t xml:space="preserve">2021 Smokefree Action </w:t>
      </w:r>
      <w:r w:rsidR="4B927E52" w:rsidRPr="1B502AF9">
        <w:rPr>
          <w:lang w:val="en-NZ"/>
        </w:rPr>
        <w:t>P</w:t>
      </w:r>
      <w:r w:rsidR="185E09DF" w:rsidRPr="1B502AF9">
        <w:rPr>
          <w:lang w:val="en-NZ"/>
        </w:rPr>
        <w:t>lan</w:t>
      </w:r>
      <w:r w:rsidR="185E09DF" w:rsidRPr="33A45F9F">
        <w:rPr>
          <w:lang w:val="en-NZ"/>
        </w:rPr>
        <w:t xml:space="preserve"> RIS</w:t>
      </w:r>
      <w:r w:rsidR="007D0EE6">
        <w:rPr>
          <w:lang w:val="en-NZ"/>
        </w:rPr>
        <w:t xml:space="preserve"> (</w:t>
      </w:r>
      <w:hyperlink r:id="rId57" w:history="1">
        <w:r w:rsidR="002A2C8C" w:rsidRPr="0049038B">
          <w:rPr>
            <w:rStyle w:val="Hyperlink"/>
            <w:lang w:val="en-NZ"/>
          </w:rPr>
          <w:t>Smokefree RIS</w:t>
        </w:r>
      </w:hyperlink>
      <w:r w:rsidR="002A2C8C">
        <w:rPr>
          <w:lang w:val="en-NZ"/>
        </w:rPr>
        <w:t>)</w:t>
      </w:r>
      <w:r w:rsidR="44E51818" w:rsidRPr="33A45F9F">
        <w:rPr>
          <w:lang w:val="en-NZ"/>
        </w:rPr>
        <w:t xml:space="preserve"> and included benefits of 550,000 </w:t>
      </w:r>
      <w:r w:rsidR="341534DE" w:rsidRPr="33A45F9F">
        <w:rPr>
          <w:lang w:val="en-NZ"/>
        </w:rPr>
        <w:t>health-</w:t>
      </w:r>
      <w:r w:rsidR="44E51818" w:rsidRPr="33A45F9F">
        <w:rPr>
          <w:lang w:val="en-NZ"/>
        </w:rPr>
        <w:t>adjusted life year</w:t>
      </w:r>
      <w:r w:rsidR="32A62582" w:rsidRPr="33A45F9F">
        <w:rPr>
          <w:lang w:val="en-NZ"/>
        </w:rPr>
        <w:t>s</w:t>
      </w:r>
      <w:r w:rsidR="341534DE" w:rsidRPr="33A45F9F">
        <w:rPr>
          <w:lang w:val="en-NZ"/>
        </w:rPr>
        <w:t xml:space="preserve"> (</w:t>
      </w:r>
      <w:r w:rsidR="44E51818" w:rsidRPr="33A45F9F">
        <w:rPr>
          <w:lang w:val="en-NZ"/>
        </w:rPr>
        <w:t>HALYS</w:t>
      </w:r>
      <w:r w:rsidR="697FB6C2" w:rsidRPr="33A45F9F">
        <w:rPr>
          <w:lang w:val="en-NZ"/>
        </w:rPr>
        <w:t>)</w:t>
      </w:r>
      <w:r w:rsidR="32A62582" w:rsidRPr="33A45F9F">
        <w:rPr>
          <w:lang w:val="en-NZ"/>
        </w:rPr>
        <w:t xml:space="preserve"> for New Zealanders</w:t>
      </w:r>
      <w:r w:rsidR="0A376384" w:rsidRPr="1B502AF9">
        <w:rPr>
          <w:lang w:val="en-NZ"/>
        </w:rPr>
        <w:t>. Modelling predicted at least $5.5 billion</w:t>
      </w:r>
      <w:r w:rsidR="7363B389" w:rsidRPr="33A45F9F">
        <w:rPr>
          <w:lang w:val="en-NZ"/>
        </w:rPr>
        <w:t xml:space="preserve"> of </w:t>
      </w:r>
      <w:r w:rsidR="18133921" w:rsidRPr="33A45F9F">
        <w:rPr>
          <w:lang w:val="en-NZ"/>
        </w:rPr>
        <w:t xml:space="preserve">estimated </w:t>
      </w:r>
      <w:r w:rsidR="20A5A257" w:rsidRPr="33A45F9F">
        <w:rPr>
          <w:lang w:val="en-NZ"/>
        </w:rPr>
        <w:t>savings</w:t>
      </w:r>
      <w:r w:rsidR="2B69230D" w:rsidRPr="1B502AF9">
        <w:rPr>
          <w:lang w:val="en-NZ"/>
        </w:rPr>
        <w:t xml:space="preserve"> to the health system from the action plan.</w:t>
      </w:r>
    </w:p>
    <w:tbl>
      <w:tblPr>
        <w:tblpPr w:leftFromText="180" w:rightFromText="180" w:vertAnchor="text" w:horzAnchor="margin" w:tblpY="124"/>
        <w:tblOverlap w:val="never"/>
        <w:tblW w:w="9493"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2263"/>
        <w:gridCol w:w="3119"/>
        <w:gridCol w:w="2551"/>
        <w:gridCol w:w="1560"/>
      </w:tblGrid>
      <w:tr w:rsidR="00FF04EC" w:rsidRPr="00A864A5" w14:paraId="77CA23E1" w14:textId="77777777" w:rsidTr="33A45F9F">
        <w:trPr>
          <w:trHeight w:val="762"/>
        </w:trPr>
        <w:tc>
          <w:tcPr>
            <w:tcW w:w="2263" w:type="dxa"/>
            <w:shd w:val="clear" w:color="auto" w:fill="F2F2F2" w:themeFill="background1" w:themeFillShade="F2"/>
          </w:tcPr>
          <w:p w14:paraId="168DCD4D" w14:textId="40A77EFC" w:rsidR="00FF04EC" w:rsidRPr="00A864A5" w:rsidRDefault="00FF04EC" w:rsidP="00031CDF">
            <w:pPr>
              <w:pStyle w:val="TableText"/>
              <w:keepNext/>
              <w:spacing w:line="240" w:lineRule="auto"/>
              <w:rPr>
                <w:rFonts w:eastAsia="Calibri"/>
                <w:color w:val="000000"/>
                <w:sz w:val="22"/>
                <w:lang w:val="en-NZ"/>
              </w:rPr>
            </w:pPr>
            <w:r w:rsidRPr="00A864A5">
              <w:rPr>
                <w:rFonts w:eastAsia="Calibri"/>
                <w:b/>
                <w:color w:val="000000"/>
                <w:sz w:val="22"/>
                <w:lang w:val="en-NZ"/>
              </w:rPr>
              <w:t>Affected groups</w:t>
            </w:r>
          </w:p>
        </w:tc>
        <w:tc>
          <w:tcPr>
            <w:tcW w:w="3119" w:type="dxa"/>
            <w:shd w:val="clear" w:color="auto" w:fill="F2F2F2" w:themeFill="background1" w:themeFillShade="F2"/>
          </w:tcPr>
          <w:p w14:paraId="5909C249" w14:textId="6A315331" w:rsidR="00FF04EC" w:rsidRPr="00A864A5" w:rsidRDefault="00FF04EC" w:rsidP="00031CDF">
            <w:pPr>
              <w:pStyle w:val="TableText"/>
              <w:keepNext/>
              <w:spacing w:line="240" w:lineRule="auto"/>
              <w:rPr>
                <w:rFonts w:eastAsia="Calibri"/>
                <w:i/>
                <w:iCs/>
                <w:color w:val="000000"/>
                <w:lang w:val="en-NZ"/>
              </w:rPr>
            </w:pPr>
            <w:r w:rsidRPr="58911DBF">
              <w:rPr>
                <w:rFonts w:eastAsia="Calibri"/>
                <w:b/>
                <w:bCs/>
                <w:color w:val="000000" w:themeColor="text1"/>
                <w:sz w:val="22"/>
                <w:lang w:val="en-NZ"/>
              </w:rPr>
              <w:t>Comment</w:t>
            </w:r>
            <w:r>
              <w:br/>
            </w:r>
            <w:r w:rsidRPr="58911DBF">
              <w:rPr>
                <w:rFonts w:eastAsia="Calibri"/>
                <w:i/>
                <w:iCs/>
                <w:color w:val="000000" w:themeColor="text1"/>
                <w:lang w:val="en-NZ"/>
              </w:rPr>
              <w:t>nature of cost or benefit (eg, ongoing, one-off), evidence and assumption (eg, compliance rates), risks</w:t>
            </w:r>
          </w:p>
        </w:tc>
        <w:tc>
          <w:tcPr>
            <w:tcW w:w="2551" w:type="dxa"/>
            <w:shd w:val="clear" w:color="auto" w:fill="F2F2F2" w:themeFill="background1" w:themeFillShade="F2"/>
          </w:tcPr>
          <w:p w14:paraId="666F5704" w14:textId="45BCC3FA" w:rsidR="00FF04EC" w:rsidRPr="00136700" w:rsidRDefault="00FF04EC" w:rsidP="00031CDF">
            <w:pPr>
              <w:pStyle w:val="TableText"/>
              <w:keepNext/>
              <w:spacing w:line="240" w:lineRule="auto"/>
              <w:rPr>
                <w:rFonts w:eastAsia="Calibri"/>
                <w:i/>
                <w:iCs/>
                <w:color w:val="000000"/>
                <w:lang w:val="en-NZ"/>
              </w:rPr>
            </w:pPr>
            <w:r w:rsidRPr="58911DBF">
              <w:rPr>
                <w:rFonts w:eastAsia="Calibri"/>
                <w:b/>
                <w:bCs/>
                <w:color w:val="000000" w:themeColor="text1"/>
                <w:sz w:val="22"/>
                <w:lang w:val="en-NZ"/>
              </w:rPr>
              <w:t>Impact</w:t>
            </w:r>
            <w:r>
              <w:br/>
            </w:r>
            <w:r w:rsidRPr="58911DBF">
              <w:rPr>
                <w:rFonts w:eastAsia="Calibri"/>
                <w:i/>
                <w:iCs/>
                <w:color w:val="000000" w:themeColor="text1"/>
                <w:lang w:val="en-NZ"/>
              </w:rPr>
              <w:t xml:space="preserve">$m value where appropriate for monetised impacts; high, </w:t>
            </w:r>
            <w:proofErr w:type="gramStart"/>
            <w:r w:rsidRPr="58911DBF">
              <w:rPr>
                <w:rFonts w:eastAsia="Calibri"/>
                <w:i/>
                <w:iCs/>
                <w:color w:val="000000" w:themeColor="text1"/>
                <w:lang w:val="en-NZ"/>
              </w:rPr>
              <w:t>medium</w:t>
            </w:r>
            <w:proofErr w:type="gramEnd"/>
            <w:r w:rsidRPr="58911DBF">
              <w:rPr>
                <w:rFonts w:eastAsia="Calibri"/>
                <w:i/>
                <w:iCs/>
                <w:color w:val="000000" w:themeColor="text1"/>
                <w:lang w:val="en-NZ"/>
              </w:rPr>
              <w:t xml:space="preserve"> or low for non-monetised impacts</w:t>
            </w:r>
          </w:p>
        </w:tc>
        <w:tc>
          <w:tcPr>
            <w:tcW w:w="1560" w:type="dxa"/>
            <w:shd w:val="clear" w:color="auto" w:fill="F2F2F2" w:themeFill="background1" w:themeFillShade="F2"/>
          </w:tcPr>
          <w:p w14:paraId="586A0EE4" w14:textId="66D2F5ED" w:rsidR="00FF04EC" w:rsidRPr="00136700" w:rsidRDefault="00FF04EC" w:rsidP="00031CDF">
            <w:pPr>
              <w:pStyle w:val="TableText"/>
              <w:keepNext/>
              <w:spacing w:line="240" w:lineRule="auto"/>
              <w:rPr>
                <w:rFonts w:eastAsia="Calibri"/>
                <w:bCs/>
                <w:i/>
                <w:iCs/>
                <w:color w:val="000000"/>
                <w:szCs w:val="20"/>
                <w:lang w:val="en-NZ"/>
              </w:rPr>
            </w:pPr>
            <w:r>
              <w:rPr>
                <w:rFonts w:eastAsia="Calibri"/>
                <w:b/>
                <w:color w:val="000000"/>
                <w:sz w:val="22"/>
                <w:lang w:val="en-NZ"/>
              </w:rPr>
              <w:t>Evidence Certaint</w:t>
            </w:r>
            <w:r w:rsidR="00F9413C">
              <w:rPr>
                <w:rFonts w:eastAsia="Calibri"/>
                <w:b/>
                <w:color w:val="000000"/>
                <w:sz w:val="22"/>
                <w:lang w:val="en-NZ"/>
              </w:rPr>
              <w:t>y</w:t>
            </w:r>
          </w:p>
        </w:tc>
      </w:tr>
      <w:tr w:rsidR="00FF04EC" w:rsidRPr="00A864A5" w14:paraId="519D9CC3" w14:textId="77777777" w:rsidTr="33A45F9F">
        <w:trPr>
          <w:trHeight w:val="391"/>
        </w:trPr>
        <w:tc>
          <w:tcPr>
            <w:tcW w:w="9493" w:type="dxa"/>
            <w:gridSpan w:val="4"/>
            <w:shd w:val="clear" w:color="auto" w:fill="F2F2F2" w:themeFill="background1" w:themeFillShade="F2"/>
            <w:vAlign w:val="center"/>
          </w:tcPr>
          <w:p w14:paraId="20CF73E3" w14:textId="413E1131" w:rsidR="00FF04EC" w:rsidRDefault="00FF04EC" w:rsidP="00323FD0">
            <w:pPr>
              <w:keepNext/>
              <w:spacing w:before="60" w:after="60" w:line="240" w:lineRule="auto"/>
              <w:rPr>
                <w:rFonts w:eastAsia="Calibri"/>
                <w:b/>
                <w:bCs/>
                <w:color w:val="000000"/>
                <w:szCs w:val="22"/>
                <w:lang w:val="en-NZ"/>
              </w:rPr>
            </w:pPr>
            <w:r>
              <w:rPr>
                <w:rFonts w:eastAsia="Calibri"/>
                <w:b/>
                <w:bCs/>
                <w:color w:val="000000"/>
                <w:szCs w:val="22"/>
                <w:lang w:val="en-NZ"/>
              </w:rPr>
              <w:t>Additional c</w:t>
            </w:r>
            <w:r w:rsidRPr="00A864A5">
              <w:rPr>
                <w:rFonts w:eastAsia="Calibri"/>
                <w:b/>
                <w:bCs/>
                <w:color w:val="000000"/>
                <w:szCs w:val="22"/>
                <w:lang w:val="en-NZ"/>
              </w:rPr>
              <w:t>osts of the preferred option</w:t>
            </w:r>
            <w:r w:rsidR="00591055">
              <w:rPr>
                <w:rFonts w:eastAsia="Calibri"/>
                <w:b/>
                <w:bCs/>
                <w:color w:val="000000"/>
                <w:szCs w:val="22"/>
                <w:lang w:val="en-NZ"/>
              </w:rPr>
              <w:t>s</w:t>
            </w:r>
            <w:r w:rsidRPr="00A864A5">
              <w:rPr>
                <w:rFonts w:eastAsia="Calibri"/>
                <w:b/>
                <w:bCs/>
                <w:color w:val="000000"/>
                <w:szCs w:val="22"/>
                <w:lang w:val="en-NZ"/>
              </w:rPr>
              <w:t xml:space="preserve"> compared to </w:t>
            </w:r>
            <w:r>
              <w:rPr>
                <w:rFonts w:eastAsia="Calibri"/>
                <w:b/>
                <w:bCs/>
                <w:color w:val="000000"/>
                <w:szCs w:val="22"/>
                <w:lang w:val="en-NZ"/>
              </w:rPr>
              <w:t>taking no action</w:t>
            </w:r>
          </w:p>
        </w:tc>
      </w:tr>
      <w:tr w:rsidR="00FF04EC" w:rsidRPr="00A864A5" w14:paraId="1D2D7AE2" w14:textId="77777777" w:rsidTr="33A45F9F">
        <w:trPr>
          <w:trHeight w:val="380"/>
        </w:trPr>
        <w:tc>
          <w:tcPr>
            <w:tcW w:w="2263" w:type="dxa"/>
            <w:shd w:val="clear" w:color="auto" w:fill="auto"/>
          </w:tcPr>
          <w:p w14:paraId="2693C1C1" w14:textId="14BE87B4" w:rsidR="00FF04EC" w:rsidRPr="00A864A5" w:rsidRDefault="00FF04EC" w:rsidP="00031CDF">
            <w:pPr>
              <w:pStyle w:val="TableText"/>
              <w:keepNext/>
              <w:spacing w:line="240" w:lineRule="auto"/>
              <w:rPr>
                <w:rFonts w:eastAsia="Calibri"/>
                <w:sz w:val="22"/>
                <w:lang w:val="en-NZ"/>
              </w:rPr>
            </w:pPr>
            <w:r w:rsidRPr="00A864A5">
              <w:rPr>
                <w:rFonts w:eastAsia="Calibri"/>
                <w:sz w:val="22"/>
                <w:lang w:val="en-NZ"/>
              </w:rPr>
              <w:t>Regulated groups</w:t>
            </w:r>
            <w:r w:rsidR="00581532">
              <w:rPr>
                <w:rFonts w:eastAsia="Calibri"/>
                <w:sz w:val="22"/>
                <w:lang w:val="en-NZ"/>
              </w:rPr>
              <w:t xml:space="preserve"> (businesses)</w:t>
            </w:r>
          </w:p>
        </w:tc>
        <w:tc>
          <w:tcPr>
            <w:tcW w:w="3119" w:type="dxa"/>
            <w:shd w:val="clear" w:color="auto" w:fill="auto"/>
          </w:tcPr>
          <w:p w14:paraId="596B3305" w14:textId="1053DAB0" w:rsidR="00FF04EC" w:rsidRDefault="299DDDCE" w:rsidP="00031CDF">
            <w:pPr>
              <w:pStyle w:val="TableText"/>
              <w:keepNext/>
              <w:spacing w:line="240" w:lineRule="auto"/>
              <w:rPr>
                <w:rFonts w:eastAsia="Calibri"/>
                <w:sz w:val="22"/>
                <w:lang w:val="en-NZ"/>
              </w:rPr>
            </w:pPr>
            <w:r w:rsidRPr="58911DBF">
              <w:rPr>
                <w:rFonts w:eastAsia="Calibri"/>
                <w:sz w:val="22"/>
                <w:lang w:val="en-NZ"/>
              </w:rPr>
              <w:t xml:space="preserve">Costs for </w:t>
            </w:r>
            <w:r w:rsidR="05D9A526" w:rsidRPr="58911DBF">
              <w:rPr>
                <w:rFonts w:eastAsia="Calibri"/>
                <w:sz w:val="22"/>
                <w:lang w:val="en-NZ"/>
              </w:rPr>
              <w:t>compliance with requirements – for example new business systems for approved smoked tobacco retailers</w:t>
            </w:r>
            <w:r w:rsidR="004C7DE5" w:rsidRPr="58911DBF">
              <w:rPr>
                <w:rStyle w:val="FootnoteReference"/>
                <w:rFonts w:eastAsia="Calibri"/>
                <w:vertAlign w:val="superscript"/>
                <w:lang w:val="en-NZ"/>
              </w:rPr>
              <w:footnoteReference w:id="10"/>
            </w:r>
          </w:p>
          <w:p w14:paraId="6CF6F36C" w14:textId="77777777" w:rsidR="004019E0" w:rsidRDefault="004019E0" w:rsidP="00031CDF">
            <w:pPr>
              <w:pStyle w:val="TableText"/>
              <w:keepNext/>
              <w:spacing w:line="240" w:lineRule="auto"/>
              <w:rPr>
                <w:rFonts w:eastAsia="Calibri"/>
                <w:sz w:val="22"/>
                <w:lang w:val="en-NZ"/>
              </w:rPr>
            </w:pPr>
          </w:p>
          <w:p w14:paraId="3B8E3CB8" w14:textId="6681A1BC" w:rsidR="00564026" w:rsidRDefault="24ED0929" w:rsidP="00031CDF">
            <w:pPr>
              <w:pStyle w:val="TableText"/>
              <w:keepNext/>
              <w:spacing w:line="240" w:lineRule="auto"/>
              <w:rPr>
                <w:rFonts w:eastAsia="Calibri"/>
                <w:sz w:val="22"/>
                <w:lang w:val="en-NZ"/>
              </w:rPr>
            </w:pPr>
            <w:r w:rsidRPr="58911DBF">
              <w:rPr>
                <w:rFonts w:eastAsia="Calibri"/>
                <w:sz w:val="22"/>
                <w:lang w:val="en-NZ"/>
              </w:rPr>
              <w:t xml:space="preserve">Costs </w:t>
            </w:r>
            <w:r w:rsidR="5B464995" w:rsidRPr="58911DBF">
              <w:rPr>
                <w:rFonts w:eastAsia="Calibri"/>
                <w:sz w:val="22"/>
                <w:lang w:val="en-NZ"/>
              </w:rPr>
              <w:t xml:space="preserve">for product applications and notifications. </w:t>
            </w:r>
            <w:r w:rsidR="645E4FD3" w:rsidRPr="58911DBF">
              <w:rPr>
                <w:rFonts w:eastAsia="Calibri"/>
                <w:sz w:val="22"/>
                <w:lang w:val="en-NZ"/>
              </w:rPr>
              <w:t>Costs for smoked tobacco product testing</w:t>
            </w:r>
          </w:p>
          <w:p w14:paraId="70147FE5" w14:textId="77777777" w:rsidR="00564026" w:rsidRDefault="00564026" w:rsidP="00031CDF">
            <w:pPr>
              <w:pStyle w:val="TableText"/>
              <w:keepNext/>
              <w:spacing w:line="240" w:lineRule="auto"/>
              <w:rPr>
                <w:rFonts w:eastAsia="Calibri"/>
                <w:sz w:val="22"/>
                <w:lang w:val="en-NZ"/>
              </w:rPr>
            </w:pPr>
          </w:p>
          <w:p w14:paraId="7001EDB5" w14:textId="052A5206" w:rsidR="00FF04EC" w:rsidRDefault="00FF04EC" w:rsidP="00031CDF">
            <w:pPr>
              <w:pStyle w:val="TableText"/>
              <w:keepNext/>
              <w:spacing w:line="240" w:lineRule="auto"/>
              <w:rPr>
                <w:rFonts w:eastAsia="Calibri"/>
                <w:sz w:val="22"/>
                <w:lang w:val="en-NZ"/>
              </w:rPr>
            </w:pPr>
          </w:p>
          <w:p w14:paraId="0D7CC595" w14:textId="156C1F85" w:rsidR="000801BB" w:rsidRPr="00A864A5" w:rsidRDefault="000801BB" w:rsidP="00031CDF">
            <w:pPr>
              <w:pStyle w:val="TableText"/>
              <w:keepNext/>
              <w:spacing w:line="240" w:lineRule="auto"/>
              <w:rPr>
                <w:rFonts w:eastAsia="Calibri"/>
                <w:sz w:val="22"/>
                <w:lang w:val="en-NZ"/>
              </w:rPr>
            </w:pPr>
          </w:p>
        </w:tc>
        <w:tc>
          <w:tcPr>
            <w:tcW w:w="2551" w:type="dxa"/>
            <w:shd w:val="clear" w:color="auto" w:fill="auto"/>
          </w:tcPr>
          <w:p w14:paraId="41AB63A0" w14:textId="68EB1B23" w:rsidR="00B44744" w:rsidRDefault="7D31A599" w:rsidP="00031CDF">
            <w:pPr>
              <w:pStyle w:val="TableText"/>
              <w:keepNext/>
              <w:spacing w:line="240" w:lineRule="auto"/>
              <w:rPr>
                <w:rFonts w:eastAsia="Calibri"/>
                <w:sz w:val="22"/>
                <w:lang w:val="en-NZ"/>
              </w:rPr>
            </w:pPr>
            <w:r w:rsidRPr="33A45F9F">
              <w:rPr>
                <w:rFonts w:eastAsia="Calibri"/>
                <w:sz w:val="22"/>
                <w:lang w:val="en-NZ"/>
              </w:rPr>
              <w:t xml:space="preserve">Fees approx. </w:t>
            </w:r>
            <w:r w:rsidR="062A764D" w:rsidRPr="33A45F9F">
              <w:rPr>
                <w:rFonts w:eastAsia="Calibri"/>
                <w:sz w:val="22"/>
                <w:lang w:val="en-NZ"/>
              </w:rPr>
              <w:t>$5m - $</w:t>
            </w:r>
            <w:r w:rsidRPr="33A45F9F">
              <w:rPr>
                <w:rFonts w:eastAsia="Calibri"/>
                <w:sz w:val="22"/>
                <w:lang w:val="en-NZ"/>
              </w:rPr>
              <w:t>8</w:t>
            </w:r>
            <w:r w:rsidR="062A764D" w:rsidRPr="33A45F9F">
              <w:rPr>
                <w:rFonts w:eastAsia="Calibri"/>
                <w:sz w:val="22"/>
                <w:lang w:val="en-NZ"/>
              </w:rPr>
              <w:t xml:space="preserve">m for </w:t>
            </w:r>
            <w:r w:rsidR="13B05871" w:rsidRPr="33A45F9F">
              <w:rPr>
                <w:rFonts w:eastAsia="Calibri"/>
                <w:sz w:val="22"/>
                <w:lang w:val="en-NZ"/>
              </w:rPr>
              <w:t>23/24</w:t>
            </w:r>
            <w:r w:rsidR="6C86AB80" w:rsidRPr="33A45F9F">
              <w:rPr>
                <w:rFonts w:eastAsia="Calibri"/>
                <w:sz w:val="22"/>
                <w:lang w:val="en-NZ"/>
              </w:rPr>
              <w:t xml:space="preserve">. </w:t>
            </w:r>
            <w:r w:rsidRPr="33A45F9F">
              <w:rPr>
                <w:rFonts w:eastAsia="Calibri"/>
                <w:sz w:val="22"/>
                <w:lang w:val="en-NZ"/>
              </w:rPr>
              <w:t>Approx. $0.5m pa for following years</w:t>
            </w:r>
            <w:r w:rsidR="25301471" w:rsidRPr="33A45F9F">
              <w:rPr>
                <w:rFonts w:eastAsia="Calibri"/>
                <w:sz w:val="22"/>
                <w:lang w:val="en-NZ"/>
              </w:rPr>
              <w:t xml:space="preserve"> as </w:t>
            </w:r>
            <w:r w:rsidR="1B85939D" w:rsidRPr="33A45F9F">
              <w:rPr>
                <w:rFonts w:eastAsia="Calibri"/>
                <w:sz w:val="22"/>
                <w:lang w:val="en-NZ"/>
              </w:rPr>
              <w:t>per table</w:t>
            </w:r>
            <w:r w:rsidR="5BD58971" w:rsidRPr="1B502AF9">
              <w:rPr>
                <w:rFonts w:eastAsia="Calibri"/>
                <w:sz w:val="22"/>
                <w:lang w:val="en-NZ"/>
              </w:rPr>
              <w:t xml:space="preserve"> </w:t>
            </w:r>
            <w:r w:rsidR="00D2589A">
              <w:rPr>
                <w:rFonts w:eastAsia="Calibri"/>
                <w:sz w:val="22"/>
                <w:lang w:val="en-NZ"/>
              </w:rPr>
              <w:t>3</w:t>
            </w:r>
          </w:p>
          <w:p w14:paraId="3DAC315B" w14:textId="34F9CB48" w:rsidR="58911DBF" w:rsidRDefault="58911DBF" w:rsidP="00031CDF">
            <w:pPr>
              <w:pStyle w:val="TableText"/>
              <w:keepNext/>
              <w:spacing w:line="240" w:lineRule="auto"/>
              <w:rPr>
                <w:rFonts w:eastAsia="Calibri"/>
                <w:sz w:val="22"/>
                <w:lang w:val="en-NZ"/>
              </w:rPr>
            </w:pPr>
          </w:p>
          <w:p w14:paraId="48299613" w14:textId="37189E32" w:rsidR="00BF7241" w:rsidRDefault="58F8CD7C" w:rsidP="00031CDF">
            <w:pPr>
              <w:pStyle w:val="TableText"/>
              <w:keepNext/>
              <w:spacing w:line="240" w:lineRule="auto"/>
              <w:rPr>
                <w:rFonts w:eastAsia="Calibri"/>
                <w:sz w:val="22"/>
                <w:lang w:val="en-NZ"/>
              </w:rPr>
            </w:pPr>
            <w:r w:rsidRPr="794B25FD">
              <w:rPr>
                <w:rFonts w:eastAsia="Calibri"/>
                <w:sz w:val="22"/>
                <w:lang w:val="en-NZ"/>
              </w:rPr>
              <w:t>Number of applicants uncertain</w:t>
            </w:r>
          </w:p>
          <w:p w14:paraId="0A15618E" w14:textId="77777777" w:rsidR="00BF7241" w:rsidRDefault="00BF7241" w:rsidP="00031CDF">
            <w:pPr>
              <w:pStyle w:val="TableText"/>
              <w:keepNext/>
              <w:spacing w:line="240" w:lineRule="auto"/>
              <w:rPr>
                <w:rFonts w:eastAsia="Calibri"/>
                <w:sz w:val="22"/>
                <w:lang w:val="en-NZ"/>
              </w:rPr>
            </w:pPr>
          </w:p>
          <w:p w14:paraId="06B4AF03" w14:textId="794AD820" w:rsidR="00FF04EC" w:rsidRPr="00A864A5" w:rsidRDefault="676CD07E" w:rsidP="00031CDF">
            <w:pPr>
              <w:pStyle w:val="TableText"/>
              <w:keepNext/>
              <w:spacing w:line="240" w:lineRule="auto"/>
              <w:rPr>
                <w:rFonts w:eastAsia="Calibri"/>
                <w:sz w:val="22"/>
                <w:lang w:val="en-NZ"/>
              </w:rPr>
            </w:pPr>
            <w:r w:rsidRPr="58911DBF">
              <w:rPr>
                <w:rFonts w:eastAsia="Calibri"/>
                <w:sz w:val="22"/>
                <w:lang w:val="en-NZ"/>
              </w:rPr>
              <w:t xml:space="preserve">Costs associated with implementing minimum criteria for approval, such as security, is not clear and </w:t>
            </w:r>
            <w:r w:rsidR="760737C1" w:rsidRPr="58911DBF">
              <w:rPr>
                <w:rFonts w:eastAsia="Calibri"/>
                <w:sz w:val="22"/>
                <w:lang w:val="en-NZ"/>
              </w:rPr>
              <w:t>may</w:t>
            </w:r>
            <w:r w:rsidRPr="58911DBF">
              <w:rPr>
                <w:rFonts w:eastAsia="Calibri"/>
                <w:sz w:val="22"/>
                <w:lang w:val="en-NZ"/>
              </w:rPr>
              <w:t xml:space="preserve"> </w:t>
            </w:r>
            <w:r w:rsidR="760737C1" w:rsidRPr="58911DBF">
              <w:rPr>
                <w:rFonts w:eastAsia="Calibri"/>
                <w:sz w:val="22"/>
                <w:lang w:val="en-NZ"/>
              </w:rPr>
              <w:t xml:space="preserve">vary </w:t>
            </w:r>
            <w:r w:rsidRPr="58911DBF">
              <w:rPr>
                <w:rFonts w:eastAsia="Calibri"/>
                <w:sz w:val="22"/>
                <w:lang w:val="en-NZ"/>
              </w:rPr>
              <w:t>for each retailer</w:t>
            </w:r>
          </w:p>
        </w:tc>
        <w:tc>
          <w:tcPr>
            <w:tcW w:w="1560" w:type="dxa"/>
          </w:tcPr>
          <w:p w14:paraId="5CAABD50" w14:textId="575053D3" w:rsidR="00FF04EC" w:rsidRPr="00A864A5" w:rsidRDefault="00B42FAE" w:rsidP="00031CDF">
            <w:pPr>
              <w:pStyle w:val="TableText"/>
              <w:keepNext/>
              <w:spacing w:line="240" w:lineRule="auto"/>
              <w:rPr>
                <w:rFonts w:eastAsia="Calibri"/>
                <w:sz w:val="22"/>
                <w:lang w:val="en-NZ"/>
              </w:rPr>
            </w:pPr>
            <w:r>
              <w:rPr>
                <w:rFonts w:eastAsia="Calibri"/>
                <w:sz w:val="22"/>
                <w:lang w:val="en-NZ"/>
              </w:rPr>
              <w:t>Medium</w:t>
            </w:r>
          </w:p>
        </w:tc>
      </w:tr>
      <w:tr w:rsidR="00FF04EC" w:rsidRPr="00A864A5" w14:paraId="4A3452E9" w14:textId="77777777" w:rsidTr="33A45F9F">
        <w:trPr>
          <w:trHeight w:val="380"/>
        </w:trPr>
        <w:tc>
          <w:tcPr>
            <w:tcW w:w="2263" w:type="dxa"/>
            <w:shd w:val="clear" w:color="auto" w:fill="auto"/>
          </w:tcPr>
          <w:p w14:paraId="74CFFB40" w14:textId="77777777" w:rsidR="00FF04EC" w:rsidRPr="00A864A5" w:rsidRDefault="00FF04EC" w:rsidP="00031CDF">
            <w:pPr>
              <w:pStyle w:val="TableText"/>
              <w:keepNext/>
              <w:spacing w:line="240" w:lineRule="auto"/>
              <w:rPr>
                <w:rFonts w:eastAsia="Calibri"/>
                <w:sz w:val="22"/>
                <w:lang w:val="en-NZ"/>
              </w:rPr>
            </w:pPr>
            <w:r w:rsidRPr="00A864A5">
              <w:rPr>
                <w:rFonts w:eastAsia="Calibri"/>
                <w:sz w:val="22"/>
                <w:lang w:val="en-NZ"/>
              </w:rPr>
              <w:t>Regulators</w:t>
            </w:r>
          </w:p>
        </w:tc>
        <w:tc>
          <w:tcPr>
            <w:tcW w:w="3119" w:type="dxa"/>
            <w:shd w:val="clear" w:color="auto" w:fill="auto"/>
          </w:tcPr>
          <w:p w14:paraId="287CAF30" w14:textId="60122808" w:rsidR="00025F92" w:rsidRDefault="71AE997B" w:rsidP="00031CDF">
            <w:pPr>
              <w:pStyle w:val="TableText"/>
              <w:keepNext/>
              <w:spacing w:line="240" w:lineRule="auto"/>
              <w:rPr>
                <w:rFonts w:eastAsia="Calibri" w:cs="Arial"/>
                <w:sz w:val="22"/>
              </w:rPr>
            </w:pPr>
            <w:r w:rsidRPr="33A45F9F">
              <w:rPr>
                <w:rFonts w:eastAsia="Calibri" w:cs="Arial"/>
                <w:sz w:val="22"/>
              </w:rPr>
              <w:t>C</w:t>
            </w:r>
            <w:r w:rsidR="366A5399" w:rsidRPr="33A45F9F">
              <w:rPr>
                <w:rFonts w:eastAsia="Calibri" w:cs="Arial"/>
                <w:sz w:val="22"/>
              </w:rPr>
              <w:t>osts to</w:t>
            </w:r>
            <w:r w:rsidR="366A5399" w:rsidRPr="33A45F9F">
              <w:rPr>
                <w:rFonts w:eastAsia="Calibri"/>
                <w:sz w:val="22"/>
              </w:rPr>
              <w:t xml:space="preserve"> </w:t>
            </w:r>
            <w:r w:rsidR="0F0B60ED" w:rsidRPr="33A45F9F">
              <w:rPr>
                <w:sz w:val="22"/>
              </w:rPr>
              <w:t>the Ministry</w:t>
            </w:r>
            <w:r w:rsidR="72418697" w:rsidRPr="33A45F9F">
              <w:rPr>
                <w:rFonts w:eastAsia="Calibri" w:cs="Arial"/>
                <w:sz w:val="22"/>
              </w:rPr>
              <w:t xml:space="preserve"> and</w:t>
            </w:r>
            <w:r w:rsidR="366A5399" w:rsidRPr="33A45F9F">
              <w:rPr>
                <w:rFonts w:eastAsia="Calibri" w:cs="Arial"/>
                <w:sz w:val="22"/>
              </w:rPr>
              <w:t xml:space="preserve"> </w:t>
            </w:r>
            <w:r w:rsidR="72418697" w:rsidRPr="33A45F9F">
              <w:rPr>
                <w:rFonts w:eastAsia="Calibri" w:cs="Arial"/>
                <w:sz w:val="22"/>
              </w:rPr>
              <w:t>Te Whatu Ora</w:t>
            </w:r>
            <w:r w:rsidR="366A5399" w:rsidRPr="33A45F9F">
              <w:rPr>
                <w:rFonts w:eastAsia="Calibri" w:cs="Arial"/>
                <w:sz w:val="22"/>
              </w:rPr>
              <w:t xml:space="preserve"> </w:t>
            </w:r>
            <w:r w:rsidR="72418697" w:rsidRPr="33A45F9F">
              <w:rPr>
                <w:rFonts w:eastAsia="Calibri" w:cs="Arial"/>
                <w:sz w:val="22"/>
              </w:rPr>
              <w:t>for n</w:t>
            </w:r>
            <w:r w:rsidR="1D36EE9A" w:rsidRPr="33A45F9F">
              <w:rPr>
                <w:rFonts w:eastAsia="Calibri" w:cs="Arial"/>
                <w:sz w:val="22"/>
              </w:rPr>
              <w:t xml:space="preserve">ew administrative functions </w:t>
            </w:r>
            <w:r w:rsidR="6C01E192" w:rsidRPr="33A45F9F">
              <w:rPr>
                <w:rFonts w:eastAsia="Calibri" w:cs="Arial"/>
                <w:sz w:val="22"/>
              </w:rPr>
              <w:t xml:space="preserve">to </w:t>
            </w:r>
            <w:r w:rsidR="1D36EE9A" w:rsidRPr="33A45F9F">
              <w:rPr>
                <w:rFonts w:eastAsia="Calibri" w:cs="Arial"/>
                <w:sz w:val="22"/>
              </w:rPr>
              <w:t xml:space="preserve">implement the regulations. </w:t>
            </w:r>
            <w:r w:rsidR="65792619" w:rsidRPr="33A45F9F">
              <w:rPr>
                <w:rFonts w:eastAsia="Calibri" w:cs="Arial"/>
                <w:sz w:val="22"/>
              </w:rPr>
              <w:t xml:space="preserve"> For example, analysing new annual reporting data and processing applications to become a smoked tobacco retailer.</w:t>
            </w:r>
            <w:r w:rsidR="001B5E7C">
              <w:rPr>
                <w:rStyle w:val="FootnoteReference"/>
                <w:rFonts w:eastAsia="Calibri" w:cs="Arial"/>
              </w:rPr>
              <w:footnoteReference w:id="11"/>
            </w:r>
            <w:r w:rsidR="312D521F" w:rsidRPr="33A45F9F">
              <w:rPr>
                <w:rFonts w:eastAsia="Calibri" w:cs="Arial"/>
                <w:sz w:val="22"/>
              </w:rPr>
              <w:t xml:space="preserve"> </w:t>
            </w:r>
            <w:r w:rsidR="450A7815" w:rsidRPr="33A45F9F">
              <w:rPr>
                <w:rFonts w:eastAsia="Calibri" w:cs="Arial"/>
                <w:sz w:val="22"/>
              </w:rPr>
              <w:t>Includes some compliance and monitoring, does not include costs of enforcement action.</w:t>
            </w:r>
          </w:p>
          <w:p w14:paraId="1CC06C78" w14:textId="525992F6" w:rsidR="005B2109" w:rsidRDefault="005B2109" w:rsidP="00031CDF">
            <w:pPr>
              <w:pStyle w:val="TableText"/>
              <w:keepNext/>
              <w:spacing w:line="240" w:lineRule="auto"/>
              <w:rPr>
                <w:rFonts w:eastAsia="Calibri" w:cs="Arial"/>
                <w:sz w:val="22"/>
              </w:rPr>
            </w:pPr>
          </w:p>
          <w:p w14:paraId="69E6CD91" w14:textId="5058E25B" w:rsidR="00FF04EC" w:rsidRPr="008063AD" w:rsidRDefault="312D521F" w:rsidP="00031CDF">
            <w:pPr>
              <w:pStyle w:val="TableText"/>
              <w:keepNext/>
              <w:spacing w:line="240" w:lineRule="auto"/>
              <w:rPr>
                <w:rFonts w:eastAsia="Calibri" w:cs="Arial"/>
                <w:sz w:val="22"/>
                <w:lang w:val="en-NZ"/>
              </w:rPr>
            </w:pPr>
            <w:r w:rsidRPr="33A45F9F">
              <w:rPr>
                <w:rFonts w:eastAsia="Calibri" w:cs="Arial"/>
                <w:sz w:val="22"/>
              </w:rPr>
              <w:t xml:space="preserve">Partially cost recovered from fees, </w:t>
            </w:r>
            <w:r w:rsidR="019CA3D3" w:rsidRPr="33A45F9F">
              <w:rPr>
                <w:rFonts w:eastAsia="Calibri" w:cs="Arial"/>
                <w:sz w:val="22"/>
              </w:rPr>
              <w:t>however this is dependent on volume of applications.</w:t>
            </w:r>
          </w:p>
        </w:tc>
        <w:tc>
          <w:tcPr>
            <w:tcW w:w="2551" w:type="dxa"/>
            <w:shd w:val="clear" w:color="auto" w:fill="auto"/>
          </w:tcPr>
          <w:p w14:paraId="566935AD" w14:textId="5BA3855D" w:rsidR="00FF04EC" w:rsidRPr="00252C77" w:rsidRDefault="5D717E21" w:rsidP="00031CDF">
            <w:pPr>
              <w:pStyle w:val="TableText"/>
              <w:keepNext/>
              <w:spacing w:line="240" w:lineRule="auto"/>
              <w:rPr>
                <w:rFonts w:eastAsia="Calibri" w:cs="Arial"/>
                <w:sz w:val="22"/>
              </w:rPr>
            </w:pPr>
            <w:r w:rsidRPr="33A45F9F">
              <w:rPr>
                <w:rFonts w:eastAsia="Calibri" w:cs="Arial"/>
                <w:sz w:val="22"/>
              </w:rPr>
              <w:t xml:space="preserve">Cost to regulator: </w:t>
            </w:r>
            <w:r w:rsidR="7B6B7943" w:rsidRPr="33A45F9F">
              <w:rPr>
                <w:rFonts w:eastAsia="Calibri" w:cs="Arial"/>
                <w:sz w:val="22"/>
              </w:rPr>
              <w:t>$9.7</w:t>
            </w:r>
            <w:r w:rsidR="4532BAD0" w:rsidRPr="33A45F9F">
              <w:rPr>
                <w:rFonts w:eastAsia="Calibri" w:cs="Arial"/>
                <w:sz w:val="22"/>
              </w:rPr>
              <w:t>m for 24/25 and $</w:t>
            </w:r>
            <w:r w:rsidR="3772920C" w:rsidRPr="33A45F9F">
              <w:rPr>
                <w:rFonts w:eastAsia="Calibri" w:cs="Arial"/>
                <w:sz w:val="22"/>
              </w:rPr>
              <w:t>4.7m for out</w:t>
            </w:r>
            <w:r w:rsidR="1507BD80" w:rsidRPr="33A45F9F">
              <w:rPr>
                <w:rFonts w:eastAsia="Calibri" w:cs="Arial"/>
                <w:sz w:val="22"/>
              </w:rPr>
              <w:t>-</w:t>
            </w:r>
            <w:r w:rsidR="3772920C" w:rsidRPr="33A45F9F">
              <w:rPr>
                <w:rFonts w:eastAsia="Calibri" w:cs="Arial"/>
                <w:sz w:val="22"/>
              </w:rPr>
              <w:t>years.</w:t>
            </w:r>
          </w:p>
        </w:tc>
        <w:tc>
          <w:tcPr>
            <w:tcW w:w="1560" w:type="dxa"/>
          </w:tcPr>
          <w:p w14:paraId="1D3D0D4F" w14:textId="2A92E55F" w:rsidR="00FF04EC" w:rsidRPr="00A864A5" w:rsidRDefault="00637C5E" w:rsidP="00031CDF">
            <w:pPr>
              <w:pStyle w:val="TableText"/>
              <w:keepNext/>
              <w:spacing w:line="240" w:lineRule="auto"/>
              <w:rPr>
                <w:rFonts w:eastAsia="Calibri"/>
                <w:sz w:val="22"/>
                <w:lang w:val="en-NZ"/>
              </w:rPr>
            </w:pPr>
            <w:r>
              <w:rPr>
                <w:rFonts w:eastAsia="Calibri"/>
                <w:sz w:val="22"/>
                <w:lang w:val="en-NZ"/>
              </w:rPr>
              <w:t>Medium</w:t>
            </w:r>
          </w:p>
        </w:tc>
      </w:tr>
      <w:tr w:rsidR="00FF04EC" w:rsidRPr="00A864A5" w14:paraId="6A8C1404" w14:textId="77777777" w:rsidTr="33A45F9F">
        <w:trPr>
          <w:trHeight w:val="263"/>
        </w:trPr>
        <w:tc>
          <w:tcPr>
            <w:tcW w:w="2263" w:type="dxa"/>
            <w:shd w:val="clear" w:color="auto" w:fill="auto"/>
          </w:tcPr>
          <w:p w14:paraId="545D8BDC" w14:textId="4F943B42" w:rsidR="00FF04EC" w:rsidRPr="00A864A5" w:rsidRDefault="00FF04EC" w:rsidP="0077649D">
            <w:pPr>
              <w:pStyle w:val="TableText"/>
              <w:keepNext/>
              <w:rPr>
                <w:rFonts w:eastAsia="Calibri" w:cs="Arial"/>
                <w:color w:val="000000"/>
                <w:sz w:val="22"/>
                <w:lang w:val="en-NZ"/>
              </w:rPr>
            </w:pPr>
            <w:r w:rsidRPr="00A864A5">
              <w:rPr>
                <w:rFonts w:eastAsia="Calibri"/>
                <w:color w:val="000000"/>
                <w:sz w:val="22"/>
                <w:lang w:val="en-NZ"/>
              </w:rPr>
              <w:t>Other</w:t>
            </w:r>
            <w:r>
              <w:rPr>
                <w:rFonts w:eastAsia="Calibri"/>
                <w:color w:val="000000"/>
                <w:sz w:val="22"/>
                <w:lang w:val="en-NZ"/>
              </w:rPr>
              <w:t xml:space="preserve">s </w:t>
            </w:r>
            <w:r w:rsidRPr="00A864A5">
              <w:rPr>
                <w:rFonts w:eastAsia="Calibri"/>
                <w:color w:val="000000"/>
                <w:sz w:val="22"/>
                <w:lang w:val="en-NZ"/>
              </w:rPr>
              <w:t>(</w:t>
            </w:r>
            <w:r>
              <w:rPr>
                <w:rFonts w:eastAsia="Calibri"/>
                <w:color w:val="000000"/>
                <w:sz w:val="22"/>
                <w:lang w:val="en-NZ"/>
              </w:rPr>
              <w:t>eg,</w:t>
            </w:r>
            <w:r w:rsidRPr="00A864A5">
              <w:rPr>
                <w:rFonts w:eastAsia="Calibri"/>
                <w:color w:val="000000"/>
                <w:sz w:val="22"/>
                <w:lang w:val="en-NZ"/>
              </w:rPr>
              <w:t xml:space="preserve"> </w:t>
            </w:r>
            <w:r>
              <w:rPr>
                <w:rFonts w:eastAsia="Calibri"/>
                <w:color w:val="000000"/>
                <w:sz w:val="22"/>
                <w:lang w:val="en-NZ"/>
              </w:rPr>
              <w:t>w</w:t>
            </w:r>
            <w:r w:rsidRPr="00A864A5">
              <w:rPr>
                <w:rFonts w:eastAsia="Calibri"/>
                <w:color w:val="000000"/>
                <w:sz w:val="22"/>
                <w:lang w:val="en-NZ"/>
              </w:rPr>
              <w:t>ider gov</w:t>
            </w:r>
            <w:r>
              <w:rPr>
                <w:rFonts w:eastAsia="Calibri"/>
                <w:color w:val="000000"/>
                <w:sz w:val="22"/>
                <w:lang w:val="en-NZ"/>
              </w:rPr>
              <w:t>t</w:t>
            </w:r>
            <w:r w:rsidRPr="00A864A5">
              <w:rPr>
                <w:rFonts w:eastAsia="Calibri"/>
                <w:color w:val="000000"/>
                <w:sz w:val="22"/>
                <w:lang w:val="en-NZ"/>
              </w:rPr>
              <w:t xml:space="preserve">, </w:t>
            </w:r>
            <w:r>
              <w:rPr>
                <w:rFonts w:eastAsia="Calibri"/>
                <w:color w:val="000000"/>
                <w:sz w:val="22"/>
                <w:lang w:val="en-NZ"/>
              </w:rPr>
              <w:t>consumers, etc</w:t>
            </w:r>
            <w:r w:rsidRPr="00A864A5">
              <w:rPr>
                <w:rFonts w:eastAsia="Calibri"/>
                <w:color w:val="000000"/>
                <w:sz w:val="22"/>
                <w:lang w:val="en-NZ"/>
              </w:rPr>
              <w:t>)</w:t>
            </w:r>
          </w:p>
        </w:tc>
        <w:tc>
          <w:tcPr>
            <w:tcW w:w="3119" w:type="dxa"/>
            <w:shd w:val="clear" w:color="auto" w:fill="auto"/>
          </w:tcPr>
          <w:p w14:paraId="542E9CBC" w14:textId="0004B612" w:rsidR="00FF04EC" w:rsidRDefault="46E8AEB0" w:rsidP="58911DBF">
            <w:pPr>
              <w:pStyle w:val="TableText"/>
              <w:keepNext/>
              <w:rPr>
                <w:rFonts w:eastAsia="Calibri"/>
                <w:sz w:val="22"/>
                <w:lang w:val="en-NZ"/>
              </w:rPr>
            </w:pPr>
            <w:r w:rsidRPr="58911DBF">
              <w:rPr>
                <w:rFonts w:eastAsia="Calibri"/>
                <w:sz w:val="22"/>
                <w:lang w:val="en-NZ"/>
              </w:rPr>
              <w:t>Additional costs to businesses associated with becoming approved under the smoked tobacco regime may be passed on to consumers</w:t>
            </w:r>
          </w:p>
          <w:p w14:paraId="7F88659A" w14:textId="47B0A491" w:rsidR="58911DBF" w:rsidRDefault="58911DBF" w:rsidP="58911DBF">
            <w:pPr>
              <w:pStyle w:val="TableText"/>
              <w:keepNext/>
              <w:rPr>
                <w:rFonts w:eastAsia="Calibri"/>
                <w:sz w:val="22"/>
                <w:lang w:val="en-NZ"/>
              </w:rPr>
            </w:pPr>
          </w:p>
          <w:p w14:paraId="23CB613F" w14:textId="028C1526" w:rsidR="00FF04EC" w:rsidRPr="00A864A5" w:rsidRDefault="402EBAF1" w:rsidP="58911DBF">
            <w:pPr>
              <w:pStyle w:val="TableText"/>
              <w:keepNext/>
              <w:rPr>
                <w:rFonts w:eastAsia="Calibri"/>
                <w:sz w:val="22"/>
                <w:lang w:val="en-NZ"/>
              </w:rPr>
            </w:pPr>
            <w:r w:rsidRPr="58911DBF">
              <w:rPr>
                <w:rFonts w:eastAsia="Calibri"/>
                <w:sz w:val="22"/>
                <w:lang w:val="en-NZ"/>
              </w:rPr>
              <w:t>It is possible that there may be an i</w:t>
            </w:r>
            <w:r w:rsidR="1A606602" w:rsidRPr="58911DBF">
              <w:rPr>
                <w:rFonts w:eastAsia="Calibri"/>
                <w:sz w:val="22"/>
                <w:lang w:val="en-NZ"/>
              </w:rPr>
              <w:t>ncreased cost of smoked tobacco</w:t>
            </w:r>
            <w:r w:rsidR="52B56B42" w:rsidRPr="58911DBF">
              <w:rPr>
                <w:rFonts w:eastAsia="Calibri"/>
                <w:sz w:val="22"/>
                <w:lang w:val="en-NZ"/>
              </w:rPr>
              <w:t xml:space="preserve"> that can be </w:t>
            </w:r>
            <w:r w:rsidR="3701C00A" w:rsidRPr="58911DBF">
              <w:rPr>
                <w:rFonts w:eastAsia="Calibri"/>
                <w:sz w:val="22"/>
                <w:lang w:val="en-NZ"/>
              </w:rPr>
              <w:t xml:space="preserve">attributed to testing </w:t>
            </w:r>
            <w:r w:rsidR="6775E47A" w:rsidRPr="58911DBF">
              <w:rPr>
                <w:rFonts w:eastAsia="Calibri"/>
                <w:sz w:val="22"/>
                <w:lang w:val="en-NZ"/>
              </w:rPr>
              <w:t xml:space="preserve">or administrative </w:t>
            </w:r>
            <w:r w:rsidR="3701C00A" w:rsidRPr="58911DBF">
              <w:rPr>
                <w:rFonts w:eastAsia="Calibri"/>
                <w:sz w:val="22"/>
                <w:lang w:val="en-NZ"/>
              </w:rPr>
              <w:t xml:space="preserve">costs. However, this is likely </w:t>
            </w:r>
            <w:r w:rsidR="1A606602" w:rsidRPr="58911DBF">
              <w:rPr>
                <w:rFonts w:eastAsia="Calibri"/>
                <w:sz w:val="22"/>
                <w:lang w:val="en-NZ"/>
              </w:rPr>
              <w:t>further encourage consumers to quit to switch to a less harmful alternative</w:t>
            </w:r>
            <w:r w:rsidR="00D42527" w:rsidRPr="58911DBF">
              <w:rPr>
                <w:rStyle w:val="FootnoteReference"/>
                <w:rFonts w:eastAsia="Calibri"/>
                <w:vertAlign w:val="superscript"/>
                <w:lang w:val="en-NZ"/>
              </w:rPr>
              <w:footnoteReference w:id="12"/>
            </w:r>
          </w:p>
        </w:tc>
        <w:tc>
          <w:tcPr>
            <w:tcW w:w="2551" w:type="dxa"/>
            <w:shd w:val="clear" w:color="auto" w:fill="auto"/>
          </w:tcPr>
          <w:p w14:paraId="7BE1BF1C" w14:textId="21E2ED9D" w:rsidR="003E3DE9" w:rsidRDefault="7A0CE713" w:rsidP="58911DBF">
            <w:pPr>
              <w:pStyle w:val="TableText"/>
              <w:keepNext/>
              <w:rPr>
                <w:rFonts w:eastAsia="Calibri"/>
                <w:sz w:val="22"/>
                <w:lang w:val="en-NZ"/>
              </w:rPr>
            </w:pPr>
            <w:r w:rsidRPr="58911DBF">
              <w:rPr>
                <w:rFonts w:eastAsia="Calibri"/>
                <w:sz w:val="22"/>
                <w:lang w:val="en-NZ"/>
              </w:rPr>
              <w:t>Cost to industry: unknown</w:t>
            </w:r>
          </w:p>
          <w:p w14:paraId="0F6C5EF8" w14:textId="77777777" w:rsidR="002F2DF2" w:rsidRDefault="002F2DF2" w:rsidP="0077649D">
            <w:pPr>
              <w:pStyle w:val="TableText"/>
              <w:keepNext/>
              <w:rPr>
                <w:rFonts w:eastAsia="Calibri"/>
                <w:sz w:val="22"/>
                <w:lang w:val="en-NZ"/>
              </w:rPr>
            </w:pPr>
          </w:p>
          <w:p w14:paraId="4C5E7E0F" w14:textId="3494853A" w:rsidR="00FF04EC" w:rsidRPr="00A864A5" w:rsidRDefault="47E52DD3" w:rsidP="58911DBF">
            <w:pPr>
              <w:pStyle w:val="TableText"/>
              <w:keepNext/>
              <w:rPr>
                <w:rFonts w:eastAsia="Calibri"/>
                <w:sz w:val="22"/>
                <w:lang w:val="en-NZ"/>
              </w:rPr>
            </w:pPr>
            <w:r w:rsidRPr="58911DBF">
              <w:rPr>
                <w:rFonts w:eastAsia="Calibri"/>
                <w:sz w:val="22"/>
                <w:lang w:val="en-NZ"/>
              </w:rPr>
              <w:t>Cost to consumers: unknown</w:t>
            </w:r>
          </w:p>
        </w:tc>
        <w:tc>
          <w:tcPr>
            <w:tcW w:w="1560" w:type="dxa"/>
          </w:tcPr>
          <w:p w14:paraId="6016ECEC" w14:textId="471729F0" w:rsidR="00FF04EC" w:rsidRPr="00A864A5" w:rsidRDefault="003E3DE9" w:rsidP="0077649D">
            <w:pPr>
              <w:pStyle w:val="TableText"/>
              <w:keepNext/>
              <w:rPr>
                <w:rFonts w:eastAsia="Calibri"/>
                <w:sz w:val="22"/>
                <w:lang w:val="en-NZ"/>
              </w:rPr>
            </w:pPr>
            <w:r>
              <w:rPr>
                <w:rFonts w:eastAsia="Calibri"/>
                <w:sz w:val="22"/>
                <w:lang w:val="en-NZ"/>
              </w:rPr>
              <w:t>Low</w:t>
            </w:r>
          </w:p>
        </w:tc>
      </w:tr>
      <w:tr w:rsidR="00FF04EC" w:rsidRPr="00A864A5" w14:paraId="1DB07288" w14:textId="77777777" w:rsidTr="33A45F9F">
        <w:trPr>
          <w:trHeight w:val="263"/>
        </w:trPr>
        <w:tc>
          <w:tcPr>
            <w:tcW w:w="2263" w:type="dxa"/>
            <w:shd w:val="clear" w:color="auto" w:fill="auto"/>
          </w:tcPr>
          <w:p w14:paraId="1AE8C814" w14:textId="77777777" w:rsidR="00FF04EC" w:rsidRPr="00A864A5" w:rsidRDefault="00FF04EC" w:rsidP="0077649D">
            <w:pPr>
              <w:pStyle w:val="TableText"/>
              <w:keepNext/>
              <w:rPr>
                <w:rFonts w:eastAsia="Calibri"/>
                <w:b/>
                <w:sz w:val="22"/>
                <w:lang w:val="en-NZ"/>
              </w:rPr>
            </w:pPr>
            <w:r w:rsidRPr="00A864A5">
              <w:rPr>
                <w:rFonts w:eastAsia="Calibri"/>
                <w:b/>
                <w:sz w:val="22"/>
                <w:lang w:val="en-NZ"/>
              </w:rPr>
              <w:t>Total monetised costs</w:t>
            </w:r>
          </w:p>
        </w:tc>
        <w:tc>
          <w:tcPr>
            <w:tcW w:w="3119" w:type="dxa"/>
            <w:shd w:val="clear" w:color="auto" w:fill="auto"/>
          </w:tcPr>
          <w:p w14:paraId="6F506CF2" w14:textId="778FF046" w:rsidR="00FF04EC" w:rsidRPr="00DB6642" w:rsidRDefault="00FF04EC" w:rsidP="0077649D">
            <w:pPr>
              <w:pStyle w:val="TableText"/>
              <w:keepNext/>
              <w:rPr>
                <w:rFonts w:eastAsia="Calibri"/>
                <w:sz w:val="22"/>
                <w:lang w:val="en-NZ"/>
              </w:rPr>
            </w:pPr>
          </w:p>
        </w:tc>
        <w:tc>
          <w:tcPr>
            <w:tcW w:w="2551" w:type="dxa"/>
            <w:shd w:val="clear" w:color="auto" w:fill="auto"/>
          </w:tcPr>
          <w:p w14:paraId="6192CF38" w14:textId="2EC38DA5" w:rsidR="00FF04EC" w:rsidRDefault="00372894" w:rsidP="0077649D">
            <w:pPr>
              <w:pStyle w:val="TableText"/>
              <w:keepNext/>
              <w:rPr>
                <w:rFonts w:eastAsia="Calibri"/>
                <w:sz w:val="22"/>
                <w:lang w:val="en-NZ"/>
              </w:rPr>
            </w:pPr>
            <w:r>
              <w:rPr>
                <w:rFonts w:eastAsia="Calibri"/>
                <w:sz w:val="22"/>
                <w:lang w:val="en-NZ"/>
              </w:rPr>
              <w:t xml:space="preserve">Compliance cost for businesses: </w:t>
            </w:r>
          </w:p>
          <w:p w14:paraId="50973C42" w14:textId="569533F1" w:rsidR="00372894" w:rsidRDefault="5E0CAFA6" w:rsidP="58911DBF">
            <w:pPr>
              <w:pStyle w:val="TableText"/>
              <w:keepNext/>
              <w:rPr>
                <w:rFonts w:eastAsia="Calibri"/>
                <w:sz w:val="22"/>
                <w:lang w:val="en-NZ"/>
              </w:rPr>
            </w:pPr>
            <w:r w:rsidRPr="58911DBF">
              <w:rPr>
                <w:rFonts w:eastAsia="Calibri"/>
                <w:sz w:val="22"/>
                <w:lang w:val="en-NZ"/>
              </w:rPr>
              <w:t xml:space="preserve">Cost of fees for industry: </w:t>
            </w:r>
            <w:r w:rsidR="00D7370E" w:rsidRPr="33A45F9F">
              <w:rPr>
                <w:rFonts w:eastAsia="Calibri"/>
                <w:sz w:val="22"/>
                <w:lang w:val="en-NZ"/>
              </w:rPr>
              <w:t xml:space="preserve">$5m - $8m for 23/24. Approx. $0.5m </w:t>
            </w:r>
            <w:r w:rsidR="00D7370E">
              <w:rPr>
                <w:rFonts w:eastAsia="Calibri"/>
                <w:sz w:val="22"/>
                <w:lang w:val="en-NZ"/>
              </w:rPr>
              <w:t>for out-years</w:t>
            </w:r>
            <w:r w:rsidR="00D7370E" w:rsidRPr="33A45F9F">
              <w:rPr>
                <w:rFonts w:eastAsia="Calibri"/>
                <w:sz w:val="22"/>
                <w:lang w:val="en-NZ"/>
              </w:rPr>
              <w:t xml:space="preserve"> </w:t>
            </w:r>
          </w:p>
          <w:p w14:paraId="6A8ECDC0" w14:textId="34F68895" w:rsidR="00372894" w:rsidRDefault="00372894" w:rsidP="0077649D">
            <w:pPr>
              <w:pStyle w:val="TableText"/>
              <w:keepNext/>
              <w:rPr>
                <w:rFonts w:eastAsia="Calibri"/>
                <w:sz w:val="22"/>
                <w:lang w:val="en-NZ"/>
              </w:rPr>
            </w:pPr>
            <w:r>
              <w:rPr>
                <w:rFonts w:eastAsia="Calibri"/>
                <w:sz w:val="22"/>
                <w:lang w:val="en-NZ"/>
              </w:rPr>
              <w:t xml:space="preserve">Cost to regulator: </w:t>
            </w:r>
            <w:r w:rsidR="00D7370E" w:rsidRPr="33A45F9F">
              <w:rPr>
                <w:rFonts w:eastAsia="Calibri" w:cs="Arial"/>
                <w:sz w:val="22"/>
              </w:rPr>
              <w:t>$9.7m for 24/25 and $4.7m for out-years</w:t>
            </w:r>
            <w:r w:rsidR="00D7370E">
              <w:rPr>
                <w:rFonts w:eastAsia="Calibri"/>
                <w:sz w:val="22"/>
                <w:lang w:val="en-NZ"/>
              </w:rPr>
              <w:t xml:space="preserve"> </w:t>
            </w:r>
          </w:p>
          <w:p w14:paraId="7B707D44" w14:textId="0B8C21BF" w:rsidR="00FF04EC" w:rsidRPr="00A864A5" w:rsidRDefault="5E0CAFA6" w:rsidP="58911DBF">
            <w:pPr>
              <w:pStyle w:val="TableText"/>
              <w:keepNext/>
              <w:rPr>
                <w:rFonts w:eastAsia="Calibri"/>
                <w:sz w:val="22"/>
                <w:lang w:val="en-NZ"/>
              </w:rPr>
            </w:pPr>
            <w:r w:rsidRPr="58911DBF">
              <w:rPr>
                <w:rFonts w:eastAsia="Calibri"/>
                <w:sz w:val="22"/>
                <w:lang w:val="en-NZ"/>
              </w:rPr>
              <w:t>Consumer prices: unknown</w:t>
            </w:r>
          </w:p>
        </w:tc>
        <w:tc>
          <w:tcPr>
            <w:tcW w:w="1560" w:type="dxa"/>
          </w:tcPr>
          <w:p w14:paraId="25829590" w14:textId="4ECA366C" w:rsidR="00FF04EC" w:rsidRPr="00A864A5" w:rsidRDefault="00DC213A" w:rsidP="0077649D">
            <w:pPr>
              <w:pStyle w:val="TableText"/>
              <w:keepNext/>
              <w:rPr>
                <w:rFonts w:eastAsia="Calibri"/>
                <w:sz w:val="22"/>
                <w:lang w:val="en-NZ"/>
              </w:rPr>
            </w:pPr>
            <w:r>
              <w:rPr>
                <w:rFonts w:eastAsia="Calibri"/>
                <w:sz w:val="22"/>
                <w:lang w:val="en-NZ"/>
              </w:rPr>
              <w:t>Medium</w:t>
            </w:r>
          </w:p>
        </w:tc>
      </w:tr>
      <w:tr w:rsidR="00FF04EC" w:rsidRPr="00A864A5" w14:paraId="2DDB60DB" w14:textId="77777777" w:rsidTr="33A45F9F">
        <w:trPr>
          <w:trHeight w:val="263"/>
        </w:trPr>
        <w:tc>
          <w:tcPr>
            <w:tcW w:w="2263" w:type="dxa"/>
            <w:shd w:val="clear" w:color="auto" w:fill="auto"/>
          </w:tcPr>
          <w:p w14:paraId="15268E3F" w14:textId="77777777" w:rsidR="00FF04EC" w:rsidRPr="00A864A5" w:rsidRDefault="00FF04EC" w:rsidP="0077649D">
            <w:pPr>
              <w:pStyle w:val="TableText"/>
              <w:keepNext/>
              <w:rPr>
                <w:rFonts w:eastAsia="Calibri"/>
                <w:b/>
                <w:sz w:val="22"/>
                <w:lang w:val="en-NZ"/>
              </w:rPr>
            </w:pPr>
            <w:r w:rsidRPr="00A864A5">
              <w:rPr>
                <w:rFonts w:eastAsia="Calibri"/>
                <w:b/>
                <w:sz w:val="22"/>
                <w:lang w:val="en-NZ"/>
              </w:rPr>
              <w:t xml:space="preserve">Non-monetised costs </w:t>
            </w:r>
          </w:p>
        </w:tc>
        <w:tc>
          <w:tcPr>
            <w:tcW w:w="3119" w:type="dxa"/>
            <w:shd w:val="clear" w:color="auto" w:fill="auto"/>
          </w:tcPr>
          <w:p w14:paraId="032BBB44" w14:textId="77777777" w:rsidR="00FF04EC" w:rsidRPr="00DB6642" w:rsidRDefault="00FF04EC" w:rsidP="0077649D">
            <w:pPr>
              <w:pStyle w:val="TableText"/>
              <w:keepNext/>
              <w:rPr>
                <w:rFonts w:eastAsia="Calibri"/>
                <w:sz w:val="22"/>
                <w:lang w:val="en-NZ"/>
              </w:rPr>
            </w:pPr>
          </w:p>
        </w:tc>
        <w:tc>
          <w:tcPr>
            <w:tcW w:w="2551" w:type="dxa"/>
            <w:shd w:val="clear" w:color="auto" w:fill="auto"/>
          </w:tcPr>
          <w:p w14:paraId="3FBBD1E8" w14:textId="77777777" w:rsidR="00FF04EC" w:rsidRPr="00A864A5" w:rsidRDefault="00FF04EC" w:rsidP="0077649D">
            <w:pPr>
              <w:pStyle w:val="TableText"/>
              <w:keepNext/>
              <w:rPr>
                <w:rFonts w:eastAsia="Calibri"/>
                <w:i/>
                <w:sz w:val="22"/>
                <w:lang w:val="en-NZ"/>
              </w:rPr>
            </w:pPr>
            <w:r w:rsidRPr="00A864A5">
              <w:rPr>
                <w:rFonts w:eastAsia="Calibri"/>
                <w:i/>
                <w:sz w:val="22"/>
                <w:lang w:val="en-NZ"/>
              </w:rPr>
              <w:t xml:space="preserve">(High, </w:t>
            </w:r>
            <w:proofErr w:type="gramStart"/>
            <w:r w:rsidRPr="00A864A5">
              <w:rPr>
                <w:rFonts w:eastAsia="Calibri"/>
                <w:i/>
                <w:sz w:val="22"/>
                <w:lang w:val="en-NZ"/>
              </w:rPr>
              <w:t>medium</w:t>
            </w:r>
            <w:proofErr w:type="gramEnd"/>
            <w:r w:rsidRPr="00A864A5">
              <w:rPr>
                <w:rFonts w:eastAsia="Calibri"/>
                <w:i/>
                <w:sz w:val="22"/>
                <w:lang w:val="en-NZ"/>
              </w:rPr>
              <w:t xml:space="preserve"> or low)</w:t>
            </w:r>
          </w:p>
        </w:tc>
        <w:tc>
          <w:tcPr>
            <w:tcW w:w="1560" w:type="dxa"/>
          </w:tcPr>
          <w:p w14:paraId="23707F96" w14:textId="06013201" w:rsidR="00FF04EC" w:rsidRPr="00DB6642" w:rsidRDefault="00DC213A" w:rsidP="0077649D">
            <w:pPr>
              <w:pStyle w:val="TableText"/>
              <w:keepNext/>
              <w:rPr>
                <w:rFonts w:eastAsia="Calibri"/>
                <w:sz w:val="22"/>
                <w:lang w:val="en-NZ"/>
              </w:rPr>
            </w:pPr>
            <w:r>
              <w:rPr>
                <w:rFonts w:eastAsia="Calibri"/>
                <w:iCs/>
                <w:sz w:val="22"/>
                <w:lang w:val="en-NZ"/>
              </w:rPr>
              <w:t>Medium</w:t>
            </w:r>
          </w:p>
        </w:tc>
      </w:tr>
      <w:tr w:rsidR="00FF04EC" w:rsidRPr="00A864A5" w14:paraId="5525E86A" w14:textId="77777777" w:rsidTr="33A45F9F">
        <w:trPr>
          <w:trHeight w:val="426"/>
        </w:trPr>
        <w:tc>
          <w:tcPr>
            <w:tcW w:w="9493" w:type="dxa"/>
            <w:gridSpan w:val="4"/>
            <w:shd w:val="clear" w:color="auto" w:fill="F2F2F2" w:themeFill="background1" w:themeFillShade="F2"/>
            <w:vAlign w:val="center"/>
          </w:tcPr>
          <w:p w14:paraId="541F7059" w14:textId="77777777" w:rsidR="00FF04EC" w:rsidRDefault="00FF04EC" w:rsidP="00323FD0">
            <w:pPr>
              <w:spacing w:before="40" w:after="20" w:line="240" w:lineRule="auto"/>
              <w:rPr>
                <w:rFonts w:eastAsia="Calibri"/>
                <w:b/>
                <w:bCs/>
                <w:color w:val="000000"/>
                <w:szCs w:val="22"/>
                <w:lang w:val="en-NZ"/>
              </w:rPr>
            </w:pPr>
            <w:r>
              <w:rPr>
                <w:rFonts w:eastAsia="Calibri"/>
                <w:b/>
                <w:bCs/>
                <w:color w:val="000000"/>
                <w:szCs w:val="22"/>
                <w:lang w:val="en-NZ"/>
              </w:rPr>
              <w:t>Additional b</w:t>
            </w:r>
            <w:r w:rsidRPr="00A864A5">
              <w:rPr>
                <w:rFonts w:eastAsia="Calibri"/>
                <w:b/>
                <w:bCs/>
                <w:color w:val="000000"/>
                <w:szCs w:val="22"/>
                <w:lang w:val="en-NZ"/>
              </w:rPr>
              <w:t xml:space="preserve">enefits of the preferred option compared to </w:t>
            </w:r>
            <w:r>
              <w:rPr>
                <w:rFonts w:eastAsia="Calibri"/>
                <w:b/>
                <w:bCs/>
                <w:color w:val="000000"/>
                <w:szCs w:val="22"/>
                <w:lang w:val="en-NZ"/>
              </w:rPr>
              <w:t>taking no action</w:t>
            </w:r>
          </w:p>
        </w:tc>
      </w:tr>
      <w:tr w:rsidR="00FF04EC" w:rsidRPr="00A864A5" w14:paraId="27E58D73" w14:textId="77777777" w:rsidTr="33A45F9F">
        <w:trPr>
          <w:trHeight w:val="381"/>
        </w:trPr>
        <w:tc>
          <w:tcPr>
            <w:tcW w:w="2263" w:type="dxa"/>
            <w:shd w:val="clear" w:color="auto" w:fill="auto"/>
          </w:tcPr>
          <w:p w14:paraId="2A51FB6F" w14:textId="77777777" w:rsidR="00FF04EC" w:rsidRPr="00A864A5" w:rsidRDefault="00FF04EC" w:rsidP="00031CDF">
            <w:pPr>
              <w:pStyle w:val="TableText"/>
              <w:spacing w:line="240" w:lineRule="auto"/>
              <w:rPr>
                <w:rFonts w:eastAsia="Calibri"/>
                <w:sz w:val="22"/>
                <w:lang w:val="en-NZ"/>
              </w:rPr>
            </w:pPr>
            <w:r w:rsidRPr="00A864A5">
              <w:rPr>
                <w:rFonts w:eastAsia="Calibri"/>
                <w:sz w:val="22"/>
                <w:lang w:val="en-NZ"/>
              </w:rPr>
              <w:t>Regulated groups</w:t>
            </w:r>
          </w:p>
        </w:tc>
        <w:tc>
          <w:tcPr>
            <w:tcW w:w="3119" w:type="dxa"/>
            <w:shd w:val="clear" w:color="auto" w:fill="auto"/>
          </w:tcPr>
          <w:p w14:paraId="26278B65" w14:textId="1E022C49" w:rsidR="00FF04EC" w:rsidRPr="00A864A5" w:rsidRDefault="00CF7410" w:rsidP="00031CDF">
            <w:pPr>
              <w:pStyle w:val="TableText"/>
              <w:spacing w:line="240" w:lineRule="auto"/>
              <w:rPr>
                <w:rFonts w:eastAsia="Calibri"/>
                <w:sz w:val="22"/>
                <w:lang w:val="en-NZ"/>
              </w:rPr>
            </w:pPr>
            <w:r>
              <w:rPr>
                <w:rFonts w:eastAsia="Calibri"/>
                <w:sz w:val="22"/>
                <w:lang w:val="en-NZ"/>
              </w:rPr>
              <w:t xml:space="preserve">Greater clarity over the regulatory requirements introduced by the </w:t>
            </w:r>
            <w:r w:rsidR="00A42D92">
              <w:rPr>
                <w:rFonts w:eastAsia="Calibri"/>
                <w:sz w:val="22"/>
                <w:lang w:val="en-NZ"/>
              </w:rPr>
              <w:t xml:space="preserve">Amendment </w:t>
            </w:r>
            <w:r>
              <w:rPr>
                <w:rFonts w:eastAsia="Calibri"/>
                <w:sz w:val="22"/>
                <w:lang w:val="en-NZ"/>
              </w:rPr>
              <w:t>Act</w:t>
            </w:r>
          </w:p>
        </w:tc>
        <w:tc>
          <w:tcPr>
            <w:tcW w:w="2551" w:type="dxa"/>
            <w:shd w:val="clear" w:color="auto" w:fill="auto"/>
          </w:tcPr>
          <w:p w14:paraId="561B72C3" w14:textId="4C3F7508" w:rsidR="00FF04EC" w:rsidRPr="00A864A5" w:rsidRDefault="0DF68B1B" w:rsidP="00031CDF">
            <w:pPr>
              <w:pStyle w:val="TableText"/>
              <w:spacing w:line="240" w:lineRule="auto"/>
              <w:rPr>
                <w:rFonts w:eastAsia="Calibri"/>
                <w:sz w:val="22"/>
                <w:lang w:val="en-NZ"/>
              </w:rPr>
            </w:pPr>
            <w:r w:rsidRPr="2FC23C9B">
              <w:rPr>
                <w:rFonts w:eastAsia="Calibri"/>
                <w:sz w:val="22"/>
                <w:lang w:val="en-NZ"/>
              </w:rPr>
              <w:t>Low</w:t>
            </w:r>
          </w:p>
        </w:tc>
        <w:tc>
          <w:tcPr>
            <w:tcW w:w="1560" w:type="dxa"/>
          </w:tcPr>
          <w:p w14:paraId="760E9135" w14:textId="2656C292" w:rsidR="00FF04EC" w:rsidRPr="00A864A5" w:rsidRDefault="00CF7410" w:rsidP="00031CDF">
            <w:pPr>
              <w:pStyle w:val="TableText"/>
              <w:spacing w:line="240" w:lineRule="auto"/>
              <w:rPr>
                <w:rFonts w:eastAsia="Calibri"/>
                <w:sz w:val="22"/>
                <w:lang w:val="en-NZ"/>
              </w:rPr>
            </w:pPr>
            <w:r>
              <w:rPr>
                <w:rFonts w:eastAsia="Calibri"/>
                <w:sz w:val="22"/>
                <w:lang w:val="en-NZ"/>
              </w:rPr>
              <w:t>High</w:t>
            </w:r>
          </w:p>
        </w:tc>
      </w:tr>
      <w:tr w:rsidR="00FF04EC" w:rsidRPr="00A864A5" w14:paraId="23263F90" w14:textId="77777777" w:rsidTr="33A45F9F">
        <w:trPr>
          <w:trHeight w:val="381"/>
        </w:trPr>
        <w:tc>
          <w:tcPr>
            <w:tcW w:w="2263" w:type="dxa"/>
            <w:shd w:val="clear" w:color="auto" w:fill="auto"/>
          </w:tcPr>
          <w:p w14:paraId="2C703D89" w14:textId="77777777" w:rsidR="00FF04EC" w:rsidRPr="008063AD" w:rsidRDefault="00FF04EC" w:rsidP="00031CDF">
            <w:pPr>
              <w:pStyle w:val="TableText"/>
              <w:spacing w:line="240" w:lineRule="auto"/>
              <w:rPr>
                <w:rFonts w:eastAsia="Calibri" w:cs="Arial"/>
                <w:sz w:val="22"/>
                <w:lang w:val="en-NZ"/>
              </w:rPr>
            </w:pPr>
            <w:r w:rsidRPr="008063AD">
              <w:rPr>
                <w:rFonts w:eastAsia="Calibri" w:cs="Arial"/>
                <w:sz w:val="22"/>
                <w:lang w:val="en-NZ"/>
              </w:rPr>
              <w:t>Regulators</w:t>
            </w:r>
          </w:p>
        </w:tc>
        <w:tc>
          <w:tcPr>
            <w:tcW w:w="3119" w:type="dxa"/>
            <w:shd w:val="clear" w:color="auto" w:fill="auto"/>
          </w:tcPr>
          <w:p w14:paraId="412E4F04" w14:textId="36B7E358" w:rsidR="008063AD" w:rsidRPr="008063AD" w:rsidRDefault="008063AD" w:rsidP="00031CDF">
            <w:pPr>
              <w:pStyle w:val="TableText"/>
              <w:spacing w:line="240" w:lineRule="auto"/>
              <w:rPr>
                <w:rFonts w:eastAsia="Calibri" w:cs="Arial"/>
                <w:sz w:val="22"/>
              </w:rPr>
            </w:pPr>
            <w:r w:rsidRPr="008063AD">
              <w:rPr>
                <w:rFonts w:eastAsia="Calibri" w:cs="Arial"/>
                <w:sz w:val="22"/>
              </w:rPr>
              <w:t xml:space="preserve">Able to effectively enforce the </w:t>
            </w:r>
            <w:r w:rsidR="00374A7A">
              <w:rPr>
                <w:rFonts w:eastAsia="Calibri" w:cs="Arial"/>
                <w:sz w:val="22"/>
              </w:rPr>
              <w:t xml:space="preserve">Smokefree </w:t>
            </w:r>
            <w:r w:rsidRPr="008063AD">
              <w:rPr>
                <w:rFonts w:eastAsia="Calibri" w:cs="Arial"/>
                <w:sz w:val="22"/>
              </w:rPr>
              <w:t>Act as it applies to vaping and smokeless tobacco products.</w:t>
            </w:r>
          </w:p>
          <w:p w14:paraId="35470FD4" w14:textId="77777777" w:rsidR="00FF04EC" w:rsidRDefault="62D0ECF0" w:rsidP="00031CDF">
            <w:pPr>
              <w:pStyle w:val="TableText"/>
              <w:spacing w:line="240" w:lineRule="auto"/>
              <w:rPr>
                <w:rFonts w:eastAsia="Calibri" w:cs="Arial"/>
                <w:sz w:val="22"/>
              </w:rPr>
            </w:pPr>
            <w:r w:rsidRPr="33A45F9F">
              <w:rPr>
                <w:rFonts w:eastAsia="Calibri" w:cs="Arial"/>
                <w:sz w:val="22"/>
              </w:rPr>
              <w:t>Information is available to monitor overall trends in the vaping market and inform future policy decisions.</w:t>
            </w:r>
          </w:p>
          <w:p w14:paraId="68F5728E" w14:textId="60E706FC" w:rsidR="0034298D" w:rsidRPr="008063AD" w:rsidRDefault="11C83AC0" w:rsidP="00031CDF">
            <w:pPr>
              <w:pStyle w:val="TableText"/>
              <w:spacing w:line="240" w:lineRule="auto"/>
              <w:rPr>
                <w:rFonts w:eastAsia="Calibri" w:cs="Arial"/>
                <w:sz w:val="22"/>
                <w:lang w:val="en-NZ"/>
              </w:rPr>
            </w:pPr>
            <w:r w:rsidRPr="33A45F9F">
              <w:rPr>
                <w:rFonts w:eastAsia="Calibri" w:cs="Arial"/>
                <w:sz w:val="22"/>
              </w:rPr>
              <w:t xml:space="preserve">Does not include the overall benefits of the </w:t>
            </w:r>
            <w:r w:rsidR="6C124264" w:rsidRPr="33A45F9F">
              <w:rPr>
                <w:rFonts w:eastAsia="Calibri" w:cs="Arial"/>
                <w:sz w:val="22"/>
              </w:rPr>
              <w:t>Amendment Act</w:t>
            </w:r>
            <w:r w:rsidR="7DBC727F" w:rsidRPr="1B502AF9">
              <w:rPr>
                <w:rFonts w:eastAsia="Calibri" w:cs="Arial"/>
                <w:sz w:val="22"/>
              </w:rPr>
              <w:t>. See RIS</w:t>
            </w:r>
            <w:r w:rsidRPr="1B502AF9">
              <w:rPr>
                <w:rStyle w:val="FootnoteReference"/>
                <w:rFonts w:eastAsia="Calibri" w:cs="Arial"/>
                <w:sz w:val="22"/>
                <w:vertAlign w:val="superscript"/>
              </w:rPr>
              <w:footnoteReference w:id="13"/>
            </w:r>
            <w:r w:rsidR="7DBC727F" w:rsidRPr="1B502AF9">
              <w:rPr>
                <w:rFonts w:eastAsia="Calibri" w:cs="Arial"/>
                <w:sz w:val="22"/>
              </w:rPr>
              <w:t>.</w:t>
            </w:r>
          </w:p>
        </w:tc>
        <w:tc>
          <w:tcPr>
            <w:tcW w:w="2551" w:type="dxa"/>
            <w:shd w:val="clear" w:color="auto" w:fill="auto"/>
          </w:tcPr>
          <w:p w14:paraId="2B389DDC" w14:textId="2E44354D" w:rsidR="00FF04EC" w:rsidRPr="00A864A5" w:rsidRDefault="00FE611E" w:rsidP="00031CDF">
            <w:pPr>
              <w:pStyle w:val="TableText"/>
              <w:spacing w:line="240" w:lineRule="auto"/>
              <w:rPr>
                <w:rFonts w:eastAsia="Calibri"/>
                <w:sz w:val="22"/>
                <w:lang w:val="en-NZ"/>
              </w:rPr>
            </w:pPr>
            <w:r>
              <w:rPr>
                <w:rFonts w:eastAsia="Calibri"/>
                <w:sz w:val="22"/>
                <w:lang w:val="en-NZ"/>
              </w:rPr>
              <w:t>High</w:t>
            </w:r>
          </w:p>
        </w:tc>
        <w:tc>
          <w:tcPr>
            <w:tcW w:w="1560" w:type="dxa"/>
          </w:tcPr>
          <w:p w14:paraId="360CC675" w14:textId="77777777" w:rsidR="00FF04EC" w:rsidRPr="00A864A5" w:rsidRDefault="00FF04EC" w:rsidP="00031CDF">
            <w:pPr>
              <w:pStyle w:val="TableText"/>
              <w:spacing w:line="240" w:lineRule="auto"/>
              <w:rPr>
                <w:rFonts w:eastAsia="Calibri"/>
                <w:sz w:val="22"/>
                <w:lang w:val="en-NZ"/>
              </w:rPr>
            </w:pPr>
          </w:p>
        </w:tc>
      </w:tr>
      <w:tr w:rsidR="00FF04EC" w:rsidRPr="00A864A5" w14:paraId="252A6B6F" w14:textId="77777777" w:rsidTr="33A45F9F">
        <w:trPr>
          <w:trHeight w:val="263"/>
        </w:trPr>
        <w:tc>
          <w:tcPr>
            <w:tcW w:w="2263" w:type="dxa"/>
            <w:shd w:val="clear" w:color="auto" w:fill="auto"/>
          </w:tcPr>
          <w:p w14:paraId="0D612E9D" w14:textId="0308BAA7" w:rsidR="00FF04EC" w:rsidRPr="00A864A5" w:rsidRDefault="00FF04EC" w:rsidP="0077649D">
            <w:pPr>
              <w:pStyle w:val="TableText"/>
              <w:rPr>
                <w:rFonts w:eastAsia="Calibri"/>
                <w:sz w:val="22"/>
                <w:lang w:val="en-NZ"/>
              </w:rPr>
            </w:pPr>
            <w:r w:rsidRPr="00A864A5">
              <w:rPr>
                <w:rFonts w:eastAsia="Calibri"/>
                <w:color w:val="000000"/>
                <w:sz w:val="22"/>
                <w:lang w:val="en-NZ"/>
              </w:rPr>
              <w:t>Other</w:t>
            </w:r>
            <w:r>
              <w:rPr>
                <w:rFonts w:eastAsia="Calibri"/>
                <w:color w:val="000000"/>
                <w:sz w:val="22"/>
                <w:lang w:val="en-NZ"/>
              </w:rPr>
              <w:t xml:space="preserve">s </w:t>
            </w:r>
            <w:r w:rsidRPr="00A864A5">
              <w:rPr>
                <w:rFonts w:eastAsia="Calibri"/>
                <w:color w:val="000000"/>
                <w:sz w:val="22"/>
                <w:lang w:val="en-NZ"/>
              </w:rPr>
              <w:t>(</w:t>
            </w:r>
            <w:r>
              <w:rPr>
                <w:rFonts w:eastAsia="Calibri"/>
                <w:color w:val="000000"/>
                <w:sz w:val="22"/>
                <w:lang w:val="en-NZ"/>
              </w:rPr>
              <w:t>eg,</w:t>
            </w:r>
            <w:r w:rsidRPr="00A864A5">
              <w:rPr>
                <w:rFonts w:eastAsia="Calibri"/>
                <w:color w:val="000000"/>
                <w:sz w:val="22"/>
                <w:lang w:val="en-NZ"/>
              </w:rPr>
              <w:t xml:space="preserve"> </w:t>
            </w:r>
            <w:r>
              <w:rPr>
                <w:rFonts w:eastAsia="Calibri"/>
                <w:color w:val="000000"/>
                <w:sz w:val="22"/>
                <w:lang w:val="en-NZ"/>
              </w:rPr>
              <w:t>w</w:t>
            </w:r>
            <w:r w:rsidRPr="00A864A5">
              <w:rPr>
                <w:rFonts w:eastAsia="Calibri"/>
                <w:color w:val="000000"/>
                <w:sz w:val="22"/>
                <w:lang w:val="en-NZ"/>
              </w:rPr>
              <w:t xml:space="preserve">ider </w:t>
            </w:r>
            <w:r>
              <w:rPr>
                <w:rFonts w:eastAsia="Calibri"/>
                <w:color w:val="000000"/>
                <w:sz w:val="22"/>
                <w:lang w:val="en-NZ"/>
              </w:rPr>
              <w:t>govt</w:t>
            </w:r>
            <w:r w:rsidRPr="00A864A5">
              <w:rPr>
                <w:rFonts w:eastAsia="Calibri"/>
                <w:color w:val="000000"/>
                <w:sz w:val="22"/>
                <w:lang w:val="en-NZ"/>
              </w:rPr>
              <w:t xml:space="preserve">, </w:t>
            </w:r>
            <w:r>
              <w:rPr>
                <w:rFonts w:eastAsia="Calibri"/>
                <w:color w:val="000000"/>
                <w:sz w:val="22"/>
                <w:lang w:val="en-NZ"/>
              </w:rPr>
              <w:t>consumers, etc</w:t>
            </w:r>
            <w:r w:rsidR="008063AD" w:rsidRPr="00A864A5">
              <w:rPr>
                <w:rFonts w:eastAsia="Calibri"/>
                <w:color w:val="000000"/>
                <w:sz w:val="22"/>
                <w:lang w:val="en-NZ"/>
              </w:rPr>
              <w:t>)</w:t>
            </w:r>
          </w:p>
        </w:tc>
        <w:tc>
          <w:tcPr>
            <w:tcW w:w="3119" w:type="dxa"/>
            <w:shd w:val="clear" w:color="auto" w:fill="auto"/>
          </w:tcPr>
          <w:p w14:paraId="6445F275" w14:textId="2A2DE1B9" w:rsidR="00FF04EC" w:rsidRPr="00A864A5" w:rsidRDefault="00CC3B15" w:rsidP="0077649D">
            <w:pPr>
              <w:pStyle w:val="TableText"/>
              <w:rPr>
                <w:rFonts w:eastAsia="Calibri"/>
                <w:sz w:val="22"/>
                <w:lang w:val="en-NZ"/>
              </w:rPr>
            </w:pPr>
            <w:r>
              <w:rPr>
                <w:rFonts w:eastAsia="Calibri"/>
                <w:sz w:val="22"/>
                <w:lang w:val="en-NZ"/>
              </w:rPr>
              <w:t>Consumers and public can be confident the industry is operating within a robust and clear regulatory framework</w:t>
            </w:r>
            <w:r w:rsidR="00495870">
              <w:rPr>
                <w:rFonts w:eastAsia="Calibri"/>
                <w:sz w:val="22"/>
                <w:lang w:val="en-NZ"/>
              </w:rPr>
              <w:t>.</w:t>
            </w:r>
          </w:p>
        </w:tc>
        <w:tc>
          <w:tcPr>
            <w:tcW w:w="2551" w:type="dxa"/>
            <w:shd w:val="clear" w:color="auto" w:fill="auto"/>
          </w:tcPr>
          <w:p w14:paraId="6A735FE6" w14:textId="36583D04" w:rsidR="00FF04EC" w:rsidRPr="00A864A5" w:rsidRDefault="00FE611E" w:rsidP="0077649D">
            <w:pPr>
              <w:pStyle w:val="TableText"/>
              <w:rPr>
                <w:rFonts w:eastAsia="Calibri"/>
                <w:sz w:val="22"/>
                <w:lang w:val="en-NZ"/>
              </w:rPr>
            </w:pPr>
            <w:r>
              <w:rPr>
                <w:rFonts w:eastAsia="Calibri"/>
                <w:sz w:val="22"/>
                <w:lang w:val="en-NZ"/>
              </w:rPr>
              <w:t>High</w:t>
            </w:r>
          </w:p>
        </w:tc>
        <w:tc>
          <w:tcPr>
            <w:tcW w:w="1560" w:type="dxa"/>
          </w:tcPr>
          <w:p w14:paraId="2254A44E" w14:textId="77777777" w:rsidR="008063AD" w:rsidRDefault="00B42FAE" w:rsidP="008063AD">
            <w:pPr>
              <w:pStyle w:val="TableText"/>
              <w:rPr>
                <w:rFonts w:eastAsia="Calibri"/>
                <w:sz w:val="22"/>
                <w:lang w:val="en-NZ"/>
              </w:rPr>
            </w:pPr>
            <w:r>
              <w:rPr>
                <w:rFonts w:eastAsia="Calibri"/>
                <w:sz w:val="22"/>
                <w:lang w:val="en-NZ"/>
              </w:rPr>
              <w:t>Medium</w:t>
            </w:r>
          </w:p>
          <w:p w14:paraId="5EFDBB56" w14:textId="77777777" w:rsidR="00B42FAE" w:rsidRDefault="00B42FAE" w:rsidP="008063AD">
            <w:pPr>
              <w:pStyle w:val="TableText"/>
              <w:rPr>
                <w:rFonts w:eastAsia="Calibri"/>
                <w:sz w:val="22"/>
                <w:lang w:val="en-NZ"/>
              </w:rPr>
            </w:pPr>
          </w:p>
          <w:p w14:paraId="36000DCC" w14:textId="77777777" w:rsidR="00B42FAE" w:rsidRDefault="00B42FAE" w:rsidP="008063AD">
            <w:pPr>
              <w:pStyle w:val="TableText"/>
              <w:rPr>
                <w:rFonts w:eastAsia="Calibri"/>
                <w:sz w:val="22"/>
                <w:lang w:val="en-NZ"/>
              </w:rPr>
            </w:pPr>
          </w:p>
          <w:p w14:paraId="0D8ADAD1" w14:textId="77777777" w:rsidR="00B42FAE" w:rsidRDefault="00B42FAE" w:rsidP="008063AD">
            <w:pPr>
              <w:pStyle w:val="TableText"/>
              <w:rPr>
                <w:rFonts w:eastAsia="Calibri"/>
                <w:sz w:val="22"/>
                <w:lang w:val="en-NZ"/>
              </w:rPr>
            </w:pPr>
          </w:p>
          <w:p w14:paraId="6732DBE2" w14:textId="6F8754D2" w:rsidR="00FF04EC" w:rsidRPr="00A864A5" w:rsidRDefault="00B42FAE" w:rsidP="0077649D">
            <w:pPr>
              <w:pStyle w:val="TableText"/>
              <w:rPr>
                <w:rFonts w:eastAsia="Calibri"/>
                <w:sz w:val="22"/>
                <w:lang w:val="en-NZ"/>
              </w:rPr>
            </w:pPr>
            <w:r>
              <w:rPr>
                <w:rFonts w:eastAsia="Calibri"/>
                <w:sz w:val="22"/>
                <w:lang w:val="en-NZ"/>
              </w:rPr>
              <w:t>High</w:t>
            </w:r>
          </w:p>
        </w:tc>
      </w:tr>
      <w:tr w:rsidR="00FF04EC" w:rsidRPr="00A864A5" w14:paraId="74EFE58D" w14:textId="77777777" w:rsidTr="33A45F9F">
        <w:trPr>
          <w:trHeight w:val="263"/>
        </w:trPr>
        <w:tc>
          <w:tcPr>
            <w:tcW w:w="2263" w:type="dxa"/>
            <w:shd w:val="clear" w:color="auto" w:fill="auto"/>
          </w:tcPr>
          <w:p w14:paraId="67683E3D" w14:textId="77777777" w:rsidR="00FF04EC" w:rsidRPr="00A864A5" w:rsidRDefault="00FF04EC" w:rsidP="0077649D">
            <w:pPr>
              <w:pStyle w:val="TableText"/>
              <w:rPr>
                <w:rFonts w:eastAsia="Calibri"/>
                <w:b/>
                <w:sz w:val="22"/>
                <w:lang w:val="en-NZ"/>
              </w:rPr>
            </w:pPr>
            <w:r w:rsidRPr="00A864A5">
              <w:rPr>
                <w:rFonts w:eastAsia="Calibri"/>
                <w:b/>
                <w:sz w:val="22"/>
                <w:lang w:val="en-NZ"/>
              </w:rPr>
              <w:t>Total monetised benefits</w:t>
            </w:r>
          </w:p>
        </w:tc>
        <w:tc>
          <w:tcPr>
            <w:tcW w:w="3119" w:type="dxa"/>
            <w:shd w:val="clear" w:color="auto" w:fill="auto"/>
          </w:tcPr>
          <w:p w14:paraId="25289DDA" w14:textId="77777777" w:rsidR="00FF04EC" w:rsidRPr="00A864A5" w:rsidRDefault="00FF04EC" w:rsidP="0077649D">
            <w:pPr>
              <w:pStyle w:val="TableText"/>
              <w:rPr>
                <w:rFonts w:eastAsia="Calibri"/>
                <w:sz w:val="22"/>
                <w:lang w:val="en-NZ"/>
              </w:rPr>
            </w:pPr>
          </w:p>
        </w:tc>
        <w:tc>
          <w:tcPr>
            <w:tcW w:w="2551" w:type="dxa"/>
            <w:shd w:val="clear" w:color="auto" w:fill="auto"/>
          </w:tcPr>
          <w:p w14:paraId="223C790E" w14:textId="2FBDE0A7" w:rsidR="00FF04EC" w:rsidRPr="00A864A5" w:rsidRDefault="00FF04EC" w:rsidP="0077649D">
            <w:pPr>
              <w:pStyle w:val="TableText"/>
              <w:rPr>
                <w:rFonts w:eastAsia="Calibri"/>
                <w:sz w:val="22"/>
                <w:lang w:val="en-NZ"/>
              </w:rPr>
            </w:pPr>
          </w:p>
        </w:tc>
        <w:tc>
          <w:tcPr>
            <w:tcW w:w="1560" w:type="dxa"/>
          </w:tcPr>
          <w:p w14:paraId="04FCE528" w14:textId="77777777" w:rsidR="00FF04EC" w:rsidRPr="00A864A5" w:rsidRDefault="00FF04EC" w:rsidP="0077649D">
            <w:pPr>
              <w:pStyle w:val="TableText"/>
              <w:rPr>
                <w:rFonts w:eastAsia="Calibri"/>
                <w:sz w:val="22"/>
                <w:lang w:val="en-NZ"/>
              </w:rPr>
            </w:pPr>
          </w:p>
        </w:tc>
      </w:tr>
      <w:tr w:rsidR="00FF04EC" w:rsidRPr="00A864A5" w14:paraId="351778AD" w14:textId="77777777" w:rsidTr="33A45F9F">
        <w:trPr>
          <w:trHeight w:val="187"/>
        </w:trPr>
        <w:tc>
          <w:tcPr>
            <w:tcW w:w="2263" w:type="dxa"/>
            <w:shd w:val="clear" w:color="auto" w:fill="auto"/>
          </w:tcPr>
          <w:p w14:paraId="32465101" w14:textId="77777777" w:rsidR="00FF04EC" w:rsidRPr="00A864A5" w:rsidRDefault="00FF04EC" w:rsidP="0077649D">
            <w:pPr>
              <w:pStyle w:val="TableText"/>
              <w:rPr>
                <w:rFonts w:eastAsia="Calibri"/>
                <w:b/>
                <w:sz w:val="22"/>
                <w:lang w:val="en-NZ"/>
              </w:rPr>
            </w:pPr>
            <w:r w:rsidRPr="00A864A5">
              <w:rPr>
                <w:rFonts w:eastAsia="Calibri"/>
                <w:b/>
                <w:sz w:val="22"/>
                <w:lang w:val="en-NZ"/>
              </w:rPr>
              <w:t>Non-monetised benefits</w:t>
            </w:r>
          </w:p>
        </w:tc>
        <w:tc>
          <w:tcPr>
            <w:tcW w:w="3119" w:type="dxa"/>
            <w:shd w:val="clear" w:color="auto" w:fill="auto"/>
          </w:tcPr>
          <w:p w14:paraId="4E9E53BA" w14:textId="77777777" w:rsidR="00FF04EC" w:rsidRPr="00A864A5" w:rsidRDefault="00FF04EC" w:rsidP="0077649D">
            <w:pPr>
              <w:pStyle w:val="TableText"/>
              <w:rPr>
                <w:rFonts w:eastAsia="Calibri"/>
                <w:sz w:val="22"/>
                <w:lang w:val="en-NZ"/>
              </w:rPr>
            </w:pPr>
          </w:p>
        </w:tc>
        <w:tc>
          <w:tcPr>
            <w:tcW w:w="2551" w:type="dxa"/>
            <w:shd w:val="clear" w:color="auto" w:fill="auto"/>
          </w:tcPr>
          <w:p w14:paraId="2AFEE189" w14:textId="3CB1DE85" w:rsidR="00FF04EC" w:rsidRPr="00D020DC" w:rsidRDefault="006C326A" w:rsidP="58911DBF">
            <w:pPr>
              <w:pStyle w:val="TableText"/>
              <w:rPr>
                <w:rFonts w:eastAsia="Calibri"/>
                <w:sz w:val="22"/>
                <w:lang w:val="en-NZ"/>
              </w:rPr>
            </w:pPr>
            <w:r w:rsidRPr="00D020DC">
              <w:rPr>
                <w:rFonts w:eastAsia="Calibri"/>
                <w:sz w:val="22"/>
                <w:lang w:val="en-NZ"/>
              </w:rPr>
              <w:t>High</w:t>
            </w:r>
          </w:p>
        </w:tc>
        <w:tc>
          <w:tcPr>
            <w:tcW w:w="1560" w:type="dxa"/>
          </w:tcPr>
          <w:p w14:paraId="0F1F0BE1" w14:textId="77777777" w:rsidR="00FF04EC" w:rsidRPr="00A864A5" w:rsidRDefault="00FF04EC" w:rsidP="0077649D">
            <w:pPr>
              <w:pStyle w:val="TableText"/>
              <w:rPr>
                <w:rFonts w:eastAsia="Calibri"/>
                <w:i/>
                <w:sz w:val="22"/>
                <w:lang w:val="en-NZ"/>
              </w:rPr>
            </w:pPr>
          </w:p>
        </w:tc>
      </w:tr>
    </w:tbl>
    <w:p w14:paraId="43C061F5" w14:textId="77777777" w:rsidR="00FF04EC" w:rsidRDefault="00FF04EC" w:rsidP="00FF04EC">
      <w:pPr>
        <w:spacing w:after="0" w:line="240" w:lineRule="auto"/>
        <w:rPr>
          <w:lang w:val="en-NZ"/>
        </w:rPr>
      </w:pPr>
    </w:p>
    <w:p w14:paraId="467ABDCF" w14:textId="77777777" w:rsidR="00FF04EC" w:rsidRDefault="00FF04EC" w:rsidP="00FF04EC">
      <w:pPr>
        <w:spacing w:after="0" w:line="240" w:lineRule="auto"/>
        <w:rPr>
          <w:lang w:val="en-NZ"/>
        </w:rPr>
      </w:pPr>
    </w:p>
    <w:p w14:paraId="7DDC67DD" w14:textId="5FCA422E" w:rsidR="00C8180F" w:rsidRDefault="00C8180F" w:rsidP="00C8180F">
      <w:pPr>
        <w:pStyle w:val="Heading4"/>
        <w:rPr>
          <w:lang w:val="en-NZ"/>
        </w:rPr>
      </w:pPr>
      <w:r>
        <w:rPr>
          <w:lang w:val="en-NZ"/>
        </w:rPr>
        <w:t>Vaping Options</w:t>
      </w:r>
    </w:p>
    <w:p w14:paraId="0C71B3DD" w14:textId="77777777" w:rsidR="00F83ACD" w:rsidRPr="00F83ACD" w:rsidRDefault="00F83ACD" w:rsidP="00F83ACD">
      <w:pPr>
        <w:spacing w:after="0" w:line="240" w:lineRule="auto"/>
        <w:textAlignment w:val="baseline"/>
        <w:rPr>
          <w:rFonts w:ascii="Segoe UI" w:hAnsi="Segoe UI" w:cs="Segoe UI"/>
          <w:b/>
          <w:bCs/>
          <w:color w:val="0082AB"/>
          <w:sz w:val="18"/>
          <w:szCs w:val="18"/>
          <w:lang w:val="en-NZ" w:eastAsia="en-NZ"/>
        </w:rPr>
      </w:pPr>
      <w:r w:rsidRPr="00F83ACD">
        <w:rPr>
          <w:rFonts w:ascii="Arial Bold" w:hAnsi="Arial Bold" w:cs="Segoe UI"/>
          <w:b/>
          <w:bCs/>
          <w:color w:val="0082AB"/>
          <w:sz w:val="24"/>
          <w:szCs w:val="24"/>
          <w:lang w:val="en-NZ" w:eastAsia="en-NZ"/>
        </w:rPr>
        <w:t> </w:t>
      </w:r>
    </w:p>
    <w:tbl>
      <w:tblPr>
        <w:tblW w:w="90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2835"/>
        <w:gridCol w:w="2835"/>
        <w:gridCol w:w="1549"/>
      </w:tblGrid>
      <w:tr w:rsidR="00F83ACD" w:rsidRPr="00F83ACD" w14:paraId="09ACAAF9" w14:textId="77777777" w:rsidTr="58911DBF">
        <w:trPr>
          <w:trHeight w:val="530"/>
        </w:trPr>
        <w:tc>
          <w:tcPr>
            <w:tcW w:w="183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hideMark/>
          </w:tcPr>
          <w:p w14:paraId="010DEF18" w14:textId="0B921060" w:rsidR="00F83ACD" w:rsidRPr="00F83ACD" w:rsidRDefault="00F83ACD" w:rsidP="00F83ACD">
            <w:pPr>
              <w:spacing w:after="0" w:line="240" w:lineRule="auto"/>
              <w:textAlignment w:val="baseline"/>
              <w:rPr>
                <w:rFonts w:ascii="Times New Roman" w:hAnsi="Times New Roman"/>
                <w:sz w:val="24"/>
                <w:szCs w:val="24"/>
                <w:lang w:val="en-NZ" w:eastAsia="en-NZ"/>
              </w:rPr>
            </w:pPr>
            <w:r w:rsidRPr="00F83ACD">
              <w:rPr>
                <w:rFonts w:cs="Arial"/>
                <w:b/>
                <w:bCs/>
                <w:color w:val="000000"/>
                <w:szCs w:val="22"/>
                <w:lang w:val="en-NZ" w:eastAsia="en-NZ"/>
              </w:rPr>
              <w:t>Affected groups</w:t>
            </w:r>
          </w:p>
        </w:tc>
        <w:tc>
          <w:tcPr>
            <w:tcW w:w="283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hideMark/>
          </w:tcPr>
          <w:p w14:paraId="0E9A1BFA" w14:textId="76CF58E4" w:rsidR="00F83ACD" w:rsidRPr="00F83ACD" w:rsidRDefault="00F83ACD" w:rsidP="00F83ACD">
            <w:pPr>
              <w:spacing w:after="0" w:line="240" w:lineRule="auto"/>
              <w:textAlignment w:val="baseline"/>
              <w:rPr>
                <w:rFonts w:ascii="Times New Roman" w:hAnsi="Times New Roman"/>
                <w:sz w:val="24"/>
                <w:szCs w:val="24"/>
                <w:lang w:val="en-NZ" w:eastAsia="en-NZ"/>
              </w:rPr>
            </w:pPr>
            <w:r w:rsidRPr="00F83ACD">
              <w:rPr>
                <w:rFonts w:cs="Arial"/>
                <w:b/>
                <w:bCs/>
                <w:color w:val="000000"/>
                <w:szCs w:val="22"/>
                <w:lang w:val="en-NZ" w:eastAsia="en-NZ"/>
              </w:rPr>
              <w:t>Comment</w:t>
            </w:r>
          </w:p>
        </w:tc>
        <w:tc>
          <w:tcPr>
            <w:tcW w:w="283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hideMark/>
          </w:tcPr>
          <w:p w14:paraId="492FF866" w14:textId="3330EBB5" w:rsidR="00F83ACD" w:rsidRPr="00F83ACD" w:rsidRDefault="00F83ACD" w:rsidP="00F83ACD">
            <w:pPr>
              <w:spacing w:after="0" w:line="240" w:lineRule="auto"/>
              <w:textAlignment w:val="baseline"/>
              <w:rPr>
                <w:rFonts w:ascii="Times New Roman" w:hAnsi="Times New Roman"/>
                <w:sz w:val="24"/>
                <w:szCs w:val="24"/>
                <w:lang w:val="en-NZ" w:eastAsia="en-NZ"/>
              </w:rPr>
            </w:pPr>
            <w:r w:rsidRPr="00F83ACD">
              <w:rPr>
                <w:rFonts w:cs="Arial"/>
                <w:b/>
                <w:bCs/>
                <w:color w:val="000000"/>
                <w:szCs w:val="22"/>
                <w:lang w:val="en-NZ" w:eastAsia="en-NZ"/>
              </w:rPr>
              <w:t>Impact</w:t>
            </w:r>
          </w:p>
        </w:tc>
        <w:tc>
          <w:tcPr>
            <w:tcW w:w="1549"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hideMark/>
          </w:tcPr>
          <w:p w14:paraId="50593755" w14:textId="719318F2" w:rsidR="00F83ACD" w:rsidRPr="00F83ACD" w:rsidRDefault="00F83ACD" w:rsidP="00F83ACD">
            <w:pPr>
              <w:spacing w:after="0" w:line="240" w:lineRule="auto"/>
              <w:textAlignment w:val="baseline"/>
              <w:rPr>
                <w:rFonts w:ascii="Times New Roman" w:hAnsi="Times New Roman"/>
                <w:sz w:val="24"/>
                <w:szCs w:val="24"/>
                <w:lang w:val="en-NZ" w:eastAsia="en-NZ"/>
              </w:rPr>
            </w:pPr>
            <w:r w:rsidRPr="00F83ACD">
              <w:rPr>
                <w:rFonts w:cs="Arial"/>
                <w:b/>
                <w:bCs/>
                <w:color w:val="000000"/>
                <w:szCs w:val="22"/>
                <w:lang w:val="en-NZ" w:eastAsia="en-NZ"/>
              </w:rPr>
              <w:t>Evidence Certainty</w:t>
            </w:r>
          </w:p>
        </w:tc>
      </w:tr>
      <w:tr w:rsidR="00F83ACD" w:rsidRPr="00F83ACD" w14:paraId="50E1337F" w14:textId="77777777" w:rsidTr="58911DBF">
        <w:trPr>
          <w:trHeight w:val="390"/>
        </w:trPr>
        <w:tc>
          <w:tcPr>
            <w:tcW w:w="9054"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4027C5EF" w14:textId="05266C21" w:rsidR="00F83ACD" w:rsidRPr="00F83ACD" w:rsidRDefault="00F83ACD" w:rsidP="00323FD0">
            <w:pPr>
              <w:spacing w:after="0" w:line="240" w:lineRule="auto"/>
              <w:textAlignment w:val="baseline"/>
              <w:rPr>
                <w:rFonts w:ascii="Times New Roman" w:hAnsi="Times New Roman"/>
                <w:sz w:val="24"/>
                <w:szCs w:val="24"/>
                <w:lang w:val="en-NZ" w:eastAsia="en-NZ"/>
              </w:rPr>
            </w:pPr>
            <w:r w:rsidRPr="00F83ACD">
              <w:rPr>
                <w:rFonts w:cs="Arial"/>
                <w:b/>
                <w:bCs/>
                <w:color w:val="000000"/>
                <w:szCs w:val="22"/>
                <w:lang w:val="en-NZ" w:eastAsia="en-NZ"/>
              </w:rPr>
              <w:t>Additional costs of the preferred option</w:t>
            </w:r>
            <w:r w:rsidR="00591055">
              <w:rPr>
                <w:rFonts w:cs="Arial"/>
                <w:b/>
                <w:bCs/>
                <w:color w:val="000000"/>
                <w:szCs w:val="22"/>
                <w:lang w:val="en-NZ" w:eastAsia="en-NZ"/>
              </w:rPr>
              <w:t>s</w:t>
            </w:r>
            <w:r w:rsidRPr="00F83ACD">
              <w:rPr>
                <w:rFonts w:cs="Arial"/>
                <w:b/>
                <w:bCs/>
                <w:color w:val="000000"/>
                <w:szCs w:val="22"/>
                <w:lang w:val="en-NZ" w:eastAsia="en-NZ"/>
              </w:rPr>
              <w:t xml:space="preserve"> compared to taking no action</w:t>
            </w:r>
            <w:r w:rsidRPr="00F83ACD">
              <w:rPr>
                <w:rFonts w:cs="Arial"/>
                <w:color w:val="000000"/>
                <w:szCs w:val="22"/>
                <w:lang w:val="en-NZ" w:eastAsia="en-NZ"/>
              </w:rPr>
              <w:t> </w:t>
            </w:r>
          </w:p>
        </w:tc>
      </w:tr>
      <w:tr w:rsidR="00F83ACD" w:rsidRPr="00F83ACD" w14:paraId="462E79F8" w14:textId="77777777" w:rsidTr="58911DBF">
        <w:trPr>
          <w:trHeight w:val="375"/>
        </w:trPr>
        <w:tc>
          <w:tcPr>
            <w:tcW w:w="1835" w:type="dxa"/>
            <w:tcBorders>
              <w:top w:val="single" w:sz="6" w:space="0" w:color="DDDDDD"/>
              <w:left w:val="single" w:sz="6" w:space="0" w:color="DDDDDD"/>
              <w:bottom w:val="single" w:sz="6" w:space="0" w:color="DDDDDD"/>
              <w:right w:val="single" w:sz="6" w:space="0" w:color="DDDDDD"/>
            </w:tcBorders>
            <w:shd w:val="clear" w:color="auto" w:fill="auto"/>
            <w:hideMark/>
          </w:tcPr>
          <w:p w14:paraId="6A816886" w14:textId="4A839326"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Regulated groups</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2EFBB745" w14:textId="05B0C150"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58911DBF">
              <w:rPr>
                <w:rFonts w:cs="Arial"/>
                <w:lang w:val="en-NZ" w:eastAsia="en-NZ"/>
              </w:rPr>
              <w:t>The proposed regulations will impose new obligations and compliance costs related to how vaping products are packaged (flavour descriptions) and manufactured (product safety requirements)</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09B29817" w14:textId="54BC2C61"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Medium</w:t>
            </w:r>
          </w:p>
          <w:p w14:paraId="23816729" w14:textId="51FF6F90" w:rsidR="00F83ACD" w:rsidRPr="00F83ACD" w:rsidRDefault="00F83ACD" w:rsidP="00031CDF">
            <w:pPr>
              <w:spacing w:before="60" w:after="60" w:line="240" w:lineRule="auto"/>
              <w:textAlignment w:val="baseline"/>
              <w:rPr>
                <w:rFonts w:ascii="Times New Roman" w:hAnsi="Times New Roman"/>
                <w:sz w:val="24"/>
                <w:szCs w:val="24"/>
                <w:lang w:val="en-NZ" w:eastAsia="en-NZ"/>
              </w:rPr>
            </w:pPr>
          </w:p>
          <w:p w14:paraId="365F65F3" w14:textId="1BF4D553" w:rsidR="00F83ACD" w:rsidRPr="00F83ACD" w:rsidRDefault="00F83ACD" w:rsidP="00031CDF">
            <w:pPr>
              <w:spacing w:before="60" w:after="60" w:line="240" w:lineRule="auto"/>
              <w:textAlignment w:val="baseline"/>
              <w:rPr>
                <w:rFonts w:cs="Arial"/>
                <w:lang w:val="en-NZ" w:eastAsia="en-NZ"/>
              </w:rPr>
            </w:pPr>
            <w:r w:rsidRPr="58911DBF">
              <w:rPr>
                <w:rFonts w:cs="Arial"/>
                <w:lang w:val="en-NZ" w:eastAsia="en-NZ"/>
              </w:rPr>
              <w:t>Costs associated with new packaging and product safety requirement</w:t>
            </w:r>
            <w:r w:rsidR="4D7799DA" w:rsidRPr="58911DBF">
              <w:rPr>
                <w:rFonts w:cs="Arial"/>
                <w:lang w:val="en-NZ" w:eastAsia="en-NZ"/>
              </w:rPr>
              <w:t>s</w:t>
            </w:r>
          </w:p>
        </w:tc>
        <w:tc>
          <w:tcPr>
            <w:tcW w:w="1549" w:type="dxa"/>
            <w:tcBorders>
              <w:top w:val="single" w:sz="6" w:space="0" w:color="DDDDDD"/>
              <w:left w:val="single" w:sz="6" w:space="0" w:color="DDDDDD"/>
              <w:bottom w:val="single" w:sz="6" w:space="0" w:color="DDDDDD"/>
              <w:right w:val="single" w:sz="6" w:space="0" w:color="DDDDDD"/>
            </w:tcBorders>
            <w:shd w:val="clear" w:color="auto" w:fill="auto"/>
            <w:hideMark/>
          </w:tcPr>
          <w:p w14:paraId="04D6F981" w14:textId="4F67B77C"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Medium</w:t>
            </w:r>
          </w:p>
        </w:tc>
      </w:tr>
      <w:tr w:rsidR="00F83ACD" w:rsidRPr="00F83ACD" w14:paraId="52AEADF7" w14:textId="77777777" w:rsidTr="58911DBF">
        <w:trPr>
          <w:trHeight w:val="375"/>
        </w:trPr>
        <w:tc>
          <w:tcPr>
            <w:tcW w:w="1835" w:type="dxa"/>
            <w:tcBorders>
              <w:top w:val="single" w:sz="6" w:space="0" w:color="DDDDDD"/>
              <w:left w:val="single" w:sz="6" w:space="0" w:color="DDDDDD"/>
              <w:bottom w:val="single" w:sz="6" w:space="0" w:color="DDDDDD"/>
              <w:right w:val="single" w:sz="6" w:space="0" w:color="DDDDDD"/>
            </w:tcBorders>
            <w:shd w:val="clear" w:color="auto" w:fill="auto"/>
            <w:hideMark/>
          </w:tcPr>
          <w:p w14:paraId="0009EA1A" w14:textId="12DD2FE8"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Regulators</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554C8D2D" w14:textId="140671E5"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58911DBF">
              <w:rPr>
                <w:rFonts w:cs="Arial"/>
                <w:lang w:val="en-NZ" w:eastAsia="en-NZ"/>
              </w:rPr>
              <w:t>The proposed regulations will have implementation and enforcement costs</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0AA6002C" w14:textId="42045336" w:rsidR="00F83ACD" w:rsidRDefault="00F83ACD" w:rsidP="00031CDF">
            <w:pPr>
              <w:spacing w:before="60" w:after="60" w:line="240" w:lineRule="auto"/>
              <w:textAlignment w:val="baseline"/>
              <w:rPr>
                <w:rFonts w:cs="Arial"/>
                <w:szCs w:val="22"/>
                <w:lang w:val="en-NZ" w:eastAsia="en-NZ"/>
              </w:rPr>
            </w:pPr>
            <w:r w:rsidRPr="00F83ACD">
              <w:rPr>
                <w:rFonts w:cs="Arial"/>
                <w:szCs w:val="22"/>
                <w:lang w:val="en-NZ" w:eastAsia="en-NZ"/>
              </w:rPr>
              <w:t>Low</w:t>
            </w:r>
          </w:p>
          <w:p w14:paraId="7FB0A33E" w14:textId="77777777" w:rsidR="006B1F73" w:rsidRPr="00F83ACD" w:rsidRDefault="006B1F73" w:rsidP="00031CDF">
            <w:pPr>
              <w:spacing w:before="60" w:after="60" w:line="240" w:lineRule="auto"/>
              <w:textAlignment w:val="baseline"/>
              <w:rPr>
                <w:rFonts w:ascii="Times New Roman" w:hAnsi="Times New Roman"/>
                <w:sz w:val="24"/>
                <w:szCs w:val="24"/>
                <w:lang w:val="en-NZ" w:eastAsia="en-NZ"/>
              </w:rPr>
            </w:pPr>
          </w:p>
          <w:p w14:paraId="01338D3B" w14:textId="58D12163" w:rsidR="00F83ACD" w:rsidRDefault="6DBE9A10" w:rsidP="00031CDF">
            <w:pPr>
              <w:spacing w:before="60" w:after="60" w:line="240" w:lineRule="auto"/>
              <w:textAlignment w:val="baseline"/>
              <w:rPr>
                <w:rFonts w:cs="Arial"/>
                <w:lang w:val="en-NZ" w:eastAsia="en-NZ"/>
              </w:rPr>
            </w:pPr>
            <w:r w:rsidRPr="2FC23C9B">
              <w:rPr>
                <w:rFonts w:cs="Arial"/>
                <w:lang w:val="en-NZ" w:eastAsia="en-NZ"/>
              </w:rPr>
              <w:t xml:space="preserve">Applications to </w:t>
            </w:r>
            <w:r w:rsidR="00F83ACD" w:rsidRPr="2FC23C9B">
              <w:rPr>
                <w:rFonts w:cs="Arial"/>
                <w:lang w:val="en-NZ" w:eastAsia="en-NZ"/>
              </w:rPr>
              <w:t xml:space="preserve">vaping scheme </w:t>
            </w:r>
            <w:r w:rsidRPr="2FC23C9B">
              <w:rPr>
                <w:rFonts w:cs="Arial"/>
                <w:lang w:val="en-NZ" w:eastAsia="en-NZ"/>
              </w:rPr>
              <w:t>are</w:t>
            </w:r>
            <w:r w:rsidR="00F83ACD" w:rsidRPr="2FC23C9B">
              <w:rPr>
                <w:rFonts w:cs="Arial"/>
                <w:lang w:val="en-NZ" w:eastAsia="en-NZ"/>
              </w:rPr>
              <w:t xml:space="preserve"> fully cost-recovered with importers and manufacturers required to pay a product notification fee</w:t>
            </w:r>
          </w:p>
          <w:p w14:paraId="1D61598D" w14:textId="472AF527" w:rsidR="00F83ACD" w:rsidRPr="00F83ACD" w:rsidRDefault="00F83ACD" w:rsidP="00031CDF">
            <w:pPr>
              <w:spacing w:before="60" w:after="60" w:line="240" w:lineRule="auto"/>
              <w:textAlignment w:val="baseline"/>
              <w:rPr>
                <w:rFonts w:ascii="Times New Roman" w:hAnsi="Times New Roman"/>
                <w:sz w:val="24"/>
                <w:szCs w:val="24"/>
                <w:lang w:val="en-NZ" w:eastAsia="en-NZ"/>
              </w:rPr>
            </w:pPr>
          </w:p>
        </w:tc>
        <w:tc>
          <w:tcPr>
            <w:tcW w:w="1549" w:type="dxa"/>
            <w:tcBorders>
              <w:top w:val="single" w:sz="6" w:space="0" w:color="DDDDDD"/>
              <w:left w:val="single" w:sz="6" w:space="0" w:color="DDDDDD"/>
              <w:bottom w:val="single" w:sz="6" w:space="0" w:color="DDDDDD"/>
              <w:right w:val="single" w:sz="6" w:space="0" w:color="DDDDDD"/>
            </w:tcBorders>
            <w:shd w:val="clear" w:color="auto" w:fill="auto"/>
            <w:hideMark/>
          </w:tcPr>
          <w:p w14:paraId="3AB5273A" w14:textId="3673882C"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Medium</w:t>
            </w:r>
          </w:p>
        </w:tc>
      </w:tr>
      <w:tr w:rsidR="00F83ACD" w:rsidRPr="00F83ACD" w14:paraId="09B7C5B5" w14:textId="77777777" w:rsidTr="58911DBF">
        <w:trPr>
          <w:trHeight w:val="255"/>
        </w:trPr>
        <w:tc>
          <w:tcPr>
            <w:tcW w:w="1835" w:type="dxa"/>
            <w:tcBorders>
              <w:top w:val="single" w:sz="6" w:space="0" w:color="DDDDDD"/>
              <w:left w:val="single" w:sz="6" w:space="0" w:color="DDDDDD"/>
              <w:bottom w:val="single" w:sz="6" w:space="0" w:color="DDDDDD"/>
              <w:right w:val="single" w:sz="6" w:space="0" w:color="DDDDDD"/>
            </w:tcBorders>
            <w:shd w:val="clear" w:color="auto" w:fill="auto"/>
            <w:hideMark/>
          </w:tcPr>
          <w:p w14:paraId="1254CB07" w14:textId="33F32B9F"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color w:val="000000"/>
                <w:szCs w:val="22"/>
                <w:lang w:val="en-NZ" w:eastAsia="en-NZ"/>
              </w:rPr>
              <w:t>Others (eg, wider govt, consumers, etc)</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59FD8D67" w14:textId="3A943FB7"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58911DBF">
              <w:rPr>
                <w:rFonts w:cs="Arial"/>
                <w:lang w:val="en-NZ" w:eastAsia="en-NZ"/>
              </w:rPr>
              <w:t>Any additional costs to businesses may be passed on to consumers. However, the market is highly competitive</w:t>
            </w:r>
            <w:r w:rsidR="77FC02CC" w:rsidRPr="58911DBF">
              <w:rPr>
                <w:rFonts w:cs="Arial"/>
                <w:lang w:val="en-NZ" w:eastAsia="en-NZ"/>
              </w:rPr>
              <w:t>,</w:t>
            </w:r>
            <w:r w:rsidRPr="58911DBF">
              <w:rPr>
                <w:rFonts w:cs="Arial"/>
                <w:lang w:val="en-NZ" w:eastAsia="en-NZ"/>
              </w:rPr>
              <w:t xml:space="preserve"> and any cost increase will still be significantly less that the costs associated with smoking. Increased costs will also likely deter youth uptake</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6F269BA8" w14:textId="3335DA2F"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Low</w:t>
            </w:r>
          </w:p>
        </w:tc>
        <w:tc>
          <w:tcPr>
            <w:tcW w:w="1549" w:type="dxa"/>
            <w:tcBorders>
              <w:top w:val="single" w:sz="6" w:space="0" w:color="DDDDDD"/>
              <w:left w:val="single" w:sz="6" w:space="0" w:color="DDDDDD"/>
              <w:bottom w:val="single" w:sz="6" w:space="0" w:color="DDDDDD"/>
              <w:right w:val="single" w:sz="6" w:space="0" w:color="DDDDDD"/>
            </w:tcBorders>
            <w:shd w:val="clear" w:color="auto" w:fill="auto"/>
            <w:hideMark/>
          </w:tcPr>
          <w:p w14:paraId="372E63CF" w14:textId="5006E2C1"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Medium</w:t>
            </w:r>
          </w:p>
        </w:tc>
      </w:tr>
      <w:tr w:rsidR="00F83ACD" w:rsidRPr="00F83ACD" w14:paraId="58356D8D" w14:textId="77777777" w:rsidTr="58911DBF">
        <w:trPr>
          <w:trHeight w:val="255"/>
        </w:trPr>
        <w:tc>
          <w:tcPr>
            <w:tcW w:w="1835" w:type="dxa"/>
            <w:tcBorders>
              <w:top w:val="single" w:sz="6" w:space="0" w:color="DDDDDD"/>
              <w:left w:val="single" w:sz="6" w:space="0" w:color="DDDDDD"/>
              <w:bottom w:val="single" w:sz="6" w:space="0" w:color="DDDDDD"/>
              <w:right w:val="single" w:sz="6" w:space="0" w:color="DDDDDD"/>
            </w:tcBorders>
            <w:shd w:val="clear" w:color="auto" w:fill="auto"/>
            <w:hideMark/>
          </w:tcPr>
          <w:p w14:paraId="6A286B7F" w14:textId="77777777"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b/>
                <w:bCs/>
                <w:szCs w:val="22"/>
                <w:lang w:val="en-NZ" w:eastAsia="en-NZ"/>
              </w:rPr>
              <w:t>Total monetised costs</w:t>
            </w:r>
            <w:r w:rsidRPr="00F83ACD">
              <w:rPr>
                <w:rFonts w:cs="Arial"/>
                <w:szCs w:val="22"/>
                <w:lang w:val="en-NZ" w:eastAsia="en-NZ"/>
              </w:rPr>
              <w:t> </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2BB0D090" w14:textId="77777777"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 </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393DED98" w14:textId="6587DBC0"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58911DBF">
              <w:rPr>
                <w:rFonts w:cs="Arial"/>
                <w:lang w:val="en-NZ" w:eastAsia="en-NZ"/>
              </w:rPr>
              <w:t>Cost to businesses: unknown</w:t>
            </w:r>
          </w:p>
          <w:p w14:paraId="3321CDA0" w14:textId="4515E11B" w:rsidR="58911DBF" w:rsidRDefault="58911DBF" w:rsidP="00031CDF">
            <w:pPr>
              <w:spacing w:before="60" w:after="60" w:line="240" w:lineRule="auto"/>
              <w:rPr>
                <w:rFonts w:cs="Arial"/>
                <w:lang w:val="en-NZ" w:eastAsia="en-NZ"/>
              </w:rPr>
            </w:pPr>
          </w:p>
          <w:p w14:paraId="17D0AC6C" w14:textId="3A62EDA4" w:rsidR="00F83ACD" w:rsidRPr="00F83ACD" w:rsidRDefault="00F83ACD" w:rsidP="00031CDF">
            <w:pPr>
              <w:spacing w:before="60" w:after="60" w:line="240" w:lineRule="auto"/>
              <w:textAlignment w:val="baseline"/>
              <w:rPr>
                <w:rFonts w:cs="Arial"/>
                <w:lang w:val="en-NZ" w:eastAsia="en-NZ"/>
              </w:rPr>
            </w:pPr>
            <w:r w:rsidRPr="58911DBF">
              <w:rPr>
                <w:rFonts w:cs="Arial"/>
                <w:lang w:val="en-NZ" w:eastAsia="en-NZ"/>
              </w:rPr>
              <w:t>Cost to regulators: n</w:t>
            </w:r>
            <w:r w:rsidR="792C310F" w:rsidRPr="58911DBF">
              <w:rPr>
                <w:rFonts w:cs="Arial"/>
                <w:lang w:val="en-NZ" w:eastAsia="en-NZ"/>
              </w:rPr>
              <w:t>one</w:t>
            </w:r>
          </w:p>
        </w:tc>
        <w:tc>
          <w:tcPr>
            <w:tcW w:w="1549" w:type="dxa"/>
            <w:tcBorders>
              <w:top w:val="single" w:sz="6" w:space="0" w:color="DDDDDD"/>
              <w:left w:val="single" w:sz="6" w:space="0" w:color="DDDDDD"/>
              <w:bottom w:val="single" w:sz="6" w:space="0" w:color="DDDDDD"/>
              <w:right w:val="single" w:sz="6" w:space="0" w:color="DDDDDD"/>
            </w:tcBorders>
            <w:shd w:val="clear" w:color="auto" w:fill="auto"/>
            <w:hideMark/>
          </w:tcPr>
          <w:p w14:paraId="3B737AA9" w14:textId="77777777"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 </w:t>
            </w:r>
          </w:p>
        </w:tc>
      </w:tr>
      <w:tr w:rsidR="00F83ACD" w:rsidRPr="00F83ACD" w14:paraId="48D521B5" w14:textId="77777777" w:rsidTr="58911DBF">
        <w:trPr>
          <w:trHeight w:val="255"/>
        </w:trPr>
        <w:tc>
          <w:tcPr>
            <w:tcW w:w="1835" w:type="dxa"/>
            <w:tcBorders>
              <w:top w:val="single" w:sz="6" w:space="0" w:color="DDDDDD"/>
              <w:left w:val="single" w:sz="6" w:space="0" w:color="DDDDDD"/>
              <w:bottom w:val="single" w:sz="6" w:space="0" w:color="DDDDDD"/>
              <w:right w:val="single" w:sz="6" w:space="0" w:color="DDDDDD"/>
            </w:tcBorders>
            <w:shd w:val="clear" w:color="auto" w:fill="auto"/>
            <w:hideMark/>
          </w:tcPr>
          <w:p w14:paraId="14B890FE" w14:textId="77777777"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b/>
                <w:bCs/>
                <w:szCs w:val="22"/>
                <w:lang w:val="en-NZ" w:eastAsia="en-NZ"/>
              </w:rPr>
              <w:t>Non-monetised costs </w:t>
            </w:r>
            <w:r w:rsidRPr="00F83ACD">
              <w:rPr>
                <w:rFonts w:cs="Arial"/>
                <w:szCs w:val="22"/>
                <w:lang w:val="en-NZ" w:eastAsia="en-NZ"/>
              </w:rPr>
              <w:t> </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079F20CA" w14:textId="77777777"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 </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7EB9A7EA" w14:textId="55AFB54A"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Low</w:t>
            </w:r>
          </w:p>
        </w:tc>
        <w:tc>
          <w:tcPr>
            <w:tcW w:w="1549" w:type="dxa"/>
            <w:tcBorders>
              <w:top w:val="single" w:sz="6" w:space="0" w:color="DDDDDD"/>
              <w:left w:val="single" w:sz="6" w:space="0" w:color="DDDDDD"/>
              <w:bottom w:val="single" w:sz="6" w:space="0" w:color="DDDDDD"/>
              <w:right w:val="single" w:sz="6" w:space="0" w:color="DDDDDD"/>
            </w:tcBorders>
            <w:shd w:val="clear" w:color="auto" w:fill="auto"/>
            <w:hideMark/>
          </w:tcPr>
          <w:p w14:paraId="336BC79A" w14:textId="77777777"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 </w:t>
            </w:r>
          </w:p>
        </w:tc>
      </w:tr>
      <w:tr w:rsidR="00F83ACD" w:rsidRPr="00F83ACD" w14:paraId="0E6A215F" w14:textId="77777777" w:rsidTr="58911DBF">
        <w:trPr>
          <w:trHeight w:val="420"/>
        </w:trPr>
        <w:tc>
          <w:tcPr>
            <w:tcW w:w="9054"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hideMark/>
          </w:tcPr>
          <w:p w14:paraId="337AF086" w14:textId="77777777" w:rsidR="00F83ACD" w:rsidRPr="00F83ACD" w:rsidRDefault="00F83ACD" w:rsidP="00323FD0">
            <w:pPr>
              <w:spacing w:before="60" w:after="60" w:line="240" w:lineRule="auto"/>
              <w:textAlignment w:val="baseline"/>
              <w:rPr>
                <w:rFonts w:ascii="Times New Roman" w:hAnsi="Times New Roman"/>
                <w:sz w:val="24"/>
                <w:szCs w:val="24"/>
                <w:lang w:val="en-NZ" w:eastAsia="en-NZ"/>
              </w:rPr>
            </w:pPr>
            <w:r w:rsidRPr="00F83ACD">
              <w:rPr>
                <w:rFonts w:cs="Arial"/>
                <w:b/>
                <w:bCs/>
                <w:color w:val="000000"/>
                <w:szCs w:val="22"/>
                <w:lang w:val="en-NZ" w:eastAsia="en-NZ"/>
              </w:rPr>
              <w:t>Additional benefits of the preferred option compared to taking no action</w:t>
            </w:r>
            <w:r w:rsidRPr="00F83ACD">
              <w:rPr>
                <w:rFonts w:cs="Arial"/>
                <w:color w:val="000000"/>
                <w:szCs w:val="22"/>
                <w:lang w:val="en-NZ" w:eastAsia="en-NZ"/>
              </w:rPr>
              <w:t> </w:t>
            </w:r>
          </w:p>
        </w:tc>
      </w:tr>
      <w:tr w:rsidR="00F83ACD" w:rsidRPr="00F83ACD" w14:paraId="6697D094" w14:textId="77777777" w:rsidTr="58911DBF">
        <w:trPr>
          <w:trHeight w:val="375"/>
        </w:trPr>
        <w:tc>
          <w:tcPr>
            <w:tcW w:w="1835" w:type="dxa"/>
            <w:tcBorders>
              <w:top w:val="single" w:sz="6" w:space="0" w:color="DDDDDD"/>
              <w:left w:val="single" w:sz="6" w:space="0" w:color="DDDDDD"/>
              <w:bottom w:val="single" w:sz="6" w:space="0" w:color="DDDDDD"/>
              <w:right w:val="single" w:sz="6" w:space="0" w:color="DDDDDD"/>
            </w:tcBorders>
            <w:shd w:val="clear" w:color="auto" w:fill="auto"/>
            <w:hideMark/>
          </w:tcPr>
          <w:p w14:paraId="188EE114" w14:textId="7FDFC7A4"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Regulated groups</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3C5D6C25" w14:textId="421B8321"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58911DBF">
              <w:rPr>
                <w:rFonts w:cs="Arial"/>
                <w:lang w:val="en-NZ" w:eastAsia="en-NZ"/>
              </w:rPr>
              <w:t>Products more appropriate for adults wishing to quit smoking and safer to use</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670AA3E7" w14:textId="28065268"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High</w:t>
            </w:r>
          </w:p>
        </w:tc>
        <w:tc>
          <w:tcPr>
            <w:tcW w:w="1549" w:type="dxa"/>
            <w:tcBorders>
              <w:top w:val="single" w:sz="6" w:space="0" w:color="DDDDDD"/>
              <w:left w:val="single" w:sz="6" w:space="0" w:color="DDDDDD"/>
              <w:bottom w:val="single" w:sz="6" w:space="0" w:color="DDDDDD"/>
              <w:right w:val="single" w:sz="6" w:space="0" w:color="DDDDDD"/>
            </w:tcBorders>
            <w:shd w:val="clear" w:color="auto" w:fill="auto"/>
            <w:hideMark/>
          </w:tcPr>
          <w:p w14:paraId="1E3EB44E" w14:textId="25E4A7D2"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High</w:t>
            </w:r>
          </w:p>
        </w:tc>
      </w:tr>
      <w:tr w:rsidR="00F83ACD" w:rsidRPr="00F83ACD" w14:paraId="04BC247F" w14:textId="77777777" w:rsidTr="58911DBF">
        <w:trPr>
          <w:trHeight w:val="375"/>
        </w:trPr>
        <w:tc>
          <w:tcPr>
            <w:tcW w:w="1835" w:type="dxa"/>
            <w:tcBorders>
              <w:top w:val="single" w:sz="6" w:space="0" w:color="DDDDDD"/>
              <w:left w:val="single" w:sz="6" w:space="0" w:color="DDDDDD"/>
              <w:bottom w:val="single" w:sz="6" w:space="0" w:color="DDDDDD"/>
              <w:right w:val="single" w:sz="6" w:space="0" w:color="DDDDDD"/>
            </w:tcBorders>
            <w:shd w:val="clear" w:color="auto" w:fill="auto"/>
            <w:hideMark/>
          </w:tcPr>
          <w:p w14:paraId="6929991A" w14:textId="317C1288"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Regulators</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7BE36464" w14:textId="4FC94C4B" w:rsidR="00F83ACD" w:rsidRPr="00F83ACD" w:rsidRDefault="00F83ACD" w:rsidP="00031CDF">
            <w:pPr>
              <w:spacing w:before="60" w:after="60" w:line="240" w:lineRule="auto"/>
              <w:textAlignment w:val="baseline"/>
              <w:rPr>
                <w:rFonts w:cs="Arial"/>
                <w:lang w:val="en-NZ" w:eastAsia="en-NZ"/>
              </w:rPr>
            </w:pPr>
            <w:r w:rsidRPr="58911DBF">
              <w:rPr>
                <w:rFonts w:cs="Arial"/>
                <w:lang w:val="en-NZ" w:eastAsia="en-NZ"/>
              </w:rPr>
              <w:t>Greater ability to contribute to overall policy intent of Smokefree 2025</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5D8F4A63" w14:textId="15942AB6"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High</w:t>
            </w:r>
          </w:p>
        </w:tc>
        <w:tc>
          <w:tcPr>
            <w:tcW w:w="1549" w:type="dxa"/>
            <w:tcBorders>
              <w:top w:val="single" w:sz="6" w:space="0" w:color="DDDDDD"/>
              <w:left w:val="single" w:sz="6" w:space="0" w:color="DDDDDD"/>
              <w:bottom w:val="single" w:sz="6" w:space="0" w:color="DDDDDD"/>
              <w:right w:val="single" w:sz="6" w:space="0" w:color="DDDDDD"/>
            </w:tcBorders>
            <w:shd w:val="clear" w:color="auto" w:fill="auto"/>
            <w:hideMark/>
          </w:tcPr>
          <w:p w14:paraId="5D258DC2" w14:textId="70D13B81"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High</w:t>
            </w:r>
          </w:p>
        </w:tc>
      </w:tr>
      <w:tr w:rsidR="00F83ACD" w:rsidRPr="00F83ACD" w14:paraId="34B6CDE6" w14:textId="77777777" w:rsidTr="58911DBF">
        <w:trPr>
          <w:trHeight w:val="255"/>
        </w:trPr>
        <w:tc>
          <w:tcPr>
            <w:tcW w:w="1835" w:type="dxa"/>
            <w:tcBorders>
              <w:top w:val="single" w:sz="6" w:space="0" w:color="DDDDDD"/>
              <w:left w:val="single" w:sz="6" w:space="0" w:color="DDDDDD"/>
              <w:bottom w:val="single" w:sz="6" w:space="0" w:color="DDDDDD"/>
              <w:right w:val="single" w:sz="6" w:space="0" w:color="DDDDDD"/>
            </w:tcBorders>
            <w:shd w:val="clear" w:color="auto" w:fill="auto"/>
            <w:hideMark/>
          </w:tcPr>
          <w:p w14:paraId="40D0C785" w14:textId="5BC36E16"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color w:val="000000"/>
                <w:szCs w:val="22"/>
                <w:lang w:val="en-NZ" w:eastAsia="en-NZ"/>
              </w:rPr>
              <w:t>Others (eg, wider govt, consumers, etc</w:t>
            </w:r>
            <w:r w:rsidR="00141A24">
              <w:rPr>
                <w:rFonts w:cs="Arial"/>
                <w:color w:val="000000"/>
                <w:szCs w:val="22"/>
                <w:lang w:val="en-NZ" w:eastAsia="en-NZ"/>
              </w:rPr>
              <w:t>)</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248319AD" w14:textId="2FE6F346"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Products safer for those wishing to switch to less harmful product.</w:t>
            </w:r>
          </w:p>
          <w:p w14:paraId="547CCBF3" w14:textId="77777777"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 </w:t>
            </w:r>
          </w:p>
          <w:p w14:paraId="52A91BC4" w14:textId="53E64C44"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58911DBF">
              <w:rPr>
                <w:rFonts w:cs="Arial"/>
                <w:lang w:val="en-NZ" w:eastAsia="en-NZ"/>
              </w:rPr>
              <w:t>Products less appealing and addictive to youth</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3C9B1D06" w14:textId="7037542B"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High</w:t>
            </w:r>
          </w:p>
        </w:tc>
        <w:tc>
          <w:tcPr>
            <w:tcW w:w="1549" w:type="dxa"/>
            <w:tcBorders>
              <w:top w:val="single" w:sz="6" w:space="0" w:color="DDDDDD"/>
              <w:left w:val="single" w:sz="6" w:space="0" w:color="DDDDDD"/>
              <w:bottom w:val="single" w:sz="6" w:space="0" w:color="DDDDDD"/>
              <w:right w:val="single" w:sz="6" w:space="0" w:color="DDDDDD"/>
            </w:tcBorders>
            <w:shd w:val="clear" w:color="auto" w:fill="auto"/>
            <w:hideMark/>
          </w:tcPr>
          <w:p w14:paraId="25B53B75" w14:textId="15A4DD7A"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High</w:t>
            </w:r>
          </w:p>
        </w:tc>
      </w:tr>
      <w:tr w:rsidR="00F83ACD" w:rsidRPr="00F83ACD" w14:paraId="0BC85DC8" w14:textId="77777777" w:rsidTr="58911DBF">
        <w:trPr>
          <w:trHeight w:val="255"/>
        </w:trPr>
        <w:tc>
          <w:tcPr>
            <w:tcW w:w="1835" w:type="dxa"/>
            <w:tcBorders>
              <w:top w:val="single" w:sz="6" w:space="0" w:color="DDDDDD"/>
              <w:left w:val="single" w:sz="6" w:space="0" w:color="DDDDDD"/>
              <w:bottom w:val="single" w:sz="6" w:space="0" w:color="DDDDDD"/>
              <w:right w:val="single" w:sz="6" w:space="0" w:color="DDDDDD"/>
            </w:tcBorders>
            <w:shd w:val="clear" w:color="auto" w:fill="auto"/>
            <w:hideMark/>
          </w:tcPr>
          <w:p w14:paraId="6405B496" w14:textId="77777777"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b/>
                <w:bCs/>
                <w:szCs w:val="22"/>
                <w:lang w:val="en-NZ" w:eastAsia="en-NZ"/>
              </w:rPr>
              <w:t>Total monetised benefits</w:t>
            </w:r>
            <w:r w:rsidRPr="00F83ACD">
              <w:rPr>
                <w:rFonts w:cs="Arial"/>
                <w:szCs w:val="22"/>
                <w:lang w:val="en-NZ" w:eastAsia="en-NZ"/>
              </w:rPr>
              <w:t> </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49EDDBFF" w14:textId="53FE1153"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Not assessed</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451DA8FE" w14:textId="292291DD" w:rsidR="00F83ACD" w:rsidRPr="00F83ACD" w:rsidRDefault="00F83ACD" w:rsidP="00031CDF">
            <w:pPr>
              <w:spacing w:before="60" w:after="60" w:line="240" w:lineRule="auto"/>
              <w:textAlignment w:val="baseline"/>
              <w:rPr>
                <w:rFonts w:ascii="Times New Roman" w:hAnsi="Times New Roman"/>
                <w:sz w:val="24"/>
                <w:szCs w:val="24"/>
                <w:lang w:val="en-NZ" w:eastAsia="en-NZ"/>
              </w:rPr>
            </w:pPr>
          </w:p>
        </w:tc>
        <w:tc>
          <w:tcPr>
            <w:tcW w:w="1549" w:type="dxa"/>
            <w:tcBorders>
              <w:top w:val="single" w:sz="6" w:space="0" w:color="DDDDDD"/>
              <w:left w:val="single" w:sz="6" w:space="0" w:color="DDDDDD"/>
              <w:bottom w:val="single" w:sz="6" w:space="0" w:color="DDDDDD"/>
              <w:right w:val="single" w:sz="6" w:space="0" w:color="DDDDDD"/>
            </w:tcBorders>
            <w:shd w:val="clear" w:color="auto" w:fill="auto"/>
            <w:hideMark/>
          </w:tcPr>
          <w:p w14:paraId="1DE8EC92" w14:textId="2E429ADC" w:rsidR="00F83ACD" w:rsidRPr="00F83ACD" w:rsidRDefault="00F83ACD" w:rsidP="00031CDF">
            <w:pPr>
              <w:spacing w:before="60" w:after="60" w:line="240" w:lineRule="auto"/>
              <w:textAlignment w:val="baseline"/>
              <w:rPr>
                <w:rFonts w:ascii="Times New Roman" w:hAnsi="Times New Roman"/>
                <w:sz w:val="24"/>
                <w:szCs w:val="24"/>
                <w:lang w:val="en-NZ" w:eastAsia="en-NZ"/>
              </w:rPr>
            </w:pPr>
          </w:p>
        </w:tc>
      </w:tr>
      <w:tr w:rsidR="00F83ACD" w:rsidRPr="00F83ACD" w14:paraId="2D5BB1A6" w14:textId="77777777" w:rsidTr="58911DBF">
        <w:trPr>
          <w:trHeight w:val="180"/>
        </w:trPr>
        <w:tc>
          <w:tcPr>
            <w:tcW w:w="1835" w:type="dxa"/>
            <w:tcBorders>
              <w:top w:val="single" w:sz="6" w:space="0" w:color="DDDDDD"/>
              <w:left w:val="single" w:sz="6" w:space="0" w:color="DDDDDD"/>
              <w:bottom w:val="single" w:sz="6" w:space="0" w:color="DDDDDD"/>
              <w:right w:val="single" w:sz="6" w:space="0" w:color="DDDDDD"/>
            </w:tcBorders>
            <w:shd w:val="clear" w:color="auto" w:fill="auto"/>
            <w:hideMark/>
          </w:tcPr>
          <w:p w14:paraId="20C272BD" w14:textId="77777777"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b/>
                <w:bCs/>
                <w:szCs w:val="22"/>
                <w:lang w:val="en-NZ" w:eastAsia="en-NZ"/>
              </w:rPr>
              <w:t>Non-monetised benefits</w:t>
            </w:r>
            <w:r w:rsidRPr="00F83ACD">
              <w:rPr>
                <w:rFonts w:cs="Arial"/>
                <w:szCs w:val="22"/>
                <w:lang w:val="en-NZ" w:eastAsia="en-NZ"/>
              </w:rPr>
              <w:t> </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5EB86F29" w14:textId="54EB7C3C" w:rsidR="00F83ACD" w:rsidRPr="00F83ACD" w:rsidRDefault="00F83ACD" w:rsidP="00031CDF">
            <w:pPr>
              <w:spacing w:before="60" w:after="60" w:line="240" w:lineRule="auto"/>
              <w:textAlignment w:val="baseline"/>
              <w:rPr>
                <w:rFonts w:ascii="Times New Roman" w:hAnsi="Times New Roman"/>
                <w:sz w:val="24"/>
                <w:szCs w:val="24"/>
                <w:lang w:val="en-NZ" w:eastAsia="en-NZ"/>
              </w:rPr>
            </w:pPr>
            <w:r w:rsidRPr="00F83ACD">
              <w:rPr>
                <w:rFonts w:cs="Arial"/>
                <w:szCs w:val="22"/>
                <w:lang w:val="en-NZ" w:eastAsia="en-NZ"/>
              </w:rPr>
              <w:t>High</w:t>
            </w:r>
          </w:p>
        </w:tc>
        <w:tc>
          <w:tcPr>
            <w:tcW w:w="2835" w:type="dxa"/>
            <w:tcBorders>
              <w:top w:val="single" w:sz="6" w:space="0" w:color="DDDDDD"/>
              <w:left w:val="single" w:sz="6" w:space="0" w:color="DDDDDD"/>
              <w:bottom w:val="single" w:sz="6" w:space="0" w:color="DDDDDD"/>
              <w:right w:val="single" w:sz="6" w:space="0" w:color="DDDDDD"/>
            </w:tcBorders>
            <w:shd w:val="clear" w:color="auto" w:fill="auto"/>
            <w:hideMark/>
          </w:tcPr>
          <w:p w14:paraId="648D6211" w14:textId="302B89E5" w:rsidR="00F83ACD" w:rsidRPr="00F83ACD" w:rsidRDefault="00F83ACD" w:rsidP="00031CDF">
            <w:pPr>
              <w:spacing w:before="60" w:after="60" w:line="240" w:lineRule="auto"/>
              <w:textAlignment w:val="baseline"/>
              <w:rPr>
                <w:rFonts w:ascii="Times New Roman" w:hAnsi="Times New Roman"/>
                <w:sz w:val="24"/>
                <w:szCs w:val="24"/>
                <w:lang w:val="en-NZ" w:eastAsia="en-NZ"/>
              </w:rPr>
            </w:pPr>
          </w:p>
        </w:tc>
        <w:tc>
          <w:tcPr>
            <w:tcW w:w="1549" w:type="dxa"/>
            <w:tcBorders>
              <w:top w:val="single" w:sz="6" w:space="0" w:color="DDDDDD"/>
              <w:left w:val="single" w:sz="6" w:space="0" w:color="DDDDDD"/>
              <w:bottom w:val="single" w:sz="6" w:space="0" w:color="DDDDDD"/>
              <w:right w:val="single" w:sz="6" w:space="0" w:color="DDDDDD"/>
            </w:tcBorders>
            <w:shd w:val="clear" w:color="auto" w:fill="auto"/>
            <w:hideMark/>
          </w:tcPr>
          <w:p w14:paraId="1EF80EC7" w14:textId="1155F19B" w:rsidR="00F83ACD" w:rsidRPr="00F83ACD" w:rsidRDefault="00F83ACD" w:rsidP="00031CDF">
            <w:pPr>
              <w:spacing w:before="60" w:after="60" w:line="240" w:lineRule="auto"/>
              <w:textAlignment w:val="baseline"/>
              <w:rPr>
                <w:rFonts w:ascii="Times New Roman" w:hAnsi="Times New Roman"/>
                <w:sz w:val="24"/>
                <w:szCs w:val="24"/>
                <w:lang w:val="en-NZ" w:eastAsia="en-NZ"/>
              </w:rPr>
            </w:pPr>
          </w:p>
        </w:tc>
      </w:tr>
    </w:tbl>
    <w:p w14:paraId="273D5D0F" w14:textId="77777777" w:rsidR="00C8180F" w:rsidRDefault="00C8180F" w:rsidP="00FF04EC">
      <w:pPr>
        <w:spacing w:after="0" w:line="240" w:lineRule="auto"/>
        <w:rPr>
          <w:lang w:val="en-NZ"/>
        </w:rPr>
      </w:pPr>
    </w:p>
    <w:p w14:paraId="6DD084D0" w14:textId="77777777" w:rsidR="00FF04EC" w:rsidRDefault="00FF04EC" w:rsidP="00FF04EC">
      <w:pPr>
        <w:spacing w:after="0" w:line="240" w:lineRule="auto"/>
        <w:rPr>
          <w:rFonts w:ascii="Arial Bold" w:hAnsi="Arial Bold"/>
          <w:b/>
          <w:color w:val="0082AB"/>
          <w:spacing w:val="20"/>
          <w:w w:val="90"/>
          <w:sz w:val="32"/>
          <w:szCs w:val="24"/>
          <w:lang w:val="en-NZ"/>
        </w:rPr>
      </w:pPr>
    </w:p>
    <w:p w14:paraId="620FCCCC" w14:textId="77777777" w:rsidR="00FF04EC" w:rsidRDefault="00FF04EC">
      <w:pPr>
        <w:spacing w:after="0" w:line="240" w:lineRule="auto"/>
        <w:rPr>
          <w:rFonts w:ascii="Arial Bold" w:hAnsi="Arial Bold"/>
          <w:b/>
          <w:color w:val="0082AB"/>
          <w:spacing w:val="20"/>
          <w:w w:val="90"/>
          <w:sz w:val="32"/>
          <w:szCs w:val="24"/>
          <w:lang w:val="en-NZ"/>
        </w:rPr>
      </w:pPr>
      <w:r>
        <w:rPr>
          <w:rFonts w:ascii="Arial Bold" w:hAnsi="Arial Bold"/>
          <w:b/>
          <w:color w:val="0082AB"/>
          <w:spacing w:val="20"/>
          <w:w w:val="90"/>
          <w:sz w:val="32"/>
          <w:szCs w:val="24"/>
          <w:lang w:val="en-NZ"/>
        </w:rPr>
        <w:br w:type="page"/>
      </w:r>
    </w:p>
    <w:p w14:paraId="72B56C0E" w14:textId="53D4501D" w:rsidR="000223CC" w:rsidRDefault="00417B4A" w:rsidP="001E7CF5">
      <w:pPr>
        <w:pStyle w:val="Heading2"/>
        <w:rPr>
          <w:lang w:val="en-NZ"/>
        </w:rPr>
      </w:pPr>
      <w:r w:rsidRPr="00A864A5">
        <w:rPr>
          <w:lang w:val="en-NZ"/>
        </w:rPr>
        <w:t xml:space="preserve">Section </w:t>
      </w:r>
      <w:r w:rsidR="00D62B30" w:rsidRPr="00A864A5">
        <w:rPr>
          <w:lang w:val="en-NZ"/>
        </w:rPr>
        <w:t>3</w:t>
      </w:r>
      <w:r w:rsidRPr="00A864A5">
        <w:rPr>
          <w:lang w:val="en-NZ"/>
        </w:rPr>
        <w:t xml:space="preserve">: </w:t>
      </w:r>
      <w:r w:rsidR="0022201B">
        <w:rPr>
          <w:lang w:val="en-NZ"/>
        </w:rPr>
        <w:t xml:space="preserve">Delivering </w:t>
      </w:r>
      <w:r w:rsidR="005F41A2">
        <w:rPr>
          <w:lang w:val="en-NZ"/>
        </w:rPr>
        <w:t>an option</w:t>
      </w:r>
    </w:p>
    <w:p w14:paraId="77D8CE5A" w14:textId="6BD5589D" w:rsidR="006B5794" w:rsidRPr="00A864A5" w:rsidRDefault="00A16B89" w:rsidP="001E7CF5">
      <w:pPr>
        <w:pStyle w:val="Heading3"/>
        <w:spacing w:before="120" w:after="120"/>
        <w:rPr>
          <w:lang w:val="en-NZ"/>
        </w:rPr>
      </w:pPr>
      <w:r w:rsidRPr="00A864A5">
        <w:rPr>
          <w:lang w:val="en-NZ"/>
        </w:rPr>
        <w:t xml:space="preserve">How will </w:t>
      </w:r>
      <w:r w:rsidR="003A6757">
        <w:rPr>
          <w:lang w:val="en-NZ"/>
        </w:rPr>
        <w:t xml:space="preserve">the </w:t>
      </w:r>
      <w:r w:rsidR="005F41A2">
        <w:rPr>
          <w:lang w:val="en-NZ"/>
        </w:rPr>
        <w:t>new arrangements be implemented</w:t>
      </w:r>
      <w:r w:rsidRPr="00A864A5">
        <w:rPr>
          <w:lang w:val="en-NZ"/>
        </w:rPr>
        <w:t>?</w:t>
      </w:r>
    </w:p>
    <w:p w14:paraId="1E26F622" w14:textId="4B4A9309" w:rsidR="00A4682C" w:rsidRDefault="00256919" w:rsidP="001E7CF5">
      <w:pPr>
        <w:pStyle w:val="Heading4"/>
        <w:spacing w:after="120"/>
        <w:rPr>
          <w:lang w:val="en-NZ"/>
        </w:rPr>
      </w:pPr>
      <w:r>
        <w:rPr>
          <w:lang w:val="en-NZ"/>
        </w:rPr>
        <w:t>Timeframe</w:t>
      </w:r>
    </w:p>
    <w:p w14:paraId="02CE46E9" w14:textId="339694BF" w:rsidR="007E24F3" w:rsidRDefault="00256919" w:rsidP="003266B7">
      <w:pPr>
        <w:spacing w:before="120" w:after="120" w:line="240" w:lineRule="auto"/>
        <w:rPr>
          <w:lang w:val="en-NZ"/>
        </w:rPr>
      </w:pPr>
      <w:r w:rsidRPr="58911DBF">
        <w:rPr>
          <w:lang w:val="en-NZ"/>
        </w:rPr>
        <w:t xml:space="preserve">The new arrangements will be implemented over </w:t>
      </w:r>
      <w:r w:rsidR="001521DA" w:rsidRPr="58911DBF">
        <w:rPr>
          <w:lang w:val="en-NZ"/>
        </w:rPr>
        <w:t>a</w:t>
      </w:r>
      <w:r w:rsidRPr="58911DBF">
        <w:rPr>
          <w:lang w:val="en-NZ"/>
        </w:rPr>
        <w:t xml:space="preserve"> timeframe </w:t>
      </w:r>
      <w:r w:rsidR="001521DA" w:rsidRPr="58911DBF">
        <w:rPr>
          <w:lang w:val="en-NZ"/>
        </w:rPr>
        <w:t xml:space="preserve">defined by </w:t>
      </w:r>
      <w:r w:rsidR="000F347E" w:rsidRPr="58911DBF">
        <w:rPr>
          <w:lang w:val="en-NZ"/>
        </w:rPr>
        <w:t xml:space="preserve">the </w:t>
      </w:r>
      <w:r w:rsidR="13802C71" w:rsidRPr="58911DBF" w:rsidDel="00F63105">
        <w:rPr>
          <w:lang w:val="en-NZ"/>
        </w:rPr>
        <w:t xml:space="preserve">Amendment </w:t>
      </w:r>
      <w:r w:rsidR="00F63105" w:rsidRPr="5E2B2856">
        <w:rPr>
          <w:lang w:val="en-NZ"/>
        </w:rPr>
        <w:t>Act</w:t>
      </w:r>
      <w:r w:rsidRPr="5E2B2856">
        <w:rPr>
          <w:lang w:val="en-NZ"/>
        </w:rPr>
        <w:t>.</w:t>
      </w:r>
      <w:r w:rsidR="5F25F6FE" w:rsidRPr="58911DBF">
        <w:rPr>
          <w:lang w:val="en-NZ"/>
        </w:rPr>
        <w:t xml:space="preserve"> </w:t>
      </w:r>
      <w:r w:rsidR="003E17B9" w:rsidRPr="58911DBF">
        <w:rPr>
          <w:lang w:val="en-NZ"/>
        </w:rPr>
        <w:t>All provisions are phased</w:t>
      </w:r>
      <w:r w:rsidR="00726A56" w:rsidRPr="58911DBF">
        <w:rPr>
          <w:lang w:val="en-NZ"/>
        </w:rPr>
        <w:t xml:space="preserve">, with implementation dates </w:t>
      </w:r>
      <w:r w:rsidR="00407999">
        <w:rPr>
          <w:lang w:val="en-NZ"/>
        </w:rPr>
        <w:t>scheduled</w:t>
      </w:r>
      <w:r w:rsidR="00407999" w:rsidRPr="58911DBF">
        <w:rPr>
          <w:lang w:val="en-NZ"/>
        </w:rPr>
        <w:t xml:space="preserve"> </w:t>
      </w:r>
      <w:r w:rsidR="00726A56" w:rsidRPr="58911DBF">
        <w:rPr>
          <w:lang w:val="en-NZ"/>
        </w:rPr>
        <w:t xml:space="preserve">to </w:t>
      </w:r>
      <w:r w:rsidR="002E1965" w:rsidRPr="58911DBF">
        <w:rPr>
          <w:lang w:val="en-NZ"/>
        </w:rPr>
        <w:t>allow</w:t>
      </w:r>
      <w:r w:rsidR="00726A56" w:rsidRPr="58911DBF">
        <w:rPr>
          <w:lang w:val="en-NZ"/>
        </w:rPr>
        <w:t xml:space="preserve"> time for industry </w:t>
      </w:r>
      <w:r w:rsidR="003F61DE">
        <w:rPr>
          <w:lang w:val="en-NZ"/>
        </w:rPr>
        <w:t>to prepare for changes</w:t>
      </w:r>
      <w:r w:rsidR="00726A56" w:rsidRPr="58911DBF">
        <w:rPr>
          <w:lang w:val="en-NZ"/>
        </w:rPr>
        <w:t xml:space="preserve"> and the </w:t>
      </w:r>
      <w:r w:rsidR="009B555D">
        <w:rPr>
          <w:lang w:val="en-NZ"/>
        </w:rPr>
        <w:t>regulatory authorities</w:t>
      </w:r>
      <w:r w:rsidR="009B555D" w:rsidRPr="58911DBF">
        <w:rPr>
          <w:lang w:val="en-NZ"/>
        </w:rPr>
        <w:t xml:space="preserve"> </w:t>
      </w:r>
      <w:r w:rsidR="00A13F4A">
        <w:rPr>
          <w:lang w:val="en-NZ"/>
        </w:rPr>
        <w:t>to</w:t>
      </w:r>
      <w:r w:rsidR="00726A56" w:rsidRPr="58911DBF">
        <w:rPr>
          <w:lang w:val="en-NZ"/>
        </w:rPr>
        <w:t xml:space="preserve"> establish </w:t>
      </w:r>
      <w:r w:rsidR="09CF8D14" w:rsidRPr="2EDFE87B">
        <w:rPr>
          <w:lang w:val="en-NZ"/>
        </w:rPr>
        <w:t>relevant</w:t>
      </w:r>
      <w:r w:rsidR="00726A56" w:rsidRPr="58911DBF">
        <w:rPr>
          <w:lang w:val="en-NZ"/>
        </w:rPr>
        <w:t xml:space="preserve"> processes.</w:t>
      </w:r>
    </w:p>
    <w:p w14:paraId="4B0EF88F" w14:textId="7F578473" w:rsidR="00C3458A" w:rsidRPr="00502899" w:rsidRDefault="00202377" w:rsidP="003266B7">
      <w:pPr>
        <w:spacing w:before="120" w:after="120" w:line="240" w:lineRule="auto"/>
        <w:rPr>
          <w:lang w:val="en-NZ"/>
        </w:rPr>
      </w:pPr>
      <w:r>
        <w:rPr>
          <w:lang w:val="en-NZ"/>
        </w:rPr>
        <w:t xml:space="preserve">From 1 July 2024, smoked tobacco products will only be available for legal sale from </w:t>
      </w:r>
      <w:r w:rsidR="005E00A5">
        <w:rPr>
          <w:lang w:val="en-NZ"/>
        </w:rPr>
        <w:t>a</w:t>
      </w:r>
      <w:r>
        <w:rPr>
          <w:lang w:val="en-NZ"/>
        </w:rPr>
        <w:t xml:space="preserve">pproved </w:t>
      </w:r>
      <w:r w:rsidR="005E00A5">
        <w:rPr>
          <w:lang w:val="en-NZ"/>
        </w:rPr>
        <w:t>s</w:t>
      </w:r>
      <w:r>
        <w:rPr>
          <w:lang w:val="en-NZ"/>
        </w:rPr>
        <w:t xml:space="preserve">moked </w:t>
      </w:r>
      <w:r w:rsidR="005E00A5">
        <w:rPr>
          <w:lang w:val="en-NZ"/>
        </w:rPr>
        <w:t>t</w:t>
      </w:r>
      <w:r>
        <w:rPr>
          <w:lang w:val="en-NZ"/>
        </w:rPr>
        <w:t xml:space="preserve">obacco </w:t>
      </w:r>
      <w:r w:rsidR="005E00A5">
        <w:rPr>
          <w:lang w:val="en-NZ"/>
        </w:rPr>
        <w:t>r</w:t>
      </w:r>
      <w:r>
        <w:rPr>
          <w:lang w:val="en-NZ"/>
        </w:rPr>
        <w:t>etailers as part of the Smoked Tobacco Retail Scheme</w:t>
      </w:r>
      <w:r w:rsidR="00B94BE1">
        <w:rPr>
          <w:lang w:val="en-NZ"/>
        </w:rPr>
        <w:t xml:space="preserve"> under the Act</w:t>
      </w:r>
      <w:r>
        <w:rPr>
          <w:lang w:val="en-NZ"/>
        </w:rPr>
        <w:t xml:space="preserve">. </w:t>
      </w:r>
    </w:p>
    <w:p w14:paraId="35F0FBF0" w14:textId="77777777" w:rsidR="006E358A" w:rsidRPr="00502899" w:rsidRDefault="008805D7" w:rsidP="006E358A">
      <w:pPr>
        <w:spacing w:before="120" w:after="120" w:line="240" w:lineRule="auto"/>
        <w:rPr>
          <w:lang w:val="en-NZ"/>
        </w:rPr>
      </w:pPr>
      <w:r>
        <w:rPr>
          <w:lang w:val="en-NZ"/>
        </w:rPr>
        <w:t>Once the relevant regulations are in force, t</w:t>
      </w:r>
      <w:r w:rsidR="00475804">
        <w:rPr>
          <w:lang w:val="en-NZ"/>
        </w:rPr>
        <w:t xml:space="preserve">he application process for the Smoked Tobacco Retail Scheme will open in the second half of 2023, </w:t>
      </w:r>
      <w:r w:rsidR="00017E21">
        <w:rPr>
          <w:lang w:val="en-NZ"/>
        </w:rPr>
        <w:t>allow</w:t>
      </w:r>
      <w:r>
        <w:rPr>
          <w:lang w:val="en-NZ"/>
        </w:rPr>
        <w:t>ing enough</w:t>
      </w:r>
      <w:r w:rsidR="00017E21">
        <w:rPr>
          <w:lang w:val="en-NZ"/>
        </w:rPr>
        <w:t xml:space="preserve"> time to process applications and notify applicants of </w:t>
      </w:r>
      <w:r w:rsidR="00A973F1">
        <w:rPr>
          <w:lang w:val="en-NZ"/>
        </w:rPr>
        <w:t>an outcome as early as possible.</w:t>
      </w:r>
      <w:r w:rsidR="006E358A">
        <w:rPr>
          <w:lang w:val="en-NZ"/>
        </w:rPr>
        <w:t xml:space="preserve"> </w:t>
      </w:r>
      <w:r w:rsidR="006E358A" w:rsidRPr="2F6FD4DC">
        <w:rPr>
          <w:lang w:val="en-NZ"/>
        </w:rPr>
        <w:t xml:space="preserve">Stores that do not receive approval </w:t>
      </w:r>
      <w:r w:rsidR="006E358A">
        <w:rPr>
          <w:lang w:val="en-NZ"/>
        </w:rPr>
        <w:t>from the Director-General of Health</w:t>
      </w:r>
      <w:r w:rsidR="006E358A" w:rsidRPr="2F6FD4DC">
        <w:rPr>
          <w:lang w:val="en-NZ"/>
        </w:rPr>
        <w:t xml:space="preserve"> to operate as a</w:t>
      </w:r>
      <w:r w:rsidR="006E358A">
        <w:rPr>
          <w:lang w:val="en-NZ"/>
        </w:rPr>
        <w:t>n Approved</w:t>
      </w:r>
      <w:r w:rsidR="006E358A" w:rsidRPr="2F6FD4DC">
        <w:rPr>
          <w:lang w:val="en-NZ"/>
        </w:rPr>
        <w:t xml:space="preserve"> smoked tobacco retailer </w:t>
      </w:r>
      <w:r w:rsidR="006E358A" w:rsidRPr="30362CD0">
        <w:rPr>
          <w:lang w:val="en-NZ"/>
        </w:rPr>
        <w:t>can</w:t>
      </w:r>
      <w:r w:rsidR="006E358A">
        <w:rPr>
          <w:lang w:val="en-NZ"/>
        </w:rPr>
        <w:t xml:space="preserve"> still</w:t>
      </w:r>
      <w:r w:rsidR="006E358A" w:rsidRPr="2F6FD4DC">
        <w:rPr>
          <w:lang w:val="en-NZ"/>
        </w:rPr>
        <w:t xml:space="preserve"> trade until the middle of 2024</w:t>
      </w:r>
      <w:r w:rsidR="006E358A" w:rsidRPr="30362CD0">
        <w:rPr>
          <w:lang w:val="en-NZ"/>
        </w:rPr>
        <w:t xml:space="preserve">. </w:t>
      </w:r>
    </w:p>
    <w:p w14:paraId="0CAFE86A" w14:textId="78FDFBC1" w:rsidR="00475804" w:rsidRPr="00502899" w:rsidRDefault="00475804" w:rsidP="003266B7">
      <w:pPr>
        <w:spacing w:before="120" w:after="120" w:line="240" w:lineRule="auto"/>
        <w:rPr>
          <w:lang w:val="en-NZ"/>
        </w:rPr>
      </w:pPr>
    </w:p>
    <w:p w14:paraId="0BE62946" w14:textId="3C138FD0" w:rsidR="00035C24" w:rsidRPr="003E17B9" w:rsidRDefault="00A973F1" w:rsidP="003266B7">
      <w:pPr>
        <w:spacing w:before="120" w:after="120" w:line="240" w:lineRule="auto"/>
        <w:rPr>
          <w:lang w:val="en-NZ"/>
        </w:rPr>
      </w:pPr>
      <w:r>
        <w:rPr>
          <w:lang w:val="en-NZ"/>
        </w:rPr>
        <w:t xml:space="preserve">From 1 April 2025, </w:t>
      </w:r>
      <w:r w:rsidR="00280FD6">
        <w:rPr>
          <w:lang w:val="en-NZ"/>
        </w:rPr>
        <w:t>only</w:t>
      </w:r>
      <w:r w:rsidR="001D5A6C">
        <w:rPr>
          <w:lang w:val="en-NZ"/>
        </w:rPr>
        <w:t xml:space="preserve"> </w:t>
      </w:r>
      <w:r w:rsidR="00632DBF">
        <w:rPr>
          <w:lang w:val="en-NZ"/>
        </w:rPr>
        <w:t xml:space="preserve">smoked tobacco products </w:t>
      </w:r>
      <w:r w:rsidR="00280FD6">
        <w:rPr>
          <w:lang w:val="en-NZ"/>
        </w:rPr>
        <w:t>with</w:t>
      </w:r>
      <w:r w:rsidR="00632DBF">
        <w:rPr>
          <w:lang w:val="en-NZ"/>
        </w:rPr>
        <w:t xml:space="preserve"> very low levels of nicotine </w:t>
      </w:r>
      <w:r w:rsidR="00280FD6">
        <w:rPr>
          <w:lang w:val="en-NZ"/>
        </w:rPr>
        <w:t>(maximum 0.8mg/g)</w:t>
      </w:r>
      <w:r w:rsidR="00632DBF">
        <w:rPr>
          <w:lang w:val="en-NZ"/>
        </w:rPr>
        <w:t xml:space="preserve"> </w:t>
      </w:r>
      <w:r w:rsidR="00B84E1F">
        <w:rPr>
          <w:lang w:val="en-NZ"/>
        </w:rPr>
        <w:t xml:space="preserve">will </w:t>
      </w:r>
      <w:r w:rsidR="003D7C88">
        <w:rPr>
          <w:lang w:val="en-NZ"/>
        </w:rPr>
        <w:t>be approved by the Director-General of Health for sale through the Product Approval Scheme under the Act.</w:t>
      </w:r>
      <w:r w:rsidR="00D86D6B">
        <w:rPr>
          <w:lang w:val="en-NZ"/>
        </w:rPr>
        <w:t xml:space="preserve"> </w:t>
      </w:r>
      <w:r w:rsidR="00035C24">
        <w:rPr>
          <w:lang w:val="en-NZ"/>
        </w:rPr>
        <w:t xml:space="preserve">Other notification requirements start on </w:t>
      </w:r>
      <w:r w:rsidR="00E65ACB">
        <w:rPr>
          <w:lang w:val="en-NZ"/>
        </w:rPr>
        <w:t>October 2023.</w:t>
      </w:r>
      <w:r w:rsidR="00035C24">
        <w:rPr>
          <w:lang w:val="en-NZ"/>
        </w:rPr>
        <w:t xml:space="preserve"> </w:t>
      </w:r>
    </w:p>
    <w:p w14:paraId="2734B721" w14:textId="6CBF3B2C" w:rsidR="00DD0248" w:rsidRDefault="1A3FA7E7" w:rsidP="003266B7">
      <w:pPr>
        <w:spacing w:before="120" w:after="120" w:line="240" w:lineRule="auto"/>
        <w:rPr>
          <w:lang w:val="en-NZ"/>
        </w:rPr>
      </w:pPr>
      <w:r>
        <w:rPr>
          <w:lang w:val="en-NZ"/>
        </w:rPr>
        <w:t>A</w:t>
      </w:r>
      <w:r w:rsidR="73615D12">
        <w:rPr>
          <w:lang w:val="en-NZ"/>
        </w:rPr>
        <w:t xml:space="preserve"> detailed</w:t>
      </w:r>
      <w:r>
        <w:rPr>
          <w:lang w:val="en-NZ"/>
        </w:rPr>
        <w:t xml:space="preserve"> implementation timeline </w:t>
      </w:r>
      <w:r w:rsidR="102F664F">
        <w:rPr>
          <w:lang w:val="en-NZ"/>
        </w:rPr>
        <w:t xml:space="preserve">of the Act </w:t>
      </w:r>
      <w:r>
        <w:rPr>
          <w:lang w:val="en-NZ"/>
        </w:rPr>
        <w:t>can be found on the Ministry website.</w:t>
      </w:r>
      <w:r w:rsidR="00DE22F9">
        <w:rPr>
          <w:rStyle w:val="FootnoteReference"/>
          <w:lang w:val="en-NZ"/>
        </w:rPr>
        <w:footnoteReference w:id="14"/>
      </w:r>
    </w:p>
    <w:p w14:paraId="0251A483" w14:textId="72099C28" w:rsidR="00256919" w:rsidRDefault="00256919" w:rsidP="001E7CF5">
      <w:pPr>
        <w:pStyle w:val="Heading4"/>
        <w:spacing w:after="120"/>
        <w:rPr>
          <w:lang w:val="en-NZ"/>
        </w:rPr>
      </w:pPr>
      <w:r>
        <w:rPr>
          <w:lang w:val="en-NZ"/>
        </w:rPr>
        <w:t>Agencies involved</w:t>
      </w:r>
      <w:r w:rsidR="00127835">
        <w:rPr>
          <w:lang w:val="en-NZ"/>
        </w:rPr>
        <w:t xml:space="preserve"> and responsibilities</w:t>
      </w:r>
    </w:p>
    <w:p w14:paraId="266D75D3" w14:textId="77777777" w:rsidR="00E426E1" w:rsidRDefault="3B738DB0" w:rsidP="001E7CF5">
      <w:pPr>
        <w:spacing w:before="120" w:after="120"/>
        <w:rPr>
          <w:lang w:val="en-NZ"/>
        </w:rPr>
      </w:pPr>
      <w:r w:rsidRPr="3269CBE7">
        <w:rPr>
          <w:lang w:val="en-NZ"/>
        </w:rPr>
        <w:t>Administering</w:t>
      </w:r>
      <w:r w:rsidR="005E607C">
        <w:rPr>
          <w:lang w:val="en-NZ"/>
        </w:rPr>
        <w:t xml:space="preserve"> the</w:t>
      </w:r>
      <w:r w:rsidR="0069218B">
        <w:rPr>
          <w:lang w:val="en-NZ"/>
        </w:rPr>
        <w:t xml:space="preserve"> regulations </w:t>
      </w:r>
      <w:r w:rsidR="005E607C">
        <w:rPr>
          <w:lang w:val="en-NZ"/>
        </w:rPr>
        <w:t>under the Act, and monitoring compliance with requirements,</w:t>
      </w:r>
      <w:r w:rsidR="0069218B">
        <w:rPr>
          <w:lang w:val="en-NZ"/>
        </w:rPr>
        <w:t xml:space="preserve"> </w:t>
      </w:r>
      <w:r w:rsidR="4E4202AE" w:rsidRPr="03A50B33">
        <w:rPr>
          <w:lang w:val="en-NZ"/>
        </w:rPr>
        <w:t>is</w:t>
      </w:r>
      <w:r w:rsidR="005E607C">
        <w:rPr>
          <w:lang w:val="en-NZ"/>
        </w:rPr>
        <w:t xml:space="preserve"> a responsibility</w:t>
      </w:r>
      <w:r w:rsidR="20660ADC" w:rsidRPr="03A50B33">
        <w:rPr>
          <w:lang w:val="en-NZ"/>
        </w:rPr>
        <w:t xml:space="preserve"> </w:t>
      </w:r>
      <w:r w:rsidR="0069218B">
        <w:rPr>
          <w:lang w:val="en-NZ"/>
        </w:rPr>
        <w:t>shared</w:t>
      </w:r>
      <w:r w:rsidR="007222AD">
        <w:rPr>
          <w:lang w:val="en-NZ"/>
        </w:rPr>
        <w:t xml:space="preserve"> </w:t>
      </w:r>
      <w:r w:rsidR="005E607C">
        <w:rPr>
          <w:lang w:val="en-NZ"/>
        </w:rPr>
        <w:t xml:space="preserve">by the </w:t>
      </w:r>
      <w:r w:rsidR="007222AD">
        <w:rPr>
          <w:lang w:val="en-NZ"/>
        </w:rPr>
        <w:t xml:space="preserve">Ministry of Health </w:t>
      </w:r>
      <w:r w:rsidR="6802050A" w:rsidRPr="48E31B36">
        <w:rPr>
          <w:lang w:val="en-NZ"/>
        </w:rPr>
        <w:t>(</w:t>
      </w:r>
      <w:r w:rsidR="709BA5D3" w:rsidRPr="48E31B36">
        <w:rPr>
          <w:lang w:val="en-NZ"/>
        </w:rPr>
        <w:t xml:space="preserve">Tobacco Regulatory </w:t>
      </w:r>
      <w:r w:rsidR="709BA5D3" w:rsidRPr="5F3B512C">
        <w:rPr>
          <w:lang w:val="en-NZ"/>
        </w:rPr>
        <w:t xml:space="preserve">Authority) </w:t>
      </w:r>
      <w:r w:rsidR="5D8527D0" w:rsidRPr="5F3B512C">
        <w:rPr>
          <w:lang w:val="en-NZ"/>
        </w:rPr>
        <w:t>and</w:t>
      </w:r>
      <w:r w:rsidR="007222AD">
        <w:rPr>
          <w:lang w:val="en-NZ"/>
        </w:rPr>
        <w:t xml:space="preserve"> Te Whatu Ora</w:t>
      </w:r>
      <w:r w:rsidR="11F9B84B" w:rsidRPr="6A8B8004">
        <w:rPr>
          <w:lang w:val="en-NZ"/>
        </w:rPr>
        <w:t xml:space="preserve"> (National Public Health </w:t>
      </w:r>
      <w:r w:rsidR="11F9B84B" w:rsidRPr="0C0D4045">
        <w:rPr>
          <w:lang w:val="en-NZ"/>
        </w:rPr>
        <w:t>Service)</w:t>
      </w:r>
      <w:r w:rsidR="22F52BFE" w:rsidRPr="0C0D4045">
        <w:rPr>
          <w:lang w:val="en-NZ"/>
        </w:rPr>
        <w:t>.</w:t>
      </w:r>
      <w:r w:rsidR="006B07C5">
        <w:rPr>
          <w:lang w:val="en-NZ"/>
        </w:rPr>
        <w:t xml:space="preserve"> </w:t>
      </w:r>
    </w:p>
    <w:p w14:paraId="7A703309" w14:textId="175DCAEF" w:rsidR="001465A8" w:rsidRDefault="0069218B" w:rsidP="001E7CF5">
      <w:pPr>
        <w:spacing w:before="120" w:after="120"/>
        <w:rPr>
          <w:lang w:val="en-NZ"/>
        </w:rPr>
      </w:pPr>
      <w:r>
        <w:rPr>
          <w:lang w:val="en-NZ"/>
        </w:rPr>
        <w:t xml:space="preserve">The Tobacco </w:t>
      </w:r>
      <w:r w:rsidR="00B2119E">
        <w:rPr>
          <w:lang w:val="en-NZ"/>
        </w:rPr>
        <w:t>Regulatory</w:t>
      </w:r>
      <w:r>
        <w:rPr>
          <w:lang w:val="en-NZ"/>
        </w:rPr>
        <w:t xml:space="preserve"> Authority </w:t>
      </w:r>
      <w:r w:rsidR="00A64470">
        <w:rPr>
          <w:lang w:val="en-NZ"/>
        </w:rPr>
        <w:t xml:space="preserve">(TRA) </w:t>
      </w:r>
      <w:r>
        <w:rPr>
          <w:lang w:val="en-NZ"/>
        </w:rPr>
        <w:t>will</w:t>
      </w:r>
      <w:r w:rsidR="00E224BE">
        <w:rPr>
          <w:lang w:val="en-NZ"/>
        </w:rPr>
        <w:t xml:space="preserve"> receive, </w:t>
      </w:r>
      <w:proofErr w:type="gramStart"/>
      <w:r w:rsidR="00E224BE">
        <w:rPr>
          <w:lang w:val="en-NZ"/>
        </w:rPr>
        <w:t>process</w:t>
      </w:r>
      <w:proofErr w:type="gramEnd"/>
      <w:r w:rsidR="00E224BE">
        <w:rPr>
          <w:lang w:val="en-NZ"/>
        </w:rPr>
        <w:t xml:space="preserve"> and consider all applications for smoked tobacco retailers</w:t>
      </w:r>
      <w:r w:rsidR="001D6F3D">
        <w:rPr>
          <w:lang w:val="en-NZ"/>
        </w:rPr>
        <w:t>, smoked tobacco products, distributors and gene</w:t>
      </w:r>
      <w:r w:rsidR="006B621F">
        <w:rPr>
          <w:lang w:val="en-NZ"/>
        </w:rPr>
        <w:t xml:space="preserve">ral retailers of notifiable products, </w:t>
      </w:r>
      <w:r w:rsidR="0095422B">
        <w:rPr>
          <w:lang w:val="en-NZ"/>
        </w:rPr>
        <w:t>using the pre-existing</w:t>
      </w:r>
      <w:r w:rsidR="00E224BE">
        <w:rPr>
          <w:lang w:val="en-NZ"/>
        </w:rPr>
        <w:t xml:space="preserve"> HARP </w:t>
      </w:r>
      <w:r w:rsidR="007E66F1">
        <w:rPr>
          <w:lang w:val="en-NZ"/>
        </w:rPr>
        <w:t>data management</w:t>
      </w:r>
      <w:r w:rsidR="00E224BE">
        <w:rPr>
          <w:lang w:val="en-NZ"/>
        </w:rPr>
        <w:t xml:space="preserve"> system</w:t>
      </w:r>
      <w:r w:rsidR="008A2A17">
        <w:rPr>
          <w:lang w:val="en-NZ"/>
        </w:rPr>
        <w:t xml:space="preserve">. This system </w:t>
      </w:r>
      <w:r w:rsidR="1CA4C583" w:rsidRPr="207D5E09">
        <w:rPr>
          <w:lang w:val="en-NZ"/>
        </w:rPr>
        <w:t xml:space="preserve">stores </w:t>
      </w:r>
      <w:r w:rsidR="511C031E" w:rsidRPr="207D5E09">
        <w:rPr>
          <w:lang w:val="en-NZ"/>
        </w:rPr>
        <w:t>all</w:t>
      </w:r>
      <w:r w:rsidR="00E224BE">
        <w:rPr>
          <w:lang w:val="en-NZ"/>
        </w:rPr>
        <w:t xml:space="preserve"> information regarding vaping retailers nationally</w:t>
      </w:r>
      <w:r w:rsidR="00E11793">
        <w:rPr>
          <w:lang w:val="en-NZ"/>
        </w:rPr>
        <w:t xml:space="preserve"> and will </w:t>
      </w:r>
      <w:r w:rsidR="0095422B">
        <w:rPr>
          <w:lang w:val="en-NZ"/>
        </w:rPr>
        <w:t xml:space="preserve">be adapted to </w:t>
      </w:r>
      <w:r w:rsidR="001D6F3D">
        <w:rPr>
          <w:lang w:val="en-NZ"/>
        </w:rPr>
        <w:t>man</w:t>
      </w:r>
      <w:r w:rsidR="004406FD">
        <w:rPr>
          <w:lang w:val="en-NZ"/>
        </w:rPr>
        <w:t>a</w:t>
      </w:r>
      <w:r w:rsidR="001D6F3D">
        <w:rPr>
          <w:lang w:val="en-NZ"/>
        </w:rPr>
        <w:t xml:space="preserve">ge the </w:t>
      </w:r>
      <w:r w:rsidR="19E7A5F3" w:rsidRPr="3269CBE7">
        <w:rPr>
          <w:lang w:val="en-NZ"/>
        </w:rPr>
        <w:t>S</w:t>
      </w:r>
      <w:r w:rsidR="0E6AA893" w:rsidRPr="3269CBE7">
        <w:rPr>
          <w:lang w:val="en-NZ"/>
        </w:rPr>
        <w:t xml:space="preserve">moked </w:t>
      </w:r>
      <w:r w:rsidR="55615C80" w:rsidRPr="3269CBE7">
        <w:rPr>
          <w:lang w:val="en-NZ"/>
        </w:rPr>
        <w:t>T</w:t>
      </w:r>
      <w:r w:rsidR="0E6AA893" w:rsidRPr="3269CBE7">
        <w:rPr>
          <w:lang w:val="en-NZ"/>
        </w:rPr>
        <w:t xml:space="preserve">obacco </w:t>
      </w:r>
      <w:r w:rsidR="55615C80" w:rsidRPr="3269CBE7">
        <w:rPr>
          <w:lang w:val="en-NZ"/>
        </w:rPr>
        <w:t>R</w:t>
      </w:r>
      <w:r w:rsidR="33AF894D" w:rsidRPr="3269CBE7">
        <w:rPr>
          <w:lang w:val="en-NZ"/>
        </w:rPr>
        <w:t xml:space="preserve">egulatory </w:t>
      </w:r>
      <w:r w:rsidR="55615C80" w:rsidRPr="3269CBE7">
        <w:rPr>
          <w:lang w:val="en-NZ"/>
        </w:rPr>
        <w:t>R</w:t>
      </w:r>
      <w:r w:rsidR="33AF894D" w:rsidRPr="3269CBE7">
        <w:rPr>
          <w:lang w:val="en-NZ"/>
        </w:rPr>
        <w:t>egime</w:t>
      </w:r>
      <w:r w:rsidR="00E224BE">
        <w:rPr>
          <w:lang w:val="en-NZ"/>
        </w:rPr>
        <w:t>.</w:t>
      </w:r>
    </w:p>
    <w:p w14:paraId="3FBD316D" w14:textId="0D93B103" w:rsidR="38E7AFF2" w:rsidRDefault="38E7AFF2" w:rsidP="001E7CF5">
      <w:pPr>
        <w:spacing w:before="120" w:after="120"/>
        <w:rPr>
          <w:lang w:val="en-NZ"/>
        </w:rPr>
      </w:pPr>
      <w:r w:rsidRPr="2461FF3B">
        <w:rPr>
          <w:lang w:val="en-NZ"/>
        </w:rPr>
        <w:t xml:space="preserve">The National Public Health </w:t>
      </w:r>
      <w:r w:rsidR="5CC7B259" w:rsidRPr="7E497299">
        <w:rPr>
          <w:lang w:val="en-NZ"/>
        </w:rPr>
        <w:t>Ser</w:t>
      </w:r>
      <w:r w:rsidRPr="7E497299">
        <w:rPr>
          <w:lang w:val="en-NZ"/>
        </w:rPr>
        <w:t xml:space="preserve">vice </w:t>
      </w:r>
      <w:r w:rsidR="001319BD">
        <w:rPr>
          <w:lang w:val="en-NZ"/>
        </w:rPr>
        <w:t>(NPHS)</w:t>
      </w:r>
      <w:r w:rsidRPr="7E497299">
        <w:rPr>
          <w:lang w:val="en-NZ"/>
        </w:rPr>
        <w:t xml:space="preserve"> is </w:t>
      </w:r>
      <w:r w:rsidR="00796A10">
        <w:rPr>
          <w:lang w:val="en-NZ"/>
        </w:rPr>
        <w:t xml:space="preserve">a delivery agent of compliance activity for smoked tobacco products in New Zealand. </w:t>
      </w:r>
      <w:r w:rsidR="00C936BA">
        <w:rPr>
          <w:lang w:val="en-NZ"/>
        </w:rPr>
        <w:t xml:space="preserve">NPHS Smokefree Enforcement Officers </w:t>
      </w:r>
      <w:r w:rsidR="00285ED9">
        <w:rPr>
          <w:lang w:val="en-NZ"/>
        </w:rPr>
        <w:t xml:space="preserve">will work closely with the </w:t>
      </w:r>
      <w:r w:rsidR="008E37E1">
        <w:rPr>
          <w:lang w:val="en-NZ"/>
        </w:rPr>
        <w:t>TRA</w:t>
      </w:r>
      <w:r w:rsidR="00971D66">
        <w:rPr>
          <w:lang w:val="en-NZ"/>
        </w:rPr>
        <w:t xml:space="preserve"> </w:t>
      </w:r>
      <w:r w:rsidR="00084B35">
        <w:rPr>
          <w:lang w:val="en-NZ"/>
        </w:rPr>
        <w:t xml:space="preserve">and Health Enforcement Legal Team to </w:t>
      </w:r>
      <w:r w:rsidR="0092464E">
        <w:rPr>
          <w:lang w:val="en-NZ"/>
        </w:rPr>
        <w:t>ensure compliance with the Act.</w:t>
      </w:r>
    </w:p>
    <w:p w14:paraId="755ED580" w14:textId="77777777" w:rsidR="00B4375D" w:rsidRPr="00D3424D" w:rsidRDefault="00A17DE4" w:rsidP="001E7CF5">
      <w:pPr>
        <w:spacing w:before="120" w:after="120"/>
        <w:rPr>
          <w:rFonts w:cs="Arial"/>
          <w:lang w:val="en-NZ"/>
        </w:rPr>
      </w:pPr>
      <w:r w:rsidRPr="00D3424D">
        <w:rPr>
          <w:rFonts w:cs="Arial"/>
          <w:lang w:val="en-NZ"/>
        </w:rPr>
        <w:t>Joint work includes</w:t>
      </w:r>
      <w:r w:rsidR="00B4375D" w:rsidRPr="00D3424D">
        <w:rPr>
          <w:rFonts w:cs="Arial"/>
          <w:lang w:val="en-NZ"/>
        </w:rPr>
        <w:t>:</w:t>
      </w:r>
    </w:p>
    <w:p w14:paraId="20827E80" w14:textId="77777777" w:rsidR="00B4375D" w:rsidRPr="00D3424D" w:rsidRDefault="00A17DE4" w:rsidP="00131678">
      <w:pPr>
        <w:pStyle w:val="ReportBody-MOH"/>
        <w:numPr>
          <w:ilvl w:val="0"/>
          <w:numId w:val="9"/>
        </w:numPr>
        <w:ind w:left="426" w:hanging="426"/>
        <w:rPr>
          <w:rFonts w:ascii="Arial" w:hAnsi="Arial"/>
        </w:rPr>
      </w:pPr>
      <w:r w:rsidRPr="00D3424D">
        <w:rPr>
          <w:rFonts w:ascii="Arial" w:hAnsi="Arial"/>
        </w:rPr>
        <w:t>establishing a comprehensive compliance regime</w:t>
      </w:r>
    </w:p>
    <w:p w14:paraId="3CDA64FA" w14:textId="30AAE177" w:rsidR="00B4375D" w:rsidRPr="00D3424D" w:rsidRDefault="00DC6224" w:rsidP="00131678">
      <w:pPr>
        <w:pStyle w:val="ReportBody-MOH"/>
        <w:numPr>
          <w:ilvl w:val="0"/>
          <w:numId w:val="9"/>
        </w:numPr>
        <w:ind w:left="426" w:hanging="426"/>
        <w:rPr>
          <w:rFonts w:ascii="Arial" w:hAnsi="Arial"/>
        </w:rPr>
      </w:pPr>
      <w:r w:rsidRPr="00D3424D">
        <w:rPr>
          <w:rFonts w:ascii="Arial" w:hAnsi="Arial"/>
        </w:rPr>
        <w:t>setting up and operating cross-agency processes to coordinate compliance activities</w:t>
      </w:r>
    </w:p>
    <w:p w14:paraId="4E2CF870" w14:textId="77777777" w:rsidR="002730E7" w:rsidRPr="00D3424D" w:rsidRDefault="003624CE" w:rsidP="00131678">
      <w:pPr>
        <w:pStyle w:val="ReportBody-MOH"/>
        <w:numPr>
          <w:ilvl w:val="0"/>
          <w:numId w:val="9"/>
        </w:numPr>
        <w:ind w:left="426" w:hanging="426"/>
        <w:rPr>
          <w:rFonts w:ascii="Arial" w:hAnsi="Arial"/>
        </w:rPr>
      </w:pPr>
      <w:r w:rsidRPr="00D3424D">
        <w:rPr>
          <w:rFonts w:ascii="Arial" w:hAnsi="Arial"/>
        </w:rPr>
        <w:t>monitoring national and online compliance</w:t>
      </w:r>
      <w:r w:rsidR="001C69FA" w:rsidRPr="00D3424D">
        <w:rPr>
          <w:rFonts w:ascii="Arial" w:hAnsi="Arial"/>
        </w:rPr>
        <w:t xml:space="preserve"> including sector liaison and education</w:t>
      </w:r>
    </w:p>
    <w:p w14:paraId="5A19B252" w14:textId="77777777" w:rsidR="002730E7" w:rsidRPr="00D3424D" w:rsidRDefault="001C69FA" w:rsidP="00131678">
      <w:pPr>
        <w:pStyle w:val="ReportBody-MOH"/>
        <w:numPr>
          <w:ilvl w:val="0"/>
          <w:numId w:val="9"/>
        </w:numPr>
        <w:ind w:left="426" w:hanging="426"/>
        <w:rPr>
          <w:rFonts w:ascii="Arial" w:hAnsi="Arial"/>
        </w:rPr>
      </w:pPr>
      <w:r w:rsidRPr="00D3424D">
        <w:rPr>
          <w:rFonts w:ascii="Arial" w:hAnsi="Arial"/>
        </w:rPr>
        <w:t xml:space="preserve">reporting on compliance activities, establishing enforcement processes, </w:t>
      </w:r>
      <w:proofErr w:type="gramStart"/>
      <w:r w:rsidRPr="00D3424D">
        <w:rPr>
          <w:rFonts w:ascii="Arial" w:hAnsi="Arial"/>
        </w:rPr>
        <w:t>standards</w:t>
      </w:r>
      <w:proofErr w:type="gramEnd"/>
      <w:r w:rsidRPr="00D3424D">
        <w:rPr>
          <w:rFonts w:ascii="Arial" w:hAnsi="Arial"/>
        </w:rPr>
        <w:t xml:space="preserve"> and guidance</w:t>
      </w:r>
    </w:p>
    <w:p w14:paraId="77E396CE" w14:textId="77777777" w:rsidR="006808B7" w:rsidRPr="00D3424D" w:rsidRDefault="004F4048" w:rsidP="00131678">
      <w:pPr>
        <w:pStyle w:val="ReportBody-MOH"/>
        <w:numPr>
          <w:ilvl w:val="0"/>
          <w:numId w:val="9"/>
        </w:numPr>
        <w:ind w:left="426" w:hanging="426"/>
        <w:rPr>
          <w:rFonts w:ascii="Arial" w:hAnsi="Arial"/>
        </w:rPr>
      </w:pPr>
      <w:r w:rsidRPr="00D3424D">
        <w:rPr>
          <w:rFonts w:ascii="Arial" w:hAnsi="Arial"/>
        </w:rPr>
        <w:t>sharing intelligence with other enforcement agencies such as Police and Customs, working with Health legal and other agencies to prosecute offences as require</w:t>
      </w:r>
      <w:r w:rsidR="002730E7" w:rsidRPr="00D3424D">
        <w:rPr>
          <w:rFonts w:ascii="Arial" w:hAnsi="Arial"/>
        </w:rPr>
        <w:t>d</w:t>
      </w:r>
    </w:p>
    <w:p w14:paraId="4F823E10" w14:textId="4A7DB466" w:rsidR="00B4375D" w:rsidRDefault="0002707E" w:rsidP="00131678">
      <w:pPr>
        <w:pStyle w:val="ReportBody-MOH"/>
        <w:numPr>
          <w:ilvl w:val="0"/>
          <w:numId w:val="9"/>
        </w:numPr>
        <w:ind w:left="426" w:hanging="426"/>
        <w:rPr>
          <w:rFonts w:ascii="Arial" w:hAnsi="Arial"/>
        </w:rPr>
      </w:pPr>
      <w:r w:rsidRPr="00D3424D">
        <w:rPr>
          <w:rFonts w:ascii="Arial" w:hAnsi="Arial"/>
        </w:rPr>
        <w:t xml:space="preserve">assessing </w:t>
      </w:r>
      <w:r w:rsidR="00921300" w:rsidRPr="00D3424D">
        <w:rPr>
          <w:rFonts w:ascii="Arial" w:hAnsi="Arial"/>
        </w:rPr>
        <w:t xml:space="preserve">compliance and enforcement requirements </w:t>
      </w:r>
      <w:r w:rsidR="00345771" w:rsidRPr="00D3424D">
        <w:rPr>
          <w:rFonts w:ascii="Arial" w:hAnsi="Arial"/>
        </w:rPr>
        <w:t xml:space="preserve">and resource plans </w:t>
      </w:r>
      <w:r w:rsidR="00B4375D" w:rsidRPr="00D3424D">
        <w:rPr>
          <w:rFonts w:ascii="Arial" w:hAnsi="Arial"/>
        </w:rPr>
        <w:t>relating to future legislative changes</w:t>
      </w:r>
      <w:r w:rsidR="00F544A8" w:rsidRPr="00D3424D">
        <w:rPr>
          <w:rFonts w:ascii="Arial" w:hAnsi="Arial"/>
        </w:rPr>
        <w:t>.</w:t>
      </w:r>
    </w:p>
    <w:p w14:paraId="04CCD1E6" w14:textId="622B2335" w:rsidR="001E7CF5" w:rsidRDefault="001E7CF5" w:rsidP="001E7CF5">
      <w:pPr>
        <w:pStyle w:val="ReportBody-MOH"/>
        <w:numPr>
          <w:ilvl w:val="0"/>
          <w:numId w:val="0"/>
        </w:numPr>
        <w:ind w:left="426"/>
        <w:rPr>
          <w:rFonts w:ascii="Arial" w:hAnsi="Arial"/>
        </w:rPr>
      </w:pPr>
    </w:p>
    <w:p w14:paraId="2BF28A56" w14:textId="77777777" w:rsidR="00323FD0" w:rsidRPr="00D3424D" w:rsidRDefault="00323FD0" w:rsidP="001E7CF5">
      <w:pPr>
        <w:pStyle w:val="ReportBody-MOH"/>
        <w:numPr>
          <w:ilvl w:val="0"/>
          <w:numId w:val="0"/>
        </w:numPr>
        <w:ind w:left="426"/>
        <w:rPr>
          <w:rFonts w:ascii="Arial" w:hAnsi="Arial"/>
        </w:rPr>
      </w:pPr>
    </w:p>
    <w:p w14:paraId="730470DF" w14:textId="1CE99496" w:rsidR="00511CE7" w:rsidRPr="0024069F" w:rsidRDefault="00511CE7" w:rsidP="001E7CF5">
      <w:pPr>
        <w:pStyle w:val="Heading4"/>
        <w:spacing w:after="120"/>
        <w:rPr>
          <w:lang w:val="en-NZ"/>
        </w:rPr>
      </w:pPr>
      <w:r>
        <w:rPr>
          <w:lang w:val="en-NZ"/>
        </w:rPr>
        <w:t>Communication</w:t>
      </w:r>
    </w:p>
    <w:p w14:paraId="2365DEFA" w14:textId="59278975" w:rsidR="006E2B2F" w:rsidRPr="00D3254D" w:rsidRDefault="00511CE7" w:rsidP="001E7CF5">
      <w:pPr>
        <w:spacing w:before="120" w:after="120"/>
        <w:rPr>
          <w:rFonts w:cs="Arial"/>
        </w:rPr>
      </w:pPr>
      <w:r w:rsidRPr="00511CE7">
        <w:rPr>
          <w:rFonts w:cs="Arial"/>
        </w:rPr>
        <w:t xml:space="preserve">The Ministry is responsible for developing </w:t>
      </w:r>
      <w:r w:rsidR="004B172E">
        <w:rPr>
          <w:rFonts w:cs="Arial"/>
        </w:rPr>
        <w:t>timely, accurate and accessible</w:t>
      </w:r>
      <w:r w:rsidRPr="00511CE7">
        <w:rPr>
          <w:rFonts w:cs="Arial"/>
        </w:rPr>
        <w:t xml:space="preserve"> guidance on the new regulations for stakeholders, including </w:t>
      </w:r>
      <w:r w:rsidR="00A37E28">
        <w:rPr>
          <w:rFonts w:cs="Arial"/>
        </w:rPr>
        <w:t>industry</w:t>
      </w:r>
      <w:r w:rsidRPr="00511CE7">
        <w:rPr>
          <w:rFonts w:cs="Arial"/>
        </w:rPr>
        <w:t xml:space="preserve"> and the public.</w:t>
      </w:r>
      <w:r w:rsidR="008178F2">
        <w:rPr>
          <w:rFonts w:cs="Arial"/>
        </w:rPr>
        <w:t xml:space="preserve"> The Ministry’s website</w:t>
      </w:r>
      <w:r w:rsidR="00653187">
        <w:rPr>
          <w:rFonts w:cs="Arial"/>
        </w:rPr>
        <w:t xml:space="preserve"> and </w:t>
      </w:r>
      <w:r w:rsidR="008F3FFE">
        <w:rPr>
          <w:rFonts w:cs="Arial"/>
        </w:rPr>
        <w:t xml:space="preserve">social </w:t>
      </w:r>
      <w:r w:rsidR="00653187">
        <w:rPr>
          <w:rFonts w:cs="Arial"/>
        </w:rPr>
        <w:t>media</w:t>
      </w:r>
      <w:r w:rsidR="008178F2">
        <w:rPr>
          <w:rFonts w:cs="Arial"/>
        </w:rPr>
        <w:t xml:space="preserve"> will be updated when regulations are </w:t>
      </w:r>
      <w:r w:rsidR="00E1444E">
        <w:rPr>
          <w:rFonts w:cs="Arial"/>
        </w:rPr>
        <w:t>in place</w:t>
      </w:r>
      <w:r w:rsidR="00E9660E">
        <w:rPr>
          <w:rFonts w:cs="Arial"/>
        </w:rPr>
        <w:t>.</w:t>
      </w:r>
    </w:p>
    <w:p w14:paraId="64963BFC" w14:textId="6A08DE85" w:rsidR="00F23B4B" w:rsidRPr="0073071F" w:rsidRDefault="00F23B4B" w:rsidP="001E7CF5">
      <w:pPr>
        <w:spacing w:before="120" w:after="120" w:line="240" w:lineRule="auto"/>
        <w:rPr>
          <w:rFonts w:ascii="Arial Bold" w:hAnsi="Arial Bold"/>
          <w:b/>
          <w:color w:val="0082AB"/>
          <w:spacing w:val="20"/>
          <w:w w:val="90"/>
          <w:sz w:val="24"/>
          <w:szCs w:val="22"/>
          <w:lang w:val="en-NZ"/>
        </w:rPr>
      </w:pPr>
      <w:r>
        <w:rPr>
          <w:rFonts w:ascii="Arial Bold" w:hAnsi="Arial Bold"/>
          <w:b/>
          <w:color w:val="0082AB"/>
          <w:spacing w:val="20"/>
          <w:w w:val="90"/>
          <w:sz w:val="24"/>
          <w:szCs w:val="22"/>
          <w:lang w:val="en-NZ"/>
        </w:rPr>
        <w:t>Implementation risks</w:t>
      </w:r>
    </w:p>
    <w:p w14:paraId="12873941" w14:textId="61D1A559" w:rsidR="00F25219" w:rsidRPr="0073071F" w:rsidRDefault="00F25219" w:rsidP="001E7CF5">
      <w:pPr>
        <w:spacing w:before="120" w:after="120" w:line="240" w:lineRule="auto"/>
        <w:rPr>
          <w:rFonts w:cs="Arial"/>
        </w:rPr>
      </w:pPr>
      <w:r w:rsidRPr="31CF86DF">
        <w:rPr>
          <w:rFonts w:cs="Arial"/>
        </w:rPr>
        <w:t xml:space="preserve">The regulations set fees </w:t>
      </w:r>
      <w:r w:rsidR="6E4DC1D8" w:rsidRPr="28D02DD5">
        <w:rPr>
          <w:rFonts w:cs="Arial"/>
        </w:rPr>
        <w:t>for</w:t>
      </w:r>
      <w:r w:rsidRPr="31CF86DF">
        <w:rPr>
          <w:rFonts w:cs="Arial"/>
        </w:rPr>
        <w:t xml:space="preserve"> certain services</w:t>
      </w:r>
      <w:r w:rsidR="1122C531" w:rsidRPr="282194A2">
        <w:rPr>
          <w:rFonts w:cs="Arial"/>
        </w:rPr>
        <w:t>,</w:t>
      </w:r>
      <w:r w:rsidR="74570D9F" w:rsidRPr="282194A2">
        <w:rPr>
          <w:rFonts w:cs="Arial"/>
        </w:rPr>
        <w:t xml:space="preserve"> </w:t>
      </w:r>
      <w:r w:rsidR="1122C531" w:rsidRPr="282194A2">
        <w:rPr>
          <w:rFonts w:cs="Arial"/>
        </w:rPr>
        <w:t xml:space="preserve">such as </w:t>
      </w:r>
      <w:r w:rsidR="6229DBAC" w:rsidRPr="4D264587">
        <w:rPr>
          <w:rFonts w:cs="Arial"/>
        </w:rPr>
        <w:t>con</w:t>
      </w:r>
      <w:r w:rsidR="1122C531" w:rsidRPr="4D264587">
        <w:rPr>
          <w:rFonts w:cs="Arial"/>
        </w:rPr>
        <w:t>sidering</w:t>
      </w:r>
      <w:r w:rsidRPr="31CF86DF">
        <w:rPr>
          <w:rFonts w:cs="Arial"/>
        </w:rPr>
        <w:t xml:space="preserve"> applications. </w:t>
      </w:r>
      <w:r w:rsidR="60F60B66" w:rsidRPr="577C8B49">
        <w:rPr>
          <w:rFonts w:cs="Arial"/>
        </w:rPr>
        <w:t>The</w:t>
      </w:r>
      <w:r w:rsidRPr="31CF86DF">
        <w:rPr>
          <w:rFonts w:cs="Arial"/>
        </w:rPr>
        <w:t xml:space="preserve"> fee </w:t>
      </w:r>
      <w:r w:rsidR="0073071F" w:rsidRPr="31CF86DF">
        <w:rPr>
          <w:rFonts w:cs="Arial"/>
        </w:rPr>
        <w:t>levels</w:t>
      </w:r>
      <w:r w:rsidRPr="31CF86DF">
        <w:rPr>
          <w:rFonts w:cs="Arial"/>
        </w:rPr>
        <w:t xml:space="preserve"> are based on the Ministry’s assumptions about the number of applications and notifications that will be made. These assumptions are based on the Ministry’s understanding of the market, consultation feedback, and data from implementing the recent vaping regulatory regime.</w:t>
      </w:r>
      <w:r w:rsidR="0073071F" w:rsidRPr="31CF86DF">
        <w:rPr>
          <w:rFonts w:cs="Arial"/>
        </w:rPr>
        <w:t xml:space="preserve"> </w:t>
      </w:r>
      <w:r w:rsidR="0F8599A7" w:rsidRPr="364D9576">
        <w:rPr>
          <w:rFonts w:cs="Arial"/>
        </w:rPr>
        <w:t xml:space="preserve">It is </w:t>
      </w:r>
      <w:r w:rsidR="54E44121" w:rsidRPr="364D9576">
        <w:rPr>
          <w:rFonts w:cs="Arial"/>
        </w:rPr>
        <w:t>possible</w:t>
      </w:r>
      <w:r w:rsidR="0073071F" w:rsidRPr="31CF86DF">
        <w:rPr>
          <w:rFonts w:cs="Arial"/>
        </w:rPr>
        <w:t xml:space="preserve"> that the fees are not set at the right level</w:t>
      </w:r>
      <w:r w:rsidR="07F23223" w:rsidRPr="6EF59C12">
        <w:rPr>
          <w:rFonts w:cs="Arial"/>
        </w:rPr>
        <w:t xml:space="preserve"> </w:t>
      </w:r>
      <w:r w:rsidR="07F23223" w:rsidRPr="09B40DA7">
        <w:rPr>
          <w:rFonts w:cs="Arial"/>
        </w:rPr>
        <w:t xml:space="preserve">given </w:t>
      </w:r>
      <w:r w:rsidR="07F23223" w:rsidRPr="5C1420F8">
        <w:rPr>
          <w:rFonts w:cs="Arial"/>
        </w:rPr>
        <w:t>uncertainties in the assumptions</w:t>
      </w:r>
      <w:r w:rsidR="5B4F1E06" w:rsidRPr="5C1420F8">
        <w:rPr>
          <w:rFonts w:cs="Arial"/>
        </w:rPr>
        <w:t>.</w:t>
      </w:r>
      <w:r w:rsidR="55DD9591" w:rsidRPr="4E528483">
        <w:rPr>
          <w:rFonts w:cs="Arial"/>
        </w:rPr>
        <w:t xml:space="preserve"> </w:t>
      </w:r>
      <w:r w:rsidRPr="58911DBF">
        <w:rPr>
          <w:rFonts w:cs="Arial"/>
        </w:rPr>
        <w:t xml:space="preserve">To ensure that fees are set at an appropriate level, the Ministry </w:t>
      </w:r>
      <w:r w:rsidR="79B39612" w:rsidRPr="231A9F64">
        <w:rPr>
          <w:rFonts w:cs="Arial"/>
        </w:rPr>
        <w:t>will</w:t>
      </w:r>
      <w:r w:rsidRPr="58911DBF">
        <w:rPr>
          <w:rFonts w:cs="Arial"/>
        </w:rPr>
        <w:t xml:space="preserve"> review </w:t>
      </w:r>
      <w:r w:rsidR="68CB9ACB" w:rsidRPr="1CAECAE0">
        <w:rPr>
          <w:rFonts w:cs="Arial"/>
        </w:rPr>
        <w:t>the</w:t>
      </w:r>
      <w:r w:rsidR="75B14110" w:rsidRPr="1CAECAE0">
        <w:rPr>
          <w:rFonts w:cs="Arial"/>
        </w:rPr>
        <w:t>m</w:t>
      </w:r>
      <w:r w:rsidRPr="58911DBF">
        <w:rPr>
          <w:rFonts w:cs="Arial"/>
        </w:rPr>
        <w:t xml:space="preserve"> </w:t>
      </w:r>
      <w:r w:rsidR="271EE6F4" w:rsidRPr="231A9F64">
        <w:rPr>
          <w:rFonts w:cs="Arial"/>
        </w:rPr>
        <w:t>as</w:t>
      </w:r>
      <w:r w:rsidR="76421F5A" w:rsidRPr="0943006D">
        <w:rPr>
          <w:rFonts w:cs="Arial"/>
        </w:rPr>
        <w:t xml:space="preserve"> actual information about </w:t>
      </w:r>
      <w:r w:rsidR="271EE6F4" w:rsidRPr="13265ACB">
        <w:rPr>
          <w:rFonts w:cs="Arial"/>
        </w:rPr>
        <w:t>application</w:t>
      </w:r>
      <w:r w:rsidR="76421F5A" w:rsidRPr="0943006D">
        <w:rPr>
          <w:rFonts w:cs="Arial"/>
        </w:rPr>
        <w:t xml:space="preserve"> </w:t>
      </w:r>
      <w:r w:rsidR="76421F5A" w:rsidRPr="562E0309">
        <w:rPr>
          <w:rFonts w:cs="Arial"/>
        </w:rPr>
        <w:t>numbers becomes available</w:t>
      </w:r>
      <w:r w:rsidR="68CB9ACB" w:rsidRPr="562E0309">
        <w:rPr>
          <w:rFonts w:cs="Arial"/>
        </w:rPr>
        <w:t>.</w:t>
      </w:r>
      <w:r w:rsidR="704E2093" w:rsidRPr="4A10E89D">
        <w:rPr>
          <w:rFonts w:cs="Arial"/>
        </w:rPr>
        <w:t xml:space="preserve"> </w:t>
      </w:r>
      <w:r w:rsidR="00C21FD9">
        <w:rPr>
          <w:rFonts w:cs="Arial"/>
        </w:rPr>
        <w:t xml:space="preserve"> </w:t>
      </w:r>
    </w:p>
    <w:p w14:paraId="6567A043" w14:textId="4663A15A" w:rsidR="00F37CCB" w:rsidRDefault="7FEFCC50" w:rsidP="001E7CF5">
      <w:pPr>
        <w:spacing w:before="120" w:after="120" w:line="240" w:lineRule="auto"/>
        <w:rPr>
          <w:rFonts w:cs="Arial"/>
        </w:rPr>
      </w:pPr>
      <w:r w:rsidRPr="1CC51DB5">
        <w:rPr>
          <w:rFonts w:cs="Arial"/>
        </w:rPr>
        <w:t>There</w:t>
      </w:r>
      <w:r w:rsidRPr="71F081E5">
        <w:rPr>
          <w:rFonts w:cs="Arial"/>
        </w:rPr>
        <w:t xml:space="preserve"> is </w:t>
      </w:r>
      <w:r w:rsidR="004262E5">
        <w:rPr>
          <w:rFonts w:cs="Arial"/>
        </w:rPr>
        <w:t>some</w:t>
      </w:r>
      <w:r w:rsidRPr="71F081E5">
        <w:rPr>
          <w:rFonts w:cs="Arial"/>
        </w:rPr>
        <w:t xml:space="preserve"> concern that some of the </w:t>
      </w:r>
      <w:r w:rsidR="008A40EE">
        <w:rPr>
          <w:rFonts w:cs="Arial"/>
        </w:rPr>
        <w:t>S</w:t>
      </w:r>
      <w:r w:rsidRPr="71F081E5">
        <w:rPr>
          <w:rFonts w:cs="Arial"/>
        </w:rPr>
        <w:t xml:space="preserve">mokefree 2025 policies will increase illicit trade </w:t>
      </w:r>
      <w:r w:rsidR="001BC928" w:rsidRPr="21530071">
        <w:rPr>
          <w:rFonts w:cs="Arial"/>
        </w:rPr>
        <w:t>in</w:t>
      </w:r>
      <w:r w:rsidRPr="21530071">
        <w:rPr>
          <w:rFonts w:cs="Arial"/>
        </w:rPr>
        <w:t xml:space="preserve"> </w:t>
      </w:r>
      <w:r w:rsidRPr="71F081E5">
        <w:rPr>
          <w:rFonts w:cs="Arial"/>
        </w:rPr>
        <w:t>smoked tobacco products</w:t>
      </w:r>
      <w:r w:rsidR="004262E5">
        <w:rPr>
          <w:rFonts w:cs="Arial"/>
        </w:rPr>
        <w:t>. However,</w:t>
      </w:r>
      <w:r w:rsidR="213BA397" w:rsidRPr="3649ACE8">
        <w:rPr>
          <w:rFonts w:cs="Arial"/>
        </w:rPr>
        <w:t xml:space="preserve"> </w:t>
      </w:r>
      <w:r w:rsidR="213BA397" w:rsidRPr="38D21CFF">
        <w:rPr>
          <w:rFonts w:cs="Arial"/>
        </w:rPr>
        <w:t xml:space="preserve">New Zealand’s geographic </w:t>
      </w:r>
      <w:r w:rsidR="213BA397" w:rsidRPr="56B7916C">
        <w:rPr>
          <w:rFonts w:cs="Arial"/>
        </w:rPr>
        <w:t xml:space="preserve">isolation, low corruption and strong border </w:t>
      </w:r>
      <w:r w:rsidR="4C1153ED" w:rsidRPr="31945B55">
        <w:rPr>
          <w:rFonts w:cs="Arial"/>
        </w:rPr>
        <w:t xml:space="preserve">control </w:t>
      </w:r>
      <w:r w:rsidR="4C1153ED" w:rsidRPr="02D3C415">
        <w:rPr>
          <w:rFonts w:cs="Arial"/>
        </w:rPr>
        <w:t>l</w:t>
      </w:r>
      <w:r w:rsidR="213BA397" w:rsidRPr="02D3C415">
        <w:rPr>
          <w:rFonts w:cs="Arial"/>
        </w:rPr>
        <w:t>imits</w:t>
      </w:r>
      <w:r w:rsidR="213BA397" w:rsidRPr="56B7916C">
        <w:rPr>
          <w:rFonts w:cs="Arial"/>
        </w:rPr>
        <w:t xml:space="preserve"> the </w:t>
      </w:r>
      <w:r w:rsidR="213BA397" w:rsidRPr="28AC83CB">
        <w:rPr>
          <w:rFonts w:cs="Arial"/>
        </w:rPr>
        <w:t>opportunities for growth in illicit trade</w:t>
      </w:r>
      <w:r w:rsidR="05451278" w:rsidRPr="2DD55D66">
        <w:rPr>
          <w:rFonts w:cs="Arial"/>
        </w:rPr>
        <w:t>.</w:t>
      </w:r>
      <w:r w:rsidR="00F37CCB">
        <w:rPr>
          <w:rFonts w:cs="Arial"/>
        </w:rPr>
        <w:t xml:space="preserve"> There are a range of estimates of the current level of illicit trade</w:t>
      </w:r>
      <w:r w:rsidR="0054758E">
        <w:rPr>
          <w:rFonts w:cs="Arial"/>
        </w:rPr>
        <w:t xml:space="preserve">, but the exact volume is unknown. </w:t>
      </w:r>
    </w:p>
    <w:p w14:paraId="0A9794AD" w14:textId="2C580A8C" w:rsidR="00F37CCB" w:rsidRDefault="006A018C" w:rsidP="001E7CF5">
      <w:pPr>
        <w:spacing w:before="120" w:after="120" w:line="240" w:lineRule="auto"/>
        <w:rPr>
          <w:rFonts w:cs="Arial"/>
        </w:rPr>
      </w:pPr>
      <w:r>
        <w:rPr>
          <w:rFonts w:cs="Arial"/>
        </w:rPr>
        <w:t>Robust regulations</w:t>
      </w:r>
      <w:r w:rsidR="00BE70AD">
        <w:rPr>
          <w:rFonts w:cs="Arial"/>
        </w:rPr>
        <w:t xml:space="preserve"> will </w:t>
      </w:r>
      <w:r w:rsidR="381830F9" w:rsidRPr="231A9F64">
        <w:rPr>
          <w:rFonts w:cs="Arial"/>
        </w:rPr>
        <w:t>mitigate</w:t>
      </w:r>
      <w:r w:rsidR="00BE70AD">
        <w:rPr>
          <w:rFonts w:cs="Arial"/>
        </w:rPr>
        <w:t xml:space="preserve"> this risk by </w:t>
      </w:r>
      <w:r w:rsidR="3161972B" w:rsidRPr="2F2425F9">
        <w:rPr>
          <w:rFonts w:cs="Arial"/>
        </w:rPr>
        <w:t xml:space="preserve">supporting </w:t>
      </w:r>
      <w:r w:rsidR="007709D0">
        <w:rPr>
          <w:rFonts w:cs="Arial"/>
        </w:rPr>
        <w:t xml:space="preserve">monitoring and enforcement. </w:t>
      </w:r>
      <w:r w:rsidR="63723CF2" w:rsidRPr="53E4C865">
        <w:rPr>
          <w:rFonts w:cs="Arial"/>
        </w:rPr>
        <w:t>T</w:t>
      </w:r>
      <w:r w:rsidR="7C5E7B22" w:rsidRPr="53E4C865">
        <w:rPr>
          <w:rFonts w:cs="Arial"/>
        </w:rPr>
        <w:t>h</w:t>
      </w:r>
      <w:r w:rsidR="236F0596" w:rsidRPr="53E4C865">
        <w:rPr>
          <w:rFonts w:cs="Arial"/>
        </w:rPr>
        <w:t xml:space="preserve">is is additional to existing </w:t>
      </w:r>
      <w:r w:rsidR="236F0596" w:rsidRPr="02CC9BAC">
        <w:rPr>
          <w:rFonts w:cs="Arial"/>
        </w:rPr>
        <w:t xml:space="preserve">actions, </w:t>
      </w:r>
      <w:r w:rsidR="236F0596" w:rsidRPr="47168415">
        <w:rPr>
          <w:rFonts w:cs="Arial"/>
        </w:rPr>
        <w:t xml:space="preserve">including </w:t>
      </w:r>
      <w:r w:rsidR="236F0596" w:rsidRPr="5AED3A60">
        <w:rPr>
          <w:rFonts w:cs="Arial"/>
        </w:rPr>
        <w:t xml:space="preserve">research being undertaken </w:t>
      </w:r>
      <w:r w:rsidR="236F0596" w:rsidRPr="7574697D">
        <w:rPr>
          <w:rFonts w:cs="Arial"/>
        </w:rPr>
        <w:t xml:space="preserve">by </w:t>
      </w:r>
      <w:r w:rsidR="00F37CCB">
        <w:rPr>
          <w:rFonts w:cs="Arial"/>
        </w:rPr>
        <w:t xml:space="preserve">Auckland University to </w:t>
      </w:r>
      <w:r w:rsidR="000F2DC0">
        <w:rPr>
          <w:rFonts w:cs="Arial"/>
        </w:rPr>
        <w:t xml:space="preserve">establish a baseline </w:t>
      </w:r>
      <w:r w:rsidR="001D13E2">
        <w:rPr>
          <w:rFonts w:cs="Arial"/>
        </w:rPr>
        <w:t xml:space="preserve">and monitor illicit trade in tobacco </w:t>
      </w:r>
      <w:r w:rsidR="008366F9">
        <w:rPr>
          <w:rFonts w:cs="Arial"/>
        </w:rPr>
        <w:t>through to July 2026</w:t>
      </w:r>
      <w:r w:rsidR="7808C6EE" w:rsidRPr="1CD39605">
        <w:rPr>
          <w:rFonts w:cs="Arial"/>
        </w:rPr>
        <w:t>,</w:t>
      </w:r>
      <w:r w:rsidR="1AAA0885" w:rsidRPr="5E322482">
        <w:rPr>
          <w:rFonts w:cs="Arial"/>
        </w:rPr>
        <w:t xml:space="preserve"> and additional funding </w:t>
      </w:r>
      <w:r w:rsidR="1AAA0885" w:rsidRPr="66DCBFD2">
        <w:rPr>
          <w:rFonts w:cs="Arial"/>
        </w:rPr>
        <w:t xml:space="preserve">in recent Budgets to </w:t>
      </w:r>
      <w:r w:rsidR="447B32E0" w:rsidRPr="6782D1B6">
        <w:rPr>
          <w:rFonts w:cs="Arial"/>
        </w:rPr>
        <w:t>boos</w:t>
      </w:r>
      <w:r w:rsidR="54758A61" w:rsidRPr="6782D1B6">
        <w:rPr>
          <w:rFonts w:cs="Arial"/>
        </w:rPr>
        <w:t xml:space="preserve">t compliance </w:t>
      </w:r>
      <w:r w:rsidR="006452FF">
        <w:rPr>
          <w:rFonts w:cs="Arial"/>
        </w:rPr>
        <w:t xml:space="preserve">with, </w:t>
      </w:r>
      <w:r w:rsidR="54758A61" w:rsidRPr="6782D1B6">
        <w:rPr>
          <w:rFonts w:cs="Arial"/>
        </w:rPr>
        <w:t>and enforcement</w:t>
      </w:r>
      <w:r w:rsidR="006452FF">
        <w:rPr>
          <w:rFonts w:cs="Arial"/>
        </w:rPr>
        <w:t xml:space="preserve"> of</w:t>
      </w:r>
      <w:r w:rsidR="44B5E77C" w:rsidRPr="4D0EAA2D">
        <w:rPr>
          <w:rFonts w:cs="Arial"/>
        </w:rPr>
        <w:t>,</w:t>
      </w:r>
      <w:r w:rsidR="006452FF">
        <w:rPr>
          <w:rFonts w:cs="Arial"/>
        </w:rPr>
        <w:t xml:space="preserve"> new requirements set out in the Act</w:t>
      </w:r>
      <w:r w:rsidR="63F93B31" w:rsidRPr="0FDE15AF">
        <w:rPr>
          <w:rFonts w:cs="Arial"/>
        </w:rPr>
        <w:t>,</w:t>
      </w:r>
      <w:r w:rsidR="44B5E77C" w:rsidRPr="2CD9431A">
        <w:rPr>
          <w:rFonts w:cs="Arial"/>
        </w:rPr>
        <w:t xml:space="preserve"> including at the border.</w:t>
      </w:r>
    </w:p>
    <w:p w14:paraId="5AA39C72" w14:textId="0D3CE0EC" w:rsidR="006B5794" w:rsidRPr="00A864A5" w:rsidRDefault="0099086E" w:rsidP="001E7CF5">
      <w:pPr>
        <w:pStyle w:val="Heading3"/>
        <w:spacing w:before="120" w:after="120"/>
        <w:rPr>
          <w:lang w:val="en-NZ"/>
        </w:rPr>
      </w:pPr>
      <w:r>
        <w:rPr>
          <w:lang w:val="en-NZ"/>
        </w:rPr>
        <w:t xml:space="preserve">How will </w:t>
      </w:r>
      <w:r w:rsidR="003A6757">
        <w:rPr>
          <w:lang w:val="en-NZ"/>
        </w:rPr>
        <w:t xml:space="preserve">the </w:t>
      </w:r>
      <w:r w:rsidR="005F41A2">
        <w:rPr>
          <w:lang w:val="en-NZ"/>
        </w:rPr>
        <w:t>new arrangements be m</w:t>
      </w:r>
      <w:r w:rsidR="005F41A2" w:rsidRPr="00A864A5">
        <w:rPr>
          <w:lang w:val="en-NZ"/>
        </w:rPr>
        <w:t>onitor</w:t>
      </w:r>
      <w:r w:rsidR="005F41A2">
        <w:rPr>
          <w:lang w:val="en-NZ"/>
        </w:rPr>
        <w:t>ed</w:t>
      </w:r>
      <w:r w:rsidR="005F41A2" w:rsidRPr="00A864A5">
        <w:rPr>
          <w:lang w:val="en-NZ"/>
        </w:rPr>
        <w:t xml:space="preserve">, </w:t>
      </w:r>
      <w:r w:rsidR="005F41A2">
        <w:rPr>
          <w:lang w:val="en-NZ"/>
        </w:rPr>
        <w:t>e</w:t>
      </w:r>
      <w:r w:rsidR="005F41A2" w:rsidRPr="00A864A5">
        <w:rPr>
          <w:lang w:val="en-NZ"/>
        </w:rPr>
        <w:t>valuat</w:t>
      </w:r>
      <w:r w:rsidR="005F41A2">
        <w:rPr>
          <w:lang w:val="en-NZ"/>
        </w:rPr>
        <w:t>ed</w:t>
      </w:r>
      <w:r w:rsidR="005F41A2" w:rsidRPr="00A864A5">
        <w:rPr>
          <w:lang w:val="en-NZ"/>
        </w:rPr>
        <w:t xml:space="preserve">, and </w:t>
      </w:r>
      <w:r w:rsidR="005F41A2">
        <w:rPr>
          <w:lang w:val="en-NZ"/>
        </w:rPr>
        <w:t>r</w:t>
      </w:r>
      <w:r w:rsidR="005F41A2" w:rsidRPr="00A864A5">
        <w:rPr>
          <w:lang w:val="en-NZ"/>
        </w:rPr>
        <w:t>eview</w:t>
      </w:r>
      <w:r w:rsidR="005F41A2">
        <w:rPr>
          <w:lang w:val="en-NZ"/>
        </w:rPr>
        <w:t>ed</w:t>
      </w:r>
      <w:r>
        <w:rPr>
          <w:lang w:val="en-NZ"/>
        </w:rPr>
        <w:t>?</w:t>
      </w:r>
    </w:p>
    <w:p w14:paraId="751C06C7" w14:textId="232B610F" w:rsidR="00975165" w:rsidRPr="0073071F" w:rsidRDefault="00975165" w:rsidP="001E7CF5">
      <w:pPr>
        <w:spacing w:before="120" w:after="120"/>
        <w:rPr>
          <w:lang w:val="en-NZ"/>
        </w:rPr>
      </w:pPr>
      <w:r w:rsidRPr="0073071F">
        <w:rPr>
          <w:lang w:val="en-NZ"/>
        </w:rPr>
        <w:t xml:space="preserve">The Ministry will continue to </w:t>
      </w:r>
      <w:r w:rsidR="00942B11" w:rsidRPr="0073071F">
        <w:rPr>
          <w:lang w:val="en-NZ"/>
        </w:rPr>
        <w:t xml:space="preserve">monitor </w:t>
      </w:r>
      <w:r w:rsidR="004D29E2" w:rsidRPr="0073071F">
        <w:rPr>
          <w:lang w:val="en-NZ"/>
        </w:rPr>
        <w:t xml:space="preserve">the regulatory settings, and </w:t>
      </w:r>
      <w:r w:rsidR="003878ED" w:rsidRPr="0073071F">
        <w:rPr>
          <w:lang w:val="en-NZ"/>
        </w:rPr>
        <w:t>how the</w:t>
      </w:r>
      <w:r w:rsidR="0062434E" w:rsidRPr="0073071F">
        <w:rPr>
          <w:lang w:val="en-NZ"/>
        </w:rPr>
        <w:t>se</w:t>
      </w:r>
      <w:r w:rsidR="003878ED" w:rsidRPr="0073071F">
        <w:rPr>
          <w:lang w:val="en-NZ"/>
        </w:rPr>
        <w:t xml:space="preserve"> impact smoking rates and the market itself.</w:t>
      </w:r>
    </w:p>
    <w:p w14:paraId="48906CAD" w14:textId="4C0BE502" w:rsidR="00234227" w:rsidRPr="004D29E2" w:rsidRDefault="00234227" w:rsidP="001E7CF5">
      <w:pPr>
        <w:spacing w:before="120" w:after="120" w:line="240" w:lineRule="auto"/>
        <w:rPr>
          <w:rFonts w:cs="Arial"/>
          <w:lang w:val="en-NZ"/>
        </w:rPr>
      </w:pPr>
      <w:r>
        <w:rPr>
          <w:rFonts w:cs="Arial"/>
          <w:lang w:val="en-NZ"/>
        </w:rPr>
        <w:t xml:space="preserve">The following surveys contain information that </w:t>
      </w:r>
      <w:r w:rsidR="19F2A0CE" w:rsidRPr="2EDE5644">
        <w:rPr>
          <w:rFonts w:cs="Arial"/>
          <w:lang w:val="en-NZ"/>
        </w:rPr>
        <w:t>are</w:t>
      </w:r>
      <w:r>
        <w:rPr>
          <w:rFonts w:cs="Arial"/>
          <w:lang w:val="en-NZ"/>
        </w:rPr>
        <w:t xml:space="preserve"> useful for monitoring </w:t>
      </w:r>
      <w:r w:rsidR="64BFDC9C" w:rsidRPr="2EDE5644">
        <w:rPr>
          <w:rFonts w:cs="Arial"/>
          <w:lang w:val="en-NZ"/>
        </w:rPr>
        <w:t>smoking</w:t>
      </w:r>
      <w:r w:rsidR="69A3CDE4" w:rsidRPr="4AEF74AA">
        <w:rPr>
          <w:rFonts w:cs="Arial"/>
          <w:lang w:val="en-NZ"/>
        </w:rPr>
        <w:t xml:space="preserve"> and </w:t>
      </w:r>
      <w:r w:rsidR="69A3CDE4" w:rsidRPr="6919E006">
        <w:rPr>
          <w:rFonts w:cs="Arial"/>
          <w:lang w:val="en-NZ"/>
        </w:rPr>
        <w:t>vaping prevalence</w:t>
      </w:r>
      <w:r>
        <w:rPr>
          <w:rFonts w:cs="Arial"/>
          <w:lang w:val="en-NZ"/>
        </w:rPr>
        <w:t>:</w:t>
      </w:r>
    </w:p>
    <w:p w14:paraId="30C974EB" w14:textId="6D537825" w:rsidR="009A3452" w:rsidRPr="00D3424D" w:rsidRDefault="3659B489" w:rsidP="00131678">
      <w:pPr>
        <w:pStyle w:val="ReportBody-MOH"/>
        <w:numPr>
          <w:ilvl w:val="0"/>
          <w:numId w:val="9"/>
        </w:numPr>
        <w:ind w:left="426" w:hanging="426"/>
        <w:rPr>
          <w:rFonts w:ascii="Arial" w:hAnsi="Arial"/>
        </w:rPr>
      </w:pPr>
      <w:r w:rsidRPr="00D3424D">
        <w:rPr>
          <w:rFonts w:ascii="Arial" w:hAnsi="Arial"/>
        </w:rPr>
        <w:t>t</w:t>
      </w:r>
      <w:r w:rsidR="6DFA0E88" w:rsidRPr="00D3424D">
        <w:rPr>
          <w:rFonts w:ascii="Arial" w:hAnsi="Arial"/>
        </w:rPr>
        <w:t>he</w:t>
      </w:r>
      <w:r w:rsidR="0045178D" w:rsidRPr="00D3424D">
        <w:rPr>
          <w:rFonts w:ascii="Arial" w:hAnsi="Arial"/>
        </w:rPr>
        <w:t xml:space="preserve"> </w:t>
      </w:r>
      <w:r w:rsidR="009A3452" w:rsidRPr="00D3424D">
        <w:rPr>
          <w:rFonts w:ascii="Arial" w:hAnsi="Arial"/>
        </w:rPr>
        <w:t>New Zealand Health Survey (</w:t>
      </w:r>
      <w:r w:rsidR="31EDF8E3" w:rsidRPr="00D3424D">
        <w:rPr>
          <w:rFonts w:ascii="Arial" w:hAnsi="Arial"/>
        </w:rPr>
        <w:t>a</w:t>
      </w:r>
      <w:r w:rsidR="40BB5413" w:rsidRPr="00D3424D">
        <w:rPr>
          <w:rFonts w:ascii="Arial" w:hAnsi="Arial"/>
        </w:rPr>
        <w:t>n annual</w:t>
      </w:r>
      <w:r w:rsidR="009A3452" w:rsidRPr="00D3424D">
        <w:rPr>
          <w:rFonts w:ascii="Arial" w:hAnsi="Arial"/>
        </w:rPr>
        <w:t xml:space="preserve"> nationwide survey of people aged 15 years and over)</w:t>
      </w:r>
      <w:r w:rsidR="00F71395" w:rsidRPr="00D3424D">
        <w:rPr>
          <w:rFonts w:ascii="Arial" w:hAnsi="Arial"/>
        </w:rPr>
        <w:t xml:space="preserve">. </w:t>
      </w:r>
      <w:r w:rsidR="1A9A1984" w:rsidRPr="00D3424D">
        <w:rPr>
          <w:rFonts w:ascii="Arial" w:hAnsi="Arial"/>
        </w:rPr>
        <w:t>In</w:t>
      </w:r>
      <w:r w:rsidR="00F71395" w:rsidRPr="00D3424D">
        <w:rPr>
          <w:rFonts w:ascii="Arial" w:hAnsi="Arial"/>
        </w:rPr>
        <w:t xml:space="preserve"> 2023</w:t>
      </w:r>
      <w:r w:rsidR="008A40EE">
        <w:rPr>
          <w:rFonts w:ascii="Arial" w:hAnsi="Arial"/>
        </w:rPr>
        <w:t>/</w:t>
      </w:r>
      <w:r w:rsidR="00F71395" w:rsidRPr="00D3424D">
        <w:rPr>
          <w:rFonts w:ascii="Arial" w:hAnsi="Arial"/>
        </w:rPr>
        <w:t xml:space="preserve">24, there will </w:t>
      </w:r>
      <w:r w:rsidR="37A59AC5" w:rsidRPr="00D3424D">
        <w:rPr>
          <w:rFonts w:ascii="Arial" w:hAnsi="Arial"/>
        </w:rPr>
        <w:t xml:space="preserve">also </w:t>
      </w:r>
      <w:r w:rsidR="00F71395" w:rsidRPr="00D3424D">
        <w:rPr>
          <w:rFonts w:ascii="Arial" w:hAnsi="Arial"/>
        </w:rPr>
        <w:t>be a module on smoking and vaping</w:t>
      </w:r>
    </w:p>
    <w:p w14:paraId="3B971B6F" w14:textId="2BCD9DEC" w:rsidR="009A3452" w:rsidRPr="00D3424D" w:rsidRDefault="009A3452" w:rsidP="00131678">
      <w:pPr>
        <w:pStyle w:val="ReportBody-MOH"/>
        <w:numPr>
          <w:ilvl w:val="0"/>
          <w:numId w:val="9"/>
        </w:numPr>
        <w:ind w:left="426" w:hanging="426"/>
        <w:rPr>
          <w:rFonts w:ascii="Arial" w:hAnsi="Arial"/>
        </w:rPr>
      </w:pPr>
      <w:r w:rsidRPr="00D3424D">
        <w:rPr>
          <w:rFonts w:ascii="Arial" w:hAnsi="Arial"/>
        </w:rPr>
        <w:t xml:space="preserve">the annual Action </w:t>
      </w:r>
      <w:r w:rsidR="443A6AE2" w:rsidRPr="00D3424D">
        <w:rPr>
          <w:rFonts w:ascii="Arial" w:hAnsi="Arial"/>
        </w:rPr>
        <w:t>for</w:t>
      </w:r>
      <w:r w:rsidRPr="00D3424D">
        <w:rPr>
          <w:rFonts w:ascii="Arial" w:hAnsi="Arial"/>
        </w:rPr>
        <w:t xml:space="preserve"> Smoking </w:t>
      </w:r>
      <w:r w:rsidR="000C09CE" w:rsidRPr="00D3424D">
        <w:rPr>
          <w:rFonts w:ascii="Arial" w:hAnsi="Arial"/>
        </w:rPr>
        <w:t>2025</w:t>
      </w:r>
      <w:r w:rsidRPr="00D3424D">
        <w:rPr>
          <w:rFonts w:ascii="Arial" w:hAnsi="Arial"/>
        </w:rPr>
        <w:t xml:space="preserve"> </w:t>
      </w:r>
      <w:r w:rsidR="000C09CE" w:rsidRPr="00D3424D">
        <w:rPr>
          <w:rFonts w:ascii="Arial" w:hAnsi="Arial"/>
        </w:rPr>
        <w:t xml:space="preserve">(ASH) </w:t>
      </w:r>
      <w:r w:rsidRPr="00D3424D">
        <w:rPr>
          <w:rFonts w:ascii="Arial" w:hAnsi="Arial"/>
        </w:rPr>
        <w:t xml:space="preserve">year 10 snapshot survey (a survey of </w:t>
      </w:r>
      <w:r w:rsidR="00CB4141" w:rsidRPr="00D3424D">
        <w:rPr>
          <w:rFonts w:ascii="Arial" w:hAnsi="Arial"/>
        </w:rPr>
        <w:t xml:space="preserve">between </w:t>
      </w:r>
      <w:r w:rsidRPr="00D3424D">
        <w:rPr>
          <w:rFonts w:ascii="Arial" w:hAnsi="Arial"/>
        </w:rPr>
        <w:t xml:space="preserve">20,000 </w:t>
      </w:r>
      <w:r w:rsidR="00CB4141" w:rsidRPr="00D3424D">
        <w:rPr>
          <w:rFonts w:ascii="Arial" w:hAnsi="Arial"/>
        </w:rPr>
        <w:t>and</w:t>
      </w:r>
      <w:r w:rsidRPr="00D3424D">
        <w:rPr>
          <w:rFonts w:ascii="Arial" w:hAnsi="Arial"/>
        </w:rPr>
        <w:t xml:space="preserve"> 30,000 year 10 students)</w:t>
      </w:r>
    </w:p>
    <w:p w14:paraId="2F0456C7" w14:textId="5AFAC7B0" w:rsidR="009A3452" w:rsidRPr="00D3424D" w:rsidRDefault="009A3452" w:rsidP="00131678">
      <w:pPr>
        <w:pStyle w:val="ReportBody-MOH"/>
        <w:numPr>
          <w:ilvl w:val="0"/>
          <w:numId w:val="9"/>
        </w:numPr>
        <w:ind w:left="426" w:hanging="426"/>
        <w:rPr>
          <w:rFonts w:ascii="Arial" w:hAnsi="Arial"/>
        </w:rPr>
      </w:pPr>
      <w:r w:rsidRPr="00D3424D">
        <w:rPr>
          <w:rFonts w:ascii="Arial" w:hAnsi="Arial"/>
        </w:rPr>
        <w:t>Youth2000 (a nationwide survey of 7,</w:t>
      </w:r>
      <w:r w:rsidR="00CF5098" w:rsidRPr="00D3424D">
        <w:rPr>
          <w:rFonts w:ascii="Arial" w:hAnsi="Arial"/>
        </w:rPr>
        <w:t>7</w:t>
      </w:r>
      <w:r w:rsidRPr="00D3424D">
        <w:rPr>
          <w:rFonts w:ascii="Arial" w:hAnsi="Arial"/>
        </w:rPr>
        <w:t>00-8,500 students from secondary schools</w:t>
      </w:r>
      <w:r w:rsidR="00C656D9" w:rsidRPr="00D3424D">
        <w:rPr>
          <w:rFonts w:ascii="Arial" w:hAnsi="Arial"/>
        </w:rPr>
        <w:t xml:space="preserve">, jointly led by several </w:t>
      </w:r>
      <w:r w:rsidR="532E9052" w:rsidRPr="00D3424D">
        <w:rPr>
          <w:rFonts w:ascii="Arial" w:hAnsi="Arial"/>
        </w:rPr>
        <w:t>u</w:t>
      </w:r>
      <w:r w:rsidR="68B954BB" w:rsidRPr="00D3424D">
        <w:rPr>
          <w:rFonts w:ascii="Arial" w:hAnsi="Arial"/>
        </w:rPr>
        <w:t>niversities</w:t>
      </w:r>
      <w:r w:rsidRPr="00D3424D">
        <w:rPr>
          <w:rFonts w:ascii="Arial" w:hAnsi="Arial"/>
        </w:rPr>
        <w:t>)</w:t>
      </w:r>
    </w:p>
    <w:p w14:paraId="6B05233F" w14:textId="78092FF5" w:rsidR="00F71395" w:rsidRPr="00D3424D" w:rsidRDefault="540386BF" w:rsidP="00131678">
      <w:pPr>
        <w:pStyle w:val="ReportBody-MOH"/>
        <w:numPr>
          <w:ilvl w:val="0"/>
          <w:numId w:val="9"/>
        </w:numPr>
        <w:ind w:left="426" w:hanging="426"/>
        <w:rPr>
          <w:rFonts w:ascii="Arial" w:hAnsi="Arial"/>
        </w:rPr>
      </w:pPr>
      <w:r w:rsidRPr="00D3424D">
        <w:rPr>
          <w:rFonts w:ascii="Arial" w:hAnsi="Arial"/>
        </w:rPr>
        <w:t>New Zealand c</w:t>
      </w:r>
      <w:r w:rsidR="63385928" w:rsidRPr="00D3424D">
        <w:rPr>
          <w:rFonts w:ascii="Arial" w:hAnsi="Arial"/>
        </w:rPr>
        <w:t>ensus</w:t>
      </w:r>
      <w:r w:rsidR="42E7593A" w:rsidRPr="00D3424D">
        <w:rPr>
          <w:rFonts w:ascii="Arial" w:hAnsi="Arial"/>
        </w:rPr>
        <w:t>.</w:t>
      </w:r>
    </w:p>
    <w:p w14:paraId="597E7CE2" w14:textId="4E6D33A2" w:rsidR="00E63BE3" w:rsidRDefault="4044F560" w:rsidP="001E7CF5">
      <w:pPr>
        <w:spacing w:before="120" w:after="120" w:line="240" w:lineRule="auto"/>
        <w:rPr>
          <w:rFonts w:cs="Arial"/>
          <w:lang w:val="en-NZ"/>
        </w:rPr>
      </w:pPr>
      <w:r w:rsidRPr="454EE522">
        <w:rPr>
          <w:rFonts w:cs="Arial"/>
          <w:lang w:val="en-NZ"/>
        </w:rPr>
        <w:t>The</w:t>
      </w:r>
      <w:r w:rsidR="6E771B49" w:rsidRPr="454EE522">
        <w:rPr>
          <w:rFonts w:cs="Arial"/>
          <w:lang w:val="en-NZ"/>
        </w:rPr>
        <w:t xml:space="preserve"> </w:t>
      </w:r>
      <w:r w:rsidR="3B8EE481" w:rsidRPr="669C3E85">
        <w:rPr>
          <w:rFonts w:cs="Arial"/>
          <w:lang w:val="en-NZ"/>
        </w:rPr>
        <w:t>A</w:t>
      </w:r>
      <w:r w:rsidR="27F5E572" w:rsidRPr="669C3E85">
        <w:rPr>
          <w:rFonts w:cs="Arial"/>
          <w:lang w:val="en-NZ"/>
        </w:rPr>
        <w:t>ct</w:t>
      </w:r>
      <w:r w:rsidR="6E771B49" w:rsidRPr="454EE522">
        <w:rPr>
          <w:rFonts w:cs="Arial"/>
          <w:lang w:val="en-NZ"/>
        </w:rPr>
        <w:t xml:space="preserve"> and</w:t>
      </w:r>
      <w:r w:rsidR="00FD0547" w:rsidRPr="00E63BE3">
        <w:rPr>
          <w:rFonts w:cs="Arial"/>
          <w:lang w:val="en-NZ"/>
        </w:rPr>
        <w:t xml:space="preserve"> regulations put in place mechanisms </w:t>
      </w:r>
      <w:r w:rsidR="0A8C5DAE" w:rsidRPr="0DC366F8">
        <w:rPr>
          <w:rFonts w:cs="Arial"/>
          <w:lang w:val="en-NZ"/>
        </w:rPr>
        <w:t xml:space="preserve">to </w:t>
      </w:r>
      <w:r w:rsidR="592DA788" w:rsidRPr="075C44D0">
        <w:rPr>
          <w:rFonts w:cs="Arial"/>
          <w:lang w:val="en-NZ"/>
        </w:rPr>
        <w:t xml:space="preserve">support </w:t>
      </w:r>
      <w:r w:rsidR="1D210BCB" w:rsidRPr="075C44D0">
        <w:rPr>
          <w:rFonts w:cs="Arial"/>
          <w:lang w:val="en-NZ"/>
        </w:rPr>
        <w:t>monitor</w:t>
      </w:r>
      <w:r w:rsidR="3B9AD512" w:rsidRPr="075C44D0">
        <w:rPr>
          <w:rFonts w:cs="Arial"/>
          <w:lang w:val="en-NZ"/>
        </w:rPr>
        <w:t>ing o</w:t>
      </w:r>
      <w:r w:rsidR="685C043A" w:rsidRPr="075C44D0">
        <w:rPr>
          <w:rFonts w:cs="Arial"/>
          <w:lang w:val="en-NZ"/>
        </w:rPr>
        <w:t>f</w:t>
      </w:r>
      <w:r w:rsidR="1D210BCB" w:rsidRPr="075C44D0">
        <w:rPr>
          <w:rFonts w:cs="Arial"/>
          <w:lang w:val="en-NZ"/>
        </w:rPr>
        <w:t xml:space="preserve"> the market</w:t>
      </w:r>
      <w:r w:rsidR="47E9014F" w:rsidRPr="075C44D0">
        <w:rPr>
          <w:rFonts w:cs="Arial"/>
          <w:lang w:val="en-NZ"/>
        </w:rPr>
        <w:t>.</w:t>
      </w:r>
      <w:r w:rsidR="003878ED">
        <w:rPr>
          <w:rFonts w:cs="Arial"/>
          <w:lang w:val="en-NZ"/>
        </w:rPr>
        <w:t xml:space="preserve"> </w:t>
      </w:r>
      <w:r w:rsidR="61CD5E5F" w:rsidRPr="26DD899E">
        <w:rPr>
          <w:rFonts w:cs="Arial"/>
          <w:lang w:val="en-NZ"/>
        </w:rPr>
        <w:t>F</w:t>
      </w:r>
      <w:r w:rsidR="379C21D5" w:rsidRPr="26DD899E">
        <w:rPr>
          <w:rFonts w:cs="Arial"/>
          <w:lang w:val="en-NZ"/>
        </w:rPr>
        <w:t>or vaping</w:t>
      </w:r>
      <w:r w:rsidR="7756F735" w:rsidRPr="26DD899E">
        <w:rPr>
          <w:rFonts w:cs="Arial"/>
          <w:lang w:val="en-NZ"/>
        </w:rPr>
        <w:t xml:space="preserve">, </w:t>
      </w:r>
      <w:r w:rsidR="7756F735" w:rsidRPr="26DD899E">
        <w:rPr>
          <w:rFonts w:cs="Arial"/>
        </w:rPr>
        <w:t xml:space="preserve">product notification and </w:t>
      </w:r>
      <w:r w:rsidR="62742CD4" w:rsidRPr="69E1AADF">
        <w:rPr>
          <w:rFonts w:cs="Arial"/>
        </w:rPr>
        <w:t>a</w:t>
      </w:r>
      <w:r w:rsidR="15023ABA" w:rsidRPr="2FE9485B">
        <w:rPr>
          <w:rFonts w:cs="Arial"/>
        </w:rPr>
        <w:t>nnual</w:t>
      </w:r>
      <w:r w:rsidR="00E63BE3" w:rsidRPr="00E63BE3">
        <w:rPr>
          <w:rFonts w:cs="Arial"/>
        </w:rPr>
        <w:t xml:space="preserve"> reporting requirements </w:t>
      </w:r>
      <w:r w:rsidR="47C65042" w:rsidRPr="4E8215D8">
        <w:rPr>
          <w:rFonts w:cs="Arial"/>
        </w:rPr>
        <w:t xml:space="preserve">provide </w:t>
      </w:r>
      <w:r w:rsidR="323500B1" w:rsidRPr="4E8215D8">
        <w:rPr>
          <w:rFonts w:cs="Arial"/>
        </w:rPr>
        <w:t>information</w:t>
      </w:r>
      <w:r w:rsidR="00E63BE3" w:rsidRPr="00E63BE3">
        <w:rPr>
          <w:rFonts w:cs="Arial"/>
        </w:rPr>
        <w:t xml:space="preserve"> on what vaping products are on the market, sales information (price and quantity sold), and the number of retailers and distributors.</w:t>
      </w:r>
    </w:p>
    <w:p w14:paraId="5075723C" w14:textId="702510BE" w:rsidR="6F41027D" w:rsidRDefault="6E88CBB9" w:rsidP="001E7CF5">
      <w:pPr>
        <w:spacing w:before="120" w:after="120" w:line="240" w:lineRule="auto"/>
        <w:rPr>
          <w:rFonts w:cs="Arial"/>
        </w:rPr>
      </w:pPr>
      <w:r w:rsidRPr="6B10A78A">
        <w:rPr>
          <w:rFonts w:cs="Arial"/>
        </w:rPr>
        <w:t>Similar mechanis</w:t>
      </w:r>
      <w:r w:rsidR="30CD30DF" w:rsidRPr="6B10A78A">
        <w:rPr>
          <w:rFonts w:cs="Arial"/>
        </w:rPr>
        <w:t xml:space="preserve">ms will now provide </w:t>
      </w:r>
      <w:r w:rsidR="5205FD57" w:rsidRPr="41E84DA5">
        <w:rPr>
          <w:rFonts w:cs="Arial"/>
        </w:rPr>
        <w:t>info</w:t>
      </w:r>
      <w:r w:rsidR="30CD30DF" w:rsidRPr="41E84DA5">
        <w:rPr>
          <w:rFonts w:cs="Arial"/>
        </w:rPr>
        <w:t xml:space="preserve">rmation to support monitoring of the </w:t>
      </w:r>
      <w:r w:rsidR="30CD30DF" w:rsidRPr="0AC90270">
        <w:rPr>
          <w:rFonts w:cs="Arial"/>
        </w:rPr>
        <w:t>smoked tobacco market.</w:t>
      </w:r>
    </w:p>
    <w:p w14:paraId="27CAC9E6" w14:textId="7AB0A52F" w:rsidR="001C2389" w:rsidRPr="002E164A" w:rsidRDefault="00976D7D" w:rsidP="001E7CF5">
      <w:pPr>
        <w:spacing w:before="120" w:after="120" w:line="240" w:lineRule="auto"/>
        <w:rPr>
          <w:rStyle w:val="ui-provider"/>
          <w:lang w:val="en-NZ"/>
        </w:rPr>
      </w:pPr>
      <w:r w:rsidRPr="58911DBF">
        <w:rPr>
          <w:rStyle w:val="ui-provider"/>
        </w:rPr>
        <w:t xml:space="preserve">The </w:t>
      </w:r>
      <w:r w:rsidR="56092AFD" w:rsidRPr="58911DBF">
        <w:rPr>
          <w:rStyle w:val="ui-provider"/>
        </w:rPr>
        <w:t>a</w:t>
      </w:r>
      <w:r w:rsidRPr="58911DBF">
        <w:rPr>
          <w:rStyle w:val="ui-provider"/>
        </w:rPr>
        <w:t xml:space="preserve">ction </w:t>
      </w:r>
      <w:r w:rsidR="48FEB4D8" w:rsidRPr="58911DBF">
        <w:rPr>
          <w:rStyle w:val="ui-provider"/>
        </w:rPr>
        <w:t>p</w:t>
      </w:r>
      <w:r w:rsidRPr="58911DBF">
        <w:rPr>
          <w:rStyle w:val="ui-provider"/>
        </w:rPr>
        <w:t xml:space="preserve">lan </w:t>
      </w:r>
      <w:r w:rsidR="788C4274" w:rsidRPr="53A3678F">
        <w:rPr>
          <w:rStyle w:val="ui-provider"/>
        </w:rPr>
        <w:t>included</w:t>
      </w:r>
      <w:r w:rsidRPr="58911DBF">
        <w:rPr>
          <w:rStyle w:val="ui-provider"/>
        </w:rPr>
        <w:t xml:space="preserve"> a commitment to effective monitoring and evaluation</w:t>
      </w:r>
      <w:r w:rsidR="0F4A9D3D" w:rsidRPr="53A3678F">
        <w:rPr>
          <w:rStyle w:val="ui-provider"/>
        </w:rPr>
        <w:t>.</w:t>
      </w:r>
      <w:r w:rsidRPr="58911DBF">
        <w:rPr>
          <w:rStyle w:val="ui-provider"/>
        </w:rPr>
        <w:t xml:space="preserve"> </w:t>
      </w:r>
      <w:r w:rsidR="0630958A" w:rsidRPr="58911DBF">
        <w:rPr>
          <w:rStyle w:val="ui-provider"/>
        </w:rPr>
        <w:t>The Ministry</w:t>
      </w:r>
      <w:r w:rsidRPr="58911DBF">
        <w:rPr>
          <w:rStyle w:val="ui-provider"/>
        </w:rPr>
        <w:t xml:space="preserve"> has developed a </w:t>
      </w:r>
      <w:r w:rsidR="161CBFF3" w:rsidRPr="58911DBF">
        <w:rPr>
          <w:rStyle w:val="ui-provider"/>
        </w:rPr>
        <w:t>m</w:t>
      </w:r>
      <w:r w:rsidRPr="58911DBF">
        <w:rPr>
          <w:rStyle w:val="ui-provider"/>
        </w:rPr>
        <w:t xml:space="preserve">onitoring </w:t>
      </w:r>
      <w:r w:rsidR="7CEBF430" w:rsidRPr="58911DBF">
        <w:rPr>
          <w:rStyle w:val="ui-provider"/>
        </w:rPr>
        <w:t>f</w:t>
      </w:r>
      <w:r w:rsidRPr="58911DBF">
        <w:rPr>
          <w:rStyle w:val="ui-provider"/>
        </w:rPr>
        <w:t xml:space="preserve">ramework designed to monitor </w:t>
      </w:r>
      <w:r w:rsidR="088FA3B2" w:rsidRPr="2FE9485B">
        <w:rPr>
          <w:rStyle w:val="ui-provider"/>
        </w:rPr>
        <w:t>pr</w:t>
      </w:r>
      <w:r w:rsidR="2F966DB3" w:rsidRPr="2FE9485B">
        <w:rPr>
          <w:rStyle w:val="ui-provider"/>
        </w:rPr>
        <w:t>ogress</w:t>
      </w:r>
      <w:r w:rsidR="1BAC8323" w:rsidRPr="7A6AFB80">
        <w:rPr>
          <w:rStyle w:val="ui-provider"/>
        </w:rPr>
        <w:t xml:space="preserve"> </w:t>
      </w:r>
      <w:r w:rsidR="1BAC8323" w:rsidRPr="2F7ABA23">
        <w:rPr>
          <w:rStyle w:val="ui-provider"/>
        </w:rPr>
        <w:t>towards</w:t>
      </w:r>
      <w:r w:rsidR="07E4D0ED" w:rsidRPr="2F7ABA23">
        <w:rPr>
          <w:rStyle w:val="ui-provider"/>
        </w:rPr>
        <w:t xml:space="preserve"> meet</w:t>
      </w:r>
      <w:r w:rsidR="5034A76D" w:rsidRPr="2F7ABA23">
        <w:rPr>
          <w:rStyle w:val="ui-provider"/>
        </w:rPr>
        <w:t>ing</w:t>
      </w:r>
      <w:r w:rsidRPr="58911DBF">
        <w:rPr>
          <w:rStyle w:val="ui-provider"/>
        </w:rPr>
        <w:t xml:space="preserve"> the 2025 goal</w:t>
      </w:r>
      <w:r w:rsidR="2E39839E" w:rsidRPr="09CF22A3">
        <w:rPr>
          <w:rStyle w:val="ui-provider"/>
        </w:rPr>
        <w:t xml:space="preserve">, and regular </w:t>
      </w:r>
      <w:r w:rsidR="2E39839E" w:rsidRPr="71B01802">
        <w:rPr>
          <w:rStyle w:val="ui-provider"/>
        </w:rPr>
        <w:t xml:space="preserve">updates will be published. </w:t>
      </w:r>
      <w:r w:rsidR="2E39839E" w:rsidRPr="6666421E">
        <w:rPr>
          <w:rStyle w:val="ui-provider"/>
        </w:rPr>
        <w:t>As mentioned above,</w:t>
      </w:r>
      <w:r w:rsidR="2214A0C4" w:rsidRPr="5B860E7E">
        <w:rPr>
          <w:rStyle w:val="ui-provider"/>
        </w:rPr>
        <w:t xml:space="preserve"> </w:t>
      </w:r>
      <w:r w:rsidR="440CE5EE" w:rsidRPr="5B860E7E">
        <w:rPr>
          <w:rStyle w:val="ui-provider"/>
        </w:rPr>
        <w:t>monitor</w:t>
      </w:r>
      <w:r w:rsidR="77EE6E8F" w:rsidRPr="5B860E7E">
        <w:rPr>
          <w:rStyle w:val="ui-provider"/>
        </w:rPr>
        <w:t>ing</w:t>
      </w:r>
      <w:r w:rsidRPr="58911DBF">
        <w:rPr>
          <w:rStyle w:val="ui-provider"/>
        </w:rPr>
        <w:t xml:space="preserve"> </w:t>
      </w:r>
      <w:r w:rsidR="4A16B76C" w:rsidRPr="33E6EA9B">
        <w:rPr>
          <w:rStyle w:val="ui-provider"/>
        </w:rPr>
        <w:t xml:space="preserve">trends </w:t>
      </w:r>
      <w:r w:rsidRPr="58911DBF">
        <w:rPr>
          <w:rStyle w:val="ui-provider"/>
        </w:rPr>
        <w:t xml:space="preserve">in the illicit market </w:t>
      </w:r>
      <w:r w:rsidR="525D91F2" w:rsidRPr="5B860E7E">
        <w:rPr>
          <w:rStyle w:val="ui-provider"/>
        </w:rPr>
        <w:t>is underway.</w:t>
      </w:r>
      <w:r w:rsidR="0F4A9D3D" w:rsidRPr="5B860E7E">
        <w:rPr>
          <w:rStyle w:val="ui-provider"/>
        </w:rPr>
        <w:t xml:space="preserve"> </w:t>
      </w:r>
    </w:p>
    <w:p w14:paraId="2962C7CF" w14:textId="361C5DCE" w:rsidR="001C2389" w:rsidRDefault="474A5DEB" w:rsidP="001E7CF5">
      <w:pPr>
        <w:spacing w:before="120" w:after="120" w:line="240" w:lineRule="auto"/>
        <w:rPr>
          <w:rStyle w:val="ui-provider"/>
        </w:rPr>
      </w:pPr>
      <w:r w:rsidRPr="47D03B45">
        <w:rPr>
          <w:rStyle w:val="ui-provider"/>
        </w:rPr>
        <w:t xml:space="preserve">The Ministry will soon seek expressions of interest for the </w:t>
      </w:r>
      <w:r w:rsidRPr="25C71DD8">
        <w:rPr>
          <w:rStyle w:val="ui-provider"/>
        </w:rPr>
        <w:t xml:space="preserve">overall evaluation of the legislative </w:t>
      </w:r>
      <w:r w:rsidRPr="25A6D23E">
        <w:rPr>
          <w:rStyle w:val="ui-provider"/>
        </w:rPr>
        <w:t xml:space="preserve">measures that sit under the action plan. </w:t>
      </w:r>
      <w:r w:rsidRPr="282F4255">
        <w:rPr>
          <w:rStyle w:val="ui-provider"/>
        </w:rPr>
        <w:t xml:space="preserve">Effective monitoring and evaluation </w:t>
      </w:r>
      <w:proofErr w:type="gramStart"/>
      <w:r w:rsidRPr="282F4255">
        <w:rPr>
          <w:rStyle w:val="ui-provider"/>
        </w:rPr>
        <w:t>enables</w:t>
      </w:r>
      <w:proofErr w:type="gramEnd"/>
      <w:r w:rsidRPr="282F4255">
        <w:rPr>
          <w:rStyle w:val="ui-provider"/>
        </w:rPr>
        <w:t xml:space="preserve"> </w:t>
      </w:r>
      <w:r w:rsidRPr="71A0D569">
        <w:rPr>
          <w:rStyle w:val="ui-provider"/>
        </w:rPr>
        <w:t xml:space="preserve">us to measure the impact of these measures and ensure we are </w:t>
      </w:r>
      <w:r w:rsidRPr="7A701C0E">
        <w:rPr>
          <w:rStyle w:val="ui-provider"/>
        </w:rPr>
        <w:t>on track to reach the goa</w:t>
      </w:r>
      <w:r w:rsidR="540BC68A" w:rsidRPr="7A701C0E">
        <w:rPr>
          <w:rStyle w:val="ui-provider"/>
        </w:rPr>
        <w:t>l.</w:t>
      </w:r>
    </w:p>
    <w:p w14:paraId="10B83E4D" w14:textId="784055FC" w:rsidR="00772B79" w:rsidRPr="001E7CF5" w:rsidRDefault="001B5C85" w:rsidP="001E7CF5">
      <w:pPr>
        <w:spacing w:before="120" w:after="120"/>
        <w:rPr>
          <w:rStyle w:val="ui-provider"/>
        </w:rPr>
      </w:pPr>
      <w:r>
        <w:rPr>
          <w:rStyle w:val="ui-provider"/>
        </w:rPr>
        <w:t>Under the Act, m</w:t>
      </w:r>
      <w:r w:rsidR="00772B79">
        <w:rPr>
          <w:rStyle w:val="ui-provider"/>
        </w:rPr>
        <w:t>anufacturers</w:t>
      </w:r>
      <w:r>
        <w:rPr>
          <w:rStyle w:val="ui-provider"/>
        </w:rPr>
        <w:t xml:space="preserve">, </w:t>
      </w:r>
      <w:proofErr w:type="gramStart"/>
      <w:r>
        <w:rPr>
          <w:rStyle w:val="ui-provider"/>
        </w:rPr>
        <w:t>importers</w:t>
      </w:r>
      <w:proofErr w:type="gramEnd"/>
      <w:r>
        <w:rPr>
          <w:rStyle w:val="ui-provider"/>
        </w:rPr>
        <w:t xml:space="preserve"> and retailers of notifiable products </w:t>
      </w:r>
      <w:r w:rsidR="0044163D">
        <w:rPr>
          <w:rStyle w:val="ui-provider"/>
        </w:rPr>
        <w:t xml:space="preserve">must keep sales records and </w:t>
      </w:r>
      <w:r w:rsidR="00697DEA">
        <w:rPr>
          <w:rStyle w:val="ui-provider"/>
        </w:rPr>
        <w:t xml:space="preserve">submit </w:t>
      </w:r>
      <w:r w:rsidR="0044163D">
        <w:rPr>
          <w:rStyle w:val="ui-provider"/>
        </w:rPr>
        <w:t xml:space="preserve">annual returns </w:t>
      </w:r>
      <w:r w:rsidR="003C2FFA">
        <w:rPr>
          <w:rStyle w:val="ui-provider"/>
        </w:rPr>
        <w:t>to the Vaping Regulatory Authority</w:t>
      </w:r>
      <w:r w:rsidR="0075287E">
        <w:rPr>
          <w:rStyle w:val="ui-provider"/>
        </w:rPr>
        <w:t>.</w:t>
      </w:r>
      <w:r w:rsidR="00F855E7">
        <w:rPr>
          <w:rStyle w:val="ui-provider"/>
        </w:rPr>
        <w:t xml:space="preserve"> </w:t>
      </w:r>
      <w:r w:rsidR="00E81012">
        <w:rPr>
          <w:rStyle w:val="ui-provider"/>
        </w:rPr>
        <w:t xml:space="preserve">Smoked Tobacco distributors and </w:t>
      </w:r>
      <w:r w:rsidR="353EDAEA" w:rsidRPr="53593C9E">
        <w:rPr>
          <w:rStyle w:val="ui-provider"/>
        </w:rPr>
        <w:t>a</w:t>
      </w:r>
      <w:r w:rsidR="3DEE0E7D" w:rsidRPr="53593C9E">
        <w:rPr>
          <w:rStyle w:val="ui-provider"/>
        </w:rPr>
        <w:t xml:space="preserve">pproved </w:t>
      </w:r>
      <w:r w:rsidR="353EDAEA" w:rsidRPr="53593C9E">
        <w:rPr>
          <w:rStyle w:val="ui-provider"/>
        </w:rPr>
        <w:t>s</w:t>
      </w:r>
      <w:r w:rsidR="3DEE0E7D" w:rsidRPr="53593C9E">
        <w:rPr>
          <w:rStyle w:val="ui-provider"/>
        </w:rPr>
        <w:t xml:space="preserve">moked </w:t>
      </w:r>
      <w:r w:rsidR="353EDAEA" w:rsidRPr="53593C9E">
        <w:rPr>
          <w:rStyle w:val="ui-provider"/>
        </w:rPr>
        <w:t>t</w:t>
      </w:r>
      <w:r w:rsidR="3DEE0E7D" w:rsidRPr="53593C9E">
        <w:rPr>
          <w:rStyle w:val="ui-provider"/>
        </w:rPr>
        <w:t xml:space="preserve">obacco </w:t>
      </w:r>
      <w:r w:rsidR="353EDAEA" w:rsidRPr="53593C9E">
        <w:rPr>
          <w:rStyle w:val="ui-provider"/>
        </w:rPr>
        <w:t>r</w:t>
      </w:r>
      <w:r w:rsidR="3DEE0E7D" w:rsidRPr="53593C9E">
        <w:rPr>
          <w:rStyle w:val="ui-provider"/>
        </w:rPr>
        <w:t>etailers</w:t>
      </w:r>
      <w:r w:rsidR="00E81012">
        <w:rPr>
          <w:rStyle w:val="ui-provider"/>
        </w:rPr>
        <w:t xml:space="preserve"> will also </w:t>
      </w:r>
      <w:r w:rsidR="00A46B71">
        <w:rPr>
          <w:rStyle w:val="ui-provider"/>
        </w:rPr>
        <w:t xml:space="preserve">be required </w:t>
      </w:r>
      <w:r w:rsidR="001D2E8E">
        <w:rPr>
          <w:rStyle w:val="ui-provider"/>
        </w:rPr>
        <w:t xml:space="preserve">to submit </w:t>
      </w:r>
      <w:r w:rsidR="00CF4EFD">
        <w:rPr>
          <w:rStyle w:val="ui-provider"/>
        </w:rPr>
        <w:t xml:space="preserve">annual </w:t>
      </w:r>
      <w:r w:rsidR="001D2E8E">
        <w:rPr>
          <w:rStyle w:val="ui-provider"/>
        </w:rPr>
        <w:t xml:space="preserve">returns to the </w:t>
      </w:r>
      <w:r w:rsidR="353EDAEA" w:rsidRPr="53593C9E">
        <w:rPr>
          <w:rStyle w:val="ui-provider"/>
        </w:rPr>
        <w:t>TRA</w:t>
      </w:r>
      <w:r w:rsidR="387A6768" w:rsidRPr="53593C9E">
        <w:rPr>
          <w:rStyle w:val="ui-provider"/>
        </w:rPr>
        <w:t>.</w:t>
      </w:r>
      <w:r w:rsidR="001D2E8E">
        <w:rPr>
          <w:rStyle w:val="ui-provider"/>
        </w:rPr>
        <w:t xml:space="preserve"> </w:t>
      </w:r>
      <w:r w:rsidR="4CC41A74" w:rsidRPr="2EF15BA0">
        <w:rPr>
          <w:rStyle w:val="ui-provider"/>
        </w:rPr>
        <w:t xml:space="preserve">Gathering this data enables an evidence-based </w:t>
      </w:r>
      <w:r w:rsidR="4CC41A74" w:rsidRPr="59F38C69">
        <w:rPr>
          <w:rStyle w:val="ui-provider"/>
        </w:rPr>
        <w:t xml:space="preserve">understanding of consumption trends. </w:t>
      </w:r>
    </w:p>
    <w:p w14:paraId="3DD2E2A4" w14:textId="52BE0352" w:rsidR="00996397" w:rsidRDefault="4CC41A74" w:rsidP="001E7CF5">
      <w:pPr>
        <w:spacing w:before="120" w:after="120"/>
        <w:rPr>
          <w:rStyle w:val="ui-provider"/>
          <w:rFonts w:eastAsia="Segoe UI"/>
          <w:lang w:val="en-NZ"/>
        </w:rPr>
      </w:pPr>
      <w:r w:rsidRPr="5676F4B8">
        <w:rPr>
          <w:rStyle w:val="ui-provider"/>
        </w:rPr>
        <w:t>T</w:t>
      </w:r>
      <w:r w:rsidR="2FD3F85E" w:rsidRPr="5676F4B8">
        <w:rPr>
          <w:rStyle w:val="ui-provider"/>
        </w:rPr>
        <w:t>he</w:t>
      </w:r>
      <w:r w:rsidR="004C1C62" w:rsidRPr="58911DBF">
        <w:rPr>
          <w:rStyle w:val="ui-provider"/>
        </w:rPr>
        <w:t xml:space="preserve"> Act contains a specific requirement for the new policy measures to be reviewed no later than 1 January 2029</w:t>
      </w:r>
      <w:r w:rsidR="2FD3F85E" w:rsidRPr="30433DDF">
        <w:rPr>
          <w:rStyle w:val="ui-provider"/>
        </w:rPr>
        <w:t>.</w:t>
      </w:r>
      <w:r w:rsidR="004C1C62" w:rsidRPr="58911DBF">
        <w:rPr>
          <w:rStyle w:val="ui-provider"/>
        </w:rPr>
        <w:t xml:space="preserve"> </w:t>
      </w:r>
      <w:r w:rsidR="1B6A379F" w:rsidRPr="25C6538F">
        <w:rPr>
          <w:rStyle w:val="ui-provider"/>
        </w:rPr>
        <w:t xml:space="preserve">The information </w:t>
      </w:r>
      <w:r w:rsidR="1B6A379F" w:rsidRPr="2751B267">
        <w:rPr>
          <w:rStyle w:val="ui-provider"/>
        </w:rPr>
        <w:t xml:space="preserve">collected above </w:t>
      </w:r>
      <w:r w:rsidR="004C1C62" w:rsidRPr="58911DBF">
        <w:rPr>
          <w:rStyle w:val="ui-provider"/>
        </w:rPr>
        <w:t>will be necessary to complete the review.</w:t>
      </w:r>
    </w:p>
    <w:sectPr w:rsidR="00996397" w:rsidSect="00B5612C">
      <w:pgSz w:w="11906" w:h="16838" w:code="9"/>
      <w:pgMar w:top="1134" w:right="1418" w:bottom="992"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6925" w14:textId="77777777" w:rsidR="009238AC" w:rsidRDefault="009238AC">
      <w:pPr>
        <w:spacing w:after="0" w:line="240" w:lineRule="auto"/>
      </w:pPr>
      <w:r>
        <w:separator/>
      </w:r>
    </w:p>
    <w:p w14:paraId="7BCD8781" w14:textId="77777777" w:rsidR="009238AC" w:rsidRDefault="009238AC"/>
  </w:endnote>
  <w:endnote w:type="continuationSeparator" w:id="0">
    <w:p w14:paraId="6CD7F986" w14:textId="77777777" w:rsidR="009238AC" w:rsidRDefault="009238AC">
      <w:pPr>
        <w:spacing w:after="0" w:line="240" w:lineRule="auto"/>
      </w:pPr>
      <w:r>
        <w:continuationSeparator/>
      </w:r>
    </w:p>
    <w:p w14:paraId="348C7760" w14:textId="77777777" w:rsidR="009238AC" w:rsidRDefault="009238AC"/>
  </w:endnote>
  <w:endnote w:type="continuationNotice" w:id="1">
    <w:p w14:paraId="3DA67E53" w14:textId="77777777" w:rsidR="009238AC" w:rsidRDefault="00923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Sans">
    <w:altName w:val="Calibri"/>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69A0" w14:textId="77777777" w:rsidR="004B6F7D" w:rsidRDefault="004B6F7D" w:rsidP="006448CF">
    <w:pPr>
      <w:pStyle w:val="Footer"/>
    </w:pPr>
  </w:p>
  <w:p w14:paraId="6E40FA9B" w14:textId="77777777" w:rsidR="006777C4" w:rsidRDefault="006777C4"/>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F5A3" w14:textId="263660CC" w:rsidR="00663931" w:rsidRPr="00743278" w:rsidRDefault="00663931" w:rsidP="632BB0B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E8D3" w14:textId="77777777" w:rsidR="00FF04EC" w:rsidRDefault="00FF04EC" w:rsidP="006448CF">
    <w:pPr>
      <w:pStyle w:val="Footer"/>
    </w:pPr>
  </w:p>
  <w:p w14:paraId="143EEBE1" w14:textId="77777777" w:rsidR="00FF04EC" w:rsidRDefault="00FF04E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F43E" w14:textId="77777777" w:rsidR="00FF04EC" w:rsidRPr="00743278" w:rsidRDefault="00FF04EC" w:rsidP="006448CF">
    <w:pPr>
      <w:pStyle w:val="Footer"/>
    </w:pPr>
    <w:r>
      <w:rPr>
        <w:sz w:val="14"/>
      </w:rPr>
      <w:tab/>
    </w:r>
    <w:r>
      <w:t xml:space="preserve">Regulatory Impact Statement  </w:t>
    </w:r>
    <w:r w:rsidRPr="009435C4">
      <w:t>|</w:t>
    </w:r>
    <w:r>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E29F" w14:textId="77777777" w:rsidR="00FF04EC" w:rsidRPr="00743278" w:rsidRDefault="00FF04EC" w:rsidP="006448CF">
    <w:pPr>
      <w:pStyle w:val="Footer"/>
    </w:pPr>
    <w:r>
      <w:rPr>
        <w:sz w:val="14"/>
      </w:rPr>
      <w:tab/>
    </w:r>
    <w:r>
      <w:t xml:space="preserve">Regulatory Impact Statement  </w:t>
    </w:r>
    <w:r w:rsidRPr="009435C4">
      <w:t>|</w:t>
    </w:r>
    <w:r>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2F7A" w14:textId="77777777" w:rsidR="00FF04EC" w:rsidRDefault="00FF04EC" w:rsidP="006448CF">
    <w:pPr>
      <w:pStyle w:val="Footer"/>
    </w:pPr>
  </w:p>
  <w:p w14:paraId="1F9315EB" w14:textId="77777777" w:rsidR="00FF04EC" w:rsidRDefault="00FF04EC"/>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12A9" w14:textId="77777777" w:rsidR="00FF04EC" w:rsidRPr="00743278" w:rsidRDefault="00FF04EC" w:rsidP="006448CF">
    <w:pPr>
      <w:pStyle w:val="Footer"/>
    </w:pPr>
    <w:r>
      <w:rPr>
        <w:sz w:val="14"/>
      </w:rPr>
      <w:tab/>
    </w:r>
    <w:r>
      <w:t xml:space="preserve">Regulatory Impact Statement  </w:t>
    </w:r>
    <w:r w:rsidRPr="009435C4">
      <w:t>|</w:t>
    </w:r>
    <w:r>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634C" w14:textId="77777777" w:rsidR="00FF04EC" w:rsidRPr="00743278" w:rsidRDefault="00FF04EC" w:rsidP="006448CF">
    <w:pPr>
      <w:pStyle w:val="Footer"/>
    </w:pPr>
    <w:r>
      <w:rPr>
        <w:sz w:val="14"/>
      </w:rPr>
      <w:tab/>
    </w:r>
    <w:r>
      <w:t xml:space="preserve">Regulatory Impact Statement  </w:t>
    </w:r>
    <w:r w:rsidRPr="009435C4">
      <w:t>|</w:t>
    </w:r>
    <w:r>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271E" w14:textId="77777777" w:rsidR="00FF04EC" w:rsidRDefault="00FF04EC" w:rsidP="006448CF">
    <w:pPr>
      <w:pStyle w:val="Footer"/>
    </w:pPr>
  </w:p>
  <w:p w14:paraId="17A9A4B5" w14:textId="77777777" w:rsidR="00FF04EC" w:rsidRDefault="00FF04EC"/>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852A" w14:textId="77777777" w:rsidR="00FF04EC" w:rsidRPr="00743278" w:rsidRDefault="00FF04EC" w:rsidP="006448CF">
    <w:pPr>
      <w:pStyle w:val="Footer"/>
    </w:pPr>
    <w:r>
      <w:rPr>
        <w:sz w:val="14"/>
      </w:rPr>
      <w:tab/>
    </w:r>
    <w:r>
      <w:t xml:space="preserve">Regulatory Impact Statement  </w:t>
    </w:r>
    <w:r w:rsidRPr="009435C4">
      <w:t>|</w:t>
    </w:r>
    <w:r>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115C" w14:textId="77777777" w:rsidR="00FF04EC" w:rsidRPr="00743278" w:rsidRDefault="00FF04EC" w:rsidP="006448CF">
    <w:pPr>
      <w:pStyle w:val="Footer"/>
    </w:pPr>
    <w:r>
      <w:rPr>
        <w:sz w:val="14"/>
      </w:rPr>
      <w:tab/>
    </w:r>
    <w:r>
      <w:t xml:space="preserve">Regulatory Impact Statement  </w:t>
    </w:r>
    <w:r w:rsidRPr="009435C4">
      <w:t>|</w:t>
    </w:r>
    <w:r>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86C0" w14:textId="37D6EF45" w:rsidR="004B6F7D" w:rsidRPr="00743278" w:rsidRDefault="00743278" w:rsidP="006448CF">
    <w:pPr>
      <w:pStyle w:val="Footer"/>
    </w:pPr>
    <w:r>
      <w:rPr>
        <w:sz w:val="14"/>
      </w:rPr>
      <w:tab/>
    </w:r>
    <w:r w:rsidR="000132F6">
      <w:t>Regulatory</w:t>
    </w:r>
    <w:r w:rsidR="0092176D">
      <w:t xml:space="preserve"> I</w:t>
    </w:r>
    <w:r>
      <w:t xml:space="preserve">mpact Statement </w:t>
    </w:r>
    <w:r w:rsidR="00150D58">
      <w:t xml:space="preserve"> </w:t>
    </w:r>
    <w:r w:rsidRPr="009435C4">
      <w:t>|</w:t>
    </w:r>
    <w:r w:rsidR="00150D58">
      <w:t xml:space="preserve"> </w:t>
    </w:r>
    <w:r w:rsidRPr="009435C4">
      <w:t xml:space="preserve"> </w:t>
    </w:r>
    <w:r w:rsidRPr="009435C4">
      <w:fldChar w:fldCharType="begin"/>
    </w:r>
    <w:r w:rsidRPr="009435C4">
      <w:instrText xml:space="preserve"> PAGE </w:instrText>
    </w:r>
    <w:r w:rsidRPr="009435C4">
      <w:fldChar w:fldCharType="separate"/>
    </w:r>
    <w:r w:rsidR="00BF4DAE">
      <w:t>11</w:t>
    </w:r>
    <w:r w:rsidRPr="009435C4">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7E0D" w14:textId="77777777" w:rsidR="00FF04EC" w:rsidRDefault="00FF04EC" w:rsidP="006448CF">
    <w:pPr>
      <w:pStyle w:val="Footer"/>
    </w:pPr>
  </w:p>
  <w:p w14:paraId="3CFA6801" w14:textId="77777777" w:rsidR="00FF04EC" w:rsidRDefault="00FF04EC"/>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FE0A" w14:textId="77777777" w:rsidR="00FF04EC" w:rsidRPr="00743278" w:rsidRDefault="00FF04EC" w:rsidP="006448CF">
    <w:pPr>
      <w:pStyle w:val="Footer"/>
    </w:pPr>
    <w:r>
      <w:rPr>
        <w:sz w:val="14"/>
      </w:rPr>
      <w:tab/>
    </w:r>
    <w:r>
      <w:t xml:space="preserve">Regulatory Impact Statement  </w:t>
    </w:r>
    <w:r w:rsidRPr="009435C4">
      <w:t>|</w:t>
    </w:r>
    <w:r>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EC8B" w14:textId="77777777" w:rsidR="00FF04EC" w:rsidRPr="00743278" w:rsidRDefault="00FF04EC" w:rsidP="006448CF">
    <w:pPr>
      <w:pStyle w:val="Footer"/>
    </w:pPr>
    <w:r>
      <w:rPr>
        <w:sz w:val="14"/>
      </w:rPr>
      <w:tab/>
    </w:r>
    <w:r>
      <w:t xml:space="preserve">Regulatory Impact Statement  </w:t>
    </w:r>
    <w:r w:rsidRPr="009435C4">
      <w:t>|</w:t>
    </w:r>
    <w:r>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7BEE" w14:textId="77777777" w:rsidR="00FF04EC" w:rsidRDefault="00FF04EC" w:rsidP="006448CF">
    <w:pPr>
      <w:pStyle w:val="Footer"/>
    </w:pPr>
  </w:p>
  <w:p w14:paraId="5E14480E" w14:textId="77777777" w:rsidR="00FF04EC" w:rsidRDefault="00FF04EC"/>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410C" w14:textId="77777777" w:rsidR="00FF04EC" w:rsidRPr="00743278" w:rsidRDefault="00FF04EC" w:rsidP="006448CF">
    <w:pPr>
      <w:pStyle w:val="Footer"/>
    </w:pPr>
    <w:r>
      <w:rPr>
        <w:sz w:val="14"/>
      </w:rPr>
      <w:tab/>
    </w:r>
    <w:r>
      <w:t xml:space="preserve">Regulatory Impact Statement  </w:t>
    </w:r>
    <w:r w:rsidRPr="009435C4">
      <w:t>|</w:t>
    </w:r>
    <w:r>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34C7" w14:textId="77777777" w:rsidR="00FF04EC" w:rsidRPr="00743278" w:rsidRDefault="00FF04EC" w:rsidP="006448CF">
    <w:pPr>
      <w:pStyle w:val="Footer"/>
    </w:pPr>
    <w:r>
      <w:rPr>
        <w:sz w:val="14"/>
      </w:rPr>
      <w:tab/>
    </w:r>
    <w:r>
      <w:t xml:space="preserve">Regulatory Impact Statement  </w:t>
    </w:r>
    <w:r w:rsidRPr="009435C4">
      <w:t>|</w:t>
    </w:r>
    <w:r>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F65B" w14:textId="37B4D233" w:rsidR="006448CF" w:rsidRPr="00743278" w:rsidRDefault="006448CF" w:rsidP="006448CF">
    <w:pPr>
      <w:pStyle w:val="Footer"/>
    </w:pPr>
    <w:r>
      <w:rPr>
        <w:sz w:val="14"/>
      </w:rPr>
      <w:tab/>
    </w:r>
    <w:r>
      <w:t>Regulatory Impact Statement</w:t>
    </w:r>
    <w:r w:rsidR="00150D58">
      <w:t xml:space="preserve"> </w:t>
    </w:r>
    <w:r>
      <w:t xml:space="preserve"> </w:t>
    </w:r>
    <w:r w:rsidRPr="009435C4">
      <w:t>|</w:t>
    </w:r>
    <w:r w:rsidR="00150D58">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1218" w14:textId="77777777" w:rsidR="00C930A7" w:rsidRDefault="00C930A7" w:rsidP="006448CF">
    <w:pPr>
      <w:pStyle w:val="Footer"/>
    </w:pPr>
  </w:p>
  <w:p w14:paraId="3A8D0746" w14:textId="77777777" w:rsidR="00C930A7" w:rsidRDefault="00C930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5242" w14:textId="77777777" w:rsidR="00C930A7" w:rsidRPr="00743278" w:rsidRDefault="00C930A7" w:rsidP="006448CF">
    <w:pPr>
      <w:pStyle w:val="Footer"/>
    </w:pPr>
    <w:r>
      <w:rPr>
        <w:sz w:val="14"/>
      </w:rPr>
      <w:tab/>
    </w:r>
    <w:r>
      <w:t xml:space="preserve">Regulatory Impact Statement  </w:t>
    </w:r>
    <w:r w:rsidRPr="009435C4">
      <w:t>|</w:t>
    </w:r>
    <w:r>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F69E" w14:textId="77777777" w:rsidR="00C930A7" w:rsidRPr="00743278" w:rsidRDefault="00C930A7" w:rsidP="006448CF">
    <w:pPr>
      <w:pStyle w:val="Footer"/>
    </w:pPr>
    <w:r>
      <w:rPr>
        <w:sz w:val="14"/>
      </w:rPr>
      <w:tab/>
    </w:r>
    <w:r>
      <w:t xml:space="preserve">Regulatory Impact Statement  </w:t>
    </w:r>
    <w:r w:rsidRPr="009435C4">
      <w:t>|</w:t>
    </w:r>
    <w:r>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E0F8" w14:textId="77777777" w:rsidR="001471F1" w:rsidRDefault="001471F1" w:rsidP="006448CF">
    <w:pPr>
      <w:pStyle w:val="Footer"/>
    </w:pPr>
  </w:p>
  <w:p w14:paraId="06814A16" w14:textId="77777777" w:rsidR="001471F1" w:rsidRDefault="001471F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C240" w14:textId="77777777" w:rsidR="001471F1" w:rsidRPr="00743278" w:rsidRDefault="001471F1" w:rsidP="006448CF">
    <w:pPr>
      <w:pStyle w:val="Footer"/>
    </w:pPr>
    <w:r>
      <w:rPr>
        <w:sz w:val="14"/>
      </w:rPr>
      <w:tab/>
    </w:r>
    <w:r>
      <w:t xml:space="preserve">Regulatory Impact Statement  </w:t>
    </w:r>
    <w:r w:rsidRPr="009435C4">
      <w:t>|</w:t>
    </w:r>
    <w:r>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1F5F" w14:textId="77777777" w:rsidR="00663931" w:rsidRDefault="00663931" w:rsidP="006448CF">
    <w:pPr>
      <w:pStyle w:val="Footer"/>
    </w:pPr>
  </w:p>
  <w:p w14:paraId="20486232" w14:textId="77777777" w:rsidR="00663931" w:rsidRDefault="006639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3546" w14:textId="77777777" w:rsidR="009238AC" w:rsidRDefault="009238AC">
      <w:pPr>
        <w:spacing w:after="0" w:line="240" w:lineRule="auto"/>
      </w:pPr>
      <w:r>
        <w:separator/>
      </w:r>
    </w:p>
    <w:p w14:paraId="3D2A9C17" w14:textId="77777777" w:rsidR="009238AC" w:rsidRDefault="009238AC"/>
  </w:footnote>
  <w:footnote w:type="continuationSeparator" w:id="0">
    <w:p w14:paraId="3B332479" w14:textId="77777777" w:rsidR="009238AC" w:rsidRDefault="009238AC">
      <w:pPr>
        <w:spacing w:after="0" w:line="240" w:lineRule="auto"/>
      </w:pPr>
      <w:r>
        <w:continuationSeparator/>
      </w:r>
    </w:p>
    <w:p w14:paraId="340B174A" w14:textId="77777777" w:rsidR="009238AC" w:rsidRDefault="009238AC"/>
  </w:footnote>
  <w:footnote w:type="continuationNotice" w:id="1">
    <w:p w14:paraId="35E2ED1D" w14:textId="77777777" w:rsidR="009238AC" w:rsidRDefault="009238AC">
      <w:pPr>
        <w:spacing w:after="0" w:line="240" w:lineRule="auto"/>
      </w:pPr>
    </w:p>
  </w:footnote>
  <w:footnote w:id="2">
    <w:p w14:paraId="5FF86453" w14:textId="77777777" w:rsidR="009F17C4" w:rsidRPr="00A54A79" w:rsidRDefault="00A54A79" w:rsidP="009F17C4">
      <w:pPr>
        <w:pStyle w:val="FootnoteText"/>
        <w:spacing w:after="0"/>
        <w:rPr>
          <w:lang w:val="en-NZ"/>
        </w:rPr>
      </w:pPr>
      <w:r>
        <w:rPr>
          <w:rStyle w:val="FootnoteReference"/>
        </w:rPr>
        <w:footnoteRef/>
      </w:r>
      <w:r w:rsidR="009A793D">
        <w:t xml:space="preserve"> </w:t>
      </w:r>
      <w:hyperlink r:id="rId1" w:history="1">
        <w:r w:rsidR="009F17C4" w:rsidRPr="00A54A79">
          <w:rPr>
            <w:rStyle w:val="Hyperlink"/>
            <w:rFonts w:cs="Arial"/>
            <w:szCs w:val="18"/>
          </w:rPr>
          <w:t>https://www.sciencedirect.com/science/article/pii/S2468266719302415</w:t>
        </w:r>
      </w:hyperlink>
    </w:p>
    <w:p w14:paraId="4E4EA2F6" w14:textId="572DA808" w:rsidR="00A54A79" w:rsidRPr="00A54A79" w:rsidRDefault="00A54A79" w:rsidP="0068383A">
      <w:pPr>
        <w:pStyle w:val="FootnoteText"/>
        <w:ind w:left="0" w:firstLine="0"/>
        <w:rPr>
          <w:lang w:val="en-NZ"/>
        </w:rPr>
      </w:pPr>
    </w:p>
  </w:footnote>
  <w:footnote w:id="3">
    <w:p w14:paraId="4B7A8076" w14:textId="77777777" w:rsidR="0068383A" w:rsidRDefault="00594983" w:rsidP="0068383A">
      <w:pPr>
        <w:spacing w:after="0"/>
      </w:pPr>
      <w:r>
        <w:rPr>
          <w:rStyle w:val="FootnoteReference"/>
        </w:rPr>
        <w:footnoteRef/>
      </w:r>
      <w:r w:rsidR="00076AD6">
        <w:t xml:space="preserve"> </w:t>
      </w:r>
      <w:hyperlink r:id="rId2" w:anchor="!/home" w:history="1">
        <w:r w:rsidR="0068383A" w:rsidRPr="000E25BD">
          <w:rPr>
            <w:rStyle w:val="Hyperlink"/>
            <w:sz w:val="18"/>
            <w:szCs w:val="16"/>
          </w:rPr>
          <w:t>https://minhealthnz.shinyapps.io/nz-health-survey-2021-22-annual-data-explorer/_w_1275039c/#!/home</w:t>
        </w:r>
      </w:hyperlink>
    </w:p>
    <w:p w14:paraId="50154E23" w14:textId="359EFBBF" w:rsidR="00594983" w:rsidRPr="00076AD6" w:rsidRDefault="00594983">
      <w:pPr>
        <w:pStyle w:val="FootnoteText"/>
        <w:rPr>
          <w:lang w:val="en-NZ"/>
        </w:rPr>
      </w:pPr>
    </w:p>
  </w:footnote>
  <w:footnote w:id="4">
    <w:p w14:paraId="172BD97B" w14:textId="77777777" w:rsidR="000B2AE7" w:rsidRDefault="02D6F528" w:rsidP="000B2AE7">
      <w:pPr>
        <w:pStyle w:val="FootnoteText"/>
        <w:spacing w:after="0"/>
        <w:rPr>
          <w:lang w:val="en-NZ"/>
        </w:rPr>
      </w:pPr>
      <w:r w:rsidRPr="02D6F528">
        <w:rPr>
          <w:rStyle w:val="FootnoteReference"/>
        </w:rPr>
        <w:footnoteRef/>
      </w:r>
      <w:r>
        <w:t xml:space="preserve"> </w:t>
      </w:r>
      <w:hyperlink r:id="rId3">
        <w:r w:rsidRPr="02D6F528">
          <w:rPr>
            <w:rStyle w:val="Hyperlink"/>
          </w:rPr>
          <w:t>https://www.ash.org.nz/2022_topline_youth_smoking_and_vaping_factsheet</w:t>
        </w:r>
      </w:hyperlink>
    </w:p>
    <w:p w14:paraId="7193E38E" w14:textId="0842F66A" w:rsidR="02D6F528" w:rsidRDefault="02D6F528">
      <w:pPr>
        <w:pStyle w:val="FootnoteText"/>
        <w:rPr>
          <w:lang w:val="en-NZ"/>
        </w:rPr>
      </w:pPr>
    </w:p>
  </w:footnote>
  <w:footnote w:id="5">
    <w:p w14:paraId="68975989" w14:textId="3CFCD7B1" w:rsidR="3B30AC97" w:rsidRPr="000B2AE7" w:rsidRDefault="3B30AC97">
      <w:pPr>
        <w:pStyle w:val="FootnoteText"/>
        <w:rPr>
          <w:lang w:val="en-NZ"/>
        </w:rPr>
      </w:pPr>
      <w:r w:rsidRPr="3B30AC97">
        <w:rPr>
          <w:rStyle w:val="FootnoteReference"/>
        </w:rPr>
        <w:footnoteRef/>
      </w:r>
      <w:r>
        <w:t xml:space="preserve"> </w:t>
      </w:r>
      <w:hyperlink r:id="rId4" w:history="1">
        <w:r w:rsidR="005701BE" w:rsidRPr="00AF3C77">
          <w:rPr>
            <w:rStyle w:val="Hyperlink"/>
            <w:sz w:val="20"/>
          </w:rPr>
          <w:t>https://www.ash.org.nz/ash_year_10</w:t>
        </w:r>
      </w:hyperlink>
      <w:r w:rsidR="005701BE">
        <w:rPr>
          <w:sz w:val="20"/>
        </w:rPr>
        <w:t xml:space="preserve"> </w:t>
      </w:r>
    </w:p>
  </w:footnote>
  <w:footnote w:id="6">
    <w:p w14:paraId="26682164" w14:textId="733A8AC6" w:rsidR="00AC7AC9" w:rsidRPr="00AC7AC9" w:rsidRDefault="00AC7AC9" w:rsidP="58911DBF">
      <w:pPr>
        <w:pStyle w:val="FootnoteText"/>
        <w:ind w:left="0" w:firstLine="0"/>
        <w:rPr>
          <w:lang w:val="mi-NZ"/>
        </w:rPr>
      </w:pPr>
      <w:r>
        <w:rPr>
          <w:rStyle w:val="FootnoteReference"/>
        </w:rPr>
        <w:footnoteRef/>
      </w:r>
      <w:r w:rsidR="58911DBF">
        <w:t xml:space="preserve"> Legislation Design and Advisory Committee (LDAC) guidelines set out the circumstances in which charging fees may be appropriate</w:t>
      </w:r>
    </w:p>
  </w:footnote>
  <w:footnote w:id="7">
    <w:p w14:paraId="3B122671" w14:textId="6054BE9E" w:rsidR="00C51D77" w:rsidRPr="00392592" w:rsidRDefault="00C51D77">
      <w:pPr>
        <w:pStyle w:val="FootnoteText"/>
        <w:rPr>
          <w:lang w:val="mi-NZ"/>
        </w:rPr>
      </w:pPr>
      <w:r>
        <w:rPr>
          <w:rStyle w:val="FootnoteReference"/>
        </w:rPr>
        <w:footnoteRef/>
      </w:r>
      <w:r w:rsidR="33A45F9F" w:rsidRPr="00C929C2">
        <w:rPr>
          <w:lang w:val="mi-NZ"/>
        </w:rPr>
        <w:t xml:space="preserve"> </w:t>
      </w:r>
      <w:hyperlink r:id="rId5" w:history="1">
        <w:r w:rsidR="33A45F9F" w:rsidRPr="00C929C2">
          <w:rPr>
            <w:rStyle w:val="Hyperlink"/>
            <w:lang w:val="mi-NZ"/>
          </w:rPr>
          <w:t>https://academic.oup.com/ntr/article/25/3/524/6995393</w:t>
        </w:r>
      </w:hyperlink>
    </w:p>
  </w:footnote>
  <w:footnote w:id="8">
    <w:p w14:paraId="592DD5E2" w14:textId="1855D40F" w:rsidR="00996397" w:rsidRPr="00392592" w:rsidRDefault="00996397">
      <w:pPr>
        <w:pStyle w:val="FootnoteText"/>
        <w:rPr>
          <w:lang w:val="mi-NZ"/>
        </w:rPr>
      </w:pPr>
      <w:r>
        <w:rPr>
          <w:rStyle w:val="FootnoteReference"/>
        </w:rPr>
        <w:footnoteRef/>
      </w:r>
      <w:r w:rsidR="33A45F9F" w:rsidRPr="00C929C2">
        <w:rPr>
          <w:lang w:val="mi-NZ"/>
        </w:rPr>
        <w:t xml:space="preserve"> </w:t>
      </w:r>
      <w:hyperlink r:id="rId6" w:history="1">
        <w:r w:rsidR="33A45F9F" w:rsidRPr="00C929C2">
          <w:rPr>
            <w:rStyle w:val="Hyperlink"/>
            <w:lang w:val="mi-NZ"/>
          </w:rPr>
          <w:t>https://pubmed.ncbi.nlm.nih.gov/35931419/</w:t>
        </w:r>
      </w:hyperlink>
      <w:r w:rsidR="33A45F9F" w:rsidRPr="00C929C2">
        <w:rPr>
          <w:lang w:val="mi-NZ"/>
        </w:rPr>
        <w:t xml:space="preserve"> </w:t>
      </w:r>
    </w:p>
  </w:footnote>
  <w:footnote w:id="9">
    <w:p w14:paraId="267BBEA5" w14:textId="54A87B3F" w:rsidR="00934327" w:rsidRPr="00392592" w:rsidRDefault="00934327">
      <w:pPr>
        <w:pStyle w:val="FootnoteText"/>
        <w:rPr>
          <w:lang w:val="mi-NZ"/>
        </w:rPr>
      </w:pPr>
      <w:r>
        <w:rPr>
          <w:rStyle w:val="FootnoteReference"/>
        </w:rPr>
        <w:footnoteRef/>
      </w:r>
      <w:r w:rsidR="33A45F9F" w:rsidRPr="00C929C2">
        <w:rPr>
          <w:lang w:val="mi-NZ"/>
        </w:rPr>
        <w:t xml:space="preserve"> </w:t>
      </w:r>
      <w:hyperlink r:id="rId7" w:history="1">
        <w:r w:rsidR="33A45F9F" w:rsidRPr="00C929C2">
          <w:rPr>
            <w:rStyle w:val="Hyperlink"/>
            <w:lang w:val="mi-NZ"/>
          </w:rPr>
          <w:t>https://www.ash.org.nz/2022_topline_youth_smoking_and_vaping_factsheet</w:t>
        </w:r>
      </w:hyperlink>
      <w:r w:rsidR="33A45F9F" w:rsidRPr="00C929C2">
        <w:rPr>
          <w:lang w:val="mi-NZ"/>
        </w:rPr>
        <w:t xml:space="preserve"> </w:t>
      </w:r>
    </w:p>
  </w:footnote>
  <w:footnote w:id="10">
    <w:p w14:paraId="7212ABE0" w14:textId="4FBC04D8" w:rsidR="004C7DE5" w:rsidRPr="00B27F83" w:rsidRDefault="004C7DE5">
      <w:pPr>
        <w:pStyle w:val="FootnoteText"/>
        <w:rPr>
          <w:lang w:val="mi-NZ"/>
        </w:rPr>
      </w:pPr>
      <w:r>
        <w:rPr>
          <w:rStyle w:val="FootnoteReference"/>
        </w:rPr>
        <w:footnoteRef/>
      </w:r>
      <w:r>
        <w:t xml:space="preserve"> </w:t>
      </w:r>
      <w:r w:rsidR="00E70F8F" w:rsidRPr="00B6712B">
        <w:rPr>
          <w:lang w:val="en-NZ"/>
        </w:rPr>
        <w:t xml:space="preserve">Businesses can </w:t>
      </w:r>
      <w:r w:rsidR="000749A9" w:rsidRPr="00B6712B">
        <w:rPr>
          <w:lang w:val="en-NZ"/>
        </w:rPr>
        <w:t xml:space="preserve">apply based on </w:t>
      </w:r>
      <w:r w:rsidR="00FA6FA1" w:rsidRPr="00B6712B">
        <w:rPr>
          <w:lang w:val="en-NZ"/>
        </w:rPr>
        <w:t xml:space="preserve">proposed </w:t>
      </w:r>
      <w:r w:rsidR="0092544F" w:rsidRPr="00B6712B">
        <w:rPr>
          <w:lang w:val="en-NZ"/>
        </w:rPr>
        <w:t>features and systems, so will only be liable for outlay if approved.</w:t>
      </w:r>
    </w:p>
  </w:footnote>
  <w:footnote w:id="11">
    <w:p w14:paraId="077F0E96" w14:textId="569640DC" w:rsidR="001B5E7C" w:rsidRPr="004406FD" w:rsidRDefault="001B5E7C" w:rsidP="004406FD">
      <w:pPr>
        <w:pStyle w:val="FootnoteText"/>
        <w:ind w:left="0" w:firstLine="0"/>
        <w:rPr>
          <w:szCs w:val="18"/>
          <w:lang w:val="mi-NZ"/>
        </w:rPr>
      </w:pPr>
      <w:r w:rsidRPr="005D03BB">
        <w:rPr>
          <w:rStyle w:val="FootnoteReference"/>
          <w:szCs w:val="16"/>
        </w:rPr>
        <w:footnoteRef/>
      </w:r>
      <w:r w:rsidRPr="004406FD">
        <w:rPr>
          <w:szCs w:val="18"/>
        </w:rPr>
        <w:t xml:space="preserve"> </w:t>
      </w:r>
      <w:r w:rsidRPr="004406FD">
        <w:rPr>
          <w:rFonts w:eastAsia="Calibri" w:cs="Arial"/>
          <w:szCs w:val="18"/>
        </w:rPr>
        <w:t>There may be some additional costs in relation to compliance and enforcement, however these are mainly due to changes to the primary Act, not the Regulations, or will be made easier to manage by the implementation of regulations.</w:t>
      </w:r>
    </w:p>
  </w:footnote>
  <w:footnote w:id="12">
    <w:p w14:paraId="0CC72098" w14:textId="02162963" w:rsidR="00D42527" w:rsidRPr="008C724D" w:rsidRDefault="00D42527" w:rsidP="004406FD">
      <w:pPr>
        <w:pStyle w:val="FootnoteText"/>
        <w:ind w:left="0" w:firstLine="0"/>
        <w:rPr>
          <w:szCs w:val="18"/>
          <w:lang w:val="mi-NZ"/>
        </w:rPr>
      </w:pPr>
      <w:r w:rsidRPr="005D03BB">
        <w:rPr>
          <w:rStyle w:val="FootnoteReference"/>
          <w:szCs w:val="16"/>
          <w:lang w:val="en-NZ"/>
        </w:rPr>
        <w:footnoteRef/>
      </w:r>
      <w:r w:rsidRPr="008C724D">
        <w:rPr>
          <w:szCs w:val="18"/>
          <w:lang w:val="en-NZ"/>
        </w:rPr>
        <w:t xml:space="preserve"> Any costs relating to the</w:t>
      </w:r>
      <w:r w:rsidR="00A524BB" w:rsidRPr="008C724D">
        <w:rPr>
          <w:szCs w:val="18"/>
          <w:lang w:val="en-NZ"/>
        </w:rPr>
        <w:t xml:space="preserve"> </w:t>
      </w:r>
      <w:r w:rsidR="00AD7EDD" w:rsidRPr="008C724D">
        <w:rPr>
          <w:szCs w:val="18"/>
          <w:lang w:val="en-NZ"/>
        </w:rPr>
        <w:t xml:space="preserve">overall </w:t>
      </w:r>
      <w:r w:rsidR="00A524BB" w:rsidRPr="008C724D">
        <w:rPr>
          <w:szCs w:val="18"/>
          <w:lang w:val="en-NZ"/>
        </w:rPr>
        <w:t>restriction of the number of retail outlet</w:t>
      </w:r>
      <w:r w:rsidR="00AD7EDD" w:rsidRPr="008C724D">
        <w:rPr>
          <w:szCs w:val="18"/>
          <w:lang w:val="en-NZ"/>
        </w:rPr>
        <w:t xml:space="preserve">s, or </w:t>
      </w:r>
      <w:r w:rsidR="00303837" w:rsidRPr="008C724D">
        <w:rPr>
          <w:szCs w:val="18"/>
          <w:lang w:val="en-NZ"/>
        </w:rPr>
        <w:t>low nicotine requirements introduced by pr</w:t>
      </w:r>
      <w:r w:rsidR="00995D3E" w:rsidRPr="008C724D">
        <w:rPr>
          <w:szCs w:val="18"/>
          <w:lang w:val="en-NZ"/>
        </w:rPr>
        <w:t>i</w:t>
      </w:r>
      <w:r w:rsidR="00303837" w:rsidRPr="008C724D">
        <w:rPr>
          <w:szCs w:val="18"/>
          <w:lang w:val="en-NZ"/>
        </w:rPr>
        <w:t>mary legis</w:t>
      </w:r>
      <w:r w:rsidR="004B7947" w:rsidRPr="008C724D">
        <w:rPr>
          <w:szCs w:val="18"/>
          <w:lang w:val="en-NZ"/>
        </w:rPr>
        <w:t>l</w:t>
      </w:r>
      <w:r w:rsidR="00303837" w:rsidRPr="008C724D">
        <w:rPr>
          <w:szCs w:val="18"/>
          <w:lang w:val="en-NZ"/>
        </w:rPr>
        <w:t>ation not considered</w:t>
      </w:r>
      <w:r w:rsidR="00303837" w:rsidRPr="008C724D">
        <w:rPr>
          <w:szCs w:val="18"/>
          <w:lang w:val="mi-NZ"/>
        </w:rPr>
        <w:t xml:space="preserve"> here.</w:t>
      </w:r>
    </w:p>
  </w:footnote>
  <w:footnote w:id="13">
    <w:p w14:paraId="3AD0177E" w14:textId="2BF07DD8" w:rsidR="1B502AF9" w:rsidRDefault="1B502AF9" w:rsidP="1B502AF9">
      <w:pPr>
        <w:rPr>
          <w:sz w:val="18"/>
          <w:szCs w:val="18"/>
        </w:rPr>
      </w:pPr>
      <w:r w:rsidRPr="1B502AF9">
        <w:rPr>
          <w:rStyle w:val="FootnoteReference"/>
        </w:rPr>
        <w:footnoteRef/>
      </w:r>
      <w:r>
        <w:t xml:space="preserve"> </w:t>
      </w:r>
      <w:hyperlink r:id="rId8">
        <w:r w:rsidRPr="1B502AF9">
          <w:rPr>
            <w:rStyle w:val="Hyperlink"/>
            <w:sz w:val="18"/>
            <w:szCs w:val="18"/>
          </w:rPr>
          <w:t>https://www.health.govt.nz/system/files/documents/information-release/ris-smokefree-aotearoa-action-plan-nov21.pdf</w:t>
        </w:r>
      </w:hyperlink>
      <w:r w:rsidRPr="1B502AF9">
        <w:rPr>
          <w:sz w:val="18"/>
          <w:szCs w:val="18"/>
        </w:rPr>
        <w:t xml:space="preserve"> </w:t>
      </w:r>
    </w:p>
  </w:footnote>
  <w:footnote w:id="14">
    <w:p w14:paraId="4EF10D63" w14:textId="0303714D" w:rsidR="00DE22F9" w:rsidRPr="00392592" w:rsidRDefault="00DE22F9">
      <w:pPr>
        <w:pStyle w:val="FootnoteText"/>
        <w:rPr>
          <w:lang w:val="mi-NZ"/>
        </w:rPr>
      </w:pPr>
      <w:r>
        <w:rPr>
          <w:rStyle w:val="FootnoteReference"/>
        </w:rPr>
        <w:footnoteRef/>
      </w:r>
      <w:r w:rsidR="33A45F9F" w:rsidRPr="00C929C2">
        <w:rPr>
          <w:lang w:val="mi-NZ"/>
        </w:rPr>
        <w:t xml:space="preserve"> </w:t>
      </w:r>
      <w:hyperlink r:id="rId9" w:history="1">
        <w:r w:rsidR="33A45F9F" w:rsidRPr="00C929C2">
          <w:rPr>
            <w:rStyle w:val="Hyperlink"/>
            <w:lang w:val="mi-NZ"/>
          </w:rPr>
          <w:t>https://www.health.govt.nz/system/files/documents/pages/serpa_key_dates_timeline.pdf</w:t>
        </w:r>
      </w:hyperlink>
      <w:r w:rsidR="33A45F9F" w:rsidRPr="00C929C2">
        <w:rPr>
          <w:lang w:val="mi-N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1076" w14:textId="31B427BB" w:rsidR="004B6F7D" w:rsidRDefault="004B6F7D">
    <w:pPr>
      <w:pStyle w:val="Header"/>
    </w:pPr>
  </w:p>
  <w:p w14:paraId="5B68D6FF" w14:textId="77777777" w:rsidR="006777C4" w:rsidRDefault="006777C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E0F7" w14:textId="77777777" w:rsidR="00FF04EC" w:rsidRPr="00EB1B21" w:rsidRDefault="00FF04EC" w:rsidP="00150D58">
    <w:pPr>
      <w:tabs>
        <w:tab w:val="center" w:pos="4253"/>
      </w:tabs>
      <w:spacing w:after="0"/>
      <w:rPr>
        <w:b/>
      </w:rPr>
    </w:pPr>
    <w:r>
      <w:tab/>
    </w:r>
  </w:p>
  <w:p w14:paraId="514F12DC" w14:textId="77777777" w:rsidR="00FF04EC" w:rsidRDefault="00FF04E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53CA" w14:textId="77777777" w:rsidR="00FF04EC" w:rsidRDefault="00FF04EC">
    <w:pPr>
      <w:pStyle w:val="Header"/>
    </w:pPr>
  </w:p>
  <w:p w14:paraId="081A7488" w14:textId="77777777" w:rsidR="00FF04EC" w:rsidRDefault="00FF04E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44ED" w14:textId="77777777" w:rsidR="00FF04EC" w:rsidRPr="00EB1B21" w:rsidRDefault="00FF04EC" w:rsidP="00150D58">
    <w:pPr>
      <w:tabs>
        <w:tab w:val="center" w:pos="4253"/>
      </w:tabs>
      <w:spacing w:after="0"/>
      <w:rPr>
        <w:b/>
      </w:rPr>
    </w:pPr>
    <w:r>
      <w:tab/>
    </w:r>
  </w:p>
  <w:p w14:paraId="770829E9" w14:textId="77777777" w:rsidR="00FF04EC" w:rsidRDefault="00FF04E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BF9B" w14:textId="77777777" w:rsidR="00FF04EC" w:rsidRDefault="00FF04EC">
    <w:pPr>
      <w:pStyle w:val="Header"/>
    </w:pPr>
  </w:p>
  <w:p w14:paraId="13FF458C" w14:textId="77777777" w:rsidR="00FF04EC" w:rsidRDefault="00FF04E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5418" w14:textId="77777777" w:rsidR="00FF04EC" w:rsidRPr="00EB1B21" w:rsidRDefault="00FF04EC" w:rsidP="00150D58">
    <w:pPr>
      <w:tabs>
        <w:tab w:val="center" w:pos="4253"/>
      </w:tabs>
      <w:spacing w:after="0"/>
      <w:rPr>
        <w:b/>
      </w:rPr>
    </w:pPr>
    <w:r>
      <w:tab/>
    </w:r>
  </w:p>
  <w:p w14:paraId="443AD91C" w14:textId="77777777" w:rsidR="00FF04EC" w:rsidRDefault="00FF04E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B9AA" w14:textId="77777777" w:rsidR="00FF04EC" w:rsidRDefault="00FF04EC">
    <w:pPr>
      <w:pStyle w:val="Header"/>
    </w:pPr>
  </w:p>
  <w:p w14:paraId="40F08513" w14:textId="77777777" w:rsidR="00FF04EC" w:rsidRDefault="00FF04E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5125" w14:textId="77777777" w:rsidR="00FF04EC" w:rsidRPr="00EB1B21" w:rsidRDefault="00FF04EC" w:rsidP="00150D58">
    <w:pPr>
      <w:tabs>
        <w:tab w:val="center" w:pos="4253"/>
      </w:tabs>
      <w:spacing w:after="0"/>
      <w:rPr>
        <w:b/>
      </w:rPr>
    </w:pPr>
    <w:r>
      <w:tab/>
    </w:r>
  </w:p>
  <w:p w14:paraId="2CAFB50F" w14:textId="77777777" w:rsidR="00FF04EC" w:rsidRDefault="00FF04EC"/>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7934" w14:textId="77777777" w:rsidR="00FF04EC" w:rsidRDefault="00FF04EC">
    <w:pPr>
      <w:pStyle w:val="Header"/>
    </w:pPr>
  </w:p>
  <w:p w14:paraId="2ADE922A" w14:textId="77777777" w:rsidR="00FF04EC" w:rsidRDefault="00FF04E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010A" w14:textId="77777777" w:rsidR="00FF04EC" w:rsidRPr="00EB1B21" w:rsidRDefault="00FF04EC" w:rsidP="00150D58">
    <w:pPr>
      <w:tabs>
        <w:tab w:val="center" w:pos="4253"/>
      </w:tabs>
      <w:spacing w:after="0"/>
      <w:rPr>
        <w:b/>
      </w:rPr>
    </w:pPr>
    <w:r>
      <w:tab/>
    </w:r>
  </w:p>
  <w:p w14:paraId="7F16AC34" w14:textId="77777777" w:rsidR="00FF04EC" w:rsidRDefault="00FF04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4F3F" w14:textId="6B871316" w:rsidR="006777C4" w:rsidRPr="007464DE" w:rsidRDefault="006777C4" w:rsidP="007464DE">
    <w:pPr>
      <w:tabs>
        <w:tab w:val="center" w:pos="4253"/>
      </w:tabs>
      <w:spacing w:after="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97FE" w14:textId="77777777" w:rsidR="00C930A7" w:rsidRDefault="00C930A7">
    <w:pPr>
      <w:pStyle w:val="Header"/>
    </w:pPr>
  </w:p>
  <w:p w14:paraId="7CAFA9C3" w14:textId="77777777" w:rsidR="00C930A7" w:rsidRDefault="00C930A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BFA0" w14:textId="77777777" w:rsidR="00C930A7" w:rsidRPr="00EB1B21" w:rsidRDefault="00C930A7" w:rsidP="00150D58">
    <w:pPr>
      <w:tabs>
        <w:tab w:val="center" w:pos="4253"/>
      </w:tabs>
      <w:spacing w:after="0"/>
      <w:rPr>
        <w:b/>
      </w:rPr>
    </w:pPr>
    <w:r>
      <w:tab/>
    </w:r>
  </w:p>
  <w:p w14:paraId="36B6431A" w14:textId="77777777" w:rsidR="00C930A7" w:rsidRDefault="00C930A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129F" w14:textId="77777777" w:rsidR="001471F1" w:rsidRDefault="001471F1">
    <w:pPr>
      <w:pStyle w:val="Header"/>
    </w:pPr>
  </w:p>
  <w:p w14:paraId="450931AE" w14:textId="77777777" w:rsidR="001471F1" w:rsidRDefault="001471F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396D" w14:textId="77777777" w:rsidR="001471F1" w:rsidRPr="00EB1B21" w:rsidRDefault="001471F1" w:rsidP="00150D58">
    <w:pPr>
      <w:tabs>
        <w:tab w:val="center" w:pos="4253"/>
      </w:tabs>
      <w:spacing w:after="0"/>
      <w:rPr>
        <w:b/>
      </w:rPr>
    </w:pPr>
    <w:r>
      <w:tab/>
    </w:r>
  </w:p>
  <w:p w14:paraId="6A2CE196" w14:textId="77777777" w:rsidR="001471F1" w:rsidRDefault="001471F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597B" w14:textId="77777777" w:rsidR="00663931" w:rsidRDefault="00663931">
    <w:pPr>
      <w:pStyle w:val="Header"/>
    </w:pPr>
  </w:p>
  <w:p w14:paraId="7F8D6BB1" w14:textId="77777777" w:rsidR="00663931" w:rsidRDefault="0066393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17DF" w14:textId="77777777" w:rsidR="00663931" w:rsidRPr="00EB1B21" w:rsidRDefault="00663931" w:rsidP="3B533FDE">
    <w:pPr>
      <w:tabs>
        <w:tab w:val="center" w:pos="4253"/>
      </w:tabs>
      <w:spacing w:after="0"/>
      <w:rPr>
        <w:b/>
        <w:bCs/>
      </w:rPr>
    </w:pPr>
  </w:p>
  <w:p w14:paraId="033A8854" w14:textId="77777777" w:rsidR="00663931" w:rsidRDefault="0066393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8DA4" w14:textId="77777777" w:rsidR="00FF04EC" w:rsidRDefault="00FF04EC">
    <w:pPr>
      <w:pStyle w:val="Header"/>
    </w:pPr>
  </w:p>
  <w:p w14:paraId="5288A033" w14:textId="77777777" w:rsidR="00FF04EC" w:rsidRDefault="00FF04EC"/>
</w:hdr>
</file>

<file path=word/intelligence2.xml><?xml version="1.0" encoding="utf-8"?>
<int2:intelligence xmlns:int2="http://schemas.microsoft.com/office/intelligence/2020/intelligence" xmlns:oel="http://schemas.microsoft.com/office/2019/extlst">
  <int2:observations>
    <int2:textHash int2:hashCode="O5DtRPhDWkugWY" int2:id="PFM4fSAD">
      <int2:state int2:value="Rejected" int2:type="LegacyProofing"/>
    </int2:textHash>
    <int2:bookmark int2:bookmarkName="_Int_9QuG7dOl" int2:invalidationBookmarkName="" int2:hashCode="MPCI6mZzh3wuLB" int2:id="4li9z7f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D41"/>
    <w:multiLevelType w:val="hybridMultilevel"/>
    <w:tmpl w:val="382C61E6"/>
    <w:lvl w:ilvl="0" w:tplc="FFFFFFFF">
      <w:start w:val="1"/>
      <w:numFmt w:val="bullet"/>
      <w:pStyle w:val="spacer"/>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8016F0"/>
    <w:multiLevelType w:val="hybridMultilevel"/>
    <w:tmpl w:val="C4F460CE"/>
    <w:lvl w:ilvl="0" w:tplc="3ED4DB16">
      <w:start w:val="1"/>
      <w:numFmt w:val="bullet"/>
      <w:lvlText w:val=""/>
      <w:lvlJc w:val="left"/>
      <w:pPr>
        <w:ind w:left="720" w:hanging="360"/>
      </w:pPr>
      <w:rPr>
        <w:rFonts w:ascii="Symbol" w:hAnsi="Symbol" w:hint="default"/>
      </w:rPr>
    </w:lvl>
    <w:lvl w:ilvl="1" w:tplc="543CFE1E">
      <w:start w:val="1"/>
      <w:numFmt w:val="bullet"/>
      <w:lvlText w:val="o"/>
      <w:lvlJc w:val="left"/>
      <w:pPr>
        <w:ind w:left="1440" w:hanging="360"/>
      </w:pPr>
      <w:rPr>
        <w:rFonts w:ascii="Courier New" w:hAnsi="Courier New" w:hint="default"/>
      </w:rPr>
    </w:lvl>
    <w:lvl w:ilvl="2" w:tplc="61021214">
      <w:start w:val="1"/>
      <w:numFmt w:val="bullet"/>
      <w:lvlText w:val=""/>
      <w:lvlJc w:val="left"/>
      <w:pPr>
        <w:ind w:left="2160" w:hanging="360"/>
      </w:pPr>
      <w:rPr>
        <w:rFonts w:ascii="Wingdings" w:hAnsi="Wingdings" w:hint="default"/>
      </w:rPr>
    </w:lvl>
    <w:lvl w:ilvl="3" w:tplc="113EF9BE">
      <w:start w:val="1"/>
      <w:numFmt w:val="bullet"/>
      <w:lvlText w:val=""/>
      <w:lvlJc w:val="left"/>
      <w:pPr>
        <w:ind w:left="2880" w:hanging="360"/>
      </w:pPr>
      <w:rPr>
        <w:rFonts w:ascii="Symbol" w:hAnsi="Symbol" w:hint="default"/>
      </w:rPr>
    </w:lvl>
    <w:lvl w:ilvl="4" w:tplc="9E7436E8">
      <w:start w:val="1"/>
      <w:numFmt w:val="bullet"/>
      <w:lvlText w:val="o"/>
      <w:lvlJc w:val="left"/>
      <w:pPr>
        <w:ind w:left="3600" w:hanging="360"/>
      </w:pPr>
      <w:rPr>
        <w:rFonts w:ascii="Courier New" w:hAnsi="Courier New" w:hint="default"/>
      </w:rPr>
    </w:lvl>
    <w:lvl w:ilvl="5" w:tplc="C4C2C708">
      <w:start w:val="1"/>
      <w:numFmt w:val="bullet"/>
      <w:lvlText w:val=""/>
      <w:lvlJc w:val="left"/>
      <w:pPr>
        <w:ind w:left="4320" w:hanging="360"/>
      </w:pPr>
      <w:rPr>
        <w:rFonts w:ascii="Wingdings" w:hAnsi="Wingdings" w:hint="default"/>
      </w:rPr>
    </w:lvl>
    <w:lvl w:ilvl="6" w:tplc="F9C8F4E8">
      <w:start w:val="1"/>
      <w:numFmt w:val="bullet"/>
      <w:lvlText w:val=""/>
      <w:lvlJc w:val="left"/>
      <w:pPr>
        <w:ind w:left="5040" w:hanging="360"/>
      </w:pPr>
      <w:rPr>
        <w:rFonts w:ascii="Symbol" w:hAnsi="Symbol" w:hint="default"/>
      </w:rPr>
    </w:lvl>
    <w:lvl w:ilvl="7" w:tplc="01F806CE">
      <w:start w:val="1"/>
      <w:numFmt w:val="bullet"/>
      <w:lvlText w:val="o"/>
      <w:lvlJc w:val="left"/>
      <w:pPr>
        <w:ind w:left="5760" w:hanging="360"/>
      </w:pPr>
      <w:rPr>
        <w:rFonts w:ascii="Courier New" w:hAnsi="Courier New" w:hint="default"/>
      </w:rPr>
    </w:lvl>
    <w:lvl w:ilvl="8" w:tplc="78409248">
      <w:start w:val="1"/>
      <w:numFmt w:val="bullet"/>
      <w:lvlText w:val=""/>
      <w:lvlJc w:val="left"/>
      <w:pPr>
        <w:ind w:left="6480" w:hanging="360"/>
      </w:pPr>
      <w:rPr>
        <w:rFonts w:ascii="Wingdings" w:hAnsi="Wingdings" w:hint="default"/>
      </w:rPr>
    </w:lvl>
  </w:abstractNum>
  <w:abstractNum w:abstractNumId="2" w15:restartNumberingAfterBreak="0">
    <w:nsid w:val="0DE952A5"/>
    <w:multiLevelType w:val="hybridMultilevel"/>
    <w:tmpl w:val="C27CB4B6"/>
    <w:lvl w:ilvl="0" w:tplc="1BC47C18">
      <w:start w:val="1"/>
      <w:numFmt w:val="bullet"/>
      <w:lvlText w:val=""/>
      <w:lvlJc w:val="left"/>
      <w:pPr>
        <w:ind w:left="720" w:hanging="360"/>
      </w:pPr>
      <w:rPr>
        <w:rFonts w:ascii="Symbol" w:hAnsi="Symbol" w:hint="default"/>
      </w:rPr>
    </w:lvl>
    <w:lvl w:ilvl="1" w:tplc="477A70C2">
      <w:start w:val="1"/>
      <w:numFmt w:val="bullet"/>
      <w:lvlText w:val="o"/>
      <w:lvlJc w:val="left"/>
      <w:pPr>
        <w:ind w:left="1440" w:hanging="360"/>
      </w:pPr>
      <w:rPr>
        <w:rFonts w:ascii="Courier New" w:hAnsi="Courier New" w:hint="default"/>
      </w:rPr>
    </w:lvl>
    <w:lvl w:ilvl="2" w:tplc="5568F104">
      <w:start w:val="1"/>
      <w:numFmt w:val="bullet"/>
      <w:lvlText w:val=""/>
      <w:lvlJc w:val="left"/>
      <w:pPr>
        <w:ind w:left="2160" w:hanging="360"/>
      </w:pPr>
      <w:rPr>
        <w:rFonts w:ascii="Wingdings" w:hAnsi="Wingdings" w:hint="default"/>
      </w:rPr>
    </w:lvl>
    <w:lvl w:ilvl="3" w:tplc="B6FA4B4E">
      <w:start w:val="1"/>
      <w:numFmt w:val="bullet"/>
      <w:lvlText w:val=""/>
      <w:lvlJc w:val="left"/>
      <w:pPr>
        <w:ind w:left="2880" w:hanging="360"/>
      </w:pPr>
      <w:rPr>
        <w:rFonts w:ascii="Symbol" w:hAnsi="Symbol" w:hint="default"/>
      </w:rPr>
    </w:lvl>
    <w:lvl w:ilvl="4" w:tplc="8000196A">
      <w:start w:val="1"/>
      <w:numFmt w:val="bullet"/>
      <w:lvlText w:val="o"/>
      <w:lvlJc w:val="left"/>
      <w:pPr>
        <w:ind w:left="3600" w:hanging="360"/>
      </w:pPr>
      <w:rPr>
        <w:rFonts w:ascii="Courier New" w:hAnsi="Courier New" w:hint="default"/>
      </w:rPr>
    </w:lvl>
    <w:lvl w:ilvl="5" w:tplc="42041A34">
      <w:start w:val="1"/>
      <w:numFmt w:val="bullet"/>
      <w:lvlText w:val=""/>
      <w:lvlJc w:val="left"/>
      <w:pPr>
        <w:ind w:left="4320" w:hanging="360"/>
      </w:pPr>
      <w:rPr>
        <w:rFonts w:ascii="Wingdings" w:hAnsi="Wingdings" w:hint="default"/>
      </w:rPr>
    </w:lvl>
    <w:lvl w:ilvl="6" w:tplc="B60692E8">
      <w:start w:val="1"/>
      <w:numFmt w:val="bullet"/>
      <w:lvlText w:val=""/>
      <w:lvlJc w:val="left"/>
      <w:pPr>
        <w:ind w:left="5040" w:hanging="360"/>
      </w:pPr>
      <w:rPr>
        <w:rFonts w:ascii="Symbol" w:hAnsi="Symbol" w:hint="default"/>
      </w:rPr>
    </w:lvl>
    <w:lvl w:ilvl="7" w:tplc="3A6A73FC">
      <w:start w:val="1"/>
      <w:numFmt w:val="bullet"/>
      <w:lvlText w:val="o"/>
      <w:lvlJc w:val="left"/>
      <w:pPr>
        <w:ind w:left="5760" w:hanging="360"/>
      </w:pPr>
      <w:rPr>
        <w:rFonts w:ascii="Courier New" w:hAnsi="Courier New" w:hint="default"/>
      </w:rPr>
    </w:lvl>
    <w:lvl w:ilvl="8" w:tplc="022235D8">
      <w:start w:val="1"/>
      <w:numFmt w:val="bullet"/>
      <w:lvlText w:val=""/>
      <w:lvlJc w:val="left"/>
      <w:pPr>
        <w:ind w:left="6480" w:hanging="360"/>
      </w:pPr>
      <w:rPr>
        <w:rFonts w:ascii="Wingdings" w:hAnsi="Wingdings" w:hint="default"/>
      </w:rPr>
    </w:lvl>
  </w:abstractNum>
  <w:abstractNum w:abstractNumId="3" w15:restartNumberingAfterBreak="0">
    <w:nsid w:val="0E520E41"/>
    <w:multiLevelType w:val="hybridMultilevel"/>
    <w:tmpl w:val="B24803F4"/>
    <w:lvl w:ilvl="0" w:tplc="77124C7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5D2E416"/>
    <w:multiLevelType w:val="hybridMultilevel"/>
    <w:tmpl w:val="738AE45A"/>
    <w:lvl w:ilvl="0" w:tplc="CF848574">
      <w:start w:val="1"/>
      <w:numFmt w:val="bullet"/>
      <w:lvlText w:val=""/>
      <w:lvlJc w:val="left"/>
      <w:pPr>
        <w:ind w:left="720" w:hanging="360"/>
      </w:pPr>
      <w:rPr>
        <w:rFonts w:ascii="Symbol" w:hAnsi="Symbol" w:hint="default"/>
      </w:rPr>
    </w:lvl>
    <w:lvl w:ilvl="1" w:tplc="41782ACE">
      <w:start w:val="1"/>
      <w:numFmt w:val="bullet"/>
      <w:lvlText w:val="o"/>
      <w:lvlJc w:val="left"/>
      <w:pPr>
        <w:ind w:left="1440" w:hanging="360"/>
      </w:pPr>
      <w:rPr>
        <w:rFonts w:ascii="Courier New" w:hAnsi="Courier New" w:hint="default"/>
      </w:rPr>
    </w:lvl>
    <w:lvl w:ilvl="2" w:tplc="A3B49872">
      <w:start w:val="1"/>
      <w:numFmt w:val="bullet"/>
      <w:lvlText w:val=""/>
      <w:lvlJc w:val="left"/>
      <w:pPr>
        <w:ind w:left="2160" w:hanging="360"/>
      </w:pPr>
      <w:rPr>
        <w:rFonts w:ascii="Wingdings" w:hAnsi="Wingdings" w:hint="default"/>
      </w:rPr>
    </w:lvl>
    <w:lvl w:ilvl="3" w:tplc="BBD4504C">
      <w:start w:val="1"/>
      <w:numFmt w:val="bullet"/>
      <w:lvlText w:val=""/>
      <w:lvlJc w:val="left"/>
      <w:pPr>
        <w:ind w:left="2880" w:hanging="360"/>
      </w:pPr>
      <w:rPr>
        <w:rFonts w:ascii="Symbol" w:hAnsi="Symbol" w:hint="default"/>
      </w:rPr>
    </w:lvl>
    <w:lvl w:ilvl="4" w:tplc="F3BC152C">
      <w:start w:val="1"/>
      <w:numFmt w:val="bullet"/>
      <w:lvlText w:val="o"/>
      <w:lvlJc w:val="left"/>
      <w:pPr>
        <w:ind w:left="3600" w:hanging="360"/>
      </w:pPr>
      <w:rPr>
        <w:rFonts w:ascii="Courier New" w:hAnsi="Courier New" w:hint="default"/>
      </w:rPr>
    </w:lvl>
    <w:lvl w:ilvl="5" w:tplc="A9383526">
      <w:start w:val="1"/>
      <w:numFmt w:val="bullet"/>
      <w:lvlText w:val=""/>
      <w:lvlJc w:val="left"/>
      <w:pPr>
        <w:ind w:left="4320" w:hanging="360"/>
      </w:pPr>
      <w:rPr>
        <w:rFonts w:ascii="Wingdings" w:hAnsi="Wingdings" w:hint="default"/>
      </w:rPr>
    </w:lvl>
    <w:lvl w:ilvl="6" w:tplc="3DE6EBA8">
      <w:start w:val="1"/>
      <w:numFmt w:val="bullet"/>
      <w:lvlText w:val=""/>
      <w:lvlJc w:val="left"/>
      <w:pPr>
        <w:ind w:left="5040" w:hanging="360"/>
      </w:pPr>
      <w:rPr>
        <w:rFonts w:ascii="Symbol" w:hAnsi="Symbol" w:hint="default"/>
      </w:rPr>
    </w:lvl>
    <w:lvl w:ilvl="7" w:tplc="19AAEE8A">
      <w:start w:val="1"/>
      <w:numFmt w:val="bullet"/>
      <w:lvlText w:val="o"/>
      <w:lvlJc w:val="left"/>
      <w:pPr>
        <w:ind w:left="5760" w:hanging="360"/>
      </w:pPr>
      <w:rPr>
        <w:rFonts w:ascii="Courier New" w:hAnsi="Courier New" w:hint="default"/>
      </w:rPr>
    </w:lvl>
    <w:lvl w:ilvl="8" w:tplc="B074FA68">
      <w:start w:val="1"/>
      <w:numFmt w:val="bullet"/>
      <w:lvlText w:val=""/>
      <w:lvlJc w:val="left"/>
      <w:pPr>
        <w:ind w:left="6480" w:hanging="360"/>
      </w:pPr>
      <w:rPr>
        <w:rFonts w:ascii="Wingdings" w:hAnsi="Wingdings" w:hint="default"/>
      </w:rPr>
    </w:lvl>
  </w:abstractNum>
  <w:abstractNum w:abstractNumId="5" w15:restartNumberingAfterBreak="0">
    <w:nsid w:val="23DC7796"/>
    <w:multiLevelType w:val="multilevel"/>
    <w:tmpl w:val="53901260"/>
    <w:lvl w:ilvl="0">
      <w:start w:val="1"/>
      <w:numFmt w:val="decimal"/>
      <w:pStyle w:val="Number"/>
      <w:lvlText w:val="%1."/>
      <w:lvlJc w:val="left"/>
      <w:pPr>
        <w:ind w:left="567" w:hanging="567"/>
      </w:pPr>
      <w:rPr>
        <w:b w:val="0"/>
        <w:i w:val="0"/>
      </w:rPr>
    </w:lvl>
    <w:lvl w:ilvl="1">
      <w:start w:val="1"/>
      <w:numFmt w:val="lowerLetter"/>
      <w:pStyle w:val="Letter"/>
      <w:lvlText w:val="%2."/>
      <w:lvlJc w:val="left"/>
      <w:pPr>
        <w:ind w:left="-4963" w:hanging="567"/>
      </w:pPr>
      <w:rPr>
        <w:rFonts w:hint="default"/>
        <w:b w:val="0"/>
        <w:i w:val="0"/>
      </w:rPr>
    </w:lvl>
    <w:lvl w:ilvl="2">
      <w:start w:val="1"/>
      <w:numFmt w:val="lowerRoman"/>
      <w:pStyle w:val="Roman"/>
      <w:lvlText w:val="%3."/>
      <w:lvlJc w:val="left"/>
      <w:pPr>
        <w:ind w:left="-4396" w:hanging="567"/>
      </w:pPr>
      <w:rPr>
        <w:rFonts w:hint="default"/>
      </w:rPr>
    </w:lvl>
    <w:lvl w:ilvl="3">
      <w:start w:val="1"/>
      <w:numFmt w:val="decimal"/>
      <w:lvlText w:val="(%4)"/>
      <w:lvlJc w:val="left"/>
      <w:pPr>
        <w:ind w:left="-4657" w:hanging="360"/>
      </w:pPr>
      <w:rPr>
        <w:rFonts w:hint="default"/>
      </w:rPr>
    </w:lvl>
    <w:lvl w:ilvl="4">
      <w:start w:val="1"/>
      <w:numFmt w:val="lowerLetter"/>
      <w:lvlText w:val="(%5)"/>
      <w:lvlJc w:val="left"/>
      <w:pPr>
        <w:ind w:left="-4297" w:hanging="360"/>
      </w:pPr>
      <w:rPr>
        <w:rFonts w:hint="default"/>
      </w:rPr>
    </w:lvl>
    <w:lvl w:ilvl="5">
      <w:start w:val="1"/>
      <w:numFmt w:val="lowerRoman"/>
      <w:lvlText w:val="(%6)"/>
      <w:lvlJc w:val="left"/>
      <w:pPr>
        <w:ind w:left="-3937" w:hanging="360"/>
      </w:pPr>
      <w:rPr>
        <w:rFonts w:hint="default"/>
      </w:rPr>
    </w:lvl>
    <w:lvl w:ilvl="6">
      <w:start w:val="1"/>
      <w:numFmt w:val="decimal"/>
      <w:lvlText w:val="%7."/>
      <w:lvlJc w:val="left"/>
      <w:pPr>
        <w:ind w:left="-3577" w:hanging="360"/>
      </w:pPr>
      <w:rPr>
        <w:rFonts w:hint="default"/>
      </w:rPr>
    </w:lvl>
    <w:lvl w:ilvl="7">
      <w:start w:val="1"/>
      <w:numFmt w:val="lowerLetter"/>
      <w:lvlText w:val="%8."/>
      <w:lvlJc w:val="left"/>
      <w:pPr>
        <w:ind w:left="-3217" w:hanging="360"/>
      </w:pPr>
      <w:rPr>
        <w:rFonts w:hint="default"/>
      </w:rPr>
    </w:lvl>
    <w:lvl w:ilvl="8">
      <w:start w:val="1"/>
      <w:numFmt w:val="lowerRoman"/>
      <w:lvlText w:val="%9."/>
      <w:lvlJc w:val="left"/>
      <w:pPr>
        <w:ind w:left="-2857" w:hanging="360"/>
      </w:pPr>
      <w:rPr>
        <w:rFonts w:hint="default"/>
      </w:rPr>
    </w:lvl>
  </w:abstractNum>
  <w:abstractNum w:abstractNumId="6" w15:restartNumberingAfterBreak="0">
    <w:nsid w:val="27FDB169"/>
    <w:multiLevelType w:val="hybridMultilevel"/>
    <w:tmpl w:val="8292B87E"/>
    <w:lvl w:ilvl="0" w:tplc="51EE9796">
      <w:start w:val="1"/>
      <w:numFmt w:val="bullet"/>
      <w:lvlText w:val=""/>
      <w:lvlJc w:val="left"/>
      <w:pPr>
        <w:ind w:left="720" w:hanging="360"/>
      </w:pPr>
      <w:rPr>
        <w:rFonts w:ascii="Symbol" w:hAnsi="Symbol" w:hint="default"/>
      </w:rPr>
    </w:lvl>
    <w:lvl w:ilvl="1" w:tplc="F392A86A">
      <w:start w:val="1"/>
      <w:numFmt w:val="bullet"/>
      <w:lvlText w:val="o"/>
      <w:lvlJc w:val="left"/>
      <w:pPr>
        <w:ind w:left="1440" w:hanging="360"/>
      </w:pPr>
      <w:rPr>
        <w:rFonts w:ascii="Courier New" w:hAnsi="Courier New" w:hint="default"/>
      </w:rPr>
    </w:lvl>
    <w:lvl w:ilvl="2" w:tplc="5DA01BFC">
      <w:start w:val="1"/>
      <w:numFmt w:val="bullet"/>
      <w:lvlText w:val=""/>
      <w:lvlJc w:val="left"/>
      <w:pPr>
        <w:ind w:left="2160" w:hanging="360"/>
      </w:pPr>
      <w:rPr>
        <w:rFonts w:ascii="Wingdings" w:hAnsi="Wingdings" w:hint="default"/>
      </w:rPr>
    </w:lvl>
    <w:lvl w:ilvl="3" w:tplc="F36AB1E4">
      <w:start w:val="1"/>
      <w:numFmt w:val="bullet"/>
      <w:lvlText w:val=""/>
      <w:lvlJc w:val="left"/>
      <w:pPr>
        <w:ind w:left="2880" w:hanging="360"/>
      </w:pPr>
      <w:rPr>
        <w:rFonts w:ascii="Symbol" w:hAnsi="Symbol" w:hint="default"/>
      </w:rPr>
    </w:lvl>
    <w:lvl w:ilvl="4" w:tplc="07301C92">
      <w:start w:val="1"/>
      <w:numFmt w:val="bullet"/>
      <w:lvlText w:val="o"/>
      <w:lvlJc w:val="left"/>
      <w:pPr>
        <w:ind w:left="3600" w:hanging="360"/>
      </w:pPr>
      <w:rPr>
        <w:rFonts w:ascii="Courier New" w:hAnsi="Courier New" w:hint="default"/>
      </w:rPr>
    </w:lvl>
    <w:lvl w:ilvl="5" w:tplc="503EE41C">
      <w:start w:val="1"/>
      <w:numFmt w:val="bullet"/>
      <w:lvlText w:val=""/>
      <w:lvlJc w:val="left"/>
      <w:pPr>
        <w:ind w:left="4320" w:hanging="360"/>
      </w:pPr>
      <w:rPr>
        <w:rFonts w:ascii="Wingdings" w:hAnsi="Wingdings" w:hint="default"/>
      </w:rPr>
    </w:lvl>
    <w:lvl w:ilvl="6" w:tplc="884431F2">
      <w:start w:val="1"/>
      <w:numFmt w:val="bullet"/>
      <w:lvlText w:val=""/>
      <w:lvlJc w:val="left"/>
      <w:pPr>
        <w:ind w:left="5040" w:hanging="360"/>
      </w:pPr>
      <w:rPr>
        <w:rFonts w:ascii="Symbol" w:hAnsi="Symbol" w:hint="default"/>
      </w:rPr>
    </w:lvl>
    <w:lvl w:ilvl="7" w:tplc="9D6EF788">
      <w:start w:val="1"/>
      <w:numFmt w:val="bullet"/>
      <w:lvlText w:val="o"/>
      <w:lvlJc w:val="left"/>
      <w:pPr>
        <w:ind w:left="5760" w:hanging="360"/>
      </w:pPr>
      <w:rPr>
        <w:rFonts w:ascii="Courier New" w:hAnsi="Courier New" w:hint="default"/>
      </w:rPr>
    </w:lvl>
    <w:lvl w:ilvl="8" w:tplc="D0920CA6">
      <w:start w:val="1"/>
      <w:numFmt w:val="bullet"/>
      <w:lvlText w:val=""/>
      <w:lvlJc w:val="left"/>
      <w:pPr>
        <w:ind w:left="6480" w:hanging="360"/>
      </w:pPr>
      <w:rPr>
        <w:rFonts w:ascii="Wingdings" w:hAnsi="Wingdings" w:hint="default"/>
      </w:rPr>
    </w:lvl>
  </w:abstractNum>
  <w:abstractNum w:abstractNumId="7" w15:restartNumberingAfterBreak="0">
    <w:nsid w:val="2BED818B"/>
    <w:multiLevelType w:val="hybridMultilevel"/>
    <w:tmpl w:val="895AB206"/>
    <w:lvl w:ilvl="0" w:tplc="2F1CC134">
      <w:start w:val="1"/>
      <w:numFmt w:val="bullet"/>
      <w:lvlText w:val=""/>
      <w:lvlJc w:val="left"/>
      <w:pPr>
        <w:ind w:left="720" w:hanging="360"/>
      </w:pPr>
      <w:rPr>
        <w:rFonts w:ascii="Symbol" w:hAnsi="Symbol" w:hint="default"/>
      </w:rPr>
    </w:lvl>
    <w:lvl w:ilvl="1" w:tplc="58426BAE">
      <w:start w:val="1"/>
      <w:numFmt w:val="bullet"/>
      <w:lvlText w:val="o"/>
      <w:lvlJc w:val="left"/>
      <w:pPr>
        <w:ind w:left="1440" w:hanging="360"/>
      </w:pPr>
      <w:rPr>
        <w:rFonts w:ascii="Courier New" w:hAnsi="Courier New" w:hint="default"/>
      </w:rPr>
    </w:lvl>
    <w:lvl w:ilvl="2" w:tplc="74F459DC">
      <w:start w:val="1"/>
      <w:numFmt w:val="bullet"/>
      <w:lvlText w:val=""/>
      <w:lvlJc w:val="left"/>
      <w:pPr>
        <w:ind w:left="2160" w:hanging="360"/>
      </w:pPr>
      <w:rPr>
        <w:rFonts w:ascii="Wingdings" w:hAnsi="Wingdings" w:hint="default"/>
      </w:rPr>
    </w:lvl>
    <w:lvl w:ilvl="3" w:tplc="BA920B7A">
      <w:start w:val="1"/>
      <w:numFmt w:val="bullet"/>
      <w:lvlText w:val=""/>
      <w:lvlJc w:val="left"/>
      <w:pPr>
        <w:ind w:left="2880" w:hanging="360"/>
      </w:pPr>
      <w:rPr>
        <w:rFonts w:ascii="Symbol" w:hAnsi="Symbol" w:hint="default"/>
      </w:rPr>
    </w:lvl>
    <w:lvl w:ilvl="4" w:tplc="C638F1B4">
      <w:start w:val="1"/>
      <w:numFmt w:val="bullet"/>
      <w:lvlText w:val="o"/>
      <w:lvlJc w:val="left"/>
      <w:pPr>
        <w:ind w:left="3600" w:hanging="360"/>
      </w:pPr>
      <w:rPr>
        <w:rFonts w:ascii="Courier New" w:hAnsi="Courier New" w:hint="default"/>
      </w:rPr>
    </w:lvl>
    <w:lvl w:ilvl="5" w:tplc="331064F0">
      <w:start w:val="1"/>
      <w:numFmt w:val="bullet"/>
      <w:lvlText w:val=""/>
      <w:lvlJc w:val="left"/>
      <w:pPr>
        <w:ind w:left="4320" w:hanging="360"/>
      </w:pPr>
      <w:rPr>
        <w:rFonts w:ascii="Wingdings" w:hAnsi="Wingdings" w:hint="default"/>
      </w:rPr>
    </w:lvl>
    <w:lvl w:ilvl="6" w:tplc="AD24D34C">
      <w:start w:val="1"/>
      <w:numFmt w:val="bullet"/>
      <w:lvlText w:val=""/>
      <w:lvlJc w:val="left"/>
      <w:pPr>
        <w:ind w:left="5040" w:hanging="360"/>
      </w:pPr>
      <w:rPr>
        <w:rFonts w:ascii="Symbol" w:hAnsi="Symbol" w:hint="default"/>
      </w:rPr>
    </w:lvl>
    <w:lvl w:ilvl="7" w:tplc="940C3928">
      <w:start w:val="1"/>
      <w:numFmt w:val="bullet"/>
      <w:lvlText w:val="o"/>
      <w:lvlJc w:val="left"/>
      <w:pPr>
        <w:ind w:left="5760" w:hanging="360"/>
      </w:pPr>
      <w:rPr>
        <w:rFonts w:ascii="Courier New" w:hAnsi="Courier New" w:hint="default"/>
      </w:rPr>
    </w:lvl>
    <w:lvl w:ilvl="8" w:tplc="46E402EC">
      <w:start w:val="1"/>
      <w:numFmt w:val="bullet"/>
      <w:lvlText w:val=""/>
      <w:lvlJc w:val="left"/>
      <w:pPr>
        <w:ind w:left="6480" w:hanging="360"/>
      </w:pPr>
      <w:rPr>
        <w:rFonts w:ascii="Wingdings" w:hAnsi="Wingdings" w:hint="default"/>
      </w:rPr>
    </w:lvl>
  </w:abstractNum>
  <w:abstractNum w:abstractNumId="8" w15:restartNumberingAfterBreak="0">
    <w:nsid w:val="2D6AB399"/>
    <w:multiLevelType w:val="multilevel"/>
    <w:tmpl w:val="541E99E2"/>
    <w:styleLink w:val="Recommendations"/>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9" w15:restartNumberingAfterBreak="0">
    <w:nsid w:val="3174597C"/>
    <w:multiLevelType w:val="multilevel"/>
    <w:tmpl w:val="793203CA"/>
    <w:lvl w:ilvl="0">
      <w:start w:val="1"/>
      <w:numFmt w:val="decimal"/>
      <w:pStyle w:val="ReportBody-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0" w15:restartNumberingAfterBreak="0">
    <w:nsid w:val="31944732"/>
    <w:multiLevelType w:val="hybridMultilevel"/>
    <w:tmpl w:val="262811CC"/>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2" w15:restartNumberingAfterBreak="0">
    <w:nsid w:val="3539082D"/>
    <w:multiLevelType w:val="hybridMultilevel"/>
    <w:tmpl w:val="B30C4CCA"/>
    <w:lvl w:ilvl="0" w:tplc="6C0C79D2">
      <w:start w:val="1"/>
      <w:numFmt w:val="bullet"/>
      <w:pStyle w:val="Table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8DE5A8D"/>
    <w:multiLevelType w:val="hybridMultilevel"/>
    <w:tmpl w:val="1BE440D0"/>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B7C2EDB"/>
    <w:multiLevelType w:val="hybridMultilevel"/>
    <w:tmpl w:val="1C74FCA8"/>
    <w:lvl w:ilvl="0" w:tplc="79D8CE0E">
      <w:start w:val="1"/>
      <w:numFmt w:val="bullet"/>
      <w:lvlText w:val=""/>
      <w:lvlJc w:val="left"/>
      <w:pPr>
        <w:ind w:left="720" w:hanging="360"/>
      </w:pPr>
      <w:rPr>
        <w:rFonts w:ascii="Symbol" w:hAnsi="Symbol" w:hint="default"/>
      </w:rPr>
    </w:lvl>
    <w:lvl w:ilvl="1" w:tplc="823E0316">
      <w:start w:val="1"/>
      <w:numFmt w:val="bullet"/>
      <w:lvlText w:val="o"/>
      <w:lvlJc w:val="left"/>
      <w:pPr>
        <w:ind w:left="1440" w:hanging="360"/>
      </w:pPr>
      <w:rPr>
        <w:rFonts w:ascii="Courier New" w:hAnsi="Courier New" w:hint="default"/>
      </w:rPr>
    </w:lvl>
    <w:lvl w:ilvl="2" w:tplc="D4BEF944">
      <w:start w:val="1"/>
      <w:numFmt w:val="bullet"/>
      <w:lvlText w:val=""/>
      <w:lvlJc w:val="left"/>
      <w:pPr>
        <w:ind w:left="2160" w:hanging="360"/>
      </w:pPr>
      <w:rPr>
        <w:rFonts w:ascii="Wingdings" w:hAnsi="Wingdings" w:hint="default"/>
      </w:rPr>
    </w:lvl>
    <w:lvl w:ilvl="3" w:tplc="704CAFD6">
      <w:start w:val="1"/>
      <w:numFmt w:val="bullet"/>
      <w:lvlText w:val=""/>
      <w:lvlJc w:val="left"/>
      <w:pPr>
        <w:ind w:left="2880" w:hanging="360"/>
      </w:pPr>
      <w:rPr>
        <w:rFonts w:ascii="Symbol" w:hAnsi="Symbol" w:hint="default"/>
      </w:rPr>
    </w:lvl>
    <w:lvl w:ilvl="4" w:tplc="19F673D0">
      <w:start w:val="1"/>
      <w:numFmt w:val="bullet"/>
      <w:lvlText w:val="o"/>
      <w:lvlJc w:val="left"/>
      <w:pPr>
        <w:ind w:left="3600" w:hanging="360"/>
      </w:pPr>
      <w:rPr>
        <w:rFonts w:ascii="Courier New" w:hAnsi="Courier New" w:hint="default"/>
      </w:rPr>
    </w:lvl>
    <w:lvl w:ilvl="5" w:tplc="86C6C954">
      <w:start w:val="1"/>
      <w:numFmt w:val="bullet"/>
      <w:lvlText w:val=""/>
      <w:lvlJc w:val="left"/>
      <w:pPr>
        <w:ind w:left="4320" w:hanging="360"/>
      </w:pPr>
      <w:rPr>
        <w:rFonts w:ascii="Wingdings" w:hAnsi="Wingdings" w:hint="default"/>
      </w:rPr>
    </w:lvl>
    <w:lvl w:ilvl="6" w:tplc="39E67B00">
      <w:start w:val="1"/>
      <w:numFmt w:val="bullet"/>
      <w:lvlText w:val=""/>
      <w:lvlJc w:val="left"/>
      <w:pPr>
        <w:ind w:left="5040" w:hanging="360"/>
      </w:pPr>
      <w:rPr>
        <w:rFonts w:ascii="Symbol" w:hAnsi="Symbol" w:hint="default"/>
      </w:rPr>
    </w:lvl>
    <w:lvl w:ilvl="7" w:tplc="137E2E46">
      <w:start w:val="1"/>
      <w:numFmt w:val="bullet"/>
      <w:lvlText w:val="o"/>
      <w:lvlJc w:val="left"/>
      <w:pPr>
        <w:ind w:left="5760" w:hanging="360"/>
      </w:pPr>
      <w:rPr>
        <w:rFonts w:ascii="Courier New" w:hAnsi="Courier New" w:hint="default"/>
      </w:rPr>
    </w:lvl>
    <w:lvl w:ilvl="8" w:tplc="8CECCC20">
      <w:start w:val="1"/>
      <w:numFmt w:val="bullet"/>
      <w:lvlText w:val=""/>
      <w:lvlJc w:val="left"/>
      <w:pPr>
        <w:ind w:left="6480" w:hanging="360"/>
      </w:pPr>
      <w:rPr>
        <w:rFonts w:ascii="Wingdings" w:hAnsi="Wingdings" w:hint="default"/>
      </w:rPr>
    </w:lvl>
  </w:abstractNum>
  <w:abstractNum w:abstractNumId="15" w15:restartNumberingAfterBreak="0">
    <w:nsid w:val="4AC17203"/>
    <w:multiLevelType w:val="hybridMultilevel"/>
    <w:tmpl w:val="36C0D6E4"/>
    <w:lvl w:ilvl="0" w:tplc="AAA64CE2">
      <w:start w:val="1"/>
      <w:numFmt w:val="bullet"/>
      <w:lvlText w:val=""/>
      <w:lvlJc w:val="left"/>
      <w:pPr>
        <w:ind w:left="720" w:hanging="360"/>
      </w:pPr>
      <w:rPr>
        <w:rFonts w:ascii="Symbol" w:hAnsi="Symbol" w:hint="default"/>
      </w:rPr>
    </w:lvl>
    <w:lvl w:ilvl="1" w:tplc="09C2C5E4">
      <w:start w:val="1"/>
      <w:numFmt w:val="bullet"/>
      <w:lvlText w:val="o"/>
      <w:lvlJc w:val="left"/>
      <w:pPr>
        <w:ind w:left="1440" w:hanging="360"/>
      </w:pPr>
      <w:rPr>
        <w:rFonts w:ascii="Courier New" w:hAnsi="Courier New" w:hint="default"/>
      </w:rPr>
    </w:lvl>
    <w:lvl w:ilvl="2" w:tplc="35F44996">
      <w:start w:val="1"/>
      <w:numFmt w:val="bullet"/>
      <w:lvlText w:val=""/>
      <w:lvlJc w:val="left"/>
      <w:pPr>
        <w:ind w:left="2160" w:hanging="360"/>
      </w:pPr>
      <w:rPr>
        <w:rFonts w:ascii="Wingdings" w:hAnsi="Wingdings" w:hint="default"/>
      </w:rPr>
    </w:lvl>
    <w:lvl w:ilvl="3" w:tplc="96AA8D08">
      <w:start w:val="1"/>
      <w:numFmt w:val="bullet"/>
      <w:lvlText w:val=""/>
      <w:lvlJc w:val="left"/>
      <w:pPr>
        <w:ind w:left="2880" w:hanging="360"/>
      </w:pPr>
      <w:rPr>
        <w:rFonts w:ascii="Symbol" w:hAnsi="Symbol" w:hint="default"/>
      </w:rPr>
    </w:lvl>
    <w:lvl w:ilvl="4" w:tplc="F6C6D054">
      <w:start w:val="1"/>
      <w:numFmt w:val="bullet"/>
      <w:lvlText w:val="o"/>
      <w:lvlJc w:val="left"/>
      <w:pPr>
        <w:ind w:left="3600" w:hanging="360"/>
      </w:pPr>
      <w:rPr>
        <w:rFonts w:ascii="Courier New" w:hAnsi="Courier New" w:hint="default"/>
      </w:rPr>
    </w:lvl>
    <w:lvl w:ilvl="5" w:tplc="B81A609A">
      <w:start w:val="1"/>
      <w:numFmt w:val="bullet"/>
      <w:lvlText w:val=""/>
      <w:lvlJc w:val="left"/>
      <w:pPr>
        <w:ind w:left="4320" w:hanging="360"/>
      </w:pPr>
      <w:rPr>
        <w:rFonts w:ascii="Wingdings" w:hAnsi="Wingdings" w:hint="default"/>
      </w:rPr>
    </w:lvl>
    <w:lvl w:ilvl="6" w:tplc="8A464148">
      <w:start w:val="1"/>
      <w:numFmt w:val="bullet"/>
      <w:lvlText w:val=""/>
      <w:lvlJc w:val="left"/>
      <w:pPr>
        <w:ind w:left="5040" w:hanging="360"/>
      </w:pPr>
      <w:rPr>
        <w:rFonts w:ascii="Symbol" w:hAnsi="Symbol" w:hint="default"/>
      </w:rPr>
    </w:lvl>
    <w:lvl w:ilvl="7" w:tplc="B87605BC">
      <w:start w:val="1"/>
      <w:numFmt w:val="bullet"/>
      <w:lvlText w:val="o"/>
      <w:lvlJc w:val="left"/>
      <w:pPr>
        <w:ind w:left="5760" w:hanging="360"/>
      </w:pPr>
      <w:rPr>
        <w:rFonts w:ascii="Courier New" w:hAnsi="Courier New" w:hint="default"/>
      </w:rPr>
    </w:lvl>
    <w:lvl w:ilvl="8" w:tplc="380484A6">
      <w:start w:val="1"/>
      <w:numFmt w:val="bullet"/>
      <w:lvlText w:val=""/>
      <w:lvlJc w:val="left"/>
      <w:pPr>
        <w:ind w:left="6480" w:hanging="360"/>
      </w:pPr>
      <w:rPr>
        <w:rFonts w:ascii="Wingdings" w:hAnsi="Wingdings" w:hint="default"/>
      </w:rPr>
    </w:lvl>
  </w:abstractNum>
  <w:abstractNum w:abstractNumId="16" w15:restartNumberingAfterBreak="0">
    <w:nsid w:val="4C0BE086"/>
    <w:multiLevelType w:val="hybridMultilevel"/>
    <w:tmpl w:val="178CAB22"/>
    <w:lvl w:ilvl="0" w:tplc="C2C459E6">
      <w:start w:val="1"/>
      <w:numFmt w:val="bullet"/>
      <w:lvlText w:val=""/>
      <w:lvlJc w:val="left"/>
      <w:pPr>
        <w:ind w:left="720" w:hanging="360"/>
      </w:pPr>
      <w:rPr>
        <w:rFonts w:ascii="Symbol" w:hAnsi="Symbol" w:hint="default"/>
      </w:rPr>
    </w:lvl>
    <w:lvl w:ilvl="1" w:tplc="37AAC704">
      <w:start w:val="1"/>
      <w:numFmt w:val="bullet"/>
      <w:lvlText w:val="o"/>
      <w:lvlJc w:val="left"/>
      <w:pPr>
        <w:ind w:left="1440" w:hanging="360"/>
      </w:pPr>
      <w:rPr>
        <w:rFonts w:ascii="Courier New" w:hAnsi="Courier New" w:hint="default"/>
      </w:rPr>
    </w:lvl>
    <w:lvl w:ilvl="2" w:tplc="8BCC99EC">
      <w:start w:val="1"/>
      <w:numFmt w:val="bullet"/>
      <w:lvlText w:val=""/>
      <w:lvlJc w:val="left"/>
      <w:pPr>
        <w:ind w:left="2160" w:hanging="360"/>
      </w:pPr>
      <w:rPr>
        <w:rFonts w:ascii="Wingdings" w:hAnsi="Wingdings" w:hint="default"/>
      </w:rPr>
    </w:lvl>
    <w:lvl w:ilvl="3" w:tplc="A1AA7C0C">
      <w:start w:val="1"/>
      <w:numFmt w:val="bullet"/>
      <w:lvlText w:val=""/>
      <w:lvlJc w:val="left"/>
      <w:pPr>
        <w:ind w:left="2880" w:hanging="360"/>
      </w:pPr>
      <w:rPr>
        <w:rFonts w:ascii="Symbol" w:hAnsi="Symbol" w:hint="default"/>
      </w:rPr>
    </w:lvl>
    <w:lvl w:ilvl="4" w:tplc="7EAE7AB4">
      <w:start w:val="1"/>
      <w:numFmt w:val="bullet"/>
      <w:lvlText w:val="o"/>
      <w:lvlJc w:val="left"/>
      <w:pPr>
        <w:ind w:left="3600" w:hanging="360"/>
      </w:pPr>
      <w:rPr>
        <w:rFonts w:ascii="Courier New" w:hAnsi="Courier New" w:hint="default"/>
      </w:rPr>
    </w:lvl>
    <w:lvl w:ilvl="5" w:tplc="B1766BAA">
      <w:start w:val="1"/>
      <w:numFmt w:val="bullet"/>
      <w:lvlText w:val=""/>
      <w:lvlJc w:val="left"/>
      <w:pPr>
        <w:ind w:left="4320" w:hanging="360"/>
      </w:pPr>
      <w:rPr>
        <w:rFonts w:ascii="Wingdings" w:hAnsi="Wingdings" w:hint="default"/>
      </w:rPr>
    </w:lvl>
    <w:lvl w:ilvl="6" w:tplc="E19A8F4C">
      <w:start w:val="1"/>
      <w:numFmt w:val="bullet"/>
      <w:lvlText w:val=""/>
      <w:lvlJc w:val="left"/>
      <w:pPr>
        <w:ind w:left="5040" w:hanging="360"/>
      </w:pPr>
      <w:rPr>
        <w:rFonts w:ascii="Symbol" w:hAnsi="Symbol" w:hint="default"/>
      </w:rPr>
    </w:lvl>
    <w:lvl w:ilvl="7" w:tplc="BF10682C">
      <w:start w:val="1"/>
      <w:numFmt w:val="bullet"/>
      <w:lvlText w:val="o"/>
      <w:lvlJc w:val="left"/>
      <w:pPr>
        <w:ind w:left="5760" w:hanging="360"/>
      </w:pPr>
      <w:rPr>
        <w:rFonts w:ascii="Courier New" w:hAnsi="Courier New" w:hint="default"/>
      </w:rPr>
    </w:lvl>
    <w:lvl w:ilvl="8" w:tplc="DF5C4F96">
      <w:start w:val="1"/>
      <w:numFmt w:val="bullet"/>
      <w:lvlText w:val=""/>
      <w:lvlJc w:val="left"/>
      <w:pPr>
        <w:ind w:left="6480" w:hanging="360"/>
      </w:pPr>
      <w:rPr>
        <w:rFonts w:ascii="Wingdings" w:hAnsi="Wingdings" w:hint="default"/>
      </w:rPr>
    </w:lvl>
  </w:abstractNum>
  <w:abstractNum w:abstractNumId="17" w15:restartNumberingAfterBreak="0">
    <w:nsid w:val="4D3278BE"/>
    <w:multiLevelType w:val="hybridMultilevel"/>
    <w:tmpl w:val="C2363972"/>
    <w:lvl w:ilvl="0" w:tplc="34CCF8C2">
      <w:start w:val="1"/>
      <w:numFmt w:val="bullet"/>
      <w:lvlText w:val=""/>
      <w:lvlJc w:val="left"/>
      <w:pPr>
        <w:ind w:left="720" w:hanging="360"/>
      </w:pPr>
      <w:rPr>
        <w:rFonts w:ascii="Symbol" w:hAnsi="Symbol" w:hint="default"/>
      </w:rPr>
    </w:lvl>
    <w:lvl w:ilvl="1" w:tplc="D5F6D7D2">
      <w:start w:val="1"/>
      <w:numFmt w:val="bullet"/>
      <w:lvlText w:val="o"/>
      <w:lvlJc w:val="left"/>
      <w:pPr>
        <w:ind w:left="1440" w:hanging="360"/>
      </w:pPr>
      <w:rPr>
        <w:rFonts w:ascii="Courier New" w:hAnsi="Courier New" w:hint="default"/>
      </w:rPr>
    </w:lvl>
    <w:lvl w:ilvl="2" w:tplc="19D43BF0">
      <w:start w:val="1"/>
      <w:numFmt w:val="bullet"/>
      <w:lvlText w:val=""/>
      <w:lvlJc w:val="left"/>
      <w:pPr>
        <w:ind w:left="2160" w:hanging="360"/>
      </w:pPr>
      <w:rPr>
        <w:rFonts w:ascii="Wingdings" w:hAnsi="Wingdings" w:hint="default"/>
      </w:rPr>
    </w:lvl>
    <w:lvl w:ilvl="3" w:tplc="C4EABBA4">
      <w:start w:val="1"/>
      <w:numFmt w:val="bullet"/>
      <w:lvlText w:val=""/>
      <w:lvlJc w:val="left"/>
      <w:pPr>
        <w:ind w:left="2880" w:hanging="360"/>
      </w:pPr>
      <w:rPr>
        <w:rFonts w:ascii="Symbol" w:hAnsi="Symbol" w:hint="default"/>
      </w:rPr>
    </w:lvl>
    <w:lvl w:ilvl="4" w:tplc="FAB0D3F2">
      <w:start w:val="1"/>
      <w:numFmt w:val="bullet"/>
      <w:lvlText w:val="o"/>
      <w:lvlJc w:val="left"/>
      <w:pPr>
        <w:ind w:left="3600" w:hanging="360"/>
      </w:pPr>
      <w:rPr>
        <w:rFonts w:ascii="Courier New" w:hAnsi="Courier New" w:hint="default"/>
      </w:rPr>
    </w:lvl>
    <w:lvl w:ilvl="5" w:tplc="64380D72">
      <w:start w:val="1"/>
      <w:numFmt w:val="bullet"/>
      <w:lvlText w:val=""/>
      <w:lvlJc w:val="left"/>
      <w:pPr>
        <w:ind w:left="4320" w:hanging="360"/>
      </w:pPr>
      <w:rPr>
        <w:rFonts w:ascii="Wingdings" w:hAnsi="Wingdings" w:hint="default"/>
      </w:rPr>
    </w:lvl>
    <w:lvl w:ilvl="6" w:tplc="10502774">
      <w:start w:val="1"/>
      <w:numFmt w:val="bullet"/>
      <w:lvlText w:val=""/>
      <w:lvlJc w:val="left"/>
      <w:pPr>
        <w:ind w:left="5040" w:hanging="360"/>
      </w:pPr>
      <w:rPr>
        <w:rFonts w:ascii="Symbol" w:hAnsi="Symbol" w:hint="default"/>
      </w:rPr>
    </w:lvl>
    <w:lvl w:ilvl="7" w:tplc="ECF039F6">
      <w:start w:val="1"/>
      <w:numFmt w:val="bullet"/>
      <w:lvlText w:val="o"/>
      <w:lvlJc w:val="left"/>
      <w:pPr>
        <w:ind w:left="5760" w:hanging="360"/>
      </w:pPr>
      <w:rPr>
        <w:rFonts w:ascii="Courier New" w:hAnsi="Courier New" w:hint="default"/>
      </w:rPr>
    </w:lvl>
    <w:lvl w:ilvl="8" w:tplc="0E5C51F8">
      <w:start w:val="1"/>
      <w:numFmt w:val="bullet"/>
      <w:lvlText w:val=""/>
      <w:lvlJc w:val="left"/>
      <w:pPr>
        <w:ind w:left="6480" w:hanging="360"/>
      </w:pPr>
      <w:rPr>
        <w:rFonts w:ascii="Wingdings" w:hAnsi="Wingdings" w:hint="default"/>
      </w:rPr>
    </w:lvl>
  </w:abstractNum>
  <w:abstractNum w:abstractNumId="18" w15:restartNumberingAfterBreak="0">
    <w:nsid w:val="548410C0"/>
    <w:multiLevelType w:val="multilevel"/>
    <w:tmpl w:val="80D62336"/>
    <w:lvl w:ilvl="0">
      <w:start w:val="1"/>
      <w:numFmt w:val="decimal"/>
      <w:pStyle w:val="BodyText-Numbered"/>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B143E6"/>
    <w:multiLevelType w:val="multilevel"/>
    <w:tmpl w:val="D4BA93D6"/>
    <w:lvl w:ilvl="0">
      <w:start w:val="1"/>
      <w:numFmt w:val="decimal"/>
      <w:lvlText w:val="%1)"/>
      <w:lvlJc w:val="left"/>
      <w:pPr>
        <w:ind w:left="360" w:hanging="360"/>
      </w:pPr>
    </w:lvl>
    <w:lvl w:ilvl="1">
      <w:start w:val="1"/>
      <w:numFmt w:val="lowerLetter"/>
      <w:lvlText w:val="%2."/>
      <w:lvlJc w:val="left"/>
      <w:pPr>
        <w:ind w:left="720" w:hanging="360"/>
      </w:pPr>
      <w:rPr>
        <w:rFonts w:cstheme="minorBid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9CF5A94"/>
    <w:multiLevelType w:val="hybridMultilevel"/>
    <w:tmpl w:val="699E4132"/>
    <w:lvl w:ilvl="0" w:tplc="7D3AA626">
      <w:start w:val="1"/>
      <w:numFmt w:val="bullet"/>
      <w:lvlText w:val=""/>
      <w:lvlJc w:val="left"/>
      <w:pPr>
        <w:ind w:left="720" w:hanging="360"/>
      </w:pPr>
      <w:rPr>
        <w:rFonts w:ascii="Symbol" w:hAnsi="Symbol" w:hint="default"/>
      </w:rPr>
    </w:lvl>
    <w:lvl w:ilvl="1" w:tplc="A46A1506">
      <w:start w:val="1"/>
      <w:numFmt w:val="bullet"/>
      <w:lvlText w:val="o"/>
      <w:lvlJc w:val="left"/>
      <w:pPr>
        <w:ind w:left="1440" w:hanging="360"/>
      </w:pPr>
      <w:rPr>
        <w:rFonts w:ascii="Courier New" w:hAnsi="Courier New" w:hint="default"/>
      </w:rPr>
    </w:lvl>
    <w:lvl w:ilvl="2" w:tplc="F1D881B0">
      <w:start w:val="1"/>
      <w:numFmt w:val="bullet"/>
      <w:lvlText w:val=""/>
      <w:lvlJc w:val="left"/>
      <w:pPr>
        <w:ind w:left="2160" w:hanging="360"/>
      </w:pPr>
      <w:rPr>
        <w:rFonts w:ascii="Wingdings" w:hAnsi="Wingdings" w:hint="default"/>
      </w:rPr>
    </w:lvl>
    <w:lvl w:ilvl="3" w:tplc="D9005012">
      <w:start w:val="1"/>
      <w:numFmt w:val="bullet"/>
      <w:lvlText w:val=""/>
      <w:lvlJc w:val="left"/>
      <w:pPr>
        <w:ind w:left="2880" w:hanging="360"/>
      </w:pPr>
      <w:rPr>
        <w:rFonts w:ascii="Symbol" w:hAnsi="Symbol" w:hint="default"/>
      </w:rPr>
    </w:lvl>
    <w:lvl w:ilvl="4" w:tplc="4CC0F87A">
      <w:start w:val="1"/>
      <w:numFmt w:val="bullet"/>
      <w:lvlText w:val="o"/>
      <w:lvlJc w:val="left"/>
      <w:pPr>
        <w:ind w:left="3600" w:hanging="360"/>
      </w:pPr>
      <w:rPr>
        <w:rFonts w:ascii="Courier New" w:hAnsi="Courier New" w:hint="default"/>
      </w:rPr>
    </w:lvl>
    <w:lvl w:ilvl="5" w:tplc="262820E4">
      <w:start w:val="1"/>
      <w:numFmt w:val="bullet"/>
      <w:lvlText w:val=""/>
      <w:lvlJc w:val="left"/>
      <w:pPr>
        <w:ind w:left="4320" w:hanging="360"/>
      </w:pPr>
      <w:rPr>
        <w:rFonts w:ascii="Wingdings" w:hAnsi="Wingdings" w:hint="default"/>
      </w:rPr>
    </w:lvl>
    <w:lvl w:ilvl="6" w:tplc="1986AEC6">
      <w:start w:val="1"/>
      <w:numFmt w:val="bullet"/>
      <w:lvlText w:val=""/>
      <w:lvlJc w:val="left"/>
      <w:pPr>
        <w:ind w:left="5040" w:hanging="360"/>
      </w:pPr>
      <w:rPr>
        <w:rFonts w:ascii="Symbol" w:hAnsi="Symbol" w:hint="default"/>
      </w:rPr>
    </w:lvl>
    <w:lvl w:ilvl="7" w:tplc="53AECED8">
      <w:start w:val="1"/>
      <w:numFmt w:val="bullet"/>
      <w:lvlText w:val="o"/>
      <w:lvlJc w:val="left"/>
      <w:pPr>
        <w:ind w:left="5760" w:hanging="360"/>
      </w:pPr>
      <w:rPr>
        <w:rFonts w:ascii="Courier New" w:hAnsi="Courier New" w:hint="default"/>
      </w:rPr>
    </w:lvl>
    <w:lvl w:ilvl="8" w:tplc="E826A28E">
      <w:start w:val="1"/>
      <w:numFmt w:val="bullet"/>
      <w:lvlText w:val=""/>
      <w:lvlJc w:val="left"/>
      <w:pPr>
        <w:ind w:left="6480" w:hanging="360"/>
      </w:pPr>
      <w:rPr>
        <w:rFonts w:ascii="Wingdings" w:hAnsi="Wingdings" w:hint="default"/>
      </w:rPr>
    </w:lvl>
  </w:abstractNum>
  <w:abstractNum w:abstractNumId="22" w15:restartNumberingAfterBreak="0">
    <w:nsid w:val="70ED026D"/>
    <w:multiLevelType w:val="multilevel"/>
    <w:tmpl w:val="B89CD3A4"/>
    <w:lvl w:ilvl="0">
      <w:start w:val="1"/>
      <w:numFmt w:val="decimal"/>
      <w:lvlText w:val="%1."/>
      <w:lvlJc w:val="left"/>
      <w:pPr>
        <w:ind w:left="720" w:hanging="360"/>
      </w:pPr>
      <w:rPr>
        <w:b w:val="0"/>
        <w:i w:val="0"/>
      </w:rPr>
    </w:lvl>
    <w:lvl w:ilvl="1">
      <w:start w:val="3"/>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23" w15:restartNumberingAfterBreak="0">
    <w:nsid w:val="78AE7A56"/>
    <w:multiLevelType w:val="hybridMultilevel"/>
    <w:tmpl w:val="B6B8203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8"/>
  </w:num>
  <w:num w:numId="2">
    <w:abstractNumId w:val="19"/>
  </w:num>
  <w:num w:numId="3">
    <w:abstractNumId w:val="13"/>
  </w:num>
  <w:num w:numId="4">
    <w:abstractNumId w:val="12"/>
  </w:num>
  <w:num w:numId="5">
    <w:abstractNumId w:val="9"/>
    <w:lvlOverride w:ilvl="0">
      <w:lvl w:ilvl="0">
        <w:start w:val="1"/>
        <w:numFmt w:val="decimal"/>
        <w:pStyle w:val="ReportBody-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36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36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6">
    <w:abstractNumId w:val="24"/>
  </w:num>
  <w:num w:numId="7">
    <w:abstractNumId w:val="20"/>
  </w:num>
  <w:num w:numId="8">
    <w:abstractNumId w:val="11"/>
  </w:num>
  <w:num w:numId="9">
    <w:abstractNumId w:val="10"/>
  </w:num>
  <w:num w:numId="10">
    <w:abstractNumId w:val="5"/>
  </w:num>
  <w:num w:numId="11">
    <w:abstractNumId w:val="8"/>
  </w:num>
  <w:num w:numId="12">
    <w:abstractNumId w:val="6"/>
  </w:num>
  <w:num w:numId="13">
    <w:abstractNumId w:val="2"/>
  </w:num>
  <w:num w:numId="14">
    <w:abstractNumId w:val="14"/>
  </w:num>
  <w:num w:numId="15">
    <w:abstractNumId w:val="7"/>
  </w:num>
  <w:num w:numId="16">
    <w:abstractNumId w:val="21"/>
  </w:num>
  <w:num w:numId="17">
    <w:abstractNumId w:val="17"/>
  </w:num>
  <w:num w:numId="18">
    <w:abstractNumId w:val="4"/>
  </w:num>
  <w:num w:numId="19">
    <w:abstractNumId w:val="16"/>
  </w:num>
  <w:num w:numId="20">
    <w:abstractNumId w:val="1"/>
  </w:num>
  <w:num w:numId="21">
    <w:abstractNumId w:val="15"/>
  </w:num>
  <w:num w:numId="22">
    <w:abstractNumId w:val="23"/>
  </w:num>
  <w:num w:numId="23">
    <w:abstractNumId w:val="0"/>
  </w:num>
  <w:num w:numId="24">
    <w:abstractNumId w:val="9"/>
    <w:lvlOverride w:ilvl="0">
      <w:lvl w:ilvl="0">
        <w:start w:val="1"/>
        <w:numFmt w:val="decimal"/>
        <w:pStyle w:val="ReportBody-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36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36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5">
    <w:abstractNumId w:val="3"/>
  </w:num>
  <w:num w:numId="26">
    <w:abstractNumId w:val="22"/>
  </w:num>
  <w:num w:numId="27">
    <w:abstractNumId w:val="24"/>
  </w:num>
  <w:num w:numId="28">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209"/>
    <w:rsid w:val="000000C0"/>
    <w:rsid w:val="0000013C"/>
    <w:rsid w:val="00000264"/>
    <w:rsid w:val="00000BBF"/>
    <w:rsid w:val="000010D9"/>
    <w:rsid w:val="000011CD"/>
    <w:rsid w:val="00001224"/>
    <w:rsid w:val="00001246"/>
    <w:rsid w:val="0000125E"/>
    <w:rsid w:val="0000196F"/>
    <w:rsid w:val="00001A1F"/>
    <w:rsid w:val="00001D60"/>
    <w:rsid w:val="00002001"/>
    <w:rsid w:val="0000201A"/>
    <w:rsid w:val="00002944"/>
    <w:rsid w:val="00002ACC"/>
    <w:rsid w:val="00002B44"/>
    <w:rsid w:val="00003037"/>
    <w:rsid w:val="0000304E"/>
    <w:rsid w:val="00003090"/>
    <w:rsid w:val="0000328A"/>
    <w:rsid w:val="000038BB"/>
    <w:rsid w:val="00003CAA"/>
    <w:rsid w:val="00004100"/>
    <w:rsid w:val="0000438F"/>
    <w:rsid w:val="00004472"/>
    <w:rsid w:val="00004BD5"/>
    <w:rsid w:val="000052E9"/>
    <w:rsid w:val="0000551E"/>
    <w:rsid w:val="00005854"/>
    <w:rsid w:val="00005D89"/>
    <w:rsid w:val="00006322"/>
    <w:rsid w:val="0000682D"/>
    <w:rsid w:val="000069ED"/>
    <w:rsid w:val="00006A9B"/>
    <w:rsid w:val="00006DFD"/>
    <w:rsid w:val="00006FB4"/>
    <w:rsid w:val="0000724E"/>
    <w:rsid w:val="000072BF"/>
    <w:rsid w:val="00007AF0"/>
    <w:rsid w:val="00007FD3"/>
    <w:rsid w:val="0001005F"/>
    <w:rsid w:val="00010442"/>
    <w:rsid w:val="000110EF"/>
    <w:rsid w:val="00011B4C"/>
    <w:rsid w:val="00012074"/>
    <w:rsid w:val="00012994"/>
    <w:rsid w:val="00012998"/>
    <w:rsid w:val="00013029"/>
    <w:rsid w:val="000132EF"/>
    <w:rsid w:val="000132F6"/>
    <w:rsid w:val="0001352F"/>
    <w:rsid w:val="00013587"/>
    <w:rsid w:val="000135C3"/>
    <w:rsid w:val="00013B8F"/>
    <w:rsid w:val="00013D21"/>
    <w:rsid w:val="00014478"/>
    <w:rsid w:val="000147DE"/>
    <w:rsid w:val="000149BF"/>
    <w:rsid w:val="00014E8E"/>
    <w:rsid w:val="00014F14"/>
    <w:rsid w:val="00014FB7"/>
    <w:rsid w:val="0001571C"/>
    <w:rsid w:val="00015E3C"/>
    <w:rsid w:val="00015F78"/>
    <w:rsid w:val="000161E7"/>
    <w:rsid w:val="00016320"/>
    <w:rsid w:val="0001647D"/>
    <w:rsid w:val="00016A6B"/>
    <w:rsid w:val="00016AF5"/>
    <w:rsid w:val="00016E14"/>
    <w:rsid w:val="000170CC"/>
    <w:rsid w:val="00017741"/>
    <w:rsid w:val="00017E21"/>
    <w:rsid w:val="00020109"/>
    <w:rsid w:val="0002062B"/>
    <w:rsid w:val="000208B4"/>
    <w:rsid w:val="00020C7E"/>
    <w:rsid w:val="00020CCC"/>
    <w:rsid w:val="00020F75"/>
    <w:rsid w:val="000210ED"/>
    <w:rsid w:val="00021157"/>
    <w:rsid w:val="00021306"/>
    <w:rsid w:val="0002184D"/>
    <w:rsid w:val="0002188A"/>
    <w:rsid w:val="00021B1F"/>
    <w:rsid w:val="000220C4"/>
    <w:rsid w:val="000223CC"/>
    <w:rsid w:val="000224F8"/>
    <w:rsid w:val="00022A6C"/>
    <w:rsid w:val="00022B07"/>
    <w:rsid w:val="000233CA"/>
    <w:rsid w:val="000234EE"/>
    <w:rsid w:val="000239A2"/>
    <w:rsid w:val="000239AD"/>
    <w:rsid w:val="00024303"/>
    <w:rsid w:val="00024836"/>
    <w:rsid w:val="00024979"/>
    <w:rsid w:val="00024D7B"/>
    <w:rsid w:val="0002533E"/>
    <w:rsid w:val="00025935"/>
    <w:rsid w:val="00025F92"/>
    <w:rsid w:val="0002635C"/>
    <w:rsid w:val="0002697A"/>
    <w:rsid w:val="0002707E"/>
    <w:rsid w:val="0002725B"/>
    <w:rsid w:val="00027365"/>
    <w:rsid w:val="00027460"/>
    <w:rsid w:val="0002749E"/>
    <w:rsid w:val="000279A1"/>
    <w:rsid w:val="00030190"/>
    <w:rsid w:val="00030436"/>
    <w:rsid w:val="000308D5"/>
    <w:rsid w:val="000309AA"/>
    <w:rsid w:val="000309D9"/>
    <w:rsid w:val="00030ABE"/>
    <w:rsid w:val="00030F64"/>
    <w:rsid w:val="000314FA"/>
    <w:rsid w:val="00031CDF"/>
    <w:rsid w:val="00031EB5"/>
    <w:rsid w:val="00032212"/>
    <w:rsid w:val="000323CA"/>
    <w:rsid w:val="0003288C"/>
    <w:rsid w:val="00032C4B"/>
    <w:rsid w:val="00033503"/>
    <w:rsid w:val="00033512"/>
    <w:rsid w:val="00033D87"/>
    <w:rsid w:val="00033F34"/>
    <w:rsid w:val="00033F76"/>
    <w:rsid w:val="000343FE"/>
    <w:rsid w:val="00034615"/>
    <w:rsid w:val="000348F3"/>
    <w:rsid w:val="000349CE"/>
    <w:rsid w:val="00034B3A"/>
    <w:rsid w:val="00035649"/>
    <w:rsid w:val="000357C6"/>
    <w:rsid w:val="00035867"/>
    <w:rsid w:val="0003590B"/>
    <w:rsid w:val="00035C24"/>
    <w:rsid w:val="00035C4B"/>
    <w:rsid w:val="00035FF4"/>
    <w:rsid w:val="00036035"/>
    <w:rsid w:val="0003635C"/>
    <w:rsid w:val="00036CBE"/>
    <w:rsid w:val="00036EFD"/>
    <w:rsid w:val="00037F29"/>
    <w:rsid w:val="0004038C"/>
    <w:rsid w:val="00040538"/>
    <w:rsid w:val="00040879"/>
    <w:rsid w:val="00040B44"/>
    <w:rsid w:val="00040D84"/>
    <w:rsid w:val="000410DF"/>
    <w:rsid w:val="0004114F"/>
    <w:rsid w:val="00041780"/>
    <w:rsid w:val="000417BB"/>
    <w:rsid w:val="00041A9D"/>
    <w:rsid w:val="00041AA5"/>
    <w:rsid w:val="00041D7D"/>
    <w:rsid w:val="00041F77"/>
    <w:rsid w:val="00041FC0"/>
    <w:rsid w:val="000424B7"/>
    <w:rsid w:val="000424C2"/>
    <w:rsid w:val="00042500"/>
    <w:rsid w:val="0004287D"/>
    <w:rsid w:val="00042910"/>
    <w:rsid w:val="00042A08"/>
    <w:rsid w:val="00043153"/>
    <w:rsid w:val="000433A4"/>
    <w:rsid w:val="00043540"/>
    <w:rsid w:val="000437C5"/>
    <w:rsid w:val="0004382D"/>
    <w:rsid w:val="00043D34"/>
    <w:rsid w:val="00043D3D"/>
    <w:rsid w:val="00044126"/>
    <w:rsid w:val="000449EE"/>
    <w:rsid w:val="00044DD6"/>
    <w:rsid w:val="0004515B"/>
    <w:rsid w:val="0004597A"/>
    <w:rsid w:val="00045FD5"/>
    <w:rsid w:val="00046136"/>
    <w:rsid w:val="00046A04"/>
    <w:rsid w:val="00046AB6"/>
    <w:rsid w:val="00046DB1"/>
    <w:rsid w:val="00046ECE"/>
    <w:rsid w:val="000476B3"/>
    <w:rsid w:val="000500D3"/>
    <w:rsid w:val="0005024D"/>
    <w:rsid w:val="00050648"/>
    <w:rsid w:val="00051193"/>
    <w:rsid w:val="000511D7"/>
    <w:rsid w:val="000514AF"/>
    <w:rsid w:val="00051EA8"/>
    <w:rsid w:val="00052018"/>
    <w:rsid w:val="000521E8"/>
    <w:rsid w:val="000524A6"/>
    <w:rsid w:val="000527C0"/>
    <w:rsid w:val="00052854"/>
    <w:rsid w:val="00052B09"/>
    <w:rsid w:val="0005310F"/>
    <w:rsid w:val="00053266"/>
    <w:rsid w:val="0005380C"/>
    <w:rsid w:val="00053832"/>
    <w:rsid w:val="00053E60"/>
    <w:rsid w:val="000546CA"/>
    <w:rsid w:val="000548CE"/>
    <w:rsid w:val="00054AB9"/>
    <w:rsid w:val="000552B1"/>
    <w:rsid w:val="00055711"/>
    <w:rsid w:val="00055D3D"/>
    <w:rsid w:val="00056337"/>
    <w:rsid w:val="00056771"/>
    <w:rsid w:val="0005678F"/>
    <w:rsid w:val="0005691A"/>
    <w:rsid w:val="00056A3E"/>
    <w:rsid w:val="00056D44"/>
    <w:rsid w:val="00056DAF"/>
    <w:rsid w:val="00057FF9"/>
    <w:rsid w:val="000595D9"/>
    <w:rsid w:val="00060A13"/>
    <w:rsid w:val="000612BA"/>
    <w:rsid w:val="00061528"/>
    <w:rsid w:val="00061B64"/>
    <w:rsid w:val="00061C04"/>
    <w:rsid w:val="000621BF"/>
    <w:rsid w:val="000624FB"/>
    <w:rsid w:val="000625C9"/>
    <w:rsid w:val="0006261F"/>
    <w:rsid w:val="000626D7"/>
    <w:rsid w:val="00062830"/>
    <w:rsid w:val="00062FA1"/>
    <w:rsid w:val="00063029"/>
    <w:rsid w:val="00063104"/>
    <w:rsid w:val="000632BC"/>
    <w:rsid w:val="0006389C"/>
    <w:rsid w:val="00063943"/>
    <w:rsid w:val="000640F8"/>
    <w:rsid w:val="00064320"/>
    <w:rsid w:val="0006494F"/>
    <w:rsid w:val="00064D5A"/>
    <w:rsid w:val="00064FE9"/>
    <w:rsid w:val="000651D1"/>
    <w:rsid w:val="000662A4"/>
    <w:rsid w:val="0006642D"/>
    <w:rsid w:val="00066804"/>
    <w:rsid w:val="00066B3D"/>
    <w:rsid w:val="0006731B"/>
    <w:rsid w:val="000673BD"/>
    <w:rsid w:val="000674C3"/>
    <w:rsid w:val="000675C1"/>
    <w:rsid w:val="0006768D"/>
    <w:rsid w:val="00067922"/>
    <w:rsid w:val="0006799B"/>
    <w:rsid w:val="0007051C"/>
    <w:rsid w:val="00070701"/>
    <w:rsid w:val="00070FE3"/>
    <w:rsid w:val="0007168A"/>
    <w:rsid w:val="000719CC"/>
    <w:rsid w:val="00072474"/>
    <w:rsid w:val="000724D7"/>
    <w:rsid w:val="0007268D"/>
    <w:rsid w:val="00072A71"/>
    <w:rsid w:val="00072C3E"/>
    <w:rsid w:val="000731B3"/>
    <w:rsid w:val="00073956"/>
    <w:rsid w:val="00073989"/>
    <w:rsid w:val="00073AD8"/>
    <w:rsid w:val="00073D06"/>
    <w:rsid w:val="000743A4"/>
    <w:rsid w:val="00074655"/>
    <w:rsid w:val="0007474B"/>
    <w:rsid w:val="00074860"/>
    <w:rsid w:val="000749A9"/>
    <w:rsid w:val="00074A1F"/>
    <w:rsid w:val="00074C87"/>
    <w:rsid w:val="00074D56"/>
    <w:rsid w:val="000759B2"/>
    <w:rsid w:val="00075AC2"/>
    <w:rsid w:val="00075CAC"/>
    <w:rsid w:val="00075F86"/>
    <w:rsid w:val="0007619B"/>
    <w:rsid w:val="00076368"/>
    <w:rsid w:val="00076431"/>
    <w:rsid w:val="000764A6"/>
    <w:rsid w:val="000765FA"/>
    <w:rsid w:val="000767FA"/>
    <w:rsid w:val="00076AD6"/>
    <w:rsid w:val="00076D33"/>
    <w:rsid w:val="00076F54"/>
    <w:rsid w:val="0007724D"/>
    <w:rsid w:val="000774F3"/>
    <w:rsid w:val="00077729"/>
    <w:rsid w:val="00077E4B"/>
    <w:rsid w:val="00080111"/>
    <w:rsid w:val="000801BB"/>
    <w:rsid w:val="0008089A"/>
    <w:rsid w:val="00080952"/>
    <w:rsid w:val="00080A84"/>
    <w:rsid w:val="00080AC4"/>
    <w:rsid w:val="00080B98"/>
    <w:rsid w:val="00080E13"/>
    <w:rsid w:val="00080EEE"/>
    <w:rsid w:val="00080FED"/>
    <w:rsid w:val="000811B1"/>
    <w:rsid w:val="000818EF"/>
    <w:rsid w:val="0008199F"/>
    <w:rsid w:val="000820BE"/>
    <w:rsid w:val="000828B9"/>
    <w:rsid w:val="00082998"/>
    <w:rsid w:val="000837DF"/>
    <w:rsid w:val="00083941"/>
    <w:rsid w:val="0008397A"/>
    <w:rsid w:val="00083C86"/>
    <w:rsid w:val="000841B0"/>
    <w:rsid w:val="000843F9"/>
    <w:rsid w:val="00084836"/>
    <w:rsid w:val="000849F3"/>
    <w:rsid w:val="00084B35"/>
    <w:rsid w:val="00085002"/>
    <w:rsid w:val="000856FA"/>
    <w:rsid w:val="00085726"/>
    <w:rsid w:val="000861CF"/>
    <w:rsid w:val="000863A8"/>
    <w:rsid w:val="00086B6A"/>
    <w:rsid w:val="00087FA7"/>
    <w:rsid w:val="000903CD"/>
    <w:rsid w:val="00090B2B"/>
    <w:rsid w:val="00090C79"/>
    <w:rsid w:val="00090D21"/>
    <w:rsid w:val="00091010"/>
    <w:rsid w:val="0009119A"/>
    <w:rsid w:val="000914CC"/>
    <w:rsid w:val="00091A16"/>
    <w:rsid w:val="00092327"/>
    <w:rsid w:val="000923F2"/>
    <w:rsid w:val="0009257F"/>
    <w:rsid w:val="00092595"/>
    <w:rsid w:val="00092C1E"/>
    <w:rsid w:val="00092D65"/>
    <w:rsid w:val="00092FBE"/>
    <w:rsid w:val="000934D3"/>
    <w:rsid w:val="0009357B"/>
    <w:rsid w:val="0009367E"/>
    <w:rsid w:val="00093D21"/>
    <w:rsid w:val="00093D77"/>
    <w:rsid w:val="00093E0D"/>
    <w:rsid w:val="00093E9C"/>
    <w:rsid w:val="000940D1"/>
    <w:rsid w:val="000948A4"/>
    <w:rsid w:val="00094F25"/>
    <w:rsid w:val="00094F5B"/>
    <w:rsid w:val="000953D9"/>
    <w:rsid w:val="0009571D"/>
    <w:rsid w:val="00095C50"/>
    <w:rsid w:val="0009604C"/>
    <w:rsid w:val="000963D3"/>
    <w:rsid w:val="0009647D"/>
    <w:rsid w:val="00096627"/>
    <w:rsid w:val="00096958"/>
    <w:rsid w:val="00097119"/>
    <w:rsid w:val="00097121"/>
    <w:rsid w:val="00097500"/>
    <w:rsid w:val="00097ACF"/>
    <w:rsid w:val="000A0A6A"/>
    <w:rsid w:val="000A0AFE"/>
    <w:rsid w:val="000A0BB5"/>
    <w:rsid w:val="000A0C67"/>
    <w:rsid w:val="000A0E91"/>
    <w:rsid w:val="000A0FEF"/>
    <w:rsid w:val="000A108C"/>
    <w:rsid w:val="000A118F"/>
    <w:rsid w:val="000A156C"/>
    <w:rsid w:val="000A1787"/>
    <w:rsid w:val="000A2432"/>
    <w:rsid w:val="000A2478"/>
    <w:rsid w:val="000A2755"/>
    <w:rsid w:val="000A29ED"/>
    <w:rsid w:val="000A2B04"/>
    <w:rsid w:val="000A312F"/>
    <w:rsid w:val="000A33EC"/>
    <w:rsid w:val="000A3526"/>
    <w:rsid w:val="000A3638"/>
    <w:rsid w:val="000A3CF5"/>
    <w:rsid w:val="000A4406"/>
    <w:rsid w:val="000A46A1"/>
    <w:rsid w:val="000A4BDA"/>
    <w:rsid w:val="000A4C85"/>
    <w:rsid w:val="000A508F"/>
    <w:rsid w:val="000A5502"/>
    <w:rsid w:val="000A5B71"/>
    <w:rsid w:val="000A5C02"/>
    <w:rsid w:val="000A5D48"/>
    <w:rsid w:val="000A5E63"/>
    <w:rsid w:val="000A691E"/>
    <w:rsid w:val="000A70E5"/>
    <w:rsid w:val="000A76AD"/>
    <w:rsid w:val="000A78EE"/>
    <w:rsid w:val="000B0055"/>
    <w:rsid w:val="000B0CC8"/>
    <w:rsid w:val="000B0D4D"/>
    <w:rsid w:val="000B0F19"/>
    <w:rsid w:val="000B153C"/>
    <w:rsid w:val="000B1804"/>
    <w:rsid w:val="000B1A6E"/>
    <w:rsid w:val="000B22BB"/>
    <w:rsid w:val="000B2320"/>
    <w:rsid w:val="000B24C1"/>
    <w:rsid w:val="000B24FC"/>
    <w:rsid w:val="000B251A"/>
    <w:rsid w:val="000B275B"/>
    <w:rsid w:val="000B2AE7"/>
    <w:rsid w:val="000B2E01"/>
    <w:rsid w:val="000B3E16"/>
    <w:rsid w:val="000B412F"/>
    <w:rsid w:val="000B41A1"/>
    <w:rsid w:val="000B4732"/>
    <w:rsid w:val="000B4FE9"/>
    <w:rsid w:val="000B537E"/>
    <w:rsid w:val="000B5807"/>
    <w:rsid w:val="000B58E6"/>
    <w:rsid w:val="000B5AB4"/>
    <w:rsid w:val="000B5C39"/>
    <w:rsid w:val="000B6BF0"/>
    <w:rsid w:val="000B6D45"/>
    <w:rsid w:val="000B7132"/>
    <w:rsid w:val="000B72D4"/>
    <w:rsid w:val="000B7896"/>
    <w:rsid w:val="000B7AB6"/>
    <w:rsid w:val="000B7E4E"/>
    <w:rsid w:val="000C06B6"/>
    <w:rsid w:val="000C0726"/>
    <w:rsid w:val="000C09CE"/>
    <w:rsid w:val="000C09F8"/>
    <w:rsid w:val="000C0BF8"/>
    <w:rsid w:val="000C15FE"/>
    <w:rsid w:val="000C160C"/>
    <w:rsid w:val="000C1B05"/>
    <w:rsid w:val="000C231D"/>
    <w:rsid w:val="000C24CD"/>
    <w:rsid w:val="000C25D8"/>
    <w:rsid w:val="000C268D"/>
    <w:rsid w:val="000C2720"/>
    <w:rsid w:val="000C298F"/>
    <w:rsid w:val="000C299F"/>
    <w:rsid w:val="000C29FA"/>
    <w:rsid w:val="000C2E55"/>
    <w:rsid w:val="000C2EA9"/>
    <w:rsid w:val="000C356C"/>
    <w:rsid w:val="000C3999"/>
    <w:rsid w:val="000C3F6D"/>
    <w:rsid w:val="000C4569"/>
    <w:rsid w:val="000C4659"/>
    <w:rsid w:val="000C4EEA"/>
    <w:rsid w:val="000C5009"/>
    <w:rsid w:val="000C55C0"/>
    <w:rsid w:val="000C55F1"/>
    <w:rsid w:val="000C562C"/>
    <w:rsid w:val="000C59A2"/>
    <w:rsid w:val="000C5A50"/>
    <w:rsid w:val="000C5C1D"/>
    <w:rsid w:val="000C5DA3"/>
    <w:rsid w:val="000C5E80"/>
    <w:rsid w:val="000C5E9A"/>
    <w:rsid w:val="000C60C6"/>
    <w:rsid w:val="000C6327"/>
    <w:rsid w:val="000C6BA4"/>
    <w:rsid w:val="000C6D68"/>
    <w:rsid w:val="000C7053"/>
    <w:rsid w:val="000C72D4"/>
    <w:rsid w:val="000C73C4"/>
    <w:rsid w:val="000C75DC"/>
    <w:rsid w:val="000C7983"/>
    <w:rsid w:val="000C7AE4"/>
    <w:rsid w:val="000C7C56"/>
    <w:rsid w:val="000D00B2"/>
    <w:rsid w:val="000D030F"/>
    <w:rsid w:val="000D0736"/>
    <w:rsid w:val="000D0787"/>
    <w:rsid w:val="000D0DBF"/>
    <w:rsid w:val="000D10B7"/>
    <w:rsid w:val="000D1334"/>
    <w:rsid w:val="000D231C"/>
    <w:rsid w:val="000D2947"/>
    <w:rsid w:val="000D2978"/>
    <w:rsid w:val="000D2B79"/>
    <w:rsid w:val="000D2BA9"/>
    <w:rsid w:val="000D333B"/>
    <w:rsid w:val="000D34D3"/>
    <w:rsid w:val="000D3679"/>
    <w:rsid w:val="000D36A9"/>
    <w:rsid w:val="000D3A3B"/>
    <w:rsid w:val="000D516B"/>
    <w:rsid w:val="000D5543"/>
    <w:rsid w:val="000D5754"/>
    <w:rsid w:val="000D5DB6"/>
    <w:rsid w:val="000D5E5F"/>
    <w:rsid w:val="000D5ECD"/>
    <w:rsid w:val="000D65CD"/>
    <w:rsid w:val="000D66E7"/>
    <w:rsid w:val="000D6B1E"/>
    <w:rsid w:val="000D6B99"/>
    <w:rsid w:val="000D6C25"/>
    <w:rsid w:val="000D6D21"/>
    <w:rsid w:val="000D6E25"/>
    <w:rsid w:val="000D7577"/>
    <w:rsid w:val="000D75B5"/>
    <w:rsid w:val="000D7A66"/>
    <w:rsid w:val="000D7E85"/>
    <w:rsid w:val="000E00AF"/>
    <w:rsid w:val="000E021E"/>
    <w:rsid w:val="000E03B1"/>
    <w:rsid w:val="000E0607"/>
    <w:rsid w:val="000E0CD5"/>
    <w:rsid w:val="000E13FF"/>
    <w:rsid w:val="000E1678"/>
    <w:rsid w:val="000E1781"/>
    <w:rsid w:val="000E1915"/>
    <w:rsid w:val="000E1D44"/>
    <w:rsid w:val="000E1E70"/>
    <w:rsid w:val="000E1F8B"/>
    <w:rsid w:val="000E2012"/>
    <w:rsid w:val="000E237E"/>
    <w:rsid w:val="000E2595"/>
    <w:rsid w:val="000E2674"/>
    <w:rsid w:val="000E288B"/>
    <w:rsid w:val="000E35FF"/>
    <w:rsid w:val="000E3ADD"/>
    <w:rsid w:val="000E413E"/>
    <w:rsid w:val="000E4183"/>
    <w:rsid w:val="000E4C75"/>
    <w:rsid w:val="000E54F9"/>
    <w:rsid w:val="000E5572"/>
    <w:rsid w:val="000E55C5"/>
    <w:rsid w:val="000E5E42"/>
    <w:rsid w:val="000E67DB"/>
    <w:rsid w:val="000E6840"/>
    <w:rsid w:val="000E7875"/>
    <w:rsid w:val="000E7AA4"/>
    <w:rsid w:val="000E7B8D"/>
    <w:rsid w:val="000E7BD4"/>
    <w:rsid w:val="000E7CD9"/>
    <w:rsid w:val="000E7D01"/>
    <w:rsid w:val="000E7E81"/>
    <w:rsid w:val="000EC399"/>
    <w:rsid w:val="000F0041"/>
    <w:rsid w:val="000F00E2"/>
    <w:rsid w:val="000F1634"/>
    <w:rsid w:val="000F17E6"/>
    <w:rsid w:val="000F1A02"/>
    <w:rsid w:val="000F220A"/>
    <w:rsid w:val="000F23A9"/>
    <w:rsid w:val="000F2D8C"/>
    <w:rsid w:val="000F2DC0"/>
    <w:rsid w:val="000F2F24"/>
    <w:rsid w:val="000F3202"/>
    <w:rsid w:val="000F3371"/>
    <w:rsid w:val="000F347E"/>
    <w:rsid w:val="000F3D6D"/>
    <w:rsid w:val="000F3EEA"/>
    <w:rsid w:val="000F4081"/>
    <w:rsid w:val="000F4724"/>
    <w:rsid w:val="000F4FB3"/>
    <w:rsid w:val="000F508C"/>
    <w:rsid w:val="000F5428"/>
    <w:rsid w:val="000F5513"/>
    <w:rsid w:val="000F5D1D"/>
    <w:rsid w:val="000F62E0"/>
    <w:rsid w:val="000F64C9"/>
    <w:rsid w:val="000F6680"/>
    <w:rsid w:val="000F66CE"/>
    <w:rsid w:val="000F685D"/>
    <w:rsid w:val="000F6B2E"/>
    <w:rsid w:val="000F7130"/>
    <w:rsid w:val="000F720E"/>
    <w:rsid w:val="000F740F"/>
    <w:rsid w:val="000F7699"/>
    <w:rsid w:val="000F78B4"/>
    <w:rsid w:val="000F7F98"/>
    <w:rsid w:val="00100389"/>
    <w:rsid w:val="0010040A"/>
    <w:rsid w:val="00100DBB"/>
    <w:rsid w:val="00101382"/>
    <w:rsid w:val="00101493"/>
    <w:rsid w:val="00101ADA"/>
    <w:rsid w:val="00101D1E"/>
    <w:rsid w:val="00101F33"/>
    <w:rsid w:val="00101FE6"/>
    <w:rsid w:val="00102A40"/>
    <w:rsid w:val="00102C42"/>
    <w:rsid w:val="00102C87"/>
    <w:rsid w:val="00103592"/>
    <w:rsid w:val="001036F5"/>
    <w:rsid w:val="00103A0A"/>
    <w:rsid w:val="00103A2D"/>
    <w:rsid w:val="00103A5E"/>
    <w:rsid w:val="00103F2F"/>
    <w:rsid w:val="00103F9F"/>
    <w:rsid w:val="0010467F"/>
    <w:rsid w:val="001049D4"/>
    <w:rsid w:val="00104A4A"/>
    <w:rsid w:val="00104DB1"/>
    <w:rsid w:val="001054C1"/>
    <w:rsid w:val="0010596E"/>
    <w:rsid w:val="00105ACE"/>
    <w:rsid w:val="00105BAA"/>
    <w:rsid w:val="00105D66"/>
    <w:rsid w:val="00106448"/>
    <w:rsid w:val="00106495"/>
    <w:rsid w:val="001064B8"/>
    <w:rsid w:val="00106606"/>
    <w:rsid w:val="00107490"/>
    <w:rsid w:val="001076C4"/>
    <w:rsid w:val="001076EC"/>
    <w:rsid w:val="0010781F"/>
    <w:rsid w:val="00107A06"/>
    <w:rsid w:val="0011002E"/>
    <w:rsid w:val="0011093F"/>
    <w:rsid w:val="00110C53"/>
    <w:rsid w:val="00111575"/>
    <w:rsid w:val="00111CE1"/>
    <w:rsid w:val="00111D9C"/>
    <w:rsid w:val="00112177"/>
    <w:rsid w:val="0011262E"/>
    <w:rsid w:val="00112BB2"/>
    <w:rsid w:val="0011313A"/>
    <w:rsid w:val="00113359"/>
    <w:rsid w:val="00113563"/>
    <w:rsid w:val="00113B22"/>
    <w:rsid w:val="00113C31"/>
    <w:rsid w:val="00113E91"/>
    <w:rsid w:val="00113EA1"/>
    <w:rsid w:val="001147C7"/>
    <w:rsid w:val="00114BB4"/>
    <w:rsid w:val="00114D2A"/>
    <w:rsid w:val="001154A5"/>
    <w:rsid w:val="001155C0"/>
    <w:rsid w:val="001160E2"/>
    <w:rsid w:val="00116179"/>
    <w:rsid w:val="00116228"/>
    <w:rsid w:val="001163EB"/>
    <w:rsid w:val="00116808"/>
    <w:rsid w:val="00116B1A"/>
    <w:rsid w:val="00116CCA"/>
    <w:rsid w:val="0011713F"/>
    <w:rsid w:val="001179E2"/>
    <w:rsid w:val="00117B81"/>
    <w:rsid w:val="0012010C"/>
    <w:rsid w:val="00120177"/>
    <w:rsid w:val="001204B3"/>
    <w:rsid w:val="00120589"/>
    <w:rsid w:val="00120621"/>
    <w:rsid w:val="001211AC"/>
    <w:rsid w:val="00121290"/>
    <w:rsid w:val="001213BA"/>
    <w:rsid w:val="001216CC"/>
    <w:rsid w:val="00121711"/>
    <w:rsid w:val="00121872"/>
    <w:rsid w:val="001220BD"/>
    <w:rsid w:val="00122337"/>
    <w:rsid w:val="0012238A"/>
    <w:rsid w:val="00122D14"/>
    <w:rsid w:val="00122E35"/>
    <w:rsid w:val="00123071"/>
    <w:rsid w:val="001230DC"/>
    <w:rsid w:val="00123276"/>
    <w:rsid w:val="001246C4"/>
    <w:rsid w:val="00124768"/>
    <w:rsid w:val="00124948"/>
    <w:rsid w:val="00124B11"/>
    <w:rsid w:val="00124FA4"/>
    <w:rsid w:val="0012510F"/>
    <w:rsid w:val="00125165"/>
    <w:rsid w:val="00125376"/>
    <w:rsid w:val="001262AD"/>
    <w:rsid w:val="00126302"/>
    <w:rsid w:val="00126B94"/>
    <w:rsid w:val="00126C6A"/>
    <w:rsid w:val="00126F17"/>
    <w:rsid w:val="001275E7"/>
    <w:rsid w:val="00127835"/>
    <w:rsid w:val="0012796D"/>
    <w:rsid w:val="001279B7"/>
    <w:rsid w:val="00127A51"/>
    <w:rsid w:val="00127EED"/>
    <w:rsid w:val="00130072"/>
    <w:rsid w:val="00130653"/>
    <w:rsid w:val="00130677"/>
    <w:rsid w:val="00130A36"/>
    <w:rsid w:val="00130B16"/>
    <w:rsid w:val="00130ECD"/>
    <w:rsid w:val="0013104D"/>
    <w:rsid w:val="00131678"/>
    <w:rsid w:val="00131979"/>
    <w:rsid w:val="001319BD"/>
    <w:rsid w:val="00131E3F"/>
    <w:rsid w:val="00131E48"/>
    <w:rsid w:val="001321DD"/>
    <w:rsid w:val="00132393"/>
    <w:rsid w:val="001323AA"/>
    <w:rsid w:val="0013254D"/>
    <w:rsid w:val="0013264B"/>
    <w:rsid w:val="00132C70"/>
    <w:rsid w:val="00133843"/>
    <w:rsid w:val="0013403F"/>
    <w:rsid w:val="00134142"/>
    <w:rsid w:val="001342B8"/>
    <w:rsid w:val="0013447B"/>
    <w:rsid w:val="00134A18"/>
    <w:rsid w:val="00134C6C"/>
    <w:rsid w:val="001351F7"/>
    <w:rsid w:val="00135B24"/>
    <w:rsid w:val="00136004"/>
    <w:rsid w:val="00136094"/>
    <w:rsid w:val="00136700"/>
    <w:rsid w:val="00136932"/>
    <w:rsid w:val="00136946"/>
    <w:rsid w:val="00136C39"/>
    <w:rsid w:val="00137074"/>
    <w:rsid w:val="00137414"/>
    <w:rsid w:val="001379BF"/>
    <w:rsid w:val="00137EF8"/>
    <w:rsid w:val="0014008F"/>
    <w:rsid w:val="001402E8"/>
    <w:rsid w:val="00140639"/>
    <w:rsid w:val="00140672"/>
    <w:rsid w:val="0014099F"/>
    <w:rsid w:val="00140DE7"/>
    <w:rsid w:val="00140E41"/>
    <w:rsid w:val="00140EC2"/>
    <w:rsid w:val="0014106D"/>
    <w:rsid w:val="00141504"/>
    <w:rsid w:val="00141A24"/>
    <w:rsid w:val="00141C4A"/>
    <w:rsid w:val="0014253B"/>
    <w:rsid w:val="00142564"/>
    <w:rsid w:val="00142F0E"/>
    <w:rsid w:val="0014306C"/>
    <w:rsid w:val="00143120"/>
    <w:rsid w:val="00143136"/>
    <w:rsid w:val="001436BB"/>
    <w:rsid w:val="00143746"/>
    <w:rsid w:val="001439C8"/>
    <w:rsid w:val="00143F2D"/>
    <w:rsid w:val="00144776"/>
    <w:rsid w:val="00144A95"/>
    <w:rsid w:val="0014518F"/>
    <w:rsid w:val="0014567D"/>
    <w:rsid w:val="00145B9D"/>
    <w:rsid w:val="00145EA3"/>
    <w:rsid w:val="00145FBF"/>
    <w:rsid w:val="001463B2"/>
    <w:rsid w:val="001465A8"/>
    <w:rsid w:val="00146A36"/>
    <w:rsid w:val="00146A7F"/>
    <w:rsid w:val="00146DFE"/>
    <w:rsid w:val="00146E5F"/>
    <w:rsid w:val="00146F3C"/>
    <w:rsid w:val="001471F1"/>
    <w:rsid w:val="001474BE"/>
    <w:rsid w:val="00147540"/>
    <w:rsid w:val="00147720"/>
    <w:rsid w:val="00147894"/>
    <w:rsid w:val="00147EA2"/>
    <w:rsid w:val="00147ECC"/>
    <w:rsid w:val="001502E6"/>
    <w:rsid w:val="001505C2"/>
    <w:rsid w:val="001505D2"/>
    <w:rsid w:val="00150610"/>
    <w:rsid w:val="001509C1"/>
    <w:rsid w:val="00150D58"/>
    <w:rsid w:val="00151ABF"/>
    <w:rsid w:val="00151EF6"/>
    <w:rsid w:val="00151F3F"/>
    <w:rsid w:val="001521DA"/>
    <w:rsid w:val="001523F6"/>
    <w:rsid w:val="00152CEE"/>
    <w:rsid w:val="00152FE0"/>
    <w:rsid w:val="00153100"/>
    <w:rsid w:val="0015331C"/>
    <w:rsid w:val="00153328"/>
    <w:rsid w:val="00153857"/>
    <w:rsid w:val="00153A15"/>
    <w:rsid w:val="00153FAD"/>
    <w:rsid w:val="00154322"/>
    <w:rsid w:val="001543E2"/>
    <w:rsid w:val="00154505"/>
    <w:rsid w:val="001546A1"/>
    <w:rsid w:val="00154AA2"/>
    <w:rsid w:val="00154ACC"/>
    <w:rsid w:val="00154BB9"/>
    <w:rsid w:val="00154BD9"/>
    <w:rsid w:val="00154C50"/>
    <w:rsid w:val="00154E81"/>
    <w:rsid w:val="0015512A"/>
    <w:rsid w:val="001558C3"/>
    <w:rsid w:val="00155B5B"/>
    <w:rsid w:val="00155E25"/>
    <w:rsid w:val="001560CA"/>
    <w:rsid w:val="001568CA"/>
    <w:rsid w:val="001568CE"/>
    <w:rsid w:val="001569FA"/>
    <w:rsid w:val="00156FD5"/>
    <w:rsid w:val="00157B99"/>
    <w:rsid w:val="001600D2"/>
    <w:rsid w:val="00160519"/>
    <w:rsid w:val="001606A2"/>
    <w:rsid w:val="00160711"/>
    <w:rsid w:val="00160713"/>
    <w:rsid w:val="001607A6"/>
    <w:rsid w:val="001608F0"/>
    <w:rsid w:val="00160F25"/>
    <w:rsid w:val="00160F8A"/>
    <w:rsid w:val="00161058"/>
    <w:rsid w:val="0016134C"/>
    <w:rsid w:val="001615A9"/>
    <w:rsid w:val="00161767"/>
    <w:rsid w:val="00161A2F"/>
    <w:rsid w:val="00161B87"/>
    <w:rsid w:val="001625EE"/>
    <w:rsid w:val="00162D7D"/>
    <w:rsid w:val="00162EEE"/>
    <w:rsid w:val="00162F09"/>
    <w:rsid w:val="00163A15"/>
    <w:rsid w:val="00164445"/>
    <w:rsid w:val="0016469A"/>
    <w:rsid w:val="001647A4"/>
    <w:rsid w:val="001648BB"/>
    <w:rsid w:val="00164A24"/>
    <w:rsid w:val="00164B94"/>
    <w:rsid w:val="00164D09"/>
    <w:rsid w:val="00164D97"/>
    <w:rsid w:val="00165006"/>
    <w:rsid w:val="001650A6"/>
    <w:rsid w:val="00165983"/>
    <w:rsid w:val="0016626F"/>
    <w:rsid w:val="001665FA"/>
    <w:rsid w:val="00166A23"/>
    <w:rsid w:val="00166A6D"/>
    <w:rsid w:val="00166FDD"/>
    <w:rsid w:val="00167233"/>
    <w:rsid w:val="00167308"/>
    <w:rsid w:val="00167358"/>
    <w:rsid w:val="00167503"/>
    <w:rsid w:val="00167871"/>
    <w:rsid w:val="001678E3"/>
    <w:rsid w:val="00170158"/>
    <w:rsid w:val="00170AE1"/>
    <w:rsid w:val="00170BB9"/>
    <w:rsid w:val="0017116F"/>
    <w:rsid w:val="001716E8"/>
    <w:rsid w:val="001719B3"/>
    <w:rsid w:val="00171D9D"/>
    <w:rsid w:val="00172035"/>
    <w:rsid w:val="001725C7"/>
    <w:rsid w:val="00172648"/>
    <w:rsid w:val="00172923"/>
    <w:rsid w:val="00172CC9"/>
    <w:rsid w:val="001733B3"/>
    <w:rsid w:val="00173A0D"/>
    <w:rsid w:val="00173A1F"/>
    <w:rsid w:val="00173ABC"/>
    <w:rsid w:val="00173B0C"/>
    <w:rsid w:val="00173CD2"/>
    <w:rsid w:val="00173DB2"/>
    <w:rsid w:val="00173EBE"/>
    <w:rsid w:val="00173F87"/>
    <w:rsid w:val="00174195"/>
    <w:rsid w:val="0017433B"/>
    <w:rsid w:val="001743A3"/>
    <w:rsid w:val="001746BC"/>
    <w:rsid w:val="00174845"/>
    <w:rsid w:val="00174AA0"/>
    <w:rsid w:val="00174D10"/>
    <w:rsid w:val="00174E70"/>
    <w:rsid w:val="0017516B"/>
    <w:rsid w:val="0017528E"/>
    <w:rsid w:val="001755CA"/>
    <w:rsid w:val="001755F5"/>
    <w:rsid w:val="00175B52"/>
    <w:rsid w:val="00175FA2"/>
    <w:rsid w:val="001764E7"/>
    <w:rsid w:val="00176831"/>
    <w:rsid w:val="00176A94"/>
    <w:rsid w:val="001776A0"/>
    <w:rsid w:val="0017AEB0"/>
    <w:rsid w:val="001802E8"/>
    <w:rsid w:val="001804AD"/>
    <w:rsid w:val="001809B4"/>
    <w:rsid w:val="00180E10"/>
    <w:rsid w:val="001817F4"/>
    <w:rsid w:val="0018186C"/>
    <w:rsid w:val="00181C25"/>
    <w:rsid w:val="001829C5"/>
    <w:rsid w:val="00182FAD"/>
    <w:rsid w:val="001837C1"/>
    <w:rsid w:val="00183A96"/>
    <w:rsid w:val="00183D3F"/>
    <w:rsid w:val="00184056"/>
    <w:rsid w:val="001844D9"/>
    <w:rsid w:val="001849F7"/>
    <w:rsid w:val="00184B54"/>
    <w:rsid w:val="00184C30"/>
    <w:rsid w:val="00185049"/>
    <w:rsid w:val="00185658"/>
    <w:rsid w:val="0018581A"/>
    <w:rsid w:val="001858EC"/>
    <w:rsid w:val="0018599C"/>
    <w:rsid w:val="00185A12"/>
    <w:rsid w:val="00185A52"/>
    <w:rsid w:val="00185D40"/>
    <w:rsid w:val="00186140"/>
    <w:rsid w:val="00186510"/>
    <w:rsid w:val="00186592"/>
    <w:rsid w:val="00186E53"/>
    <w:rsid w:val="00187228"/>
    <w:rsid w:val="001906D9"/>
    <w:rsid w:val="00190C08"/>
    <w:rsid w:val="00190F33"/>
    <w:rsid w:val="001917A3"/>
    <w:rsid w:val="001918CE"/>
    <w:rsid w:val="00191921"/>
    <w:rsid w:val="00191C5C"/>
    <w:rsid w:val="0019252E"/>
    <w:rsid w:val="00192644"/>
    <w:rsid w:val="001927B2"/>
    <w:rsid w:val="00192AFF"/>
    <w:rsid w:val="00192B94"/>
    <w:rsid w:val="00192C4D"/>
    <w:rsid w:val="00193917"/>
    <w:rsid w:val="00193D33"/>
    <w:rsid w:val="00194236"/>
    <w:rsid w:val="00194CC8"/>
    <w:rsid w:val="00194FE0"/>
    <w:rsid w:val="00195603"/>
    <w:rsid w:val="00195B14"/>
    <w:rsid w:val="00195DFE"/>
    <w:rsid w:val="00195E91"/>
    <w:rsid w:val="001967D5"/>
    <w:rsid w:val="001968A9"/>
    <w:rsid w:val="00196BF4"/>
    <w:rsid w:val="00196DC6"/>
    <w:rsid w:val="00196EB5"/>
    <w:rsid w:val="001971E4"/>
    <w:rsid w:val="00197493"/>
    <w:rsid w:val="00197720"/>
    <w:rsid w:val="001977BC"/>
    <w:rsid w:val="001A026C"/>
    <w:rsid w:val="001A07B8"/>
    <w:rsid w:val="001A07FE"/>
    <w:rsid w:val="001A082B"/>
    <w:rsid w:val="001A08B3"/>
    <w:rsid w:val="001A0C41"/>
    <w:rsid w:val="001A149C"/>
    <w:rsid w:val="001A1BCA"/>
    <w:rsid w:val="001A1C0F"/>
    <w:rsid w:val="001A1CCB"/>
    <w:rsid w:val="001A1D3C"/>
    <w:rsid w:val="001A2464"/>
    <w:rsid w:val="001A2701"/>
    <w:rsid w:val="001A2808"/>
    <w:rsid w:val="001A29ED"/>
    <w:rsid w:val="001A2B98"/>
    <w:rsid w:val="001A3034"/>
    <w:rsid w:val="001A3617"/>
    <w:rsid w:val="001A374D"/>
    <w:rsid w:val="001A3A37"/>
    <w:rsid w:val="001A3EAF"/>
    <w:rsid w:val="001A444F"/>
    <w:rsid w:val="001A46A3"/>
    <w:rsid w:val="001A4B31"/>
    <w:rsid w:val="001A4E54"/>
    <w:rsid w:val="001A52AB"/>
    <w:rsid w:val="001A5461"/>
    <w:rsid w:val="001A59CF"/>
    <w:rsid w:val="001A5E1A"/>
    <w:rsid w:val="001A6399"/>
    <w:rsid w:val="001A6552"/>
    <w:rsid w:val="001A68F0"/>
    <w:rsid w:val="001A693B"/>
    <w:rsid w:val="001A6A02"/>
    <w:rsid w:val="001A6D53"/>
    <w:rsid w:val="001A72CB"/>
    <w:rsid w:val="001A76BE"/>
    <w:rsid w:val="001A7808"/>
    <w:rsid w:val="001B00D8"/>
    <w:rsid w:val="001B00F2"/>
    <w:rsid w:val="001B01AC"/>
    <w:rsid w:val="001B072A"/>
    <w:rsid w:val="001B0F48"/>
    <w:rsid w:val="001B12A7"/>
    <w:rsid w:val="001B20A2"/>
    <w:rsid w:val="001B2426"/>
    <w:rsid w:val="001B272F"/>
    <w:rsid w:val="001B2C46"/>
    <w:rsid w:val="001B3617"/>
    <w:rsid w:val="001B4C21"/>
    <w:rsid w:val="001B4DA0"/>
    <w:rsid w:val="001B5347"/>
    <w:rsid w:val="001B5914"/>
    <w:rsid w:val="001B591A"/>
    <w:rsid w:val="001B59C5"/>
    <w:rsid w:val="001B5C85"/>
    <w:rsid w:val="001B5E7C"/>
    <w:rsid w:val="001B66D1"/>
    <w:rsid w:val="001B66DB"/>
    <w:rsid w:val="001B693A"/>
    <w:rsid w:val="001B6E30"/>
    <w:rsid w:val="001B6EC3"/>
    <w:rsid w:val="001B704B"/>
    <w:rsid w:val="001B72CC"/>
    <w:rsid w:val="001B7679"/>
    <w:rsid w:val="001B7A05"/>
    <w:rsid w:val="001B7AC8"/>
    <w:rsid w:val="001BC928"/>
    <w:rsid w:val="001C0212"/>
    <w:rsid w:val="001C0AD3"/>
    <w:rsid w:val="001C100A"/>
    <w:rsid w:val="001C113B"/>
    <w:rsid w:val="001C12AC"/>
    <w:rsid w:val="001C12DA"/>
    <w:rsid w:val="001C142B"/>
    <w:rsid w:val="001C142E"/>
    <w:rsid w:val="001C1689"/>
    <w:rsid w:val="001C1822"/>
    <w:rsid w:val="001C1A2D"/>
    <w:rsid w:val="001C1BBC"/>
    <w:rsid w:val="001C2326"/>
    <w:rsid w:val="001C2389"/>
    <w:rsid w:val="001C2716"/>
    <w:rsid w:val="001C27DA"/>
    <w:rsid w:val="001C2C90"/>
    <w:rsid w:val="001C2DC1"/>
    <w:rsid w:val="001C3385"/>
    <w:rsid w:val="001C3423"/>
    <w:rsid w:val="001C346D"/>
    <w:rsid w:val="001C3775"/>
    <w:rsid w:val="001C3A4E"/>
    <w:rsid w:val="001C3D87"/>
    <w:rsid w:val="001C4036"/>
    <w:rsid w:val="001C4229"/>
    <w:rsid w:val="001C4569"/>
    <w:rsid w:val="001C46EA"/>
    <w:rsid w:val="001C4A82"/>
    <w:rsid w:val="001C4AAA"/>
    <w:rsid w:val="001C4B1A"/>
    <w:rsid w:val="001C4CC5"/>
    <w:rsid w:val="001C5F3B"/>
    <w:rsid w:val="001C6183"/>
    <w:rsid w:val="001C6237"/>
    <w:rsid w:val="001C6453"/>
    <w:rsid w:val="001C66CD"/>
    <w:rsid w:val="001C686C"/>
    <w:rsid w:val="001C692B"/>
    <w:rsid w:val="001C69FA"/>
    <w:rsid w:val="001C6C8A"/>
    <w:rsid w:val="001C6F94"/>
    <w:rsid w:val="001C7365"/>
    <w:rsid w:val="001C74B0"/>
    <w:rsid w:val="001C7DFE"/>
    <w:rsid w:val="001C7E9A"/>
    <w:rsid w:val="001D0A60"/>
    <w:rsid w:val="001D0AA6"/>
    <w:rsid w:val="001D0B8D"/>
    <w:rsid w:val="001D11AE"/>
    <w:rsid w:val="001D123E"/>
    <w:rsid w:val="001D13E2"/>
    <w:rsid w:val="001D16D0"/>
    <w:rsid w:val="001D17DF"/>
    <w:rsid w:val="001D1874"/>
    <w:rsid w:val="001D1968"/>
    <w:rsid w:val="001D1AE9"/>
    <w:rsid w:val="001D1E34"/>
    <w:rsid w:val="001D1F44"/>
    <w:rsid w:val="001D2050"/>
    <w:rsid w:val="001D2177"/>
    <w:rsid w:val="001D240D"/>
    <w:rsid w:val="001D241E"/>
    <w:rsid w:val="001D2C89"/>
    <w:rsid w:val="001D2E8E"/>
    <w:rsid w:val="001D3333"/>
    <w:rsid w:val="001D364F"/>
    <w:rsid w:val="001D3728"/>
    <w:rsid w:val="001D3B81"/>
    <w:rsid w:val="001D3C99"/>
    <w:rsid w:val="001D3DD5"/>
    <w:rsid w:val="001D4148"/>
    <w:rsid w:val="001D4942"/>
    <w:rsid w:val="001D4DEC"/>
    <w:rsid w:val="001D4F9E"/>
    <w:rsid w:val="001D5010"/>
    <w:rsid w:val="001D518D"/>
    <w:rsid w:val="001D5547"/>
    <w:rsid w:val="001D599D"/>
    <w:rsid w:val="001D5A6C"/>
    <w:rsid w:val="001D5F12"/>
    <w:rsid w:val="001D6129"/>
    <w:rsid w:val="001D6228"/>
    <w:rsid w:val="001D62B5"/>
    <w:rsid w:val="001D6999"/>
    <w:rsid w:val="001D6AC0"/>
    <w:rsid w:val="001D6CAF"/>
    <w:rsid w:val="001D6F3D"/>
    <w:rsid w:val="001D7687"/>
    <w:rsid w:val="001D7B9B"/>
    <w:rsid w:val="001D7D2D"/>
    <w:rsid w:val="001E0820"/>
    <w:rsid w:val="001E0A4F"/>
    <w:rsid w:val="001E151D"/>
    <w:rsid w:val="001E166B"/>
    <w:rsid w:val="001E1715"/>
    <w:rsid w:val="001E17D1"/>
    <w:rsid w:val="001E1A5E"/>
    <w:rsid w:val="001E1B12"/>
    <w:rsid w:val="001E2511"/>
    <w:rsid w:val="001E2D53"/>
    <w:rsid w:val="001E311F"/>
    <w:rsid w:val="001E34C4"/>
    <w:rsid w:val="001E379B"/>
    <w:rsid w:val="001E39A0"/>
    <w:rsid w:val="001E3A28"/>
    <w:rsid w:val="001E3D39"/>
    <w:rsid w:val="001E448F"/>
    <w:rsid w:val="001E488E"/>
    <w:rsid w:val="001E5136"/>
    <w:rsid w:val="001E5D76"/>
    <w:rsid w:val="001E6429"/>
    <w:rsid w:val="001E647A"/>
    <w:rsid w:val="001E6CFD"/>
    <w:rsid w:val="001E6FDB"/>
    <w:rsid w:val="001E743E"/>
    <w:rsid w:val="001E74B1"/>
    <w:rsid w:val="001E7784"/>
    <w:rsid w:val="001E7C20"/>
    <w:rsid w:val="001E7CF5"/>
    <w:rsid w:val="001E7D01"/>
    <w:rsid w:val="001F02D8"/>
    <w:rsid w:val="001F0654"/>
    <w:rsid w:val="001F06FD"/>
    <w:rsid w:val="001F0F23"/>
    <w:rsid w:val="001F0F4E"/>
    <w:rsid w:val="001F167A"/>
    <w:rsid w:val="001F18B6"/>
    <w:rsid w:val="001F1F9E"/>
    <w:rsid w:val="001F28F9"/>
    <w:rsid w:val="001F29E6"/>
    <w:rsid w:val="001F2A91"/>
    <w:rsid w:val="001F2AF0"/>
    <w:rsid w:val="001F3037"/>
    <w:rsid w:val="001F308F"/>
    <w:rsid w:val="001F32FA"/>
    <w:rsid w:val="001F345A"/>
    <w:rsid w:val="001F3549"/>
    <w:rsid w:val="001F364B"/>
    <w:rsid w:val="001F38E9"/>
    <w:rsid w:val="001F4059"/>
    <w:rsid w:val="001F4276"/>
    <w:rsid w:val="001F4D77"/>
    <w:rsid w:val="001F4EB8"/>
    <w:rsid w:val="001F5736"/>
    <w:rsid w:val="001F5A8F"/>
    <w:rsid w:val="001F5CE8"/>
    <w:rsid w:val="001F5FC5"/>
    <w:rsid w:val="001F61C5"/>
    <w:rsid w:val="001F650B"/>
    <w:rsid w:val="001F6693"/>
    <w:rsid w:val="001F6D3E"/>
    <w:rsid w:val="001F6FBD"/>
    <w:rsid w:val="001F72A8"/>
    <w:rsid w:val="001F758E"/>
    <w:rsid w:val="001F7861"/>
    <w:rsid w:val="001F7ACF"/>
    <w:rsid w:val="0020006A"/>
    <w:rsid w:val="0020053B"/>
    <w:rsid w:val="002006A9"/>
    <w:rsid w:val="00200B51"/>
    <w:rsid w:val="00200BE3"/>
    <w:rsid w:val="00200DA1"/>
    <w:rsid w:val="00200DC4"/>
    <w:rsid w:val="00201085"/>
    <w:rsid w:val="002015F0"/>
    <w:rsid w:val="00201757"/>
    <w:rsid w:val="00201FB0"/>
    <w:rsid w:val="00202323"/>
    <w:rsid w:val="00202377"/>
    <w:rsid w:val="002023C5"/>
    <w:rsid w:val="002026DA"/>
    <w:rsid w:val="0020275E"/>
    <w:rsid w:val="00202B04"/>
    <w:rsid w:val="00202F84"/>
    <w:rsid w:val="0020308B"/>
    <w:rsid w:val="0020375A"/>
    <w:rsid w:val="0020449D"/>
    <w:rsid w:val="00205009"/>
    <w:rsid w:val="00205190"/>
    <w:rsid w:val="0020581A"/>
    <w:rsid w:val="00205DDA"/>
    <w:rsid w:val="00205F38"/>
    <w:rsid w:val="00205FCE"/>
    <w:rsid w:val="002060EC"/>
    <w:rsid w:val="00206270"/>
    <w:rsid w:val="00206934"/>
    <w:rsid w:val="00206995"/>
    <w:rsid w:val="002069E2"/>
    <w:rsid w:val="00206B7F"/>
    <w:rsid w:val="00207130"/>
    <w:rsid w:val="00207200"/>
    <w:rsid w:val="0020743E"/>
    <w:rsid w:val="002078BC"/>
    <w:rsid w:val="00207B3F"/>
    <w:rsid w:val="00210713"/>
    <w:rsid w:val="00210C3D"/>
    <w:rsid w:val="00210E78"/>
    <w:rsid w:val="002110BB"/>
    <w:rsid w:val="002112E4"/>
    <w:rsid w:val="002112EA"/>
    <w:rsid w:val="002113F2"/>
    <w:rsid w:val="00211683"/>
    <w:rsid w:val="002116B0"/>
    <w:rsid w:val="00211C46"/>
    <w:rsid w:val="00211D90"/>
    <w:rsid w:val="00212395"/>
    <w:rsid w:val="002127E9"/>
    <w:rsid w:val="00212A84"/>
    <w:rsid w:val="00213739"/>
    <w:rsid w:val="0021386A"/>
    <w:rsid w:val="00213D1D"/>
    <w:rsid w:val="00213ED9"/>
    <w:rsid w:val="0021444B"/>
    <w:rsid w:val="002147C8"/>
    <w:rsid w:val="00214E2D"/>
    <w:rsid w:val="00214F8A"/>
    <w:rsid w:val="00215414"/>
    <w:rsid w:val="00215BBE"/>
    <w:rsid w:val="002164AF"/>
    <w:rsid w:val="002167FC"/>
    <w:rsid w:val="00216981"/>
    <w:rsid w:val="00216B54"/>
    <w:rsid w:val="00216D8C"/>
    <w:rsid w:val="00216FA4"/>
    <w:rsid w:val="002173C8"/>
    <w:rsid w:val="002175F8"/>
    <w:rsid w:val="00217807"/>
    <w:rsid w:val="00217ADB"/>
    <w:rsid w:val="00217E5C"/>
    <w:rsid w:val="00217F0B"/>
    <w:rsid w:val="00220793"/>
    <w:rsid w:val="00220AE2"/>
    <w:rsid w:val="00220E86"/>
    <w:rsid w:val="002213C9"/>
    <w:rsid w:val="002214DF"/>
    <w:rsid w:val="002216FD"/>
    <w:rsid w:val="002218F4"/>
    <w:rsid w:val="00221A76"/>
    <w:rsid w:val="00221AC2"/>
    <w:rsid w:val="00221C0F"/>
    <w:rsid w:val="0022201B"/>
    <w:rsid w:val="00222441"/>
    <w:rsid w:val="002225B9"/>
    <w:rsid w:val="00222CA3"/>
    <w:rsid w:val="002231C0"/>
    <w:rsid w:val="00223415"/>
    <w:rsid w:val="00223489"/>
    <w:rsid w:val="002239DC"/>
    <w:rsid w:val="00223A2A"/>
    <w:rsid w:val="0022484B"/>
    <w:rsid w:val="0022493B"/>
    <w:rsid w:val="002250BB"/>
    <w:rsid w:val="002251CF"/>
    <w:rsid w:val="002252C4"/>
    <w:rsid w:val="002254E4"/>
    <w:rsid w:val="0022557C"/>
    <w:rsid w:val="00225931"/>
    <w:rsid w:val="00226014"/>
    <w:rsid w:val="00226292"/>
    <w:rsid w:val="002265EC"/>
    <w:rsid w:val="00226E6F"/>
    <w:rsid w:val="002277BA"/>
    <w:rsid w:val="0022781B"/>
    <w:rsid w:val="002279C8"/>
    <w:rsid w:val="00230F75"/>
    <w:rsid w:val="00231379"/>
    <w:rsid w:val="00231673"/>
    <w:rsid w:val="002316E5"/>
    <w:rsid w:val="00231A0B"/>
    <w:rsid w:val="00232030"/>
    <w:rsid w:val="00232213"/>
    <w:rsid w:val="0023241A"/>
    <w:rsid w:val="00232A30"/>
    <w:rsid w:val="00232DB7"/>
    <w:rsid w:val="00232EFB"/>
    <w:rsid w:val="0023335E"/>
    <w:rsid w:val="002333CE"/>
    <w:rsid w:val="002335B3"/>
    <w:rsid w:val="00233627"/>
    <w:rsid w:val="002339FE"/>
    <w:rsid w:val="00233A7A"/>
    <w:rsid w:val="00233B2F"/>
    <w:rsid w:val="00233C6D"/>
    <w:rsid w:val="002341B2"/>
    <w:rsid w:val="00234227"/>
    <w:rsid w:val="002345D0"/>
    <w:rsid w:val="002347F8"/>
    <w:rsid w:val="002352C4"/>
    <w:rsid w:val="00235AA1"/>
    <w:rsid w:val="00236327"/>
    <w:rsid w:val="00236504"/>
    <w:rsid w:val="002365F9"/>
    <w:rsid w:val="00236D90"/>
    <w:rsid w:val="00237283"/>
    <w:rsid w:val="0023745C"/>
    <w:rsid w:val="0023764F"/>
    <w:rsid w:val="00237F9A"/>
    <w:rsid w:val="002403F7"/>
    <w:rsid w:val="0024069F"/>
    <w:rsid w:val="00240A3A"/>
    <w:rsid w:val="00241055"/>
    <w:rsid w:val="00241088"/>
    <w:rsid w:val="0024136B"/>
    <w:rsid w:val="002416B9"/>
    <w:rsid w:val="002418CB"/>
    <w:rsid w:val="00241A33"/>
    <w:rsid w:val="00241FCA"/>
    <w:rsid w:val="00242358"/>
    <w:rsid w:val="002425AB"/>
    <w:rsid w:val="0024288E"/>
    <w:rsid w:val="002428A4"/>
    <w:rsid w:val="00242B1E"/>
    <w:rsid w:val="00243613"/>
    <w:rsid w:val="00243CAD"/>
    <w:rsid w:val="00243EFB"/>
    <w:rsid w:val="00244075"/>
    <w:rsid w:val="00244136"/>
    <w:rsid w:val="00244281"/>
    <w:rsid w:val="00244639"/>
    <w:rsid w:val="00244BB6"/>
    <w:rsid w:val="00244DCC"/>
    <w:rsid w:val="00244E32"/>
    <w:rsid w:val="00245738"/>
    <w:rsid w:val="00245BD1"/>
    <w:rsid w:val="002461EB"/>
    <w:rsid w:val="0024644B"/>
    <w:rsid w:val="00246606"/>
    <w:rsid w:val="00246786"/>
    <w:rsid w:val="0024775E"/>
    <w:rsid w:val="002478F4"/>
    <w:rsid w:val="00247EF3"/>
    <w:rsid w:val="002502D6"/>
    <w:rsid w:val="0025046C"/>
    <w:rsid w:val="00250678"/>
    <w:rsid w:val="002506D5"/>
    <w:rsid w:val="00250790"/>
    <w:rsid w:val="00250C85"/>
    <w:rsid w:val="00250D8B"/>
    <w:rsid w:val="00250F16"/>
    <w:rsid w:val="00250FC4"/>
    <w:rsid w:val="00250FF0"/>
    <w:rsid w:val="002517B4"/>
    <w:rsid w:val="00251B72"/>
    <w:rsid w:val="002520E5"/>
    <w:rsid w:val="002522BC"/>
    <w:rsid w:val="00252AA2"/>
    <w:rsid w:val="00252BA7"/>
    <w:rsid w:val="00252C77"/>
    <w:rsid w:val="00252D2F"/>
    <w:rsid w:val="00252DE5"/>
    <w:rsid w:val="00253AE8"/>
    <w:rsid w:val="00253B6D"/>
    <w:rsid w:val="00253FFB"/>
    <w:rsid w:val="002540DA"/>
    <w:rsid w:val="002541D1"/>
    <w:rsid w:val="0025420E"/>
    <w:rsid w:val="002543AA"/>
    <w:rsid w:val="0025453F"/>
    <w:rsid w:val="002546A9"/>
    <w:rsid w:val="00254A58"/>
    <w:rsid w:val="00254C16"/>
    <w:rsid w:val="00254D89"/>
    <w:rsid w:val="00255201"/>
    <w:rsid w:val="00255A98"/>
    <w:rsid w:val="002567D7"/>
    <w:rsid w:val="00256919"/>
    <w:rsid w:val="00257946"/>
    <w:rsid w:val="00257BAB"/>
    <w:rsid w:val="00260153"/>
    <w:rsid w:val="002601BF"/>
    <w:rsid w:val="00260410"/>
    <w:rsid w:val="00260B7D"/>
    <w:rsid w:val="00260BA6"/>
    <w:rsid w:val="00260F0F"/>
    <w:rsid w:val="0026139D"/>
    <w:rsid w:val="0026156B"/>
    <w:rsid w:val="00261934"/>
    <w:rsid w:val="00261AA6"/>
    <w:rsid w:val="00261B67"/>
    <w:rsid w:val="00261F95"/>
    <w:rsid w:val="002620FF"/>
    <w:rsid w:val="0026272F"/>
    <w:rsid w:val="00262E1C"/>
    <w:rsid w:val="00263062"/>
    <w:rsid w:val="00263384"/>
    <w:rsid w:val="002636A5"/>
    <w:rsid w:val="0026379C"/>
    <w:rsid w:val="0026379E"/>
    <w:rsid w:val="00263AE2"/>
    <w:rsid w:val="00263D08"/>
    <w:rsid w:val="00263D21"/>
    <w:rsid w:val="00264370"/>
    <w:rsid w:val="00264995"/>
    <w:rsid w:val="002649DA"/>
    <w:rsid w:val="002650CD"/>
    <w:rsid w:val="00265544"/>
    <w:rsid w:val="002663F5"/>
    <w:rsid w:val="00266591"/>
    <w:rsid w:val="0026675E"/>
    <w:rsid w:val="002668E8"/>
    <w:rsid w:val="00266ECA"/>
    <w:rsid w:val="0026757F"/>
    <w:rsid w:val="00267730"/>
    <w:rsid w:val="002677A4"/>
    <w:rsid w:val="002679AF"/>
    <w:rsid w:val="00267FAD"/>
    <w:rsid w:val="0026D553"/>
    <w:rsid w:val="00270B3C"/>
    <w:rsid w:val="00270BDE"/>
    <w:rsid w:val="00270C38"/>
    <w:rsid w:val="002712D6"/>
    <w:rsid w:val="002723C8"/>
    <w:rsid w:val="002724EF"/>
    <w:rsid w:val="0027252F"/>
    <w:rsid w:val="00272AC3"/>
    <w:rsid w:val="00273014"/>
    <w:rsid w:val="002730A4"/>
    <w:rsid w:val="002730E7"/>
    <w:rsid w:val="00273550"/>
    <w:rsid w:val="002739E3"/>
    <w:rsid w:val="00274054"/>
    <w:rsid w:val="00274465"/>
    <w:rsid w:val="00274668"/>
    <w:rsid w:val="00274830"/>
    <w:rsid w:val="00274F1D"/>
    <w:rsid w:val="00274FEE"/>
    <w:rsid w:val="00275103"/>
    <w:rsid w:val="002752DD"/>
    <w:rsid w:val="002754DD"/>
    <w:rsid w:val="00275A8C"/>
    <w:rsid w:val="0027622D"/>
    <w:rsid w:val="002764B9"/>
    <w:rsid w:val="0027662E"/>
    <w:rsid w:val="00276EE2"/>
    <w:rsid w:val="00277023"/>
    <w:rsid w:val="00277168"/>
    <w:rsid w:val="00277234"/>
    <w:rsid w:val="0027739D"/>
    <w:rsid w:val="002777FC"/>
    <w:rsid w:val="002778AE"/>
    <w:rsid w:val="00277AEA"/>
    <w:rsid w:val="00280277"/>
    <w:rsid w:val="00280659"/>
    <w:rsid w:val="0028067E"/>
    <w:rsid w:val="002807EC"/>
    <w:rsid w:val="00280A63"/>
    <w:rsid w:val="00280FD6"/>
    <w:rsid w:val="00281606"/>
    <w:rsid w:val="00281B02"/>
    <w:rsid w:val="00281CC5"/>
    <w:rsid w:val="00282154"/>
    <w:rsid w:val="002829F9"/>
    <w:rsid w:val="00282A30"/>
    <w:rsid w:val="00282AAC"/>
    <w:rsid w:val="00282C98"/>
    <w:rsid w:val="00282E9F"/>
    <w:rsid w:val="00282EEA"/>
    <w:rsid w:val="00283235"/>
    <w:rsid w:val="00283330"/>
    <w:rsid w:val="0028381A"/>
    <w:rsid w:val="0028395C"/>
    <w:rsid w:val="00283C6F"/>
    <w:rsid w:val="00283F22"/>
    <w:rsid w:val="00283FF9"/>
    <w:rsid w:val="00284177"/>
    <w:rsid w:val="002842E1"/>
    <w:rsid w:val="00284982"/>
    <w:rsid w:val="00284A58"/>
    <w:rsid w:val="00284AE1"/>
    <w:rsid w:val="00284EBD"/>
    <w:rsid w:val="0028511F"/>
    <w:rsid w:val="0028538B"/>
    <w:rsid w:val="002855D4"/>
    <w:rsid w:val="00285872"/>
    <w:rsid w:val="00285D76"/>
    <w:rsid w:val="00285ED9"/>
    <w:rsid w:val="0028660F"/>
    <w:rsid w:val="00286AD5"/>
    <w:rsid w:val="002876D1"/>
    <w:rsid w:val="002878AE"/>
    <w:rsid w:val="00287972"/>
    <w:rsid w:val="00287D1E"/>
    <w:rsid w:val="00287F2C"/>
    <w:rsid w:val="0029000B"/>
    <w:rsid w:val="00290885"/>
    <w:rsid w:val="00290904"/>
    <w:rsid w:val="00290E34"/>
    <w:rsid w:val="0029110B"/>
    <w:rsid w:val="00291243"/>
    <w:rsid w:val="00291310"/>
    <w:rsid w:val="00291413"/>
    <w:rsid w:val="0029154C"/>
    <w:rsid w:val="00291F39"/>
    <w:rsid w:val="00291FEC"/>
    <w:rsid w:val="00292076"/>
    <w:rsid w:val="002920DF"/>
    <w:rsid w:val="002927DD"/>
    <w:rsid w:val="002931F2"/>
    <w:rsid w:val="00293213"/>
    <w:rsid w:val="002936AD"/>
    <w:rsid w:val="002936CE"/>
    <w:rsid w:val="00293907"/>
    <w:rsid w:val="002939C4"/>
    <w:rsid w:val="002939CF"/>
    <w:rsid w:val="00293D1E"/>
    <w:rsid w:val="00293D8D"/>
    <w:rsid w:val="0029421E"/>
    <w:rsid w:val="00294326"/>
    <w:rsid w:val="00294646"/>
    <w:rsid w:val="0029494F"/>
    <w:rsid w:val="00294A90"/>
    <w:rsid w:val="00294BCA"/>
    <w:rsid w:val="00294CAB"/>
    <w:rsid w:val="00294EC1"/>
    <w:rsid w:val="00295092"/>
    <w:rsid w:val="0029509C"/>
    <w:rsid w:val="00295226"/>
    <w:rsid w:val="00295393"/>
    <w:rsid w:val="00295474"/>
    <w:rsid w:val="00295791"/>
    <w:rsid w:val="002958E5"/>
    <w:rsid w:val="00295A39"/>
    <w:rsid w:val="0029653F"/>
    <w:rsid w:val="00297407"/>
    <w:rsid w:val="00297D7C"/>
    <w:rsid w:val="00297D90"/>
    <w:rsid w:val="002A00F8"/>
    <w:rsid w:val="002A01F7"/>
    <w:rsid w:val="002A036D"/>
    <w:rsid w:val="002A0823"/>
    <w:rsid w:val="002A09CE"/>
    <w:rsid w:val="002A0A95"/>
    <w:rsid w:val="002A14C7"/>
    <w:rsid w:val="002A1590"/>
    <w:rsid w:val="002A17BD"/>
    <w:rsid w:val="002A1C52"/>
    <w:rsid w:val="002A1C55"/>
    <w:rsid w:val="002A1C7D"/>
    <w:rsid w:val="002A1E95"/>
    <w:rsid w:val="002A24EB"/>
    <w:rsid w:val="002A2C43"/>
    <w:rsid w:val="002A2C8C"/>
    <w:rsid w:val="002A2F73"/>
    <w:rsid w:val="002A338D"/>
    <w:rsid w:val="002A34FB"/>
    <w:rsid w:val="002A39B5"/>
    <w:rsid w:val="002A3AC6"/>
    <w:rsid w:val="002A42E3"/>
    <w:rsid w:val="002A45FD"/>
    <w:rsid w:val="002A4799"/>
    <w:rsid w:val="002A50A6"/>
    <w:rsid w:val="002A5867"/>
    <w:rsid w:val="002A6187"/>
    <w:rsid w:val="002A6334"/>
    <w:rsid w:val="002A6551"/>
    <w:rsid w:val="002A6A02"/>
    <w:rsid w:val="002A6BAD"/>
    <w:rsid w:val="002A6E09"/>
    <w:rsid w:val="002A6FBB"/>
    <w:rsid w:val="002A72B3"/>
    <w:rsid w:val="002A74A6"/>
    <w:rsid w:val="002A7820"/>
    <w:rsid w:val="002A7CC0"/>
    <w:rsid w:val="002B01D8"/>
    <w:rsid w:val="002B042F"/>
    <w:rsid w:val="002B0B46"/>
    <w:rsid w:val="002B1265"/>
    <w:rsid w:val="002B140C"/>
    <w:rsid w:val="002B158C"/>
    <w:rsid w:val="002B1600"/>
    <w:rsid w:val="002B1665"/>
    <w:rsid w:val="002B1B1D"/>
    <w:rsid w:val="002B2355"/>
    <w:rsid w:val="002B25AA"/>
    <w:rsid w:val="002B27D8"/>
    <w:rsid w:val="002B2B7E"/>
    <w:rsid w:val="002B3186"/>
    <w:rsid w:val="002B32C6"/>
    <w:rsid w:val="002B33AD"/>
    <w:rsid w:val="002B350F"/>
    <w:rsid w:val="002B3BB8"/>
    <w:rsid w:val="002B3F1E"/>
    <w:rsid w:val="002B417F"/>
    <w:rsid w:val="002B426E"/>
    <w:rsid w:val="002B42D3"/>
    <w:rsid w:val="002B42D9"/>
    <w:rsid w:val="002B50DF"/>
    <w:rsid w:val="002B5479"/>
    <w:rsid w:val="002B5803"/>
    <w:rsid w:val="002B5D81"/>
    <w:rsid w:val="002B60F3"/>
    <w:rsid w:val="002B6362"/>
    <w:rsid w:val="002B681D"/>
    <w:rsid w:val="002B6BFE"/>
    <w:rsid w:val="002B71BB"/>
    <w:rsid w:val="002B73FA"/>
    <w:rsid w:val="002B748E"/>
    <w:rsid w:val="002B74A7"/>
    <w:rsid w:val="002B74BD"/>
    <w:rsid w:val="002B78C9"/>
    <w:rsid w:val="002B7F5D"/>
    <w:rsid w:val="002C006A"/>
    <w:rsid w:val="002C0917"/>
    <w:rsid w:val="002C0DF3"/>
    <w:rsid w:val="002C0E77"/>
    <w:rsid w:val="002C1134"/>
    <w:rsid w:val="002C12A8"/>
    <w:rsid w:val="002C1881"/>
    <w:rsid w:val="002C1976"/>
    <w:rsid w:val="002C1A88"/>
    <w:rsid w:val="002C1B61"/>
    <w:rsid w:val="002C1B6E"/>
    <w:rsid w:val="002C236B"/>
    <w:rsid w:val="002C23DD"/>
    <w:rsid w:val="002C2785"/>
    <w:rsid w:val="002C2C53"/>
    <w:rsid w:val="002C346F"/>
    <w:rsid w:val="002C3926"/>
    <w:rsid w:val="002C3D3D"/>
    <w:rsid w:val="002C4B95"/>
    <w:rsid w:val="002C4FE9"/>
    <w:rsid w:val="002C5280"/>
    <w:rsid w:val="002C5BC4"/>
    <w:rsid w:val="002C6216"/>
    <w:rsid w:val="002C6281"/>
    <w:rsid w:val="002C69C3"/>
    <w:rsid w:val="002C6A59"/>
    <w:rsid w:val="002C6DCE"/>
    <w:rsid w:val="002C6E03"/>
    <w:rsid w:val="002C6ED2"/>
    <w:rsid w:val="002C7348"/>
    <w:rsid w:val="002C7459"/>
    <w:rsid w:val="002C7B0E"/>
    <w:rsid w:val="002C7C74"/>
    <w:rsid w:val="002C7FCA"/>
    <w:rsid w:val="002C7FF0"/>
    <w:rsid w:val="002D10CE"/>
    <w:rsid w:val="002D1824"/>
    <w:rsid w:val="002D1999"/>
    <w:rsid w:val="002D1ADD"/>
    <w:rsid w:val="002D1C65"/>
    <w:rsid w:val="002D1F3C"/>
    <w:rsid w:val="002D2082"/>
    <w:rsid w:val="002D2708"/>
    <w:rsid w:val="002D2787"/>
    <w:rsid w:val="002D28A4"/>
    <w:rsid w:val="002D291D"/>
    <w:rsid w:val="002D2932"/>
    <w:rsid w:val="002D295C"/>
    <w:rsid w:val="002D2AB2"/>
    <w:rsid w:val="002D2AF4"/>
    <w:rsid w:val="002D2CC2"/>
    <w:rsid w:val="002D3758"/>
    <w:rsid w:val="002D3BA4"/>
    <w:rsid w:val="002D3CBC"/>
    <w:rsid w:val="002D3EA6"/>
    <w:rsid w:val="002D3FCF"/>
    <w:rsid w:val="002D40C4"/>
    <w:rsid w:val="002D4305"/>
    <w:rsid w:val="002D4529"/>
    <w:rsid w:val="002D4E36"/>
    <w:rsid w:val="002D5018"/>
    <w:rsid w:val="002D52C3"/>
    <w:rsid w:val="002D5344"/>
    <w:rsid w:val="002D559E"/>
    <w:rsid w:val="002D5D3E"/>
    <w:rsid w:val="002D6B24"/>
    <w:rsid w:val="002D6DF2"/>
    <w:rsid w:val="002D7000"/>
    <w:rsid w:val="002D75AD"/>
    <w:rsid w:val="002D7632"/>
    <w:rsid w:val="002D78CA"/>
    <w:rsid w:val="002D797F"/>
    <w:rsid w:val="002E051E"/>
    <w:rsid w:val="002E06CC"/>
    <w:rsid w:val="002E099A"/>
    <w:rsid w:val="002E0C3F"/>
    <w:rsid w:val="002E0D3E"/>
    <w:rsid w:val="002E11A1"/>
    <w:rsid w:val="002E1401"/>
    <w:rsid w:val="002E140F"/>
    <w:rsid w:val="002E1594"/>
    <w:rsid w:val="002E1635"/>
    <w:rsid w:val="002E164A"/>
    <w:rsid w:val="002E1965"/>
    <w:rsid w:val="002E1AA8"/>
    <w:rsid w:val="002E1B3A"/>
    <w:rsid w:val="002E1B43"/>
    <w:rsid w:val="002E1DE4"/>
    <w:rsid w:val="002E2469"/>
    <w:rsid w:val="002E30FA"/>
    <w:rsid w:val="002E356E"/>
    <w:rsid w:val="002E3683"/>
    <w:rsid w:val="002E3773"/>
    <w:rsid w:val="002E3F0A"/>
    <w:rsid w:val="002E462E"/>
    <w:rsid w:val="002E487F"/>
    <w:rsid w:val="002E4A5B"/>
    <w:rsid w:val="002E4D5F"/>
    <w:rsid w:val="002E59EC"/>
    <w:rsid w:val="002E5AD2"/>
    <w:rsid w:val="002E5B9A"/>
    <w:rsid w:val="002E6037"/>
    <w:rsid w:val="002E6EBA"/>
    <w:rsid w:val="002E7223"/>
    <w:rsid w:val="002E7682"/>
    <w:rsid w:val="002F02B6"/>
    <w:rsid w:val="002F02F3"/>
    <w:rsid w:val="002F09A0"/>
    <w:rsid w:val="002F1389"/>
    <w:rsid w:val="002F13B8"/>
    <w:rsid w:val="002F14AE"/>
    <w:rsid w:val="002F1D2C"/>
    <w:rsid w:val="002F214A"/>
    <w:rsid w:val="002F25DB"/>
    <w:rsid w:val="002F2CF7"/>
    <w:rsid w:val="002F2D1B"/>
    <w:rsid w:val="002F2DF2"/>
    <w:rsid w:val="002F2FE9"/>
    <w:rsid w:val="002F31C7"/>
    <w:rsid w:val="002F3372"/>
    <w:rsid w:val="002F33E2"/>
    <w:rsid w:val="002F3404"/>
    <w:rsid w:val="002F3552"/>
    <w:rsid w:val="002F3666"/>
    <w:rsid w:val="002F36DF"/>
    <w:rsid w:val="002F3E1E"/>
    <w:rsid w:val="002F3F73"/>
    <w:rsid w:val="002F41E1"/>
    <w:rsid w:val="002F42E5"/>
    <w:rsid w:val="002F43B8"/>
    <w:rsid w:val="002F456E"/>
    <w:rsid w:val="002F46ED"/>
    <w:rsid w:val="002F4773"/>
    <w:rsid w:val="002F49B3"/>
    <w:rsid w:val="002F4A1B"/>
    <w:rsid w:val="002F4A96"/>
    <w:rsid w:val="002F521C"/>
    <w:rsid w:val="002F5298"/>
    <w:rsid w:val="002F554E"/>
    <w:rsid w:val="002F5925"/>
    <w:rsid w:val="002F59DB"/>
    <w:rsid w:val="002F5E51"/>
    <w:rsid w:val="002F702F"/>
    <w:rsid w:val="002F7450"/>
    <w:rsid w:val="002F757E"/>
    <w:rsid w:val="002F76E5"/>
    <w:rsid w:val="002F7954"/>
    <w:rsid w:val="002F7A07"/>
    <w:rsid w:val="002F7B32"/>
    <w:rsid w:val="0030018D"/>
    <w:rsid w:val="0030092D"/>
    <w:rsid w:val="00300CE7"/>
    <w:rsid w:val="00301951"/>
    <w:rsid w:val="0030200A"/>
    <w:rsid w:val="00302493"/>
    <w:rsid w:val="00302668"/>
    <w:rsid w:val="00302800"/>
    <w:rsid w:val="003030CA"/>
    <w:rsid w:val="0030331B"/>
    <w:rsid w:val="003036A9"/>
    <w:rsid w:val="00303837"/>
    <w:rsid w:val="0030397C"/>
    <w:rsid w:val="003039E0"/>
    <w:rsid w:val="00303BFE"/>
    <w:rsid w:val="00303EFB"/>
    <w:rsid w:val="00303F69"/>
    <w:rsid w:val="0030464E"/>
    <w:rsid w:val="00304FEF"/>
    <w:rsid w:val="0030522A"/>
    <w:rsid w:val="00306011"/>
    <w:rsid w:val="0030649D"/>
    <w:rsid w:val="00306C9D"/>
    <w:rsid w:val="003070F4"/>
    <w:rsid w:val="00307199"/>
    <w:rsid w:val="00307571"/>
    <w:rsid w:val="00307959"/>
    <w:rsid w:val="0030799D"/>
    <w:rsid w:val="00307A02"/>
    <w:rsid w:val="00307A6D"/>
    <w:rsid w:val="00307BA8"/>
    <w:rsid w:val="00310022"/>
    <w:rsid w:val="00310035"/>
    <w:rsid w:val="00310055"/>
    <w:rsid w:val="00310097"/>
    <w:rsid w:val="00310269"/>
    <w:rsid w:val="003106F3"/>
    <w:rsid w:val="00310839"/>
    <w:rsid w:val="003108D5"/>
    <w:rsid w:val="00310D3F"/>
    <w:rsid w:val="00311B18"/>
    <w:rsid w:val="003123E1"/>
    <w:rsid w:val="00312412"/>
    <w:rsid w:val="00312671"/>
    <w:rsid w:val="00312986"/>
    <w:rsid w:val="00312EF5"/>
    <w:rsid w:val="0031302E"/>
    <w:rsid w:val="00314476"/>
    <w:rsid w:val="00314860"/>
    <w:rsid w:val="00314D68"/>
    <w:rsid w:val="003157EB"/>
    <w:rsid w:val="00315A06"/>
    <w:rsid w:val="00315A1D"/>
    <w:rsid w:val="003162B3"/>
    <w:rsid w:val="003163E2"/>
    <w:rsid w:val="00316E05"/>
    <w:rsid w:val="0031736A"/>
    <w:rsid w:val="003175A7"/>
    <w:rsid w:val="003178F1"/>
    <w:rsid w:val="00317F29"/>
    <w:rsid w:val="00320708"/>
    <w:rsid w:val="003207A6"/>
    <w:rsid w:val="00320914"/>
    <w:rsid w:val="0032142D"/>
    <w:rsid w:val="00321616"/>
    <w:rsid w:val="00322209"/>
    <w:rsid w:val="0032228C"/>
    <w:rsid w:val="00322554"/>
    <w:rsid w:val="00322707"/>
    <w:rsid w:val="0032270A"/>
    <w:rsid w:val="0032332E"/>
    <w:rsid w:val="00323737"/>
    <w:rsid w:val="003239BD"/>
    <w:rsid w:val="00323D37"/>
    <w:rsid w:val="00323FD0"/>
    <w:rsid w:val="0032403B"/>
    <w:rsid w:val="00324327"/>
    <w:rsid w:val="00324332"/>
    <w:rsid w:val="0032435E"/>
    <w:rsid w:val="00324612"/>
    <w:rsid w:val="0032483D"/>
    <w:rsid w:val="0032495B"/>
    <w:rsid w:val="00324A48"/>
    <w:rsid w:val="00324E1E"/>
    <w:rsid w:val="00324EF2"/>
    <w:rsid w:val="00325829"/>
    <w:rsid w:val="00325B66"/>
    <w:rsid w:val="00326056"/>
    <w:rsid w:val="00326581"/>
    <w:rsid w:val="003266B6"/>
    <w:rsid w:val="003266B7"/>
    <w:rsid w:val="003266DC"/>
    <w:rsid w:val="0032685C"/>
    <w:rsid w:val="003269B2"/>
    <w:rsid w:val="003269C3"/>
    <w:rsid w:val="00326A46"/>
    <w:rsid w:val="00326B01"/>
    <w:rsid w:val="00326EA5"/>
    <w:rsid w:val="003271FE"/>
    <w:rsid w:val="00327319"/>
    <w:rsid w:val="00327A02"/>
    <w:rsid w:val="00327C7F"/>
    <w:rsid w:val="00327D33"/>
    <w:rsid w:val="00327DA8"/>
    <w:rsid w:val="0032CFFB"/>
    <w:rsid w:val="00330152"/>
    <w:rsid w:val="003303EF"/>
    <w:rsid w:val="0033071F"/>
    <w:rsid w:val="00330F10"/>
    <w:rsid w:val="0033132D"/>
    <w:rsid w:val="003315F4"/>
    <w:rsid w:val="00331847"/>
    <w:rsid w:val="003319DB"/>
    <w:rsid w:val="0033216E"/>
    <w:rsid w:val="0033226A"/>
    <w:rsid w:val="0033231A"/>
    <w:rsid w:val="003328A3"/>
    <w:rsid w:val="00332AE7"/>
    <w:rsid w:val="00332FEF"/>
    <w:rsid w:val="00333137"/>
    <w:rsid w:val="003335A1"/>
    <w:rsid w:val="003335DC"/>
    <w:rsid w:val="00333DBC"/>
    <w:rsid w:val="00333F25"/>
    <w:rsid w:val="00334A60"/>
    <w:rsid w:val="00334F42"/>
    <w:rsid w:val="00335491"/>
    <w:rsid w:val="003354F1"/>
    <w:rsid w:val="00335C8F"/>
    <w:rsid w:val="003361F2"/>
    <w:rsid w:val="0033649B"/>
    <w:rsid w:val="0033F209"/>
    <w:rsid w:val="003401BB"/>
    <w:rsid w:val="00340408"/>
    <w:rsid w:val="003404FB"/>
    <w:rsid w:val="0034090D"/>
    <w:rsid w:val="003409B8"/>
    <w:rsid w:val="00340A3F"/>
    <w:rsid w:val="00340BCA"/>
    <w:rsid w:val="00341836"/>
    <w:rsid w:val="0034194A"/>
    <w:rsid w:val="00341C9F"/>
    <w:rsid w:val="00342350"/>
    <w:rsid w:val="0034298D"/>
    <w:rsid w:val="00342C9D"/>
    <w:rsid w:val="00342F70"/>
    <w:rsid w:val="003438D4"/>
    <w:rsid w:val="003438DD"/>
    <w:rsid w:val="003448DB"/>
    <w:rsid w:val="00344AF8"/>
    <w:rsid w:val="00344D3C"/>
    <w:rsid w:val="0034513A"/>
    <w:rsid w:val="0034539F"/>
    <w:rsid w:val="00345584"/>
    <w:rsid w:val="00345682"/>
    <w:rsid w:val="003456E0"/>
    <w:rsid w:val="00345771"/>
    <w:rsid w:val="00345AD4"/>
    <w:rsid w:val="00345BE6"/>
    <w:rsid w:val="00345C3F"/>
    <w:rsid w:val="00345C86"/>
    <w:rsid w:val="00345F36"/>
    <w:rsid w:val="00346116"/>
    <w:rsid w:val="003461F7"/>
    <w:rsid w:val="003462BF"/>
    <w:rsid w:val="003462FA"/>
    <w:rsid w:val="00346A66"/>
    <w:rsid w:val="00346B30"/>
    <w:rsid w:val="00346C32"/>
    <w:rsid w:val="00346E36"/>
    <w:rsid w:val="003474C8"/>
    <w:rsid w:val="00347572"/>
    <w:rsid w:val="00347794"/>
    <w:rsid w:val="00347820"/>
    <w:rsid w:val="00347B0D"/>
    <w:rsid w:val="00347BA1"/>
    <w:rsid w:val="003500FD"/>
    <w:rsid w:val="003505A7"/>
    <w:rsid w:val="0035098F"/>
    <w:rsid w:val="00350F3D"/>
    <w:rsid w:val="00350F8D"/>
    <w:rsid w:val="00351490"/>
    <w:rsid w:val="00351AF8"/>
    <w:rsid w:val="003522DA"/>
    <w:rsid w:val="003523FA"/>
    <w:rsid w:val="003525C5"/>
    <w:rsid w:val="00352AAD"/>
    <w:rsid w:val="00352DB3"/>
    <w:rsid w:val="00353995"/>
    <w:rsid w:val="00354868"/>
    <w:rsid w:val="00354A97"/>
    <w:rsid w:val="00354F55"/>
    <w:rsid w:val="00355123"/>
    <w:rsid w:val="0035523D"/>
    <w:rsid w:val="003557E5"/>
    <w:rsid w:val="00355C4E"/>
    <w:rsid w:val="00356576"/>
    <w:rsid w:val="0035677F"/>
    <w:rsid w:val="003568FF"/>
    <w:rsid w:val="00356CF1"/>
    <w:rsid w:val="003570FC"/>
    <w:rsid w:val="003571D4"/>
    <w:rsid w:val="00357692"/>
    <w:rsid w:val="00357AAD"/>
    <w:rsid w:val="00357EC9"/>
    <w:rsid w:val="00357EDF"/>
    <w:rsid w:val="00357FAE"/>
    <w:rsid w:val="00360139"/>
    <w:rsid w:val="00360437"/>
    <w:rsid w:val="0036044F"/>
    <w:rsid w:val="003604AA"/>
    <w:rsid w:val="00360754"/>
    <w:rsid w:val="00361033"/>
    <w:rsid w:val="00361C22"/>
    <w:rsid w:val="003620FF"/>
    <w:rsid w:val="003624CE"/>
    <w:rsid w:val="00362D81"/>
    <w:rsid w:val="00363091"/>
    <w:rsid w:val="0036309B"/>
    <w:rsid w:val="003631D0"/>
    <w:rsid w:val="0036349C"/>
    <w:rsid w:val="003634FD"/>
    <w:rsid w:val="00363B61"/>
    <w:rsid w:val="003642FC"/>
    <w:rsid w:val="0036441D"/>
    <w:rsid w:val="003646AF"/>
    <w:rsid w:val="00364B07"/>
    <w:rsid w:val="00364C4C"/>
    <w:rsid w:val="00364F88"/>
    <w:rsid w:val="003653FC"/>
    <w:rsid w:val="0036581B"/>
    <w:rsid w:val="003659A7"/>
    <w:rsid w:val="0036646F"/>
    <w:rsid w:val="00366493"/>
    <w:rsid w:val="00366708"/>
    <w:rsid w:val="003675B6"/>
    <w:rsid w:val="00367A74"/>
    <w:rsid w:val="00367A80"/>
    <w:rsid w:val="00367BBD"/>
    <w:rsid w:val="00367CF2"/>
    <w:rsid w:val="00367D0D"/>
    <w:rsid w:val="00367F47"/>
    <w:rsid w:val="0037001F"/>
    <w:rsid w:val="003702A5"/>
    <w:rsid w:val="003709DF"/>
    <w:rsid w:val="00370ADE"/>
    <w:rsid w:val="00370D75"/>
    <w:rsid w:val="00370DE9"/>
    <w:rsid w:val="00370EFE"/>
    <w:rsid w:val="003714E8"/>
    <w:rsid w:val="0037223E"/>
    <w:rsid w:val="003723CD"/>
    <w:rsid w:val="003726E8"/>
    <w:rsid w:val="0037286A"/>
    <w:rsid w:val="00372894"/>
    <w:rsid w:val="003729EE"/>
    <w:rsid w:val="00373851"/>
    <w:rsid w:val="00373870"/>
    <w:rsid w:val="00373CD5"/>
    <w:rsid w:val="0037426C"/>
    <w:rsid w:val="003743E4"/>
    <w:rsid w:val="00374A7A"/>
    <w:rsid w:val="00374B99"/>
    <w:rsid w:val="00374D17"/>
    <w:rsid w:val="00374FF4"/>
    <w:rsid w:val="0037510C"/>
    <w:rsid w:val="00375A3F"/>
    <w:rsid w:val="00375AF9"/>
    <w:rsid w:val="00375DB3"/>
    <w:rsid w:val="00375E4C"/>
    <w:rsid w:val="0037602D"/>
    <w:rsid w:val="003763FB"/>
    <w:rsid w:val="00376817"/>
    <w:rsid w:val="00376AC4"/>
    <w:rsid w:val="00376CBD"/>
    <w:rsid w:val="00376D9B"/>
    <w:rsid w:val="00376E74"/>
    <w:rsid w:val="00376EDA"/>
    <w:rsid w:val="00377124"/>
    <w:rsid w:val="00377AF0"/>
    <w:rsid w:val="00380722"/>
    <w:rsid w:val="003809C7"/>
    <w:rsid w:val="00380B1C"/>
    <w:rsid w:val="00380CE4"/>
    <w:rsid w:val="00380E92"/>
    <w:rsid w:val="00381202"/>
    <w:rsid w:val="00381373"/>
    <w:rsid w:val="00381546"/>
    <w:rsid w:val="003817B8"/>
    <w:rsid w:val="00381C37"/>
    <w:rsid w:val="00381C6E"/>
    <w:rsid w:val="00381F9F"/>
    <w:rsid w:val="00382136"/>
    <w:rsid w:val="00382C30"/>
    <w:rsid w:val="00384885"/>
    <w:rsid w:val="00384D88"/>
    <w:rsid w:val="00384E9B"/>
    <w:rsid w:val="0038517D"/>
    <w:rsid w:val="00385196"/>
    <w:rsid w:val="00385240"/>
    <w:rsid w:val="00385541"/>
    <w:rsid w:val="003857B7"/>
    <w:rsid w:val="00385913"/>
    <w:rsid w:val="00385B3E"/>
    <w:rsid w:val="00385D54"/>
    <w:rsid w:val="00386461"/>
    <w:rsid w:val="003868E3"/>
    <w:rsid w:val="00386D9A"/>
    <w:rsid w:val="00386ED1"/>
    <w:rsid w:val="0038700C"/>
    <w:rsid w:val="0038700D"/>
    <w:rsid w:val="003870B0"/>
    <w:rsid w:val="00387113"/>
    <w:rsid w:val="0038713B"/>
    <w:rsid w:val="0038759D"/>
    <w:rsid w:val="003878ED"/>
    <w:rsid w:val="00387D42"/>
    <w:rsid w:val="00390DC2"/>
    <w:rsid w:val="003915DD"/>
    <w:rsid w:val="003917DC"/>
    <w:rsid w:val="0039182C"/>
    <w:rsid w:val="00391BB7"/>
    <w:rsid w:val="00391FB5"/>
    <w:rsid w:val="00392075"/>
    <w:rsid w:val="00392592"/>
    <w:rsid w:val="0039289E"/>
    <w:rsid w:val="00392B92"/>
    <w:rsid w:val="003936FE"/>
    <w:rsid w:val="00393C48"/>
    <w:rsid w:val="00394160"/>
    <w:rsid w:val="003947AA"/>
    <w:rsid w:val="00394D39"/>
    <w:rsid w:val="0039577B"/>
    <w:rsid w:val="0039672B"/>
    <w:rsid w:val="003967F7"/>
    <w:rsid w:val="00396888"/>
    <w:rsid w:val="00396A06"/>
    <w:rsid w:val="00396D98"/>
    <w:rsid w:val="00397208"/>
    <w:rsid w:val="003975A5"/>
    <w:rsid w:val="00397C8D"/>
    <w:rsid w:val="003A0057"/>
    <w:rsid w:val="003A06B5"/>
    <w:rsid w:val="003A08AC"/>
    <w:rsid w:val="003A0BFC"/>
    <w:rsid w:val="003A118E"/>
    <w:rsid w:val="003A172B"/>
    <w:rsid w:val="003A1765"/>
    <w:rsid w:val="003A17F1"/>
    <w:rsid w:val="003A1CC3"/>
    <w:rsid w:val="003A20B3"/>
    <w:rsid w:val="003A2287"/>
    <w:rsid w:val="003A2400"/>
    <w:rsid w:val="003A2523"/>
    <w:rsid w:val="003A2BB1"/>
    <w:rsid w:val="003A2FB4"/>
    <w:rsid w:val="003A3136"/>
    <w:rsid w:val="003A3311"/>
    <w:rsid w:val="003A332F"/>
    <w:rsid w:val="003A3371"/>
    <w:rsid w:val="003A3467"/>
    <w:rsid w:val="003A3812"/>
    <w:rsid w:val="003A41B4"/>
    <w:rsid w:val="003A496E"/>
    <w:rsid w:val="003A4A73"/>
    <w:rsid w:val="003A4BFE"/>
    <w:rsid w:val="003A4F7E"/>
    <w:rsid w:val="003A51E7"/>
    <w:rsid w:val="003A58D8"/>
    <w:rsid w:val="003A5FF3"/>
    <w:rsid w:val="003A6260"/>
    <w:rsid w:val="003A6757"/>
    <w:rsid w:val="003A67B5"/>
    <w:rsid w:val="003A69F9"/>
    <w:rsid w:val="003A6CB2"/>
    <w:rsid w:val="003A73D5"/>
    <w:rsid w:val="003A7BFE"/>
    <w:rsid w:val="003A7E01"/>
    <w:rsid w:val="003A7EA4"/>
    <w:rsid w:val="003B0B1B"/>
    <w:rsid w:val="003B0DDC"/>
    <w:rsid w:val="003B0E15"/>
    <w:rsid w:val="003B129C"/>
    <w:rsid w:val="003B1627"/>
    <w:rsid w:val="003B1EE8"/>
    <w:rsid w:val="003B236C"/>
    <w:rsid w:val="003B236D"/>
    <w:rsid w:val="003B2AF8"/>
    <w:rsid w:val="003B2B10"/>
    <w:rsid w:val="003B3867"/>
    <w:rsid w:val="003B38AA"/>
    <w:rsid w:val="003B3D94"/>
    <w:rsid w:val="003B4802"/>
    <w:rsid w:val="003B4A79"/>
    <w:rsid w:val="003B55F8"/>
    <w:rsid w:val="003B5652"/>
    <w:rsid w:val="003B5953"/>
    <w:rsid w:val="003B5AB5"/>
    <w:rsid w:val="003B5C6F"/>
    <w:rsid w:val="003B5FEE"/>
    <w:rsid w:val="003B639A"/>
    <w:rsid w:val="003B63A4"/>
    <w:rsid w:val="003B6C5F"/>
    <w:rsid w:val="003B71B9"/>
    <w:rsid w:val="003B72CC"/>
    <w:rsid w:val="003B77EA"/>
    <w:rsid w:val="003B7835"/>
    <w:rsid w:val="003B7BC3"/>
    <w:rsid w:val="003C006B"/>
    <w:rsid w:val="003C0660"/>
    <w:rsid w:val="003C06AD"/>
    <w:rsid w:val="003C06D0"/>
    <w:rsid w:val="003C0B84"/>
    <w:rsid w:val="003C0CF7"/>
    <w:rsid w:val="003C10DC"/>
    <w:rsid w:val="003C11D6"/>
    <w:rsid w:val="003C1418"/>
    <w:rsid w:val="003C1698"/>
    <w:rsid w:val="003C1C89"/>
    <w:rsid w:val="003C1CF7"/>
    <w:rsid w:val="003C2248"/>
    <w:rsid w:val="003C258E"/>
    <w:rsid w:val="003C2885"/>
    <w:rsid w:val="003C2A0D"/>
    <w:rsid w:val="003C2DAF"/>
    <w:rsid w:val="003C2FFA"/>
    <w:rsid w:val="003C3183"/>
    <w:rsid w:val="003C383D"/>
    <w:rsid w:val="003C3FC3"/>
    <w:rsid w:val="003C4310"/>
    <w:rsid w:val="003C449C"/>
    <w:rsid w:val="003C44BC"/>
    <w:rsid w:val="003C48E9"/>
    <w:rsid w:val="003C4932"/>
    <w:rsid w:val="003C4CC9"/>
    <w:rsid w:val="003C5048"/>
    <w:rsid w:val="003C5240"/>
    <w:rsid w:val="003C5267"/>
    <w:rsid w:val="003C54A0"/>
    <w:rsid w:val="003C57BE"/>
    <w:rsid w:val="003C5CCA"/>
    <w:rsid w:val="003C6040"/>
    <w:rsid w:val="003C61B5"/>
    <w:rsid w:val="003C62B4"/>
    <w:rsid w:val="003C63C6"/>
    <w:rsid w:val="003C6584"/>
    <w:rsid w:val="003C6699"/>
    <w:rsid w:val="003C67DE"/>
    <w:rsid w:val="003C687E"/>
    <w:rsid w:val="003C7200"/>
    <w:rsid w:val="003C747B"/>
    <w:rsid w:val="003C7829"/>
    <w:rsid w:val="003C7B75"/>
    <w:rsid w:val="003C7C2A"/>
    <w:rsid w:val="003D053B"/>
    <w:rsid w:val="003D09A3"/>
    <w:rsid w:val="003D0D82"/>
    <w:rsid w:val="003D0DA7"/>
    <w:rsid w:val="003D0E18"/>
    <w:rsid w:val="003D16EE"/>
    <w:rsid w:val="003D1942"/>
    <w:rsid w:val="003D1A24"/>
    <w:rsid w:val="003D272F"/>
    <w:rsid w:val="003D34B4"/>
    <w:rsid w:val="003D37FC"/>
    <w:rsid w:val="003D39FD"/>
    <w:rsid w:val="003D3F71"/>
    <w:rsid w:val="003D4173"/>
    <w:rsid w:val="003D4318"/>
    <w:rsid w:val="003D4DA7"/>
    <w:rsid w:val="003D500E"/>
    <w:rsid w:val="003D516A"/>
    <w:rsid w:val="003D6183"/>
    <w:rsid w:val="003D6530"/>
    <w:rsid w:val="003D6AD1"/>
    <w:rsid w:val="003D6D1C"/>
    <w:rsid w:val="003D7890"/>
    <w:rsid w:val="003D7C88"/>
    <w:rsid w:val="003E028D"/>
    <w:rsid w:val="003E036D"/>
    <w:rsid w:val="003E0C21"/>
    <w:rsid w:val="003E0C4B"/>
    <w:rsid w:val="003E0FF1"/>
    <w:rsid w:val="003E103E"/>
    <w:rsid w:val="003E1730"/>
    <w:rsid w:val="003E17B9"/>
    <w:rsid w:val="003E1DF4"/>
    <w:rsid w:val="003E20E0"/>
    <w:rsid w:val="003E2152"/>
    <w:rsid w:val="003E2567"/>
    <w:rsid w:val="003E31D2"/>
    <w:rsid w:val="003E325A"/>
    <w:rsid w:val="003E327A"/>
    <w:rsid w:val="003E33D1"/>
    <w:rsid w:val="003E3796"/>
    <w:rsid w:val="003E392A"/>
    <w:rsid w:val="003E3DE9"/>
    <w:rsid w:val="003E43AB"/>
    <w:rsid w:val="003E4CD0"/>
    <w:rsid w:val="003E532C"/>
    <w:rsid w:val="003E5690"/>
    <w:rsid w:val="003E59B6"/>
    <w:rsid w:val="003E5C55"/>
    <w:rsid w:val="003E5EC1"/>
    <w:rsid w:val="003E6860"/>
    <w:rsid w:val="003E694C"/>
    <w:rsid w:val="003E69BB"/>
    <w:rsid w:val="003E7034"/>
    <w:rsid w:val="003E7094"/>
    <w:rsid w:val="003E7585"/>
    <w:rsid w:val="003E7D83"/>
    <w:rsid w:val="003F03A4"/>
    <w:rsid w:val="003F0B6A"/>
    <w:rsid w:val="003F1B5C"/>
    <w:rsid w:val="003F1C16"/>
    <w:rsid w:val="003F1DDE"/>
    <w:rsid w:val="003F2011"/>
    <w:rsid w:val="003F221A"/>
    <w:rsid w:val="003F2423"/>
    <w:rsid w:val="003F2438"/>
    <w:rsid w:val="003F25B2"/>
    <w:rsid w:val="003F28E5"/>
    <w:rsid w:val="003F2C00"/>
    <w:rsid w:val="003F2D3B"/>
    <w:rsid w:val="003F2F6F"/>
    <w:rsid w:val="003F3025"/>
    <w:rsid w:val="003F3099"/>
    <w:rsid w:val="003F3813"/>
    <w:rsid w:val="003F39BC"/>
    <w:rsid w:val="003F4882"/>
    <w:rsid w:val="003F4AF9"/>
    <w:rsid w:val="003F4B1E"/>
    <w:rsid w:val="003F4EE0"/>
    <w:rsid w:val="003F4EE4"/>
    <w:rsid w:val="003F5129"/>
    <w:rsid w:val="003F5436"/>
    <w:rsid w:val="003F54B7"/>
    <w:rsid w:val="003F5F76"/>
    <w:rsid w:val="003F6102"/>
    <w:rsid w:val="003F61DE"/>
    <w:rsid w:val="003F63CC"/>
    <w:rsid w:val="003F67FD"/>
    <w:rsid w:val="003F6B7B"/>
    <w:rsid w:val="003F71CF"/>
    <w:rsid w:val="003F7227"/>
    <w:rsid w:val="003F7665"/>
    <w:rsid w:val="003F76F5"/>
    <w:rsid w:val="003F775E"/>
    <w:rsid w:val="003F7AA3"/>
    <w:rsid w:val="003F7F54"/>
    <w:rsid w:val="003F7FD8"/>
    <w:rsid w:val="003FC313"/>
    <w:rsid w:val="004001F7"/>
    <w:rsid w:val="0040069C"/>
    <w:rsid w:val="004006E4"/>
    <w:rsid w:val="00400D5C"/>
    <w:rsid w:val="00400E95"/>
    <w:rsid w:val="004013A2"/>
    <w:rsid w:val="004019E0"/>
    <w:rsid w:val="00401D92"/>
    <w:rsid w:val="00401E3C"/>
    <w:rsid w:val="00401F6F"/>
    <w:rsid w:val="0040202C"/>
    <w:rsid w:val="0040220D"/>
    <w:rsid w:val="00402463"/>
    <w:rsid w:val="00402693"/>
    <w:rsid w:val="0040297B"/>
    <w:rsid w:val="004029CA"/>
    <w:rsid w:val="0040303D"/>
    <w:rsid w:val="00403417"/>
    <w:rsid w:val="004037FE"/>
    <w:rsid w:val="004040E0"/>
    <w:rsid w:val="00404276"/>
    <w:rsid w:val="0040497A"/>
    <w:rsid w:val="00404A67"/>
    <w:rsid w:val="00405025"/>
    <w:rsid w:val="004051DC"/>
    <w:rsid w:val="004053D1"/>
    <w:rsid w:val="00405D25"/>
    <w:rsid w:val="00405E22"/>
    <w:rsid w:val="00405E5B"/>
    <w:rsid w:val="00405FCF"/>
    <w:rsid w:val="00406073"/>
    <w:rsid w:val="00406C05"/>
    <w:rsid w:val="00406EC7"/>
    <w:rsid w:val="00406F26"/>
    <w:rsid w:val="00407652"/>
    <w:rsid w:val="004076AE"/>
    <w:rsid w:val="00407999"/>
    <w:rsid w:val="00407E94"/>
    <w:rsid w:val="0040CED7"/>
    <w:rsid w:val="0041009B"/>
    <w:rsid w:val="0041056D"/>
    <w:rsid w:val="0041090F"/>
    <w:rsid w:val="004109B7"/>
    <w:rsid w:val="00410ED0"/>
    <w:rsid w:val="004111B8"/>
    <w:rsid w:val="00411AED"/>
    <w:rsid w:val="00411FA1"/>
    <w:rsid w:val="00411FC0"/>
    <w:rsid w:val="00412045"/>
    <w:rsid w:val="00412052"/>
    <w:rsid w:val="0041278D"/>
    <w:rsid w:val="0041285F"/>
    <w:rsid w:val="00412AC1"/>
    <w:rsid w:val="00412FFC"/>
    <w:rsid w:val="00413002"/>
    <w:rsid w:val="00413206"/>
    <w:rsid w:val="00413412"/>
    <w:rsid w:val="004134ED"/>
    <w:rsid w:val="004135BC"/>
    <w:rsid w:val="00413DBE"/>
    <w:rsid w:val="00413FD8"/>
    <w:rsid w:val="004140C5"/>
    <w:rsid w:val="004142B3"/>
    <w:rsid w:val="004144ED"/>
    <w:rsid w:val="0041451F"/>
    <w:rsid w:val="00414DA5"/>
    <w:rsid w:val="00415212"/>
    <w:rsid w:val="004155C3"/>
    <w:rsid w:val="004161EE"/>
    <w:rsid w:val="004168CC"/>
    <w:rsid w:val="00416F50"/>
    <w:rsid w:val="00417559"/>
    <w:rsid w:val="004175C2"/>
    <w:rsid w:val="0041785C"/>
    <w:rsid w:val="00417871"/>
    <w:rsid w:val="004179C2"/>
    <w:rsid w:val="004179F5"/>
    <w:rsid w:val="00417B4A"/>
    <w:rsid w:val="0042011E"/>
    <w:rsid w:val="00420314"/>
    <w:rsid w:val="00420D3A"/>
    <w:rsid w:val="00420E85"/>
    <w:rsid w:val="00421374"/>
    <w:rsid w:val="00421C3F"/>
    <w:rsid w:val="00421CBC"/>
    <w:rsid w:val="00422304"/>
    <w:rsid w:val="004223E8"/>
    <w:rsid w:val="0042249C"/>
    <w:rsid w:val="004225EB"/>
    <w:rsid w:val="00422687"/>
    <w:rsid w:val="00422A82"/>
    <w:rsid w:val="00422C20"/>
    <w:rsid w:val="00422C33"/>
    <w:rsid w:val="00422F69"/>
    <w:rsid w:val="004233A8"/>
    <w:rsid w:val="004237BA"/>
    <w:rsid w:val="00423FE7"/>
    <w:rsid w:val="0042454E"/>
    <w:rsid w:val="00424972"/>
    <w:rsid w:val="00424C35"/>
    <w:rsid w:val="00424D50"/>
    <w:rsid w:val="00425244"/>
    <w:rsid w:val="00425255"/>
    <w:rsid w:val="004259AE"/>
    <w:rsid w:val="00425C20"/>
    <w:rsid w:val="00425F2B"/>
    <w:rsid w:val="00425F75"/>
    <w:rsid w:val="00425FB2"/>
    <w:rsid w:val="004262E5"/>
    <w:rsid w:val="004264F5"/>
    <w:rsid w:val="00426649"/>
    <w:rsid w:val="00426B5A"/>
    <w:rsid w:val="00426B97"/>
    <w:rsid w:val="00426C48"/>
    <w:rsid w:val="00426F25"/>
    <w:rsid w:val="00427235"/>
    <w:rsid w:val="004279D0"/>
    <w:rsid w:val="004279FB"/>
    <w:rsid w:val="00427EE0"/>
    <w:rsid w:val="004303F2"/>
    <w:rsid w:val="0043047E"/>
    <w:rsid w:val="004306CC"/>
    <w:rsid w:val="00430835"/>
    <w:rsid w:val="00430BBC"/>
    <w:rsid w:val="004314A2"/>
    <w:rsid w:val="0043191E"/>
    <w:rsid w:val="004319C6"/>
    <w:rsid w:val="00431CA7"/>
    <w:rsid w:val="00431D3F"/>
    <w:rsid w:val="00431D4C"/>
    <w:rsid w:val="00432612"/>
    <w:rsid w:val="004327DD"/>
    <w:rsid w:val="0043293F"/>
    <w:rsid w:val="00432B38"/>
    <w:rsid w:val="00433140"/>
    <w:rsid w:val="0043361C"/>
    <w:rsid w:val="00433DEB"/>
    <w:rsid w:val="00434211"/>
    <w:rsid w:val="004346BF"/>
    <w:rsid w:val="00434CD8"/>
    <w:rsid w:val="00435616"/>
    <w:rsid w:val="00435A69"/>
    <w:rsid w:val="00435FA9"/>
    <w:rsid w:val="0043627D"/>
    <w:rsid w:val="00436C72"/>
    <w:rsid w:val="0043705D"/>
    <w:rsid w:val="004372EF"/>
    <w:rsid w:val="00437571"/>
    <w:rsid w:val="004376C6"/>
    <w:rsid w:val="00437CA2"/>
    <w:rsid w:val="00440157"/>
    <w:rsid w:val="004402CE"/>
    <w:rsid w:val="004402FF"/>
    <w:rsid w:val="00440578"/>
    <w:rsid w:val="004406FD"/>
    <w:rsid w:val="00440723"/>
    <w:rsid w:val="00440B05"/>
    <w:rsid w:val="00440C86"/>
    <w:rsid w:val="00440DE0"/>
    <w:rsid w:val="00441485"/>
    <w:rsid w:val="004414D6"/>
    <w:rsid w:val="0044163D"/>
    <w:rsid w:val="004417DD"/>
    <w:rsid w:val="0044181B"/>
    <w:rsid w:val="00441BA3"/>
    <w:rsid w:val="0044214B"/>
    <w:rsid w:val="00442959"/>
    <w:rsid w:val="00442AA8"/>
    <w:rsid w:val="00442BF0"/>
    <w:rsid w:val="00442C14"/>
    <w:rsid w:val="00442F8F"/>
    <w:rsid w:val="00443A21"/>
    <w:rsid w:val="00443A83"/>
    <w:rsid w:val="004445A4"/>
    <w:rsid w:val="004445B1"/>
    <w:rsid w:val="00444A5A"/>
    <w:rsid w:val="004451C8"/>
    <w:rsid w:val="004452B9"/>
    <w:rsid w:val="00445411"/>
    <w:rsid w:val="00445566"/>
    <w:rsid w:val="00445A4C"/>
    <w:rsid w:val="00445CA5"/>
    <w:rsid w:val="004460BB"/>
    <w:rsid w:val="00446189"/>
    <w:rsid w:val="00446E19"/>
    <w:rsid w:val="00447453"/>
    <w:rsid w:val="0044769E"/>
    <w:rsid w:val="00447E01"/>
    <w:rsid w:val="0045027D"/>
    <w:rsid w:val="004503D0"/>
    <w:rsid w:val="004504AD"/>
    <w:rsid w:val="00450558"/>
    <w:rsid w:val="0045062D"/>
    <w:rsid w:val="00450800"/>
    <w:rsid w:val="00450948"/>
    <w:rsid w:val="00450B59"/>
    <w:rsid w:val="00450C0E"/>
    <w:rsid w:val="00450C35"/>
    <w:rsid w:val="00450C58"/>
    <w:rsid w:val="0045150C"/>
    <w:rsid w:val="0045178D"/>
    <w:rsid w:val="004518FF"/>
    <w:rsid w:val="004519AC"/>
    <w:rsid w:val="00451A8B"/>
    <w:rsid w:val="00451BBE"/>
    <w:rsid w:val="00451E2E"/>
    <w:rsid w:val="0045253F"/>
    <w:rsid w:val="00453160"/>
    <w:rsid w:val="00453684"/>
    <w:rsid w:val="00453834"/>
    <w:rsid w:val="0045394C"/>
    <w:rsid w:val="00453E64"/>
    <w:rsid w:val="0045447E"/>
    <w:rsid w:val="00454B42"/>
    <w:rsid w:val="00454F26"/>
    <w:rsid w:val="0045652E"/>
    <w:rsid w:val="00456A36"/>
    <w:rsid w:val="00457897"/>
    <w:rsid w:val="00457913"/>
    <w:rsid w:val="00457977"/>
    <w:rsid w:val="00457F71"/>
    <w:rsid w:val="004605A7"/>
    <w:rsid w:val="004608BF"/>
    <w:rsid w:val="0046097C"/>
    <w:rsid w:val="00460CD2"/>
    <w:rsid w:val="00460E5A"/>
    <w:rsid w:val="00461070"/>
    <w:rsid w:val="00461161"/>
    <w:rsid w:val="004612EE"/>
    <w:rsid w:val="0046166A"/>
    <w:rsid w:val="00461910"/>
    <w:rsid w:val="00461D48"/>
    <w:rsid w:val="004624CC"/>
    <w:rsid w:val="00462562"/>
    <w:rsid w:val="004625C9"/>
    <w:rsid w:val="004625F1"/>
    <w:rsid w:val="00462617"/>
    <w:rsid w:val="0046267E"/>
    <w:rsid w:val="004628FF"/>
    <w:rsid w:val="00462BAF"/>
    <w:rsid w:val="00462C44"/>
    <w:rsid w:val="00462E1C"/>
    <w:rsid w:val="00462E23"/>
    <w:rsid w:val="0046350C"/>
    <w:rsid w:val="00463C42"/>
    <w:rsid w:val="00464D7E"/>
    <w:rsid w:val="00465343"/>
    <w:rsid w:val="00465750"/>
    <w:rsid w:val="00466220"/>
    <w:rsid w:val="004662F5"/>
    <w:rsid w:val="004665E4"/>
    <w:rsid w:val="00466E2A"/>
    <w:rsid w:val="004676DA"/>
    <w:rsid w:val="00467AB7"/>
    <w:rsid w:val="00467E69"/>
    <w:rsid w:val="00470106"/>
    <w:rsid w:val="0047073A"/>
    <w:rsid w:val="00470AF5"/>
    <w:rsid w:val="00470C42"/>
    <w:rsid w:val="004712FF"/>
    <w:rsid w:val="004714A7"/>
    <w:rsid w:val="00471777"/>
    <w:rsid w:val="00471A3F"/>
    <w:rsid w:val="00471EF5"/>
    <w:rsid w:val="0047255F"/>
    <w:rsid w:val="004725DB"/>
    <w:rsid w:val="0047271F"/>
    <w:rsid w:val="0047299D"/>
    <w:rsid w:val="00472A1F"/>
    <w:rsid w:val="00472B9D"/>
    <w:rsid w:val="00472CBC"/>
    <w:rsid w:val="00472F44"/>
    <w:rsid w:val="00472FAF"/>
    <w:rsid w:val="00473016"/>
    <w:rsid w:val="0047322A"/>
    <w:rsid w:val="004736CC"/>
    <w:rsid w:val="0047399F"/>
    <w:rsid w:val="00473F28"/>
    <w:rsid w:val="00474272"/>
    <w:rsid w:val="00474FBC"/>
    <w:rsid w:val="004756EB"/>
    <w:rsid w:val="004757D3"/>
    <w:rsid w:val="00475804"/>
    <w:rsid w:val="00475A60"/>
    <w:rsid w:val="00475E33"/>
    <w:rsid w:val="00475F52"/>
    <w:rsid w:val="0047602E"/>
    <w:rsid w:val="0047688E"/>
    <w:rsid w:val="00476B59"/>
    <w:rsid w:val="00477217"/>
    <w:rsid w:val="0047753D"/>
    <w:rsid w:val="00477E82"/>
    <w:rsid w:val="00480301"/>
    <w:rsid w:val="00480888"/>
    <w:rsid w:val="00480BBC"/>
    <w:rsid w:val="00480F90"/>
    <w:rsid w:val="00481AEE"/>
    <w:rsid w:val="00481BEA"/>
    <w:rsid w:val="00481C2B"/>
    <w:rsid w:val="00482059"/>
    <w:rsid w:val="004821EA"/>
    <w:rsid w:val="004822BF"/>
    <w:rsid w:val="00482343"/>
    <w:rsid w:val="0048234A"/>
    <w:rsid w:val="00482463"/>
    <w:rsid w:val="004833BB"/>
    <w:rsid w:val="00483641"/>
    <w:rsid w:val="00483C32"/>
    <w:rsid w:val="00483D84"/>
    <w:rsid w:val="00483F94"/>
    <w:rsid w:val="00484493"/>
    <w:rsid w:val="00484731"/>
    <w:rsid w:val="00484A6C"/>
    <w:rsid w:val="00484B17"/>
    <w:rsid w:val="00484C09"/>
    <w:rsid w:val="00484C5D"/>
    <w:rsid w:val="00484D3E"/>
    <w:rsid w:val="004851B1"/>
    <w:rsid w:val="00485365"/>
    <w:rsid w:val="004853A6"/>
    <w:rsid w:val="004857AF"/>
    <w:rsid w:val="00485BD6"/>
    <w:rsid w:val="004860E7"/>
    <w:rsid w:val="0048623B"/>
    <w:rsid w:val="0048631F"/>
    <w:rsid w:val="004864F9"/>
    <w:rsid w:val="00486510"/>
    <w:rsid w:val="004865A7"/>
    <w:rsid w:val="00486678"/>
    <w:rsid w:val="004867B6"/>
    <w:rsid w:val="00486912"/>
    <w:rsid w:val="00486C81"/>
    <w:rsid w:val="00486CB4"/>
    <w:rsid w:val="00486F11"/>
    <w:rsid w:val="00487134"/>
    <w:rsid w:val="0048728D"/>
    <w:rsid w:val="00487406"/>
    <w:rsid w:val="00487422"/>
    <w:rsid w:val="0048749A"/>
    <w:rsid w:val="004874A9"/>
    <w:rsid w:val="00487635"/>
    <w:rsid w:val="00487656"/>
    <w:rsid w:val="00487A48"/>
    <w:rsid w:val="00487FAD"/>
    <w:rsid w:val="00490133"/>
    <w:rsid w:val="0049038B"/>
    <w:rsid w:val="0049055F"/>
    <w:rsid w:val="004916D1"/>
    <w:rsid w:val="00491925"/>
    <w:rsid w:val="00491D45"/>
    <w:rsid w:val="00491E49"/>
    <w:rsid w:val="00491FAD"/>
    <w:rsid w:val="0049232C"/>
    <w:rsid w:val="0049234F"/>
    <w:rsid w:val="0049259F"/>
    <w:rsid w:val="004926D0"/>
    <w:rsid w:val="004928A0"/>
    <w:rsid w:val="00492962"/>
    <w:rsid w:val="004933BF"/>
    <w:rsid w:val="00493516"/>
    <w:rsid w:val="00493D1F"/>
    <w:rsid w:val="00493DFB"/>
    <w:rsid w:val="0049467D"/>
    <w:rsid w:val="004948EB"/>
    <w:rsid w:val="004949F6"/>
    <w:rsid w:val="00494ACC"/>
    <w:rsid w:val="00494EC0"/>
    <w:rsid w:val="00495293"/>
    <w:rsid w:val="004952FE"/>
    <w:rsid w:val="004955CC"/>
    <w:rsid w:val="00495798"/>
    <w:rsid w:val="00495870"/>
    <w:rsid w:val="00495D47"/>
    <w:rsid w:val="00496027"/>
    <w:rsid w:val="004964F6"/>
    <w:rsid w:val="00496B0A"/>
    <w:rsid w:val="00496CE7"/>
    <w:rsid w:val="004972A3"/>
    <w:rsid w:val="00497434"/>
    <w:rsid w:val="00497810"/>
    <w:rsid w:val="00497A35"/>
    <w:rsid w:val="00497F52"/>
    <w:rsid w:val="004A0338"/>
    <w:rsid w:val="004A06B7"/>
    <w:rsid w:val="004A1091"/>
    <w:rsid w:val="004A11FC"/>
    <w:rsid w:val="004A1354"/>
    <w:rsid w:val="004A1AE3"/>
    <w:rsid w:val="004A2055"/>
    <w:rsid w:val="004A222C"/>
    <w:rsid w:val="004A2382"/>
    <w:rsid w:val="004A23F3"/>
    <w:rsid w:val="004A2714"/>
    <w:rsid w:val="004A2F4D"/>
    <w:rsid w:val="004A3690"/>
    <w:rsid w:val="004A4084"/>
    <w:rsid w:val="004A411B"/>
    <w:rsid w:val="004A43FE"/>
    <w:rsid w:val="004A45CB"/>
    <w:rsid w:val="004A4AAB"/>
    <w:rsid w:val="004A4D4D"/>
    <w:rsid w:val="004A50AE"/>
    <w:rsid w:val="004A5556"/>
    <w:rsid w:val="004A57D5"/>
    <w:rsid w:val="004A5F6D"/>
    <w:rsid w:val="004A600C"/>
    <w:rsid w:val="004A6698"/>
    <w:rsid w:val="004A68AD"/>
    <w:rsid w:val="004A6D72"/>
    <w:rsid w:val="004A6E33"/>
    <w:rsid w:val="004A71E2"/>
    <w:rsid w:val="004A749B"/>
    <w:rsid w:val="004B01AA"/>
    <w:rsid w:val="004B0529"/>
    <w:rsid w:val="004B085A"/>
    <w:rsid w:val="004B0926"/>
    <w:rsid w:val="004B0A19"/>
    <w:rsid w:val="004B11FF"/>
    <w:rsid w:val="004B157B"/>
    <w:rsid w:val="004B172E"/>
    <w:rsid w:val="004B19C8"/>
    <w:rsid w:val="004B1D3D"/>
    <w:rsid w:val="004B1DF1"/>
    <w:rsid w:val="004B21BC"/>
    <w:rsid w:val="004B27C6"/>
    <w:rsid w:val="004B2968"/>
    <w:rsid w:val="004B29DE"/>
    <w:rsid w:val="004B2E19"/>
    <w:rsid w:val="004B2E9A"/>
    <w:rsid w:val="004B36F6"/>
    <w:rsid w:val="004B39EF"/>
    <w:rsid w:val="004B3A86"/>
    <w:rsid w:val="004B3C55"/>
    <w:rsid w:val="004B424C"/>
    <w:rsid w:val="004B4701"/>
    <w:rsid w:val="004B4C9E"/>
    <w:rsid w:val="004B5A21"/>
    <w:rsid w:val="004B5AD7"/>
    <w:rsid w:val="004B621C"/>
    <w:rsid w:val="004B626C"/>
    <w:rsid w:val="004B62FA"/>
    <w:rsid w:val="004B635E"/>
    <w:rsid w:val="004B64A7"/>
    <w:rsid w:val="004B65D6"/>
    <w:rsid w:val="004B681A"/>
    <w:rsid w:val="004B6F7D"/>
    <w:rsid w:val="004B7484"/>
    <w:rsid w:val="004B773D"/>
    <w:rsid w:val="004B7947"/>
    <w:rsid w:val="004B7BD3"/>
    <w:rsid w:val="004B7D03"/>
    <w:rsid w:val="004B7D47"/>
    <w:rsid w:val="004C0426"/>
    <w:rsid w:val="004C0479"/>
    <w:rsid w:val="004C04CF"/>
    <w:rsid w:val="004C056B"/>
    <w:rsid w:val="004C07A2"/>
    <w:rsid w:val="004C09C1"/>
    <w:rsid w:val="004C0AAF"/>
    <w:rsid w:val="004C0B4E"/>
    <w:rsid w:val="004C0CE6"/>
    <w:rsid w:val="004C0DDF"/>
    <w:rsid w:val="004C12D0"/>
    <w:rsid w:val="004C133D"/>
    <w:rsid w:val="004C1475"/>
    <w:rsid w:val="004C1489"/>
    <w:rsid w:val="004C1726"/>
    <w:rsid w:val="004C1916"/>
    <w:rsid w:val="004C1C62"/>
    <w:rsid w:val="004C1DF5"/>
    <w:rsid w:val="004C1F24"/>
    <w:rsid w:val="004C23BB"/>
    <w:rsid w:val="004C273A"/>
    <w:rsid w:val="004C283B"/>
    <w:rsid w:val="004C2B21"/>
    <w:rsid w:val="004C2E88"/>
    <w:rsid w:val="004C3156"/>
    <w:rsid w:val="004C3171"/>
    <w:rsid w:val="004C321A"/>
    <w:rsid w:val="004C36CF"/>
    <w:rsid w:val="004C38D9"/>
    <w:rsid w:val="004C3AB4"/>
    <w:rsid w:val="004C3D99"/>
    <w:rsid w:val="004C3F11"/>
    <w:rsid w:val="004C42A0"/>
    <w:rsid w:val="004C4603"/>
    <w:rsid w:val="004C475F"/>
    <w:rsid w:val="004C479F"/>
    <w:rsid w:val="004C4812"/>
    <w:rsid w:val="004C4B11"/>
    <w:rsid w:val="004C52DF"/>
    <w:rsid w:val="004C5501"/>
    <w:rsid w:val="004C5913"/>
    <w:rsid w:val="004C59A0"/>
    <w:rsid w:val="004C5C3F"/>
    <w:rsid w:val="004C6060"/>
    <w:rsid w:val="004C64DC"/>
    <w:rsid w:val="004C697A"/>
    <w:rsid w:val="004C6D56"/>
    <w:rsid w:val="004C6FC7"/>
    <w:rsid w:val="004C76EB"/>
    <w:rsid w:val="004C7846"/>
    <w:rsid w:val="004C7DE5"/>
    <w:rsid w:val="004C7F68"/>
    <w:rsid w:val="004D000C"/>
    <w:rsid w:val="004D038F"/>
    <w:rsid w:val="004D0895"/>
    <w:rsid w:val="004D0D51"/>
    <w:rsid w:val="004D0DB7"/>
    <w:rsid w:val="004D0FD4"/>
    <w:rsid w:val="004D1088"/>
    <w:rsid w:val="004D109E"/>
    <w:rsid w:val="004D10A4"/>
    <w:rsid w:val="004D16F6"/>
    <w:rsid w:val="004D1722"/>
    <w:rsid w:val="004D212F"/>
    <w:rsid w:val="004D29E2"/>
    <w:rsid w:val="004D2B40"/>
    <w:rsid w:val="004D306B"/>
    <w:rsid w:val="004D3452"/>
    <w:rsid w:val="004D3521"/>
    <w:rsid w:val="004D35D0"/>
    <w:rsid w:val="004D372B"/>
    <w:rsid w:val="004D3C93"/>
    <w:rsid w:val="004D4280"/>
    <w:rsid w:val="004D44E2"/>
    <w:rsid w:val="004D48B8"/>
    <w:rsid w:val="004D5496"/>
    <w:rsid w:val="004D5647"/>
    <w:rsid w:val="004D58A6"/>
    <w:rsid w:val="004D5A84"/>
    <w:rsid w:val="004D5AA4"/>
    <w:rsid w:val="004D5AF6"/>
    <w:rsid w:val="004D5C71"/>
    <w:rsid w:val="004D621C"/>
    <w:rsid w:val="004D6784"/>
    <w:rsid w:val="004D6975"/>
    <w:rsid w:val="004D6EF8"/>
    <w:rsid w:val="004D70B9"/>
    <w:rsid w:val="004D71FD"/>
    <w:rsid w:val="004D7824"/>
    <w:rsid w:val="004D7984"/>
    <w:rsid w:val="004D7ADC"/>
    <w:rsid w:val="004E005D"/>
    <w:rsid w:val="004E00FE"/>
    <w:rsid w:val="004E03D9"/>
    <w:rsid w:val="004E0659"/>
    <w:rsid w:val="004E0718"/>
    <w:rsid w:val="004E0EE2"/>
    <w:rsid w:val="004E120A"/>
    <w:rsid w:val="004E13DB"/>
    <w:rsid w:val="004E1A06"/>
    <w:rsid w:val="004E1EBA"/>
    <w:rsid w:val="004E1EF6"/>
    <w:rsid w:val="004E2803"/>
    <w:rsid w:val="004E2B2E"/>
    <w:rsid w:val="004E359E"/>
    <w:rsid w:val="004E3A53"/>
    <w:rsid w:val="004E3C6B"/>
    <w:rsid w:val="004E3F6B"/>
    <w:rsid w:val="004E3F84"/>
    <w:rsid w:val="004E463E"/>
    <w:rsid w:val="004E4673"/>
    <w:rsid w:val="004E4E44"/>
    <w:rsid w:val="004E55E3"/>
    <w:rsid w:val="004E5737"/>
    <w:rsid w:val="004E59BF"/>
    <w:rsid w:val="004E5B7B"/>
    <w:rsid w:val="004E636A"/>
    <w:rsid w:val="004E6373"/>
    <w:rsid w:val="004E6872"/>
    <w:rsid w:val="004E6B7A"/>
    <w:rsid w:val="004E70C5"/>
    <w:rsid w:val="004E73DE"/>
    <w:rsid w:val="004E7546"/>
    <w:rsid w:val="004E7581"/>
    <w:rsid w:val="004E787D"/>
    <w:rsid w:val="004F02C6"/>
    <w:rsid w:val="004F08EA"/>
    <w:rsid w:val="004F0944"/>
    <w:rsid w:val="004F0C43"/>
    <w:rsid w:val="004F137D"/>
    <w:rsid w:val="004F1460"/>
    <w:rsid w:val="004F17E0"/>
    <w:rsid w:val="004F1D44"/>
    <w:rsid w:val="004F1E0C"/>
    <w:rsid w:val="004F22EA"/>
    <w:rsid w:val="004F29A4"/>
    <w:rsid w:val="004F2AFF"/>
    <w:rsid w:val="004F3338"/>
    <w:rsid w:val="004F358B"/>
    <w:rsid w:val="004F3709"/>
    <w:rsid w:val="004F3B8A"/>
    <w:rsid w:val="004F3B9A"/>
    <w:rsid w:val="004F3DA8"/>
    <w:rsid w:val="004F4034"/>
    <w:rsid w:val="004F4048"/>
    <w:rsid w:val="004F480A"/>
    <w:rsid w:val="004F4974"/>
    <w:rsid w:val="004F4F96"/>
    <w:rsid w:val="004F5242"/>
    <w:rsid w:val="004F542F"/>
    <w:rsid w:val="004F5B35"/>
    <w:rsid w:val="004F5B65"/>
    <w:rsid w:val="004F5D40"/>
    <w:rsid w:val="004F6127"/>
    <w:rsid w:val="004F6865"/>
    <w:rsid w:val="004F74DE"/>
    <w:rsid w:val="004F76E6"/>
    <w:rsid w:val="004F79DD"/>
    <w:rsid w:val="004F7E8A"/>
    <w:rsid w:val="004F7F22"/>
    <w:rsid w:val="00500757"/>
    <w:rsid w:val="00500880"/>
    <w:rsid w:val="00500882"/>
    <w:rsid w:val="00500B01"/>
    <w:rsid w:val="00500F02"/>
    <w:rsid w:val="00500FA4"/>
    <w:rsid w:val="00501053"/>
    <w:rsid w:val="005015D9"/>
    <w:rsid w:val="00501BF8"/>
    <w:rsid w:val="00501D9C"/>
    <w:rsid w:val="00501DB7"/>
    <w:rsid w:val="00501E5C"/>
    <w:rsid w:val="00501EAE"/>
    <w:rsid w:val="00501F01"/>
    <w:rsid w:val="0050208D"/>
    <w:rsid w:val="00502093"/>
    <w:rsid w:val="005020ED"/>
    <w:rsid w:val="00502899"/>
    <w:rsid w:val="00502BAC"/>
    <w:rsid w:val="00502C10"/>
    <w:rsid w:val="00502CCC"/>
    <w:rsid w:val="005032CB"/>
    <w:rsid w:val="00503600"/>
    <w:rsid w:val="00503B99"/>
    <w:rsid w:val="00503BD9"/>
    <w:rsid w:val="00503D68"/>
    <w:rsid w:val="00503FB2"/>
    <w:rsid w:val="0050418B"/>
    <w:rsid w:val="005041DC"/>
    <w:rsid w:val="0050483E"/>
    <w:rsid w:val="0050487B"/>
    <w:rsid w:val="00504C66"/>
    <w:rsid w:val="00504FAB"/>
    <w:rsid w:val="00504FB0"/>
    <w:rsid w:val="00505AB3"/>
    <w:rsid w:val="00505B2B"/>
    <w:rsid w:val="0050609A"/>
    <w:rsid w:val="00506414"/>
    <w:rsid w:val="00506771"/>
    <w:rsid w:val="00506AA5"/>
    <w:rsid w:val="00506FEC"/>
    <w:rsid w:val="005071D2"/>
    <w:rsid w:val="005073F2"/>
    <w:rsid w:val="00507671"/>
    <w:rsid w:val="005076BB"/>
    <w:rsid w:val="00507819"/>
    <w:rsid w:val="005102C3"/>
    <w:rsid w:val="005103EB"/>
    <w:rsid w:val="00510BDE"/>
    <w:rsid w:val="00510F3E"/>
    <w:rsid w:val="00510FD6"/>
    <w:rsid w:val="0051122A"/>
    <w:rsid w:val="00511303"/>
    <w:rsid w:val="005115FB"/>
    <w:rsid w:val="00511CE7"/>
    <w:rsid w:val="00511E30"/>
    <w:rsid w:val="00512398"/>
    <w:rsid w:val="005126A4"/>
    <w:rsid w:val="005130E5"/>
    <w:rsid w:val="00513544"/>
    <w:rsid w:val="00513856"/>
    <w:rsid w:val="00513A93"/>
    <w:rsid w:val="00513E25"/>
    <w:rsid w:val="00513E84"/>
    <w:rsid w:val="00514285"/>
    <w:rsid w:val="00514456"/>
    <w:rsid w:val="00514770"/>
    <w:rsid w:val="00514B23"/>
    <w:rsid w:val="00514B2A"/>
    <w:rsid w:val="00514F4D"/>
    <w:rsid w:val="00515095"/>
    <w:rsid w:val="005158A2"/>
    <w:rsid w:val="0051603F"/>
    <w:rsid w:val="005160A1"/>
    <w:rsid w:val="005167FA"/>
    <w:rsid w:val="00516A6B"/>
    <w:rsid w:val="00516C23"/>
    <w:rsid w:val="0051724D"/>
    <w:rsid w:val="005172A2"/>
    <w:rsid w:val="00517900"/>
    <w:rsid w:val="00517940"/>
    <w:rsid w:val="00517BA2"/>
    <w:rsid w:val="00517BD7"/>
    <w:rsid w:val="005200E3"/>
    <w:rsid w:val="005201A0"/>
    <w:rsid w:val="005203B1"/>
    <w:rsid w:val="005205A8"/>
    <w:rsid w:val="00520B3E"/>
    <w:rsid w:val="00520FD7"/>
    <w:rsid w:val="00521403"/>
    <w:rsid w:val="005214C1"/>
    <w:rsid w:val="00521749"/>
    <w:rsid w:val="005218A9"/>
    <w:rsid w:val="00521BA3"/>
    <w:rsid w:val="00521CD1"/>
    <w:rsid w:val="00521FDE"/>
    <w:rsid w:val="005222FE"/>
    <w:rsid w:val="005227B4"/>
    <w:rsid w:val="00522804"/>
    <w:rsid w:val="00522B63"/>
    <w:rsid w:val="00523115"/>
    <w:rsid w:val="005233F8"/>
    <w:rsid w:val="00523407"/>
    <w:rsid w:val="005238ED"/>
    <w:rsid w:val="00523B80"/>
    <w:rsid w:val="00523CB0"/>
    <w:rsid w:val="00523D6A"/>
    <w:rsid w:val="00523E3B"/>
    <w:rsid w:val="00524475"/>
    <w:rsid w:val="005246A3"/>
    <w:rsid w:val="005248D7"/>
    <w:rsid w:val="00524979"/>
    <w:rsid w:val="0052513A"/>
    <w:rsid w:val="005251C2"/>
    <w:rsid w:val="00525390"/>
    <w:rsid w:val="005256DA"/>
    <w:rsid w:val="00525839"/>
    <w:rsid w:val="005258E4"/>
    <w:rsid w:val="00525B65"/>
    <w:rsid w:val="00525F50"/>
    <w:rsid w:val="0052658E"/>
    <w:rsid w:val="00526697"/>
    <w:rsid w:val="0052670F"/>
    <w:rsid w:val="00526A31"/>
    <w:rsid w:val="00526BAB"/>
    <w:rsid w:val="00527066"/>
    <w:rsid w:val="00527318"/>
    <w:rsid w:val="005275ED"/>
    <w:rsid w:val="00527ABD"/>
    <w:rsid w:val="00527AF4"/>
    <w:rsid w:val="00527C27"/>
    <w:rsid w:val="00527C4A"/>
    <w:rsid w:val="0053019F"/>
    <w:rsid w:val="00530722"/>
    <w:rsid w:val="00530B40"/>
    <w:rsid w:val="005315CD"/>
    <w:rsid w:val="00531C00"/>
    <w:rsid w:val="00531D69"/>
    <w:rsid w:val="00531D6F"/>
    <w:rsid w:val="005320F5"/>
    <w:rsid w:val="0053216B"/>
    <w:rsid w:val="005321EF"/>
    <w:rsid w:val="005321F0"/>
    <w:rsid w:val="00532673"/>
    <w:rsid w:val="00532BEC"/>
    <w:rsid w:val="00532EAB"/>
    <w:rsid w:val="005331D3"/>
    <w:rsid w:val="00533706"/>
    <w:rsid w:val="00534015"/>
    <w:rsid w:val="00534208"/>
    <w:rsid w:val="005344AF"/>
    <w:rsid w:val="0053477D"/>
    <w:rsid w:val="00534858"/>
    <w:rsid w:val="00535753"/>
    <w:rsid w:val="0053593B"/>
    <w:rsid w:val="00535962"/>
    <w:rsid w:val="005359FC"/>
    <w:rsid w:val="00535BBD"/>
    <w:rsid w:val="00535C79"/>
    <w:rsid w:val="00535DEB"/>
    <w:rsid w:val="00536602"/>
    <w:rsid w:val="005367DF"/>
    <w:rsid w:val="00536980"/>
    <w:rsid w:val="00536F62"/>
    <w:rsid w:val="00537B28"/>
    <w:rsid w:val="00537B65"/>
    <w:rsid w:val="00537EFE"/>
    <w:rsid w:val="00537FCC"/>
    <w:rsid w:val="00540DAF"/>
    <w:rsid w:val="00540F43"/>
    <w:rsid w:val="00540F7E"/>
    <w:rsid w:val="00541055"/>
    <w:rsid w:val="00541155"/>
    <w:rsid w:val="00541194"/>
    <w:rsid w:val="00541639"/>
    <w:rsid w:val="00541773"/>
    <w:rsid w:val="00541C3D"/>
    <w:rsid w:val="00541F94"/>
    <w:rsid w:val="00542058"/>
    <w:rsid w:val="005424EC"/>
    <w:rsid w:val="00542546"/>
    <w:rsid w:val="00542AEA"/>
    <w:rsid w:val="00542B6F"/>
    <w:rsid w:val="00542B79"/>
    <w:rsid w:val="00543012"/>
    <w:rsid w:val="00543026"/>
    <w:rsid w:val="005430C7"/>
    <w:rsid w:val="005431AB"/>
    <w:rsid w:val="00543334"/>
    <w:rsid w:val="00543648"/>
    <w:rsid w:val="00543A39"/>
    <w:rsid w:val="00543B08"/>
    <w:rsid w:val="00543C1E"/>
    <w:rsid w:val="00543C3B"/>
    <w:rsid w:val="00543D2D"/>
    <w:rsid w:val="00544422"/>
    <w:rsid w:val="0054474D"/>
    <w:rsid w:val="0054490B"/>
    <w:rsid w:val="0054497D"/>
    <w:rsid w:val="00544BC3"/>
    <w:rsid w:val="00544D73"/>
    <w:rsid w:val="00544FA2"/>
    <w:rsid w:val="00545430"/>
    <w:rsid w:val="00545996"/>
    <w:rsid w:val="00546076"/>
    <w:rsid w:val="00546EFE"/>
    <w:rsid w:val="0054758E"/>
    <w:rsid w:val="0054791D"/>
    <w:rsid w:val="00547E19"/>
    <w:rsid w:val="00550362"/>
    <w:rsid w:val="00550980"/>
    <w:rsid w:val="005509C0"/>
    <w:rsid w:val="00550C1E"/>
    <w:rsid w:val="00550CEB"/>
    <w:rsid w:val="00550D33"/>
    <w:rsid w:val="00551411"/>
    <w:rsid w:val="00551498"/>
    <w:rsid w:val="00551684"/>
    <w:rsid w:val="005517DF"/>
    <w:rsid w:val="00551E77"/>
    <w:rsid w:val="005523E3"/>
    <w:rsid w:val="005528A9"/>
    <w:rsid w:val="00552D5A"/>
    <w:rsid w:val="00552E42"/>
    <w:rsid w:val="00553024"/>
    <w:rsid w:val="00553360"/>
    <w:rsid w:val="005538E3"/>
    <w:rsid w:val="005538F0"/>
    <w:rsid w:val="00553C18"/>
    <w:rsid w:val="00553CFA"/>
    <w:rsid w:val="00553EC2"/>
    <w:rsid w:val="00554046"/>
    <w:rsid w:val="005543F8"/>
    <w:rsid w:val="005545EC"/>
    <w:rsid w:val="00554B77"/>
    <w:rsid w:val="00555007"/>
    <w:rsid w:val="0055572F"/>
    <w:rsid w:val="0055577D"/>
    <w:rsid w:val="00555B14"/>
    <w:rsid w:val="0055645C"/>
    <w:rsid w:val="005567B5"/>
    <w:rsid w:val="00556893"/>
    <w:rsid w:val="005569CF"/>
    <w:rsid w:val="00556E28"/>
    <w:rsid w:val="005577BA"/>
    <w:rsid w:val="00557873"/>
    <w:rsid w:val="00557DD3"/>
    <w:rsid w:val="00560049"/>
    <w:rsid w:val="00560B8C"/>
    <w:rsid w:val="00560EA8"/>
    <w:rsid w:val="00560FED"/>
    <w:rsid w:val="00561227"/>
    <w:rsid w:val="0056134F"/>
    <w:rsid w:val="0056172D"/>
    <w:rsid w:val="00561A54"/>
    <w:rsid w:val="0056236C"/>
    <w:rsid w:val="00562B08"/>
    <w:rsid w:val="00562DE8"/>
    <w:rsid w:val="0056317B"/>
    <w:rsid w:val="005633C0"/>
    <w:rsid w:val="00563600"/>
    <w:rsid w:val="00563E48"/>
    <w:rsid w:val="00564026"/>
    <w:rsid w:val="00564321"/>
    <w:rsid w:val="00564C89"/>
    <w:rsid w:val="0056514A"/>
    <w:rsid w:val="00565216"/>
    <w:rsid w:val="0056545E"/>
    <w:rsid w:val="005658A7"/>
    <w:rsid w:val="00565D28"/>
    <w:rsid w:val="00565FA5"/>
    <w:rsid w:val="0056609E"/>
    <w:rsid w:val="00566201"/>
    <w:rsid w:val="00566575"/>
    <w:rsid w:val="00566587"/>
    <w:rsid w:val="005667D8"/>
    <w:rsid w:val="00566C50"/>
    <w:rsid w:val="005672FA"/>
    <w:rsid w:val="00567416"/>
    <w:rsid w:val="005674D9"/>
    <w:rsid w:val="0056755E"/>
    <w:rsid w:val="005675F4"/>
    <w:rsid w:val="00567740"/>
    <w:rsid w:val="0056783F"/>
    <w:rsid w:val="00567B23"/>
    <w:rsid w:val="00570034"/>
    <w:rsid w:val="00570089"/>
    <w:rsid w:val="00570161"/>
    <w:rsid w:val="005701BE"/>
    <w:rsid w:val="005702A5"/>
    <w:rsid w:val="00570A31"/>
    <w:rsid w:val="00570A43"/>
    <w:rsid w:val="00570E3F"/>
    <w:rsid w:val="00570F93"/>
    <w:rsid w:val="005712A8"/>
    <w:rsid w:val="0057142D"/>
    <w:rsid w:val="0057162F"/>
    <w:rsid w:val="00571CA7"/>
    <w:rsid w:val="0057245C"/>
    <w:rsid w:val="005727B0"/>
    <w:rsid w:val="00572B0D"/>
    <w:rsid w:val="005733C7"/>
    <w:rsid w:val="005735BB"/>
    <w:rsid w:val="00573750"/>
    <w:rsid w:val="005738A6"/>
    <w:rsid w:val="00573D31"/>
    <w:rsid w:val="00573E7D"/>
    <w:rsid w:val="00574738"/>
    <w:rsid w:val="00574783"/>
    <w:rsid w:val="005748D5"/>
    <w:rsid w:val="00574DAD"/>
    <w:rsid w:val="005751E1"/>
    <w:rsid w:val="005753F1"/>
    <w:rsid w:val="00575D30"/>
    <w:rsid w:val="00575E35"/>
    <w:rsid w:val="00575FF9"/>
    <w:rsid w:val="0057689F"/>
    <w:rsid w:val="0057694F"/>
    <w:rsid w:val="00576A7C"/>
    <w:rsid w:val="00576DFF"/>
    <w:rsid w:val="00577087"/>
    <w:rsid w:val="0057751E"/>
    <w:rsid w:val="005777B7"/>
    <w:rsid w:val="00577809"/>
    <w:rsid w:val="00577829"/>
    <w:rsid w:val="005778B8"/>
    <w:rsid w:val="00577AAC"/>
    <w:rsid w:val="00577D1A"/>
    <w:rsid w:val="0058001D"/>
    <w:rsid w:val="0058036E"/>
    <w:rsid w:val="00580514"/>
    <w:rsid w:val="0058068A"/>
    <w:rsid w:val="00580DDB"/>
    <w:rsid w:val="005811A0"/>
    <w:rsid w:val="005814C9"/>
    <w:rsid w:val="00581532"/>
    <w:rsid w:val="00581735"/>
    <w:rsid w:val="005818D8"/>
    <w:rsid w:val="0058204C"/>
    <w:rsid w:val="0058217C"/>
    <w:rsid w:val="00582F25"/>
    <w:rsid w:val="005833E2"/>
    <w:rsid w:val="005834A0"/>
    <w:rsid w:val="005835BC"/>
    <w:rsid w:val="005836B5"/>
    <w:rsid w:val="005843AC"/>
    <w:rsid w:val="005848B3"/>
    <w:rsid w:val="00584922"/>
    <w:rsid w:val="005849A5"/>
    <w:rsid w:val="00584E29"/>
    <w:rsid w:val="00584F51"/>
    <w:rsid w:val="0058547B"/>
    <w:rsid w:val="005855FE"/>
    <w:rsid w:val="00585737"/>
    <w:rsid w:val="0058583B"/>
    <w:rsid w:val="00585C46"/>
    <w:rsid w:val="00585D31"/>
    <w:rsid w:val="00585DFF"/>
    <w:rsid w:val="00586232"/>
    <w:rsid w:val="00586247"/>
    <w:rsid w:val="005863B3"/>
    <w:rsid w:val="005866AF"/>
    <w:rsid w:val="00586A3D"/>
    <w:rsid w:val="00586B24"/>
    <w:rsid w:val="00586DB0"/>
    <w:rsid w:val="00587106"/>
    <w:rsid w:val="0058710F"/>
    <w:rsid w:val="0058769A"/>
    <w:rsid w:val="005876EF"/>
    <w:rsid w:val="00587E66"/>
    <w:rsid w:val="00590467"/>
    <w:rsid w:val="005904BC"/>
    <w:rsid w:val="00590889"/>
    <w:rsid w:val="00590E89"/>
    <w:rsid w:val="00590F3A"/>
    <w:rsid w:val="00590F41"/>
    <w:rsid w:val="00591038"/>
    <w:rsid w:val="00591055"/>
    <w:rsid w:val="0059115D"/>
    <w:rsid w:val="005914C9"/>
    <w:rsid w:val="005919BA"/>
    <w:rsid w:val="00592569"/>
    <w:rsid w:val="005927EB"/>
    <w:rsid w:val="00592B7E"/>
    <w:rsid w:val="00592C60"/>
    <w:rsid w:val="00592D00"/>
    <w:rsid w:val="00593B97"/>
    <w:rsid w:val="00593F10"/>
    <w:rsid w:val="0059456C"/>
    <w:rsid w:val="00594751"/>
    <w:rsid w:val="00594983"/>
    <w:rsid w:val="00594C13"/>
    <w:rsid w:val="00594E51"/>
    <w:rsid w:val="00595FCE"/>
    <w:rsid w:val="005960A2"/>
    <w:rsid w:val="00596B20"/>
    <w:rsid w:val="00596C31"/>
    <w:rsid w:val="00596F12"/>
    <w:rsid w:val="00597361"/>
    <w:rsid w:val="005978C4"/>
    <w:rsid w:val="00597F79"/>
    <w:rsid w:val="005A0B65"/>
    <w:rsid w:val="005A0D6A"/>
    <w:rsid w:val="005A0DAE"/>
    <w:rsid w:val="005A10A6"/>
    <w:rsid w:val="005A1113"/>
    <w:rsid w:val="005A12FB"/>
    <w:rsid w:val="005A1502"/>
    <w:rsid w:val="005A1728"/>
    <w:rsid w:val="005A1B4D"/>
    <w:rsid w:val="005A1BD7"/>
    <w:rsid w:val="005A1D73"/>
    <w:rsid w:val="005A2B30"/>
    <w:rsid w:val="005A2C7A"/>
    <w:rsid w:val="005A2E71"/>
    <w:rsid w:val="005A3677"/>
    <w:rsid w:val="005A38BB"/>
    <w:rsid w:val="005A40DC"/>
    <w:rsid w:val="005A41B8"/>
    <w:rsid w:val="005A498F"/>
    <w:rsid w:val="005A4A44"/>
    <w:rsid w:val="005A51B3"/>
    <w:rsid w:val="005A5398"/>
    <w:rsid w:val="005A574C"/>
    <w:rsid w:val="005A5E70"/>
    <w:rsid w:val="005A6180"/>
    <w:rsid w:val="005A63D4"/>
    <w:rsid w:val="005A65CF"/>
    <w:rsid w:val="005A66EF"/>
    <w:rsid w:val="005A6845"/>
    <w:rsid w:val="005A7239"/>
    <w:rsid w:val="005A7388"/>
    <w:rsid w:val="005A7488"/>
    <w:rsid w:val="005A7915"/>
    <w:rsid w:val="005A7E00"/>
    <w:rsid w:val="005B0017"/>
    <w:rsid w:val="005B038E"/>
    <w:rsid w:val="005B0467"/>
    <w:rsid w:val="005B06E6"/>
    <w:rsid w:val="005B0BD8"/>
    <w:rsid w:val="005B0C37"/>
    <w:rsid w:val="005B1AB4"/>
    <w:rsid w:val="005B1DB4"/>
    <w:rsid w:val="005B1DE9"/>
    <w:rsid w:val="005B2109"/>
    <w:rsid w:val="005B25F9"/>
    <w:rsid w:val="005B27FB"/>
    <w:rsid w:val="005B29FC"/>
    <w:rsid w:val="005B2C02"/>
    <w:rsid w:val="005B37FB"/>
    <w:rsid w:val="005B3B60"/>
    <w:rsid w:val="005B42FF"/>
    <w:rsid w:val="005B4435"/>
    <w:rsid w:val="005B4AE7"/>
    <w:rsid w:val="005B4F02"/>
    <w:rsid w:val="005B4FDD"/>
    <w:rsid w:val="005B5090"/>
    <w:rsid w:val="005B5243"/>
    <w:rsid w:val="005B5E54"/>
    <w:rsid w:val="005B5FC4"/>
    <w:rsid w:val="005B6346"/>
    <w:rsid w:val="005B63A9"/>
    <w:rsid w:val="005B65DC"/>
    <w:rsid w:val="005B6CB3"/>
    <w:rsid w:val="005B6E25"/>
    <w:rsid w:val="005B778F"/>
    <w:rsid w:val="005C028F"/>
    <w:rsid w:val="005C0707"/>
    <w:rsid w:val="005C1746"/>
    <w:rsid w:val="005C1D93"/>
    <w:rsid w:val="005C1E28"/>
    <w:rsid w:val="005C1EC6"/>
    <w:rsid w:val="005C2200"/>
    <w:rsid w:val="005C2338"/>
    <w:rsid w:val="005C2456"/>
    <w:rsid w:val="005C2735"/>
    <w:rsid w:val="005C2900"/>
    <w:rsid w:val="005C292C"/>
    <w:rsid w:val="005C2B78"/>
    <w:rsid w:val="005C32F1"/>
    <w:rsid w:val="005C3757"/>
    <w:rsid w:val="005C3763"/>
    <w:rsid w:val="005C38A2"/>
    <w:rsid w:val="005C3B4D"/>
    <w:rsid w:val="005C3FE6"/>
    <w:rsid w:val="005C3FEB"/>
    <w:rsid w:val="005C419A"/>
    <w:rsid w:val="005C43FE"/>
    <w:rsid w:val="005C45FC"/>
    <w:rsid w:val="005C509A"/>
    <w:rsid w:val="005C50A8"/>
    <w:rsid w:val="005C5605"/>
    <w:rsid w:val="005C5BF4"/>
    <w:rsid w:val="005C5E00"/>
    <w:rsid w:val="005C5E01"/>
    <w:rsid w:val="005C6199"/>
    <w:rsid w:val="005C62D7"/>
    <w:rsid w:val="005C67E0"/>
    <w:rsid w:val="005C6995"/>
    <w:rsid w:val="005C6CB7"/>
    <w:rsid w:val="005C6CC2"/>
    <w:rsid w:val="005C701D"/>
    <w:rsid w:val="005C72FD"/>
    <w:rsid w:val="005C747C"/>
    <w:rsid w:val="005C756A"/>
    <w:rsid w:val="005C75AC"/>
    <w:rsid w:val="005C76C6"/>
    <w:rsid w:val="005C76D8"/>
    <w:rsid w:val="005C79C4"/>
    <w:rsid w:val="005C7C1C"/>
    <w:rsid w:val="005D01FD"/>
    <w:rsid w:val="005D0250"/>
    <w:rsid w:val="005D03BB"/>
    <w:rsid w:val="005D047B"/>
    <w:rsid w:val="005D0700"/>
    <w:rsid w:val="005D070D"/>
    <w:rsid w:val="005D094B"/>
    <w:rsid w:val="005D0AB9"/>
    <w:rsid w:val="005D0C9A"/>
    <w:rsid w:val="005D0EF7"/>
    <w:rsid w:val="005D14FF"/>
    <w:rsid w:val="005D15CF"/>
    <w:rsid w:val="005D198F"/>
    <w:rsid w:val="005D1AD0"/>
    <w:rsid w:val="005D1B9A"/>
    <w:rsid w:val="005D1BA9"/>
    <w:rsid w:val="005D21C8"/>
    <w:rsid w:val="005D238B"/>
    <w:rsid w:val="005D2573"/>
    <w:rsid w:val="005D2721"/>
    <w:rsid w:val="005D27F9"/>
    <w:rsid w:val="005D28AC"/>
    <w:rsid w:val="005D2D14"/>
    <w:rsid w:val="005D3251"/>
    <w:rsid w:val="005D36A8"/>
    <w:rsid w:val="005D3726"/>
    <w:rsid w:val="005D3B82"/>
    <w:rsid w:val="005D3C93"/>
    <w:rsid w:val="005D3F61"/>
    <w:rsid w:val="005D4319"/>
    <w:rsid w:val="005D44C7"/>
    <w:rsid w:val="005D4802"/>
    <w:rsid w:val="005D4D55"/>
    <w:rsid w:val="005D517B"/>
    <w:rsid w:val="005D57D7"/>
    <w:rsid w:val="005D591D"/>
    <w:rsid w:val="005D5C9B"/>
    <w:rsid w:val="005D618B"/>
    <w:rsid w:val="005D68F2"/>
    <w:rsid w:val="005D6B89"/>
    <w:rsid w:val="005D6D2E"/>
    <w:rsid w:val="005D70A1"/>
    <w:rsid w:val="005D72ED"/>
    <w:rsid w:val="005D73A1"/>
    <w:rsid w:val="005D73A4"/>
    <w:rsid w:val="005D75C8"/>
    <w:rsid w:val="005E00A5"/>
    <w:rsid w:val="005E010B"/>
    <w:rsid w:val="005E019A"/>
    <w:rsid w:val="005E0247"/>
    <w:rsid w:val="005E0CE2"/>
    <w:rsid w:val="005E0F2D"/>
    <w:rsid w:val="005E0F33"/>
    <w:rsid w:val="005E137B"/>
    <w:rsid w:val="005E14A8"/>
    <w:rsid w:val="005E15CA"/>
    <w:rsid w:val="005E1F92"/>
    <w:rsid w:val="005E20E2"/>
    <w:rsid w:val="005E24C2"/>
    <w:rsid w:val="005E26D3"/>
    <w:rsid w:val="005E2F98"/>
    <w:rsid w:val="005E321F"/>
    <w:rsid w:val="005E3312"/>
    <w:rsid w:val="005E35F1"/>
    <w:rsid w:val="005E38ED"/>
    <w:rsid w:val="005E3BD3"/>
    <w:rsid w:val="005E3F87"/>
    <w:rsid w:val="005E4020"/>
    <w:rsid w:val="005E4192"/>
    <w:rsid w:val="005E426A"/>
    <w:rsid w:val="005E43CF"/>
    <w:rsid w:val="005E45AD"/>
    <w:rsid w:val="005E4733"/>
    <w:rsid w:val="005E48A4"/>
    <w:rsid w:val="005E490A"/>
    <w:rsid w:val="005E4D5E"/>
    <w:rsid w:val="005E4DAF"/>
    <w:rsid w:val="005E4E8C"/>
    <w:rsid w:val="005E4EA2"/>
    <w:rsid w:val="005E5390"/>
    <w:rsid w:val="005E553D"/>
    <w:rsid w:val="005E607C"/>
    <w:rsid w:val="005E640A"/>
    <w:rsid w:val="005E65EC"/>
    <w:rsid w:val="005E772B"/>
    <w:rsid w:val="005E7B9B"/>
    <w:rsid w:val="005E7E78"/>
    <w:rsid w:val="005E7FC1"/>
    <w:rsid w:val="005F0FE1"/>
    <w:rsid w:val="005F180E"/>
    <w:rsid w:val="005F1B1C"/>
    <w:rsid w:val="005F20A6"/>
    <w:rsid w:val="005F22BA"/>
    <w:rsid w:val="005F2639"/>
    <w:rsid w:val="005F28F9"/>
    <w:rsid w:val="005F2A24"/>
    <w:rsid w:val="005F2B3A"/>
    <w:rsid w:val="005F2F86"/>
    <w:rsid w:val="005F3563"/>
    <w:rsid w:val="005F3911"/>
    <w:rsid w:val="005F3DC6"/>
    <w:rsid w:val="005F3EF3"/>
    <w:rsid w:val="005F411D"/>
    <w:rsid w:val="005F41A2"/>
    <w:rsid w:val="005F4224"/>
    <w:rsid w:val="005F449D"/>
    <w:rsid w:val="005F4E4B"/>
    <w:rsid w:val="005F4FA8"/>
    <w:rsid w:val="005F51DE"/>
    <w:rsid w:val="005F59F0"/>
    <w:rsid w:val="005F5A19"/>
    <w:rsid w:val="005F5CD1"/>
    <w:rsid w:val="005F6146"/>
    <w:rsid w:val="005F6723"/>
    <w:rsid w:val="005F6749"/>
    <w:rsid w:val="005F6DB3"/>
    <w:rsid w:val="005F6E8C"/>
    <w:rsid w:val="005F7077"/>
    <w:rsid w:val="005F7275"/>
    <w:rsid w:val="005F77F8"/>
    <w:rsid w:val="005F7CFE"/>
    <w:rsid w:val="005F7D97"/>
    <w:rsid w:val="006004C1"/>
    <w:rsid w:val="0060071B"/>
    <w:rsid w:val="006008E6"/>
    <w:rsid w:val="006008EB"/>
    <w:rsid w:val="0060187E"/>
    <w:rsid w:val="006019B2"/>
    <w:rsid w:val="00602558"/>
    <w:rsid w:val="00602C68"/>
    <w:rsid w:val="00602D65"/>
    <w:rsid w:val="00603075"/>
    <w:rsid w:val="00603250"/>
    <w:rsid w:val="006037E6"/>
    <w:rsid w:val="00603F5C"/>
    <w:rsid w:val="00603FF1"/>
    <w:rsid w:val="0060407D"/>
    <w:rsid w:val="00604254"/>
    <w:rsid w:val="006042A2"/>
    <w:rsid w:val="0060431A"/>
    <w:rsid w:val="00604345"/>
    <w:rsid w:val="0060436B"/>
    <w:rsid w:val="00605092"/>
    <w:rsid w:val="006051B7"/>
    <w:rsid w:val="00605206"/>
    <w:rsid w:val="00605476"/>
    <w:rsid w:val="00605565"/>
    <w:rsid w:val="00605869"/>
    <w:rsid w:val="0060596D"/>
    <w:rsid w:val="00605D51"/>
    <w:rsid w:val="0060603E"/>
    <w:rsid w:val="00606405"/>
    <w:rsid w:val="006064E8"/>
    <w:rsid w:val="00606583"/>
    <w:rsid w:val="00606954"/>
    <w:rsid w:val="00606B54"/>
    <w:rsid w:val="00607839"/>
    <w:rsid w:val="0060794B"/>
    <w:rsid w:val="00607B7E"/>
    <w:rsid w:val="0061080B"/>
    <w:rsid w:val="00610D22"/>
    <w:rsid w:val="00610DB2"/>
    <w:rsid w:val="00610F12"/>
    <w:rsid w:val="00610FF1"/>
    <w:rsid w:val="006110D0"/>
    <w:rsid w:val="0061115B"/>
    <w:rsid w:val="0061120D"/>
    <w:rsid w:val="00611247"/>
    <w:rsid w:val="00611819"/>
    <w:rsid w:val="00611E8C"/>
    <w:rsid w:val="00611E8E"/>
    <w:rsid w:val="00612538"/>
    <w:rsid w:val="00612B46"/>
    <w:rsid w:val="00612BFF"/>
    <w:rsid w:val="00612F40"/>
    <w:rsid w:val="00612FA1"/>
    <w:rsid w:val="00613449"/>
    <w:rsid w:val="00613636"/>
    <w:rsid w:val="0061371C"/>
    <w:rsid w:val="00613D28"/>
    <w:rsid w:val="00613FD6"/>
    <w:rsid w:val="00614920"/>
    <w:rsid w:val="00614B1B"/>
    <w:rsid w:val="00614C2E"/>
    <w:rsid w:val="00614DC4"/>
    <w:rsid w:val="00615190"/>
    <w:rsid w:val="00615908"/>
    <w:rsid w:val="00615C40"/>
    <w:rsid w:val="00615DF2"/>
    <w:rsid w:val="00615EE0"/>
    <w:rsid w:val="006165D6"/>
    <w:rsid w:val="006165FE"/>
    <w:rsid w:val="006168A4"/>
    <w:rsid w:val="006168B0"/>
    <w:rsid w:val="006169DA"/>
    <w:rsid w:val="00616DF5"/>
    <w:rsid w:val="006171E7"/>
    <w:rsid w:val="006172F1"/>
    <w:rsid w:val="006178BD"/>
    <w:rsid w:val="006179AC"/>
    <w:rsid w:val="00617DA4"/>
    <w:rsid w:val="0062006D"/>
    <w:rsid w:val="0062089A"/>
    <w:rsid w:val="00620BD0"/>
    <w:rsid w:val="00620C1A"/>
    <w:rsid w:val="0062101A"/>
    <w:rsid w:val="00621197"/>
    <w:rsid w:val="0062148D"/>
    <w:rsid w:val="006217DC"/>
    <w:rsid w:val="006217E6"/>
    <w:rsid w:val="00621802"/>
    <w:rsid w:val="00621AED"/>
    <w:rsid w:val="00622575"/>
    <w:rsid w:val="006225E7"/>
    <w:rsid w:val="0062265A"/>
    <w:rsid w:val="00622680"/>
    <w:rsid w:val="00622771"/>
    <w:rsid w:val="0062350B"/>
    <w:rsid w:val="006236DD"/>
    <w:rsid w:val="00623B90"/>
    <w:rsid w:val="00623BEF"/>
    <w:rsid w:val="00623E44"/>
    <w:rsid w:val="0062434E"/>
    <w:rsid w:val="006246A4"/>
    <w:rsid w:val="00624A20"/>
    <w:rsid w:val="00624CAF"/>
    <w:rsid w:val="00625746"/>
    <w:rsid w:val="0062657E"/>
    <w:rsid w:val="006268B2"/>
    <w:rsid w:val="006268D6"/>
    <w:rsid w:val="00626A18"/>
    <w:rsid w:val="00626DE1"/>
    <w:rsid w:val="00626F7F"/>
    <w:rsid w:val="00627020"/>
    <w:rsid w:val="0062729A"/>
    <w:rsid w:val="006278DF"/>
    <w:rsid w:val="00627994"/>
    <w:rsid w:val="00627C6B"/>
    <w:rsid w:val="00627CA2"/>
    <w:rsid w:val="0062E30F"/>
    <w:rsid w:val="00630159"/>
    <w:rsid w:val="0063025E"/>
    <w:rsid w:val="00630488"/>
    <w:rsid w:val="00630543"/>
    <w:rsid w:val="00630894"/>
    <w:rsid w:val="00630B35"/>
    <w:rsid w:val="00630F28"/>
    <w:rsid w:val="00630F46"/>
    <w:rsid w:val="006314E3"/>
    <w:rsid w:val="00631A4E"/>
    <w:rsid w:val="0063215E"/>
    <w:rsid w:val="006323C3"/>
    <w:rsid w:val="00632652"/>
    <w:rsid w:val="00632AA3"/>
    <w:rsid w:val="00632D69"/>
    <w:rsid w:val="00632DBF"/>
    <w:rsid w:val="00632DD3"/>
    <w:rsid w:val="0063335F"/>
    <w:rsid w:val="00633AA5"/>
    <w:rsid w:val="00633BBE"/>
    <w:rsid w:val="00633ECE"/>
    <w:rsid w:val="0063462D"/>
    <w:rsid w:val="00634AFA"/>
    <w:rsid w:val="00635387"/>
    <w:rsid w:val="006354F8"/>
    <w:rsid w:val="006356D0"/>
    <w:rsid w:val="00635A4F"/>
    <w:rsid w:val="00635A5D"/>
    <w:rsid w:val="00635B0A"/>
    <w:rsid w:val="00635C4D"/>
    <w:rsid w:val="00636019"/>
    <w:rsid w:val="006363AC"/>
    <w:rsid w:val="00637557"/>
    <w:rsid w:val="006376AB"/>
    <w:rsid w:val="006376D4"/>
    <w:rsid w:val="00637874"/>
    <w:rsid w:val="00637B99"/>
    <w:rsid w:val="00637C5E"/>
    <w:rsid w:val="00637C73"/>
    <w:rsid w:val="00637CD7"/>
    <w:rsid w:val="00637D38"/>
    <w:rsid w:val="006402A5"/>
    <w:rsid w:val="00640439"/>
    <w:rsid w:val="0064045F"/>
    <w:rsid w:val="00640A4D"/>
    <w:rsid w:val="00640AE9"/>
    <w:rsid w:val="0064159E"/>
    <w:rsid w:val="00641B17"/>
    <w:rsid w:val="00641B72"/>
    <w:rsid w:val="00641C5D"/>
    <w:rsid w:val="00642209"/>
    <w:rsid w:val="0064269F"/>
    <w:rsid w:val="006426DB"/>
    <w:rsid w:val="00642700"/>
    <w:rsid w:val="0064288A"/>
    <w:rsid w:val="00642B2A"/>
    <w:rsid w:val="00642C10"/>
    <w:rsid w:val="00642D6E"/>
    <w:rsid w:val="00642ED4"/>
    <w:rsid w:val="00643374"/>
    <w:rsid w:val="00643C52"/>
    <w:rsid w:val="0064405E"/>
    <w:rsid w:val="00644102"/>
    <w:rsid w:val="00644850"/>
    <w:rsid w:val="006448CF"/>
    <w:rsid w:val="00644C5F"/>
    <w:rsid w:val="00644C92"/>
    <w:rsid w:val="00644D18"/>
    <w:rsid w:val="00644FA4"/>
    <w:rsid w:val="00645179"/>
    <w:rsid w:val="00645192"/>
    <w:rsid w:val="006452FF"/>
    <w:rsid w:val="0064530E"/>
    <w:rsid w:val="00645354"/>
    <w:rsid w:val="00645FCD"/>
    <w:rsid w:val="006460DB"/>
    <w:rsid w:val="00646440"/>
    <w:rsid w:val="00646B24"/>
    <w:rsid w:val="00646D84"/>
    <w:rsid w:val="00646F9D"/>
    <w:rsid w:val="00647669"/>
    <w:rsid w:val="0064776F"/>
    <w:rsid w:val="0064778B"/>
    <w:rsid w:val="00647987"/>
    <w:rsid w:val="0064B600"/>
    <w:rsid w:val="006504FF"/>
    <w:rsid w:val="006509C3"/>
    <w:rsid w:val="00651208"/>
    <w:rsid w:val="006514BD"/>
    <w:rsid w:val="00651C55"/>
    <w:rsid w:val="00651CB0"/>
    <w:rsid w:val="00651D89"/>
    <w:rsid w:val="00651FCA"/>
    <w:rsid w:val="006523AE"/>
    <w:rsid w:val="006524D6"/>
    <w:rsid w:val="0065288B"/>
    <w:rsid w:val="00653187"/>
    <w:rsid w:val="006538AD"/>
    <w:rsid w:val="0065423C"/>
    <w:rsid w:val="006546D5"/>
    <w:rsid w:val="00654A87"/>
    <w:rsid w:val="00654BD7"/>
    <w:rsid w:val="00654C9E"/>
    <w:rsid w:val="00654CEA"/>
    <w:rsid w:val="00655104"/>
    <w:rsid w:val="006551B4"/>
    <w:rsid w:val="00655226"/>
    <w:rsid w:val="006554FD"/>
    <w:rsid w:val="00655D33"/>
    <w:rsid w:val="00655D76"/>
    <w:rsid w:val="00656154"/>
    <w:rsid w:val="00656410"/>
    <w:rsid w:val="006567E9"/>
    <w:rsid w:val="0065687C"/>
    <w:rsid w:val="00656925"/>
    <w:rsid w:val="00656E0A"/>
    <w:rsid w:val="00657270"/>
    <w:rsid w:val="0065739B"/>
    <w:rsid w:val="00657523"/>
    <w:rsid w:val="006575BC"/>
    <w:rsid w:val="006577FE"/>
    <w:rsid w:val="006601B8"/>
    <w:rsid w:val="0066042F"/>
    <w:rsid w:val="0066075E"/>
    <w:rsid w:val="00660B11"/>
    <w:rsid w:val="00660C99"/>
    <w:rsid w:val="0066132A"/>
    <w:rsid w:val="00661962"/>
    <w:rsid w:val="00661C67"/>
    <w:rsid w:val="00661D48"/>
    <w:rsid w:val="00661DB8"/>
    <w:rsid w:val="0066220C"/>
    <w:rsid w:val="006631D3"/>
    <w:rsid w:val="00663254"/>
    <w:rsid w:val="006637EB"/>
    <w:rsid w:val="00663931"/>
    <w:rsid w:val="0066398B"/>
    <w:rsid w:val="006639B7"/>
    <w:rsid w:val="00663BAA"/>
    <w:rsid w:val="00663C66"/>
    <w:rsid w:val="00663DDB"/>
    <w:rsid w:val="00664A39"/>
    <w:rsid w:val="00664F50"/>
    <w:rsid w:val="0066532A"/>
    <w:rsid w:val="00665833"/>
    <w:rsid w:val="006658E1"/>
    <w:rsid w:val="0066595A"/>
    <w:rsid w:val="00666311"/>
    <w:rsid w:val="006665DC"/>
    <w:rsid w:val="00666A98"/>
    <w:rsid w:val="0066711E"/>
    <w:rsid w:val="00667845"/>
    <w:rsid w:val="00667EC5"/>
    <w:rsid w:val="00670152"/>
    <w:rsid w:val="00670B0A"/>
    <w:rsid w:val="00670D0D"/>
    <w:rsid w:val="00670DD5"/>
    <w:rsid w:val="0067134F"/>
    <w:rsid w:val="00671365"/>
    <w:rsid w:val="00671451"/>
    <w:rsid w:val="006714B6"/>
    <w:rsid w:val="006717EE"/>
    <w:rsid w:val="00671877"/>
    <w:rsid w:val="00671A3B"/>
    <w:rsid w:val="00671B6A"/>
    <w:rsid w:val="006728B2"/>
    <w:rsid w:val="00672928"/>
    <w:rsid w:val="00673076"/>
    <w:rsid w:val="00673445"/>
    <w:rsid w:val="00673605"/>
    <w:rsid w:val="00673A9F"/>
    <w:rsid w:val="00673CFC"/>
    <w:rsid w:val="00673D8D"/>
    <w:rsid w:val="00673E30"/>
    <w:rsid w:val="006741DD"/>
    <w:rsid w:val="00674560"/>
    <w:rsid w:val="006745EF"/>
    <w:rsid w:val="00674970"/>
    <w:rsid w:val="00674CFB"/>
    <w:rsid w:val="00674ED4"/>
    <w:rsid w:val="006750E7"/>
    <w:rsid w:val="0067519D"/>
    <w:rsid w:val="00675610"/>
    <w:rsid w:val="00675711"/>
    <w:rsid w:val="00675AD9"/>
    <w:rsid w:val="00675DF5"/>
    <w:rsid w:val="00675FED"/>
    <w:rsid w:val="00676458"/>
    <w:rsid w:val="00676477"/>
    <w:rsid w:val="00676730"/>
    <w:rsid w:val="006767B7"/>
    <w:rsid w:val="00676C8A"/>
    <w:rsid w:val="00676CAB"/>
    <w:rsid w:val="00676DC4"/>
    <w:rsid w:val="00676DFE"/>
    <w:rsid w:val="00676F59"/>
    <w:rsid w:val="006770BD"/>
    <w:rsid w:val="00677137"/>
    <w:rsid w:val="00677217"/>
    <w:rsid w:val="006777C4"/>
    <w:rsid w:val="00677BD6"/>
    <w:rsid w:val="00677CCB"/>
    <w:rsid w:val="006808B7"/>
    <w:rsid w:val="006808CE"/>
    <w:rsid w:val="00680A6B"/>
    <w:rsid w:val="00680C44"/>
    <w:rsid w:val="00680F6E"/>
    <w:rsid w:val="00681002"/>
    <w:rsid w:val="00681377"/>
    <w:rsid w:val="006813AC"/>
    <w:rsid w:val="006816A3"/>
    <w:rsid w:val="00681816"/>
    <w:rsid w:val="0068187A"/>
    <w:rsid w:val="006819F0"/>
    <w:rsid w:val="00681CA3"/>
    <w:rsid w:val="00681E83"/>
    <w:rsid w:val="00682123"/>
    <w:rsid w:val="00682560"/>
    <w:rsid w:val="0068264D"/>
    <w:rsid w:val="00682C09"/>
    <w:rsid w:val="00683153"/>
    <w:rsid w:val="006832A6"/>
    <w:rsid w:val="00683718"/>
    <w:rsid w:val="00683721"/>
    <w:rsid w:val="0068383A"/>
    <w:rsid w:val="0068393E"/>
    <w:rsid w:val="00683A10"/>
    <w:rsid w:val="00683CE0"/>
    <w:rsid w:val="00684071"/>
    <w:rsid w:val="006842D7"/>
    <w:rsid w:val="00684905"/>
    <w:rsid w:val="00684982"/>
    <w:rsid w:val="00684A20"/>
    <w:rsid w:val="00684AB9"/>
    <w:rsid w:val="00684E9B"/>
    <w:rsid w:val="006856CC"/>
    <w:rsid w:val="006857D2"/>
    <w:rsid w:val="006857DD"/>
    <w:rsid w:val="00685A89"/>
    <w:rsid w:val="00685FC2"/>
    <w:rsid w:val="00686045"/>
    <w:rsid w:val="00686232"/>
    <w:rsid w:val="00686557"/>
    <w:rsid w:val="006867C2"/>
    <w:rsid w:val="00686846"/>
    <w:rsid w:val="00686A19"/>
    <w:rsid w:val="00687118"/>
    <w:rsid w:val="0068773E"/>
    <w:rsid w:val="00687C2D"/>
    <w:rsid w:val="006900DC"/>
    <w:rsid w:val="0069075E"/>
    <w:rsid w:val="00690790"/>
    <w:rsid w:val="0069082E"/>
    <w:rsid w:val="00690E94"/>
    <w:rsid w:val="006912C2"/>
    <w:rsid w:val="0069218B"/>
    <w:rsid w:val="00692221"/>
    <w:rsid w:val="0069242E"/>
    <w:rsid w:val="00692A2C"/>
    <w:rsid w:val="00692C89"/>
    <w:rsid w:val="00693232"/>
    <w:rsid w:val="0069348E"/>
    <w:rsid w:val="006937BF"/>
    <w:rsid w:val="006937EB"/>
    <w:rsid w:val="006942C5"/>
    <w:rsid w:val="006945C8"/>
    <w:rsid w:val="006945E7"/>
    <w:rsid w:val="00694672"/>
    <w:rsid w:val="0069469E"/>
    <w:rsid w:val="00694748"/>
    <w:rsid w:val="00694AF8"/>
    <w:rsid w:val="00694F47"/>
    <w:rsid w:val="00694FF4"/>
    <w:rsid w:val="006950A7"/>
    <w:rsid w:val="0069518B"/>
    <w:rsid w:val="006955BC"/>
    <w:rsid w:val="00695914"/>
    <w:rsid w:val="00695A43"/>
    <w:rsid w:val="00695ACE"/>
    <w:rsid w:val="006961CA"/>
    <w:rsid w:val="00696274"/>
    <w:rsid w:val="0069628A"/>
    <w:rsid w:val="006962B4"/>
    <w:rsid w:val="00696442"/>
    <w:rsid w:val="00696776"/>
    <w:rsid w:val="00696A30"/>
    <w:rsid w:val="00696ED2"/>
    <w:rsid w:val="006971B0"/>
    <w:rsid w:val="00697DEA"/>
    <w:rsid w:val="0069D988"/>
    <w:rsid w:val="006A018C"/>
    <w:rsid w:val="006A033A"/>
    <w:rsid w:val="006A08AE"/>
    <w:rsid w:val="006A0D75"/>
    <w:rsid w:val="006A0FE9"/>
    <w:rsid w:val="006A124A"/>
    <w:rsid w:val="006A14DD"/>
    <w:rsid w:val="006A1FC7"/>
    <w:rsid w:val="006A2163"/>
    <w:rsid w:val="006A24DF"/>
    <w:rsid w:val="006A2D36"/>
    <w:rsid w:val="006A3536"/>
    <w:rsid w:val="006A38A0"/>
    <w:rsid w:val="006A3FFC"/>
    <w:rsid w:val="006A401E"/>
    <w:rsid w:val="006A41A0"/>
    <w:rsid w:val="006A4205"/>
    <w:rsid w:val="006A4208"/>
    <w:rsid w:val="006A428A"/>
    <w:rsid w:val="006A46D2"/>
    <w:rsid w:val="006A53C0"/>
    <w:rsid w:val="006A541D"/>
    <w:rsid w:val="006A55EB"/>
    <w:rsid w:val="006A56AE"/>
    <w:rsid w:val="006A58DF"/>
    <w:rsid w:val="006A5CC7"/>
    <w:rsid w:val="006A5CDE"/>
    <w:rsid w:val="006A5E75"/>
    <w:rsid w:val="006A6507"/>
    <w:rsid w:val="006A65AE"/>
    <w:rsid w:val="006A6B3A"/>
    <w:rsid w:val="006A6CD7"/>
    <w:rsid w:val="006A73CB"/>
    <w:rsid w:val="006A771F"/>
    <w:rsid w:val="006B02FB"/>
    <w:rsid w:val="006B0595"/>
    <w:rsid w:val="006B07C5"/>
    <w:rsid w:val="006B07FF"/>
    <w:rsid w:val="006B09BA"/>
    <w:rsid w:val="006B09EC"/>
    <w:rsid w:val="006B0E55"/>
    <w:rsid w:val="006B165C"/>
    <w:rsid w:val="006B179C"/>
    <w:rsid w:val="006B1D88"/>
    <w:rsid w:val="006B1E5E"/>
    <w:rsid w:val="006B1F73"/>
    <w:rsid w:val="006B1FAD"/>
    <w:rsid w:val="006B1FB0"/>
    <w:rsid w:val="006B2B2B"/>
    <w:rsid w:val="006B2BA9"/>
    <w:rsid w:val="006B31A5"/>
    <w:rsid w:val="006B37F1"/>
    <w:rsid w:val="006B3EE8"/>
    <w:rsid w:val="006B4061"/>
    <w:rsid w:val="006B434B"/>
    <w:rsid w:val="006B4A7C"/>
    <w:rsid w:val="006B4B0E"/>
    <w:rsid w:val="006B4B18"/>
    <w:rsid w:val="006B5259"/>
    <w:rsid w:val="006B5794"/>
    <w:rsid w:val="006B593A"/>
    <w:rsid w:val="006B59B3"/>
    <w:rsid w:val="006B5A0E"/>
    <w:rsid w:val="006B5A4D"/>
    <w:rsid w:val="006B5A72"/>
    <w:rsid w:val="006B5CB6"/>
    <w:rsid w:val="006B5CBB"/>
    <w:rsid w:val="006B5E86"/>
    <w:rsid w:val="006B621F"/>
    <w:rsid w:val="006B67BB"/>
    <w:rsid w:val="006B67CE"/>
    <w:rsid w:val="006B6C88"/>
    <w:rsid w:val="006B7254"/>
    <w:rsid w:val="006B7256"/>
    <w:rsid w:val="006B74C9"/>
    <w:rsid w:val="006B74F1"/>
    <w:rsid w:val="006B7D91"/>
    <w:rsid w:val="006C0565"/>
    <w:rsid w:val="006C0647"/>
    <w:rsid w:val="006C08CC"/>
    <w:rsid w:val="006C0BD3"/>
    <w:rsid w:val="006C0CC7"/>
    <w:rsid w:val="006C102E"/>
    <w:rsid w:val="006C12B4"/>
    <w:rsid w:val="006C1313"/>
    <w:rsid w:val="006C186F"/>
    <w:rsid w:val="006C1BC5"/>
    <w:rsid w:val="006C1E0A"/>
    <w:rsid w:val="006C2290"/>
    <w:rsid w:val="006C2517"/>
    <w:rsid w:val="006C274B"/>
    <w:rsid w:val="006C2B25"/>
    <w:rsid w:val="006C2B3A"/>
    <w:rsid w:val="006C2C0D"/>
    <w:rsid w:val="006C2D4D"/>
    <w:rsid w:val="006C30F3"/>
    <w:rsid w:val="006C326A"/>
    <w:rsid w:val="006C39D2"/>
    <w:rsid w:val="006C3A40"/>
    <w:rsid w:val="006C40C4"/>
    <w:rsid w:val="006C4225"/>
    <w:rsid w:val="006C44E5"/>
    <w:rsid w:val="006C4831"/>
    <w:rsid w:val="006C4BE6"/>
    <w:rsid w:val="006C4FEC"/>
    <w:rsid w:val="006C55BF"/>
    <w:rsid w:val="006C5654"/>
    <w:rsid w:val="006C60BB"/>
    <w:rsid w:val="006C619B"/>
    <w:rsid w:val="006C6336"/>
    <w:rsid w:val="006C684F"/>
    <w:rsid w:val="006C6C94"/>
    <w:rsid w:val="006C7055"/>
    <w:rsid w:val="006C7204"/>
    <w:rsid w:val="006C736C"/>
    <w:rsid w:val="006C77BA"/>
    <w:rsid w:val="006C792E"/>
    <w:rsid w:val="006C796B"/>
    <w:rsid w:val="006C7F9A"/>
    <w:rsid w:val="006D00DF"/>
    <w:rsid w:val="006D010C"/>
    <w:rsid w:val="006D02A7"/>
    <w:rsid w:val="006D05B2"/>
    <w:rsid w:val="006D0858"/>
    <w:rsid w:val="006D0A1B"/>
    <w:rsid w:val="006D0A48"/>
    <w:rsid w:val="006D0D89"/>
    <w:rsid w:val="006D107A"/>
    <w:rsid w:val="006D12A5"/>
    <w:rsid w:val="006D13A0"/>
    <w:rsid w:val="006D1774"/>
    <w:rsid w:val="006D17FA"/>
    <w:rsid w:val="006D1DD2"/>
    <w:rsid w:val="006D1E21"/>
    <w:rsid w:val="006D2214"/>
    <w:rsid w:val="006D24E4"/>
    <w:rsid w:val="006D2C81"/>
    <w:rsid w:val="006D2C94"/>
    <w:rsid w:val="006D2DDC"/>
    <w:rsid w:val="006D2E69"/>
    <w:rsid w:val="006D31C3"/>
    <w:rsid w:val="006D325C"/>
    <w:rsid w:val="006D347C"/>
    <w:rsid w:val="006D4142"/>
    <w:rsid w:val="006D4612"/>
    <w:rsid w:val="006D4801"/>
    <w:rsid w:val="006D4C72"/>
    <w:rsid w:val="006D4E60"/>
    <w:rsid w:val="006D5833"/>
    <w:rsid w:val="006D5AFC"/>
    <w:rsid w:val="006D5E46"/>
    <w:rsid w:val="006D5E74"/>
    <w:rsid w:val="006D5ED4"/>
    <w:rsid w:val="006D61D5"/>
    <w:rsid w:val="006D625D"/>
    <w:rsid w:val="006D62A4"/>
    <w:rsid w:val="006D65A9"/>
    <w:rsid w:val="006D6A64"/>
    <w:rsid w:val="006D6BB6"/>
    <w:rsid w:val="006D706D"/>
    <w:rsid w:val="006D77CA"/>
    <w:rsid w:val="006D7C1B"/>
    <w:rsid w:val="006D7EDD"/>
    <w:rsid w:val="006E023B"/>
    <w:rsid w:val="006E03D8"/>
    <w:rsid w:val="006E04F0"/>
    <w:rsid w:val="006E0782"/>
    <w:rsid w:val="006E083E"/>
    <w:rsid w:val="006E09CB"/>
    <w:rsid w:val="006E0B8A"/>
    <w:rsid w:val="006E0C7E"/>
    <w:rsid w:val="006E0D4F"/>
    <w:rsid w:val="006E0EF5"/>
    <w:rsid w:val="006E0FA4"/>
    <w:rsid w:val="006E104E"/>
    <w:rsid w:val="006E113C"/>
    <w:rsid w:val="006E1152"/>
    <w:rsid w:val="006E119F"/>
    <w:rsid w:val="006E1421"/>
    <w:rsid w:val="006E15C2"/>
    <w:rsid w:val="006E164C"/>
    <w:rsid w:val="006E1A14"/>
    <w:rsid w:val="006E1B28"/>
    <w:rsid w:val="006E1C70"/>
    <w:rsid w:val="006E1F3D"/>
    <w:rsid w:val="006E239A"/>
    <w:rsid w:val="006E2725"/>
    <w:rsid w:val="006E2B2F"/>
    <w:rsid w:val="006E3389"/>
    <w:rsid w:val="006E33DB"/>
    <w:rsid w:val="006E358A"/>
    <w:rsid w:val="006E3827"/>
    <w:rsid w:val="006E3F81"/>
    <w:rsid w:val="006E3FD4"/>
    <w:rsid w:val="006E41F0"/>
    <w:rsid w:val="006E4204"/>
    <w:rsid w:val="006E44CD"/>
    <w:rsid w:val="006E4A7B"/>
    <w:rsid w:val="006E4C22"/>
    <w:rsid w:val="006E4C91"/>
    <w:rsid w:val="006E4FEA"/>
    <w:rsid w:val="006E52C2"/>
    <w:rsid w:val="006E531E"/>
    <w:rsid w:val="006E620A"/>
    <w:rsid w:val="006E6278"/>
    <w:rsid w:val="006E660E"/>
    <w:rsid w:val="006E683E"/>
    <w:rsid w:val="006E6A55"/>
    <w:rsid w:val="006E6E05"/>
    <w:rsid w:val="006E6F93"/>
    <w:rsid w:val="006E736D"/>
    <w:rsid w:val="006E73E5"/>
    <w:rsid w:val="006E774A"/>
    <w:rsid w:val="006E795B"/>
    <w:rsid w:val="006E7A89"/>
    <w:rsid w:val="006E7DA7"/>
    <w:rsid w:val="006F0258"/>
    <w:rsid w:val="006F049A"/>
    <w:rsid w:val="006F05B9"/>
    <w:rsid w:val="006F0BB9"/>
    <w:rsid w:val="006F108C"/>
    <w:rsid w:val="006F120A"/>
    <w:rsid w:val="006F1457"/>
    <w:rsid w:val="006F1A67"/>
    <w:rsid w:val="006F1B13"/>
    <w:rsid w:val="006F1B5F"/>
    <w:rsid w:val="006F3198"/>
    <w:rsid w:val="006F34D3"/>
    <w:rsid w:val="006F3502"/>
    <w:rsid w:val="006F353E"/>
    <w:rsid w:val="006F3985"/>
    <w:rsid w:val="006F3CF6"/>
    <w:rsid w:val="006F3E62"/>
    <w:rsid w:val="006F40CE"/>
    <w:rsid w:val="006F459D"/>
    <w:rsid w:val="006F4D5C"/>
    <w:rsid w:val="006F4E19"/>
    <w:rsid w:val="006F4FA8"/>
    <w:rsid w:val="006F510B"/>
    <w:rsid w:val="006F5824"/>
    <w:rsid w:val="006F5CB0"/>
    <w:rsid w:val="006F5FF7"/>
    <w:rsid w:val="006F60FD"/>
    <w:rsid w:val="006F620C"/>
    <w:rsid w:val="006F634F"/>
    <w:rsid w:val="006F6368"/>
    <w:rsid w:val="006F6510"/>
    <w:rsid w:val="006F6539"/>
    <w:rsid w:val="006F6A50"/>
    <w:rsid w:val="006F6A62"/>
    <w:rsid w:val="006F6BC1"/>
    <w:rsid w:val="006F6F01"/>
    <w:rsid w:val="006F787D"/>
    <w:rsid w:val="00700A6B"/>
    <w:rsid w:val="00700C79"/>
    <w:rsid w:val="00700E05"/>
    <w:rsid w:val="007014A3"/>
    <w:rsid w:val="00701DAE"/>
    <w:rsid w:val="00701FF6"/>
    <w:rsid w:val="007021D2"/>
    <w:rsid w:val="00702E0F"/>
    <w:rsid w:val="00702ECC"/>
    <w:rsid w:val="00703257"/>
    <w:rsid w:val="007037C4"/>
    <w:rsid w:val="007037CF"/>
    <w:rsid w:val="00703D0D"/>
    <w:rsid w:val="00704620"/>
    <w:rsid w:val="00704930"/>
    <w:rsid w:val="00704BB6"/>
    <w:rsid w:val="00705031"/>
    <w:rsid w:val="00705330"/>
    <w:rsid w:val="007060D9"/>
    <w:rsid w:val="00706292"/>
    <w:rsid w:val="00706A2E"/>
    <w:rsid w:val="00706AFA"/>
    <w:rsid w:val="00707083"/>
    <w:rsid w:val="00707808"/>
    <w:rsid w:val="0070781F"/>
    <w:rsid w:val="00707DB3"/>
    <w:rsid w:val="00707EB5"/>
    <w:rsid w:val="00707F4D"/>
    <w:rsid w:val="00710716"/>
    <w:rsid w:val="007111CD"/>
    <w:rsid w:val="0071126F"/>
    <w:rsid w:val="00711433"/>
    <w:rsid w:val="007116F0"/>
    <w:rsid w:val="0071191C"/>
    <w:rsid w:val="00711A53"/>
    <w:rsid w:val="00711B72"/>
    <w:rsid w:val="00712050"/>
    <w:rsid w:val="007121C2"/>
    <w:rsid w:val="00712792"/>
    <w:rsid w:val="00712811"/>
    <w:rsid w:val="007128E6"/>
    <w:rsid w:val="00712DDD"/>
    <w:rsid w:val="007131DA"/>
    <w:rsid w:val="007134AB"/>
    <w:rsid w:val="0071350F"/>
    <w:rsid w:val="007141BE"/>
    <w:rsid w:val="0071435E"/>
    <w:rsid w:val="007146DE"/>
    <w:rsid w:val="00714A0E"/>
    <w:rsid w:val="00714CAE"/>
    <w:rsid w:val="00714D20"/>
    <w:rsid w:val="00714D6A"/>
    <w:rsid w:val="007151CE"/>
    <w:rsid w:val="007157DD"/>
    <w:rsid w:val="00715855"/>
    <w:rsid w:val="007161E3"/>
    <w:rsid w:val="00716219"/>
    <w:rsid w:val="00716A48"/>
    <w:rsid w:val="00716C4B"/>
    <w:rsid w:val="00716D22"/>
    <w:rsid w:val="00716EE5"/>
    <w:rsid w:val="007170AE"/>
    <w:rsid w:val="0071723A"/>
    <w:rsid w:val="007177EB"/>
    <w:rsid w:val="00717824"/>
    <w:rsid w:val="007205BC"/>
    <w:rsid w:val="00720746"/>
    <w:rsid w:val="007207B9"/>
    <w:rsid w:val="0072152E"/>
    <w:rsid w:val="00721623"/>
    <w:rsid w:val="00721739"/>
    <w:rsid w:val="00721CB9"/>
    <w:rsid w:val="00721CE1"/>
    <w:rsid w:val="00722186"/>
    <w:rsid w:val="007222AD"/>
    <w:rsid w:val="007222AE"/>
    <w:rsid w:val="007224B9"/>
    <w:rsid w:val="007226E2"/>
    <w:rsid w:val="00722A65"/>
    <w:rsid w:val="00722E49"/>
    <w:rsid w:val="0072333E"/>
    <w:rsid w:val="00723402"/>
    <w:rsid w:val="00723543"/>
    <w:rsid w:val="007235D2"/>
    <w:rsid w:val="00723C46"/>
    <w:rsid w:val="00723DD8"/>
    <w:rsid w:val="00723DF3"/>
    <w:rsid w:val="007240C5"/>
    <w:rsid w:val="00724143"/>
    <w:rsid w:val="007241EF"/>
    <w:rsid w:val="007242B6"/>
    <w:rsid w:val="007242E4"/>
    <w:rsid w:val="007243AD"/>
    <w:rsid w:val="00724436"/>
    <w:rsid w:val="00724493"/>
    <w:rsid w:val="007244C3"/>
    <w:rsid w:val="0072457D"/>
    <w:rsid w:val="007245C5"/>
    <w:rsid w:val="007247BE"/>
    <w:rsid w:val="007249DA"/>
    <w:rsid w:val="00724AA5"/>
    <w:rsid w:val="00724ACE"/>
    <w:rsid w:val="0072512C"/>
    <w:rsid w:val="0072517C"/>
    <w:rsid w:val="0072546D"/>
    <w:rsid w:val="0072598C"/>
    <w:rsid w:val="00725DAB"/>
    <w:rsid w:val="007260F2"/>
    <w:rsid w:val="00726654"/>
    <w:rsid w:val="0072673C"/>
    <w:rsid w:val="00726A34"/>
    <w:rsid w:val="00726A56"/>
    <w:rsid w:val="00727078"/>
    <w:rsid w:val="007271F7"/>
    <w:rsid w:val="00727397"/>
    <w:rsid w:val="007278D0"/>
    <w:rsid w:val="0072799F"/>
    <w:rsid w:val="00730034"/>
    <w:rsid w:val="00730501"/>
    <w:rsid w:val="0073071F"/>
    <w:rsid w:val="00730912"/>
    <w:rsid w:val="00731136"/>
    <w:rsid w:val="0073136C"/>
    <w:rsid w:val="0073148F"/>
    <w:rsid w:val="00731B06"/>
    <w:rsid w:val="00731C1D"/>
    <w:rsid w:val="00731D78"/>
    <w:rsid w:val="00731FAE"/>
    <w:rsid w:val="007320D9"/>
    <w:rsid w:val="007321F7"/>
    <w:rsid w:val="0073227D"/>
    <w:rsid w:val="007324BA"/>
    <w:rsid w:val="007325A8"/>
    <w:rsid w:val="0073260C"/>
    <w:rsid w:val="00732BBF"/>
    <w:rsid w:val="00732D73"/>
    <w:rsid w:val="00732FEB"/>
    <w:rsid w:val="0073314B"/>
    <w:rsid w:val="007336C9"/>
    <w:rsid w:val="00733E46"/>
    <w:rsid w:val="00733E53"/>
    <w:rsid w:val="00733EF3"/>
    <w:rsid w:val="007344AE"/>
    <w:rsid w:val="00734546"/>
    <w:rsid w:val="00734BEC"/>
    <w:rsid w:val="00734EDA"/>
    <w:rsid w:val="007358E7"/>
    <w:rsid w:val="007358F9"/>
    <w:rsid w:val="00735B3D"/>
    <w:rsid w:val="00735C3C"/>
    <w:rsid w:val="00736117"/>
    <w:rsid w:val="00736645"/>
    <w:rsid w:val="0073681E"/>
    <w:rsid w:val="00736923"/>
    <w:rsid w:val="00737101"/>
    <w:rsid w:val="007371DD"/>
    <w:rsid w:val="00737588"/>
    <w:rsid w:val="0073765C"/>
    <w:rsid w:val="007378D2"/>
    <w:rsid w:val="00737F79"/>
    <w:rsid w:val="007402CA"/>
    <w:rsid w:val="007404B1"/>
    <w:rsid w:val="007407AE"/>
    <w:rsid w:val="0074098D"/>
    <w:rsid w:val="00741918"/>
    <w:rsid w:val="00741A56"/>
    <w:rsid w:val="00741D36"/>
    <w:rsid w:val="00742735"/>
    <w:rsid w:val="00742D33"/>
    <w:rsid w:val="00743078"/>
    <w:rsid w:val="007430A7"/>
    <w:rsid w:val="0074321B"/>
    <w:rsid w:val="00743278"/>
    <w:rsid w:val="0074356E"/>
    <w:rsid w:val="00743596"/>
    <w:rsid w:val="007436CC"/>
    <w:rsid w:val="00743879"/>
    <w:rsid w:val="00743FED"/>
    <w:rsid w:val="00744006"/>
    <w:rsid w:val="007441E0"/>
    <w:rsid w:val="00744540"/>
    <w:rsid w:val="00744CDF"/>
    <w:rsid w:val="00744F60"/>
    <w:rsid w:val="0074523A"/>
    <w:rsid w:val="00745722"/>
    <w:rsid w:val="0074599D"/>
    <w:rsid w:val="00745C11"/>
    <w:rsid w:val="007460C8"/>
    <w:rsid w:val="007464DE"/>
    <w:rsid w:val="00746B0A"/>
    <w:rsid w:val="007470F4"/>
    <w:rsid w:val="0074720E"/>
    <w:rsid w:val="00747DCE"/>
    <w:rsid w:val="00747F28"/>
    <w:rsid w:val="00750268"/>
    <w:rsid w:val="00750514"/>
    <w:rsid w:val="007505AD"/>
    <w:rsid w:val="007507CA"/>
    <w:rsid w:val="00750C0C"/>
    <w:rsid w:val="00750DDE"/>
    <w:rsid w:val="00751DDF"/>
    <w:rsid w:val="007524BC"/>
    <w:rsid w:val="007527C5"/>
    <w:rsid w:val="0075287E"/>
    <w:rsid w:val="00752BA3"/>
    <w:rsid w:val="00752BC8"/>
    <w:rsid w:val="00753223"/>
    <w:rsid w:val="00753461"/>
    <w:rsid w:val="00753B05"/>
    <w:rsid w:val="00753BBD"/>
    <w:rsid w:val="00753E91"/>
    <w:rsid w:val="00754169"/>
    <w:rsid w:val="0075444E"/>
    <w:rsid w:val="0075453D"/>
    <w:rsid w:val="00754570"/>
    <w:rsid w:val="00754901"/>
    <w:rsid w:val="00754C29"/>
    <w:rsid w:val="00754D8B"/>
    <w:rsid w:val="00755099"/>
    <w:rsid w:val="007551AD"/>
    <w:rsid w:val="00755604"/>
    <w:rsid w:val="00755764"/>
    <w:rsid w:val="00755A0F"/>
    <w:rsid w:val="00755F66"/>
    <w:rsid w:val="00756331"/>
    <w:rsid w:val="00756490"/>
    <w:rsid w:val="0075669C"/>
    <w:rsid w:val="00756FB4"/>
    <w:rsid w:val="007574AC"/>
    <w:rsid w:val="0075763C"/>
    <w:rsid w:val="007579E1"/>
    <w:rsid w:val="0075B5E0"/>
    <w:rsid w:val="0076014F"/>
    <w:rsid w:val="00760366"/>
    <w:rsid w:val="00760A40"/>
    <w:rsid w:val="00760BC8"/>
    <w:rsid w:val="007611F5"/>
    <w:rsid w:val="0076166B"/>
    <w:rsid w:val="00761786"/>
    <w:rsid w:val="00761A8D"/>
    <w:rsid w:val="00761D85"/>
    <w:rsid w:val="007630E2"/>
    <w:rsid w:val="0076317C"/>
    <w:rsid w:val="007631F7"/>
    <w:rsid w:val="0076376A"/>
    <w:rsid w:val="00763B7D"/>
    <w:rsid w:val="00763D75"/>
    <w:rsid w:val="00764057"/>
    <w:rsid w:val="007643A5"/>
    <w:rsid w:val="0076442D"/>
    <w:rsid w:val="00764FD5"/>
    <w:rsid w:val="0076501D"/>
    <w:rsid w:val="007650D5"/>
    <w:rsid w:val="00765571"/>
    <w:rsid w:val="007656C3"/>
    <w:rsid w:val="007656E8"/>
    <w:rsid w:val="00765C76"/>
    <w:rsid w:val="007661C7"/>
    <w:rsid w:val="007663B2"/>
    <w:rsid w:val="00766BF5"/>
    <w:rsid w:val="00766C21"/>
    <w:rsid w:val="00766E8F"/>
    <w:rsid w:val="00767007"/>
    <w:rsid w:val="00767839"/>
    <w:rsid w:val="0076E893"/>
    <w:rsid w:val="0077016F"/>
    <w:rsid w:val="007702CD"/>
    <w:rsid w:val="007703CF"/>
    <w:rsid w:val="0077056B"/>
    <w:rsid w:val="007705E6"/>
    <w:rsid w:val="007707A9"/>
    <w:rsid w:val="007709D0"/>
    <w:rsid w:val="007709E5"/>
    <w:rsid w:val="00771E35"/>
    <w:rsid w:val="00771EE8"/>
    <w:rsid w:val="0077292C"/>
    <w:rsid w:val="00772A74"/>
    <w:rsid w:val="00772B53"/>
    <w:rsid w:val="00772B79"/>
    <w:rsid w:val="00772C53"/>
    <w:rsid w:val="00772C71"/>
    <w:rsid w:val="00772CEF"/>
    <w:rsid w:val="00772F90"/>
    <w:rsid w:val="00772FD1"/>
    <w:rsid w:val="00773061"/>
    <w:rsid w:val="007733A2"/>
    <w:rsid w:val="00773638"/>
    <w:rsid w:val="00773A84"/>
    <w:rsid w:val="00773C23"/>
    <w:rsid w:val="00773C8F"/>
    <w:rsid w:val="00774171"/>
    <w:rsid w:val="00774AF7"/>
    <w:rsid w:val="00774CF9"/>
    <w:rsid w:val="00774FDE"/>
    <w:rsid w:val="007752A9"/>
    <w:rsid w:val="0077622A"/>
    <w:rsid w:val="007762BC"/>
    <w:rsid w:val="0077649D"/>
    <w:rsid w:val="00776776"/>
    <w:rsid w:val="00776B45"/>
    <w:rsid w:val="00776CDA"/>
    <w:rsid w:val="00776E61"/>
    <w:rsid w:val="007773DB"/>
    <w:rsid w:val="00777646"/>
    <w:rsid w:val="007778A7"/>
    <w:rsid w:val="00777F13"/>
    <w:rsid w:val="00780274"/>
    <w:rsid w:val="00781085"/>
    <w:rsid w:val="00781398"/>
    <w:rsid w:val="0078143F"/>
    <w:rsid w:val="0078168B"/>
    <w:rsid w:val="0078184F"/>
    <w:rsid w:val="00781FBB"/>
    <w:rsid w:val="00782141"/>
    <w:rsid w:val="00782B12"/>
    <w:rsid w:val="00782CC9"/>
    <w:rsid w:val="007836CE"/>
    <w:rsid w:val="007837F5"/>
    <w:rsid w:val="00783A34"/>
    <w:rsid w:val="00783A5C"/>
    <w:rsid w:val="00784160"/>
    <w:rsid w:val="007842FA"/>
    <w:rsid w:val="0078475C"/>
    <w:rsid w:val="0078478A"/>
    <w:rsid w:val="00784AC0"/>
    <w:rsid w:val="00784CAF"/>
    <w:rsid w:val="007851DB"/>
    <w:rsid w:val="00785340"/>
    <w:rsid w:val="007856BE"/>
    <w:rsid w:val="0078570B"/>
    <w:rsid w:val="00785A0C"/>
    <w:rsid w:val="00785D52"/>
    <w:rsid w:val="00785D82"/>
    <w:rsid w:val="00786038"/>
    <w:rsid w:val="0078611D"/>
    <w:rsid w:val="00786284"/>
    <w:rsid w:val="007904EF"/>
    <w:rsid w:val="007905AE"/>
    <w:rsid w:val="00790FAE"/>
    <w:rsid w:val="0079120C"/>
    <w:rsid w:val="0079135C"/>
    <w:rsid w:val="007915A1"/>
    <w:rsid w:val="00791628"/>
    <w:rsid w:val="007916A6"/>
    <w:rsid w:val="00791A27"/>
    <w:rsid w:val="00791ACB"/>
    <w:rsid w:val="00791DB3"/>
    <w:rsid w:val="00792525"/>
    <w:rsid w:val="00793343"/>
    <w:rsid w:val="007934D2"/>
    <w:rsid w:val="007939F6"/>
    <w:rsid w:val="0079430D"/>
    <w:rsid w:val="0079435C"/>
    <w:rsid w:val="007946D9"/>
    <w:rsid w:val="00794967"/>
    <w:rsid w:val="00794D1F"/>
    <w:rsid w:val="00795052"/>
    <w:rsid w:val="007950CC"/>
    <w:rsid w:val="00796366"/>
    <w:rsid w:val="00796479"/>
    <w:rsid w:val="0079668E"/>
    <w:rsid w:val="0079691C"/>
    <w:rsid w:val="00796A10"/>
    <w:rsid w:val="00796A6F"/>
    <w:rsid w:val="00796EF1"/>
    <w:rsid w:val="0079734E"/>
    <w:rsid w:val="007976C3"/>
    <w:rsid w:val="00797A6E"/>
    <w:rsid w:val="00797FE9"/>
    <w:rsid w:val="007A03A7"/>
    <w:rsid w:val="007A04DB"/>
    <w:rsid w:val="007A088E"/>
    <w:rsid w:val="007A09A7"/>
    <w:rsid w:val="007A0E38"/>
    <w:rsid w:val="007A10D5"/>
    <w:rsid w:val="007A1633"/>
    <w:rsid w:val="007A16F9"/>
    <w:rsid w:val="007A1845"/>
    <w:rsid w:val="007A1935"/>
    <w:rsid w:val="007A1AEA"/>
    <w:rsid w:val="007A1CC9"/>
    <w:rsid w:val="007A1E35"/>
    <w:rsid w:val="007A20DD"/>
    <w:rsid w:val="007A2192"/>
    <w:rsid w:val="007A237B"/>
    <w:rsid w:val="007A2633"/>
    <w:rsid w:val="007A2746"/>
    <w:rsid w:val="007A2BDF"/>
    <w:rsid w:val="007A315B"/>
    <w:rsid w:val="007A37A5"/>
    <w:rsid w:val="007A390D"/>
    <w:rsid w:val="007A3AEC"/>
    <w:rsid w:val="007A3BF5"/>
    <w:rsid w:val="007A3F69"/>
    <w:rsid w:val="007A42AC"/>
    <w:rsid w:val="007A42D9"/>
    <w:rsid w:val="007A484C"/>
    <w:rsid w:val="007A4EAD"/>
    <w:rsid w:val="007A4FC6"/>
    <w:rsid w:val="007A5005"/>
    <w:rsid w:val="007A58D9"/>
    <w:rsid w:val="007A5E92"/>
    <w:rsid w:val="007A5F19"/>
    <w:rsid w:val="007A622B"/>
    <w:rsid w:val="007A652F"/>
    <w:rsid w:val="007A6AF9"/>
    <w:rsid w:val="007A6E11"/>
    <w:rsid w:val="007A73AF"/>
    <w:rsid w:val="007A7736"/>
    <w:rsid w:val="007A77B6"/>
    <w:rsid w:val="007A7851"/>
    <w:rsid w:val="007A7BEA"/>
    <w:rsid w:val="007B016E"/>
    <w:rsid w:val="007B024A"/>
    <w:rsid w:val="007B02C1"/>
    <w:rsid w:val="007B037D"/>
    <w:rsid w:val="007B054A"/>
    <w:rsid w:val="007B0612"/>
    <w:rsid w:val="007B090A"/>
    <w:rsid w:val="007B0E02"/>
    <w:rsid w:val="007B118B"/>
    <w:rsid w:val="007B1245"/>
    <w:rsid w:val="007B1850"/>
    <w:rsid w:val="007B1AA7"/>
    <w:rsid w:val="007B1CBC"/>
    <w:rsid w:val="007B1E67"/>
    <w:rsid w:val="007B24FF"/>
    <w:rsid w:val="007B2973"/>
    <w:rsid w:val="007B2CE5"/>
    <w:rsid w:val="007B2E20"/>
    <w:rsid w:val="007B3070"/>
    <w:rsid w:val="007B30A2"/>
    <w:rsid w:val="007B3633"/>
    <w:rsid w:val="007B3916"/>
    <w:rsid w:val="007B3C3B"/>
    <w:rsid w:val="007B3DB8"/>
    <w:rsid w:val="007B3E2F"/>
    <w:rsid w:val="007B3EBB"/>
    <w:rsid w:val="007B4A1A"/>
    <w:rsid w:val="007B4AC0"/>
    <w:rsid w:val="007B4C40"/>
    <w:rsid w:val="007B4CEA"/>
    <w:rsid w:val="007B557E"/>
    <w:rsid w:val="007B5B81"/>
    <w:rsid w:val="007B5FD6"/>
    <w:rsid w:val="007B600F"/>
    <w:rsid w:val="007B60A1"/>
    <w:rsid w:val="007B6326"/>
    <w:rsid w:val="007B64BB"/>
    <w:rsid w:val="007B6C4B"/>
    <w:rsid w:val="007B71FD"/>
    <w:rsid w:val="007B77DF"/>
    <w:rsid w:val="007B7C3D"/>
    <w:rsid w:val="007B7DF7"/>
    <w:rsid w:val="007B7EC8"/>
    <w:rsid w:val="007B7F7D"/>
    <w:rsid w:val="007B7FA2"/>
    <w:rsid w:val="007C0226"/>
    <w:rsid w:val="007C0961"/>
    <w:rsid w:val="007C0C51"/>
    <w:rsid w:val="007C0FC7"/>
    <w:rsid w:val="007C11E7"/>
    <w:rsid w:val="007C171F"/>
    <w:rsid w:val="007C3007"/>
    <w:rsid w:val="007C32FB"/>
    <w:rsid w:val="007C359A"/>
    <w:rsid w:val="007C367F"/>
    <w:rsid w:val="007C3E6E"/>
    <w:rsid w:val="007C3EA9"/>
    <w:rsid w:val="007C41DB"/>
    <w:rsid w:val="007C4530"/>
    <w:rsid w:val="007C47F6"/>
    <w:rsid w:val="007C4DD1"/>
    <w:rsid w:val="007C57D9"/>
    <w:rsid w:val="007C5A23"/>
    <w:rsid w:val="007C5DEB"/>
    <w:rsid w:val="007C61BF"/>
    <w:rsid w:val="007C6348"/>
    <w:rsid w:val="007C69B9"/>
    <w:rsid w:val="007C6D15"/>
    <w:rsid w:val="007C6E8A"/>
    <w:rsid w:val="007C6F0D"/>
    <w:rsid w:val="007C76A3"/>
    <w:rsid w:val="007C76BB"/>
    <w:rsid w:val="007C799A"/>
    <w:rsid w:val="007C7F77"/>
    <w:rsid w:val="007D02B4"/>
    <w:rsid w:val="007D03A7"/>
    <w:rsid w:val="007D0855"/>
    <w:rsid w:val="007D096C"/>
    <w:rsid w:val="007D0EE6"/>
    <w:rsid w:val="007D150E"/>
    <w:rsid w:val="007D16B3"/>
    <w:rsid w:val="007D1821"/>
    <w:rsid w:val="007D221C"/>
    <w:rsid w:val="007D2868"/>
    <w:rsid w:val="007D2B34"/>
    <w:rsid w:val="007D2C9D"/>
    <w:rsid w:val="007D2E9D"/>
    <w:rsid w:val="007D3D63"/>
    <w:rsid w:val="007D40A1"/>
    <w:rsid w:val="007D433A"/>
    <w:rsid w:val="007D4664"/>
    <w:rsid w:val="007D490C"/>
    <w:rsid w:val="007D4AEC"/>
    <w:rsid w:val="007D4C9B"/>
    <w:rsid w:val="007D4D46"/>
    <w:rsid w:val="007D4FD8"/>
    <w:rsid w:val="007D55B5"/>
    <w:rsid w:val="007D5D2C"/>
    <w:rsid w:val="007D6929"/>
    <w:rsid w:val="007D6972"/>
    <w:rsid w:val="007D6D3D"/>
    <w:rsid w:val="007D6E61"/>
    <w:rsid w:val="007D74C2"/>
    <w:rsid w:val="007D78A1"/>
    <w:rsid w:val="007D79AF"/>
    <w:rsid w:val="007D7A13"/>
    <w:rsid w:val="007D7A5C"/>
    <w:rsid w:val="007D7EDC"/>
    <w:rsid w:val="007E0539"/>
    <w:rsid w:val="007E08D5"/>
    <w:rsid w:val="007E0A77"/>
    <w:rsid w:val="007E1145"/>
    <w:rsid w:val="007E1220"/>
    <w:rsid w:val="007E1393"/>
    <w:rsid w:val="007E15A8"/>
    <w:rsid w:val="007E1B53"/>
    <w:rsid w:val="007E1B70"/>
    <w:rsid w:val="007E1BA8"/>
    <w:rsid w:val="007E1BB4"/>
    <w:rsid w:val="007E1EF9"/>
    <w:rsid w:val="007E20DD"/>
    <w:rsid w:val="007E20F8"/>
    <w:rsid w:val="007E2333"/>
    <w:rsid w:val="007E23D2"/>
    <w:rsid w:val="007E24F3"/>
    <w:rsid w:val="007E25DD"/>
    <w:rsid w:val="007E28FE"/>
    <w:rsid w:val="007E2965"/>
    <w:rsid w:val="007E2E1C"/>
    <w:rsid w:val="007E3049"/>
    <w:rsid w:val="007E307F"/>
    <w:rsid w:val="007E3140"/>
    <w:rsid w:val="007E31A4"/>
    <w:rsid w:val="007E328E"/>
    <w:rsid w:val="007E331A"/>
    <w:rsid w:val="007E34BA"/>
    <w:rsid w:val="007E370F"/>
    <w:rsid w:val="007E374A"/>
    <w:rsid w:val="007E3A0B"/>
    <w:rsid w:val="007E3AA4"/>
    <w:rsid w:val="007E4437"/>
    <w:rsid w:val="007E472D"/>
    <w:rsid w:val="007E47BF"/>
    <w:rsid w:val="007E49C3"/>
    <w:rsid w:val="007E4E59"/>
    <w:rsid w:val="007E4E9C"/>
    <w:rsid w:val="007E4F5A"/>
    <w:rsid w:val="007E5082"/>
    <w:rsid w:val="007E5145"/>
    <w:rsid w:val="007E571C"/>
    <w:rsid w:val="007E57C4"/>
    <w:rsid w:val="007E589E"/>
    <w:rsid w:val="007E5DD3"/>
    <w:rsid w:val="007E5F68"/>
    <w:rsid w:val="007E6303"/>
    <w:rsid w:val="007E65EE"/>
    <w:rsid w:val="007E66F1"/>
    <w:rsid w:val="007E7133"/>
    <w:rsid w:val="007E747E"/>
    <w:rsid w:val="007E76B9"/>
    <w:rsid w:val="007F02D5"/>
    <w:rsid w:val="007F0701"/>
    <w:rsid w:val="007F102C"/>
    <w:rsid w:val="007F129D"/>
    <w:rsid w:val="007F148D"/>
    <w:rsid w:val="007F149B"/>
    <w:rsid w:val="007F1799"/>
    <w:rsid w:val="007F1D4A"/>
    <w:rsid w:val="007F1E22"/>
    <w:rsid w:val="007F2441"/>
    <w:rsid w:val="007F2F56"/>
    <w:rsid w:val="007F324A"/>
    <w:rsid w:val="007F3424"/>
    <w:rsid w:val="007F385B"/>
    <w:rsid w:val="007F3B1C"/>
    <w:rsid w:val="007F3BEB"/>
    <w:rsid w:val="007F4093"/>
    <w:rsid w:val="007F4332"/>
    <w:rsid w:val="007F43F2"/>
    <w:rsid w:val="007F442C"/>
    <w:rsid w:val="007F4644"/>
    <w:rsid w:val="007F47A5"/>
    <w:rsid w:val="007F4851"/>
    <w:rsid w:val="007F5012"/>
    <w:rsid w:val="007F588F"/>
    <w:rsid w:val="007F596E"/>
    <w:rsid w:val="007F5AAE"/>
    <w:rsid w:val="007F5CD9"/>
    <w:rsid w:val="007F5F84"/>
    <w:rsid w:val="007F6004"/>
    <w:rsid w:val="007F63A6"/>
    <w:rsid w:val="007F63F8"/>
    <w:rsid w:val="007F640C"/>
    <w:rsid w:val="007F6595"/>
    <w:rsid w:val="007F6633"/>
    <w:rsid w:val="007F6989"/>
    <w:rsid w:val="007F6ED4"/>
    <w:rsid w:val="007F6F49"/>
    <w:rsid w:val="007F6FB6"/>
    <w:rsid w:val="00800096"/>
    <w:rsid w:val="0080036B"/>
    <w:rsid w:val="008003AE"/>
    <w:rsid w:val="00800651"/>
    <w:rsid w:val="00800893"/>
    <w:rsid w:val="00801081"/>
    <w:rsid w:val="00801650"/>
    <w:rsid w:val="00801880"/>
    <w:rsid w:val="00801CFA"/>
    <w:rsid w:val="00802B43"/>
    <w:rsid w:val="00802E1B"/>
    <w:rsid w:val="008030E9"/>
    <w:rsid w:val="008038B2"/>
    <w:rsid w:val="008040AD"/>
    <w:rsid w:val="00804397"/>
    <w:rsid w:val="00804504"/>
    <w:rsid w:val="0080488B"/>
    <w:rsid w:val="00804E26"/>
    <w:rsid w:val="00804FE4"/>
    <w:rsid w:val="00805042"/>
    <w:rsid w:val="008053C6"/>
    <w:rsid w:val="008055C3"/>
    <w:rsid w:val="00805918"/>
    <w:rsid w:val="0080594D"/>
    <w:rsid w:val="00805D59"/>
    <w:rsid w:val="00805DB4"/>
    <w:rsid w:val="00806334"/>
    <w:rsid w:val="008063AD"/>
    <w:rsid w:val="008064C0"/>
    <w:rsid w:val="0080670A"/>
    <w:rsid w:val="00806993"/>
    <w:rsid w:val="00806B4B"/>
    <w:rsid w:val="00806BDF"/>
    <w:rsid w:val="00806CD6"/>
    <w:rsid w:val="00806CE3"/>
    <w:rsid w:val="00807AED"/>
    <w:rsid w:val="00807E9E"/>
    <w:rsid w:val="0081024C"/>
    <w:rsid w:val="008105E4"/>
    <w:rsid w:val="00810C87"/>
    <w:rsid w:val="00811079"/>
    <w:rsid w:val="00811E7A"/>
    <w:rsid w:val="008121F5"/>
    <w:rsid w:val="00812685"/>
    <w:rsid w:val="00812CAB"/>
    <w:rsid w:val="00812E30"/>
    <w:rsid w:val="008130C4"/>
    <w:rsid w:val="008130C8"/>
    <w:rsid w:val="0081311C"/>
    <w:rsid w:val="00813997"/>
    <w:rsid w:val="00813BBC"/>
    <w:rsid w:val="00813D4C"/>
    <w:rsid w:val="00813D4E"/>
    <w:rsid w:val="00814041"/>
    <w:rsid w:val="008143D7"/>
    <w:rsid w:val="008148A7"/>
    <w:rsid w:val="00814A41"/>
    <w:rsid w:val="00815525"/>
    <w:rsid w:val="008155BF"/>
    <w:rsid w:val="00815A69"/>
    <w:rsid w:val="00816332"/>
    <w:rsid w:val="0081663A"/>
    <w:rsid w:val="00816F6A"/>
    <w:rsid w:val="0081718B"/>
    <w:rsid w:val="008178F2"/>
    <w:rsid w:val="00817A08"/>
    <w:rsid w:val="00817D48"/>
    <w:rsid w:val="00817EF6"/>
    <w:rsid w:val="008201D6"/>
    <w:rsid w:val="00820492"/>
    <w:rsid w:val="0082075C"/>
    <w:rsid w:val="008211CE"/>
    <w:rsid w:val="008216A2"/>
    <w:rsid w:val="00821749"/>
    <w:rsid w:val="008219F3"/>
    <w:rsid w:val="00821BE9"/>
    <w:rsid w:val="00821E18"/>
    <w:rsid w:val="00822582"/>
    <w:rsid w:val="00822E71"/>
    <w:rsid w:val="0082310D"/>
    <w:rsid w:val="0082331B"/>
    <w:rsid w:val="0082341A"/>
    <w:rsid w:val="00823AA8"/>
    <w:rsid w:val="00823D28"/>
    <w:rsid w:val="00823EFD"/>
    <w:rsid w:val="00823F65"/>
    <w:rsid w:val="0082413D"/>
    <w:rsid w:val="008246BA"/>
    <w:rsid w:val="00824D2D"/>
    <w:rsid w:val="00825FF0"/>
    <w:rsid w:val="00826125"/>
    <w:rsid w:val="008263FE"/>
    <w:rsid w:val="008266B8"/>
    <w:rsid w:val="00826A08"/>
    <w:rsid w:val="00826B2B"/>
    <w:rsid w:val="00826D06"/>
    <w:rsid w:val="00826F37"/>
    <w:rsid w:val="008270D9"/>
    <w:rsid w:val="00827482"/>
    <w:rsid w:val="00827668"/>
    <w:rsid w:val="00827829"/>
    <w:rsid w:val="00827B29"/>
    <w:rsid w:val="00827D02"/>
    <w:rsid w:val="00827DDE"/>
    <w:rsid w:val="00827E22"/>
    <w:rsid w:val="00827F73"/>
    <w:rsid w:val="008301E7"/>
    <w:rsid w:val="0083060A"/>
    <w:rsid w:val="00830A62"/>
    <w:rsid w:val="00831081"/>
    <w:rsid w:val="0083124D"/>
    <w:rsid w:val="00831574"/>
    <w:rsid w:val="00831E61"/>
    <w:rsid w:val="008321F8"/>
    <w:rsid w:val="00832420"/>
    <w:rsid w:val="00832767"/>
    <w:rsid w:val="008328BD"/>
    <w:rsid w:val="00832F3D"/>
    <w:rsid w:val="008331C3"/>
    <w:rsid w:val="008332EE"/>
    <w:rsid w:val="008333EA"/>
    <w:rsid w:val="008335E1"/>
    <w:rsid w:val="00833B53"/>
    <w:rsid w:val="00833C03"/>
    <w:rsid w:val="008341D9"/>
    <w:rsid w:val="008348D0"/>
    <w:rsid w:val="00834CAC"/>
    <w:rsid w:val="00835032"/>
    <w:rsid w:val="008357EC"/>
    <w:rsid w:val="008359C0"/>
    <w:rsid w:val="00835B18"/>
    <w:rsid w:val="00835BC2"/>
    <w:rsid w:val="00835EC9"/>
    <w:rsid w:val="0083628A"/>
    <w:rsid w:val="00836306"/>
    <w:rsid w:val="008366F9"/>
    <w:rsid w:val="008369C2"/>
    <w:rsid w:val="00836D8E"/>
    <w:rsid w:val="00836E51"/>
    <w:rsid w:val="0083710B"/>
    <w:rsid w:val="00837918"/>
    <w:rsid w:val="00840512"/>
    <w:rsid w:val="008408B9"/>
    <w:rsid w:val="00840A11"/>
    <w:rsid w:val="00840A31"/>
    <w:rsid w:val="00840B03"/>
    <w:rsid w:val="00840ECA"/>
    <w:rsid w:val="008413E8"/>
    <w:rsid w:val="00841F77"/>
    <w:rsid w:val="008420B2"/>
    <w:rsid w:val="00842847"/>
    <w:rsid w:val="008428FE"/>
    <w:rsid w:val="00842A23"/>
    <w:rsid w:val="00842AB5"/>
    <w:rsid w:val="00842CCB"/>
    <w:rsid w:val="008432B6"/>
    <w:rsid w:val="00843C62"/>
    <w:rsid w:val="008443D3"/>
    <w:rsid w:val="00844A98"/>
    <w:rsid w:val="00844BB7"/>
    <w:rsid w:val="00845034"/>
    <w:rsid w:val="008451B4"/>
    <w:rsid w:val="00845238"/>
    <w:rsid w:val="00845525"/>
    <w:rsid w:val="00845531"/>
    <w:rsid w:val="008458A2"/>
    <w:rsid w:val="00846C56"/>
    <w:rsid w:val="00846EC5"/>
    <w:rsid w:val="00846ED7"/>
    <w:rsid w:val="00847052"/>
    <w:rsid w:val="00847B88"/>
    <w:rsid w:val="00847E6E"/>
    <w:rsid w:val="008502DF"/>
    <w:rsid w:val="008506DD"/>
    <w:rsid w:val="00850738"/>
    <w:rsid w:val="00850E55"/>
    <w:rsid w:val="00850EFB"/>
    <w:rsid w:val="0085127F"/>
    <w:rsid w:val="008516D6"/>
    <w:rsid w:val="00851900"/>
    <w:rsid w:val="00851B7E"/>
    <w:rsid w:val="0085212E"/>
    <w:rsid w:val="00852647"/>
    <w:rsid w:val="00852ADB"/>
    <w:rsid w:val="0085309C"/>
    <w:rsid w:val="0085314D"/>
    <w:rsid w:val="00853169"/>
    <w:rsid w:val="00853459"/>
    <w:rsid w:val="008537D4"/>
    <w:rsid w:val="0085386A"/>
    <w:rsid w:val="00853C1B"/>
    <w:rsid w:val="00853CB9"/>
    <w:rsid w:val="00853E6C"/>
    <w:rsid w:val="008540E5"/>
    <w:rsid w:val="0085441F"/>
    <w:rsid w:val="0085467E"/>
    <w:rsid w:val="00854DF9"/>
    <w:rsid w:val="00854F48"/>
    <w:rsid w:val="00854F56"/>
    <w:rsid w:val="00855010"/>
    <w:rsid w:val="008557DD"/>
    <w:rsid w:val="008558FC"/>
    <w:rsid w:val="00855BBA"/>
    <w:rsid w:val="00856218"/>
    <w:rsid w:val="0085658D"/>
    <w:rsid w:val="00856726"/>
    <w:rsid w:val="00856966"/>
    <w:rsid w:val="00856E30"/>
    <w:rsid w:val="0085714D"/>
    <w:rsid w:val="008573A4"/>
    <w:rsid w:val="008574D5"/>
    <w:rsid w:val="008600A1"/>
    <w:rsid w:val="008603C7"/>
    <w:rsid w:val="00860540"/>
    <w:rsid w:val="00860829"/>
    <w:rsid w:val="00860A2C"/>
    <w:rsid w:val="00860F12"/>
    <w:rsid w:val="00861856"/>
    <w:rsid w:val="00862153"/>
    <w:rsid w:val="00862340"/>
    <w:rsid w:val="0086254E"/>
    <w:rsid w:val="00862597"/>
    <w:rsid w:val="008628C6"/>
    <w:rsid w:val="008637ED"/>
    <w:rsid w:val="00863879"/>
    <w:rsid w:val="00863AAB"/>
    <w:rsid w:val="00864712"/>
    <w:rsid w:val="0086482C"/>
    <w:rsid w:val="00864D58"/>
    <w:rsid w:val="008652E0"/>
    <w:rsid w:val="008656B9"/>
    <w:rsid w:val="00865CAD"/>
    <w:rsid w:val="00865EA9"/>
    <w:rsid w:val="00865F3B"/>
    <w:rsid w:val="00866124"/>
    <w:rsid w:val="0086640D"/>
    <w:rsid w:val="00866508"/>
    <w:rsid w:val="008669D9"/>
    <w:rsid w:val="00866E3B"/>
    <w:rsid w:val="008679F1"/>
    <w:rsid w:val="00867BE9"/>
    <w:rsid w:val="0087000F"/>
    <w:rsid w:val="00870214"/>
    <w:rsid w:val="008704C1"/>
    <w:rsid w:val="008704DC"/>
    <w:rsid w:val="008704F9"/>
    <w:rsid w:val="008706AF"/>
    <w:rsid w:val="00870844"/>
    <w:rsid w:val="00870906"/>
    <w:rsid w:val="00870B83"/>
    <w:rsid w:val="0087102E"/>
    <w:rsid w:val="0087116E"/>
    <w:rsid w:val="00871AA2"/>
    <w:rsid w:val="00871B26"/>
    <w:rsid w:val="008725F9"/>
    <w:rsid w:val="008727A8"/>
    <w:rsid w:val="0087295A"/>
    <w:rsid w:val="00872C4F"/>
    <w:rsid w:val="00872E80"/>
    <w:rsid w:val="00873131"/>
    <w:rsid w:val="00873995"/>
    <w:rsid w:val="00873A92"/>
    <w:rsid w:val="00873AC3"/>
    <w:rsid w:val="00873B61"/>
    <w:rsid w:val="008750A5"/>
    <w:rsid w:val="00875AC6"/>
    <w:rsid w:val="00875C7A"/>
    <w:rsid w:val="00875CEE"/>
    <w:rsid w:val="00875ECD"/>
    <w:rsid w:val="00876480"/>
    <w:rsid w:val="00876E5B"/>
    <w:rsid w:val="00877085"/>
    <w:rsid w:val="008801A8"/>
    <w:rsid w:val="008805D7"/>
    <w:rsid w:val="00880730"/>
    <w:rsid w:val="008807AA"/>
    <w:rsid w:val="00880A41"/>
    <w:rsid w:val="00880AA1"/>
    <w:rsid w:val="00880B7D"/>
    <w:rsid w:val="00880EB8"/>
    <w:rsid w:val="008810DD"/>
    <w:rsid w:val="008811BD"/>
    <w:rsid w:val="00881337"/>
    <w:rsid w:val="00881A01"/>
    <w:rsid w:val="00881CA9"/>
    <w:rsid w:val="00881DF1"/>
    <w:rsid w:val="00882126"/>
    <w:rsid w:val="00882257"/>
    <w:rsid w:val="0088236F"/>
    <w:rsid w:val="00882849"/>
    <w:rsid w:val="00882A34"/>
    <w:rsid w:val="00882A58"/>
    <w:rsid w:val="00882B7B"/>
    <w:rsid w:val="00882DCF"/>
    <w:rsid w:val="00882E37"/>
    <w:rsid w:val="00882F0A"/>
    <w:rsid w:val="00882F53"/>
    <w:rsid w:val="008830AB"/>
    <w:rsid w:val="008835DD"/>
    <w:rsid w:val="008836FE"/>
    <w:rsid w:val="00883896"/>
    <w:rsid w:val="008838FC"/>
    <w:rsid w:val="00883982"/>
    <w:rsid w:val="00883A80"/>
    <w:rsid w:val="00884008"/>
    <w:rsid w:val="00884743"/>
    <w:rsid w:val="00884AE9"/>
    <w:rsid w:val="0088560C"/>
    <w:rsid w:val="00885639"/>
    <w:rsid w:val="0088568D"/>
    <w:rsid w:val="00885827"/>
    <w:rsid w:val="008858FB"/>
    <w:rsid w:val="00885C09"/>
    <w:rsid w:val="0088665E"/>
    <w:rsid w:val="00886941"/>
    <w:rsid w:val="00886E9C"/>
    <w:rsid w:val="00887704"/>
    <w:rsid w:val="00887811"/>
    <w:rsid w:val="00887B1B"/>
    <w:rsid w:val="00887D0D"/>
    <w:rsid w:val="00887D85"/>
    <w:rsid w:val="008902B2"/>
    <w:rsid w:val="00890436"/>
    <w:rsid w:val="008909CD"/>
    <w:rsid w:val="008915D6"/>
    <w:rsid w:val="00892142"/>
    <w:rsid w:val="0089256D"/>
    <w:rsid w:val="0089259C"/>
    <w:rsid w:val="00892963"/>
    <w:rsid w:val="00892A07"/>
    <w:rsid w:val="00892A29"/>
    <w:rsid w:val="00892A84"/>
    <w:rsid w:val="00893A13"/>
    <w:rsid w:val="00893B6A"/>
    <w:rsid w:val="00893C75"/>
    <w:rsid w:val="00893D0F"/>
    <w:rsid w:val="00893F3D"/>
    <w:rsid w:val="00893FA7"/>
    <w:rsid w:val="008941E0"/>
    <w:rsid w:val="0089452A"/>
    <w:rsid w:val="008948C9"/>
    <w:rsid w:val="008955E5"/>
    <w:rsid w:val="00895FC1"/>
    <w:rsid w:val="00896221"/>
    <w:rsid w:val="008964CA"/>
    <w:rsid w:val="008966AA"/>
    <w:rsid w:val="00896CDE"/>
    <w:rsid w:val="0089735D"/>
    <w:rsid w:val="008974B1"/>
    <w:rsid w:val="00897DF9"/>
    <w:rsid w:val="008A001F"/>
    <w:rsid w:val="008A0236"/>
    <w:rsid w:val="008A067C"/>
    <w:rsid w:val="008A0CD6"/>
    <w:rsid w:val="008A0DF8"/>
    <w:rsid w:val="008A1955"/>
    <w:rsid w:val="008A1B80"/>
    <w:rsid w:val="008A1B8F"/>
    <w:rsid w:val="008A1C71"/>
    <w:rsid w:val="008A1FFA"/>
    <w:rsid w:val="008A2018"/>
    <w:rsid w:val="008A2224"/>
    <w:rsid w:val="008A2351"/>
    <w:rsid w:val="008A2A17"/>
    <w:rsid w:val="008A2B41"/>
    <w:rsid w:val="008A371B"/>
    <w:rsid w:val="008A38DF"/>
    <w:rsid w:val="008A39FC"/>
    <w:rsid w:val="008A3AF7"/>
    <w:rsid w:val="008A3D0B"/>
    <w:rsid w:val="008A3DD0"/>
    <w:rsid w:val="008A400C"/>
    <w:rsid w:val="008A40EE"/>
    <w:rsid w:val="008A41C2"/>
    <w:rsid w:val="008A4567"/>
    <w:rsid w:val="008A4C44"/>
    <w:rsid w:val="008A504D"/>
    <w:rsid w:val="008A55DA"/>
    <w:rsid w:val="008A58CC"/>
    <w:rsid w:val="008A5D20"/>
    <w:rsid w:val="008A62A9"/>
    <w:rsid w:val="008A6A55"/>
    <w:rsid w:val="008A6BCA"/>
    <w:rsid w:val="008A6E74"/>
    <w:rsid w:val="008A6EC0"/>
    <w:rsid w:val="008A726E"/>
    <w:rsid w:val="008A72BB"/>
    <w:rsid w:val="008A743F"/>
    <w:rsid w:val="008A75B2"/>
    <w:rsid w:val="008A792C"/>
    <w:rsid w:val="008A7B61"/>
    <w:rsid w:val="008A7E17"/>
    <w:rsid w:val="008B004C"/>
    <w:rsid w:val="008B08E9"/>
    <w:rsid w:val="008B0A8A"/>
    <w:rsid w:val="008B0A8B"/>
    <w:rsid w:val="008B0CB5"/>
    <w:rsid w:val="008B126A"/>
    <w:rsid w:val="008B14F0"/>
    <w:rsid w:val="008B1E17"/>
    <w:rsid w:val="008B2332"/>
    <w:rsid w:val="008B2780"/>
    <w:rsid w:val="008B27EB"/>
    <w:rsid w:val="008B2AE3"/>
    <w:rsid w:val="008B3450"/>
    <w:rsid w:val="008B3728"/>
    <w:rsid w:val="008B3BAF"/>
    <w:rsid w:val="008B3CF4"/>
    <w:rsid w:val="008B4056"/>
    <w:rsid w:val="008B4209"/>
    <w:rsid w:val="008B43E6"/>
    <w:rsid w:val="008B4404"/>
    <w:rsid w:val="008B498D"/>
    <w:rsid w:val="008B4CF9"/>
    <w:rsid w:val="008B5885"/>
    <w:rsid w:val="008B61C5"/>
    <w:rsid w:val="008B68CE"/>
    <w:rsid w:val="008B68EE"/>
    <w:rsid w:val="008B6AB6"/>
    <w:rsid w:val="008B6B61"/>
    <w:rsid w:val="008B6F83"/>
    <w:rsid w:val="008B7432"/>
    <w:rsid w:val="008B744D"/>
    <w:rsid w:val="008B7786"/>
    <w:rsid w:val="008B7CBF"/>
    <w:rsid w:val="008B7E09"/>
    <w:rsid w:val="008B7F69"/>
    <w:rsid w:val="008C0152"/>
    <w:rsid w:val="008C0602"/>
    <w:rsid w:val="008C0B62"/>
    <w:rsid w:val="008C0C26"/>
    <w:rsid w:val="008C0D26"/>
    <w:rsid w:val="008C0E6D"/>
    <w:rsid w:val="008C119C"/>
    <w:rsid w:val="008C1274"/>
    <w:rsid w:val="008C156A"/>
    <w:rsid w:val="008C15C7"/>
    <w:rsid w:val="008C16DA"/>
    <w:rsid w:val="008C1832"/>
    <w:rsid w:val="008C1879"/>
    <w:rsid w:val="008C1B9A"/>
    <w:rsid w:val="008C1D74"/>
    <w:rsid w:val="008C2163"/>
    <w:rsid w:val="008C228D"/>
    <w:rsid w:val="008C231A"/>
    <w:rsid w:val="008C35AF"/>
    <w:rsid w:val="008C38AF"/>
    <w:rsid w:val="008C3A63"/>
    <w:rsid w:val="008C3C70"/>
    <w:rsid w:val="008C3DBD"/>
    <w:rsid w:val="008C4367"/>
    <w:rsid w:val="008C5030"/>
    <w:rsid w:val="008C53FE"/>
    <w:rsid w:val="008C5462"/>
    <w:rsid w:val="008C54C7"/>
    <w:rsid w:val="008C5759"/>
    <w:rsid w:val="008C5856"/>
    <w:rsid w:val="008C5AF4"/>
    <w:rsid w:val="008C68CA"/>
    <w:rsid w:val="008C69EC"/>
    <w:rsid w:val="008C6D5B"/>
    <w:rsid w:val="008C724D"/>
    <w:rsid w:val="008D0180"/>
    <w:rsid w:val="008D051A"/>
    <w:rsid w:val="008D0965"/>
    <w:rsid w:val="008D0BB3"/>
    <w:rsid w:val="008D0CD0"/>
    <w:rsid w:val="008D0D46"/>
    <w:rsid w:val="008D1340"/>
    <w:rsid w:val="008D13DA"/>
    <w:rsid w:val="008D15EF"/>
    <w:rsid w:val="008D16D7"/>
    <w:rsid w:val="008D1BAE"/>
    <w:rsid w:val="008D1C7F"/>
    <w:rsid w:val="008D2228"/>
    <w:rsid w:val="008D22EF"/>
    <w:rsid w:val="008D265C"/>
    <w:rsid w:val="008D26DD"/>
    <w:rsid w:val="008D2A8C"/>
    <w:rsid w:val="008D2CBD"/>
    <w:rsid w:val="008D2DE1"/>
    <w:rsid w:val="008D2E4D"/>
    <w:rsid w:val="008D3D1A"/>
    <w:rsid w:val="008D3E08"/>
    <w:rsid w:val="008D3F84"/>
    <w:rsid w:val="008D403A"/>
    <w:rsid w:val="008D42E5"/>
    <w:rsid w:val="008D42EB"/>
    <w:rsid w:val="008D45EF"/>
    <w:rsid w:val="008D46B9"/>
    <w:rsid w:val="008D4BEA"/>
    <w:rsid w:val="008D5551"/>
    <w:rsid w:val="008D59DF"/>
    <w:rsid w:val="008D5E7C"/>
    <w:rsid w:val="008D5E9A"/>
    <w:rsid w:val="008D68A1"/>
    <w:rsid w:val="008D6A15"/>
    <w:rsid w:val="008D6BF3"/>
    <w:rsid w:val="008D6CD0"/>
    <w:rsid w:val="008D74B3"/>
    <w:rsid w:val="008D7D23"/>
    <w:rsid w:val="008E0453"/>
    <w:rsid w:val="008E0A58"/>
    <w:rsid w:val="008E1AB3"/>
    <w:rsid w:val="008E2312"/>
    <w:rsid w:val="008E2350"/>
    <w:rsid w:val="008E2505"/>
    <w:rsid w:val="008E28C1"/>
    <w:rsid w:val="008E3075"/>
    <w:rsid w:val="008E3218"/>
    <w:rsid w:val="008E33A9"/>
    <w:rsid w:val="008E37E1"/>
    <w:rsid w:val="008E3DBC"/>
    <w:rsid w:val="008E3F07"/>
    <w:rsid w:val="008E4014"/>
    <w:rsid w:val="008E40A1"/>
    <w:rsid w:val="008E4607"/>
    <w:rsid w:val="008E4934"/>
    <w:rsid w:val="008E4984"/>
    <w:rsid w:val="008E4F71"/>
    <w:rsid w:val="008E4FE9"/>
    <w:rsid w:val="008E52AD"/>
    <w:rsid w:val="008E54F6"/>
    <w:rsid w:val="008E5A9E"/>
    <w:rsid w:val="008E5AB9"/>
    <w:rsid w:val="008E5F2B"/>
    <w:rsid w:val="008E6133"/>
    <w:rsid w:val="008E633A"/>
    <w:rsid w:val="008E6624"/>
    <w:rsid w:val="008E710B"/>
    <w:rsid w:val="008E79D3"/>
    <w:rsid w:val="008E7CDE"/>
    <w:rsid w:val="008E7DD6"/>
    <w:rsid w:val="008F02B0"/>
    <w:rsid w:val="008F04FF"/>
    <w:rsid w:val="008F05F4"/>
    <w:rsid w:val="008F066A"/>
    <w:rsid w:val="008F0B2C"/>
    <w:rsid w:val="008F0BED"/>
    <w:rsid w:val="008F0F2B"/>
    <w:rsid w:val="008F117A"/>
    <w:rsid w:val="008F1842"/>
    <w:rsid w:val="008F1DB1"/>
    <w:rsid w:val="008F22C2"/>
    <w:rsid w:val="008F237C"/>
    <w:rsid w:val="008F23D0"/>
    <w:rsid w:val="008F249E"/>
    <w:rsid w:val="008F24E7"/>
    <w:rsid w:val="008F2543"/>
    <w:rsid w:val="008F2828"/>
    <w:rsid w:val="008F2956"/>
    <w:rsid w:val="008F2B1D"/>
    <w:rsid w:val="008F316D"/>
    <w:rsid w:val="008F330C"/>
    <w:rsid w:val="008F3726"/>
    <w:rsid w:val="008F3C95"/>
    <w:rsid w:val="008F3D7F"/>
    <w:rsid w:val="008F3EA3"/>
    <w:rsid w:val="008F3FFE"/>
    <w:rsid w:val="008F4321"/>
    <w:rsid w:val="008F43F7"/>
    <w:rsid w:val="008F479E"/>
    <w:rsid w:val="008F49BF"/>
    <w:rsid w:val="008F49E8"/>
    <w:rsid w:val="008F4A08"/>
    <w:rsid w:val="008F529A"/>
    <w:rsid w:val="008F573A"/>
    <w:rsid w:val="008F5767"/>
    <w:rsid w:val="008F57A9"/>
    <w:rsid w:val="008F59AA"/>
    <w:rsid w:val="008F5A1C"/>
    <w:rsid w:val="008F5C28"/>
    <w:rsid w:val="008F5E4E"/>
    <w:rsid w:val="008F5FC2"/>
    <w:rsid w:val="008F6759"/>
    <w:rsid w:val="008F6931"/>
    <w:rsid w:val="008F6B08"/>
    <w:rsid w:val="008F6B39"/>
    <w:rsid w:val="008F6B64"/>
    <w:rsid w:val="008F6BAE"/>
    <w:rsid w:val="008F6E88"/>
    <w:rsid w:val="008F70CE"/>
    <w:rsid w:val="008F7496"/>
    <w:rsid w:val="008F7F21"/>
    <w:rsid w:val="008F7FC5"/>
    <w:rsid w:val="009005E2"/>
    <w:rsid w:val="0090063E"/>
    <w:rsid w:val="00901413"/>
    <w:rsid w:val="009016AB"/>
    <w:rsid w:val="00901FC1"/>
    <w:rsid w:val="0090212F"/>
    <w:rsid w:val="00902BFD"/>
    <w:rsid w:val="009030FF"/>
    <w:rsid w:val="009031EA"/>
    <w:rsid w:val="009032C1"/>
    <w:rsid w:val="009035F1"/>
    <w:rsid w:val="009037EA"/>
    <w:rsid w:val="00903810"/>
    <w:rsid w:val="009040C2"/>
    <w:rsid w:val="0090430E"/>
    <w:rsid w:val="0090460F"/>
    <w:rsid w:val="00904702"/>
    <w:rsid w:val="00905256"/>
    <w:rsid w:val="00905A40"/>
    <w:rsid w:val="00905FF4"/>
    <w:rsid w:val="0090640A"/>
    <w:rsid w:val="0090667D"/>
    <w:rsid w:val="0090696D"/>
    <w:rsid w:val="00906B7A"/>
    <w:rsid w:val="00906F49"/>
    <w:rsid w:val="00906FBD"/>
    <w:rsid w:val="00907231"/>
    <w:rsid w:val="009073C0"/>
    <w:rsid w:val="0090742C"/>
    <w:rsid w:val="00907A33"/>
    <w:rsid w:val="00907C8A"/>
    <w:rsid w:val="00907E5A"/>
    <w:rsid w:val="0091040E"/>
    <w:rsid w:val="00910441"/>
    <w:rsid w:val="00910B6B"/>
    <w:rsid w:val="00910C9A"/>
    <w:rsid w:val="0091121E"/>
    <w:rsid w:val="009115CE"/>
    <w:rsid w:val="0091161D"/>
    <w:rsid w:val="009118D8"/>
    <w:rsid w:val="009119A9"/>
    <w:rsid w:val="00911D20"/>
    <w:rsid w:val="00911F83"/>
    <w:rsid w:val="009125FB"/>
    <w:rsid w:val="00912A7E"/>
    <w:rsid w:val="00912AE0"/>
    <w:rsid w:val="00912B4D"/>
    <w:rsid w:val="00912CE3"/>
    <w:rsid w:val="00912D56"/>
    <w:rsid w:val="00913181"/>
    <w:rsid w:val="009132FD"/>
    <w:rsid w:val="00913334"/>
    <w:rsid w:val="009133D4"/>
    <w:rsid w:val="00913567"/>
    <w:rsid w:val="009135A4"/>
    <w:rsid w:val="0091361F"/>
    <w:rsid w:val="0091380C"/>
    <w:rsid w:val="00913F45"/>
    <w:rsid w:val="009140EC"/>
    <w:rsid w:val="00914416"/>
    <w:rsid w:val="009149BB"/>
    <w:rsid w:val="00914E7A"/>
    <w:rsid w:val="0091583D"/>
    <w:rsid w:val="00915AC0"/>
    <w:rsid w:val="00915CB2"/>
    <w:rsid w:val="00915CFA"/>
    <w:rsid w:val="00915DB7"/>
    <w:rsid w:val="00915FC6"/>
    <w:rsid w:val="009163FC"/>
    <w:rsid w:val="00916AD0"/>
    <w:rsid w:val="009173DF"/>
    <w:rsid w:val="00917525"/>
    <w:rsid w:val="00917C67"/>
    <w:rsid w:val="0092032C"/>
    <w:rsid w:val="009207FB"/>
    <w:rsid w:val="00920842"/>
    <w:rsid w:val="0092098E"/>
    <w:rsid w:val="00920EB8"/>
    <w:rsid w:val="00920F24"/>
    <w:rsid w:val="00921300"/>
    <w:rsid w:val="0092143C"/>
    <w:rsid w:val="009214F0"/>
    <w:rsid w:val="00921505"/>
    <w:rsid w:val="009215BF"/>
    <w:rsid w:val="0092174F"/>
    <w:rsid w:val="0092176D"/>
    <w:rsid w:val="00921922"/>
    <w:rsid w:val="00921D32"/>
    <w:rsid w:val="00921E51"/>
    <w:rsid w:val="0092220D"/>
    <w:rsid w:val="0092239F"/>
    <w:rsid w:val="0092241D"/>
    <w:rsid w:val="0092268E"/>
    <w:rsid w:val="00922B35"/>
    <w:rsid w:val="00922CBD"/>
    <w:rsid w:val="00922F09"/>
    <w:rsid w:val="009238AC"/>
    <w:rsid w:val="00923B03"/>
    <w:rsid w:val="00923FAA"/>
    <w:rsid w:val="009242EC"/>
    <w:rsid w:val="0092464E"/>
    <w:rsid w:val="009248CF"/>
    <w:rsid w:val="00924D25"/>
    <w:rsid w:val="00924EFD"/>
    <w:rsid w:val="00924F49"/>
    <w:rsid w:val="0092522B"/>
    <w:rsid w:val="009253E5"/>
    <w:rsid w:val="0092544F"/>
    <w:rsid w:val="009255DC"/>
    <w:rsid w:val="009269D4"/>
    <w:rsid w:val="00926A43"/>
    <w:rsid w:val="00930517"/>
    <w:rsid w:val="009305A5"/>
    <w:rsid w:val="00930761"/>
    <w:rsid w:val="00930AF2"/>
    <w:rsid w:val="009310BE"/>
    <w:rsid w:val="009317D8"/>
    <w:rsid w:val="00931F6E"/>
    <w:rsid w:val="00931FCF"/>
    <w:rsid w:val="00932109"/>
    <w:rsid w:val="00932544"/>
    <w:rsid w:val="009327C5"/>
    <w:rsid w:val="00932E62"/>
    <w:rsid w:val="009330C4"/>
    <w:rsid w:val="009335B7"/>
    <w:rsid w:val="00933905"/>
    <w:rsid w:val="009342C3"/>
    <w:rsid w:val="00934327"/>
    <w:rsid w:val="00934632"/>
    <w:rsid w:val="00935062"/>
    <w:rsid w:val="009358C3"/>
    <w:rsid w:val="00935AE9"/>
    <w:rsid w:val="009361E7"/>
    <w:rsid w:val="00937A3D"/>
    <w:rsid w:val="00937B31"/>
    <w:rsid w:val="00937D6C"/>
    <w:rsid w:val="00937E40"/>
    <w:rsid w:val="00940594"/>
    <w:rsid w:val="009410E3"/>
    <w:rsid w:val="00941400"/>
    <w:rsid w:val="0094148B"/>
    <w:rsid w:val="0094153A"/>
    <w:rsid w:val="0094188D"/>
    <w:rsid w:val="0094287E"/>
    <w:rsid w:val="00942935"/>
    <w:rsid w:val="0094294A"/>
    <w:rsid w:val="00942B11"/>
    <w:rsid w:val="00942B4C"/>
    <w:rsid w:val="00942C07"/>
    <w:rsid w:val="0094335B"/>
    <w:rsid w:val="009435C4"/>
    <w:rsid w:val="009436DD"/>
    <w:rsid w:val="00943766"/>
    <w:rsid w:val="009438E2"/>
    <w:rsid w:val="009438E4"/>
    <w:rsid w:val="009439B4"/>
    <w:rsid w:val="00943C29"/>
    <w:rsid w:val="00944476"/>
    <w:rsid w:val="00944D49"/>
    <w:rsid w:val="00944E1B"/>
    <w:rsid w:val="0094584C"/>
    <w:rsid w:val="00945C02"/>
    <w:rsid w:val="00946187"/>
    <w:rsid w:val="0094621B"/>
    <w:rsid w:val="0094650D"/>
    <w:rsid w:val="009466AE"/>
    <w:rsid w:val="00947035"/>
    <w:rsid w:val="00947471"/>
    <w:rsid w:val="00947526"/>
    <w:rsid w:val="009476AF"/>
    <w:rsid w:val="009479DA"/>
    <w:rsid w:val="00947E89"/>
    <w:rsid w:val="0095001B"/>
    <w:rsid w:val="009510EA"/>
    <w:rsid w:val="0095120C"/>
    <w:rsid w:val="0095155A"/>
    <w:rsid w:val="00951B0E"/>
    <w:rsid w:val="00951D72"/>
    <w:rsid w:val="00951EF8"/>
    <w:rsid w:val="00952015"/>
    <w:rsid w:val="0095323D"/>
    <w:rsid w:val="00953880"/>
    <w:rsid w:val="00953AB9"/>
    <w:rsid w:val="00953EAF"/>
    <w:rsid w:val="0095422B"/>
    <w:rsid w:val="00954259"/>
    <w:rsid w:val="0095448E"/>
    <w:rsid w:val="00954803"/>
    <w:rsid w:val="0095483E"/>
    <w:rsid w:val="009550FF"/>
    <w:rsid w:val="00955438"/>
    <w:rsid w:val="00955B83"/>
    <w:rsid w:val="00955D3A"/>
    <w:rsid w:val="00955DE6"/>
    <w:rsid w:val="00955E28"/>
    <w:rsid w:val="00955F9F"/>
    <w:rsid w:val="00956086"/>
    <w:rsid w:val="00956363"/>
    <w:rsid w:val="00956684"/>
    <w:rsid w:val="00956954"/>
    <w:rsid w:val="00956A0C"/>
    <w:rsid w:val="00956CA8"/>
    <w:rsid w:val="009571E5"/>
    <w:rsid w:val="0095744F"/>
    <w:rsid w:val="00957581"/>
    <w:rsid w:val="00957948"/>
    <w:rsid w:val="00957A1D"/>
    <w:rsid w:val="00957A95"/>
    <w:rsid w:val="00957B0D"/>
    <w:rsid w:val="00957B48"/>
    <w:rsid w:val="00957C19"/>
    <w:rsid w:val="00957D5C"/>
    <w:rsid w:val="00957F35"/>
    <w:rsid w:val="00960284"/>
    <w:rsid w:val="009602E3"/>
    <w:rsid w:val="00960471"/>
    <w:rsid w:val="009604EC"/>
    <w:rsid w:val="009606EB"/>
    <w:rsid w:val="00960769"/>
    <w:rsid w:val="009609C7"/>
    <w:rsid w:val="00960C40"/>
    <w:rsid w:val="009610A5"/>
    <w:rsid w:val="009618AD"/>
    <w:rsid w:val="009619B8"/>
    <w:rsid w:val="00961D24"/>
    <w:rsid w:val="00962946"/>
    <w:rsid w:val="00963099"/>
    <w:rsid w:val="009630EA"/>
    <w:rsid w:val="009635B3"/>
    <w:rsid w:val="0096362E"/>
    <w:rsid w:val="00964318"/>
    <w:rsid w:val="00964D1A"/>
    <w:rsid w:val="00964D46"/>
    <w:rsid w:val="00964E59"/>
    <w:rsid w:val="009652EA"/>
    <w:rsid w:val="0096571C"/>
    <w:rsid w:val="0096642C"/>
    <w:rsid w:val="009668EB"/>
    <w:rsid w:val="00966AD0"/>
    <w:rsid w:val="00966B46"/>
    <w:rsid w:val="00966E7C"/>
    <w:rsid w:val="00967017"/>
    <w:rsid w:val="009672BE"/>
    <w:rsid w:val="0096735A"/>
    <w:rsid w:val="00967464"/>
    <w:rsid w:val="00967C15"/>
    <w:rsid w:val="00967F23"/>
    <w:rsid w:val="00970070"/>
    <w:rsid w:val="00970321"/>
    <w:rsid w:val="009704FB"/>
    <w:rsid w:val="009705DC"/>
    <w:rsid w:val="00970B59"/>
    <w:rsid w:val="00971284"/>
    <w:rsid w:val="009712C5"/>
    <w:rsid w:val="00971325"/>
    <w:rsid w:val="00971A3A"/>
    <w:rsid w:val="00971A61"/>
    <w:rsid w:val="00971D66"/>
    <w:rsid w:val="00971DC8"/>
    <w:rsid w:val="00971EDB"/>
    <w:rsid w:val="00972344"/>
    <w:rsid w:val="0097236D"/>
    <w:rsid w:val="00972E26"/>
    <w:rsid w:val="00972E6E"/>
    <w:rsid w:val="00973688"/>
    <w:rsid w:val="009737A2"/>
    <w:rsid w:val="00973A5A"/>
    <w:rsid w:val="00973B16"/>
    <w:rsid w:val="00973DE8"/>
    <w:rsid w:val="00974269"/>
    <w:rsid w:val="009745CB"/>
    <w:rsid w:val="009746CF"/>
    <w:rsid w:val="0097495F"/>
    <w:rsid w:val="009749D8"/>
    <w:rsid w:val="00974A8C"/>
    <w:rsid w:val="00974AED"/>
    <w:rsid w:val="00974DE9"/>
    <w:rsid w:val="00974FB6"/>
    <w:rsid w:val="00975165"/>
    <w:rsid w:val="0097553A"/>
    <w:rsid w:val="009755FF"/>
    <w:rsid w:val="00975742"/>
    <w:rsid w:val="00975D61"/>
    <w:rsid w:val="00976928"/>
    <w:rsid w:val="0097694E"/>
    <w:rsid w:val="00976CA5"/>
    <w:rsid w:val="00976D7D"/>
    <w:rsid w:val="009772F8"/>
    <w:rsid w:val="00977A57"/>
    <w:rsid w:val="00977B2A"/>
    <w:rsid w:val="00977BA9"/>
    <w:rsid w:val="0097F0F3"/>
    <w:rsid w:val="0098079B"/>
    <w:rsid w:val="00980934"/>
    <w:rsid w:val="00980CE2"/>
    <w:rsid w:val="009814BF"/>
    <w:rsid w:val="009815A2"/>
    <w:rsid w:val="00981715"/>
    <w:rsid w:val="0098201F"/>
    <w:rsid w:val="00982491"/>
    <w:rsid w:val="0098254D"/>
    <w:rsid w:val="00982621"/>
    <w:rsid w:val="0098334C"/>
    <w:rsid w:val="009836A8"/>
    <w:rsid w:val="009838AC"/>
    <w:rsid w:val="00983AE0"/>
    <w:rsid w:val="00983B7C"/>
    <w:rsid w:val="00983C4A"/>
    <w:rsid w:val="00984244"/>
    <w:rsid w:val="0098450A"/>
    <w:rsid w:val="00984692"/>
    <w:rsid w:val="00984A4A"/>
    <w:rsid w:val="00984A5B"/>
    <w:rsid w:val="00984DDB"/>
    <w:rsid w:val="00984DF7"/>
    <w:rsid w:val="0098541C"/>
    <w:rsid w:val="0098556C"/>
    <w:rsid w:val="00985785"/>
    <w:rsid w:val="00985B72"/>
    <w:rsid w:val="00985EB6"/>
    <w:rsid w:val="00986117"/>
    <w:rsid w:val="00986665"/>
    <w:rsid w:val="00986690"/>
    <w:rsid w:val="00986E22"/>
    <w:rsid w:val="0098782E"/>
    <w:rsid w:val="009878D9"/>
    <w:rsid w:val="00987F37"/>
    <w:rsid w:val="0099055A"/>
    <w:rsid w:val="00990607"/>
    <w:rsid w:val="0099086E"/>
    <w:rsid w:val="00991256"/>
    <w:rsid w:val="0099130B"/>
    <w:rsid w:val="00991587"/>
    <w:rsid w:val="00991D8D"/>
    <w:rsid w:val="00991E5D"/>
    <w:rsid w:val="00992640"/>
    <w:rsid w:val="009927C0"/>
    <w:rsid w:val="009931CA"/>
    <w:rsid w:val="009935D7"/>
    <w:rsid w:val="009935E1"/>
    <w:rsid w:val="00993DD9"/>
    <w:rsid w:val="00993FE4"/>
    <w:rsid w:val="00995335"/>
    <w:rsid w:val="00995624"/>
    <w:rsid w:val="00995797"/>
    <w:rsid w:val="009957ED"/>
    <w:rsid w:val="00995BFD"/>
    <w:rsid w:val="00995D3E"/>
    <w:rsid w:val="00996397"/>
    <w:rsid w:val="009963BD"/>
    <w:rsid w:val="00996453"/>
    <w:rsid w:val="00996D26"/>
    <w:rsid w:val="00996E9B"/>
    <w:rsid w:val="009974EF"/>
    <w:rsid w:val="00997542"/>
    <w:rsid w:val="009977FC"/>
    <w:rsid w:val="00997859"/>
    <w:rsid w:val="0099785B"/>
    <w:rsid w:val="00997B05"/>
    <w:rsid w:val="00997DB6"/>
    <w:rsid w:val="00997F31"/>
    <w:rsid w:val="009A0437"/>
    <w:rsid w:val="009A0474"/>
    <w:rsid w:val="009A079E"/>
    <w:rsid w:val="009A1064"/>
    <w:rsid w:val="009A1193"/>
    <w:rsid w:val="009A1323"/>
    <w:rsid w:val="009A1AD7"/>
    <w:rsid w:val="009A2169"/>
    <w:rsid w:val="009A29CC"/>
    <w:rsid w:val="009A2A2B"/>
    <w:rsid w:val="009A2BC9"/>
    <w:rsid w:val="009A2C36"/>
    <w:rsid w:val="009A2F51"/>
    <w:rsid w:val="009A3273"/>
    <w:rsid w:val="009A331F"/>
    <w:rsid w:val="009A3452"/>
    <w:rsid w:val="009A352D"/>
    <w:rsid w:val="009A37F6"/>
    <w:rsid w:val="009A381B"/>
    <w:rsid w:val="009A3AE8"/>
    <w:rsid w:val="009A3DAF"/>
    <w:rsid w:val="009A414E"/>
    <w:rsid w:val="009A4897"/>
    <w:rsid w:val="009A4B43"/>
    <w:rsid w:val="009A5059"/>
    <w:rsid w:val="009A5080"/>
    <w:rsid w:val="009A6453"/>
    <w:rsid w:val="009A6546"/>
    <w:rsid w:val="009A69F8"/>
    <w:rsid w:val="009A6E00"/>
    <w:rsid w:val="009A71F4"/>
    <w:rsid w:val="009A7231"/>
    <w:rsid w:val="009A75FD"/>
    <w:rsid w:val="009A793D"/>
    <w:rsid w:val="009A7AC8"/>
    <w:rsid w:val="009A7C5E"/>
    <w:rsid w:val="009A7F61"/>
    <w:rsid w:val="009B06AD"/>
    <w:rsid w:val="009B0796"/>
    <w:rsid w:val="009B07C3"/>
    <w:rsid w:val="009B0820"/>
    <w:rsid w:val="009B0842"/>
    <w:rsid w:val="009B12D3"/>
    <w:rsid w:val="009B1595"/>
    <w:rsid w:val="009B1724"/>
    <w:rsid w:val="009B1858"/>
    <w:rsid w:val="009B1973"/>
    <w:rsid w:val="009B1BD4"/>
    <w:rsid w:val="009B2295"/>
    <w:rsid w:val="009B29CD"/>
    <w:rsid w:val="009B29ED"/>
    <w:rsid w:val="009B2A64"/>
    <w:rsid w:val="009B2AB5"/>
    <w:rsid w:val="009B2B9C"/>
    <w:rsid w:val="009B356B"/>
    <w:rsid w:val="009B3D82"/>
    <w:rsid w:val="009B40CA"/>
    <w:rsid w:val="009B44C0"/>
    <w:rsid w:val="009B4627"/>
    <w:rsid w:val="009B4F44"/>
    <w:rsid w:val="009B50EE"/>
    <w:rsid w:val="009B555D"/>
    <w:rsid w:val="009B5560"/>
    <w:rsid w:val="009B55E4"/>
    <w:rsid w:val="009B57D4"/>
    <w:rsid w:val="009B6AAC"/>
    <w:rsid w:val="009B6F88"/>
    <w:rsid w:val="009B702E"/>
    <w:rsid w:val="009B7257"/>
    <w:rsid w:val="009B780C"/>
    <w:rsid w:val="009C0B11"/>
    <w:rsid w:val="009C0D25"/>
    <w:rsid w:val="009C0F1F"/>
    <w:rsid w:val="009C11F0"/>
    <w:rsid w:val="009C2397"/>
    <w:rsid w:val="009C2DC5"/>
    <w:rsid w:val="009C34E7"/>
    <w:rsid w:val="009C34FE"/>
    <w:rsid w:val="009C4129"/>
    <w:rsid w:val="009C41C5"/>
    <w:rsid w:val="009C47E9"/>
    <w:rsid w:val="009C4DC0"/>
    <w:rsid w:val="009C4F71"/>
    <w:rsid w:val="009C5A04"/>
    <w:rsid w:val="009C5ACB"/>
    <w:rsid w:val="009C5BB1"/>
    <w:rsid w:val="009C5DA4"/>
    <w:rsid w:val="009C6559"/>
    <w:rsid w:val="009C6D2E"/>
    <w:rsid w:val="009C7C6E"/>
    <w:rsid w:val="009C7DA4"/>
    <w:rsid w:val="009C7E61"/>
    <w:rsid w:val="009D002F"/>
    <w:rsid w:val="009D05BC"/>
    <w:rsid w:val="009D07BB"/>
    <w:rsid w:val="009D0804"/>
    <w:rsid w:val="009D0A9B"/>
    <w:rsid w:val="009D0B82"/>
    <w:rsid w:val="009D0BE9"/>
    <w:rsid w:val="009D115A"/>
    <w:rsid w:val="009D1315"/>
    <w:rsid w:val="009D187E"/>
    <w:rsid w:val="009D1C37"/>
    <w:rsid w:val="009D1C90"/>
    <w:rsid w:val="009D1C9B"/>
    <w:rsid w:val="009D202E"/>
    <w:rsid w:val="009D20C8"/>
    <w:rsid w:val="009D2442"/>
    <w:rsid w:val="009D265D"/>
    <w:rsid w:val="009D2828"/>
    <w:rsid w:val="009D2E07"/>
    <w:rsid w:val="009D3821"/>
    <w:rsid w:val="009D3C9D"/>
    <w:rsid w:val="009D3D67"/>
    <w:rsid w:val="009D3EF9"/>
    <w:rsid w:val="009D3F29"/>
    <w:rsid w:val="009D470B"/>
    <w:rsid w:val="009D4F0A"/>
    <w:rsid w:val="009D4F52"/>
    <w:rsid w:val="009D55AC"/>
    <w:rsid w:val="009D5633"/>
    <w:rsid w:val="009D563D"/>
    <w:rsid w:val="009D5BD0"/>
    <w:rsid w:val="009D61A7"/>
    <w:rsid w:val="009D6728"/>
    <w:rsid w:val="009D6BC8"/>
    <w:rsid w:val="009D6E02"/>
    <w:rsid w:val="009D7698"/>
    <w:rsid w:val="009D7A55"/>
    <w:rsid w:val="009D7A57"/>
    <w:rsid w:val="009D7F58"/>
    <w:rsid w:val="009E0339"/>
    <w:rsid w:val="009E037A"/>
    <w:rsid w:val="009E0634"/>
    <w:rsid w:val="009E08A9"/>
    <w:rsid w:val="009E09EA"/>
    <w:rsid w:val="009E0B33"/>
    <w:rsid w:val="009E0CE3"/>
    <w:rsid w:val="009E0E17"/>
    <w:rsid w:val="009E16C2"/>
    <w:rsid w:val="009E1906"/>
    <w:rsid w:val="009E1B57"/>
    <w:rsid w:val="009E2420"/>
    <w:rsid w:val="009E299A"/>
    <w:rsid w:val="009E3136"/>
    <w:rsid w:val="009E350A"/>
    <w:rsid w:val="009E3850"/>
    <w:rsid w:val="009E3CD7"/>
    <w:rsid w:val="009E3E25"/>
    <w:rsid w:val="009E3E8E"/>
    <w:rsid w:val="009E4132"/>
    <w:rsid w:val="009E4143"/>
    <w:rsid w:val="009E4204"/>
    <w:rsid w:val="009E463B"/>
    <w:rsid w:val="009E476A"/>
    <w:rsid w:val="009E4B63"/>
    <w:rsid w:val="009E4C27"/>
    <w:rsid w:val="009E4C3E"/>
    <w:rsid w:val="009E50C4"/>
    <w:rsid w:val="009E528E"/>
    <w:rsid w:val="009E59AB"/>
    <w:rsid w:val="009E61E4"/>
    <w:rsid w:val="009E62AE"/>
    <w:rsid w:val="009E6303"/>
    <w:rsid w:val="009E64CB"/>
    <w:rsid w:val="009E6ADC"/>
    <w:rsid w:val="009E7551"/>
    <w:rsid w:val="009E787B"/>
    <w:rsid w:val="009E7C05"/>
    <w:rsid w:val="009E7D91"/>
    <w:rsid w:val="009F045C"/>
    <w:rsid w:val="009F080F"/>
    <w:rsid w:val="009F0B0E"/>
    <w:rsid w:val="009F0F0C"/>
    <w:rsid w:val="009F0FBB"/>
    <w:rsid w:val="009F15F5"/>
    <w:rsid w:val="009F17C4"/>
    <w:rsid w:val="009F1E5C"/>
    <w:rsid w:val="009F28D5"/>
    <w:rsid w:val="009F2A2A"/>
    <w:rsid w:val="009F2BB9"/>
    <w:rsid w:val="009F2C58"/>
    <w:rsid w:val="009F2E93"/>
    <w:rsid w:val="009F2FEB"/>
    <w:rsid w:val="009F33CA"/>
    <w:rsid w:val="009F36BA"/>
    <w:rsid w:val="009F3970"/>
    <w:rsid w:val="009F3B1D"/>
    <w:rsid w:val="009F3CFB"/>
    <w:rsid w:val="009F3DFA"/>
    <w:rsid w:val="009F44A2"/>
    <w:rsid w:val="009F4563"/>
    <w:rsid w:val="009F45C9"/>
    <w:rsid w:val="009F4898"/>
    <w:rsid w:val="009F4F49"/>
    <w:rsid w:val="009F5276"/>
    <w:rsid w:val="009F5346"/>
    <w:rsid w:val="009F5383"/>
    <w:rsid w:val="009F585B"/>
    <w:rsid w:val="009F5DC4"/>
    <w:rsid w:val="009F5ED6"/>
    <w:rsid w:val="009F6314"/>
    <w:rsid w:val="009F63BD"/>
    <w:rsid w:val="009F6501"/>
    <w:rsid w:val="009F65D3"/>
    <w:rsid w:val="009F684E"/>
    <w:rsid w:val="009F6E4C"/>
    <w:rsid w:val="009F6F0A"/>
    <w:rsid w:val="009F75A8"/>
    <w:rsid w:val="009F771C"/>
    <w:rsid w:val="009F79E8"/>
    <w:rsid w:val="009F7B9A"/>
    <w:rsid w:val="009F7D25"/>
    <w:rsid w:val="00A00588"/>
    <w:rsid w:val="00A0066C"/>
    <w:rsid w:val="00A015E5"/>
    <w:rsid w:val="00A01777"/>
    <w:rsid w:val="00A01D69"/>
    <w:rsid w:val="00A01FD7"/>
    <w:rsid w:val="00A02110"/>
    <w:rsid w:val="00A0223A"/>
    <w:rsid w:val="00A02270"/>
    <w:rsid w:val="00A02375"/>
    <w:rsid w:val="00A02381"/>
    <w:rsid w:val="00A023C3"/>
    <w:rsid w:val="00A02EBB"/>
    <w:rsid w:val="00A0379D"/>
    <w:rsid w:val="00A03AD8"/>
    <w:rsid w:val="00A03BED"/>
    <w:rsid w:val="00A03CE3"/>
    <w:rsid w:val="00A03E72"/>
    <w:rsid w:val="00A042A3"/>
    <w:rsid w:val="00A04776"/>
    <w:rsid w:val="00A048F4"/>
    <w:rsid w:val="00A04A9A"/>
    <w:rsid w:val="00A04CF6"/>
    <w:rsid w:val="00A05044"/>
    <w:rsid w:val="00A060B5"/>
    <w:rsid w:val="00A062BB"/>
    <w:rsid w:val="00A063D7"/>
    <w:rsid w:val="00A06455"/>
    <w:rsid w:val="00A06E8E"/>
    <w:rsid w:val="00A06F65"/>
    <w:rsid w:val="00A06F74"/>
    <w:rsid w:val="00A0728D"/>
    <w:rsid w:val="00A07371"/>
    <w:rsid w:val="00A0787F"/>
    <w:rsid w:val="00A07BBA"/>
    <w:rsid w:val="00A07E98"/>
    <w:rsid w:val="00A10BE3"/>
    <w:rsid w:val="00A11BDA"/>
    <w:rsid w:val="00A12781"/>
    <w:rsid w:val="00A12BE6"/>
    <w:rsid w:val="00A133F3"/>
    <w:rsid w:val="00A13406"/>
    <w:rsid w:val="00A137FB"/>
    <w:rsid w:val="00A13A21"/>
    <w:rsid w:val="00A13F4A"/>
    <w:rsid w:val="00A14CAF"/>
    <w:rsid w:val="00A14EE2"/>
    <w:rsid w:val="00A14FE7"/>
    <w:rsid w:val="00A1602D"/>
    <w:rsid w:val="00A164D9"/>
    <w:rsid w:val="00A16654"/>
    <w:rsid w:val="00A166D9"/>
    <w:rsid w:val="00A1686A"/>
    <w:rsid w:val="00A16B89"/>
    <w:rsid w:val="00A16D2B"/>
    <w:rsid w:val="00A170AA"/>
    <w:rsid w:val="00A174DE"/>
    <w:rsid w:val="00A17BFD"/>
    <w:rsid w:val="00A17C75"/>
    <w:rsid w:val="00A17DE4"/>
    <w:rsid w:val="00A20BA4"/>
    <w:rsid w:val="00A20C37"/>
    <w:rsid w:val="00A20DBB"/>
    <w:rsid w:val="00A211D4"/>
    <w:rsid w:val="00A21330"/>
    <w:rsid w:val="00A2134B"/>
    <w:rsid w:val="00A2144D"/>
    <w:rsid w:val="00A221E0"/>
    <w:rsid w:val="00A229CB"/>
    <w:rsid w:val="00A22E80"/>
    <w:rsid w:val="00A22EA3"/>
    <w:rsid w:val="00A237DF"/>
    <w:rsid w:val="00A23A10"/>
    <w:rsid w:val="00A23B85"/>
    <w:rsid w:val="00A23E54"/>
    <w:rsid w:val="00A23F19"/>
    <w:rsid w:val="00A243BC"/>
    <w:rsid w:val="00A24729"/>
    <w:rsid w:val="00A2491F"/>
    <w:rsid w:val="00A24E78"/>
    <w:rsid w:val="00A24F3B"/>
    <w:rsid w:val="00A2513D"/>
    <w:rsid w:val="00A2543B"/>
    <w:rsid w:val="00A25893"/>
    <w:rsid w:val="00A258BF"/>
    <w:rsid w:val="00A259FC"/>
    <w:rsid w:val="00A25C80"/>
    <w:rsid w:val="00A261C5"/>
    <w:rsid w:val="00A265B8"/>
    <w:rsid w:val="00A275C0"/>
    <w:rsid w:val="00A27611"/>
    <w:rsid w:val="00A27744"/>
    <w:rsid w:val="00A2798B"/>
    <w:rsid w:val="00A27BA2"/>
    <w:rsid w:val="00A27BFA"/>
    <w:rsid w:val="00A30080"/>
    <w:rsid w:val="00A3054E"/>
    <w:rsid w:val="00A30AC1"/>
    <w:rsid w:val="00A30DB1"/>
    <w:rsid w:val="00A30E5F"/>
    <w:rsid w:val="00A30F16"/>
    <w:rsid w:val="00A310C4"/>
    <w:rsid w:val="00A312B1"/>
    <w:rsid w:val="00A31832"/>
    <w:rsid w:val="00A31F36"/>
    <w:rsid w:val="00A31FBE"/>
    <w:rsid w:val="00A32727"/>
    <w:rsid w:val="00A32C7A"/>
    <w:rsid w:val="00A32D64"/>
    <w:rsid w:val="00A32EAB"/>
    <w:rsid w:val="00A32EF7"/>
    <w:rsid w:val="00A337CA"/>
    <w:rsid w:val="00A33820"/>
    <w:rsid w:val="00A338A7"/>
    <w:rsid w:val="00A33993"/>
    <w:rsid w:val="00A33C1A"/>
    <w:rsid w:val="00A33F15"/>
    <w:rsid w:val="00A34EDF"/>
    <w:rsid w:val="00A35049"/>
    <w:rsid w:val="00A355C6"/>
    <w:rsid w:val="00A35B9F"/>
    <w:rsid w:val="00A361DE"/>
    <w:rsid w:val="00A36232"/>
    <w:rsid w:val="00A364D2"/>
    <w:rsid w:val="00A36558"/>
    <w:rsid w:val="00A365A7"/>
    <w:rsid w:val="00A36767"/>
    <w:rsid w:val="00A36934"/>
    <w:rsid w:val="00A369E1"/>
    <w:rsid w:val="00A36BF4"/>
    <w:rsid w:val="00A3702E"/>
    <w:rsid w:val="00A370B3"/>
    <w:rsid w:val="00A37E28"/>
    <w:rsid w:val="00A37EE7"/>
    <w:rsid w:val="00A37F16"/>
    <w:rsid w:val="00A37F1D"/>
    <w:rsid w:val="00A400F1"/>
    <w:rsid w:val="00A40178"/>
    <w:rsid w:val="00A406A9"/>
    <w:rsid w:val="00A40C91"/>
    <w:rsid w:val="00A41056"/>
    <w:rsid w:val="00A410EB"/>
    <w:rsid w:val="00A41268"/>
    <w:rsid w:val="00A4136D"/>
    <w:rsid w:val="00A415F3"/>
    <w:rsid w:val="00A41702"/>
    <w:rsid w:val="00A41900"/>
    <w:rsid w:val="00A419CD"/>
    <w:rsid w:val="00A41A36"/>
    <w:rsid w:val="00A42117"/>
    <w:rsid w:val="00A428E6"/>
    <w:rsid w:val="00A42C44"/>
    <w:rsid w:val="00A42D92"/>
    <w:rsid w:val="00A42F09"/>
    <w:rsid w:val="00A42FA4"/>
    <w:rsid w:val="00A432A8"/>
    <w:rsid w:val="00A43B8B"/>
    <w:rsid w:val="00A43C59"/>
    <w:rsid w:val="00A44067"/>
    <w:rsid w:val="00A4436D"/>
    <w:rsid w:val="00A443E7"/>
    <w:rsid w:val="00A445FA"/>
    <w:rsid w:val="00A449D7"/>
    <w:rsid w:val="00A44B01"/>
    <w:rsid w:val="00A44FFD"/>
    <w:rsid w:val="00A45BA5"/>
    <w:rsid w:val="00A46054"/>
    <w:rsid w:val="00A461A2"/>
    <w:rsid w:val="00A46239"/>
    <w:rsid w:val="00A463AF"/>
    <w:rsid w:val="00A4682C"/>
    <w:rsid w:val="00A469D3"/>
    <w:rsid w:val="00A46B71"/>
    <w:rsid w:val="00A46BEE"/>
    <w:rsid w:val="00A46D6F"/>
    <w:rsid w:val="00A471E2"/>
    <w:rsid w:val="00A47445"/>
    <w:rsid w:val="00A47E3D"/>
    <w:rsid w:val="00A501E5"/>
    <w:rsid w:val="00A504EF"/>
    <w:rsid w:val="00A505FC"/>
    <w:rsid w:val="00A508A5"/>
    <w:rsid w:val="00A50A7A"/>
    <w:rsid w:val="00A50D05"/>
    <w:rsid w:val="00A51160"/>
    <w:rsid w:val="00A51194"/>
    <w:rsid w:val="00A51211"/>
    <w:rsid w:val="00A51698"/>
    <w:rsid w:val="00A51776"/>
    <w:rsid w:val="00A51A04"/>
    <w:rsid w:val="00A51F15"/>
    <w:rsid w:val="00A52253"/>
    <w:rsid w:val="00A524BB"/>
    <w:rsid w:val="00A525B1"/>
    <w:rsid w:val="00A527F8"/>
    <w:rsid w:val="00A52D16"/>
    <w:rsid w:val="00A52D1A"/>
    <w:rsid w:val="00A53084"/>
    <w:rsid w:val="00A53125"/>
    <w:rsid w:val="00A53294"/>
    <w:rsid w:val="00A533D0"/>
    <w:rsid w:val="00A53E1A"/>
    <w:rsid w:val="00A53EED"/>
    <w:rsid w:val="00A5416A"/>
    <w:rsid w:val="00A546C8"/>
    <w:rsid w:val="00A5483F"/>
    <w:rsid w:val="00A54A79"/>
    <w:rsid w:val="00A54D54"/>
    <w:rsid w:val="00A55025"/>
    <w:rsid w:val="00A5508C"/>
    <w:rsid w:val="00A55745"/>
    <w:rsid w:val="00A559B3"/>
    <w:rsid w:val="00A55AE4"/>
    <w:rsid w:val="00A56173"/>
    <w:rsid w:val="00A5659C"/>
    <w:rsid w:val="00A5663E"/>
    <w:rsid w:val="00A56740"/>
    <w:rsid w:val="00A569B5"/>
    <w:rsid w:val="00A56D78"/>
    <w:rsid w:val="00A574FF"/>
    <w:rsid w:val="00A57635"/>
    <w:rsid w:val="00A577DB"/>
    <w:rsid w:val="00A57DD9"/>
    <w:rsid w:val="00A60039"/>
    <w:rsid w:val="00A6047B"/>
    <w:rsid w:val="00A6060B"/>
    <w:rsid w:val="00A606AF"/>
    <w:rsid w:val="00A60AA7"/>
    <w:rsid w:val="00A60C5D"/>
    <w:rsid w:val="00A60FE7"/>
    <w:rsid w:val="00A61500"/>
    <w:rsid w:val="00A61552"/>
    <w:rsid w:val="00A616BD"/>
    <w:rsid w:val="00A61739"/>
    <w:rsid w:val="00A61900"/>
    <w:rsid w:val="00A6196A"/>
    <w:rsid w:val="00A61CE0"/>
    <w:rsid w:val="00A61D28"/>
    <w:rsid w:val="00A6226A"/>
    <w:rsid w:val="00A623FA"/>
    <w:rsid w:val="00A6241C"/>
    <w:rsid w:val="00A62669"/>
    <w:rsid w:val="00A627F7"/>
    <w:rsid w:val="00A6296A"/>
    <w:rsid w:val="00A62AE6"/>
    <w:rsid w:val="00A62C2F"/>
    <w:rsid w:val="00A634B4"/>
    <w:rsid w:val="00A63DE9"/>
    <w:rsid w:val="00A64281"/>
    <w:rsid w:val="00A6433D"/>
    <w:rsid w:val="00A64470"/>
    <w:rsid w:val="00A644A1"/>
    <w:rsid w:val="00A644AC"/>
    <w:rsid w:val="00A64C78"/>
    <w:rsid w:val="00A64D39"/>
    <w:rsid w:val="00A64FB9"/>
    <w:rsid w:val="00A653F3"/>
    <w:rsid w:val="00A65799"/>
    <w:rsid w:val="00A65D1C"/>
    <w:rsid w:val="00A66178"/>
    <w:rsid w:val="00A6625C"/>
    <w:rsid w:val="00A6698C"/>
    <w:rsid w:val="00A66C06"/>
    <w:rsid w:val="00A66D23"/>
    <w:rsid w:val="00A66E39"/>
    <w:rsid w:val="00A66E7C"/>
    <w:rsid w:val="00A670EE"/>
    <w:rsid w:val="00A6727C"/>
    <w:rsid w:val="00A674C3"/>
    <w:rsid w:val="00A67A4A"/>
    <w:rsid w:val="00A67D10"/>
    <w:rsid w:val="00A708E5"/>
    <w:rsid w:val="00A70B76"/>
    <w:rsid w:val="00A713B7"/>
    <w:rsid w:val="00A719EC"/>
    <w:rsid w:val="00A71B2A"/>
    <w:rsid w:val="00A72246"/>
    <w:rsid w:val="00A724AB"/>
    <w:rsid w:val="00A726EE"/>
    <w:rsid w:val="00A72AAF"/>
    <w:rsid w:val="00A73074"/>
    <w:rsid w:val="00A73163"/>
    <w:rsid w:val="00A734AF"/>
    <w:rsid w:val="00A73647"/>
    <w:rsid w:val="00A7385F"/>
    <w:rsid w:val="00A73B4C"/>
    <w:rsid w:val="00A73F7E"/>
    <w:rsid w:val="00A741F6"/>
    <w:rsid w:val="00A74358"/>
    <w:rsid w:val="00A744AB"/>
    <w:rsid w:val="00A74850"/>
    <w:rsid w:val="00A74DC5"/>
    <w:rsid w:val="00A75118"/>
    <w:rsid w:val="00A751C7"/>
    <w:rsid w:val="00A75202"/>
    <w:rsid w:val="00A76049"/>
    <w:rsid w:val="00A76757"/>
    <w:rsid w:val="00A76CF2"/>
    <w:rsid w:val="00A77B0A"/>
    <w:rsid w:val="00A77D9E"/>
    <w:rsid w:val="00A77F99"/>
    <w:rsid w:val="00A80114"/>
    <w:rsid w:val="00A80349"/>
    <w:rsid w:val="00A80D63"/>
    <w:rsid w:val="00A80DBE"/>
    <w:rsid w:val="00A813D5"/>
    <w:rsid w:val="00A8154C"/>
    <w:rsid w:val="00A81AEA"/>
    <w:rsid w:val="00A81B17"/>
    <w:rsid w:val="00A81B5A"/>
    <w:rsid w:val="00A81C99"/>
    <w:rsid w:val="00A82009"/>
    <w:rsid w:val="00A826A0"/>
    <w:rsid w:val="00A829CD"/>
    <w:rsid w:val="00A82AE3"/>
    <w:rsid w:val="00A82B15"/>
    <w:rsid w:val="00A82D49"/>
    <w:rsid w:val="00A83219"/>
    <w:rsid w:val="00A8334C"/>
    <w:rsid w:val="00A83562"/>
    <w:rsid w:val="00A83BFB"/>
    <w:rsid w:val="00A83D00"/>
    <w:rsid w:val="00A842EF"/>
    <w:rsid w:val="00A843B1"/>
    <w:rsid w:val="00A84B96"/>
    <w:rsid w:val="00A84D4C"/>
    <w:rsid w:val="00A8587F"/>
    <w:rsid w:val="00A8589C"/>
    <w:rsid w:val="00A8590D"/>
    <w:rsid w:val="00A86361"/>
    <w:rsid w:val="00A864A0"/>
    <w:rsid w:val="00A864A5"/>
    <w:rsid w:val="00A86651"/>
    <w:rsid w:val="00A8686B"/>
    <w:rsid w:val="00A86A71"/>
    <w:rsid w:val="00A86BC6"/>
    <w:rsid w:val="00A86C1B"/>
    <w:rsid w:val="00A870C1"/>
    <w:rsid w:val="00A87155"/>
    <w:rsid w:val="00A871F1"/>
    <w:rsid w:val="00A87256"/>
    <w:rsid w:val="00A87308"/>
    <w:rsid w:val="00A87C79"/>
    <w:rsid w:val="00A90000"/>
    <w:rsid w:val="00A900CC"/>
    <w:rsid w:val="00A902D2"/>
    <w:rsid w:val="00A9095A"/>
    <w:rsid w:val="00A91104"/>
    <w:rsid w:val="00A91374"/>
    <w:rsid w:val="00A913E3"/>
    <w:rsid w:val="00A91482"/>
    <w:rsid w:val="00A9187F"/>
    <w:rsid w:val="00A91A72"/>
    <w:rsid w:val="00A91C8B"/>
    <w:rsid w:val="00A9248F"/>
    <w:rsid w:val="00A92516"/>
    <w:rsid w:val="00A926A8"/>
    <w:rsid w:val="00A92992"/>
    <w:rsid w:val="00A92ADC"/>
    <w:rsid w:val="00A92C9F"/>
    <w:rsid w:val="00A931AA"/>
    <w:rsid w:val="00A933AD"/>
    <w:rsid w:val="00A937BA"/>
    <w:rsid w:val="00A938AB"/>
    <w:rsid w:val="00A93C80"/>
    <w:rsid w:val="00A93DC1"/>
    <w:rsid w:val="00A94105"/>
    <w:rsid w:val="00A947CD"/>
    <w:rsid w:val="00A9487A"/>
    <w:rsid w:val="00A9487D"/>
    <w:rsid w:val="00A94C30"/>
    <w:rsid w:val="00A954E8"/>
    <w:rsid w:val="00A95D16"/>
    <w:rsid w:val="00A95D7C"/>
    <w:rsid w:val="00A96015"/>
    <w:rsid w:val="00A963E6"/>
    <w:rsid w:val="00A9687A"/>
    <w:rsid w:val="00A96B6C"/>
    <w:rsid w:val="00A96BB8"/>
    <w:rsid w:val="00A971F7"/>
    <w:rsid w:val="00A973F1"/>
    <w:rsid w:val="00A97A2A"/>
    <w:rsid w:val="00A97C52"/>
    <w:rsid w:val="00A97CDF"/>
    <w:rsid w:val="00A97EC6"/>
    <w:rsid w:val="00AA0C49"/>
    <w:rsid w:val="00AA0F75"/>
    <w:rsid w:val="00AA0F7D"/>
    <w:rsid w:val="00AA0F85"/>
    <w:rsid w:val="00AA147F"/>
    <w:rsid w:val="00AA1C54"/>
    <w:rsid w:val="00AA234F"/>
    <w:rsid w:val="00AA2661"/>
    <w:rsid w:val="00AA2A9C"/>
    <w:rsid w:val="00AA2F5F"/>
    <w:rsid w:val="00AA30B8"/>
    <w:rsid w:val="00AA3229"/>
    <w:rsid w:val="00AA342C"/>
    <w:rsid w:val="00AA3545"/>
    <w:rsid w:val="00AA3DAD"/>
    <w:rsid w:val="00AA4103"/>
    <w:rsid w:val="00AA41A1"/>
    <w:rsid w:val="00AA49A4"/>
    <w:rsid w:val="00AA4B14"/>
    <w:rsid w:val="00AA4BD9"/>
    <w:rsid w:val="00AA4D9D"/>
    <w:rsid w:val="00AA548E"/>
    <w:rsid w:val="00AA553F"/>
    <w:rsid w:val="00AA55F5"/>
    <w:rsid w:val="00AA56B6"/>
    <w:rsid w:val="00AA5937"/>
    <w:rsid w:val="00AA5A3C"/>
    <w:rsid w:val="00AA5AAA"/>
    <w:rsid w:val="00AA66EF"/>
    <w:rsid w:val="00AA68F8"/>
    <w:rsid w:val="00AA6A54"/>
    <w:rsid w:val="00AA6C4B"/>
    <w:rsid w:val="00AA73DA"/>
    <w:rsid w:val="00AA74F4"/>
    <w:rsid w:val="00AA7FF1"/>
    <w:rsid w:val="00AB0284"/>
    <w:rsid w:val="00AB0CE7"/>
    <w:rsid w:val="00AB108D"/>
    <w:rsid w:val="00AB1AB6"/>
    <w:rsid w:val="00AB1CB7"/>
    <w:rsid w:val="00AB1D60"/>
    <w:rsid w:val="00AB3331"/>
    <w:rsid w:val="00AB35AA"/>
    <w:rsid w:val="00AB3738"/>
    <w:rsid w:val="00AB3C06"/>
    <w:rsid w:val="00AB3CDC"/>
    <w:rsid w:val="00AB3D33"/>
    <w:rsid w:val="00AB3DBE"/>
    <w:rsid w:val="00AB4003"/>
    <w:rsid w:val="00AB43CE"/>
    <w:rsid w:val="00AB48BF"/>
    <w:rsid w:val="00AB49E3"/>
    <w:rsid w:val="00AB50FA"/>
    <w:rsid w:val="00AB52BD"/>
    <w:rsid w:val="00AB680D"/>
    <w:rsid w:val="00AB6DFF"/>
    <w:rsid w:val="00AB7054"/>
    <w:rsid w:val="00AB7131"/>
    <w:rsid w:val="00AC0274"/>
    <w:rsid w:val="00AC0302"/>
    <w:rsid w:val="00AC0424"/>
    <w:rsid w:val="00AC0676"/>
    <w:rsid w:val="00AC0C58"/>
    <w:rsid w:val="00AC1514"/>
    <w:rsid w:val="00AC170D"/>
    <w:rsid w:val="00AC1C91"/>
    <w:rsid w:val="00AC1DD3"/>
    <w:rsid w:val="00AC2131"/>
    <w:rsid w:val="00AC22C6"/>
    <w:rsid w:val="00AC29B1"/>
    <w:rsid w:val="00AC300E"/>
    <w:rsid w:val="00AC32AA"/>
    <w:rsid w:val="00AC3A3D"/>
    <w:rsid w:val="00AC3ACB"/>
    <w:rsid w:val="00AC3B6C"/>
    <w:rsid w:val="00AC3BD9"/>
    <w:rsid w:val="00AC42EB"/>
    <w:rsid w:val="00AC4862"/>
    <w:rsid w:val="00AC4EA0"/>
    <w:rsid w:val="00AC516A"/>
    <w:rsid w:val="00AC53ED"/>
    <w:rsid w:val="00AC553B"/>
    <w:rsid w:val="00AC5584"/>
    <w:rsid w:val="00AC57A8"/>
    <w:rsid w:val="00AC588E"/>
    <w:rsid w:val="00AC5A29"/>
    <w:rsid w:val="00AC5D82"/>
    <w:rsid w:val="00AC645F"/>
    <w:rsid w:val="00AC64E6"/>
    <w:rsid w:val="00AC68FC"/>
    <w:rsid w:val="00AC6C23"/>
    <w:rsid w:val="00AC6E2D"/>
    <w:rsid w:val="00AC7230"/>
    <w:rsid w:val="00AC75D2"/>
    <w:rsid w:val="00AC761A"/>
    <w:rsid w:val="00AC777B"/>
    <w:rsid w:val="00AC7AC9"/>
    <w:rsid w:val="00AC7AF1"/>
    <w:rsid w:val="00AD0073"/>
    <w:rsid w:val="00AD0E2C"/>
    <w:rsid w:val="00AD0F2F"/>
    <w:rsid w:val="00AD1266"/>
    <w:rsid w:val="00AD14A0"/>
    <w:rsid w:val="00AD152C"/>
    <w:rsid w:val="00AD1742"/>
    <w:rsid w:val="00AD1A06"/>
    <w:rsid w:val="00AD1E3F"/>
    <w:rsid w:val="00AD20BB"/>
    <w:rsid w:val="00AD2588"/>
    <w:rsid w:val="00AD2731"/>
    <w:rsid w:val="00AD28C1"/>
    <w:rsid w:val="00AD296A"/>
    <w:rsid w:val="00AD2B58"/>
    <w:rsid w:val="00AD338F"/>
    <w:rsid w:val="00AD3458"/>
    <w:rsid w:val="00AD39E4"/>
    <w:rsid w:val="00AD3DEA"/>
    <w:rsid w:val="00AD3FEC"/>
    <w:rsid w:val="00AD4027"/>
    <w:rsid w:val="00AD4078"/>
    <w:rsid w:val="00AD4328"/>
    <w:rsid w:val="00AD48EF"/>
    <w:rsid w:val="00AD4A82"/>
    <w:rsid w:val="00AD4F39"/>
    <w:rsid w:val="00AD5175"/>
    <w:rsid w:val="00AD5238"/>
    <w:rsid w:val="00AD54DE"/>
    <w:rsid w:val="00AD559F"/>
    <w:rsid w:val="00AD55F1"/>
    <w:rsid w:val="00AD5C81"/>
    <w:rsid w:val="00AD5EEB"/>
    <w:rsid w:val="00AD61B3"/>
    <w:rsid w:val="00AD64DE"/>
    <w:rsid w:val="00AD67CA"/>
    <w:rsid w:val="00AD696D"/>
    <w:rsid w:val="00AD69F6"/>
    <w:rsid w:val="00AD6C47"/>
    <w:rsid w:val="00AD6D9D"/>
    <w:rsid w:val="00AD6E78"/>
    <w:rsid w:val="00AD74F3"/>
    <w:rsid w:val="00AD7529"/>
    <w:rsid w:val="00AD78A1"/>
    <w:rsid w:val="00AD7CFF"/>
    <w:rsid w:val="00AD7EDD"/>
    <w:rsid w:val="00AD7F35"/>
    <w:rsid w:val="00AD7F5E"/>
    <w:rsid w:val="00AD7F64"/>
    <w:rsid w:val="00AE0303"/>
    <w:rsid w:val="00AE038B"/>
    <w:rsid w:val="00AE0A91"/>
    <w:rsid w:val="00AE0DF6"/>
    <w:rsid w:val="00AE0DFF"/>
    <w:rsid w:val="00AE0EB1"/>
    <w:rsid w:val="00AE181E"/>
    <w:rsid w:val="00AE1C5B"/>
    <w:rsid w:val="00AE225B"/>
    <w:rsid w:val="00AE29A8"/>
    <w:rsid w:val="00AE2BAC"/>
    <w:rsid w:val="00AE2C02"/>
    <w:rsid w:val="00AE342B"/>
    <w:rsid w:val="00AE3F1B"/>
    <w:rsid w:val="00AE4034"/>
    <w:rsid w:val="00AE40D3"/>
    <w:rsid w:val="00AE4224"/>
    <w:rsid w:val="00AE479D"/>
    <w:rsid w:val="00AE48DA"/>
    <w:rsid w:val="00AE4AE0"/>
    <w:rsid w:val="00AE50F0"/>
    <w:rsid w:val="00AE5368"/>
    <w:rsid w:val="00AE5D50"/>
    <w:rsid w:val="00AE5E28"/>
    <w:rsid w:val="00AE62CF"/>
    <w:rsid w:val="00AE650E"/>
    <w:rsid w:val="00AE681E"/>
    <w:rsid w:val="00AE6881"/>
    <w:rsid w:val="00AE6D39"/>
    <w:rsid w:val="00AE7072"/>
    <w:rsid w:val="00AE72F6"/>
    <w:rsid w:val="00AE766D"/>
    <w:rsid w:val="00AF04E5"/>
    <w:rsid w:val="00AF0579"/>
    <w:rsid w:val="00AF0859"/>
    <w:rsid w:val="00AF0A48"/>
    <w:rsid w:val="00AF0AC6"/>
    <w:rsid w:val="00AF1060"/>
    <w:rsid w:val="00AF12DA"/>
    <w:rsid w:val="00AF136E"/>
    <w:rsid w:val="00AF14E1"/>
    <w:rsid w:val="00AF18B9"/>
    <w:rsid w:val="00AF1C85"/>
    <w:rsid w:val="00AF1D52"/>
    <w:rsid w:val="00AF2098"/>
    <w:rsid w:val="00AF2687"/>
    <w:rsid w:val="00AF2CCA"/>
    <w:rsid w:val="00AF3241"/>
    <w:rsid w:val="00AF34F5"/>
    <w:rsid w:val="00AF35D1"/>
    <w:rsid w:val="00AF38F7"/>
    <w:rsid w:val="00AF3A22"/>
    <w:rsid w:val="00AF402C"/>
    <w:rsid w:val="00AF4466"/>
    <w:rsid w:val="00AF4A0D"/>
    <w:rsid w:val="00AF4E22"/>
    <w:rsid w:val="00AF4FE0"/>
    <w:rsid w:val="00AF510B"/>
    <w:rsid w:val="00AF5698"/>
    <w:rsid w:val="00AF56AF"/>
    <w:rsid w:val="00AF58FA"/>
    <w:rsid w:val="00AF5BE6"/>
    <w:rsid w:val="00AF634F"/>
    <w:rsid w:val="00AF6368"/>
    <w:rsid w:val="00AF6975"/>
    <w:rsid w:val="00AF6E79"/>
    <w:rsid w:val="00AF7484"/>
    <w:rsid w:val="00AF74B5"/>
    <w:rsid w:val="00AF799F"/>
    <w:rsid w:val="00AF79BD"/>
    <w:rsid w:val="00AF79E9"/>
    <w:rsid w:val="00AF7F5D"/>
    <w:rsid w:val="00B0008D"/>
    <w:rsid w:val="00B008B9"/>
    <w:rsid w:val="00B00ACC"/>
    <w:rsid w:val="00B00C66"/>
    <w:rsid w:val="00B00CC8"/>
    <w:rsid w:val="00B00FA7"/>
    <w:rsid w:val="00B013C6"/>
    <w:rsid w:val="00B01C63"/>
    <w:rsid w:val="00B01CCD"/>
    <w:rsid w:val="00B01D67"/>
    <w:rsid w:val="00B01FAB"/>
    <w:rsid w:val="00B0229F"/>
    <w:rsid w:val="00B02583"/>
    <w:rsid w:val="00B02C46"/>
    <w:rsid w:val="00B02DFA"/>
    <w:rsid w:val="00B02F37"/>
    <w:rsid w:val="00B030C7"/>
    <w:rsid w:val="00B035B3"/>
    <w:rsid w:val="00B03637"/>
    <w:rsid w:val="00B03AA7"/>
    <w:rsid w:val="00B03ADD"/>
    <w:rsid w:val="00B03BAB"/>
    <w:rsid w:val="00B03C33"/>
    <w:rsid w:val="00B040E4"/>
    <w:rsid w:val="00B041D2"/>
    <w:rsid w:val="00B044AE"/>
    <w:rsid w:val="00B04884"/>
    <w:rsid w:val="00B04F1D"/>
    <w:rsid w:val="00B05269"/>
    <w:rsid w:val="00B0558D"/>
    <w:rsid w:val="00B056A5"/>
    <w:rsid w:val="00B0576E"/>
    <w:rsid w:val="00B0585F"/>
    <w:rsid w:val="00B058E0"/>
    <w:rsid w:val="00B05FDA"/>
    <w:rsid w:val="00B061CF"/>
    <w:rsid w:val="00B0644D"/>
    <w:rsid w:val="00B0684F"/>
    <w:rsid w:val="00B06A6E"/>
    <w:rsid w:val="00B06E83"/>
    <w:rsid w:val="00B07204"/>
    <w:rsid w:val="00B07679"/>
    <w:rsid w:val="00B0791D"/>
    <w:rsid w:val="00B07FFA"/>
    <w:rsid w:val="00B10072"/>
    <w:rsid w:val="00B1083D"/>
    <w:rsid w:val="00B10E39"/>
    <w:rsid w:val="00B10EA8"/>
    <w:rsid w:val="00B10EAA"/>
    <w:rsid w:val="00B10EFF"/>
    <w:rsid w:val="00B1110E"/>
    <w:rsid w:val="00B11B2F"/>
    <w:rsid w:val="00B1219B"/>
    <w:rsid w:val="00B121E3"/>
    <w:rsid w:val="00B124D4"/>
    <w:rsid w:val="00B12677"/>
    <w:rsid w:val="00B12BC2"/>
    <w:rsid w:val="00B1304E"/>
    <w:rsid w:val="00B1309D"/>
    <w:rsid w:val="00B1372E"/>
    <w:rsid w:val="00B13925"/>
    <w:rsid w:val="00B13CDA"/>
    <w:rsid w:val="00B13E84"/>
    <w:rsid w:val="00B1409C"/>
    <w:rsid w:val="00B14BB1"/>
    <w:rsid w:val="00B14C05"/>
    <w:rsid w:val="00B14E2E"/>
    <w:rsid w:val="00B15224"/>
    <w:rsid w:val="00B15671"/>
    <w:rsid w:val="00B169BA"/>
    <w:rsid w:val="00B17984"/>
    <w:rsid w:val="00B17B40"/>
    <w:rsid w:val="00B17BDF"/>
    <w:rsid w:val="00B17F0B"/>
    <w:rsid w:val="00B2013A"/>
    <w:rsid w:val="00B20651"/>
    <w:rsid w:val="00B20CAC"/>
    <w:rsid w:val="00B210FC"/>
    <w:rsid w:val="00B21186"/>
    <w:rsid w:val="00B2119E"/>
    <w:rsid w:val="00B21E65"/>
    <w:rsid w:val="00B21E9B"/>
    <w:rsid w:val="00B22187"/>
    <w:rsid w:val="00B222C9"/>
    <w:rsid w:val="00B22365"/>
    <w:rsid w:val="00B2239E"/>
    <w:rsid w:val="00B22423"/>
    <w:rsid w:val="00B22629"/>
    <w:rsid w:val="00B227C5"/>
    <w:rsid w:val="00B22BFD"/>
    <w:rsid w:val="00B22CFC"/>
    <w:rsid w:val="00B22F9A"/>
    <w:rsid w:val="00B23911"/>
    <w:rsid w:val="00B23CF3"/>
    <w:rsid w:val="00B243CE"/>
    <w:rsid w:val="00B24889"/>
    <w:rsid w:val="00B24B7E"/>
    <w:rsid w:val="00B24C56"/>
    <w:rsid w:val="00B24D78"/>
    <w:rsid w:val="00B2586E"/>
    <w:rsid w:val="00B25C2B"/>
    <w:rsid w:val="00B25C41"/>
    <w:rsid w:val="00B25CA4"/>
    <w:rsid w:val="00B25D81"/>
    <w:rsid w:val="00B25FB4"/>
    <w:rsid w:val="00B25FDD"/>
    <w:rsid w:val="00B26824"/>
    <w:rsid w:val="00B268C3"/>
    <w:rsid w:val="00B26B0E"/>
    <w:rsid w:val="00B27096"/>
    <w:rsid w:val="00B27205"/>
    <w:rsid w:val="00B2732B"/>
    <w:rsid w:val="00B27409"/>
    <w:rsid w:val="00B27E3E"/>
    <w:rsid w:val="00B27F3F"/>
    <w:rsid w:val="00B27F83"/>
    <w:rsid w:val="00B30490"/>
    <w:rsid w:val="00B3069E"/>
    <w:rsid w:val="00B3077E"/>
    <w:rsid w:val="00B30A80"/>
    <w:rsid w:val="00B30AC3"/>
    <w:rsid w:val="00B30B5A"/>
    <w:rsid w:val="00B30B9B"/>
    <w:rsid w:val="00B31334"/>
    <w:rsid w:val="00B317D3"/>
    <w:rsid w:val="00B3191F"/>
    <w:rsid w:val="00B319D6"/>
    <w:rsid w:val="00B31CA1"/>
    <w:rsid w:val="00B31F35"/>
    <w:rsid w:val="00B32049"/>
    <w:rsid w:val="00B325E0"/>
    <w:rsid w:val="00B32720"/>
    <w:rsid w:val="00B33324"/>
    <w:rsid w:val="00B33497"/>
    <w:rsid w:val="00B33849"/>
    <w:rsid w:val="00B33AE9"/>
    <w:rsid w:val="00B33B26"/>
    <w:rsid w:val="00B33FE0"/>
    <w:rsid w:val="00B340DE"/>
    <w:rsid w:val="00B34230"/>
    <w:rsid w:val="00B347BA"/>
    <w:rsid w:val="00B34973"/>
    <w:rsid w:val="00B34E83"/>
    <w:rsid w:val="00B34E9E"/>
    <w:rsid w:val="00B34F9D"/>
    <w:rsid w:val="00B3501E"/>
    <w:rsid w:val="00B35276"/>
    <w:rsid w:val="00B354B2"/>
    <w:rsid w:val="00B355C0"/>
    <w:rsid w:val="00B355E7"/>
    <w:rsid w:val="00B3584D"/>
    <w:rsid w:val="00B36406"/>
    <w:rsid w:val="00B365E3"/>
    <w:rsid w:val="00B36BDF"/>
    <w:rsid w:val="00B370D1"/>
    <w:rsid w:val="00B37146"/>
    <w:rsid w:val="00B371D6"/>
    <w:rsid w:val="00B374A6"/>
    <w:rsid w:val="00B37671"/>
    <w:rsid w:val="00B37760"/>
    <w:rsid w:val="00B37835"/>
    <w:rsid w:val="00B37939"/>
    <w:rsid w:val="00B37F23"/>
    <w:rsid w:val="00B40028"/>
    <w:rsid w:val="00B401F7"/>
    <w:rsid w:val="00B4047F"/>
    <w:rsid w:val="00B40857"/>
    <w:rsid w:val="00B40861"/>
    <w:rsid w:val="00B409A6"/>
    <w:rsid w:val="00B40A57"/>
    <w:rsid w:val="00B40FE4"/>
    <w:rsid w:val="00B41468"/>
    <w:rsid w:val="00B420A8"/>
    <w:rsid w:val="00B42589"/>
    <w:rsid w:val="00B427BD"/>
    <w:rsid w:val="00B42B75"/>
    <w:rsid w:val="00B42BCC"/>
    <w:rsid w:val="00B42FAE"/>
    <w:rsid w:val="00B4375D"/>
    <w:rsid w:val="00B441C0"/>
    <w:rsid w:val="00B44744"/>
    <w:rsid w:val="00B44855"/>
    <w:rsid w:val="00B4485A"/>
    <w:rsid w:val="00B449DA"/>
    <w:rsid w:val="00B44BCA"/>
    <w:rsid w:val="00B44DD2"/>
    <w:rsid w:val="00B44F91"/>
    <w:rsid w:val="00B44FB4"/>
    <w:rsid w:val="00B45266"/>
    <w:rsid w:val="00B45423"/>
    <w:rsid w:val="00B45970"/>
    <w:rsid w:val="00B45C36"/>
    <w:rsid w:val="00B45F02"/>
    <w:rsid w:val="00B45F21"/>
    <w:rsid w:val="00B4613E"/>
    <w:rsid w:val="00B467E1"/>
    <w:rsid w:val="00B46AB2"/>
    <w:rsid w:val="00B46C00"/>
    <w:rsid w:val="00B46CFF"/>
    <w:rsid w:val="00B47363"/>
    <w:rsid w:val="00B4741A"/>
    <w:rsid w:val="00B4761F"/>
    <w:rsid w:val="00B479A9"/>
    <w:rsid w:val="00B47D18"/>
    <w:rsid w:val="00B501C1"/>
    <w:rsid w:val="00B50595"/>
    <w:rsid w:val="00B50819"/>
    <w:rsid w:val="00B508A0"/>
    <w:rsid w:val="00B508F4"/>
    <w:rsid w:val="00B50A52"/>
    <w:rsid w:val="00B50EDF"/>
    <w:rsid w:val="00B50F6E"/>
    <w:rsid w:val="00B51260"/>
    <w:rsid w:val="00B512BA"/>
    <w:rsid w:val="00B517AB"/>
    <w:rsid w:val="00B518D6"/>
    <w:rsid w:val="00B51988"/>
    <w:rsid w:val="00B51C73"/>
    <w:rsid w:val="00B5287A"/>
    <w:rsid w:val="00B52C83"/>
    <w:rsid w:val="00B52C86"/>
    <w:rsid w:val="00B53653"/>
    <w:rsid w:val="00B53CDB"/>
    <w:rsid w:val="00B53D0C"/>
    <w:rsid w:val="00B53F86"/>
    <w:rsid w:val="00B543C6"/>
    <w:rsid w:val="00B546CE"/>
    <w:rsid w:val="00B54885"/>
    <w:rsid w:val="00B54A7B"/>
    <w:rsid w:val="00B54AAD"/>
    <w:rsid w:val="00B54D78"/>
    <w:rsid w:val="00B55166"/>
    <w:rsid w:val="00B551F9"/>
    <w:rsid w:val="00B553F3"/>
    <w:rsid w:val="00B55A23"/>
    <w:rsid w:val="00B55A26"/>
    <w:rsid w:val="00B5610F"/>
    <w:rsid w:val="00B5612C"/>
    <w:rsid w:val="00B56273"/>
    <w:rsid w:val="00B566F4"/>
    <w:rsid w:val="00B57221"/>
    <w:rsid w:val="00B5741C"/>
    <w:rsid w:val="00B57DEF"/>
    <w:rsid w:val="00B57E43"/>
    <w:rsid w:val="00B57FC4"/>
    <w:rsid w:val="00B6006E"/>
    <w:rsid w:val="00B60418"/>
    <w:rsid w:val="00B6061B"/>
    <w:rsid w:val="00B60778"/>
    <w:rsid w:val="00B6096F"/>
    <w:rsid w:val="00B60B43"/>
    <w:rsid w:val="00B614BE"/>
    <w:rsid w:val="00B614FB"/>
    <w:rsid w:val="00B615D6"/>
    <w:rsid w:val="00B61641"/>
    <w:rsid w:val="00B6188B"/>
    <w:rsid w:val="00B61BF3"/>
    <w:rsid w:val="00B61D84"/>
    <w:rsid w:val="00B623D2"/>
    <w:rsid w:val="00B625CC"/>
    <w:rsid w:val="00B627D5"/>
    <w:rsid w:val="00B62CCB"/>
    <w:rsid w:val="00B634F1"/>
    <w:rsid w:val="00B63C9F"/>
    <w:rsid w:val="00B63CCD"/>
    <w:rsid w:val="00B63DE7"/>
    <w:rsid w:val="00B63FD0"/>
    <w:rsid w:val="00B64126"/>
    <w:rsid w:val="00B642BF"/>
    <w:rsid w:val="00B643CE"/>
    <w:rsid w:val="00B644DE"/>
    <w:rsid w:val="00B646BF"/>
    <w:rsid w:val="00B646F4"/>
    <w:rsid w:val="00B64877"/>
    <w:rsid w:val="00B65C03"/>
    <w:rsid w:val="00B65FF4"/>
    <w:rsid w:val="00B6693F"/>
    <w:rsid w:val="00B6697F"/>
    <w:rsid w:val="00B6712B"/>
    <w:rsid w:val="00B672FE"/>
    <w:rsid w:val="00B6752E"/>
    <w:rsid w:val="00B675F9"/>
    <w:rsid w:val="00B676D6"/>
    <w:rsid w:val="00B67D7A"/>
    <w:rsid w:val="00B67E65"/>
    <w:rsid w:val="00B70097"/>
    <w:rsid w:val="00B706D6"/>
    <w:rsid w:val="00B70887"/>
    <w:rsid w:val="00B716CC"/>
    <w:rsid w:val="00B71D30"/>
    <w:rsid w:val="00B72462"/>
    <w:rsid w:val="00B7246E"/>
    <w:rsid w:val="00B72858"/>
    <w:rsid w:val="00B73053"/>
    <w:rsid w:val="00B73078"/>
    <w:rsid w:val="00B732F7"/>
    <w:rsid w:val="00B739A0"/>
    <w:rsid w:val="00B73B80"/>
    <w:rsid w:val="00B74003"/>
    <w:rsid w:val="00B74104"/>
    <w:rsid w:val="00B742E3"/>
    <w:rsid w:val="00B7455E"/>
    <w:rsid w:val="00B745C2"/>
    <w:rsid w:val="00B7464A"/>
    <w:rsid w:val="00B74789"/>
    <w:rsid w:val="00B748BF"/>
    <w:rsid w:val="00B74BD4"/>
    <w:rsid w:val="00B7520E"/>
    <w:rsid w:val="00B758F9"/>
    <w:rsid w:val="00B75AFA"/>
    <w:rsid w:val="00B75D03"/>
    <w:rsid w:val="00B75E95"/>
    <w:rsid w:val="00B75FB1"/>
    <w:rsid w:val="00B7610B"/>
    <w:rsid w:val="00B76BD9"/>
    <w:rsid w:val="00B76C9E"/>
    <w:rsid w:val="00B776D2"/>
    <w:rsid w:val="00B77E82"/>
    <w:rsid w:val="00B80582"/>
    <w:rsid w:val="00B80D56"/>
    <w:rsid w:val="00B80FC7"/>
    <w:rsid w:val="00B81628"/>
    <w:rsid w:val="00B81B58"/>
    <w:rsid w:val="00B81C76"/>
    <w:rsid w:val="00B81E5D"/>
    <w:rsid w:val="00B81ED4"/>
    <w:rsid w:val="00B8271C"/>
    <w:rsid w:val="00B82732"/>
    <w:rsid w:val="00B837FD"/>
    <w:rsid w:val="00B839C3"/>
    <w:rsid w:val="00B840DE"/>
    <w:rsid w:val="00B844DE"/>
    <w:rsid w:val="00B8492F"/>
    <w:rsid w:val="00B84D25"/>
    <w:rsid w:val="00B84E15"/>
    <w:rsid w:val="00B84E1F"/>
    <w:rsid w:val="00B84FB5"/>
    <w:rsid w:val="00B853A7"/>
    <w:rsid w:val="00B85636"/>
    <w:rsid w:val="00B85826"/>
    <w:rsid w:val="00B858D2"/>
    <w:rsid w:val="00B865F6"/>
    <w:rsid w:val="00B867DA"/>
    <w:rsid w:val="00B86AFA"/>
    <w:rsid w:val="00B86D5F"/>
    <w:rsid w:val="00B871BB"/>
    <w:rsid w:val="00B8723D"/>
    <w:rsid w:val="00B875D0"/>
    <w:rsid w:val="00B875DC"/>
    <w:rsid w:val="00B8771F"/>
    <w:rsid w:val="00B87AED"/>
    <w:rsid w:val="00B9002E"/>
    <w:rsid w:val="00B906F4"/>
    <w:rsid w:val="00B908B6"/>
    <w:rsid w:val="00B90A63"/>
    <w:rsid w:val="00B90ADD"/>
    <w:rsid w:val="00B90D27"/>
    <w:rsid w:val="00B90FBC"/>
    <w:rsid w:val="00B910F0"/>
    <w:rsid w:val="00B912D4"/>
    <w:rsid w:val="00B9289C"/>
    <w:rsid w:val="00B92AB7"/>
    <w:rsid w:val="00B92D0E"/>
    <w:rsid w:val="00B92D3C"/>
    <w:rsid w:val="00B9376B"/>
    <w:rsid w:val="00B94A65"/>
    <w:rsid w:val="00B94ABF"/>
    <w:rsid w:val="00B94BE1"/>
    <w:rsid w:val="00B95374"/>
    <w:rsid w:val="00B9563B"/>
    <w:rsid w:val="00B957E4"/>
    <w:rsid w:val="00B95931"/>
    <w:rsid w:val="00B959E1"/>
    <w:rsid w:val="00B95B98"/>
    <w:rsid w:val="00B95C1D"/>
    <w:rsid w:val="00B95CA0"/>
    <w:rsid w:val="00B96523"/>
    <w:rsid w:val="00B966F2"/>
    <w:rsid w:val="00B96F86"/>
    <w:rsid w:val="00B97054"/>
    <w:rsid w:val="00B97A7C"/>
    <w:rsid w:val="00BA00FA"/>
    <w:rsid w:val="00BA03E2"/>
    <w:rsid w:val="00BA0451"/>
    <w:rsid w:val="00BA0B97"/>
    <w:rsid w:val="00BA0E80"/>
    <w:rsid w:val="00BA1745"/>
    <w:rsid w:val="00BA1B55"/>
    <w:rsid w:val="00BA2072"/>
    <w:rsid w:val="00BA25B9"/>
    <w:rsid w:val="00BA2972"/>
    <w:rsid w:val="00BA2A72"/>
    <w:rsid w:val="00BA2DA8"/>
    <w:rsid w:val="00BA2E3F"/>
    <w:rsid w:val="00BA2E85"/>
    <w:rsid w:val="00BA3188"/>
    <w:rsid w:val="00BA372F"/>
    <w:rsid w:val="00BA43F6"/>
    <w:rsid w:val="00BA491C"/>
    <w:rsid w:val="00BA4A0E"/>
    <w:rsid w:val="00BA4BB1"/>
    <w:rsid w:val="00BA4D82"/>
    <w:rsid w:val="00BA5671"/>
    <w:rsid w:val="00BA7788"/>
    <w:rsid w:val="00BA7837"/>
    <w:rsid w:val="00BA7933"/>
    <w:rsid w:val="00BB01F2"/>
    <w:rsid w:val="00BB0421"/>
    <w:rsid w:val="00BB04B4"/>
    <w:rsid w:val="00BB0684"/>
    <w:rsid w:val="00BB07EB"/>
    <w:rsid w:val="00BB0A95"/>
    <w:rsid w:val="00BB0ADF"/>
    <w:rsid w:val="00BB0CCE"/>
    <w:rsid w:val="00BB0D3C"/>
    <w:rsid w:val="00BB1CCB"/>
    <w:rsid w:val="00BB2707"/>
    <w:rsid w:val="00BB283F"/>
    <w:rsid w:val="00BB2E7B"/>
    <w:rsid w:val="00BB31CD"/>
    <w:rsid w:val="00BB3423"/>
    <w:rsid w:val="00BB359F"/>
    <w:rsid w:val="00BB364E"/>
    <w:rsid w:val="00BB4117"/>
    <w:rsid w:val="00BB4663"/>
    <w:rsid w:val="00BB4872"/>
    <w:rsid w:val="00BB4873"/>
    <w:rsid w:val="00BB48C9"/>
    <w:rsid w:val="00BB505C"/>
    <w:rsid w:val="00BB5606"/>
    <w:rsid w:val="00BB5C24"/>
    <w:rsid w:val="00BB5FD9"/>
    <w:rsid w:val="00BB64D6"/>
    <w:rsid w:val="00BB67D2"/>
    <w:rsid w:val="00BB6E01"/>
    <w:rsid w:val="00BB7A21"/>
    <w:rsid w:val="00BC011F"/>
    <w:rsid w:val="00BC0335"/>
    <w:rsid w:val="00BC0969"/>
    <w:rsid w:val="00BC0A4E"/>
    <w:rsid w:val="00BC0C51"/>
    <w:rsid w:val="00BC0E88"/>
    <w:rsid w:val="00BC1315"/>
    <w:rsid w:val="00BC20AC"/>
    <w:rsid w:val="00BC2729"/>
    <w:rsid w:val="00BC2B1B"/>
    <w:rsid w:val="00BC2D95"/>
    <w:rsid w:val="00BC3939"/>
    <w:rsid w:val="00BC3A58"/>
    <w:rsid w:val="00BC3B0E"/>
    <w:rsid w:val="00BC3EA0"/>
    <w:rsid w:val="00BC40D2"/>
    <w:rsid w:val="00BC40DA"/>
    <w:rsid w:val="00BC4589"/>
    <w:rsid w:val="00BC45B7"/>
    <w:rsid w:val="00BC4636"/>
    <w:rsid w:val="00BC4B9A"/>
    <w:rsid w:val="00BC4D79"/>
    <w:rsid w:val="00BC4D88"/>
    <w:rsid w:val="00BC56BD"/>
    <w:rsid w:val="00BC5E44"/>
    <w:rsid w:val="00BC6B5D"/>
    <w:rsid w:val="00BC6E09"/>
    <w:rsid w:val="00BC6EEF"/>
    <w:rsid w:val="00BC7180"/>
    <w:rsid w:val="00BC722F"/>
    <w:rsid w:val="00BC74E9"/>
    <w:rsid w:val="00BC7664"/>
    <w:rsid w:val="00BC79E3"/>
    <w:rsid w:val="00BC7A72"/>
    <w:rsid w:val="00BC7CE7"/>
    <w:rsid w:val="00BC7D9F"/>
    <w:rsid w:val="00BC7F9D"/>
    <w:rsid w:val="00BD0743"/>
    <w:rsid w:val="00BD1566"/>
    <w:rsid w:val="00BD1E18"/>
    <w:rsid w:val="00BD1E90"/>
    <w:rsid w:val="00BD2047"/>
    <w:rsid w:val="00BD21FB"/>
    <w:rsid w:val="00BD223C"/>
    <w:rsid w:val="00BD2454"/>
    <w:rsid w:val="00BD25AE"/>
    <w:rsid w:val="00BD2890"/>
    <w:rsid w:val="00BD2A87"/>
    <w:rsid w:val="00BD2E6A"/>
    <w:rsid w:val="00BD3808"/>
    <w:rsid w:val="00BD3AB8"/>
    <w:rsid w:val="00BD3E4E"/>
    <w:rsid w:val="00BD40E8"/>
    <w:rsid w:val="00BD40FF"/>
    <w:rsid w:val="00BD449D"/>
    <w:rsid w:val="00BD4865"/>
    <w:rsid w:val="00BD4F10"/>
    <w:rsid w:val="00BD5650"/>
    <w:rsid w:val="00BD577D"/>
    <w:rsid w:val="00BD5AD4"/>
    <w:rsid w:val="00BD5E11"/>
    <w:rsid w:val="00BD5E7F"/>
    <w:rsid w:val="00BD5FE2"/>
    <w:rsid w:val="00BD6020"/>
    <w:rsid w:val="00BD6495"/>
    <w:rsid w:val="00BD64D8"/>
    <w:rsid w:val="00BD6AA7"/>
    <w:rsid w:val="00BD6B9E"/>
    <w:rsid w:val="00BD6D8C"/>
    <w:rsid w:val="00BD6D9D"/>
    <w:rsid w:val="00BD7419"/>
    <w:rsid w:val="00BD7640"/>
    <w:rsid w:val="00BD7712"/>
    <w:rsid w:val="00BD77DC"/>
    <w:rsid w:val="00BD78DB"/>
    <w:rsid w:val="00BD79B8"/>
    <w:rsid w:val="00BD7C5E"/>
    <w:rsid w:val="00BD7F7C"/>
    <w:rsid w:val="00BE00C1"/>
    <w:rsid w:val="00BE0B42"/>
    <w:rsid w:val="00BE0D7D"/>
    <w:rsid w:val="00BE0F50"/>
    <w:rsid w:val="00BE1015"/>
    <w:rsid w:val="00BE2037"/>
    <w:rsid w:val="00BE2366"/>
    <w:rsid w:val="00BE23BF"/>
    <w:rsid w:val="00BE2961"/>
    <w:rsid w:val="00BE2A8A"/>
    <w:rsid w:val="00BE3133"/>
    <w:rsid w:val="00BE3350"/>
    <w:rsid w:val="00BE36E3"/>
    <w:rsid w:val="00BE3CD1"/>
    <w:rsid w:val="00BE4563"/>
    <w:rsid w:val="00BE498E"/>
    <w:rsid w:val="00BE4B5F"/>
    <w:rsid w:val="00BE4ED1"/>
    <w:rsid w:val="00BE4EFB"/>
    <w:rsid w:val="00BE52AB"/>
    <w:rsid w:val="00BE55C3"/>
    <w:rsid w:val="00BE5C12"/>
    <w:rsid w:val="00BE680A"/>
    <w:rsid w:val="00BE6915"/>
    <w:rsid w:val="00BE70AD"/>
    <w:rsid w:val="00BE713E"/>
    <w:rsid w:val="00BE7C96"/>
    <w:rsid w:val="00BE7D0A"/>
    <w:rsid w:val="00BF0087"/>
    <w:rsid w:val="00BF0BB8"/>
    <w:rsid w:val="00BF0D24"/>
    <w:rsid w:val="00BF1013"/>
    <w:rsid w:val="00BF1286"/>
    <w:rsid w:val="00BF131A"/>
    <w:rsid w:val="00BF17AD"/>
    <w:rsid w:val="00BF2B97"/>
    <w:rsid w:val="00BF2CF2"/>
    <w:rsid w:val="00BF3392"/>
    <w:rsid w:val="00BF3617"/>
    <w:rsid w:val="00BF3800"/>
    <w:rsid w:val="00BF3D4F"/>
    <w:rsid w:val="00BF3EC4"/>
    <w:rsid w:val="00BF3FF2"/>
    <w:rsid w:val="00BF446D"/>
    <w:rsid w:val="00BF4B2B"/>
    <w:rsid w:val="00BF4DAE"/>
    <w:rsid w:val="00BF57C2"/>
    <w:rsid w:val="00BF5AA3"/>
    <w:rsid w:val="00BF5F05"/>
    <w:rsid w:val="00BF5FB7"/>
    <w:rsid w:val="00BF5FD9"/>
    <w:rsid w:val="00BF6062"/>
    <w:rsid w:val="00BF6108"/>
    <w:rsid w:val="00BF647C"/>
    <w:rsid w:val="00BF6507"/>
    <w:rsid w:val="00BF6639"/>
    <w:rsid w:val="00BF6823"/>
    <w:rsid w:val="00BF6B06"/>
    <w:rsid w:val="00BF6C5B"/>
    <w:rsid w:val="00BF6E58"/>
    <w:rsid w:val="00BF6F09"/>
    <w:rsid w:val="00BF6F52"/>
    <w:rsid w:val="00BF6F8F"/>
    <w:rsid w:val="00BF7183"/>
    <w:rsid w:val="00BF7241"/>
    <w:rsid w:val="00BF7672"/>
    <w:rsid w:val="00BF7C73"/>
    <w:rsid w:val="00C009A1"/>
    <w:rsid w:val="00C00A13"/>
    <w:rsid w:val="00C00BD0"/>
    <w:rsid w:val="00C01171"/>
    <w:rsid w:val="00C019C2"/>
    <w:rsid w:val="00C01CD0"/>
    <w:rsid w:val="00C01DCB"/>
    <w:rsid w:val="00C01F0C"/>
    <w:rsid w:val="00C0226A"/>
    <w:rsid w:val="00C03043"/>
    <w:rsid w:val="00C03240"/>
    <w:rsid w:val="00C039F8"/>
    <w:rsid w:val="00C03E36"/>
    <w:rsid w:val="00C03F7F"/>
    <w:rsid w:val="00C045F9"/>
    <w:rsid w:val="00C04922"/>
    <w:rsid w:val="00C04958"/>
    <w:rsid w:val="00C04A9A"/>
    <w:rsid w:val="00C0515B"/>
    <w:rsid w:val="00C05176"/>
    <w:rsid w:val="00C05448"/>
    <w:rsid w:val="00C0574B"/>
    <w:rsid w:val="00C05EFD"/>
    <w:rsid w:val="00C060C2"/>
    <w:rsid w:val="00C06A66"/>
    <w:rsid w:val="00C06B18"/>
    <w:rsid w:val="00C06C33"/>
    <w:rsid w:val="00C071BC"/>
    <w:rsid w:val="00C077A7"/>
    <w:rsid w:val="00C07B88"/>
    <w:rsid w:val="00C07C5D"/>
    <w:rsid w:val="00C07CB7"/>
    <w:rsid w:val="00C07CF2"/>
    <w:rsid w:val="00C07D67"/>
    <w:rsid w:val="00C07EA5"/>
    <w:rsid w:val="00C07FA5"/>
    <w:rsid w:val="00C07FA6"/>
    <w:rsid w:val="00C10441"/>
    <w:rsid w:val="00C10B38"/>
    <w:rsid w:val="00C10E37"/>
    <w:rsid w:val="00C10E41"/>
    <w:rsid w:val="00C10EF5"/>
    <w:rsid w:val="00C10F01"/>
    <w:rsid w:val="00C10FB5"/>
    <w:rsid w:val="00C1197F"/>
    <w:rsid w:val="00C119F5"/>
    <w:rsid w:val="00C11A30"/>
    <w:rsid w:val="00C11B3B"/>
    <w:rsid w:val="00C12213"/>
    <w:rsid w:val="00C12481"/>
    <w:rsid w:val="00C124A9"/>
    <w:rsid w:val="00C1280F"/>
    <w:rsid w:val="00C12AE0"/>
    <w:rsid w:val="00C12FA2"/>
    <w:rsid w:val="00C1314D"/>
    <w:rsid w:val="00C1388A"/>
    <w:rsid w:val="00C13BB8"/>
    <w:rsid w:val="00C13C82"/>
    <w:rsid w:val="00C1415F"/>
    <w:rsid w:val="00C14470"/>
    <w:rsid w:val="00C14ACF"/>
    <w:rsid w:val="00C14C7A"/>
    <w:rsid w:val="00C14E27"/>
    <w:rsid w:val="00C14E4C"/>
    <w:rsid w:val="00C14F4E"/>
    <w:rsid w:val="00C15910"/>
    <w:rsid w:val="00C15E7C"/>
    <w:rsid w:val="00C15EED"/>
    <w:rsid w:val="00C16436"/>
    <w:rsid w:val="00C1676F"/>
    <w:rsid w:val="00C167E7"/>
    <w:rsid w:val="00C16AF5"/>
    <w:rsid w:val="00C17166"/>
    <w:rsid w:val="00C17661"/>
    <w:rsid w:val="00C17ECA"/>
    <w:rsid w:val="00C20159"/>
    <w:rsid w:val="00C20460"/>
    <w:rsid w:val="00C205C0"/>
    <w:rsid w:val="00C20AB4"/>
    <w:rsid w:val="00C21091"/>
    <w:rsid w:val="00C211B0"/>
    <w:rsid w:val="00C215E6"/>
    <w:rsid w:val="00C21FD9"/>
    <w:rsid w:val="00C22B86"/>
    <w:rsid w:val="00C230DC"/>
    <w:rsid w:val="00C23467"/>
    <w:rsid w:val="00C235AF"/>
    <w:rsid w:val="00C236FC"/>
    <w:rsid w:val="00C23DB6"/>
    <w:rsid w:val="00C241C4"/>
    <w:rsid w:val="00C24431"/>
    <w:rsid w:val="00C2488A"/>
    <w:rsid w:val="00C24B57"/>
    <w:rsid w:val="00C2503F"/>
    <w:rsid w:val="00C25246"/>
    <w:rsid w:val="00C25556"/>
    <w:rsid w:val="00C2563C"/>
    <w:rsid w:val="00C25737"/>
    <w:rsid w:val="00C26076"/>
    <w:rsid w:val="00C267C2"/>
    <w:rsid w:val="00C26853"/>
    <w:rsid w:val="00C26D53"/>
    <w:rsid w:val="00C26EE8"/>
    <w:rsid w:val="00C27170"/>
    <w:rsid w:val="00C27310"/>
    <w:rsid w:val="00C279F5"/>
    <w:rsid w:val="00C27A3B"/>
    <w:rsid w:val="00C30285"/>
    <w:rsid w:val="00C30390"/>
    <w:rsid w:val="00C303FD"/>
    <w:rsid w:val="00C308A0"/>
    <w:rsid w:val="00C308C8"/>
    <w:rsid w:val="00C30975"/>
    <w:rsid w:val="00C30990"/>
    <w:rsid w:val="00C309FA"/>
    <w:rsid w:val="00C30BAF"/>
    <w:rsid w:val="00C30F54"/>
    <w:rsid w:val="00C30F64"/>
    <w:rsid w:val="00C31143"/>
    <w:rsid w:val="00C3129F"/>
    <w:rsid w:val="00C31924"/>
    <w:rsid w:val="00C31D8E"/>
    <w:rsid w:val="00C3236F"/>
    <w:rsid w:val="00C3263C"/>
    <w:rsid w:val="00C32FF4"/>
    <w:rsid w:val="00C33262"/>
    <w:rsid w:val="00C33709"/>
    <w:rsid w:val="00C33713"/>
    <w:rsid w:val="00C338D8"/>
    <w:rsid w:val="00C33EAD"/>
    <w:rsid w:val="00C33FB2"/>
    <w:rsid w:val="00C34026"/>
    <w:rsid w:val="00C341DB"/>
    <w:rsid w:val="00C3449A"/>
    <w:rsid w:val="00C3458A"/>
    <w:rsid w:val="00C3560C"/>
    <w:rsid w:val="00C3575B"/>
    <w:rsid w:val="00C36026"/>
    <w:rsid w:val="00C362E6"/>
    <w:rsid w:val="00C363CF"/>
    <w:rsid w:val="00C367DD"/>
    <w:rsid w:val="00C36B2A"/>
    <w:rsid w:val="00C375AE"/>
    <w:rsid w:val="00C37C04"/>
    <w:rsid w:val="00C40276"/>
    <w:rsid w:val="00C404B3"/>
    <w:rsid w:val="00C406A0"/>
    <w:rsid w:val="00C40853"/>
    <w:rsid w:val="00C4085D"/>
    <w:rsid w:val="00C40864"/>
    <w:rsid w:val="00C40977"/>
    <w:rsid w:val="00C40CF6"/>
    <w:rsid w:val="00C40F77"/>
    <w:rsid w:val="00C4170E"/>
    <w:rsid w:val="00C41ADD"/>
    <w:rsid w:val="00C41C27"/>
    <w:rsid w:val="00C41F1D"/>
    <w:rsid w:val="00C42129"/>
    <w:rsid w:val="00C42282"/>
    <w:rsid w:val="00C4251B"/>
    <w:rsid w:val="00C4278D"/>
    <w:rsid w:val="00C429B2"/>
    <w:rsid w:val="00C42CAD"/>
    <w:rsid w:val="00C42FFE"/>
    <w:rsid w:val="00C43070"/>
    <w:rsid w:val="00C4365C"/>
    <w:rsid w:val="00C4367C"/>
    <w:rsid w:val="00C43F16"/>
    <w:rsid w:val="00C441C8"/>
    <w:rsid w:val="00C44303"/>
    <w:rsid w:val="00C446CF"/>
    <w:rsid w:val="00C44C15"/>
    <w:rsid w:val="00C450AD"/>
    <w:rsid w:val="00C45258"/>
    <w:rsid w:val="00C45365"/>
    <w:rsid w:val="00C45A84"/>
    <w:rsid w:val="00C45BC5"/>
    <w:rsid w:val="00C45EDF"/>
    <w:rsid w:val="00C45F47"/>
    <w:rsid w:val="00C46CF9"/>
    <w:rsid w:val="00C4718B"/>
    <w:rsid w:val="00C472C4"/>
    <w:rsid w:val="00C4735F"/>
    <w:rsid w:val="00C47C70"/>
    <w:rsid w:val="00C47EE2"/>
    <w:rsid w:val="00C501C7"/>
    <w:rsid w:val="00C507A3"/>
    <w:rsid w:val="00C51030"/>
    <w:rsid w:val="00C51725"/>
    <w:rsid w:val="00C51B58"/>
    <w:rsid w:val="00C51B99"/>
    <w:rsid w:val="00C51D77"/>
    <w:rsid w:val="00C52225"/>
    <w:rsid w:val="00C5294E"/>
    <w:rsid w:val="00C52D29"/>
    <w:rsid w:val="00C52E25"/>
    <w:rsid w:val="00C532DF"/>
    <w:rsid w:val="00C537BB"/>
    <w:rsid w:val="00C5382C"/>
    <w:rsid w:val="00C53DAC"/>
    <w:rsid w:val="00C54070"/>
    <w:rsid w:val="00C544FE"/>
    <w:rsid w:val="00C54893"/>
    <w:rsid w:val="00C54924"/>
    <w:rsid w:val="00C55082"/>
    <w:rsid w:val="00C55389"/>
    <w:rsid w:val="00C55556"/>
    <w:rsid w:val="00C55700"/>
    <w:rsid w:val="00C55D54"/>
    <w:rsid w:val="00C55E92"/>
    <w:rsid w:val="00C55FD8"/>
    <w:rsid w:val="00C56A03"/>
    <w:rsid w:val="00C56A44"/>
    <w:rsid w:val="00C56BC2"/>
    <w:rsid w:val="00C56D71"/>
    <w:rsid w:val="00C56EAD"/>
    <w:rsid w:val="00C570A5"/>
    <w:rsid w:val="00C574C0"/>
    <w:rsid w:val="00C5779B"/>
    <w:rsid w:val="00C57E27"/>
    <w:rsid w:val="00C60616"/>
    <w:rsid w:val="00C60B23"/>
    <w:rsid w:val="00C60C24"/>
    <w:rsid w:val="00C60C80"/>
    <w:rsid w:val="00C60CF1"/>
    <w:rsid w:val="00C60E07"/>
    <w:rsid w:val="00C610F9"/>
    <w:rsid w:val="00C61551"/>
    <w:rsid w:val="00C619FE"/>
    <w:rsid w:val="00C62166"/>
    <w:rsid w:val="00C62569"/>
    <w:rsid w:val="00C62576"/>
    <w:rsid w:val="00C628E0"/>
    <w:rsid w:val="00C62AEF"/>
    <w:rsid w:val="00C62BA5"/>
    <w:rsid w:val="00C6319A"/>
    <w:rsid w:val="00C63219"/>
    <w:rsid w:val="00C63253"/>
    <w:rsid w:val="00C63290"/>
    <w:rsid w:val="00C633EF"/>
    <w:rsid w:val="00C63AE8"/>
    <w:rsid w:val="00C64497"/>
    <w:rsid w:val="00C6472D"/>
    <w:rsid w:val="00C64744"/>
    <w:rsid w:val="00C64878"/>
    <w:rsid w:val="00C64A8D"/>
    <w:rsid w:val="00C64AC2"/>
    <w:rsid w:val="00C650DD"/>
    <w:rsid w:val="00C65149"/>
    <w:rsid w:val="00C656D9"/>
    <w:rsid w:val="00C65936"/>
    <w:rsid w:val="00C66BEE"/>
    <w:rsid w:val="00C66C9F"/>
    <w:rsid w:val="00C66CCA"/>
    <w:rsid w:val="00C67571"/>
    <w:rsid w:val="00C675A7"/>
    <w:rsid w:val="00C67607"/>
    <w:rsid w:val="00C676EA"/>
    <w:rsid w:val="00C6780E"/>
    <w:rsid w:val="00C678BC"/>
    <w:rsid w:val="00C67AA8"/>
    <w:rsid w:val="00C67E08"/>
    <w:rsid w:val="00C700DC"/>
    <w:rsid w:val="00C70185"/>
    <w:rsid w:val="00C701A2"/>
    <w:rsid w:val="00C704F5"/>
    <w:rsid w:val="00C70EC6"/>
    <w:rsid w:val="00C70FAC"/>
    <w:rsid w:val="00C7105C"/>
    <w:rsid w:val="00C71268"/>
    <w:rsid w:val="00C713DC"/>
    <w:rsid w:val="00C71490"/>
    <w:rsid w:val="00C71700"/>
    <w:rsid w:val="00C7185B"/>
    <w:rsid w:val="00C719A2"/>
    <w:rsid w:val="00C71B53"/>
    <w:rsid w:val="00C72041"/>
    <w:rsid w:val="00C72605"/>
    <w:rsid w:val="00C72939"/>
    <w:rsid w:val="00C72C03"/>
    <w:rsid w:val="00C72EE3"/>
    <w:rsid w:val="00C7318E"/>
    <w:rsid w:val="00C73477"/>
    <w:rsid w:val="00C73C55"/>
    <w:rsid w:val="00C73D68"/>
    <w:rsid w:val="00C741B3"/>
    <w:rsid w:val="00C741D0"/>
    <w:rsid w:val="00C74254"/>
    <w:rsid w:val="00C7429D"/>
    <w:rsid w:val="00C74790"/>
    <w:rsid w:val="00C748C0"/>
    <w:rsid w:val="00C74A7B"/>
    <w:rsid w:val="00C74F43"/>
    <w:rsid w:val="00C755C7"/>
    <w:rsid w:val="00C757D5"/>
    <w:rsid w:val="00C75809"/>
    <w:rsid w:val="00C75B9A"/>
    <w:rsid w:val="00C76175"/>
    <w:rsid w:val="00C763BC"/>
    <w:rsid w:val="00C768B4"/>
    <w:rsid w:val="00C7692C"/>
    <w:rsid w:val="00C76A77"/>
    <w:rsid w:val="00C76EEC"/>
    <w:rsid w:val="00C77A87"/>
    <w:rsid w:val="00C77AAB"/>
    <w:rsid w:val="00C7AA1E"/>
    <w:rsid w:val="00C800DB"/>
    <w:rsid w:val="00C80303"/>
    <w:rsid w:val="00C80437"/>
    <w:rsid w:val="00C80A9D"/>
    <w:rsid w:val="00C80BB2"/>
    <w:rsid w:val="00C80BDE"/>
    <w:rsid w:val="00C80DF9"/>
    <w:rsid w:val="00C80E5A"/>
    <w:rsid w:val="00C80F47"/>
    <w:rsid w:val="00C81209"/>
    <w:rsid w:val="00C8123E"/>
    <w:rsid w:val="00C816A6"/>
    <w:rsid w:val="00C8180F"/>
    <w:rsid w:val="00C8184F"/>
    <w:rsid w:val="00C8203E"/>
    <w:rsid w:val="00C820A7"/>
    <w:rsid w:val="00C822F7"/>
    <w:rsid w:val="00C82316"/>
    <w:rsid w:val="00C82347"/>
    <w:rsid w:val="00C8274B"/>
    <w:rsid w:val="00C827F3"/>
    <w:rsid w:val="00C82A0F"/>
    <w:rsid w:val="00C82D04"/>
    <w:rsid w:val="00C834F7"/>
    <w:rsid w:val="00C83CB9"/>
    <w:rsid w:val="00C841AA"/>
    <w:rsid w:val="00C842D9"/>
    <w:rsid w:val="00C84399"/>
    <w:rsid w:val="00C8531E"/>
    <w:rsid w:val="00C85459"/>
    <w:rsid w:val="00C85BF2"/>
    <w:rsid w:val="00C86722"/>
    <w:rsid w:val="00C86AE8"/>
    <w:rsid w:val="00C87310"/>
    <w:rsid w:val="00C87B33"/>
    <w:rsid w:val="00C87FA0"/>
    <w:rsid w:val="00C90001"/>
    <w:rsid w:val="00C90082"/>
    <w:rsid w:val="00C90462"/>
    <w:rsid w:val="00C909AC"/>
    <w:rsid w:val="00C90AA3"/>
    <w:rsid w:val="00C90C39"/>
    <w:rsid w:val="00C90DD6"/>
    <w:rsid w:val="00C9192C"/>
    <w:rsid w:val="00C91952"/>
    <w:rsid w:val="00C919C0"/>
    <w:rsid w:val="00C91D43"/>
    <w:rsid w:val="00C91F2F"/>
    <w:rsid w:val="00C9263E"/>
    <w:rsid w:val="00C92695"/>
    <w:rsid w:val="00C929C2"/>
    <w:rsid w:val="00C930A7"/>
    <w:rsid w:val="00C931B2"/>
    <w:rsid w:val="00C93549"/>
    <w:rsid w:val="00C936BA"/>
    <w:rsid w:val="00C93B1E"/>
    <w:rsid w:val="00C943AC"/>
    <w:rsid w:val="00C94650"/>
    <w:rsid w:val="00C949EB"/>
    <w:rsid w:val="00C9526A"/>
    <w:rsid w:val="00C95565"/>
    <w:rsid w:val="00C96714"/>
    <w:rsid w:val="00C96D67"/>
    <w:rsid w:val="00C97B81"/>
    <w:rsid w:val="00CA04CE"/>
    <w:rsid w:val="00CA07A1"/>
    <w:rsid w:val="00CA0975"/>
    <w:rsid w:val="00CA0A9F"/>
    <w:rsid w:val="00CA0BE3"/>
    <w:rsid w:val="00CA0D56"/>
    <w:rsid w:val="00CA0F55"/>
    <w:rsid w:val="00CA133E"/>
    <w:rsid w:val="00CA1373"/>
    <w:rsid w:val="00CA18DE"/>
    <w:rsid w:val="00CA1A9E"/>
    <w:rsid w:val="00CA1BF3"/>
    <w:rsid w:val="00CA1C78"/>
    <w:rsid w:val="00CA20CD"/>
    <w:rsid w:val="00CA23D0"/>
    <w:rsid w:val="00CA2442"/>
    <w:rsid w:val="00CA3102"/>
    <w:rsid w:val="00CA3A01"/>
    <w:rsid w:val="00CA3F7A"/>
    <w:rsid w:val="00CA3FBF"/>
    <w:rsid w:val="00CA442A"/>
    <w:rsid w:val="00CA46A7"/>
    <w:rsid w:val="00CA4E90"/>
    <w:rsid w:val="00CA516F"/>
    <w:rsid w:val="00CA5B0A"/>
    <w:rsid w:val="00CA5CC8"/>
    <w:rsid w:val="00CA5DF6"/>
    <w:rsid w:val="00CA5F47"/>
    <w:rsid w:val="00CA62A8"/>
    <w:rsid w:val="00CA63AC"/>
    <w:rsid w:val="00CA6403"/>
    <w:rsid w:val="00CA659F"/>
    <w:rsid w:val="00CA6613"/>
    <w:rsid w:val="00CA6CCA"/>
    <w:rsid w:val="00CA6D75"/>
    <w:rsid w:val="00CA6E83"/>
    <w:rsid w:val="00CA6F76"/>
    <w:rsid w:val="00CA71BB"/>
    <w:rsid w:val="00CA775C"/>
    <w:rsid w:val="00CA780D"/>
    <w:rsid w:val="00CA78C4"/>
    <w:rsid w:val="00CA7C3C"/>
    <w:rsid w:val="00CA7CBE"/>
    <w:rsid w:val="00CA7DD6"/>
    <w:rsid w:val="00CA7F0A"/>
    <w:rsid w:val="00CA7F2E"/>
    <w:rsid w:val="00CA7FCF"/>
    <w:rsid w:val="00CB00DD"/>
    <w:rsid w:val="00CB02A0"/>
    <w:rsid w:val="00CB02BE"/>
    <w:rsid w:val="00CB05B6"/>
    <w:rsid w:val="00CB05CE"/>
    <w:rsid w:val="00CB0653"/>
    <w:rsid w:val="00CB0743"/>
    <w:rsid w:val="00CB0868"/>
    <w:rsid w:val="00CB08AA"/>
    <w:rsid w:val="00CB1A65"/>
    <w:rsid w:val="00CB1AFA"/>
    <w:rsid w:val="00CB1C29"/>
    <w:rsid w:val="00CB1C9D"/>
    <w:rsid w:val="00CB25B0"/>
    <w:rsid w:val="00CB2E33"/>
    <w:rsid w:val="00CB2E5E"/>
    <w:rsid w:val="00CB2F69"/>
    <w:rsid w:val="00CB3443"/>
    <w:rsid w:val="00CB35F6"/>
    <w:rsid w:val="00CB392D"/>
    <w:rsid w:val="00CB39EC"/>
    <w:rsid w:val="00CB3AC3"/>
    <w:rsid w:val="00CB3C08"/>
    <w:rsid w:val="00CB4104"/>
    <w:rsid w:val="00CB4123"/>
    <w:rsid w:val="00CB4141"/>
    <w:rsid w:val="00CB42A0"/>
    <w:rsid w:val="00CB460A"/>
    <w:rsid w:val="00CB4A21"/>
    <w:rsid w:val="00CB4FB6"/>
    <w:rsid w:val="00CB5008"/>
    <w:rsid w:val="00CB52BE"/>
    <w:rsid w:val="00CB52CF"/>
    <w:rsid w:val="00CB545A"/>
    <w:rsid w:val="00CB54C0"/>
    <w:rsid w:val="00CB59CB"/>
    <w:rsid w:val="00CB5AD1"/>
    <w:rsid w:val="00CB606D"/>
    <w:rsid w:val="00CB617C"/>
    <w:rsid w:val="00CB677F"/>
    <w:rsid w:val="00CB707B"/>
    <w:rsid w:val="00CB7159"/>
    <w:rsid w:val="00CB73AD"/>
    <w:rsid w:val="00CB74CE"/>
    <w:rsid w:val="00CB7589"/>
    <w:rsid w:val="00CB78EE"/>
    <w:rsid w:val="00CB7B5C"/>
    <w:rsid w:val="00CC01D6"/>
    <w:rsid w:val="00CC069E"/>
    <w:rsid w:val="00CC0DC8"/>
    <w:rsid w:val="00CC13F1"/>
    <w:rsid w:val="00CC1508"/>
    <w:rsid w:val="00CC1917"/>
    <w:rsid w:val="00CC1D96"/>
    <w:rsid w:val="00CC2234"/>
    <w:rsid w:val="00CC2794"/>
    <w:rsid w:val="00CC2874"/>
    <w:rsid w:val="00CC2AE5"/>
    <w:rsid w:val="00CC2CFD"/>
    <w:rsid w:val="00CC2F41"/>
    <w:rsid w:val="00CC3B15"/>
    <w:rsid w:val="00CC3B88"/>
    <w:rsid w:val="00CC3BB3"/>
    <w:rsid w:val="00CC3D01"/>
    <w:rsid w:val="00CC3F58"/>
    <w:rsid w:val="00CC4DF3"/>
    <w:rsid w:val="00CC4F66"/>
    <w:rsid w:val="00CC5313"/>
    <w:rsid w:val="00CC5818"/>
    <w:rsid w:val="00CC684E"/>
    <w:rsid w:val="00CC68B8"/>
    <w:rsid w:val="00CC6A24"/>
    <w:rsid w:val="00CC6C74"/>
    <w:rsid w:val="00CC71F4"/>
    <w:rsid w:val="00CC759F"/>
    <w:rsid w:val="00CC75AD"/>
    <w:rsid w:val="00CC7C2C"/>
    <w:rsid w:val="00CC7C6E"/>
    <w:rsid w:val="00CC7F4C"/>
    <w:rsid w:val="00CD0730"/>
    <w:rsid w:val="00CD0B3F"/>
    <w:rsid w:val="00CD1317"/>
    <w:rsid w:val="00CD13D4"/>
    <w:rsid w:val="00CD1F56"/>
    <w:rsid w:val="00CD2584"/>
    <w:rsid w:val="00CD2AF3"/>
    <w:rsid w:val="00CD33BF"/>
    <w:rsid w:val="00CD3472"/>
    <w:rsid w:val="00CD3542"/>
    <w:rsid w:val="00CD3984"/>
    <w:rsid w:val="00CD3E1A"/>
    <w:rsid w:val="00CD408B"/>
    <w:rsid w:val="00CD41BB"/>
    <w:rsid w:val="00CD443D"/>
    <w:rsid w:val="00CD46F7"/>
    <w:rsid w:val="00CD47CF"/>
    <w:rsid w:val="00CD4B62"/>
    <w:rsid w:val="00CD4D2B"/>
    <w:rsid w:val="00CD4E5E"/>
    <w:rsid w:val="00CD5181"/>
    <w:rsid w:val="00CD5424"/>
    <w:rsid w:val="00CD5B78"/>
    <w:rsid w:val="00CD5D17"/>
    <w:rsid w:val="00CD5E11"/>
    <w:rsid w:val="00CD61FD"/>
    <w:rsid w:val="00CD62F7"/>
    <w:rsid w:val="00CD6413"/>
    <w:rsid w:val="00CD65A6"/>
    <w:rsid w:val="00CD67F6"/>
    <w:rsid w:val="00CD6888"/>
    <w:rsid w:val="00CD6AC4"/>
    <w:rsid w:val="00CD7096"/>
    <w:rsid w:val="00CD73B5"/>
    <w:rsid w:val="00CD76B8"/>
    <w:rsid w:val="00CD7707"/>
    <w:rsid w:val="00CD7EB8"/>
    <w:rsid w:val="00CDAF90"/>
    <w:rsid w:val="00CE00C1"/>
    <w:rsid w:val="00CE0A6B"/>
    <w:rsid w:val="00CE0D98"/>
    <w:rsid w:val="00CE0F32"/>
    <w:rsid w:val="00CE0F4E"/>
    <w:rsid w:val="00CE10F7"/>
    <w:rsid w:val="00CE1272"/>
    <w:rsid w:val="00CE171B"/>
    <w:rsid w:val="00CE1967"/>
    <w:rsid w:val="00CE1A35"/>
    <w:rsid w:val="00CE1C6C"/>
    <w:rsid w:val="00CE1D43"/>
    <w:rsid w:val="00CE269B"/>
    <w:rsid w:val="00CE270B"/>
    <w:rsid w:val="00CE2BB7"/>
    <w:rsid w:val="00CE3693"/>
    <w:rsid w:val="00CE3900"/>
    <w:rsid w:val="00CE3BD4"/>
    <w:rsid w:val="00CE402E"/>
    <w:rsid w:val="00CE4418"/>
    <w:rsid w:val="00CE4B80"/>
    <w:rsid w:val="00CE4C59"/>
    <w:rsid w:val="00CE53AE"/>
    <w:rsid w:val="00CE5474"/>
    <w:rsid w:val="00CE5D19"/>
    <w:rsid w:val="00CE5FB8"/>
    <w:rsid w:val="00CE600F"/>
    <w:rsid w:val="00CE6220"/>
    <w:rsid w:val="00CE64B3"/>
    <w:rsid w:val="00CE6B65"/>
    <w:rsid w:val="00CE6C04"/>
    <w:rsid w:val="00CE6C2F"/>
    <w:rsid w:val="00CE7399"/>
    <w:rsid w:val="00CE7512"/>
    <w:rsid w:val="00CE757E"/>
    <w:rsid w:val="00CE7582"/>
    <w:rsid w:val="00CE7A9F"/>
    <w:rsid w:val="00CE7E78"/>
    <w:rsid w:val="00CE7EAC"/>
    <w:rsid w:val="00CF00CC"/>
    <w:rsid w:val="00CF0649"/>
    <w:rsid w:val="00CF1204"/>
    <w:rsid w:val="00CF123B"/>
    <w:rsid w:val="00CF133F"/>
    <w:rsid w:val="00CF1D91"/>
    <w:rsid w:val="00CF20F4"/>
    <w:rsid w:val="00CF22E7"/>
    <w:rsid w:val="00CF26DA"/>
    <w:rsid w:val="00CF39E3"/>
    <w:rsid w:val="00CF40D6"/>
    <w:rsid w:val="00CF4945"/>
    <w:rsid w:val="00CF4CF0"/>
    <w:rsid w:val="00CF4EFD"/>
    <w:rsid w:val="00CF5098"/>
    <w:rsid w:val="00CF51FD"/>
    <w:rsid w:val="00CF540C"/>
    <w:rsid w:val="00CF55B4"/>
    <w:rsid w:val="00CF5717"/>
    <w:rsid w:val="00CF5EA1"/>
    <w:rsid w:val="00CF5F1C"/>
    <w:rsid w:val="00CF5F57"/>
    <w:rsid w:val="00CF6021"/>
    <w:rsid w:val="00CF6304"/>
    <w:rsid w:val="00CF675A"/>
    <w:rsid w:val="00CF6A82"/>
    <w:rsid w:val="00CF6EA8"/>
    <w:rsid w:val="00CF7410"/>
    <w:rsid w:val="00CF7860"/>
    <w:rsid w:val="00CF7878"/>
    <w:rsid w:val="00CF790B"/>
    <w:rsid w:val="00D00045"/>
    <w:rsid w:val="00D00874"/>
    <w:rsid w:val="00D00A39"/>
    <w:rsid w:val="00D00CF2"/>
    <w:rsid w:val="00D00CF3"/>
    <w:rsid w:val="00D00E6C"/>
    <w:rsid w:val="00D013FA"/>
    <w:rsid w:val="00D01A19"/>
    <w:rsid w:val="00D01A62"/>
    <w:rsid w:val="00D01C91"/>
    <w:rsid w:val="00D01D6D"/>
    <w:rsid w:val="00D01E6E"/>
    <w:rsid w:val="00D020DC"/>
    <w:rsid w:val="00D0210D"/>
    <w:rsid w:val="00D0260B"/>
    <w:rsid w:val="00D02644"/>
    <w:rsid w:val="00D02C88"/>
    <w:rsid w:val="00D031AD"/>
    <w:rsid w:val="00D03308"/>
    <w:rsid w:val="00D036DA"/>
    <w:rsid w:val="00D03B39"/>
    <w:rsid w:val="00D042FA"/>
    <w:rsid w:val="00D04677"/>
    <w:rsid w:val="00D04B76"/>
    <w:rsid w:val="00D04CA2"/>
    <w:rsid w:val="00D052EF"/>
    <w:rsid w:val="00D05644"/>
    <w:rsid w:val="00D05FC7"/>
    <w:rsid w:val="00D061A4"/>
    <w:rsid w:val="00D061DE"/>
    <w:rsid w:val="00D066E5"/>
    <w:rsid w:val="00D06AAD"/>
    <w:rsid w:val="00D06D55"/>
    <w:rsid w:val="00D06F07"/>
    <w:rsid w:val="00D06FD4"/>
    <w:rsid w:val="00D0705F"/>
    <w:rsid w:val="00D0750C"/>
    <w:rsid w:val="00D075F7"/>
    <w:rsid w:val="00D0795B"/>
    <w:rsid w:val="00D0798B"/>
    <w:rsid w:val="00D07A0F"/>
    <w:rsid w:val="00D07A2E"/>
    <w:rsid w:val="00D07CA5"/>
    <w:rsid w:val="00D10592"/>
    <w:rsid w:val="00D10625"/>
    <w:rsid w:val="00D1085D"/>
    <w:rsid w:val="00D109E6"/>
    <w:rsid w:val="00D10CE3"/>
    <w:rsid w:val="00D11214"/>
    <w:rsid w:val="00D11397"/>
    <w:rsid w:val="00D11416"/>
    <w:rsid w:val="00D1141A"/>
    <w:rsid w:val="00D11709"/>
    <w:rsid w:val="00D11F4A"/>
    <w:rsid w:val="00D1207E"/>
    <w:rsid w:val="00D12255"/>
    <w:rsid w:val="00D1247A"/>
    <w:rsid w:val="00D124B3"/>
    <w:rsid w:val="00D12633"/>
    <w:rsid w:val="00D12AE6"/>
    <w:rsid w:val="00D12B26"/>
    <w:rsid w:val="00D12D25"/>
    <w:rsid w:val="00D12EB9"/>
    <w:rsid w:val="00D133BB"/>
    <w:rsid w:val="00D13E32"/>
    <w:rsid w:val="00D14140"/>
    <w:rsid w:val="00D14340"/>
    <w:rsid w:val="00D1490A"/>
    <w:rsid w:val="00D14E91"/>
    <w:rsid w:val="00D14EB5"/>
    <w:rsid w:val="00D15511"/>
    <w:rsid w:val="00D15C62"/>
    <w:rsid w:val="00D164B8"/>
    <w:rsid w:val="00D16565"/>
    <w:rsid w:val="00D16A32"/>
    <w:rsid w:val="00D170FE"/>
    <w:rsid w:val="00D17405"/>
    <w:rsid w:val="00D20156"/>
    <w:rsid w:val="00D2015F"/>
    <w:rsid w:val="00D2085B"/>
    <w:rsid w:val="00D20B48"/>
    <w:rsid w:val="00D20E66"/>
    <w:rsid w:val="00D21029"/>
    <w:rsid w:val="00D2108D"/>
    <w:rsid w:val="00D216C9"/>
    <w:rsid w:val="00D2190A"/>
    <w:rsid w:val="00D22101"/>
    <w:rsid w:val="00D221CB"/>
    <w:rsid w:val="00D227D3"/>
    <w:rsid w:val="00D22C3D"/>
    <w:rsid w:val="00D23014"/>
    <w:rsid w:val="00D2318C"/>
    <w:rsid w:val="00D23CEF"/>
    <w:rsid w:val="00D2410B"/>
    <w:rsid w:val="00D2411C"/>
    <w:rsid w:val="00D244B9"/>
    <w:rsid w:val="00D24509"/>
    <w:rsid w:val="00D25029"/>
    <w:rsid w:val="00D251E0"/>
    <w:rsid w:val="00D25509"/>
    <w:rsid w:val="00D25533"/>
    <w:rsid w:val="00D25713"/>
    <w:rsid w:val="00D2574B"/>
    <w:rsid w:val="00D25896"/>
    <w:rsid w:val="00D2589A"/>
    <w:rsid w:val="00D260A0"/>
    <w:rsid w:val="00D262BB"/>
    <w:rsid w:val="00D26334"/>
    <w:rsid w:val="00D26467"/>
    <w:rsid w:val="00D26938"/>
    <w:rsid w:val="00D26B2D"/>
    <w:rsid w:val="00D2707A"/>
    <w:rsid w:val="00D27135"/>
    <w:rsid w:val="00D275B0"/>
    <w:rsid w:val="00D278AA"/>
    <w:rsid w:val="00D27B36"/>
    <w:rsid w:val="00D27E97"/>
    <w:rsid w:val="00D301C1"/>
    <w:rsid w:val="00D3033B"/>
    <w:rsid w:val="00D30DB4"/>
    <w:rsid w:val="00D31209"/>
    <w:rsid w:val="00D3192A"/>
    <w:rsid w:val="00D31F6E"/>
    <w:rsid w:val="00D32240"/>
    <w:rsid w:val="00D3254D"/>
    <w:rsid w:val="00D327FF"/>
    <w:rsid w:val="00D32E98"/>
    <w:rsid w:val="00D33A90"/>
    <w:rsid w:val="00D33EC0"/>
    <w:rsid w:val="00D34238"/>
    <w:rsid w:val="00D3424D"/>
    <w:rsid w:val="00D343C6"/>
    <w:rsid w:val="00D344A2"/>
    <w:rsid w:val="00D34554"/>
    <w:rsid w:val="00D345CE"/>
    <w:rsid w:val="00D34BA5"/>
    <w:rsid w:val="00D35451"/>
    <w:rsid w:val="00D355D8"/>
    <w:rsid w:val="00D35A38"/>
    <w:rsid w:val="00D35A92"/>
    <w:rsid w:val="00D35AB2"/>
    <w:rsid w:val="00D35F3E"/>
    <w:rsid w:val="00D366C9"/>
    <w:rsid w:val="00D3675E"/>
    <w:rsid w:val="00D36AD7"/>
    <w:rsid w:val="00D378B6"/>
    <w:rsid w:val="00D37B04"/>
    <w:rsid w:val="00D37EE1"/>
    <w:rsid w:val="00D37FFE"/>
    <w:rsid w:val="00D39A43"/>
    <w:rsid w:val="00D4052A"/>
    <w:rsid w:val="00D40FCB"/>
    <w:rsid w:val="00D410D9"/>
    <w:rsid w:val="00D41790"/>
    <w:rsid w:val="00D418D6"/>
    <w:rsid w:val="00D41F40"/>
    <w:rsid w:val="00D41FFA"/>
    <w:rsid w:val="00D42527"/>
    <w:rsid w:val="00D426D1"/>
    <w:rsid w:val="00D427A4"/>
    <w:rsid w:val="00D427E3"/>
    <w:rsid w:val="00D4294E"/>
    <w:rsid w:val="00D42974"/>
    <w:rsid w:val="00D42E08"/>
    <w:rsid w:val="00D42FFD"/>
    <w:rsid w:val="00D437A8"/>
    <w:rsid w:val="00D43869"/>
    <w:rsid w:val="00D43CC3"/>
    <w:rsid w:val="00D43D69"/>
    <w:rsid w:val="00D44256"/>
    <w:rsid w:val="00D445EB"/>
    <w:rsid w:val="00D448B8"/>
    <w:rsid w:val="00D4496D"/>
    <w:rsid w:val="00D44B91"/>
    <w:rsid w:val="00D4511C"/>
    <w:rsid w:val="00D45917"/>
    <w:rsid w:val="00D46171"/>
    <w:rsid w:val="00D4645C"/>
    <w:rsid w:val="00D46CFF"/>
    <w:rsid w:val="00D46D3E"/>
    <w:rsid w:val="00D470C4"/>
    <w:rsid w:val="00D4717C"/>
    <w:rsid w:val="00D478F1"/>
    <w:rsid w:val="00D479EF"/>
    <w:rsid w:val="00D47CF9"/>
    <w:rsid w:val="00D47E19"/>
    <w:rsid w:val="00D50037"/>
    <w:rsid w:val="00D50495"/>
    <w:rsid w:val="00D51013"/>
    <w:rsid w:val="00D51296"/>
    <w:rsid w:val="00D5153F"/>
    <w:rsid w:val="00D51A34"/>
    <w:rsid w:val="00D51B7C"/>
    <w:rsid w:val="00D51FE8"/>
    <w:rsid w:val="00D5220A"/>
    <w:rsid w:val="00D52883"/>
    <w:rsid w:val="00D52889"/>
    <w:rsid w:val="00D52BED"/>
    <w:rsid w:val="00D52C18"/>
    <w:rsid w:val="00D52F64"/>
    <w:rsid w:val="00D537FD"/>
    <w:rsid w:val="00D5397F"/>
    <w:rsid w:val="00D53B26"/>
    <w:rsid w:val="00D53C4D"/>
    <w:rsid w:val="00D54402"/>
    <w:rsid w:val="00D548C1"/>
    <w:rsid w:val="00D54EA0"/>
    <w:rsid w:val="00D55369"/>
    <w:rsid w:val="00D5555C"/>
    <w:rsid w:val="00D55B04"/>
    <w:rsid w:val="00D55DB4"/>
    <w:rsid w:val="00D55EB9"/>
    <w:rsid w:val="00D56B51"/>
    <w:rsid w:val="00D5743B"/>
    <w:rsid w:val="00D57E0C"/>
    <w:rsid w:val="00D57E5E"/>
    <w:rsid w:val="00D600EB"/>
    <w:rsid w:val="00D60494"/>
    <w:rsid w:val="00D60845"/>
    <w:rsid w:val="00D60BA1"/>
    <w:rsid w:val="00D60E60"/>
    <w:rsid w:val="00D61404"/>
    <w:rsid w:val="00D616FD"/>
    <w:rsid w:val="00D6198F"/>
    <w:rsid w:val="00D619CC"/>
    <w:rsid w:val="00D61DD8"/>
    <w:rsid w:val="00D61E6D"/>
    <w:rsid w:val="00D61F73"/>
    <w:rsid w:val="00D6227A"/>
    <w:rsid w:val="00D62B30"/>
    <w:rsid w:val="00D62D81"/>
    <w:rsid w:val="00D63C82"/>
    <w:rsid w:val="00D63DF5"/>
    <w:rsid w:val="00D63E0A"/>
    <w:rsid w:val="00D63EE1"/>
    <w:rsid w:val="00D652F4"/>
    <w:rsid w:val="00D65816"/>
    <w:rsid w:val="00D65CC9"/>
    <w:rsid w:val="00D660A7"/>
    <w:rsid w:val="00D66305"/>
    <w:rsid w:val="00D6664C"/>
    <w:rsid w:val="00D6670E"/>
    <w:rsid w:val="00D669CD"/>
    <w:rsid w:val="00D66BF8"/>
    <w:rsid w:val="00D6706C"/>
    <w:rsid w:val="00D678EA"/>
    <w:rsid w:val="00D679B9"/>
    <w:rsid w:val="00D67E2C"/>
    <w:rsid w:val="00D7026C"/>
    <w:rsid w:val="00D7106C"/>
    <w:rsid w:val="00D713E3"/>
    <w:rsid w:val="00D71500"/>
    <w:rsid w:val="00D71573"/>
    <w:rsid w:val="00D71634"/>
    <w:rsid w:val="00D71841"/>
    <w:rsid w:val="00D718BE"/>
    <w:rsid w:val="00D71C76"/>
    <w:rsid w:val="00D71CE0"/>
    <w:rsid w:val="00D71D25"/>
    <w:rsid w:val="00D71FDE"/>
    <w:rsid w:val="00D72543"/>
    <w:rsid w:val="00D72775"/>
    <w:rsid w:val="00D727C0"/>
    <w:rsid w:val="00D729E4"/>
    <w:rsid w:val="00D72A68"/>
    <w:rsid w:val="00D72A78"/>
    <w:rsid w:val="00D72CC5"/>
    <w:rsid w:val="00D732AC"/>
    <w:rsid w:val="00D733B5"/>
    <w:rsid w:val="00D734B2"/>
    <w:rsid w:val="00D7370E"/>
    <w:rsid w:val="00D738D9"/>
    <w:rsid w:val="00D741BB"/>
    <w:rsid w:val="00D74277"/>
    <w:rsid w:val="00D742F1"/>
    <w:rsid w:val="00D7447E"/>
    <w:rsid w:val="00D74693"/>
    <w:rsid w:val="00D747E5"/>
    <w:rsid w:val="00D7493C"/>
    <w:rsid w:val="00D74B6C"/>
    <w:rsid w:val="00D74DA3"/>
    <w:rsid w:val="00D74F0B"/>
    <w:rsid w:val="00D754BE"/>
    <w:rsid w:val="00D756A9"/>
    <w:rsid w:val="00D75837"/>
    <w:rsid w:val="00D75B58"/>
    <w:rsid w:val="00D76507"/>
    <w:rsid w:val="00D7665F"/>
    <w:rsid w:val="00D76903"/>
    <w:rsid w:val="00D76B72"/>
    <w:rsid w:val="00D76BB5"/>
    <w:rsid w:val="00D76D2A"/>
    <w:rsid w:val="00D76E19"/>
    <w:rsid w:val="00D77047"/>
    <w:rsid w:val="00D774E4"/>
    <w:rsid w:val="00D774FA"/>
    <w:rsid w:val="00D7787D"/>
    <w:rsid w:val="00D7799D"/>
    <w:rsid w:val="00D779B6"/>
    <w:rsid w:val="00D77C83"/>
    <w:rsid w:val="00D77FE2"/>
    <w:rsid w:val="00D800BC"/>
    <w:rsid w:val="00D801FD"/>
    <w:rsid w:val="00D80D55"/>
    <w:rsid w:val="00D80F45"/>
    <w:rsid w:val="00D810E5"/>
    <w:rsid w:val="00D81361"/>
    <w:rsid w:val="00D814A3"/>
    <w:rsid w:val="00D815FF"/>
    <w:rsid w:val="00D81ADD"/>
    <w:rsid w:val="00D821E3"/>
    <w:rsid w:val="00D82570"/>
    <w:rsid w:val="00D8283B"/>
    <w:rsid w:val="00D828A6"/>
    <w:rsid w:val="00D82F20"/>
    <w:rsid w:val="00D8330F"/>
    <w:rsid w:val="00D83692"/>
    <w:rsid w:val="00D83A98"/>
    <w:rsid w:val="00D83B7A"/>
    <w:rsid w:val="00D83CA0"/>
    <w:rsid w:val="00D83EAF"/>
    <w:rsid w:val="00D8403E"/>
    <w:rsid w:val="00D843A6"/>
    <w:rsid w:val="00D84744"/>
    <w:rsid w:val="00D84850"/>
    <w:rsid w:val="00D84B80"/>
    <w:rsid w:val="00D84E41"/>
    <w:rsid w:val="00D8538F"/>
    <w:rsid w:val="00D853E2"/>
    <w:rsid w:val="00D855C3"/>
    <w:rsid w:val="00D85920"/>
    <w:rsid w:val="00D85924"/>
    <w:rsid w:val="00D8619A"/>
    <w:rsid w:val="00D868A7"/>
    <w:rsid w:val="00D86A39"/>
    <w:rsid w:val="00D86C1A"/>
    <w:rsid w:val="00D86D6B"/>
    <w:rsid w:val="00D86EAE"/>
    <w:rsid w:val="00D87683"/>
    <w:rsid w:val="00D87A55"/>
    <w:rsid w:val="00D87A6B"/>
    <w:rsid w:val="00D901AE"/>
    <w:rsid w:val="00D903B0"/>
    <w:rsid w:val="00D904FE"/>
    <w:rsid w:val="00D905B1"/>
    <w:rsid w:val="00D90667"/>
    <w:rsid w:val="00D90808"/>
    <w:rsid w:val="00D908A5"/>
    <w:rsid w:val="00D908AD"/>
    <w:rsid w:val="00D90DE0"/>
    <w:rsid w:val="00D90F40"/>
    <w:rsid w:val="00D91189"/>
    <w:rsid w:val="00D91AB9"/>
    <w:rsid w:val="00D91D71"/>
    <w:rsid w:val="00D91EA1"/>
    <w:rsid w:val="00D91EB7"/>
    <w:rsid w:val="00D92028"/>
    <w:rsid w:val="00D92380"/>
    <w:rsid w:val="00D923B2"/>
    <w:rsid w:val="00D927C4"/>
    <w:rsid w:val="00D92F27"/>
    <w:rsid w:val="00D93947"/>
    <w:rsid w:val="00D93980"/>
    <w:rsid w:val="00D93CC5"/>
    <w:rsid w:val="00D93EE4"/>
    <w:rsid w:val="00D94151"/>
    <w:rsid w:val="00D9437A"/>
    <w:rsid w:val="00D94457"/>
    <w:rsid w:val="00D946A2"/>
    <w:rsid w:val="00D94AFA"/>
    <w:rsid w:val="00D94C21"/>
    <w:rsid w:val="00D94E29"/>
    <w:rsid w:val="00D95009"/>
    <w:rsid w:val="00D95539"/>
    <w:rsid w:val="00D9583C"/>
    <w:rsid w:val="00D9613B"/>
    <w:rsid w:val="00D9660A"/>
    <w:rsid w:val="00D96952"/>
    <w:rsid w:val="00D96EB2"/>
    <w:rsid w:val="00D96ECD"/>
    <w:rsid w:val="00D97706"/>
    <w:rsid w:val="00D978F5"/>
    <w:rsid w:val="00DA030C"/>
    <w:rsid w:val="00DA08F3"/>
    <w:rsid w:val="00DA08F9"/>
    <w:rsid w:val="00DA1936"/>
    <w:rsid w:val="00DA1A8F"/>
    <w:rsid w:val="00DA257B"/>
    <w:rsid w:val="00DA2715"/>
    <w:rsid w:val="00DA2762"/>
    <w:rsid w:val="00DA30F7"/>
    <w:rsid w:val="00DA3293"/>
    <w:rsid w:val="00DA3B09"/>
    <w:rsid w:val="00DA3CD3"/>
    <w:rsid w:val="00DA3CF1"/>
    <w:rsid w:val="00DA3D9D"/>
    <w:rsid w:val="00DA607A"/>
    <w:rsid w:val="00DA60E1"/>
    <w:rsid w:val="00DA67B7"/>
    <w:rsid w:val="00DA6917"/>
    <w:rsid w:val="00DA6A68"/>
    <w:rsid w:val="00DA6F1C"/>
    <w:rsid w:val="00DA6F83"/>
    <w:rsid w:val="00DA7902"/>
    <w:rsid w:val="00DA7D38"/>
    <w:rsid w:val="00DA7DB6"/>
    <w:rsid w:val="00DA7E3F"/>
    <w:rsid w:val="00DA7ECA"/>
    <w:rsid w:val="00DB04D5"/>
    <w:rsid w:val="00DB0920"/>
    <w:rsid w:val="00DB0CD7"/>
    <w:rsid w:val="00DB0E3D"/>
    <w:rsid w:val="00DB16DA"/>
    <w:rsid w:val="00DB1807"/>
    <w:rsid w:val="00DB2078"/>
    <w:rsid w:val="00DB221B"/>
    <w:rsid w:val="00DB23E9"/>
    <w:rsid w:val="00DB24C4"/>
    <w:rsid w:val="00DB266C"/>
    <w:rsid w:val="00DB3A6C"/>
    <w:rsid w:val="00DB401C"/>
    <w:rsid w:val="00DB4941"/>
    <w:rsid w:val="00DB4E6D"/>
    <w:rsid w:val="00DB4F8A"/>
    <w:rsid w:val="00DB51CD"/>
    <w:rsid w:val="00DB53D2"/>
    <w:rsid w:val="00DB5875"/>
    <w:rsid w:val="00DB5F75"/>
    <w:rsid w:val="00DB6066"/>
    <w:rsid w:val="00DB6178"/>
    <w:rsid w:val="00DB632F"/>
    <w:rsid w:val="00DB6642"/>
    <w:rsid w:val="00DB673B"/>
    <w:rsid w:val="00DB6A98"/>
    <w:rsid w:val="00DB6DE2"/>
    <w:rsid w:val="00DB6EDA"/>
    <w:rsid w:val="00DB70DD"/>
    <w:rsid w:val="00DB78B3"/>
    <w:rsid w:val="00DB7DA0"/>
    <w:rsid w:val="00DB7EBD"/>
    <w:rsid w:val="00DC018D"/>
    <w:rsid w:val="00DC0E24"/>
    <w:rsid w:val="00DC1092"/>
    <w:rsid w:val="00DC1A01"/>
    <w:rsid w:val="00DC1B3E"/>
    <w:rsid w:val="00DC1BDD"/>
    <w:rsid w:val="00DC1C8A"/>
    <w:rsid w:val="00DC1D33"/>
    <w:rsid w:val="00DC213A"/>
    <w:rsid w:val="00DC221D"/>
    <w:rsid w:val="00DC25D2"/>
    <w:rsid w:val="00DC2AB1"/>
    <w:rsid w:val="00DC2E08"/>
    <w:rsid w:val="00DC30AB"/>
    <w:rsid w:val="00DC33B1"/>
    <w:rsid w:val="00DC341E"/>
    <w:rsid w:val="00DC36B8"/>
    <w:rsid w:val="00DC37DE"/>
    <w:rsid w:val="00DC3A36"/>
    <w:rsid w:val="00DC3C38"/>
    <w:rsid w:val="00DC40C5"/>
    <w:rsid w:val="00DC4806"/>
    <w:rsid w:val="00DC4905"/>
    <w:rsid w:val="00DC495D"/>
    <w:rsid w:val="00DC5093"/>
    <w:rsid w:val="00DC52D8"/>
    <w:rsid w:val="00DC55CC"/>
    <w:rsid w:val="00DC5626"/>
    <w:rsid w:val="00DC5914"/>
    <w:rsid w:val="00DC59F5"/>
    <w:rsid w:val="00DC5A55"/>
    <w:rsid w:val="00DC5BA2"/>
    <w:rsid w:val="00DC603E"/>
    <w:rsid w:val="00DC6224"/>
    <w:rsid w:val="00DC71F8"/>
    <w:rsid w:val="00DC7A89"/>
    <w:rsid w:val="00DC7E57"/>
    <w:rsid w:val="00DC7EB3"/>
    <w:rsid w:val="00DCEC3C"/>
    <w:rsid w:val="00DD0248"/>
    <w:rsid w:val="00DD0911"/>
    <w:rsid w:val="00DD092B"/>
    <w:rsid w:val="00DD0D9A"/>
    <w:rsid w:val="00DD160F"/>
    <w:rsid w:val="00DD1A63"/>
    <w:rsid w:val="00DD1B9A"/>
    <w:rsid w:val="00DD2195"/>
    <w:rsid w:val="00DD22B1"/>
    <w:rsid w:val="00DD2567"/>
    <w:rsid w:val="00DD2C30"/>
    <w:rsid w:val="00DD3066"/>
    <w:rsid w:val="00DD32B1"/>
    <w:rsid w:val="00DD3614"/>
    <w:rsid w:val="00DD3947"/>
    <w:rsid w:val="00DD42B2"/>
    <w:rsid w:val="00DD44D2"/>
    <w:rsid w:val="00DD4CFA"/>
    <w:rsid w:val="00DD4E78"/>
    <w:rsid w:val="00DD5430"/>
    <w:rsid w:val="00DD61A9"/>
    <w:rsid w:val="00DD61CA"/>
    <w:rsid w:val="00DD62A1"/>
    <w:rsid w:val="00DD6468"/>
    <w:rsid w:val="00DD6964"/>
    <w:rsid w:val="00DD70EB"/>
    <w:rsid w:val="00DD7192"/>
    <w:rsid w:val="00DD7403"/>
    <w:rsid w:val="00DD7756"/>
    <w:rsid w:val="00DD7964"/>
    <w:rsid w:val="00DD7D0C"/>
    <w:rsid w:val="00DD7ECE"/>
    <w:rsid w:val="00DE015E"/>
    <w:rsid w:val="00DE01B1"/>
    <w:rsid w:val="00DE0235"/>
    <w:rsid w:val="00DE0577"/>
    <w:rsid w:val="00DE08F1"/>
    <w:rsid w:val="00DE0913"/>
    <w:rsid w:val="00DE0A47"/>
    <w:rsid w:val="00DE0B2C"/>
    <w:rsid w:val="00DE0BAD"/>
    <w:rsid w:val="00DE1116"/>
    <w:rsid w:val="00DE11F7"/>
    <w:rsid w:val="00DE128E"/>
    <w:rsid w:val="00DE1315"/>
    <w:rsid w:val="00DE1684"/>
    <w:rsid w:val="00DE2128"/>
    <w:rsid w:val="00DE22F9"/>
    <w:rsid w:val="00DE2309"/>
    <w:rsid w:val="00DE23EB"/>
    <w:rsid w:val="00DE2848"/>
    <w:rsid w:val="00DE3218"/>
    <w:rsid w:val="00DE3248"/>
    <w:rsid w:val="00DE3C74"/>
    <w:rsid w:val="00DE4062"/>
    <w:rsid w:val="00DE4454"/>
    <w:rsid w:val="00DE4768"/>
    <w:rsid w:val="00DE494B"/>
    <w:rsid w:val="00DE4952"/>
    <w:rsid w:val="00DE49DF"/>
    <w:rsid w:val="00DE4D44"/>
    <w:rsid w:val="00DE4FBF"/>
    <w:rsid w:val="00DE56DB"/>
    <w:rsid w:val="00DE5710"/>
    <w:rsid w:val="00DE5E29"/>
    <w:rsid w:val="00DE6303"/>
    <w:rsid w:val="00DE63FC"/>
    <w:rsid w:val="00DE65EC"/>
    <w:rsid w:val="00DE7A16"/>
    <w:rsid w:val="00DE7CBD"/>
    <w:rsid w:val="00DE7CE7"/>
    <w:rsid w:val="00DF0107"/>
    <w:rsid w:val="00DF0587"/>
    <w:rsid w:val="00DF06D2"/>
    <w:rsid w:val="00DF0840"/>
    <w:rsid w:val="00DF091B"/>
    <w:rsid w:val="00DF0CC5"/>
    <w:rsid w:val="00DF0E28"/>
    <w:rsid w:val="00DF1192"/>
    <w:rsid w:val="00DF188A"/>
    <w:rsid w:val="00DF203E"/>
    <w:rsid w:val="00DF216D"/>
    <w:rsid w:val="00DF25A4"/>
    <w:rsid w:val="00DF27FA"/>
    <w:rsid w:val="00DF296A"/>
    <w:rsid w:val="00DF2ABB"/>
    <w:rsid w:val="00DF2E7B"/>
    <w:rsid w:val="00DF320D"/>
    <w:rsid w:val="00DF335E"/>
    <w:rsid w:val="00DF3383"/>
    <w:rsid w:val="00DF363C"/>
    <w:rsid w:val="00DF3C81"/>
    <w:rsid w:val="00DF3E9F"/>
    <w:rsid w:val="00DF537C"/>
    <w:rsid w:val="00DF543E"/>
    <w:rsid w:val="00DF5B90"/>
    <w:rsid w:val="00DF5DAC"/>
    <w:rsid w:val="00DF6085"/>
    <w:rsid w:val="00DF6436"/>
    <w:rsid w:val="00DF6665"/>
    <w:rsid w:val="00DF6A6C"/>
    <w:rsid w:val="00DF6EAC"/>
    <w:rsid w:val="00DF6EEE"/>
    <w:rsid w:val="00DF6F75"/>
    <w:rsid w:val="00DF7069"/>
    <w:rsid w:val="00DF7154"/>
    <w:rsid w:val="00E00120"/>
    <w:rsid w:val="00E01910"/>
    <w:rsid w:val="00E021C3"/>
    <w:rsid w:val="00E022FF"/>
    <w:rsid w:val="00E0257A"/>
    <w:rsid w:val="00E025C4"/>
    <w:rsid w:val="00E02717"/>
    <w:rsid w:val="00E027B6"/>
    <w:rsid w:val="00E02987"/>
    <w:rsid w:val="00E02BFE"/>
    <w:rsid w:val="00E0336C"/>
    <w:rsid w:val="00E03753"/>
    <w:rsid w:val="00E03AE8"/>
    <w:rsid w:val="00E03EE3"/>
    <w:rsid w:val="00E03F88"/>
    <w:rsid w:val="00E043BC"/>
    <w:rsid w:val="00E04450"/>
    <w:rsid w:val="00E04CB9"/>
    <w:rsid w:val="00E04FCC"/>
    <w:rsid w:val="00E05075"/>
    <w:rsid w:val="00E05928"/>
    <w:rsid w:val="00E05B0F"/>
    <w:rsid w:val="00E05D25"/>
    <w:rsid w:val="00E06A50"/>
    <w:rsid w:val="00E06A85"/>
    <w:rsid w:val="00E06D4C"/>
    <w:rsid w:val="00E06E4A"/>
    <w:rsid w:val="00E06EAE"/>
    <w:rsid w:val="00E07516"/>
    <w:rsid w:val="00E079DB"/>
    <w:rsid w:val="00E07BBB"/>
    <w:rsid w:val="00E07EAF"/>
    <w:rsid w:val="00E102D6"/>
    <w:rsid w:val="00E103D9"/>
    <w:rsid w:val="00E10BB0"/>
    <w:rsid w:val="00E10F53"/>
    <w:rsid w:val="00E10FAA"/>
    <w:rsid w:val="00E1130A"/>
    <w:rsid w:val="00E11602"/>
    <w:rsid w:val="00E116F1"/>
    <w:rsid w:val="00E11793"/>
    <w:rsid w:val="00E11CD5"/>
    <w:rsid w:val="00E11ED9"/>
    <w:rsid w:val="00E127B6"/>
    <w:rsid w:val="00E12839"/>
    <w:rsid w:val="00E12AB9"/>
    <w:rsid w:val="00E12E02"/>
    <w:rsid w:val="00E12E97"/>
    <w:rsid w:val="00E13047"/>
    <w:rsid w:val="00E13A87"/>
    <w:rsid w:val="00E13C15"/>
    <w:rsid w:val="00E13ED4"/>
    <w:rsid w:val="00E14027"/>
    <w:rsid w:val="00E1444E"/>
    <w:rsid w:val="00E14982"/>
    <w:rsid w:val="00E157F4"/>
    <w:rsid w:val="00E15C8C"/>
    <w:rsid w:val="00E15F06"/>
    <w:rsid w:val="00E15FD2"/>
    <w:rsid w:val="00E16146"/>
    <w:rsid w:val="00E16279"/>
    <w:rsid w:val="00E16383"/>
    <w:rsid w:val="00E1653B"/>
    <w:rsid w:val="00E16723"/>
    <w:rsid w:val="00E169B2"/>
    <w:rsid w:val="00E16BDB"/>
    <w:rsid w:val="00E16C62"/>
    <w:rsid w:val="00E16CFF"/>
    <w:rsid w:val="00E17042"/>
    <w:rsid w:val="00E17046"/>
    <w:rsid w:val="00E174C6"/>
    <w:rsid w:val="00E17509"/>
    <w:rsid w:val="00E1768C"/>
    <w:rsid w:val="00E179CE"/>
    <w:rsid w:val="00E17A7C"/>
    <w:rsid w:val="00E2012D"/>
    <w:rsid w:val="00E21451"/>
    <w:rsid w:val="00E218CF"/>
    <w:rsid w:val="00E21B24"/>
    <w:rsid w:val="00E21DC1"/>
    <w:rsid w:val="00E224BE"/>
    <w:rsid w:val="00E224C0"/>
    <w:rsid w:val="00E22A95"/>
    <w:rsid w:val="00E23000"/>
    <w:rsid w:val="00E231B6"/>
    <w:rsid w:val="00E23361"/>
    <w:rsid w:val="00E23592"/>
    <w:rsid w:val="00E23783"/>
    <w:rsid w:val="00E23870"/>
    <w:rsid w:val="00E23983"/>
    <w:rsid w:val="00E23D42"/>
    <w:rsid w:val="00E24073"/>
    <w:rsid w:val="00E2423E"/>
    <w:rsid w:val="00E243A9"/>
    <w:rsid w:val="00E24484"/>
    <w:rsid w:val="00E2459E"/>
    <w:rsid w:val="00E24791"/>
    <w:rsid w:val="00E248B1"/>
    <w:rsid w:val="00E24DB2"/>
    <w:rsid w:val="00E2551B"/>
    <w:rsid w:val="00E25524"/>
    <w:rsid w:val="00E25546"/>
    <w:rsid w:val="00E25854"/>
    <w:rsid w:val="00E25C36"/>
    <w:rsid w:val="00E265EA"/>
    <w:rsid w:val="00E26D85"/>
    <w:rsid w:val="00E27157"/>
    <w:rsid w:val="00E27B25"/>
    <w:rsid w:val="00E27C59"/>
    <w:rsid w:val="00E27C79"/>
    <w:rsid w:val="00E27C9D"/>
    <w:rsid w:val="00E30430"/>
    <w:rsid w:val="00E30CE3"/>
    <w:rsid w:val="00E30DDB"/>
    <w:rsid w:val="00E310F4"/>
    <w:rsid w:val="00E3156B"/>
    <w:rsid w:val="00E31F67"/>
    <w:rsid w:val="00E32238"/>
    <w:rsid w:val="00E322B4"/>
    <w:rsid w:val="00E324CF"/>
    <w:rsid w:val="00E32565"/>
    <w:rsid w:val="00E3263A"/>
    <w:rsid w:val="00E329E0"/>
    <w:rsid w:val="00E32B8D"/>
    <w:rsid w:val="00E32C00"/>
    <w:rsid w:val="00E32C14"/>
    <w:rsid w:val="00E32F92"/>
    <w:rsid w:val="00E33244"/>
    <w:rsid w:val="00E3329B"/>
    <w:rsid w:val="00E3338C"/>
    <w:rsid w:val="00E33A35"/>
    <w:rsid w:val="00E33C81"/>
    <w:rsid w:val="00E33E87"/>
    <w:rsid w:val="00E33F36"/>
    <w:rsid w:val="00E342EB"/>
    <w:rsid w:val="00E3456C"/>
    <w:rsid w:val="00E34625"/>
    <w:rsid w:val="00E34657"/>
    <w:rsid w:val="00E34A81"/>
    <w:rsid w:val="00E34A85"/>
    <w:rsid w:val="00E34C21"/>
    <w:rsid w:val="00E34F4A"/>
    <w:rsid w:val="00E35024"/>
    <w:rsid w:val="00E350FB"/>
    <w:rsid w:val="00E35134"/>
    <w:rsid w:val="00E35C68"/>
    <w:rsid w:val="00E36024"/>
    <w:rsid w:val="00E3604C"/>
    <w:rsid w:val="00E36212"/>
    <w:rsid w:val="00E36C74"/>
    <w:rsid w:val="00E400EB"/>
    <w:rsid w:val="00E400F1"/>
    <w:rsid w:val="00E4015F"/>
    <w:rsid w:val="00E40672"/>
    <w:rsid w:val="00E4103A"/>
    <w:rsid w:val="00E4155B"/>
    <w:rsid w:val="00E41953"/>
    <w:rsid w:val="00E41D89"/>
    <w:rsid w:val="00E4206C"/>
    <w:rsid w:val="00E422E8"/>
    <w:rsid w:val="00E42646"/>
    <w:rsid w:val="00E426E1"/>
    <w:rsid w:val="00E42708"/>
    <w:rsid w:val="00E4272C"/>
    <w:rsid w:val="00E42733"/>
    <w:rsid w:val="00E427A8"/>
    <w:rsid w:val="00E42EB4"/>
    <w:rsid w:val="00E42EBD"/>
    <w:rsid w:val="00E42EDC"/>
    <w:rsid w:val="00E438E2"/>
    <w:rsid w:val="00E43E75"/>
    <w:rsid w:val="00E444C8"/>
    <w:rsid w:val="00E44503"/>
    <w:rsid w:val="00E448D7"/>
    <w:rsid w:val="00E44D5F"/>
    <w:rsid w:val="00E44ECE"/>
    <w:rsid w:val="00E45292"/>
    <w:rsid w:val="00E454B1"/>
    <w:rsid w:val="00E45932"/>
    <w:rsid w:val="00E45B4B"/>
    <w:rsid w:val="00E45C27"/>
    <w:rsid w:val="00E45F55"/>
    <w:rsid w:val="00E4689A"/>
    <w:rsid w:val="00E46D89"/>
    <w:rsid w:val="00E47124"/>
    <w:rsid w:val="00E4750E"/>
    <w:rsid w:val="00E475CF"/>
    <w:rsid w:val="00E4797D"/>
    <w:rsid w:val="00E47E94"/>
    <w:rsid w:val="00E502A9"/>
    <w:rsid w:val="00E506F1"/>
    <w:rsid w:val="00E50836"/>
    <w:rsid w:val="00E50B2A"/>
    <w:rsid w:val="00E50DD0"/>
    <w:rsid w:val="00E510E4"/>
    <w:rsid w:val="00E51698"/>
    <w:rsid w:val="00E51846"/>
    <w:rsid w:val="00E51C0C"/>
    <w:rsid w:val="00E5247F"/>
    <w:rsid w:val="00E52B84"/>
    <w:rsid w:val="00E52D12"/>
    <w:rsid w:val="00E53747"/>
    <w:rsid w:val="00E539DF"/>
    <w:rsid w:val="00E53D67"/>
    <w:rsid w:val="00E53E46"/>
    <w:rsid w:val="00E5441F"/>
    <w:rsid w:val="00E55389"/>
    <w:rsid w:val="00E55519"/>
    <w:rsid w:val="00E55A08"/>
    <w:rsid w:val="00E55C2D"/>
    <w:rsid w:val="00E55FC1"/>
    <w:rsid w:val="00E564E5"/>
    <w:rsid w:val="00E57092"/>
    <w:rsid w:val="00E57339"/>
    <w:rsid w:val="00E57BFF"/>
    <w:rsid w:val="00E57C16"/>
    <w:rsid w:val="00E57C4A"/>
    <w:rsid w:val="00E60472"/>
    <w:rsid w:val="00E608CE"/>
    <w:rsid w:val="00E60ED6"/>
    <w:rsid w:val="00E60F86"/>
    <w:rsid w:val="00E6130F"/>
    <w:rsid w:val="00E6161E"/>
    <w:rsid w:val="00E61738"/>
    <w:rsid w:val="00E619F8"/>
    <w:rsid w:val="00E627B0"/>
    <w:rsid w:val="00E62D65"/>
    <w:rsid w:val="00E630F1"/>
    <w:rsid w:val="00E63924"/>
    <w:rsid w:val="00E63A2A"/>
    <w:rsid w:val="00E63BE3"/>
    <w:rsid w:val="00E63ED7"/>
    <w:rsid w:val="00E63F95"/>
    <w:rsid w:val="00E641D5"/>
    <w:rsid w:val="00E642D0"/>
    <w:rsid w:val="00E643C0"/>
    <w:rsid w:val="00E6465F"/>
    <w:rsid w:val="00E64AFD"/>
    <w:rsid w:val="00E6501E"/>
    <w:rsid w:val="00E6526F"/>
    <w:rsid w:val="00E652BF"/>
    <w:rsid w:val="00E65495"/>
    <w:rsid w:val="00E655B8"/>
    <w:rsid w:val="00E658E9"/>
    <w:rsid w:val="00E65965"/>
    <w:rsid w:val="00E65ACB"/>
    <w:rsid w:val="00E6617F"/>
    <w:rsid w:val="00E66C75"/>
    <w:rsid w:val="00E674A0"/>
    <w:rsid w:val="00E67AED"/>
    <w:rsid w:val="00E67D04"/>
    <w:rsid w:val="00E70177"/>
    <w:rsid w:val="00E70581"/>
    <w:rsid w:val="00E70885"/>
    <w:rsid w:val="00E70E45"/>
    <w:rsid w:val="00E70F8F"/>
    <w:rsid w:val="00E71205"/>
    <w:rsid w:val="00E719C6"/>
    <w:rsid w:val="00E71B32"/>
    <w:rsid w:val="00E71CD4"/>
    <w:rsid w:val="00E71E42"/>
    <w:rsid w:val="00E71E4F"/>
    <w:rsid w:val="00E71EDD"/>
    <w:rsid w:val="00E71FD3"/>
    <w:rsid w:val="00E7233E"/>
    <w:rsid w:val="00E72561"/>
    <w:rsid w:val="00E72D6F"/>
    <w:rsid w:val="00E733AB"/>
    <w:rsid w:val="00E73AF1"/>
    <w:rsid w:val="00E73F9B"/>
    <w:rsid w:val="00E74698"/>
    <w:rsid w:val="00E747F5"/>
    <w:rsid w:val="00E74A11"/>
    <w:rsid w:val="00E74C39"/>
    <w:rsid w:val="00E74F38"/>
    <w:rsid w:val="00E75446"/>
    <w:rsid w:val="00E7568E"/>
    <w:rsid w:val="00E75692"/>
    <w:rsid w:val="00E75714"/>
    <w:rsid w:val="00E758F7"/>
    <w:rsid w:val="00E75BDC"/>
    <w:rsid w:val="00E769BE"/>
    <w:rsid w:val="00E76E63"/>
    <w:rsid w:val="00E76EBE"/>
    <w:rsid w:val="00E76FF2"/>
    <w:rsid w:val="00E772E5"/>
    <w:rsid w:val="00E773BB"/>
    <w:rsid w:val="00E7760E"/>
    <w:rsid w:val="00E777B7"/>
    <w:rsid w:val="00E77861"/>
    <w:rsid w:val="00E77CF8"/>
    <w:rsid w:val="00E8048C"/>
    <w:rsid w:val="00E81012"/>
    <w:rsid w:val="00E81371"/>
    <w:rsid w:val="00E8143E"/>
    <w:rsid w:val="00E8166B"/>
    <w:rsid w:val="00E81928"/>
    <w:rsid w:val="00E832C4"/>
    <w:rsid w:val="00E83B50"/>
    <w:rsid w:val="00E83BFA"/>
    <w:rsid w:val="00E83E76"/>
    <w:rsid w:val="00E841AD"/>
    <w:rsid w:val="00E84B7B"/>
    <w:rsid w:val="00E84E17"/>
    <w:rsid w:val="00E85531"/>
    <w:rsid w:val="00E855C1"/>
    <w:rsid w:val="00E858E2"/>
    <w:rsid w:val="00E85CE4"/>
    <w:rsid w:val="00E867FC"/>
    <w:rsid w:val="00E86B1A"/>
    <w:rsid w:val="00E86CF2"/>
    <w:rsid w:val="00E87AA9"/>
    <w:rsid w:val="00E87DD1"/>
    <w:rsid w:val="00E90045"/>
    <w:rsid w:val="00E901B7"/>
    <w:rsid w:val="00E901E5"/>
    <w:rsid w:val="00E901F8"/>
    <w:rsid w:val="00E90384"/>
    <w:rsid w:val="00E90BAF"/>
    <w:rsid w:val="00E91359"/>
    <w:rsid w:val="00E917D9"/>
    <w:rsid w:val="00E917F8"/>
    <w:rsid w:val="00E92143"/>
    <w:rsid w:val="00E9285D"/>
    <w:rsid w:val="00E92A45"/>
    <w:rsid w:val="00E9301A"/>
    <w:rsid w:val="00E931DB"/>
    <w:rsid w:val="00E93357"/>
    <w:rsid w:val="00E936EF"/>
    <w:rsid w:val="00E93D07"/>
    <w:rsid w:val="00E93F9E"/>
    <w:rsid w:val="00E94268"/>
    <w:rsid w:val="00E94540"/>
    <w:rsid w:val="00E94587"/>
    <w:rsid w:val="00E948F0"/>
    <w:rsid w:val="00E94CB6"/>
    <w:rsid w:val="00E9522C"/>
    <w:rsid w:val="00E952FD"/>
    <w:rsid w:val="00E957F9"/>
    <w:rsid w:val="00E95BED"/>
    <w:rsid w:val="00E95D45"/>
    <w:rsid w:val="00E95E66"/>
    <w:rsid w:val="00E960EA"/>
    <w:rsid w:val="00E96558"/>
    <w:rsid w:val="00E9660E"/>
    <w:rsid w:val="00E969CF"/>
    <w:rsid w:val="00E96BAD"/>
    <w:rsid w:val="00E96E82"/>
    <w:rsid w:val="00E97964"/>
    <w:rsid w:val="00E9F1E8"/>
    <w:rsid w:val="00EA02A5"/>
    <w:rsid w:val="00EA03EB"/>
    <w:rsid w:val="00EA058B"/>
    <w:rsid w:val="00EA06DD"/>
    <w:rsid w:val="00EA086D"/>
    <w:rsid w:val="00EA092A"/>
    <w:rsid w:val="00EA106B"/>
    <w:rsid w:val="00EA1459"/>
    <w:rsid w:val="00EA15FB"/>
    <w:rsid w:val="00EA17CD"/>
    <w:rsid w:val="00EA1BA4"/>
    <w:rsid w:val="00EA1C81"/>
    <w:rsid w:val="00EA1FD5"/>
    <w:rsid w:val="00EA2050"/>
    <w:rsid w:val="00EA250E"/>
    <w:rsid w:val="00EA25FD"/>
    <w:rsid w:val="00EA282E"/>
    <w:rsid w:val="00EA2E0C"/>
    <w:rsid w:val="00EA2E17"/>
    <w:rsid w:val="00EA34E0"/>
    <w:rsid w:val="00EA364D"/>
    <w:rsid w:val="00EA37B1"/>
    <w:rsid w:val="00EA3D6A"/>
    <w:rsid w:val="00EA3DBD"/>
    <w:rsid w:val="00EA3F83"/>
    <w:rsid w:val="00EA403D"/>
    <w:rsid w:val="00EA45F2"/>
    <w:rsid w:val="00EA4954"/>
    <w:rsid w:val="00EA5127"/>
    <w:rsid w:val="00EA52B9"/>
    <w:rsid w:val="00EA55E1"/>
    <w:rsid w:val="00EA5969"/>
    <w:rsid w:val="00EA5D6D"/>
    <w:rsid w:val="00EA612C"/>
    <w:rsid w:val="00EA6186"/>
    <w:rsid w:val="00EA62B5"/>
    <w:rsid w:val="00EA636C"/>
    <w:rsid w:val="00EA65D8"/>
    <w:rsid w:val="00EA66D6"/>
    <w:rsid w:val="00EA680B"/>
    <w:rsid w:val="00EA7140"/>
    <w:rsid w:val="00EA728B"/>
    <w:rsid w:val="00EA756C"/>
    <w:rsid w:val="00EA77A0"/>
    <w:rsid w:val="00EA7890"/>
    <w:rsid w:val="00EA7BEA"/>
    <w:rsid w:val="00EA7ED8"/>
    <w:rsid w:val="00EB000D"/>
    <w:rsid w:val="00EB0149"/>
    <w:rsid w:val="00EB02ED"/>
    <w:rsid w:val="00EB0CF3"/>
    <w:rsid w:val="00EB0D3B"/>
    <w:rsid w:val="00EB0F42"/>
    <w:rsid w:val="00EB11B7"/>
    <w:rsid w:val="00EB1291"/>
    <w:rsid w:val="00EB17DB"/>
    <w:rsid w:val="00EB2059"/>
    <w:rsid w:val="00EB2157"/>
    <w:rsid w:val="00EB2434"/>
    <w:rsid w:val="00EB2B35"/>
    <w:rsid w:val="00EB2C92"/>
    <w:rsid w:val="00EB3953"/>
    <w:rsid w:val="00EB4326"/>
    <w:rsid w:val="00EB43C0"/>
    <w:rsid w:val="00EB4599"/>
    <w:rsid w:val="00EB4E4E"/>
    <w:rsid w:val="00EB5460"/>
    <w:rsid w:val="00EB5969"/>
    <w:rsid w:val="00EB5B45"/>
    <w:rsid w:val="00EB6009"/>
    <w:rsid w:val="00EB631E"/>
    <w:rsid w:val="00EB63A5"/>
    <w:rsid w:val="00EB6566"/>
    <w:rsid w:val="00EB6648"/>
    <w:rsid w:val="00EB66DA"/>
    <w:rsid w:val="00EB6AC7"/>
    <w:rsid w:val="00EB6C1C"/>
    <w:rsid w:val="00EB6C49"/>
    <w:rsid w:val="00EB6D09"/>
    <w:rsid w:val="00EB6E2F"/>
    <w:rsid w:val="00EB7A6D"/>
    <w:rsid w:val="00EC025F"/>
    <w:rsid w:val="00EC0672"/>
    <w:rsid w:val="00EC0679"/>
    <w:rsid w:val="00EC0FA1"/>
    <w:rsid w:val="00EC16CF"/>
    <w:rsid w:val="00EC1B8C"/>
    <w:rsid w:val="00EC1E19"/>
    <w:rsid w:val="00EC1E27"/>
    <w:rsid w:val="00EC214F"/>
    <w:rsid w:val="00EC2CD2"/>
    <w:rsid w:val="00EC2E7D"/>
    <w:rsid w:val="00EC310B"/>
    <w:rsid w:val="00EC321F"/>
    <w:rsid w:val="00EC3303"/>
    <w:rsid w:val="00EC3742"/>
    <w:rsid w:val="00EC3B85"/>
    <w:rsid w:val="00EC3F5E"/>
    <w:rsid w:val="00EC402F"/>
    <w:rsid w:val="00EC4271"/>
    <w:rsid w:val="00EC4D16"/>
    <w:rsid w:val="00EC4EA9"/>
    <w:rsid w:val="00EC4F5C"/>
    <w:rsid w:val="00EC52FB"/>
    <w:rsid w:val="00EC58C7"/>
    <w:rsid w:val="00EC5C03"/>
    <w:rsid w:val="00EC5DCB"/>
    <w:rsid w:val="00EC600C"/>
    <w:rsid w:val="00EC654A"/>
    <w:rsid w:val="00EC6580"/>
    <w:rsid w:val="00EC6BBC"/>
    <w:rsid w:val="00EC6C4F"/>
    <w:rsid w:val="00EC6EF4"/>
    <w:rsid w:val="00EC71EF"/>
    <w:rsid w:val="00EC73ED"/>
    <w:rsid w:val="00EC7653"/>
    <w:rsid w:val="00EC78CF"/>
    <w:rsid w:val="00EC7B89"/>
    <w:rsid w:val="00EC7BBE"/>
    <w:rsid w:val="00EC7E3F"/>
    <w:rsid w:val="00EC7EFB"/>
    <w:rsid w:val="00ED0DAB"/>
    <w:rsid w:val="00ED0FD0"/>
    <w:rsid w:val="00ED18C4"/>
    <w:rsid w:val="00ED18EF"/>
    <w:rsid w:val="00ED1AB4"/>
    <w:rsid w:val="00ED1E8C"/>
    <w:rsid w:val="00ED2950"/>
    <w:rsid w:val="00ED2BC7"/>
    <w:rsid w:val="00ED2D92"/>
    <w:rsid w:val="00ED2E50"/>
    <w:rsid w:val="00ED2E63"/>
    <w:rsid w:val="00ED2F17"/>
    <w:rsid w:val="00ED3408"/>
    <w:rsid w:val="00ED371D"/>
    <w:rsid w:val="00ED3837"/>
    <w:rsid w:val="00ED3C4F"/>
    <w:rsid w:val="00ED4018"/>
    <w:rsid w:val="00ED416D"/>
    <w:rsid w:val="00ED4B45"/>
    <w:rsid w:val="00ED4D46"/>
    <w:rsid w:val="00ED50E2"/>
    <w:rsid w:val="00ED6094"/>
    <w:rsid w:val="00ED69FB"/>
    <w:rsid w:val="00ED719C"/>
    <w:rsid w:val="00ED71C6"/>
    <w:rsid w:val="00ED7A61"/>
    <w:rsid w:val="00EE03E6"/>
    <w:rsid w:val="00EE056B"/>
    <w:rsid w:val="00EE0871"/>
    <w:rsid w:val="00EE0A42"/>
    <w:rsid w:val="00EE0E27"/>
    <w:rsid w:val="00EE11AD"/>
    <w:rsid w:val="00EE1525"/>
    <w:rsid w:val="00EE166D"/>
    <w:rsid w:val="00EE1A2C"/>
    <w:rsid w:val="00EE2137"/>
    <w:rsid w:val="00EE2950"/>
    <w:rsid w:val="00EE29BA"/>
    <w:rsid w:val="00EE2A07"/>
    <w:rsid w:val="00EE3130"/>
    <w:rsid w:val="00EE3214"/>
    <w:rsid w:val="00EE34EC"/>
    <w:rsid w:val="00EE3546"/>
    <w:rsid w:val="00EE3588"/>
    <w:rsid w:val="00EE3BB9"/>
    <w:rsid w:val="00EE3C56"/>
    <w:rsid w:val="00EE43C9"/>
    <w:rsid w:val="00EE44BF"/>
    <w:rsid w:val="00EE479E"/>
    <w:rsid w:val="00EE487D"/>
    <w:rsid w:val="00EE4C66"/>
    <w:rsid w:val="00EE51D3"/>
    <w:rsid w:val="00EE5320"/>
    <w:rsid w:val="00EE54B9"/>
    <w:rsid w:val="00EE5534"/>
    <w:rsid w:val="00EE5645"/>
    <w:rsid w:val="00EE56E9"/>
    <w:rsid w:val="00EE576A"/>
    <w:rsid w:val="00EE5DEA"/>
    <w:rsid w:val="00EE5E6B"/>
    <w:rsid w:val="00EE6467"/>
    <w:rsid w:val="00EE6499"/>
    <w:rsid w:val="00EE65AD"/>
    <w:rsid w:val="00EE6CE9"/>
    <w:rsid w:val="00EE6D6D"/>
    <w:rsid w:val="00EE78AC"/>
    <w:rsid w:val="00EE7C30"/>
    <w:rsid w:val="00EF00F4"/>
    <w:rsid w:val="00EF0212"/>
    <w:rsid w:val="00EF0D96"/>
    <w:rsid w:val="00EF1433"/>
    <w:rsid w:val="00EF1A94"/>
    <w:rsid w:val="00EF1AB0"/>
    <w:rsid w:val="00EF2171"/>
    <w:rsid w:val="00EF2CAB"/>
    <w:rsid w:val="00EF2FA6"/>
    <w:rsid w:val="00EF423A"/>
    <w:rsid w:val="00EF45D1"/>
    <w:rsid w:val="00EF499B"/>
    <w:rsid w:val="00EF4AAD"/>
    <w:rsid w:val="00EF4B2C"/>
    <w:rsid w:val="00EF4FD9"/>
    <w:rsid w:val="00EF5090"/>
    <w:rsid w:val="00EF50FD"/>
    <w:rsid w:val="00EF5189"/>
    <w:rsid w:val="00EF5410"/>
    <w:rsid w:val="00EF5438"/>
    <w:rsid w:val="00EF5540"/>
    <w:rsid w:val="00EF57F2"/>
    <w:rsid w:val="00EF5AB6"/>
    <w:rsid w:val="00EF5D0C"/>
    <w:rsid w:val="00EF5E39"/>
    <w:rsid w:val="00EF6C6E"/>
    <w:rsid w:val="00EF7067"/>
    <w:rsid w:val="00EF7285"/>
    <w:rsid w:val="00EF72EC"/>
    <w:rsid w:val="00EF74C5"/>
    <w:rsid w:val="00EF79F5"/>
    <w:rsid w:val="00EF7ECA"/>
    <w:rsid w:val="00F0036C"/>
    <w:rsid w:val="00F006D4"/>
    <w:rsid w:val="00F0094F"/>
    <w:rsid w:val="00F00A9D"/>
    <w:rsid w:val="00F01ED1"/>
    <w:rsid w:val="00F023FC"/>
    <w:rsid w:val="00F02818"/>
    <w:rsid w:val="00F02B50"/>
    <w:rsid w:val="00F02F40"/>
    <w:rsid w:val="00F034D0"/>
    <w:rsid w:val="00F035AA"/>
    <w:rsid w:val="00F03B7A"/>
    <w:rsid w:val="00F03C1A"/>
    <w:rsid w:val="00F0434A"/>
    <w:rsid w:val="00F044ED"/>
    <w:rsid w:val="00F04FD8"/>
    <w:rsid w:val="00F0592F"/>
    <w:rsid w:val="00F05A65"/>
    <w:rsid w:val="00F05AD9"/>
    <w:rsid w:val="00F05CE4"/>
    <w:rsid w:val="00F0625C"/>
    <w:rsid w:val="00F064C3"/>
    <w:rsid w:val="00F06811"/>
    <w:rsid w:val="00F06DD5"/>
    <w:rsid w:val="00F06F04"/>
    <w:rsid w:val="00F078BC"/>
    <w:rsid w:val="00F0794E"/>
    <w:rsid w:val="00F07AB0"/>
    <w:rsid w:val="00F07F39"/>
    <w:rsid w:val="00F100C3"/>
    <w:rsid w:val="00F10C4F"/>
    <w:rsid w:val="00F10D96"/>
    <w:rsid w:val="00F113E2"/>
    <w:rsid w:val="00F116E7"/>
    <w:rsid w:val="00F11827"/>
    <w:rsid w:val="00F11B57"/>
    <w:rsid w:val="00F11E29"/>
    <w:rsid w:val="00F12013"/>
    <w:rsid w:val="00F12B88"/>
    <w:rsid w:val="00F12E63"/>
    <w:rsid w:val="00F13727"/>
    <w:rsid w:val="00F13770"/>
    <w:rsid w:val="00F14606"/>
    <w:rsid w:val="00F1466B"/>
    <w:rsid w:val="00F149F0"/>
    <w:rsid w:val="00F14B09"/>
    <w:rsid w:val="00F14BCE"/>
    <w:rsid w:val="00F14E96"/>
    <w:rsid w:val="00F15365"/>
    <w:rsid w:val="00F15E4A"/>
    <w:rsid w:val="00F15E4C"/>
    <w:rsid w:val="00F15FF3"/>
    <w:rsid w:val="00F160BB"/>
    <w:rsid w:val="00F162D5"/>
    <w:rsid w:val="00F166DF"/>
    <w:rsid w:val="00F166F0"/>
    <w:rsid w:val="00F16732"/>
    <w:rsid w:val="00F16C50"/>
    <w:rsid w:val="00F16E4D"/>
    <w:rsid w:val="00F17030"/>
    <w:rsid w:val="00F17629"/>
    <w:rsid w:val="00F17801"/>
    <w:rsid w:val="00F203B5"/>
    <w:rsid w:val="00F20739"/>
    <w:rsid w:val="00F2093E"/>
    <w:rsid w:val="00F20DA6"/>
    <w:rsid w:val="00F21064"/>
    <w:rsid w:val="00F2131B"/>
    <w:rsid w:val="00F21329"/>
    <w:rsid w:val="00F2166F"/>
    <w:rsid w:val="00F21C7B"/>
    <w:rsid w:val="00F21DC1"/>
    <w:rsid w:val="00F22128"/>
    <w:rsid w:val="00F2227E"/>
    <w:rsid w:val="00F22371"/>
    <w:rsid w:val="00F22531"/>
    <w:rsid w:val="00F2296D"/>
    <w:rsid w:val="00F23005"/>
    <w:rsid w:val="00F23703"/>
    <w:rsid w:val="00F23760"/>
    <w:rsid w:val="00F23965"/>
    <w:rsid w:val="00F239EC"/>
    <w:rsid w:val="00F23AAE"/>
    <w:rsid w:val="00F23B4B"/>
    <w:rsid w:val="00F23BD9"/>
    <w:rsid w:val="00F23CEC"/>
    <w:rsid w:val="00F24015"/>
    <w:rsid w:val="00F2421C"/>
    <w:rsid w:val="00F244C2"/>
    <w:rsid w:val="00F2471E"/>
    <w:rsid w:val="00F24F1F"/>
    <w:rsid w:val="00F250F5"/>
    <w:rsid w:val="00F25219"/>
    <w:rsid w:val="00F25307"/>
    <w:rsid w:val="00F25571"/>
    <w:rsid w:val="00F263D9"/>
    <w:rsid w:val="00F27368"/>
    <w:rsid w:val="00F275F5"/>
    <w:rsid w:val="00F27DAC"/>
    <w:rsid w:val="00F27EBC"/>
    <w:rsid w:val="00F30ECC"/>
    <w:rsid w:val="00F31430"/>
    <w:rsid w:val="00F315FD"/>
    <w:rsid w:val="00F31660"/>
    <w:rsid w:val="00F3173F"/>
    <w:rsid w:val="00F321A6"/>
    <w:rsid w:val="00F3269D"/>
    <w:rsid w:val="00F326F3"/>
    <w:rsid w:val="00F33A56"/>
    <w:rsid w:val="00F33B5B"/>
    <w:rsid w:val="00F33C1A"/>
    <w:rsid w:val="00F33C30"/>
    <w:rsid w:val="00F33CFD"/>
    <w:rsid w:val="00F342AB"/>
    <w:rsid w:val="00F343E2"/>
    <w:rsid w:val="00F34A56"/>
    <w:rsid w:val="00F34AE8"/>
    <w:rsid w:val="00F34C9F"/>
    <w:rsid w:val="00F34F58"/>
    <w:rsid w:val="00F3527F"/>
    <w:rsid w:val="00F359FC"/>
    <w:rsid w:val="00F360A6"/>
    <w:rsid w:val="00F3627A"/>
    <w:rsid w:val="00F36527"/>
    <w:rsid w:val="00F3671A"/>
    <w:rsid w:val="00F36E0D"/>
    <w:rsid w:val="00F36ECB"/>
    <w:rsid w:val="00F37083"/>
    <w:rsid w:val="00F3714D"/>
    <w:rsid w:val="00F37449"/>
    <w:rsid w:val="00F3793A"/>
    <w:rsid w:val="00F379AA"/>
    <w:rsid w:val="00F37CCB"/>
    <w:rsid w:val="00F37D7F"/>
    <w:rsid w:val="00F37FB9"/>
    <w:rsid w:val="00F4012F"/>
    <w:rsid w:val="00F402DF"/>
    <w:rsid w:val="00F40586"/>
    <w:rsid w:val="00F408D5"/>
    <w:rsid w:val="00F40E6D"/>
    <w:rsid w:val="00F40F3E"/>
    <w:rsid w:val="00F40F9D"/>
    <w:rsid w:val="00F415E1"/>
    <w:rsid w:val="00F41AD1"/>
    <w:rsid w:val="00F41CA1"/>
    <w:rsid w:val="00F4220C"/>
    <w:rsid w:val="00F42495"/>
    <w:rsid w:val="00F424F0"/>
    <w:rsid w:val="00F42709"/>
    <w:rsid w:val="00F429D2"/>
    <w:rsid w:val="00F42D05"/>
    <w:rsid w:val="00F42D87"/>
    <w:rsid w:val="00F42E0C"/>
    <w:rsid w:val="00F42EC1"/>
    <w:rsid w:val="00F43481"/>
    <w:rsid w:val="00F43679"/>
    <w:rsid w:val="00F4398C"/>
    <w:rsid w:val="00F43EE2"/>
    <w:rsid w:val="00F441DB"/>
    <w:rsid w:val="00F44564"/>
    <w:rsid w:val="00F4459B"/>
    <w:rsid w:val="00F447AA"/>
    <w:rsid w:val="00F44F31"/>
    <w:rsid w:val="00F4511C"/>
    <w:rsid w:val="00F45AA9"/>
    <w:rsid w:val="00F45F11"/>
    <w:rsid w:val="00F45FB9"/>
    <w:rsid w:val="00F46258"/>
    <w:rsid w:val="00F46361"/>
    <w:rsid w:val="00F4660B"/>
    <w:rsid w:val="00F466CA"/>
    <w:rsid w:val="00F46858"/>
    <w:rsid w:val="00F46879"/>
    <w:rsid w:val="00F46F8B"/>
    <w:rsid w:val="00F475B4"/>
    <w:rsid w:val="00F47AA9"/>
    <w:rsid w:val="00F47B05"/>
    <w:rsid w:val="00F47F42"/>
    <w:rsid w:val="00F47F8C"/>
    <w:rsid w:val="00F504F4"/>
    <w:rsid w:val="00F5072D"/>
    <w:rsid w:val="00F50E34"/>
    <w:rsid w:val="00F51185"/>
    <w:rsid w:val="00F5180F"/>
    <w:rsid w:val="00F51D41"/>
    <w:rsid w:val="00F51EE0"/>
    <w:rsid w:val="00F5234B"/>
    <w:rsid w:val="00F5293A"/>
    <w:rsid w:val="00F5296B"/>
    <w:rsid w:val="00F52BA9"/>
    <w:rsid w:val="00F52CF2"/>
    <w:rsid w:val="00F5303E"/>
    <w:rsid w:val="00F54414"/>
    <w:rsid w:val="00F544A8"/>
    <w:rsid w:val="00F545C6"/>
    <w:rsid w:val="00F54DFF"/>
    <w:rsid w:val="00F54FAF"/>
    <w:rsid w:val="00F559A8"/>
    <w:rsid w:val="00F55E69"/>
    <w:rsid w:val="00F55FB0"/>
    <w:rsid w:val="00F56106"/>
    <w:rsid w:val="00F5668D"/>
    <w:rsid w:val="00F56B5E"/>
    <w:rsid w:val="00F570D9"/>
    <w:rsid w:val="00F573BC"/>
    <w:rsid w:val="00F5746E"/>
    <w:rsid w:val="00F574F8"/>
    <w:rsid w:val="00F5752D"/>
    <w:rsid w:val="00F575D9"/>
    <w:rsid w:val="00F576EF"/>
    <w:rsid w:val="00F579B2"/>
    <w:rsid w:val="00F57BA1"/>
    <w:rsid w:val="00F57E1B"/>
    <w:rsid w:val="00F57F6F"/>
    <w:rsid w:val="00F60221"/>
    <w:rsid w:val="00F60E7E"/>
    <w:rsid w:val="00F60F28"/>
    <w:rsid w:val="00F612C8"/>
    <w:rsid w:val="00F6145B"/>
    <w:rsid w:val="00F6183C"/>
    <w:rsid w:val="00F6185A"/>
    <w:rsid w:val="00F61868"/>
    <w:rsid w:val="00F619F3"/>
    <w:rsid w:val="00F62384"/>
    <w:rsid w:val="00F6304E"/>
    <w:rsid w:val="00F63105"/>
    <w:rsid w:val="00F63594"/>
    <w:rsid w:val="00F636CE"/>
    <w:rsid w:val="00F636D3"/>
    <w:rsid w:val="00F637B2"/>
    <w:rsid w:val="00F638D7"/>
    <w:rsid w:val="00F64002"/>
    <w:rsid w:val="00F64020"/>
    <w:rsid w:val="00F6421E"/>
    <w:rsid w:val="00F6448D"/>
    <w:rsid w:val="00F64A96"/>
    <w:rsid w:val="00F64D7E"/>
    <w:rsid w:val="00F64DC6"/>
    <w:rsid w:val="00F64ECF"/>
    <w:rsid w:val="00F6525E"/>
    <w:rsid w:val="00F65592"/>
    <w:rsid w:val="00F66261"/>
    <w:rsid w:val="00F665CF"/>
    <w:rsid w:val="00F67327"/>
    <w:rsid w:val="00F679D0"/>
    <w:rsid w:val="00F67DC7"/>
    <w:rsid w:val="00F70029"/>
    <w:rsid w:val="00F70439"/>
    <w:rsid w:val="00F705E2"/>
    <w:rsid w:val="00F706D2"/>
    <w:rsid w:val="00F709DF"/>
    <w:rsid w:val="00F70B72"/>
    <w:rsid w:val="00F70E0D"/>
    <w:rsid w:val="00F70F22"/>
    <w:rsid w:val="00F71230"/>
    <w:rsid w:val="00F71395"/>
    <w:rsid w:val="00F71BD1"/>
    <w:rsid w:val="00F71C86"/>
    <w:rsid w:val="00F71D7F"/>
    <w:rsid w:val="00F7206F"/>
    <w:rsid w:val="00F7243A"/>
    <w:rsid w:val="00F725C6"/>
    <w:rsid w:val="00F729D0"/>
    <w:rsid w:val="00F72A3C"/>
    <w:rsid w:val="00F72E1C"/>
    <w:rsid w:val="00F73232"/>
    <w:rsid w:val="00F73914"/>
    <w:rsid w:val="00F73E03"/>
    <w:rsid w:val="00F73E91"/>
    <w:rsid w:val="00F73EA8"/>
    <w:rsid w:val="00F740C9"/>
    <w:rsid w:val="00F746CD"/>
    <w:rsid w:val="00F74D74"/>
    <w:rsid w:val="00F74FA5"/>
    <w:rsid w:val="00F75233"/>
    <w:rsid w:val="00F75424"/>
    <w:rsid w:val="00F7562D"/>
    <w:rsid w:val="00F75B8E"/>
    <w:rsid w:val="00F76395"/>
    <w:rsid w:val="00F76514"/>
    <w:rsid w:val="00F7666E"/>
    <w:rsid w:val="00F7670B"/>
    <w:rsid w:val="00F76A28"/>
    <w:rsid w:val="00F76CA6"/>
    <w:rsid w:val="00F76E04"/>
    <w:rsid w:val="00F77154"/>
    <w:rsid w:val="00F77214"/>
    <w:rsid w:val="00F778FC"/>
    <w:rsid w:val="00F77F2B"/>
    <w:rsid w:val="00F80B1F"/>
    <w:rsid w:val="00F80C36"/>
    <w:rsid w:val="00F80E17"/>
    <w:rsid w:val="00F811EF"/>
    <w:rsid w:val="00F81340"/>
    <w:rsid w:val="00F81994"/>
    <w:rsid w:val="00F8200A"/>
    <w:rsid w:val="00F82E1E"/>
    <w:rsid w:val="00F83198"/>
    <w:rsid w:val="00F83546"/>
    <w:rsid w:val="00F837EF"/>
    <w:rsid w:val="00F83ACD"/>
    <w:rsid w:val="00F83C17"/>
    <w:rsid w:val="00F83FFC"/>
    <w:rsid w:val="00F841E2"/>
    <w:rsid w:val="00F84928"/>
    <w:rsid w:val="00F849DB"/>
    <w:rsid w:val="00F84D4C"/>
    <w:rsid w:val="00F84E47"/>
    <w:rsid w:val="00F850EB"/>
    <w:rsid w:val="00F8530C"/>
    <w:rsid w:val="00F855E7"/>
    <w:rsid w:val="00F8580A"/>
    <w:rsid w:val="00F85ADB"/>
    <w:rsid w:val="00F85B4D"/>
    <w:rsid w:val="00F85D69"/>
    <w:rsid w:val="00F85F37"/>
    <w:rsid w:val="00F861B7"/>
    <w:rsid w:val="00F86904"/>
    <w:rsid w:val="00F870C7"/>
    <w:rsid w:val="00F8777C"/>
    <w:rsid w:val="00F87AEB"/>
    <w:rsid w:val="00F87C33"/>
    <w:rsid w:val="00F87FC0"/>
    <w:rsid w:val="00F90359"/>
    <w:rsid w:val="00F903D4"/>
    <w:rsid w:val="00F90E6C"/>
    <w:rsid w:val="00F915BD"/>
    <w:rsid w:val="00F917F9"/>
    <w:rsid w:val="00F91901"/>
    <w:rsid w:val="00F91B9E"/>
    <w:rsid w:val="00F92ED0"/>
    <w:rsid w:val="00F931F9"/>
    <w:rsid w:val="00F93856"/>
    <w:rsid w:val="00F9393D"/>
    <w:rsid w:val="00F93FBB"/>
    <w:rsid w:val="00F93FD0"/>
    <w:rsid w:val="00F9413C"/>
    <w:rsid w:val="00F945D8"/>
    <w:rsid w:val="00F9463A"/>
    <w:rsid w:val="00F94954"/>
    <w:rsid w:val="00F949BF"/>
    <w:rsid w:val="00F94A3B"/>
    <w:rsid w:val="00F94DE6"/>
    <w:rsid w:val="00F9512B"/>
    <w:rsid w:val="00F951A2"/>
    <w:rsid w:val="00F95BCD"/>
    <w:rsid w:val="00F95FC0"/>
    <w:rsid w:val="00F95FCF"/>
    <w:rsid w:val="00F960F0"/>
    <w:rsid w:val="00F96105"/>
    <w:rsid w:val="00F961BA"/>
    <w:rsid w:val="00F96346"/>
    <w:rsid w:val="00F96359"/>
    <w:rsid w:val="00F96374"/>
    <w:rsid w:val="00F9641F"/>
    <w:rsid w:val="00F966BB"/>
    <w:rsid w:val="00F966F9"/>
    <w:rsid w:val="00F96D2B"/>
    <w:rsid w:val="00F96EFE"/>
    <w:rsid w:val="00F9745F"/>
    <w:rsid w:val="00F974F5"/>
    <w:rsid w:val="00F97E0A"/>
    <w:rsid w:val="00FA06DC"/>
    <w:rsid w:val="00FA0BCC"/>
    <w:rsid w:val="00FA155A"/>
    <w:rsid w:val="00FA1647"/>
    <w:rsid w:val="00FA16BF"/>
    <w:rsid w:val="00FA1A5E"/>
    <w:rsid w:val="00FA2045"/>
    <w:rsid w:val="00FA208F"/>
    <w:rsid w:val="00FA2433"/>
    <w:rsid w:val="00FA2775"/>
    <w:rsid w:val="00FA29A5"/>
    <w:rsid w:val="00FA2A19"/>
    <w:rsid w:val="00FA2A6A"/>
    <w:rsid w:val="00FA2B36"/>
    <w:rsid w:val="00FA2B6D"/>
    <w:rsid w:val="00FA2CBC"/>
    <w:rsid w:val="00FA2ECB"/>
    <w:rsid w:val="00FA32EC"/>
    <w:rsid w:val="00FA3329"/>
    <w:rsid w:val="00FA35D8"/>
    <w:rsid w:val="00FA3B6D"/>
    <w:rsid w:val="00FA3CB1"/>
    <w:rsid w:val="00FA3DA5"/>
    <w:rsid w:val="00FA3DC5"/>
    <w:rsid w:val="00FA3F57"/>
    <w:rsid w:val="00FA3FEB"/>
    <w:rsid w:val="00FA40FE"/>
    <w:rsid w:val="00FA434C"/>
    <w:rsid w:val="00FA4502"/>
    <w:rsid w:val="00FA4B72"/>
    <w:rsid w:val="00FA598B"/>
    <w:rsid w:val="00FA5A30"/>
    <w:rsid w:val="00FA5FF1"/>
    <w:rsid w:val="00FA6031"/>
    <w:rsid w:val="00FA60B6"/>
    <w:rsid w:val="00FA6503"/>
    <w:rsid w:val="00FA65EE"/>
    <w:rsid w:val="00FA69C2"/>
    <w:rsid w:val="00FA6DBB"/>
    <w:rsid w:val="00FA6FA1"/>
    <w:rsid w:val="00FA7119"/>
    <w:rsid w:val="00FA71CC"/>
    <w:rsid w:val="00FA7326"/>
    <w:rsid w:val="00FA75C6"/>
    <w:rsid w:val="00FA772B"/>
    <w:rsid w:val="00FA77EE"/>
    <w:rsid w:val="00FA79CA"/>
    <w:rsid w:val="00FA7EFC"/>
    <w:rsid w:val="00FB0007"/>
    <w:rsid w:val="00FB0078"/>
    <w:rsid w:val="00FB0292"/>
    <w:rsid w:val="00FB0502"/>
    <w:rsid w:val="00FB0640"/>
    <w:rsid w:val="00FB0C91"/>
    <w:rsid w:val="00FB114D"/>
    <w:rsid w:val="00FB1333"/>
    <w:rsid w:val="00FB15FB"/>
    <w:rsid w:val="00FB1709"/>
    <w:rsid w:val="00FB171E"/>
    <w:rsid w:val="00FB1871"/>
    <w:rsid w:val="00FB1A4F"/>
    <w:rsid w:val="00FB1C06"/>
    <w:rsid w:val="00FB1DD7"/>
    <w:rsid w:val="00FB211A"/>
    <w:rsid w:val="00FB21EF"/>
    <w:rsid w:val="00FB2428"/>
    <w:rsid w:val="00FB24EE"/>
    <w:rsid w:val="00FB2BCE"/>
    <w:rsid w:val="00FB2CCC"/>
    <w:rsid w:val="00FB3346"/>
    <w:rsid w:val="00FB367A"/>
    <w:rsid w:val="00FB3C4B"/>
    <w:rsid w:val="00FB3EAB"/>
    <w:rsid w:val="00FB44D7"/>
    <w:rsid w:val="00FB49E0"/>
    <w:rsid w:val="00FB4CAD"/>
    <w:rsid w:val="00FB4CEE"/>
    <w:rsid w:val="00FB4D42"/>
    <w:rsid w:val="00FB4D9D"/>
    <w:rsid w:val="00FB51DF"/>
    <w:rsid w:val="00FB58C3"/>
    <w:rsid w:val="00FB5F47"/>
    <w:rsid w:val="00FB6089"/>
    <w:rsid w:val="00FB62E6"/>
    <w:rsid w:val="00FB634B"/>
    <w:rsid w:val="00FB6449"/>
    <w:rsid w:val="00FB6B3F"/>
    <w:rsid w:val="00FB6DC0"/>
    <w:rsid w:val="00FB747F"/>
    <w:rsid w:val="00FB7498"/>
    <w:rsid w:val="00FB79E6"/>
    <w:rsid w:val="00FB7AD7"/>
    <w:rsid w:val="00FB7B1A"/>
    <w:rsid w:val="00FC06D7"/>
    <w:rsid w:val="00FC0B69"/>
    <w:rsid w:val="00FC1006"/>
    <w:rsid w:val="00FC1797"/>
    <w:rsid w:val="00FC22FB"/>
    <w:rsid w:val="00FC24F3"/>
    <w:rsid w:val="00FC27A3"/>
    <w:rsid w:val="00FC2B8C"/>
    <w:rsid w:val="00FC2C7F"/>
    <w:rsid w:val="00FC32B1"/>
    <w:rsid w:val="00FC349E"/>
    <w:rsid w:val="00FC38E6"/>
    <w:rsid w:val="00FC39CB"/>
    <w:rsid w:val="00FC3ACD"/>
    <w:rsid w:val="00FC3ADA"/>
    <w:rsid w:val="00FC3CFB"/>
    <w:rsid w:val="00FC4098"/>
    <w:rsid w:val="00FC4206"/>
    <w:rsid w:val="00FC42B6"/>
    <w:rsid w:val="00FC4966"/>
    <w:rsid w:val="00FC4B8B"/>
    <w:rsid w:val="00FC51AE"/>
    <w:rsid w:val="00FC5247"/>
    <w:rsid w:val="00FC559E"/>
    <w:rsid w:val="00FC58F7"/>
    <w:rsid w:val="00FC6144"/>
    <w:rsid w:val="00FC6181"/>
    <w:rsid w:val="00FC6267"/>
    <w:rsid w:val="00FC62A4"/>
    <w:rsid w:val="00FC6ABA"/>
    <w:rsid w:val="00FC6BE8"/>
    <w:rsid w:val="00FC6FCD"/>
    <w:rsid w:val="00FC7454"/>
    <w:rsid w:val="00FC7917"/>
    <w:rsid w:val="00FC7A20"/>
    <w:rsid w:val="00FC7A39"/>
    <w:rsid w:val="00FC7A67"/>
    <w:rsid w:val="00FC7A9F"/>
    <w:rsid w:val="00FC7E67"/>
    <w:rsid w:val="00FD003F"/>
    <w:rsid w:val="00FD0062"/>
    <w:rsid w:val="00FD020E"/>
    <w:rsid w:val="00FD04C1"/>
    <w:rsid w:val="00FD04F6"/>
    <w:rsid w:val="00FD0547"/>
    <w:rsid w:val="00FD06A6"/>
    <w:rsid w:val="00FD0C8D"/>
    <w:rsid w:val="00FD1402"/>
    <w:rsid w:val="00FD18B6"/>
    <w:rsid w:val="00FD20A6"/>
    <w:rsid w:val="00FD2405"/>
    <w:rsid w:val="00FD2CD6"/>
    <w:rsid w:val="00FD2D2D"/>
    <w:rsid w:val="00FD3354"/>
    <w:rsid w:val="00FD3581"/>
    <w:rsid w:val="00FD385C"/>
    <w:rsid w:val="00FD3AB8"/>
    <w:rsid w:val="00FD3D73"/>
    <w:rsid w:val="00FD3EE9"/>
    <w:rsid w:val="00FD3F57"/>
    <w:rsid w:val="00FD3FA3"/>
    <w:rsid w:val="00FD455A"/>
    <w:rsid w:val="00FD4691"/>
    <w:rsid w:val="00FD46AA"/>
    <w:rsid w:val="00FD4E4D"/>
    <w:rsid w:val="00FD523F"/>
    <w:rsid w:val="00FD5497"/>
    <w:rsid w:val="00FD56EA"/>
    <w:rsid w:val="00FD5C1E"/>
    <w:rsid w:val="00FD6390"/>
    <w:rsid w:val="00FD63A4"/>
    <w:rsid w:val="00FD6761"/>
    <w:rsid w:val="00FD6A10"/>
    <w:rsid w:val="00FD6AD2"/>
    <w:rsid w:val="00FD6BB7"/>
    <w:rsid w:val="00FD6BC0"/>
    <w:rsid w:val="00FD729D"/>
    <w:rsid w:val="00FD79A8"/>
    <w:rsid w:val="00FD7ADC"/>
    <w:rsid w:val="00FDD27B"/>
    <w:rsid w:val="00FE06EF"/>
    <w:rsid w:val="00FE0A08"/>
    <w:rsid w:val="00FE0D02"/>
    <w:rsid w:val="00FE104B"/>
    <w:rsid w:val="00FE1068"/>
    <w:rsid w:val="00FE1589"/>
    <w:rsid w:val="00FE15FC"/>
    <w:rsid w:val="00FE170D"/>
    <w:rsid w:val="00FE1832"/>
    <w:rsid w:val="00FE1F01"/>
    <w:rsid w:val="00FE292F"/>
    <w:rsid w:val="00FE2FF6"/>
    <w:rsid w:val="00FE3199"/>
    <w:rsid w:val="00FE362D"/>
    <w:rsid w:val="00FE3C93"/>
    <w:rsid w:val="00FE3ECA"/>
    <w:rsid w:val="00FE418A"/>
    <w:rsid w:val="00FE477E"/>
    <w:rsid w:val="00FE522C"/>
    <w:rsid w:val="00FE5284"/>
    <w:rsid w:val="00FE5DEA"/>
    <w:rsid w:val="00FE611E"/>
    <w:rsid w:val="00FE613F"/>
    <w:rsid w:val="00FE6C03"/>
    <w:rsid w:val="00FE7517"/>
    <w:rsid w:val="00FE7CEA"/>
    <w:rsid w:val="00FF0329"/>
    <w:rsid w:val="00FF04EC"/>
    <w:rsid w:val="00FF07CE"/>
    <w:rsid w:val="00FF0FBA"/>
    <w:rsid w:val="00FF1311"/>
    <w:rsid w:val="00FF144E"/>
    <w:rsid w:val="00FF1C4D"/>
    <w:rsid w:val="00FF209F"/>
    <w:rsid w:val="00FF2BFC"/>
    <w:rsid w:val="00FF32A7"/>
    <w:rsid w:val="00FF391D"/>
    <w:rsid w:val="00FF3C1F"/>
    <w:rsid w:val="00FF3F31"/>
    <w:rsid w:val="00FF45CA"/>
    <w:rsid w:val="00FF481F"/>
    <w:rsid w:val="00FF4996"/>
    <w:rsid w:val="00FF4A3C"/>
    <w:rsid w:val="00FF4AE4"/>
    <w:rsid w:val="00FF4C79"/>
    <w:rsid w:val="00FF4EDC"/>
    <w:rsid w:val="00FF5122"/>
    <w:rsid w:val="00FF5397"/>
    <w:rsid w:val="00FF549A"/>
    <w:rsid w:val="00FF551D"/>
    <w:rsid w:val="00FF57D8"/>
    <w:rsid w:val="00FF5C28"/>
    <w:rsid w:val="00FF61B5"/>
    <w:rsid w:val="00FF6480"/>
    <w:rsid w:val="00FF6573"/>
    <w:rsid w:val="00FF6864"/>
    <w:rsid w:val="00FF6B65"/>
    <w:rsid w:val="00FF6D4F"/>
    <w:rsid w:val="00FF6EF2"/>
    <w:rsid w:val="00FF7150"/>
    <w:rsid w:val="00FF71FD"/>
    <w:rsid w:val="00FF73C9"/>
    <w:rsid w:val="00FF762B"/>
    <w:rsid w:val="00FF781D"/>
    <w:rsid w:val="00FF7A91"/>
    <w:rsid w:val="00FF7C3F"/>
    <w:rsid w:val="00FF7F36"/>
    <w:rsid w:val="00FF7F54"/>
    <w:rsid w:val="0108646B"/>
    <w:rsid w:val="01090B44"/>
    <w:rsid w:val="01105517"/>
    <w:rsid w:val="011087F0"/>
    <w:rsid w:val="011CD4B7"/>
    <w:rsid w:val="011E96DA"/>
    <w:rsid w:val="01203E3D"/>
    <w:rsid w:val="0120414D"/>
    <w:rsid w:val="01214448"/>
    <w:rsid w:val="01226416"/>
    <w:rsid w:val="0131CAEE"/>
    <w:rsid w:val="013D4257"/>
    <w:rsid w:val="013D70D7"/>
    <w:rsid w:val="013D846D"/>
    <w:rsid w:val="014691B7"/>
    <w:rsid w:val="01483929"/>
    <w:rsid w:val="0148F5EF"/>
    <w:rsid w:val="014B1FE6"/>
    <w:rsid w:val="0158CF4A"/>
    <w:rsid w:val="015B0EF3"/>
    <w:rsid w:val="015D06C3"/>
    <w:rsid w:val="01608C97"/>
    <w:rsid w:val="0163C79A"/>
    <w:rsid w:val="016A51AF"/>
    <w:rsid w:val="016ABAB4"/>
    <w:rsid w:val="016AF9FF"/>
    <w:rsid w:val="016C19DE"/>
    <w:rsid w:val="01752430"/>
    <w:rsid w:val="017F04F7"/>
    <w:rsid w:val="017FC5D0"/>
    <w:rsid w:val="0183A284"/>
    <w:rsid w:val="01840DAC"/>
    <w:rsid w:val="0189E124"/>
    <w:rsid w:val="018E6E1A"/>
    <w:rsid w:val="0196B798"/>
    <w:rsid w:val="019AD5A0"/>
    <w:rsid w:val="019CA3D3"/>
    <w:rsid w:val="019CCDC6"/>
    <w:rsid w:val="01A2FC4F"/>
    <w:rsid w:val="01AE91EB"/>
    <w:rsid w:val="01B279F6"/>
    <w:rsid w:val="01B3F2DF"/>
    <w:rsid w:val="01B7634D"/>
    <w:rsid w:val="01B82B5A"/>
    <w:rsid w:val="01B9BFA3"/>
    <w:rsid w:val="01C16463"/>
    <w:rsid w:val="01CC2768"/>
    <w:rsid w:val="01D76EA9"/>
    <w:rsid w:val="01D896E8"/>
    <w:rsid w:val="01D97315"/>
    <w:rsid w:val="01DB4EC0"/>
    <w:rsid w:val="01DD57CE"/>
    <w:rsid w:val="01ED35BA"/>
    <w:rsid w:val="01ED6C1C"/>
    <w:rsid w:val="01EF27B4"/>
    <w:rsid w:val="01EF72F2"/>
    <w:rsid w:val="01F31256"/>
    <w:rsid w:val="01F489FC"/>
    <w:rsid w:val="01F57BA6"/>
    <w:rsid w:val="01F9062C"/>
    <w:rsid w:val="0200C1FE"/>
    <w:rsid w:val="0208D7E9"/>
    <w:rsid w:val="0222CFCB"/>
    <w:rsid w:val="02258286"/>
    <w:rsid w:val="022A1251"/>
    <w:rsid w:val="02301DD8"/>
    <w:rsid w:val="023373C6"/>
    <w:rsid w:val="02432E6B"/>
    <w:rsid w:val="0243884B"/>
    <w:rsid w:val="024519F1"/>
    <w:rsid w:val="02480752"/>
    <w:rsid w:val="02513EFB"/>
    <w:rsid w:val="025CF5E2"/>
    <w:rsid w:val="025CFD93"/>
    <w:rsid w:val="025D426E"/>
    <w:rsid w:val="025F42F0"/>
    <w:rsid w:val="0261198F"/>
    <w:rsid w:val="026A807F"/>
    <w:rsid w:val="026A8BD6"/>
    <w:rsid w:val="026E3E7C"/>
    <w:rsid w:val="026FFE31"/>
    <w:rsid w:val="02747D75"/>
    <w:rsid w:val="0286D5CE"/>
    <w:rsid w:val="0287750D"/>
    <w:rsid w:val="028882F4"/>
    <w:rsid w:val="028C67D5"/>
    <w:rsid w:val="0291EDD9"/>
    <w:rsid w:val="029F0B1D"/>
    <w:rsid w:val="02A1F557"/>
    <w:rsid w:val="02A38454"/>
    <w:rsid w:val="02BA1C2F"/>
    <w:rsid w:val="02BCFDDA"/>
    <w:rsid w:val="02C66E01"/>
    <w:rsid w:val="02C9A216"/>
    <w:rsid w:val="02CC9BAC"/>
    <w:rsid w:val="02D3C415"/>
    <w:rsid w:val="02D6F528"/>
    <w:rsid w:val="02DDBD82"/>
    <w:rsid w:val="02E06FBC"/>
    <w:rsid w:val="02E0E786"/>
    <w:rsid w:val="02E1F5AA"/>
    <w:rsid w:val="02FAB0F8"/>
    <w:rsid w:val="03026A0F"/>
    <w:rsid w:val="030701C1"/>
    <w:rsid w:val="030720AC"/>
    <w:rsid w:val="0309A219"/>
    <w:rsid w:val="030C94B1"/>
    <w:rsid w:val="0313B6FD"/>
    <w:rsid w:val="03157FD1"/>
    <w:rsid w:val="031B26A4"/>
    <w:rsid w:val="031F4210"/>
    <w:rsid w:val="03242DED"/>
    <w:rsid w:val="0324F582"/>
    <w:rsid w:val="0334930B"/>
    <w:rsid w:val="033548DA"/>
    <w:rsid w:val="03380DDE"/>
    <w:rsid w:val="03448F02"/>
    <w:rsid w:val="03478B51"/>
    <w:rsid w:val="03481DA7"/>
    <w:rsid w:val="03555FC6"/>
    <w:rsid w:val="035DC3CC"/>
    <w:rsid w:val="0360DC0C"/>
    <w:rsid w:val="03668FCB"/>
    <w:rsid w:val="036A70EA"/>
    <w:rsid w:val="03763BA6"/>
    <w:rsid w:val="03773637"/>
    <w:rsid w:val="037B9986"/>
    <w:rsid w:val="037BEEB4"/>
    <w:rsid w:val="03819AD0"/>
    <w:rsid w:val="0389B016"/>
    <w:rsid w:val="0389B84E"/>
    <w:rsid w:val="038E4230"/>
    <w:rsid w:val="038E6A06"/>
    <w:rsid w:val="038FD978"/>
    <w:rsid w:val="038FF605"/>
    <w:rsid w:val="0393DBB1"/>
    <w:rsid w:val="03A1D349"/>
    <w:rsid w:val="03A50B33"/>
    <w:rsid w:val="03A8B130"/>
    <w:rsid w:val="03AA5D70"/>
    <w:rsid w:val="03AC77A7"/>
    <w:rsid w:val="03B50428"/>
    <w:rsid w:val="03BC5DEA"/>
    <w:rsid w:val="03BE601C"/>
    <w:rsid w:val="03BF8A61"/>
    <w:rsid w:val="03C94E33"/>
    <w:rsid w:val="03C9AEE9"/>
    <w:rsid w:val="03CFB95E"/>
    <w:rsid w:val="03D39D44"/>
    <w:rsid w:val="03DC245B"/>
    <w:rsid w:val="03DDFD88"/>
    <w:rsid w:val="03E323B0"/>
    <w:rsid w:val="03E4C8E0"/>
    <w:rsid w:val="03E62209"/>
    <w:rsid w:val="03F017A0"/>
    <w:rsid w:val="040BE073"/>
    <w:rsid w:val="040CF037"/>
    <w:rsid w:val="0416EC29"/>
    <w:rsid w:val="041CE84C"/>
    <w:rsid w:val="0422F0AE"/>
    <w:rsid w:val="0428C877"/>
    <w:rsid w:val="042A93B5"/>
    <w:rsid w:val="042D6043"/>
    <w:rsid w:val="0433802A"/>
    <w:rsid w:val="043578EF"/>
    <w:rsid w:val="04375B2A"/>
    <w:rsid w:val="04395C1E"/>
    <w:rsid w:val="043AC510"/>
    <w:rsid w:val="0441D92E"/>
    <w:rsid w:val="0442209D"/>
    <w:rsid w:val="0459C096"/>
    <w:rsid w:val="045AEB8E"/>
    <w:rsid w:val="045DF063"/>
    <w:rsid w:val="0470F61B"/>
    <w:rsid w:val="04777711"/>
    <w:rsid w:val="04807ABC"/>
    <w:rsid w:val="048B066A"/>
    <w:rsid w:val="048D0BEE"/>
    <w:rsid w:val="048F7E8B"/>
    <w:rsid w:val="048F8285"/>
    <w:rsid w:val="048FCCC9"/>
    <w:rsid w:val="0491DC08"/>
    <w:rsid w:val="0495D208"/>
    <w:rsid w:val="049BE96D"/>
    <w:rsid w:val="049DCE8E"/>
    <w:rsid w:val="04ACA446"/>
    <w:rsid w:val="04B503FE"/>
    <w:rsid w:val="04BB6C6D"/>
    <w:rsid w:val="04BF228A"/>
    <w:rsid w:val="04C14A5C"/>
    <w:rsid w:val="04C186CC"/>
    <w:rsid w:val="04C49592"/>
    <w:rsid w:val="04C84BCF"/>
    <w:rsid w:val="04CDB951"/>
    <w:rsid w:val="04D71E7F"/>
    <w:rsid w:val="04D75840"/>
    <w:rsid w:val="04DB1FE7"/>
    <w:rsid w:val="04E8A66F"/>
    <w:rsid w:val="04EDD466"/>
    <w:rsid w:val="04EEB5AE"/>
    <w:rsid w:val="04EFCA9F"/>
    <w:rsid w:val="04FF3B5E"/>
    <w:rsid w:val="05012C37"/>
    <w:rsid w:val="050197F2"/>
    <w:rsid w:val="051329F0"/>
    <w:rsid w:val="051769E7"/>
    <w:rsid w:val="051C5121"/>
    <w:rsid w:val="051D221C"/>
    <w:rsid w:val="051D4B99"/>
    <w:rsid w:val="0521001F"/>
    <w:rsid w:val="05218704"/>
    <w:rsid w:val="052497C1"/>
    <w:rsid w:val="052AE42A"/>
    <w:rsid w:val="052C381B"/>
    <w:rsid w:val="052CE0C4"/>
    <w:rsid w:val="0534EBB3"/>
    <w:rsid w:val="0536A0D9"/>
    <w:rsid w:val="05451278"/>
    <w:rsid w:val="054A881B"/>
    <w:rsid w:val="055A984B"/>
    <w:rsid w:val="0565CB86"/>
    <w:rsid w:val="056ADEA8"/>
    <w:rsid w:val="056BC45F"/>
    <w:rsid w:val="056BDDEB"/>
    <w:rsid w:val="056D9EDF"/>
    <w:rsid w:val="056E8A8B"/>
    <w:rsid w:val="05711BF5"/>
    <w:rsid w:val="058101A3"/>
    <w:rsid w:val="0583718F"/>
    <w:rsid w:val="05889E13"/>
    <w:rsid w:val="058EB488"/>
    <w:rsid w:val="0594A08C"/>
    <w:rsid w:val="059ECB16"/>
    <w:rsid w:val="059F1207"/>
    <w:rsid w:val="05AD813B"/>
    <w:rsid w:val="05B4B199"/>
    <w:rsid w:val="05B65A0A"/>
    <w:rsid w:val="05BAE7D7"/>
    <w:rsid w:val="05BCAE4F"/>
    <w:rsid w:val="05C98E9B"/>
    <w:rsid w:val="05CD969E"/>
    <w:rsid w:val="05D064A2"/>
    <w:rsid w:val="05D37855"/>
    <w:rsid w:val="05D7AEF7"/>
    <w:rsid w:val="05D9A526"/>
    <w:rsid w:val="05E10130"/>
    <w:rsid w:val="05EDDD23"/>
    <w:rsid w:val="05F1AF6B"/>
    <w:rsid w:val="05F4AAA7"/>
    <w:rsid w:val="05FB3930"/>
    <w:rsid w:val="05FEA6F1"/>
    <w:rsid w:val="06000C7B"/>
    <w:rsid w:val="060A9980"/>
    <w:rsid w:val="061213B2"/>
    <w:rsid w:val="06249E67"/>
    <w:rsid w:val="062A764D"/>
    <w:rsid w:val="0630958A"/>
    <w:rsid w:val="064907D3"/>
    <w:rsid w:val="064A987A"/>
    <w:rsid w:val="064ABECB"/>
    <w:rsid w:val="064BA0E4"/>
    <w:rsid w:val="064C65D2"/>
    <w:rsid w:val="064E28EA"/>
    <w:rsid w:val="0655CE12"/>
    <w:rsid w:val="06594D9D"/>
    <w:rsid w:val="065A42AA"/>
    <w:rsid w:val="065A9661"/>
    <w:rsid w:val="065CA00F"/>
    <w:rsid w:val="06665FA2"/>
    <w:rsid w:val="0669073B"/>
    <w:rsid w:val="066E7C30"/>
    <w:rsid w:val="066EAE80"/>
    <w:rsid w:val="0672EEE0"/>
    <w:rsid w:val="06774438"/>
    <w:rsid w:val="067A75B8"/>
    <w:rsid w:val="0686287D"/>
    <w:rsid w:val="069021D4"/>
    <w:rsid w:val="0693620E"/>
    <w:rsid w:val="069807BB"/>
    <w:rsid w:val="069C61BF"/>
    <w:rsid w:val="069DEB43"/>
    <w:rsid w:val="069F9BEB"/>
    <w:rsid w:val="06A3A7FF"/>
    <w:rsid w:val="06AE1715"/>
    <w:rsid w:val="06B2E07E"/>
    <w:rsid w:val="06C6C910"/>
    <w:rsid w:val="06CC9CDD"/>
    <w:rsid w:val="06D45291"/>
    <w:rsid w:val="06D5C4DC"/>
    <w:rsid w:val="06D876C8"/>
    <w:rsid w:val="06DA02C0"/>
    <w:rsid w:val="06DFF6D9"/>
    <w:rsid w:val="06E40219"/>
    <w:rsid w:val="06F4CB1B"/>
    <w:rsid w:val="06FFB8BA"/>
    <w:rsid w:val="07005428"/>
    <w:rsid w:val="07033FF8"/>
    <w:rsid w:val="07040DBB"/>
    <w:rsid w:val="07041A10"/>
    <w:rsid w:val="07092B11"/>
    <w:rsid w:val="070F9B2C"/>
    <w:rsid w:val="07162A84"/>
    <w:rsid w:val="07166798"/>
    <w:rsid w:val="07185564"/>
    <w:rsid w:val="072D0F81"/>
    <w:rsid w:val="0736369F"/>
    <w:rsid w:val="07369C34"/>
    <w:rsid w:val="073C1300"/>
    <w:rsid w:val="073EB0CD"/>
    <w:rsid w:val="073F2151"/>
    <w:rsid w:val="07438D2C"/>
    <w:rsid w:val="0755FBF7"/>
    <w:rsid w:val="075C44D0"/>
    <w:rsid w:val="075EC5D6"/>
    <w:rsid w:val="07609CD7"/>
    <w:rsid w:val="07743816"/>
    <w:rsid w:val="077B3213"/>
    <w:rsid w:val="07887DBC"/>
    <w:rsid w:val="079077CA"/>
    <w:rsid w:val="0790E12A"/>
    <w:rsid w:val="079412A0"/>
    <w:rsid w:val="07959125"/>
    <w:rsid w:val="0796FDAD"/>
    <w:rsid w:val="079B7159"/>
    <w:rsid w:val="079C4B88"/>
    <w:rsid w:val="07B57B86"/>
    <w:rsid w:val="07B5B635"/>
    <w:rsid w:val="07B707DA"/>
    <w:rsid w:val="07B76EC4"/>
    <w:rsid w:val="07C1120E"/>
    <w:rsid w:val="07D73DE1"/>
    <w:rsid w:val="07DADAEF"/>
    <w:rsid w:val="07E4D0ED"/>
    <w:rsid w:val="07F15E3C"/>
    <w:rsid w:val="07F23223"/>
    <w:rsid w:val="07F81268"/>
    <w:rsid w:val="07FF28DD"/>
    <w:rsid w:val="08013516"/>
    <w:rsid w:val="080227DF"/>
    <w:rsid w:val="080872EA"/>
    <w:rsid w:val="080BB2E4"/>
    <w:rsid w:val="08152B93"/>
    <w:rsid w:val="08172312"/>
    <w:rsid w:val="08195B37"/>
    <w:rsid w:val="081B41C0"/>
    <w:rsid w:val="08204731"/>
    <w:rsid w:val="0826207A"/>
    <w:rsid w:val="08283FD4"/>
    <w:rsid w:val="082B72AD"/>
    <w:rsid w:val="0830EB19"/>
    <w:rsid w:val="083107B3"/>
    <w:rsid w:val="08406713"/>
    <w:rsid w:val="084211D2"/>
    <w:rsid w:val="0849CE9E"/>
    <w:rsid w:val="084A942B"/>
    <w:rsid w:val="084D3E41"/>
    <w:rsid w:val="0854357B"/>
    <w:rsid w:val="08576499"/>
    <w:rsid w:val="085C9D62"/>
    <w:rsid w:val="08638531"/>
    <w:rsid w:val="0865CFF6"/>
    <w:rsid w:val="086C74DE"/>
    <w:rsid w:val="086DB972"/>
    <w:rsid w:val="0879D0A9"/>
    <w:rsid w:val="088571A3"/>
    <w:rsid w:val="088FA3B2"/>
    <w:rsid w:val="0890E716"/>
    <w:rsid w:val="0894998D"/>
    <w:rsid w:val="089FC7CD"/>
    <w:rsid w:val="08A75A05"/>
    <w:rsid w:val="08B545BA"/>
    <w:rsid w:val="08B8EBD1"/>
    <w:rsid w:val="08C615CA"/>
    <w:rsid w:val="08CDB729"/>
    <w:rsid w:val="08DA109C"/>
    <w:rsid w:val="08DB95BE"/>
    <w:rsid w:val="08E3F9BF"/>
    <w:rsid w:val="08E5E024"/>
    <w:rsid w:val="090032A9"/>
    <w:rsid w:val="0900CA5A"/>
    <w:rsid w:val="09021322"/>
    <w:rsid w:val="090772C5"/>
    <w:rsid w:val="09091085"/>
    <w:rsid w:val="090EEBB1"/>
    <w:rsid w:val="090F3356"/>
    <w:rsid w:val="09153F08"/>
    <w:rsid w:val="091861FC"/>
    <w:rsid w:val="091BEA1A"/>
    <w:rsid w:val="091BFF50"/>
    <w:rsid w:val="091D3FAC"/>
    <w:rsid w:val="091FDC93"/>
    <w:rsid w:val="092EFB69"/>
    <w:rsid w:val="092FD19E"/>
    <w:rsid w:val="09368E04"/>
    <w:rsid w:val="0941102C"/>
    <w:rsid w:val="0943006D"/>
    <w:rsid w:val="0949B43C"/>
    <w:rsid w:val="094AE7D2"/>
    <w:rsid w:val="094E55FA"/>
    <w:rsid w:val="09535725"/>
    <w:rsid w:val="095EE5B0"/>
    <w:rsid w:val="09661B5B"/>
    <w:rsid w:val="09678130"/>
    <w:rsid w:val="0967FF85"/>
    <w:rsid w:val="0969335B"/>
    <w:rsid w:val="09911188"/>
    <w:rsid w:val="099313AB"/>
    <w:rsid w:val="09964302"/>
    <w:rsid w:val="099B132A"/>
    <w:rsid w:val="099D66A9"/>
    <w:rsid w:val="099EF968"/>
    <w:rsid w:val="09A273C5"/>
    <w:rsid w:val="09A7B7E7"/>
    <w:rsid w:val="09AE1BEA"/>
    <w:rsid w:val="09B30D82"/>
    <w:rsid w:val="09B40DA7"/>
    <w:rsid w:val="09C3B097"/>
    <w:rsid w:val="09CD0550"/>
    <w:rsid w:val="09CF22A3"/>
    <w:rsid w:val="09CF8D14"/>
    <w:rsid w:val="09D2E93D"/>
    <w:rsid w:val="09D4725C"/>
    <w:rsid w:val="09D4F2D6"/>
    <w:rsid w:val="09D658F6"/>
    <w:rsid w:val="09DFC4FD"/>
    <w:rsid w:val="09E15C7A"/>
    <w:rsid w:val="09E19E64"/>
    <w:rsid w:val="09E4E660"/>
    <w:rsid w:val="09E9F5B6"/>
    <w:rsid w:val="09F182C5"/>
    <w:rsid w:val="09F7EBDD"/>
    <w:rsid w:val="09F935FD"/>
    <w:rsid w:val="09FA2B9C"/>
    <w:rsid w:val="0A0011F0"/>
    <w:rsid w:val="0A0118F7"/>
    <w:rsid w:val="0A015B07"/>
    <w:rsid w:val="0A022A9A"/>
    <w:rsid w:val="0A08D92B"/>
    <w:rsid w:val="0A1C4BF4"/>
    <w:rsid w:val="0A1E6C90"/>
    <w:rsid w:val="0A23460A"/>
    <w:rsid w:val="0A2625D4"/>
    <w:rsid w:val="0A331479"/>
    <w:rsid w:val="0A352945"/>
    <w:rsid w:val="0A376384"/>
    <w:rsid w:val="0A3E241A"/>
    <w:rsid w:val="0A3FB114"/>
    <w:rsid w:val="0A4BC424"/>
    <w:rsid w:val="0A4D4399"/>
    <w:rsid w:val="0A50364B"/>
    <w:rsid w:val="0A534E85"/>
    <w:rsid w:val="0A55F100"/>
    <w:rsid w:val="0A5E2FD9"/>
    <w:rsid w:val="0A5E79A8"/>
    <w:rsid w:val="0A608F05"/>
    <w:rsid w:val="0A683F2B"/>
    <w:rsid w:val="0A73B66E"/>
    <w:rsid w:val="0A75C170"/>
    <w:rsid w:val="0A7A3557"/>
    <w:rsid w:val="0A8019B6"/>
    <w:rsid w:val="0A8C5DAE"/>
    <w:rsid w:val="0A94BB50"/>
    <w:rsid w:val="0AA41B0F"/>
    <w:rsid w:val="0AA818CF"/>
    <w:rsid w:val="0AA9300C"/>
    <w:rsid w:val="0AAD41EC"/>
    <w:rsid w:val="0AC20CCD"/>
    <w:rsid w:val="0AC2156E"/>
    <w:rsid w:val="0AC90270"/>
    <w:rsid w:val="0ACC4AF8"/>
    <w:rsid w:val="0ACE4368"/>
    <w:rsid w:val="0AD21A54"/>
    <w:rsid w:val="0ADAA8DB"/>
    <w:rsid w:val="0ADD35AD"/>
    <w:rsid w:val="0ADD5F8D"/>
    <w:rsid w:val="0ADF4C2A"/>
    <w:rsid w:val="0AEA2934"/>
    <w:rsid w:val="0AEAC73C"/>
    <w:rsid w:val="0AEB6F70"/>
    <w:rsid w:val="0AEC05CA"/>
    <w:rsid w:val="0AF15679"/>
    <w:rsid w:val="0AF43D37"/>
    <w:rsid w:val="0AFA1D6A"/>
    <w:rsid w:val="0AFBEBA7"/>
    <w:rsid w:val="0AFE2E13"/>
    <w:rsid w:val="0B01E317"/>
    <w:rsid w:val="0B01FA9A"/>
    <w:rsid w:val="0B0DFBB2"/>
    <w:rsid w:val="0B1101D2"/>
    <w:rsid w:val="0B11B0AF"/>
    <w:rsid w:val="0B19C2FC"/>
    <w:rsid w:val="0B1D449C"/>
    <w:rsid w:val="0B1D6105"/>
    <w:rsid w:val="0B203D28"/>
    <w:rsid w:val="0B21590D"/>
    <w:rsid w:val="0B23F69C"/>
    <w:rsid w:val="0B281AA6"/>
    <w:rsid w:val="0B2A81AB"/>
    <w:rsid w:val="0B2F284C"/>
    <w:rsid w:val="0B3ABDE3"/>
    <w:rsid w:val="0B3E706D"/>
    <w:rsid w:val="0B3F57DD"/>
    <w:rsid w:val="0B4019E4"/>
    <w:rsid w:val="0B40D453"/>
    <w:rsid w:val="0B410970"/>
    <w:rsid w:val="0B49A0DB"/>
    <w:rsid w:val="0B4D3E52"/>
    <w:rsid w:val="0B50FE69"/>
    <w:rsid w:val="0B51EC3E"/>
    <w:rsid w:val="0B5BEB8E"/>
    <w:rsid w:val="0B6A2BB4"/>
    <w:rsid w:val="0B81FE26"/>
    <w:rsid w:val="0B88B209"/>
    <w:rsid w:val="0B89E07C"/>
    <w:rsid w:val="0B90F06A"/>
    <w:rsid w:val="0B9B782D"/>
    <w:rsid w:val="0B9C0A56"/>
    <w:rsid w:val="0BA1A4C8"/>
    <w:rsid w:val="0BB28B41"/>
    <w:rsid w:val="0BB8AD3C"/>
    <w:rsid w:val="0BBA97E0"/>
    <w:rsid w:val="0BBE2DC7"/>
    <w:rsid w:val="0BBF7A64"/>
    <w:rsid w:val="0BBF7E09"/>
    <w:rsid w:val="0BC223C8"/>
    <w:rsid w:val="0BC7AF3D"/>
    <w:rsid w:val="0BCDD725"/>
    <w:rsid w:val="0BCFD6E2"/>
    <w:rsid w:val="0BD3B4BE"/>
    <w:rsid w:val="0BD55F89"/>
    <w:rsid w:val="0BE43C39"/>
    <w:rsid w:val="0BE452DB"/>
    <w:rsid w:val="0BEC4B43"/>
    <w:rsid w:val="0BF05759"/>
    <w:rsid w:val="0BF08F7D"/>
    <w:rsid w:val="0BF17823"/>
    <w:rsid w:val="0BF25031"/>
    <w:rsid w:val="0C00F209"/>
    <w:rsid w:val="0C097F30"/>
    <w:rsid w:val="0C0D4045"/>
    <w:rsid w:val="0C130A83"/>
    <w:rsid w:val="0C1D6CF6"/>
    <w:rsid w:val="0C2CC70A"/>
    <w:rsid w:val="0C31FF5B"/>
    <w:rsid w:val="0C353733"/>
    <w:rsid w:val="0C389876"/>
    <w:rsid w:val="0C3CE471"/>
    <w:rsid w:val="0C3DED68"/>
    <w:rsid w:val="0C3FDCB3"/>
    <w:rsid w:val="0C450BE9"/>
    <w:rsid w:val="0C45412A"/>
    <w:rsid w:val="0C45E1CB"/>
    <w:rsid w:val="0C50D262"/>
    <w:rsid w:val="0C5559D0"/>
    <w:rsid w:val="0C5EFCF1"/>
    <w:rsid w:val="0C5F38BD"/>
    <w:rsid w:val="0C64524D"/>
    <w:rsid w:val="0C64BED6"/>
    <w:rsid w:val="0C698483"/>
    <w:rsid w:val="0C6D9E3B"/>
    <w:rsid w:val="0C6E1C26"/>
    <w:rsid w:val="0C7EFF14"/>
    <w:rsid w:val="0C7F0929"/>
    <w:rsid w:val="0C8154FE"/>
    <w:rsid w:val="0C835658"/>
    <w:rsid w:val="0C872D84"/>
    <w:rsid w:val="0C889B9B"/>
    <w:rsid w:val="0C8A7EB5"/>
    <w:rsid w:val="0C94A7C0"/>
    <w:rsid w:val="0C98DCB5"/>
    <w:rsid w:val="0C996E41"/>
    <w:rsid w:val="0C9B1A53"/>
    <w:rsid w:val="0C9FD8C4"/>
    <w:rsid w:val="0CAC96DF"/>
    <w:rsid w:val="0CAE7842"/>
    <w:rsid w:val="0CB19AB4"/>
    <w:rsid w:val="0CB21AC5"/>
    <w:rsid w:val="0CB384AA"/>
    <w:rsid w:val="0CB53BB8"/>
    <w:rsid w:val="0CBDA246"/>
    <w:rsid w:val="0CBE8177"/>
    <w:rsid w:val="0CC20F34"/>
    <w:rsid w:val="0CC256D6"/>
    <w:rsid w:val="0CC67395"/>
    <w:rsid w:val="0CDC8B14"/>
    <w:rsid w:val="0CE242B8"/>
    <w:rsid w:val="0CE80CB1"/>
    <w:rsid w:val="0CE83F74"/>
    <w:rsid w:val="0CE9D09B"/>
    <w:rsid w:val="0CEB7148"/>
    <w:rsid w:val="0CF32BFD"/>
    <w:rsid w:val="0CF44677"/>
    <w:rsid w:val="0CF62FB2"/>
    <w:rsid w:val="0CFA60D2"/>
    <w:rsid w:val="0CFABE92"/>
    <w:rsid w:val="0D0102DF"/>
    <w:rsid w:val="0D016D23"/>
    <w:rsid w:val="0D01D1FA"/>
    <w:rsid w:val="0D03C108"/>
    <w:rsid w:val="0D04A612"/>
    <w:rsid w:val="0D15A581"/>
    <w:rsid w:val="0D19960D"/>
    <w:rsid w:val="0D1D54FB"/>
    <w:rsid w:val="0D277F0C"/>
    <w:rsid w:val="0D34479E"/>
    <w:rsid w:val="0D3E7532"/>
    <w:rsid w:val="0D41E8E8"/>
    <w:rsid w:val="0D4528D6"/>
    <w:rsid w:val="0D470759"/>
    <w:rsid w:val="0D4BB86D"/>
    <w:rsid w:val="0D526F88"/>
    <w:rsid w:val="0D539AF5"/>
    <w:rsid w:val="0D5FC6D5"/>
    <w:rsid w:val="0D637F9E"/>
    <w:rsid w:val="0D74E8F3"/>
    <w:rsid w:val="0D774C1C"/>
    <w:rsid w:val="0D8529DA"/>
    <w:rsid w:val="0D8A0FD4"/>
    <w:rsid w:val="0D8CB697"/>
    <w:rsid w:val="0D916812"/>
    <w:rsid w:val="0D9185D5"/>
    <w:rsid w:val="0D9697D1"/>
    <w:rsid w:val="0D992DF1"/>
    <w:rsid w:val="0D9D697C"/>
    <w:rsid w:val="0D9D6A44"/>
    <w:rsid w:val="0DA3B837"/>
    <w:rsid w:val="0DA72DC5"/>
    <w:rsid w:val="0DAD1BF4"/>
    <w:rsid w:val="0DB08C66"/>
    <w:rsid w:val="0DB529DA"/>
    <w:rsid w:val="0DB6D5A1"/>
    <w:rsid w:val="0DBBCE6F"/>
    <w:rsid w:val="0DC0442C"/>
    <w:rsid w:val="0DC366F8"/>
    <w:rsid w:val="0DD4A420"/>
    <w:rsid w:val="0DF68B1B"/>
    <w:rsid w:val="0DF75FC4"/>
    <w:rsid w:val="0DF8733D"/>
    <w:rsid w:val="0DFB5C8F"/>
    <w:rsid w:val="0DFBAB9B"/>
    <w:rsid w:val="0DFFB316"/>
    <w:rsid w:val="0E0440D3"/>
    <w:rsid w:val="0E060EAB"/>
    <w:rsid w:val="0E0E0147"/>
    <w:rsid w:val="0E10943E"/>
    <w:rsid w:val="0E109634"/>
    <w:rsid w:val="0E21821C"/>
    <w:rsid w:val="0E24A2B7"/>
    <w:rsid w:val="0E26F190"/>
    <w:rsid w:val="0E2EF4BA"/>
    <w:rsid w:val="0E369A76"/>
    <w:rsid w:val="0E42A341"/>
    <w:rsid w:val="0E4742EC"/>
    <w:rsid w:val="0E4B4A98"/>
    <w:rsid w:val="0E4D6B15"/>
    <w:rsid w:val="0E5419B8"/>
    <w:rsid w:val="0E58E00D"/>
    <w:rsid w:val="0E62EAA2"/>
    <w:rsid w:val="0E63DBEC"/>
    <w:rsid w:val="0E6AA893"/>
    <w:rsid w:val="0E776573"/>
    <w:rsid w:val="0E7DE0C0"/>
    <w:rsid w:val="0E7ED3A9"/>
    <w:rsid w:val="0E8555C7"/>
    <w:rsid w:val="0E861511"/>
    <w:rsid w:val="0E883FC1"/>
    <w:rsid w:val="0E88895F"/>
    <w:rsid w:val="0E908CA4"/>
    <w:rsid w:val="0E947DF7"/>
    <w:rsid w:val="0E978061"/>
    <w:rsid w:val="0E99316A"/>
    <w:rsid w:val="0E9C097E"/>
    <w:rsid w:val="0E9FAC19"/>
    <w:rsid w:val="0EA6B7BC"/>
    <w:rsid w:val="0EAFC244"/>
    <w:rsid w:val="0EB3F343"/>
    <w:rsid w:val="0EBCE965"/>
    <w:rsid w:val="0EC1D167"/>
    <w:rsid w:val="0ECBEAE4"/>
    <w:rsid w:val="0ECC332C"/>
    <w:rsid w:val="0ECD2D03"/>
    <w:rsid w:val="0ECEBD3A"/>
    <w:rsid w:val="0ECF373B"/>
    <w:rsid w:val="0ED61C3B"/>
    <w:rsid w:val="0ED94B56"/>
    <w:rsid w:val="0EDF47B7"/>
    <w:rsid w:val="0EE1920A"/>
    <w:rsid w:val="0EECCD87"/>
    <w:rsid w:val="0EECDE41"/>
    <w:rsid w:val="0EF42DE8"/>
    <w:rsid w:val="0EFBED00"/>
    <w:rsid w:val="0EFD26FD"/>
    <w:rsid w:val="0F00148E"/>
    <w:rsid w:val="0F01CF80"/>
    <w:rsid w:val="0F02C558"/>
    <w:rsid w:val="0F0B60ED"/>
    <w:rsid w:val="0F0F5C85"/>
    <w:rsid w:val="0F13F0BF"/>
    <w:rsid w:val="0F19BFE6"/>
    <w:rsid w:val="0F1B1E60"/>
    <w:rsid w:val="0F21E075"/>
    <w:rsid w:val="0F25648A"/>
    <w:rsid w:val="0F265AAD"/>
    <w:rsid w:val="0F275B5E"/>
    <w:rsid w:val="0F28AACE"/>
    <w:rsid w:val="0F3773C5"/>
    <w:rsid w:val="0F3F6C03"/>
    <w:rsid w:val="0F40DDF7"/>
    <w:rsid w:val="0F42DDBD"/>
    <w:rsid w:val="0F4A9D3D"/>
    <w:rsid w:val="0F5E0869"/>
    <w:rsid w:val="0F5EFD87"/>
    <w:rsid w:val="0F690A5C"/>
    <w:rsid w:val="0F7459FD"/>
    <w:rsid w:val="0F7623A8"/>
    <w:rsid w:val="0F783150"/>
    <w:rsid w:val="0F7AB9E9"/>
    <w:rsid w:val="0F7BE4E7"/>
    <w:rsid w:val="0F857618"/>
    <w:rsid w:val="0F8599A7"/>
    <w:rsid w:val="0F8603D1"/>
    <w:rsid w:val="0F88CA45"/>
    <w:rsid w:val="0F8DDA7C"/>
    <w:rsid w:val="0F8EA527"/>
    <w:rsid w:val="0F9096E1"/>
    <w:rsid w:val="0FAAA694"/>
    <w:rsid w:val="0FAE69A1"/>
    <w:rsid w:val="0FB8036D"/>
    <w:rsid w:val="0FB9B752"/>
    <w:rsid w:val="0FBD37A0"/>
    <w:rsid w:val="0FBD9A57"/>
    <w:rsid w:val="0FC9908F"/>
    <w:rsid w:val="0FCA4AAF"/>
    <w:rsid w:val="0FCF7C56"/>
    <w:rsid w:val="0FD09CC8"/>
    <w:rsid w:val="0FDE15AF"/>
    <w:rsid w:val="0FE0920D"/>
    <w:rsid w:val="0FEB23E5"/>
    <w:rsid w:val="1005483D"/>
    <w:rsid w:val="100A4E5D"/>
    <w:rsid w:val="101197AE"/>
    <w:rsid w:val="101895EA"/>
    <w:rsid w:val="101DE565"/>
    <w:rsid w:val="10241F29"/>
    <w:rsid w:val="10270E3B"/>
    <w:rsid w:val="102E375C"/>
    <w:rsid w:val="102F1F3B"/>
    <w:rsid w:val="102F664F"/>
    <w:rsid w:val="10343474"/>
    <w:rsid w:val="1035710C"/>
    <w:rsid w:val="1035985E"/>
    <w:rsid w:val="1036A66A"/>
    <w:rsid w:val="103D2E48"/>
    <w:rsid w:val="10401A5E"/>
    <w:rsid w:val="1041A657"/>
    <w:rsid w:val="104B1954"/>
    <w:rsid w:val="10547B65"/>
    <w:rsid w:val="105592DF"/>
    <w:rsid w:val="105B04BC"/>
    <w:rsid w:val="10684D4B"/>
    <w:rsid w:val="107E314D"/>
    <w:rsid w:val="108222DD"/>
    <w:rsid w:val="10822DC5"/>
    <w:rsid w:val="108300AB"/>
    <w:rsid w:val="1088194D"/>
    <w:rsid w:val="108981EA"/>
    <w:rsid w:val="108C77E0"/>
    <w:rsid w:val="108CB658"/>
    <w:rsid w:val="108D0A46"/>
    <w:rsid w:val="108FFE49"/>
    <w:rsid w:val="1098D3EB"/>
    <w:rsid w:val="10A28085"/>
    <w:rsid w:val="10AA7C9F"/>
    <w:rsid w:val="10AC61CB"/>
    <w:rsid w:val="10AE9AB5"/>
    <w:rsid w:val="10B1A356"/>
    <w:rsid w:val="10B23190"/>
    <w:rsid w:val="10B29906"/>
    <w:rsid w:val="10D0B7E5"/>
    <w:rsid w:val="10D53B77"/>
    <w:rsid w:val="10D956B4"/>
    <w:rsid w:val="10DB9E8B"/>
    <w:rsid w:val="10E8771B"/>
    <w:rsid w:val="10E891B0"/>
    <w:rsid w:val="10F1CEEA"/>
    <w:rsid w:val="1103CD9F"/>
    <w:rsid w:val="11070997"/>
    <w:rsid w:val="110714F1"/>
    <w:rsid w:val="1108C429"/>
    <w:rsid w:val="110916BD"/>
    <w:rsid w:val="110AD1AF"/>
    <w:rsid w:val="110C646F"/>
    <w:rsid w:val="110E8F03"/>
    <w:rsid w:val="11130FD2"/>
    <w:rsid w:val="1113F2F0"/>
    <w:rsid w:val="11149929"/>
    <w:rsid w:val="111BFBAC"/>
    <w:rsid w:val="111D1D7A"/>
    <w:rsid w:val="1122C531"/>
    <w:rsid w:val="112FF05C"/>
    <w:rsid w:val="113DB803"/>
    <w:rsid w:val="1146BF28"/>
    <w:rsid w:val="114BCD8C"/>
    <w:rsid w:val="114F703B"/>
    <w:rsid w:val="115EB3AF"/>
    <w:rsid w:val="1166E8B5"/>
    <w:rsid w:val="1167034F"/>
    <w:rsid w:val="116884EE"/>
    <w:rsid w:val="116F7C67"/>
    <w:rsid w:val="11713C1E"/>
    <w:rsid w:val="11775D0F"/>
    <w:rsid w:val="118564D7"/>
    <w:rsid w:val="11901FB4"/>
    <w:rsid w:val="119187E5"/>
    <w:rsid w:val="11A12891"/>
    <w:rsid w:val="11A8BB4F"/>
    <w:rsid w:val="11AC9F8E"/>
    <w:rsid w:val="11AF6EB7"/>
    <w:rsid w:val="11B92C96"/>
    <w:rsid w:val="11B9B5C6"/>
    <w:rsid w:val="11BF8A46"/>
    <w:rsid w:val="11C1723B"/>
    <w:rsid w:val="11C83AC0"/>
    <w:rsid w:val="11CBE920"/>
    <w:rsid w:val="11CEA26D"/>
    <w:rsid w:val="11D0E9F8"/>
    <w:rsid w:val="11D5C7C3"/>
    <w:rsid w:val="11D81735"/>
    <w:rsid w:val="11D9BF6F"/>
    <w:rsid w:val="11DBA6D5"/>
    <w:rsid w:val="11DD34F0"/>
    <w:rsid w:val="11E3C405"/>
    <w:rsid w:val="11F59FCD"/>
    <w:rsid w:val="11F75377"/>
    <w:rsid w:val="11F90B2D"/>
    <w:rsid w:val="11F9A4A0"/>
    <w:rsid w:val="11F9B84B"/>
    <w:rsid w:val="11FAA99C"/>
    <w:rsid w:val="1205914B"/>
    <w:rsid w:val="120D14E5"/>
    <w:rsid w:val="1210D8B7"/>
    <w:rsid w:val="12170A13"/>
    <w:rsid w:val="12180989"/>
    <w:rsid w:val="121D99C2"/>
    <w:rsid w:val="1222B729"/>
    <w:rsid w:val="1228BF23"/>
    <w:rsid w:val="12388C25"/>
    <w:rsid w:val="12390614"/>
    <w:rsid w:val="123B172F"/>
    <w:rsid w:val="1240D17C"/>
    <w:rsid w:val="124705E9"/>
    <w:rsid w:val="124CEC52"/>
    <w:rsid w:val="124D9AD7"/>
    <w:rsid w:val="1253ACA1"/>
    <w:rsid w:val="125513E2"/>
    <w:rsid w:val="12596D38"/>
    <w:rsid w:val="1263811C"/>
    <w:rsid w:val="126CED18"/>
    <w:rsid w:val="126D49FE"/>
    <w:rsid w:val="126DDDEC"/>
    <w:rsid w:val="126E2F84"/>
    <w:rsid w:val="126E50E4"/>
    <w:rsid w:val="1273DABA"/>
    <w:rsid w:val="12751908"/>
    <w:rsid w:val="127C0F0B"/>
    <w:rsid w:val="1281C9EE"/>
    <w:rsid w:val="1281F0AE"/>
    <w:rsid w:val="1285D601"/>
    <w:rsid w:val="128996B2"/>
    <w:rsid w:val="128F4082"/>
    <w:rsid w:val="12916561"/>
    <w:rsid w:val="12942EE3"/>
    <w:rsid w:val="129BCAEB"/>
    <w:rsid w:val="12A0AB1E"/>
    <w:rsid w:val="12A20DEE"/>
    <w:rsid w:val="12A67F95"/>
    <w:rsid w:val="12A70744"/>
    <w:rsid w:val="12B105FB"/>
    <w:rsid w:val="12B61CCF"/>
    <w:rsid w:val="12B6BFB4"/>
    <w:rsid w:val="12BD38B5"/>
    <w:rsid w:val="12C24353"/>
    <w:rsid w:val="12C55BDE"/>
    <w:rsid w:val="12D4AD5F"/>
    <w:rsid w:val="12D70CCB"/>
    <w:rsid w:val="12E79795"/>
    <w:rsid w:val="12EAB418"/>
    <w:rsid w:val="12F09682"/>
    <w:rsid w:val="12F5133F"/>
    <w:rsid w:val="12FA419F"/>
    <w:rsid w:val="12FDC30D"/>
    <w:rsid w:val="1300AF2E"/>
    <w:rsid w:val="1302CEDA"/>
    <w:rsid w:val="130A1F66"/>
    <w:rsid w:val="13165CA5"/>
    <w:rsid w:val="13167220"/>
    <w:rsid w:val="131915E9"/>
    <w:rsid w:val="13265ACB"/>
    <w:rsid w:val="13390D12"/>
    <w:rsid w:val="133C6EA1"/>
    <w:rsid w:val="13513510"/>
    <w:rsid w:val="13645085"/>
    <w:rsid w:val="1366C15D"/>
    <w:rsid w:val="136E0388"/>
    <w:rsid w:val="1376BF80"/>
    <w:rsid w:val="1376DB71"/>
    <w:rsid w:val="13802C71"/>
    <w:rsid w:val="1380EC8A"/>
    <w:rsid w:val="1384D618"/>
    <w:rsid w:val="139A96BD"/>
    <w:rsid w:val="13A8CA0A"/>
    <w:rsid w:val="13AEB591"/>
    <w:rsid w:val="13B05871"/>
    <w:rsid w:val="13B17503"/>
    <w:rsid w:val="13B25ED4"/>
    <w:rsid w:val="13B5B735"/>
    <w:rsid w:val="13B9496F"/>
    <w:rsid w:val="13BAFBD8"/>
    <w:rsid w:val="13BC9EE3"/>
    <w:rsid w:val="13C114A8"/>
    <w:rsid w:val="13C3D13D"/>
    <w:rsid w:val="13C88B79"/>
    <w:rsid w:val="13D01209"/>
    <w:rsid w:val="13D0F850"/>
    <w:rsid w:val="13D286B6"/>
    <w:rsid w:val="13D5E056"/>
    <w:rsid w:val="13DAC6B0"/>
    <w:rsid w:val="13E5AAEA"/>
    <w:rsid w:val="13E826A3"/>
    <w:rsid w:val="13EF3BB7"/>
    <w:rsid w:val="13F325CA"/>
    <w:rsid w:val="13F467A4"/>
    <w:rsid w:val="13F926A8"/>
    <w:rsid w:val="13FE3008"/>
    <w:rsid w:val="141E2060"/>
    <w:rsid w:val="141E23C1"/>
    <w:rsid w:val="142CC72D"/>
    <w:rsid w:val="1433383C"/>
    <w:rsid w:val="14403BA1"/>
    <w:rsid w:val="144574C5"/>
    <w:rsid w:val="1447F0A6"/>
    <w:rsid w:val="144E5AAF"/>
    <w:rsid w:val="14517B7A"/>
    <w:rsid w:val="1451ED30"/>
    <w:rsid w:val="1453A21C"/>
    <w:rsid w:val="145FA93E"/>
    <w:rsid w:val="145FEAA6"/>
    <w:rsid w:val="14610809"/>
    <w:rsid w:val="146862C4"/>
    <w:rsid w:val="146F2445"/>
    <w:rsid w:val="14779445"/>
    <w:rsid w:val="14841244"/>
    <w:rsid w:val="148AD344"/>
    <w:rsid w:val="148CC813"/>
    <w:rsid w:val="14903EE3"/>
    <w:rsid w:val="14937561"/>
    <w:rsid w:val="149393EC"/>
    <w:rsid w:val="149D6586"/>
    <w:rsid w:val="149FB953"/>
    <w:rsid w:val="14A575D5"/>
    <w:rsid w:val="14AF260E"/>
    <w:rsid w:val="14AFEBE5"/>
    <w:rsid w:val="14BCAC99"/>
    <w:rsid w:val="14BE968F"/>
    <w:rsid w:val="14BEF99D"/>
    <w:rsid w:val="14C1C05E"/>
    <w:rsid w:val="14C36F84"/>
    <w:rsid w:val="14D3D931"/>
    <w:rsid w:val="14D92E56"/>
    <w:rsid w:val="14E002B2"/>
    <w:rsid w:val="14E07CEB"/>
    <w:rsid w:val="14E1C74F"/>
    <w:rsid w:val="14E1ED2F"/>
    <w:rsid w:val="14EC5634"/>
    <w:rsid w:val="14EDBA7A"/>
    <w:rsid w:val="14F431FF"/>
    <w:rsid w:val="14F46B0C"/>
    <w:rsid w:val="14F5C30F"/>
    <w:rsid w:val="14FD84F7"/>
    <w:rsid w:val="15009F2C"/>
    <w:rsid w:val="15023ABA"/>
    <w:rsid w:val="1507BD80"/>
    <w:rsid w:val="150853EE"/>
    <w:rsid w:val="150C2B16"/>
    <w:rsid w:val="150F10C1"/>
    <w:rsid w:val="150F8CE2"/>
    <w:rsid w:val="15126110"/>
    <w:rsid w:val="152A9BF5"/>
    <w:rsid w:val="15308EDF"/>
    <w:rsid w:val="15352492"/>
    <w:rsid w:val="1535CB4E"/>
    <w:rsid w:val="153899F2"/>
    <w:rsid w:val="1538F0E1"/>
    <w:rsid w:val="153C486C"/>
    <w:rsid w:val="153C7952"/>
    <w:rsid w:val="153CA3CE"/>
    <w:rsid w:val="153F0B6C"/>
    <w:rsid w:val="154619B9"/>
    <w:rsid w:val="1548BF62"/>
    <w:rsid w:val="15491DAF"/>
    <w:rsid w:val="154DB20D"/>
    <w:rsid w:val="154FB817"/>
    <w:rsid w:val="15547F06"/>
    <w:rsid w:val="155E8A9C"/>
    <w:rsid w:val="1560277B"/>
    <w:rsid w:val="1566923A"/>
    <w:rsid w:val="15698D4C"/>
    <w:rsid w:val="156B5304"/>
    <w:rsid w:val="1572E038"/>
    <w:rsid w:val="157C32ED"/>
    <w:rsid w:val="157D04E6"/>
    <w:rsid w:val="157E82C4"/>
    <w:rsid w:val="158459D3"/>
    <w:rsid w:val="15864ED8"/>
    <w:rsid w:val="15869D25"/>
    <w:rsid w:val="158B7695"/>
    <w:rsid w:val="15920172"/>
    <w:rsid w:val="1595C949"/>
    <w:rsid w:val="1597D611"/>
    <w:rsid w:val="159DB9B8"/>
    <w:rsid w:val="159FB1A2"/>
    <w:rsid w:val="15A687E7"/>
    <w:rsid w:val="15A7DB96"/>
    <w:rsid w:val="15ADB1C1"/>
    <w:rsid w:val="15B2EC11"/>
    <w:rsid w:val="15C0B332"/>
    <w:rsid w:val="15C1ABF1"/>
    <w:rsid w:val="15CA487C"/>
    <w:rsid w:val="15CE3F0B"/>
    <w:rsid w:val="15D1ED2C"/>
    <w:rsid w:val="15D335E9"/>
    <w:rsid w:val="15D38346"/>
    <w:rsid w:val="15D61705"/>
    <w:rsid w:val="15E47563"/>
    <w:rsid w:val="15E83F66"/>
    <w:rsid w:val="15F566B9"/>
    <w:rsid w:val="15FABFBB"/>
    <w:rsid w:val="16037669"/>
    <w:rsid w:val="1603D1EF"/>
    <w:rsid w:val="1603F6CB"/>
    <w:rsid w:val="16041E4F"/>
    <w:rsid w:val="16092980"/>
    <w:rsid w:val="160F4175"/>
    <w:rsid w:val="16153C66"/>
    <w:rsid w:val="16165B6E"/>
    <w:rsid w:val="16180775"/>
    <w:rsid w:val="16192B06"/>
    <w:rsid w:val="161CBFF3"/>
    <w:rsid w:val="162A8EC3"/>
    <w:rsid w:val="16362D7B"/>
    <w:rsid w:val="164407E2"/>
    <w:rsid w:val="1644FC24"/>
    <w:rsid w:val="16453AFE"/>
    <w:rsid w:val="1646EBB9"/>
    <w:rsid w:val="164B3C9E"/>
    <w:rsid w:val="16502D50"/>
    <w:rsid w:val="16554F8E"/>
    <w:rsid w:val="16587655"/>
    <w:rsid w:val="165B98AC"/>
    <w:rsid w:val="165C9877"/>
    <w:rsid w:val="16629B64"/>
    <w:rsid w:val="1663C746"/>
    <w:rsid w:val="166B84D9"/>
    <w:rsid w:val="1677D2C9"/>
    <w:rsid w:val="1683D2CB"/>
    <w:rsid w:val="16897147"/>
    <w:rsid w:val="168BF002"/>
    <w:rsid w:val="16980687"/>
    <w:rsid w:val="1698A1BB"/>
    <w:rsid w:val="169E42B4"/>
    <w:rsid w:val="16B19857"/>
    <w:rsid w:val="16BBB8E9"/>
    <w:rsid w:val="16C4F0DE"/>
    <w:rsid w:val="16C92D76"/>
    <w:rsid w:val="16CE9517"/>
    <w:rsid w:val="16D04AD3"/>
    <w:rsid w:val="16D07444"/>
    <w:rsid w:val="16D74AE9"/>
    <w:rsid w:val="16E24B9E"/>
    <w:rsid w:val="16E96DD9"/>
    <w:rsid w:val="16F182DB"/>
    <w:rsid w:val="16F3F713"/>
    <w:rsid w:val="16F828FD"/>
    <w:rsid w:val="16FBF7DC"/>
    <w:rsid w:val="16FDBC3A"/>
    <w:rsid w:val="1704A00C"/>
    <w:rsid w:val="17064677"/>
    <w:rsid w:val="1711786A"/>
    <w:rsid w:val="171428AA"/>
    <w:rsid w:val="171A6599"/>
    <w:rsid w:val="17233846"/>
    <w:rsid w:val="1724E14A"/>
    <w:rsid w:val="17290E38"/>
    <w:rsid w:val="1742FDB0"/>
    <w:rsid w:val="1744852C"/>
    <w:rsid w:val="17456C32"/>
    <w:rsid w:val="174836FF"/>
    <w:rsid w:val="1751D994"/>
    <w:rsid w:val="175579E3"/>
    <w:rsid w:val="17587C1B"/>
    <w:rsid w:val="176445CC"/>
    <w:rsid w:val="1764B0BB"/>
    <w:rsid w:val="176E879D"/>
    <w:rsid w:val="178355CA"/>
    <w:rsid w:val="178AB475"/>
    <w:rsid w:val="17909380"/>
    <w:rsid w:val="1790E267"/>
    <w:rsid w:val="179190A8"/>
    <w:rsid w:val="1794D395"/>
    <w:rsid w:val="1794E8C9"/>
    <w:rsid w:val="1799A2A4"/>
    <w:rsid w:val="17A3A63C"/>
    <w:rsid w:val="17A3E545"/>
    <w:rsid w:val="17A48499"/>
    <w:rsid w:val="17ABDE85"/>
    <w:rsid w:val="17AE91DA"/>
    <w:rsid w:val="17B742AB"/>
    <w:rsid w:val="17B7829D"/>
    <w:rsid w:val="17BB76E1"/>
    <w:rsid w:val="17C0D87D"/>
    <w:rsid w:val="17C3E960"/>
    <w:rsid w:val="17CBF99F"/>
    <w:rsid w:val="17CCC416"/>
    <w:rsid w:val="17D8CEDA"/>
    <w:rsid w:val="17D953BF"/>
    <w:rsid w:val="17E01081"/>
    <w:rsid w:val="17E5FC46"/>
    <w:rsid w:val="17EB03CB"/>
    <w:rsid w:val="17EBF68D"/>
    <w:rsid w:val="17F7B2B8"/>
    <w:rsid w:val="1802E984"/>
    <w:rsid w:val="1803622D"/>
    <w:rsid w:val="1805F1A0"/>
    <w:rsid w:val="18117D3E"/>
    <w:rsid w:val="18133921"/>
    <w:rsid w:val="18137BA7"/>
    <w:rsid w:val="1814ECFA"/>
    <w:rsid w:val="1817AB35"/>
    <w:rsid w:val="1818DAE4"/>
    <w:rsid w:val="181E70F5"/>
    <w:rsid w:val="1822E606"/>
    <w:rsid w:val="182AF22E"/>
    <w:rsid w:val="1830F962"/>
    <w:rsid w:val="185170A4"/>
    <w:rsid w:val="185E09DF"/>
    <w:rsid w:val="18616C44"/>
    <w:rsid w:val="1864F44D"/>
    <w:rsid w:val="18686005"/>
    <w:rsid w:val="186A30EB"/>
    <w:rsid w:val="1871DA55"/>
    <w:rsid w:val="1872C96C"/>
    <w:rsid w:val="18764FB9"/>
    <w:rsid w:val="188BEEF7"/>
    <w:rsid w:val="188F9012"/>
    <w:rsid w:val="18999C71"/>
    <w:rsid w:val="18AD7C87"/>
    <w:rsid w:val="18AE4CE4"/>
    <w:rsid w:val="18B1247B"/>
    <w:rsid w:val="18B23C75"/>
    <w:rsid w:val="18B5FDF8"/>
    <w:rsid w:val="18B6E981"/>
    <w:rsid w:val="18BFB9DC"/>
    <w:rsid w:val="18C21DC4"/>
    <w:rsid w:val="18C977EB"/>
    <w:rsid w:val="18CAB61F"/>
    <w:rsid w:val="18D039BF"/>
    <w:rsid w:val="18D04FA0"/>
    <w:rsid w:val="18D2E59B"/>
    <w:rsid w:val="18DDC14E"/>
    <w:rsid w:val="18DF538B"/>
    <w:rsid w:val="18E5FFB0"/>
    <w:rsid w:val="18E8891A"/>
    <w:rsid w:val="18EEBEF1"/>
    <w:rsid w:val="18F44DF0"/>
    <w:rsid w:val="18F5FA0C"/>
    <w:rsid w:val="18FCA0E5"/>
    <w:rsid w:val="18FF7DA1"/>
    <w:rsid w:val="1907DEA9"/>
    <w:rsid w:val="190B5F99"/>
    <w:rsid w:val="190CC0CA"/>
    <w:rsid w:val="1913051A"/>
    <w:rsid w:val="191C8C99"/>
    <w:rsid w:val="19222BD4"/>
    <w:rsid w:val="19272D70"/>
    <w:rsid w:val="19291580"/>
    <w:rsid w:val="192A2A43"/>
    <w:rsid w:val="192FDE7F"/>
    <w:rsid w:val="19316EA6"/>
    <w:rsid w:val="194A08F1"/>
    <w:rsid w:val="194D1F60"/>
    <w:rsid w:val="1951D10D"/>
    <w:rsid w:val="1953CA70"/>
    <w:rsid w:val="1962F73A"/>
    <w:rsid w:val="19663312"/>
    <w:rsid w:val="19695AA5"/>
    <w:rsid w:val="196E29DE"/>
    <w:rsid w:val="19720BDC"/>
    <w:rsid w:val="197230EE"/>
    <w:rsid w:val="1972EB30"/>
    <w:rsid w:val="1977CC01"/>
    <w:rsid w:val="19805E5E"/>
    <w:rsid w:val="1982182F"/>
    <w:rsid w:val="1983D06E"/>
    <w:rsid w:val="198A4D16"/>
    <w:rsid w:val="198DA9BD"/>
    <w:rsid w:val="1996F44C"/>
    <w:rsid w:val="1997BE83"/>
    <w:rsid w:val="19A50FDE"/>
    <w:rsid w:val="19A73E86"/>
    <w:rsid w:val="19AFD816"/>
    <w:rsid w:val="19B7FA10"/>
    <w:rsid w:val="19B98D96"/>
    <w:rsid w:val="19BF4BDC"/>
    <w:rsid w:val="19CE2E91"/>
    <w:rsid w:val="19D33B6E"/>
    <w:rsid w:val="19E4353E"/>
    <w:rsid w:val="19E7A5F3"/>
    <w:rsid w:val="19EC0AEE"/>
    <w:rsid w:val="19F2A0CE"/>
    <w:rsid w:val="19F53D1C"/>
    <w:rsid w:val="19F77401"/>
    <w:rsid w:val="19F8CCA3"/>
    <w:rsid w:val="19FE6F39"/>
    <w:rsid w:val="19FF4F9C"/>
    <w:rsid w:val="1A01BE42"/>
    <w:rsid w:val="1A06046A"/>
    <w:rsid w:val="1A0DFAFE"/>
    <w:rsid w:val="1A108041"/>
    <w:rsid w:val="1A15BC09"/>
    <w:rsid w:val="1A239EBE"/>
    <w:rsid w:val="1A269CDD"/>
    <w:rsid w:val="1A275C6E"/>
    <w:rsid w:val="1A2B478B"/>
    <w:rsid w:val="1A2D3308"/>
    <w:rsid w:val="1A2ED90D"/>
    <w:rsid w:val="1A30F003"/>
    <w:rsid w:val="1A36A53E"/>
    <w:rsid w:val="1A3882EC"/>
    <w:rsid w:val="1A396F79"/>
    <w:rsid w:val="1A3C40CE"/>
    <w:rsid w:val="1A3FA7E7"/>
    <w:rsid w:val="1A4065F7"/>
    <w:rsid w:val="1A40868D"/>
    <w:rsid w:val="1A41D517"/>
    <w:rsid w:val="1A4A8B18"/>
    <w:rsid w:val="1A4CDFA5"/>
    <w:rsid w:val="1A4EDA29"/>
    <w:rsid w:val="1A5A92E3"/>
    <w:rsid w:val="1A5AFE08"/>
    <w:rsid w:val="1A5BDB5B"/>
    <w:rsid w:val="1A5C841C"/>
    <w:rsid w:val="1A5E1DB5"/>
    <w:rsid w:val="1A602C1E"/>
    <w:rsid w:val="1A606602"/>
    <w:rsid w:val="1A6860EF"/>
    <w:rsid w:val="1A7E1702"/>
    <w:rsid w:val="1A880A90"/>
    <w:rsid w:val="1A8BDB22"/>
    <w:rsid w:val="1A96461E"/>
    <w:rsid w:val="1A9A1984"/>
    <w:rsid w:val="1A9DF464"/>
    <w:rsid w:val="1AA15791"/>
    <w:rsid w:val="1AA1B02E"/>
    <w:rsid w:val="1AA1C5D3"/>
    <w:rsid w:val="1AA1E46D"/>
    <w:rsid w:val="1AAA0885"/>
    <w:rsid w:val="1AAEAAE5"/>
    <w:rsid w:val="1AC6B87C"/>
    <w:rsid w:val="1ACF9A97"/>
    <w:rsid w:val="1AD11D29"/>
    <w:rsid w:val="1AD54875"/>
    <w:rsid w:val="1AE208A4"/>
    <w:rsid w:val="1AE984DE"/>
    <w:rsid w:val="1AF353F2"/>
    <w:rsid w:val="1AF5028E"/>
    <w:rsid w:val="1AF73A43"/>
    <w:rsid w:val="1AF7B18C"/>
    <w:rsid w:val="1AF7FB26"/>
    <w:rsid w:val="1AF86883"/>
    <w:rsid w:val="1AF97193"/>
    <w:rsid w:val="1AFD47C0"/>
    <w:rsid w:val="1B0162FF"/>
    <w:rsid w:val="1B0440C8"/>
    <w:rsid w:val="1B112A8E"/>
    <w:rsid w:val="1B139C62"/>
    <w:rsid w:val="1B14E0E4"/>
    <w:rsid w:val="1B15E2AC"/>
    <w:rsid w:val="1B197840"/>
    <w:rsid w:val="1B1F0EFD"/>
    <w:rsid w:val="1B201D07"/>
    <w:rsid w:val="1B217C2E"/>
    <w:rsid w:val="1B3F6EEA"/>
    <w:rsid w:val="1B429366"/>
    <w:rsid w:val="1B474FB1"/>
    <w:rsid w:val="1B4EC9D5"/>
    <w:rsid w:val="1B502AF9"/>
    <w:rsid w:val="1B549A3D"/>
    <w:rsid w:val="1B595A68"/>
    <w:rsid w:val="1B5C35FC"/>
    <w:rsid w:val="1B5F3C41"/>
    <w:rsid w:val="1B640893"/>
    <w:rsid w:val="1B666902"/>
    <w:rsid w:val="1B686AD7"/>
    <w:rsid w:val="1B6A379F"/>
    <w:rsid w:val="1B7362C5"/>
    <w:rsid w:val="1B76AE5D"/>
    <w:rsid w:val="1B770366"/>
    <w:rsid w:val="1B795461"/>
    <w:rsid w:val="1B7E6087"/>
    <w:rsid w:val="1B8043F1"/>
    <w:rsid w:val="1B85939D"/>
    <w:rsid w:val="1B86E701"/>
    <w:rsid w:val="1B8C9A63"/>
    <w:rsid w:val="1B8ECA30"/>
    <w:rsid w:val="1B913B70"/>
    <w:rsid w:val="1B96D4B0"/>
    <w:rsid w:val="1B9A848B"/>
    <w:rsid w:val="1BA1382A"/>
    <w:rsid w:val="1BA97B17"/>
    <w:rsid w:val="1BAC8323"/>
    <w:rsid w:val="1BB8E4EE"/>
    <w:rsid w:val="1BBDEC66"/>
    <w:rsid w:val="1BBFA762"/>
    <w:rsid w:val="1BC4AAAA"/>
    <w:rsid w:val="1BC52FBE"/>
    <w:rsid w:val="1BC5EBB0"/>
    <w:rsid w:val="1BD97F02"/>
    <w:rsid w:val="1BE0A752"/>
    <w:rsid w:val="1BE2D4D9"/>
    <w:rsid w:val="1BFAD7B7"/>
    <w:rsid w:val="1C00AA73"/>
    <w:rsid w:val="1C05ED53"/>
    <w:rsid w:val="1C08A065"/>
    <w:rsid w:val="1C08B856"/>
    <w:rsid w:val="1C14C109"/>
    <w:rsid w:val="1C25D0F9"/>
    <w:rsid w:val="1C46E4A8"/>
    <w:rsid w:val="1C49F18B"/>
    <w:rsid w:val="1C593D4B"/>
    <w:rsid w:val="1C59760B"/>
    <w:rsid w:val="1C6970E3"/>
    <w:rsid w:val="1C6E76CF"/>
    <w:rsid w:val="1C6FE055"/>
    <w:rsid w:val="1C7488A5"/>
    <w:rsid w:val="1C768EA8"/>
    <w:rsid w:val="1C76CE83"/>
    <w:rsid w:val="1C7752F0"/>
    <w:rsid w:val="1C78D889"/>
    <w:rsid w:val="1C7A65E1"/>
    <w:rsid w:val="1C7AC652"/>
    <w:rsid w:val="1C7B5173"/>
    <w:rsid w:val="1C7C2899"/>
    <w:rsid w:val="1C8F6315"/>
    <w:rsid w:val="1C93DE0C"/>
    <w:rsid w:val="1CA4C583"/>
    <w:rsid w:val="1CAECAE0"/>
    <w:rsid w:val="1CB18E55"/>
    <w:rsid w:val="1CB2EE9F"/>
    <w:rsid w:val="1CB542A7"/>
    <w:rsid w:val="1CB72707"/>
    <w:rsid w:val="1CB90667"/>
    <w:rsid w:val="1CC51DB5"/>
    <w:rsid w:val="1CCF81E1"/>
    <w:rsid w:val="1CD39605"/>
    <w:rsid w:val="1CDF9D1A"/>
    <w:rsid w:val="1CE4B385"/>
    <w:rsid w:val="1CE7D6A8"/>
    <w:rsid w:val="1CED5899"/>
    <w:rsid w:val="1CF58958"/>
    <w:rsid w:val="1CFF504F"/>
    <w:rsid w:val="1D0E2A34"/>
    <w:rsid w:val="1D18102E"/>
    <w:rsid w:val="1D18640F"/>
    <w:rsid w:val="1D1B45BD"/>
    <w:rsid w:val="1D1B9093"/>
    <w:rsid w:val="1D210BCB"/>
    <w:rsid w:val="1D213330"/>
    <w:rsid w:val="1D242038"/>
    <w:rsid w:val="1D263939"/>
    <w:rsid w:val="1D2DFB6E"/>
    <w:rsid w:val="1D359ACA"/>
    <w:rsid w:val="1D36CC5B"/>
    <w:rsid w:val="1D36EE9A"/>
    <w:rsid w:val="1D3B6E47"/>
    <w:rsid w:val="1D3D5C1B"/>
    <w:rsid w:val="1D44BAD4"/>
    <w:rsid w:val="1D4572FF"/>
    <w:rsid w:val="1D4D2BA5"/>
    <w:rsid w:val="1D5A8E89"/>
    <w:rsid w:val="1D6600B3"/>
    <w:rsid w:val="1D6A1521"/>
    <w:rsid w:val="1D8744D2"/>
    <w:rsid w:val="1D8A7072"/>
    <w:rsid w:val="1D8CCECA"/>
    <w:rsid w:val="1D906110"/>
    <w:rsid w:val="1D916120"/>
    <w:rsid w:val="1D9303D0"/>
    <w:rsid w:val="1D96033D"/>
    <w:rsid w:val="1D9635BA"/>
    <w:rsid w:val="1D9BEB33"/>
    <w:rsid w:val="1DA1B63A"/>
    <w:rsid w:val="1DA6F877"/>
    <w:rsid w:val="1DB10919"/>
    <w:rsid w:val="1DB84F6C"/>
    <w:rsid w:val="1DBA0971"/>
    <w:rsid w:val="1DBA53E6"/>
    <w:rsid w:val="1DC435E6"/>
    <w:rsid w:val="1DC51DB3"/>
    <w:rsid w:val="1DC55FBF"/>
    <w:rsid w:val="1DCBC22B"/>
    <w:rsid w:val="1DCC5C52"/>
    <w:rsid w:val="1DD6C83B"/>
    <w:rsid w:val="1DD8E8F3"/>
    <w:rsid w:val="1DDB70BC"/>
    <w:rsid w:val="1DE5D102"/>
    <w:rsid w:val="1DE7A7B4"/>
    <w:rsid w:val="1DF04444"/>
    <w:rsid w:val="1DF740CA"/>
    <w:rsid w:val="1E097776"/>
    <w:rsid w:val="1E0EA2FA"/>
    <w:rsid w:val="1E102347"/>
    <w:rsid w:val="1E1049F2"/>
    <w:rsid w:val="1E23D7F9"/>
    <w:rsid w:val="1E25758C"/>
    <w:rsid w:val="1E2F1E0F"/>
    <w:rsid w:val="1E36B48F"/>
    <w:rsid w:val="1E388320"/>
    <w:rsid w:val="1E3894E8"/>
    <w:rsid w:val="1E39B04B"/>
    <w:rsid w:val="1E3AE4B5"/>
    <w:rsid w:val="1E3E5A60"/>
    <w:rsid w:val="1E45B96B"/>
    <w:rsid w:val="1E4C7936"/>
    <w:rsid w:val="1E4D0E7E"/>
    <w:rsid w:val="1E4E5396"/>
    <w:rsid w:val="1E59BFD4"/>
    <w:rsid w:val="1E616B30"/>
    <w:rsid w:val="1E644C94"/>
    <w:rsid w:val="1E648610"/>
    <w:rsid w:val="1E685F74"/>
    <w:rsid w:val="1E69D4D1"/>
    <w:rsid w:val="1E6A9744"/>
    <w:rsid w:val="1E6DE07B"/>
    <w:rsid w:val="1E7162B7"/>
    <w:rsid w:val="1E78A09F"/>
    <w:rsid w:val="1E791711"/>
    <w:rsid w:val="1E7B3AC2"/>
    <w:rsid w:val="1E7F1071"/>
    <w:rsid w:val="1E7FF5B2"/>
    <w:rsid w:val="1E8365DF"/>
    <w:rsid w:val="1E88E98B"/>
    <w:rsid w:val="1E95C2AA"/>
    <w:rsid w:val="1E993124"/>
    <w:rsid w:val="1EAB98EC"/>
    <w:rsid w:val="1EB3EB86"/>
    <w:rsid w:val="1EB54AC0"/>
    <w:rsid w:val="1EB5E899"/>
    <w:rsid w:val="1EBB02EB"/>
    <w:rsid w:val="1EBBBD03"/>
    <w:rsid w:val="1EBE5133"/>
    <w:rsid w:val="1EBE6201"/>
    <w:rsid w:val="1EC136EC"/>
    <w:rsid w:val="1EC2345B"/>
    <w:rsid w:val="1EC40C4D"/>
    <w:rsid w:val="1ED6D7E6"/>
    <w:rsid w:val="1ED817AA"/>
    <w:rsid w:val="1EDAF7FB"/>
    <w:rsid w:val="1EDFD327"/>
    <w:rsid w:val="1EE8DA51"/>
    <w:rsid w:val="1EF18486"/>
    <w:rsid w:val="1F01799E"/>
    <w:rsid w:val="1F059869"/>
    <w:rsid w:val="1F0EC7A3"/>
    <w:rsid w:val="1F0FE63B"/>
    <w:rsid w:val="1F1D9AF2"/>
    <w:rsid w:val="1F1E3330"/>
    <w:rsid w:val="1F21E424"/>
    <w:rsid w:val="1F220B26"/>
    <w:rsid w:val="1F28DBCE"/>
    <w:rsid w:val="1F2A040D"/>
    <w:rsid w:val="1F2A59BC"/>
    <w:rsid w:val="1F2B9775"/>
    <w:rsid w:val="1F2BEB76"/>
    <w:rsid w:val="1F338A13"/>
    <w:rsid w:val="1F3641D3"/>
    <w:rsid w:val="1F3D59DA"/>
    <w:rsid w:val="1F53C2EC"/>
    <w:rsid w:val="1F5872AE"/>
    <w:rsid w:val="1F5B89A3"/>
    <w:rsid w:val="1F5B994C"/>
    <w:rsid w:val="1F60DA0E"/>
    <w:rsid w:val="1F66B107"/>
    <w:rsid w:val="1F6B8787"/>
    <w:rsid w:val="1F713F1A"/>
    <w:rsid w:val="1F72B1EE"/>
    <w:rsid w:val="1F74CBFC"/>
    <w:rsid w:val="1F7A2E82"/>
    <w:rsid w:val="1F7A3EBE"/>
    <w:rsid w:val="1F7B8EAE"/>
    <w:rsid w:val="1F7E3E61"/>
    <w:rsid w:val="1F7FFC36"/>
    <w:rsid w:val="1F816BDA"/>
    <w:rsid w:val="1F8B3087"/>
    <w:rsid w:val="1F8E1D2E"/>
    <w:rsid w:val="1F8E49AE"/>
    <w:rsid w:val="1F9140E7"/>
    <w:rsid w:val="1F916C21"/>
    <w:rsid w:val="1F93AC9E"/>
    <w:rsid w:val="1FA7BCFF"/>
    <w:rsid w:val="1FAA735B"/>
    <w:rsid w:val="1FAE3D5E"/>
    <w:rsid w:val="1FAF8CB4"/>
    <w:rsid w:val="1FB2A06A"/>
    <w:rsid w:val="1FB5D7C7"/>
    <w:rsid w:val="1FBEE8AA"/>
    <w:rsid w:val="1FC724B4"/>
    <w:rsid w:val="1FCC24A0"/>
    <w:rsid w:val="1FD727D0"/>
    <w:rsid w:val="1FD81A45"/>
    <w:rsid w:val="1FDC37B9"/>
    <w:rsid w:val="1FDDBE73"/>
    <w:rsid w:val="1FDE5CA9"/>
    <w:rsid w:val="1FDF356F"/>
    <w:rsid w:val="1FDF46F5"/>
    <w:rsid w:val="1FE7B0BA"/>
    <w:rsid w:val="1FE9B025"/>
    <w:rsid w:val="1FEB3D04"/>
    <w:rsid w:val="1FF1C0CD"/>
    <w:rsid w:val="1FF466F5"/>
    <w:rsid w:val="2000DC98"/>
    <w:rsid w:val="2005156B"/>
    <w:rsid w:val="20095458"/>
    <w:rsid w:val="200AAAFE"/>
    <w:rsid w:val="2014C3B2"/>
    <w:rsid w:val="2023A906"/>
    <w:rsid w:val="202485E2"/>
    <w:rsid w:val="2024C875"/>
    <w:rsid w:val="202F12C4"/>
    <w:rsid w:val="2030B2B5"/>
    <w:rsid w:val="20365E63"/>
    <w:rsid w:val="203C486E"/>
    <w:rsid w:val="203F5BC4"/>
    <w:rsid w:val="2040EA48"/>
    <w:rsid w:val="20487816"/>
    <w:rsid w:val="204BE9BD"/>
    <w:rsid w:val="20555367"/>
    <w:rsid w:val="20560163"/>
    <w:rsid w:val="2056990C"/>
    <w:rsid w:val="205A7F5F"/>
    <w:rsid w:val="205D420C"/>
    <w:rsid w:val="20660ADC"/>
    <w:rsid w:val="2066C818"/>
    <w:rsid w:val="2068E444"/>
    <w:rsid w:val="207BB903"/>
    <w:rsid w:val="207C93A8"/>
    <w:rsid w:val="207D5E09"/>
    <w:rsid w:val="208008A9"/>
    <w:rsid w:val="2082214B"/>
    <w:rsid w:val="208428B3"/>
    <w:rsid w:val="20897A91"/>
    <w:rsid w:val="208F9356"/>
    <w:rsid w:val="20918AB5"/>
    <w:rsid w:val="2099C8F9"/>
    <w:rsid w:val="209EC385"/>
    <w:rsid w:val="20A5A257"/>
    <w:rsid w:val="20AB0B15"/>
    <w:rsid w:val="20AED73E"/>
    <w:rsid w:val="20B488C2"/>
    <w:rsid w:val="20B85D41"/>
    <w:rsid w:val="20BBDE84"/>
    <w:rsid w:val="20C02051"/>
    <w:rsid w:val="20CBCD20"/>
    <w:rsid w:val="20D25EF9"/>
    <w:rsid w:val="20D3709C"/>
    <w:rsid w:val="20E875EC"/>
    <w:rsid w:val="20F3E71E"/>
    <w:rsid w:val="20F78B1C"/>
    <w:rsid w:val="20F87E56"/>
    <w:rsid w:val="20F95657"/>
    <w:rsid w:val="20F9C837"/>
    <w:rsid w:val="20FEBC6C"/>
    <w:rsid w:val="210679F1"/>
    <w:rsid w:val="210D36A7"/>
    <w:rsid w:val="211413D1"/>
    <w:rsid w:val="21156B31"/>
    <w:rsid w:val="211DEC69"/>
    <w:rsid w:val="211F0A19"/>
    <w:rsid w:val="21234862"/>
    <w:rsid w:val="2124422D"/>
    <w:rsid w:val="212B8A15"/>
    <w:rsid w:val="212D53A2"/>
    <w:rsid w:val="212FCBCA"/>
    <w:rsid w:val="2130141F"/>
    <w:rsid w:val="213281EA"/>
    <w:rsid w:val="213A8F1E"/>
    <w:rsid w:val="213BA397"/>
    <w:rsid w:val="213CE33B"/>
    <w:rsid w:val="213E0E27"/>
    <w:rsid w:val="214ADBD4"/>
    <w:rsid w:val="214D070C"/>
    <w:rsid w:val="2150A291"/>
    <w:rsid w:val="2152DA53"/>
    <w:rsid w:val="21530071"/>
    <w:rsid w:val="215691B2"/>
    <w:rsid w:val="2158A66E"/>
    <w:rsid w:val="215CA914"/>
    <w:rsid w:val="21699653"/>
    <w:rsid w:val="2178D1BB"/>
    <w:rsid w:val="2189374F"/>
    <w:rsid w:val="2194F28A"/>
    <w:rsid w:val="219E7C1F"/>
    <w:rsid w:val="21A39B37"/>
    <w:rsid w:val="21A5C3E2"/>
    <w:rsid w:val="21AB9BEA"/>
    <w:rsid w:val="21B91ADF"/>
    <w:rsid w:val="21C8B842"/>
    <w:rsid w:val="21CAA31A"/>
    <w:rsid w:val="21D040D8"/>
    <w:rsid w:val="21D0864F"/>
    <w:rsid w:val="21D2122C"/>
    <w:rsid w:val="21D8851C"/>
    <w:rsid w:val="21DB3DB6"/>
    <w:rsid w:val="21DD3359"/>
    <w:rsid w:val="21E524D4"/>
    <w:rsid w:val="21EB5300"/>
    <w:rsid w:val="21EB8C48"/>
    <w:rsid w:val="21F11DD4"/>
    <w:rsid w:val="21F35D98"/>
    <w:rsid w:val="22008B3B"/>
    <w:rsid w:val="220180A8"/>
    <w:rsid w:val="2203F059"/>
    <w:rsid w:val="220BB7A5"/>
    <w:rsid w:val="220D66EC"/>
    <w:rsid w:val="2210F4B1"/>
    <w:rsid w:val="2212FD7A"/>
    <w:rsid w:val="2214A0C4"/>
    <w:rsid w:val="22195760"/>
    <w:rsid w:val="221F5D88"/>
    <w:rsid w:val="22272A01"/>
    <w:rsid w:val="22293B2F"/>
    <w:rsid w:val="222C0555"/>
    <w:rsid w:val="22379EE0"/>
    <w:rsid w:val="2240243B"/>
    <w:rsid w:val="2244A2FF"/>
    <w:rsid w:val="2246F49F"/>
    <w:rsid w:val="224FD6BE"/>
    <w:rsid w:val="225420B8"/>
    <w:rsid w:val="225E2F3A"/>
    <w:rsid w:val="225F8D7B"/>
    <w:rsid w:val="2260F05D"/>
    <w:rsid w:val="2264219D"/>
    <w:rsid w:val="2269A2A4"/>
    <w:rsid w:val="226E8F90"/>
    <w:rsid w:val="22764A48"/>
    <w:rsid w:val="2277D286"/>
    <w:rsid w:val="2278B299"/>
    <w:rsid w:val="227995BC"/>
    <w:rsid w:val="2279F03B"/>
    <w:rsid w:val="227E0C45"/>
    <w:rsid w:val="227F4BD3"/>
    <w:rsid w:val="2285DE14"/>
    <w:rsid w:val="22862363"/>
    <w:rsid w:val="2287D9F0"/>
    <w:rsid w:val="2288C713"/>
    <w:rsid w:val="229541C1"/>
    <w:rsid w:val="22A8D770"/>
    <w:rsid w:val="22B05AC2"/>
    <w:rsid w:val="22B0F2A6"/>
    <w:rsid w:val="22B90CCA"/>
    <w:rsid w:val="22BA41AE"/>
    <w:rsid w:val="22C40144"/>
    <w:rsid w:val="22C6DA2C"/>
    <w:rsid w:val="22CD69F8"/>
    <w:rsid w:val="22D27E2C"/>
    <w:rsid w:val="22D36A51"/>
    <w:rsid w:val="22D4919D"/>
    <w:rsid w:val="22DB17A1"/>
    <w:rsid w:val="22DD7670"/>
    <w:rsid w:val="22E375A9"/>
    <w:rsid w:val="22E45C06"/>
    <w:rsid w:val="22ED0AEB"/>
    <w:rsid w:val="22EFC591"/>
    <w:rsid w:val="22F302B2"/>
    <w:rsid w:val="22F52BFE"/>
    <w:rsid w:val="22F879B4"/>
    <w:rsid w:val="2305546B"/>
    <w:rsid w:val="2308EC59"/>
    <w:rsid w:val="230A7769"/>
    <w:rsid w:val="230B59B6"/>
    <w:rsid w:val="230BBC46"/>
    <w:rsid w:val="23115EB9"/>
    <w:rsid w:val="23158B2F"/>
    <w:rsid w:val="2317CA78"/>
    <w:rsid w:val="231A9F64"/>
    <w:rsid w:val="231AB466"/>
    <w:rsid w:val="231CF821"/>
    <w:rsid w:val="231EE82D"/>
    <w:rsid w:val="23242F65"/>
    <w:rsid w:val="2324DE3D"/>
    <w:rsid w:val="23263E3B"/>
    <w:rsid w:val="23266D20"/>
    <w:rsid w:val="232DA4BB"/>
    <w:rsid w:val="2332C42C"/>
    <w:rsid w:val="2335994F"/>
    <w:rsid w:val="233A3F3E"/>
    <w:rsid w:val="2342F844"/>
    <w:rsid w:val="234A13CD"/>
    <w:rsid w:val="234BF721"/>
    <w:rsid w:val="234C1C65"/>
    <w:rsid w:val="2356C3DE"/>
    <w:rsid w:val="235E2DBC"/>
    <w:rsid w:val="2361820A"/>
    <w:rsid w:val="236828C4"/>
    <w:rsid w:val="23693D19"/>
    <w:rsid w:val="236F0596"/>
    <w:rsid w:val="2375F43F"/>
    <w:rsid w:val="23773C2C"/>
    <w:rsid w:val="237B9C9C"/>
    <w:rsid w:val="23875CA9"/>
    <w:rsid w:val="238BDFED"/>
    <w:rsid w:val="23905DF2"/>
    <w:rsid w:val="239436D3"/>
    <w:rsid w:val="23987965"/>
    <w:rsid w:val="239F642F"/>
    <w:rsid w:val="23A46475"/>
    <w:rsid w:val="23A5199B"/>
    <w:rsid w:val="23A59237"/>
    <w:rsid w:val="23A8CC63"/>
    <w:rsid w:val="23AAEA84"/>
    <w:rsid w:val="23C34665"/>
    <w:rsid w:val="23C9FAB7"/>
    <w:rsid w:val="23CB8B20"/>
    <w:rsid w:val="23DB627D"/>
    <w:rsid w:val="23DD7DB2"/>
    <w:rsid w:val="23E78F3A"/>
    <w:rsid w:val="23F3108C"/>
    <w:rsid w:val="23F68765"/>
    <w:rsid w:val="23FB8FEB"/>
    <w:rsid w:val="24002EB1"/>
    <w:rsid w:val="24070E64"/>
    <w:rsid w:val="2408D2A1"/>
    <w:rsid w:val="24105430"/>
    <w:rsid w:val="24115AB3"/>
    <w:rsid w:val="241AC3BE"/>
    <w:rsid w:val="241BBFE1"/>
    <w:rsid w:val="2425862E"/>
    <w:rsid w:val="242D8FCE"/>
    <w:rsid w:val="2432BE83"/>
    <w:rsid w:val="2434EADB"/>
    <w:rsid w:val="2439F56F"/>
    <w:rsid w:val="243C9B7E"/>
    <w:rsid w:val="24423048"/>
    <w:rsid w:val="24428712"/>
    <w:rsid w:val="2442D713"/>
    <w:rsid w:val="2445F2E4"/>
    <w:rsid w:val="244619E2"/>
    <w:rsid w:val="24489274"/>
    <w:rsid w:val="244AC2C7"/>
    <w:rsid w:val="2456A3BF"/>
    <w:rsid w:val="2456BF62"/>
    <w:rsid w:val="2456CA3D"/>
    <w:rsid w:val="2461FF3B"/>
    <w:rsid w:val="24658B10"/>
    <w:rsid w:val="246A15E8"/>
    <w:rsid w:val="2490BA12"/>
    <w:rsid w:val="24A198F7"/>
    <w:rsid w:val="24A57962"/>
    <w:rsid w:val="24A807A4"/>
    <w:rsid w:val="24A9132C"/>
    <w:rsid w:val="24AC0331"/>
    <w:rsid w:val="24B3544B"/>
    <w:rsid w:val="24CCD7B3"/>
    <w:rsid w:val="24D35074"/>
    <w:rsid w:val="24D901D3"/>
    <w:rsid w:val="24E06A6A"/>
    <w:rsid w:val="24E0788E"/>
    <w:rsid w:val="24E39B39"/>
    <w:rsid w:val="24E4175B"/>
    <w:rsid w:val="24E4400D"/>
    <w:rsid w:val="24E6B9FC"/>
    <w:rsid w:val="24EA0FB5"/>
    <w:rsid w:val="24EAB2B6"/>
    <w:rsid w:val="24ED0929"/>
    <w:rsid w:val="24F55506"/>
    <w:rsid w:val="25081FBA"/>
    <w:rsid w:val="250EA056"/>
    <w:rsid w:val="25152EC2"/>
    <w:rsid w:val="251883D7"/>
    <w:rsid w:val="2528BE27"/>
    <w:rsid w:val="252EC080"/>
    <w:rsid w:val="25301471"/>
    <w:rsid w:val="25303FAE"/>
    <w:rsid w:val="253C34A1"/>
    <w:rsid w:val="253F3E72"/>
    <w:rsid w:val="2546FC2F"/>
    <w:rsid w:val="2551559B"/>
    <w:rsid w:val="2551C930"/>
    <w:rsid w:val="255359B6"/>
    <w:rsid w:val="2553B685"/>
    <w:rsid w:val="255418C4"/>
    <w:rsid w:val="2554BD8A"/>
    <w:rsid w:val="25583D38"/>
    <w:rsid w:val="255A2D87"/>
    <w:rsid w:val="2561115A"/>
    <w:rsid w:val="25639700"/>
    <w:rsid w:val="25651000"/>
    <w:rsid w:val="25662B08"/>
    <w:rsid w:val="256F6470"/>
    <w:rsid w:val="257D57D1"/>
    <w:rsid w:val="258448F9"/>
    <w:rsid w:val="25897DD0"/>
    <w:rsid w:val="2589EA5F"/>
    <w:rsid w:val="2591937D"/>
    <w:rsid w:val="25925936"/>
    <w:rsid w:val="25993E38"/>
    <w:rsid w:val="259EBF38"/>
    <w:rsid w:val="259EF473"/>
    <w:rsid w:val="25A6D23E"/>
    <w:rsid w:val="25A755A6"/>
    <w:rsid w:val="25ADDBD6"/>
    <w:rsid w:val="25AEC4F7"/>
    <w:rsid w:val="25B04AA9"/>
    <w:rsid w:val="25B45241"/>
    <w:rsid w:val="25B5D890"/>
    <w:rsid w:val="25B8007B"/>
    <w:rsid w:val="25C2D96C"/>
    <w:rsid w:val="25C6538F"/>
    <w:rsid w:val="25C6C8F2"/>
    <w:rsid w:val="25C71DD8"/>
    <w:rsid w:val="25C75841"/>
    <w:rsid w:val="25D78186"/>
    <w:rsid w:val="25D8D341"/>
    <w:rsid w:val="25E214E8"/>
    <w:rsid w:val="25E2D765"/>
    <w:rsid w:val="25E877F3"/>
    <w:rsid w:val="25FAC9CA"/>
    <w:rsid w:val="25FF97AB"/>
    <w:rsid w:val="2604C74C"/>
    <w:rsid w:val="260837AF"/>
    <w:rsid w:val="260F3DB1"/>
    <w:rsid w:val="26168E64"/>
    <w:rsid w:val="2626A315"/>
    <w:rsid w:val="2629F63A"/>
    <w:rsid w:val="262BBB62"/>
    <w:rsid w:val="2635B737"/>
    <w:rsid w:val="2638B60D"/>
    <w:rsid w:val="264ACA0A"/>
    <w:rsid w:val="264DE92F"/>
    <w:rsid w:val="2657509A"/>
    <w:rsid w:val="2659D685"/>
    <w:rsid w:val="266CE493"/>
    <w:rsid w:val="266D4FE8"/>
    <w:rsid w:val="26736A51"/>
    <w:rsid w:val="267A73A8"/>
    <w:rsid w:val="268006D8"/>
    <w:rsid w:val="2683647F"/>
    <w:rsid w:val="268603A0"/>
    <w:rsid w:val="2692FC3B"/>
    <w:rsid w:val="2697D532"/>
    <w:rsid w:val="269892A8"/>
    <w:rsid w:val="269F1B87"/>
    <w:rsid w:val="26A0DDDB"/>
    <w:rsid w:val="26A9B8AC"/>
    <w:rsid w:val="26AADDD6"/>
    <w:rsid w:val="26AE367B"/>
    <w:rsid w:val="26AFCB76"/>
    <w:rsid w:val="26B1726D"/>
    <w:rsid w:val="26B62D69"/>
    <w:rsid w:val="26BE7C95"/>
    <w:rsid w:val="26C09749"/>
    <w:rsid w:val="26C2549F"/>
    <w:rsid w:val="26C509A4"/>
    <w:rsid w:val="26CFE26D"/>
    <w:rsid w:val="26D310DD"/>
    <w:rsid w:val="26DB9BF8"/>
    <w:rsid w:val="26DD899E"/>
    <w:rsid w:val="26E3D763"/>
    <w:rsid w:val="26E456A4"/>
    <w:rsid w:val="26E7E30F"/>
    <w:rsid w:val="26ECC483"/>
    <w:rsid w:val="26F6A5FF"/>
    <w:rsid w:val="26FD0C81"/>
    <w:rsid w:val="26FFCC22"/>
    <w:rsid w:val="26FFD3CB"/>
    <w:rsid w:val="2702E62F"/>
    <w:rsid w:val="2704362C"/>
    <w:rsid w:val="270542F5"/>
    <w:rsid w:val="27059E7E"/>
    <w:rsid w:val="270AD487"/>
    <w:rsid w:val="270B9ADF"/>
    <w:rsid w:val="270FB963"/>
    <w:rsid w:val="271EE6F4"/>
    <w:rsid w:val="272757F8"/>
    <w:rsid w:val="272ADA17"/>
    <w:rsid w:val="2736F51A"/>
    <w:rsid w:val="27400D65"/>
    <w:rsid w:val="2747A878"/>
    <w:rsid w:val="274C1B0A"/>
    <w:rsid w:val="2751B267"/>
    <w:rsid w:val="2762365A"/>
    <w:rsid w:val="27664522"/>
    <w:rsid w:val="27697A33"/>
    <w:rsid w:val="276E6081"/>
    <w:rsid w:val="27756172"/>
    <w:rsid w:val="27895D62"/>
    <w:rsid w:val="278B26B2"/>
    <w:rsid w:val="278C50F0"/>
    <w:rsid w:val="278F1492"/>
    <w:rsid w:val="2791503B"/>
    <w:rsid w:val="2791DC0C"/>
    <w:rsid w:val="279AA2F4"/>
    <w:rsid w:val="279CA369"/>
    <w:rsid w:val="27A0B72B"/>
    <w:rsid w:val="27A1E0DB"/>
    <w:rsid w:val="27A779A7"/>
    <w:rsid w:val="27AB2E7C"/>
    <w:rsid w:val="27B710FC"/>
    <w:rsid w:val="27C078FE"/>
    <w:rsid w:val="27C1C6F7"/>
    <w:rsid w:val="27C3E944"/>
    <w:rsid w:val="27CA7827"/>
    <w:rsid w:val="27CEF317"/>
    <w:rsid w:val="27D390B6"/>
    <w:rsid w:val="27D80FB1"/>
    <w:rsid w:val="27DA06CF"/>
    <w:rsid w:val="27DD00C6"/>
    <w:rsid w:val="27EB166C"/>
    <w:rsid w:val="27F0847A"/>
    <w:rsid w:val="27F12A05"/>
    <w:rsid w:val="27F5E572"/>
    <w:rsid w:val="27FB2044"/>
    <w:rsid w:val="280D232B"/>
    <w:rsid w:val="28103958"/>
    <w:rsid w:val="28121A4A"/>
    <w:rsid w:val="282194A2"/>
    <w:rsid w:val="282403EF"/>
    <w:rsid w:val="282F4255"/>
    <w:rsid w:val="282FB9AB"/>
    <w:rsid w:val="28343F91"/>
    <w:rsid w:val="28362C86"/>
    <w:rsid w:val="28369B87"/>
    <w:rsid w:val="28395698"/>
    <w:rsid w:val="28462115"/>
    <w:rsid w:val="284CB9F9"/>
    <w:rsid w:val="284F5A87"/>
    <w:rsid w:val="285FD8DB"/>
    <w:rsid w:val="2860C5E2"/>
    <w:rsid w:val="2863247E"/>
    <w:rsid w:val="286326FA"/>
    <w:rsid w:val="2868BDEF"/>
    <w:rsid w:val="2872329A"/>
    <w:rsid w:val="2873F61A"/>
    <w:rsid w:val="287C8558"/>
    <w:rsid w:val="287EACF8"/>
    <w:rsid w:val="2884CBEE"/>
    <w:rsid w:val="288CBC4E"/>
    <w:rsid w:val="2891D1A5"/>
    <w:rsid w:val="28945148"/>
    <w:rsid w:val="289738D2"/>
    <w:rsid w:val="2898378A"/>
    <w:rsid w:val="289A8297"/>
    <w:rsid w:val="28A4C9ED"/>
    <w:rsid w:val="28AC7685"/>
    <w:rsid w:val="28AC83CB"/>
    <w:rsid w:val="28AD4C3C"/>
    <w:rsid w:val="28AE035C"/>
    <w:rsid w:val="28B77047"/>
    <w:rsid w:val="28B8BCF8"/>
    <w:rsid w:val="28BC560F"/>
    <w:rsid w:val="28C73681"/>
    <w:rsid w:val="28CD0F69"/>
    <w:rsid w:val="28D02DD5"/>
    <w:rsid w:val="28D0FC1B"/>
    <w:rsid w:val="28D1E4FF"/>
    <w:rsid w:val="28D2EF60"/>
    <w:rsid w:val="28E09902"/>
    <w:rsid w:val="28E41E55"/>
    <w:rsid w:val="28ED3862"/>
    <w:rsid w:val="28F0F110"/>
    <w:rsid w:val="28F1C86F"/>
    <w:rsid w:val="28F632F5"/>
    <w:rsid w:val="28FAA843"/>
    <w:rsid w:val="28FBBDFE"/>
    <w:rsid w:val="28FCA715"/>
    <w:rsid w:val="2901F2AF"/>
    <w:rsid w:val="2908F106"/>
    <w:rsid w:val="29094897"/>
    <w:rsid w:val="290AC83C"/>
    <w:rsid w:val="2916161F"/>
    <w:rsid w:val="2919568E"/>
    <w:rsid w:val="2919E0E7"/>
    <w:rsid w:val="2928D13F"/>
    <w:rsid w:val="2930D210"/>
    <w:rsid w:val="2932CADD"/>
    <w:rsid w:val="2932F5AD"/>
    <w:rsid w:val="293A8C33"/>
    <w:rsid w:val="294611C0"/>
    <w:rsid w:val="294937D8"/>
    <w:rsid w:val="294BC824"/>
    <w:rsid w:val="294C6862"/>
    <w:rsid w:val="294C9F55"/>
    <w:rsid w:val="294D3194"/>
    <w:rsid w:val="2957DCAB"/>
    <w:rsid w:val="295CD0B1"/>
    <w:rsid w:val="295E173B"/>
    <w:rsid w:val="2960E4FE"/>
    <w:rsid w:val="296D7DF8"/>
    <w:rsid w:val="296EBF2D"/>
    <w:rsid w:val="296FB155"/>
    <w:rsid w:val="29725E49"/>
    <w:rsid w:val="29768754"/>
    <w:rsid w:val="2980E177"/>
    <w:rsid w:val="29826613"/>
    <w:rsid w:val="2984450C"/>
    <w:rsid w:val="2989F6B7"/>
    <w:rsid w:val="2994D3B9"/>
    <w:rsid w:val="2997AE36"/>
    <w:rsid w:val="29992381"/>
    <w:rsid w:val="299CE48E"/>
    <w:rsid w:val="299D3051"/>
    <w:rsid w:val="299DDDCE"/>
    <w:rsid w:val="29A36707"/>
    <w:rsid w:val="29A40038"/>
    <w:rsid w:val="29A40FD0"/>
    <w:rsid w:val="29B08576"/>
    <w:rsid w:val="29B19469"/>
    <w:rsid w:val="29B75525"/>
    <w:rsid w:val="29C77E3F"/>
    <w:rsid w:val="29CF8EAF"/>
    <w:rsid w:val="29D57957"/>
    <w:rsid w:val="29DD5AEC"/>
    <w:rsid w:val="29E16249"/>
    <w:rsid w:val="29E22D3C"/>
    <w:rsid w:val="29E76AD7"/>
    <w:rsid w:val="29E7F5FF"/>
    <w:rsid w:val="29F07A79"/>
    <w:rsid w:val="29FC7631"/>
    <w:rsid w:val="29FF3906"/>
    <w:rsid w:val="2A161269"/>
    <w:rsid w:val="2A1A9422"/>
    <w:rsid w:val="2A2C9247"/>
    <w:rsid w:val="2A3279D9"/>
    <w:rsid w:val="2A32FDB0"/>
    <w:rsid w:val="2A37C8AA"/>
    <w:rsid w:val="2A3A7096"/>
    <w:rsid w:val="2A3DA168"/>
    <w:rsid w:val="2A40B3A4"/>
    <w:rsid w:val="2A4985D0"/>
    <w:rsid w:val="2A5101D4"/>
    <w:rsid w:val="2A5989D7"/>
    <w:rsid w:val="2A5BB7CA"/>
    <w:rsid w:val="2A5ED0DB"/>
    <w:rsid w:val="2A64C03B"/>
    <w:rsid w:val="2A673E05"/>
    <w:rsid w:val="2A745CDB"/>
    <w:rsid w:val="2A9E0396"/>
    <w:rsid w:val="2A9F76EE"/>
    <w:rsid w:val="2AA57132"/>
    <w:rsid w:val="2AAC24B4"/>
    <w:rsid w:val="2AAD487C"/>
    <w:rsid w:val="2AB81D52"/>
    <w:rsid w:val="2AB9AF0A"/>
    <w:rsid w:val="2AC07890"/>
    <w:rsid w:val="2AC27831"/>
    <w:rsid w:val="2AC8E708"/>
    <w:rsid w:val="2ACD0AE9"/>
    <w:rsid w:val="2ACD9395"/>
    <w:rsid w:val="2AD02165"/>
    <w:rsid w:val="2AD34044"/>
    <w:rsid w:val="2ADBD500"/>
    <w:rsid w:val="2AE4BB75"/>
    <w:rsid w:val="2AE5DEDE"/>
    <w:rsid w:val="2AECD7E7"/>
    <w:rsid w:val="2AEF07BC"/>
    <w:rsid w:val="2AEF1150"/>
    <w:rsid w:val="2AF09821"/>
    <w:rsid w:val="2AF50947"/>
    <w:rsid w:val="2AFCFCDD"/>
    <w:rsid w:val="2B01FF7A"/>
    <w:rsid w:val="2B06A507"/>
    <w:rsid w:val="2B149F9E"/>
    <w:rsid w:val="2B277BF3"/>
    <w:rsid w:val="2B279EEF"/>
    <w:rsid w:val="2B32C8A9"/>
    <w:rsid w:val="2B3A30E5"/>
    <w:rsid w:val="2B3C88D5"/>
    <w:rsid w:val="2B69230D"/>
    <w:rsid w:val="2B702B3D"/>
    <w:rsid w:val="2B70E023"/>
    <w:rsid w:val="2B734152"/>
    <w:rsid w:val="2B74E215"/>
    <w:rsid w:val="2B774F57"/>
    <w:rsid w:val="2B7E138A"/>
    <w:rsid w:val="2B823AB7"/>
    <w:rsid w:val="2B87591A"/>
    <w:rsid w:val="2BA92592"/>
    <w:rsid w:val="2BB05FDF"/>
    <w:rsid w:val="2BB5DCDE"/>
    <w:rsid w:val="2BB677F6"/>
    <w:rsid w:val="2BB7BCC1"/>
    <w:rsid w:val="2BB7BE83"/>
    <w:rsid w:val="2BBA8E0C"/>
    <w:rsid w:val="2BBB2F01"/>
    <w:rsid w:val="2BBDF6AB"/>
    <w:rsid w:val="2BC1AE6A"/>
    <w:rsid w:val="2BC8BD9B"/>
    <w:rsid w:val="2BCD1A5F"/>
    <w:rsid w:val="2BE2629C"/>
    <w:rsid w:val="2BE4CDCD"/>
    <w:rsid w:val="2BED44C1"/>
    <w:rsid w:val="2BF25349"/>
    <w:rsid w:val="2BF35398"/>
    <w:rsid w:val="2BF7121C"/>
    <w:rsid w:val="2C015B0C"/>
    <w:rsid w:val="2C02726E"/>
    <w:rsid w:val="2C08A089"/>
    <w:rsid w:val="2C096BAF"/>
    <w:rsid w:val="2C0985C1"/>
    <w:rsid w:val="2C19BF05"/>
    <w:rsid w:val="2C1BCDDE"/>
    <w:rsid w:val="2C235B20"/>
    <w:rsid w:val="2C238439"/>
    <w:rsid w:val="2C2782B9"/>
    <w:rsid w:val="2C33CC06"/>
    <w:rsid w:val="2C397F82"/>
    <w:rsid w:val="2C3B0595"/>
    <w:rsid w:val="2C3CFC49"/>
    <w:rsid w:val="2C3E4B33"/>
    <w:rsid w:val="2C439A07"/>
    <w:rsid w:val="2C44B7F7"/>
    <w:rsid w:val="2C4C951F"/>
    <w:rsid w:val="2C515A7E"/>
    <w:rsid w:val="2C5CE4F4"/>
    <w:rsid w:val="2C5E91BE"/>
    <w:rsid w:val="2C5EC97D"/>
    <w:rsid w:val="2C638BBD"/>
    <w:rsid w:val="2C7803F2"/>
    <w:rsid w:val="2C7A1C3D"/>
    <w:rsid w:val="2C7AFC0D"/>
    <w:rsid w:val="2C842567"/>
    <w:rsid w:val="2C88A40B"/>
    <w:rsid w:val="2C8F6839"/>
    <w:rsid w:val="2CA2BD4D"/>
    <w:rsid w:val="2CA3191E"/>
    <w:rsid w:val="2CA6CD5A"/>
    <w:rsid w:val="2CAF9491"/>
    <w:rsid w:val="2CB3C8D6"/>
    <w:rsid w:val="2CB95354"/>
    <w:rsid w:val="2CBEA26C"/>
    <w:rsid w:val="2CC16441"/>
    <w:rsid w:val="2CCE990A"/>
    <w:rsid w:val="2CD1F77D"/>
    <w:rsid w:val="2CD72D7F"/>
    <w:rsid w:val="2CD9431A"/>
    <w:rsid w:val="2CDA43B4"/>
    <w:rsid w:val="2CE32B70"/>
    <w:rsid w:val="2CEE76AF"/>
    <w:rsid w:val="2CF5498D"/>
    <w:rsid w:val="2D06A94F"/>
    <w:rsid w:val="2D0E745F"/>
    <w:rsid w:val="2D13A880"/>
    <w:rsid w:val="2D1ACBB0"/>
    <w:rsid w:val="2D2D5D63"/>
    <w:rsid w:val="2D335A14"/>
    <w:rsid w:val="2D4A2526"/>
    <w:rsid w:val="2D5227F7"/>
    <w:rsid w:val="2D708297"/>
    <w:rsid w:val="2D738425"/>
    <w:rsid w:val="2D78D868"/>
    <w:rsid w:val="2D7A2A76"/>
    <w:rsid w:val="2D7A302F"/>
    <w:rsid w:val="2D7E5ECC"/>
    <w:rsid w:val="2D842164"/>
    <w:rsid w:val="2D8EBD04"/>
    <w:rsid w:val="2D90C1F3"/>
    <w:rsid w:val="2D979257"/>
    <w:rsid w:val="2DA7060C"/>
    <w:rsid w:val="2DA71C59"/>
    <w:rsid w:val="2DA89B83"/>
    <w:rsid w:val="2DAC4428"/>
    <w:rsid w:val="2DB2AA6F"/>
    <w:rsid w:val="2DB46BFA"/>
    <w:rsid w:val="2DB9026F"/>
    <w:rsid w:val="2DBBD9D6"/>
    <w:rsid w:val="2DC73942"/>
    <w:rsid w:val="2DC899C5"/>
    <w:rsid w:val="2DD49998"/>
    <w:rsid w:val="2DD55D66"/>
    <w:rsid w:val="2DE2DC74"/>
    <w:rsid w:val="2DE3D001"/>
    <w:rsid w:val="2DE8625A"/>
    <w:rsid w:val="2DE930BE"/>
    <w:rsid w:val="2DEA66DA"/>
    <w:rsid w:val="2DF91416"/>
    <w:rsid w:val="2DF92C46"/>
    <w:rsid w:val="2DFDECCF"/>
    <w:rsid w:val="2DFF76A9"/>
    <w:rsid w:val="2E0390F0"/>
    <w:rsid w:val="2E0FC2BA"/>
    <w:rsid w:val="2E1060CB"/>
    <w:rsid w:val="2E127930"/>
    <w:rsid w:val="2E1375C2"/>
    <w:rsid w:val="2E1BE158"/>
    <w:rsid w:val="2E21716B"/>
    <w:rsid w:val="2E2EFC9D"/>
    <w:rsid w:val="2E38ECAA"/>
    <w:rsid w:val="2E39839E"/>
    <w:rsid w:val="2E3A6F9B"/>
    <w:rsid w:val="2E4719DA"/>
    <w:rsid w:val="2E48FA3E"/>
    <w:rsid w:val="2E5818D7"/>
    <w:rsid w:val="2E5EE35A"/>
    <w:rsid w:val="2E60CE28"/>
    <w:rsid w:val="2E614E38"/>
    <w:rsid w:val="2E6206C3"/>
    <w:rsid w:val="2E69CCF1"/>
    <w:rsid w:val="2E6D392B"/>
    <w:rsid w:val="2E6E2DBC"/>
    <w:rsid w:val="2E705B4D"/>
    <w:rsid w:val="2E7435E7"/>
    <w:rsid w:val="2E7674FE"/>
    <w:rsid w:val="2E81D5CB"/>
    <w:rsid w:val="2E84274F"/>
    <w:rsid w:val="2E8F7263"/>
    <w:rsid w:val="2E90E342"/>
    <w:rsid w:val="2EA5DD0B"/>
    <w:rsid w:val="2EA7A05F"/>
    <w:rsid w:val="2EABC713"/>
    <w:rsid w:val="2ECA7800"/>
    <w:rsid w:val="2ED239B9"/>
    <w:rsid w:val="2ED56203"/>
    <w:rsid w:val="2ED6C4F3"/>
    <w:rsid w:val="2ED82E8F"/>
    <w:rsid w:val="2ED9CE26"/>
    <w:rsid w:val="2EDA828E"/>
    <w:rsid w:val="2EDE058A"/>
    <w:rsid w:val="2EDE5644"/>
    <w:rsid w:val="2EDFE87B"/>
    <w:rsid w:val="2EE0C5EC"/>
    <w:rsid w:val="2EE93467"/>
    <w:rsid w:val="2EF11DBC"/>
    <w:rsid w:val="2EF15BA0"/>
    <w:rsid w:val="2F087374"/>
    <w:rsid w:val="2F0E49C8"/>
    <w:rsid w:val="2F116F3C"/>
    <w:rsid w:val="2F2425F9"/>
    <w:rsid w:val="2F25D4C7"/>
    <w:rsid w:val="2F2B0B00"/>
    <w:rsid w:val="2F339DB3"/>
    <w:rsid w:val="2F372004"/>
    <w:rsid w:val="2F3A1590"/>
    <w:rsid w:val="2F3CF8F5"/>
    <w:rsid w:val="2F4AFED5"/>
    <w:rsid w:val="2F4BF222"/>
    <w:rsid w:val="2F51871B"/>
    <w:rsid w:val="2F534669"/>
    <w:rsid w:val="2F560E3E"/>
    <w:rsid w:val="2F566BA9"/>
    <w:rsid w:val="2F62EC59"/>
    <w:rsid w:val="2F698D87"/>
    <w:rsid w:val="2F6A2A24"/>
    <w:rsid w:val="2F6D74EF"/>
    <w:rsid w:val="2F6FD4DC"/>
    <w:rsid w:val="2F75F517"/>
    <w:rsid w:val="2F7ABA23"/>
    <w:rsid w:val="2F7C2993"/>
    <w:rsid w:val="2F804210"/>
    <w:rsid w:val="2F966DB3"/>
    <w:rsid w:val="2FA04E5E"/>
    <w:rsid w:val="2FA21302"/>
    <w:rsid w:val="2FA41A67"/>
    <w:rsid w:val="2FAEE1BF"/>
    <w:rsid w:val="2FB43CBC"/>
    <w:rsid w:val="2FB66B44"/>
    <w:rsid w:val="2FB8195A"/>
    <w:rsid w:val="2FB93F85"/>
    <w:rsid w:val="2FB97AC4"/>
    <w:rsid w:val="2FBA25AC"/>
    <w:rsid w:val="2FBE8D75"/>
    <w:rsid w:val="2FC23C9B"/>
    <w:rsid w:val="2FC73D2C"/>
    <w:rsid w:val="2FC78BE7"/>
    <w:rsid w:val="2FD0CD03"/>
    <w:rsid w:val="2FD11F30"/>
    <w:rsid w:val="2FD3F85E"/>
    <w:rsid w:val="2FDDD0AE"/>
    <w:rsid w:val="2FE11694"/>
    <w:rsid w:val="2FE80610"/>
    <w:rsid w:val="2FE9485B"/>
    <w:rsid w:val="2FF47D13"/>
    <w:rsid w:val="2FF64341"/>
    <w:rsid w:val="2FF7AD96"/>
    <w:rsid w:val="2FFB7CB2"/>
    <w:rsid w:val="2FFC8EB0"/>
    <w:rsid w:val="2FFECF23"/>
    <w:rsid w:val="3005C899"/>
    <w:rsid w:val="3009EDB0"/>
    <w:rsid w:val="300BFA52"/>
    <w:rsid w:val="300F0F7A"/>
    <w:rsid w:val="30165665"/>
    <w:rsid w:val="3018C80F"/>
    <w:rsid w:val="301C4342"/>
    <w:rsid w:val="3023F75A"/>
    <w:rsid w:val="302687D8"/>
    <w:rsid w:val="302A99AC"/>
    <w:rsid w:val="302C5C5D"/>
    <w:rsid w:val="302F1269"/>
    <w:rsid w:val="30326792"/>
    <w:rsid w:val="3034AADE"/>
    <w:rsid w:val="30362CD0"/>
    <w:rsid w:val="303D0E08"/>
    <w:rsid w:val="30402213"/>
    <w:rsid w:val="30433DDF"/>
    <w:rsid w:val="30489CAC"/>
    <w:rsid w:val="3053E952"/>
    <w:rsid w:val="305BE387"/>
    <w:rsid w:val="3065DFB1"/>
    <w:rsid w:val="306A9301"/>
    <w:rsid w:val="306CFB3E"/>
    <w:rsid w:val="306F5684"/>
    <w:rsid w:val="30735FE6"/>
    <w:rsid w:val="307C687E"/>
    <w:rsid w:val="307ECFD8"/>
    <w:rsid w:val="30810EFF"/>
    <w:rsid w:val="308A4956"/>
    <w:rsid w:val="308E51E5"/>
    <w:rsid w:val="3095594E"/>
    <w:rsid w:val="309646D2"/>
    <w:rsid w:val="309F13AB"/>
    <w:rsid w:val="309F9AC7"/>
    <w:rsid w:val="30A0B56E"/>
    <w:rsid w:val="30ACF00A"/>
    <w:rsid w:val="30B38463"/>
    <w:rsid w:val="30BD777E"/>
    <w:rsid w:val="30BFCADB"/>
    <w:rsid w:val="30C1F357"/>
    <w:rsid w:val="30C5A2D0"/>
    <w:rsid w:val="30C645B4"/>
    <w:rsid w:val="30CB2F40"/>
    <w:rsid w:val="30CD30DF"/>
    <w:rsid w:val="30CDACAE"/>
    <w:rsid w:val="30D37187"/>
    <w:rsid w:val="30D3F1CC"/>
    <w:rsid w:val="30E1FF36"/>
    <w:rsid w:val="30EDD092"/>
    <w:rsid w:val="30F7EA99"/>
    <w:rsid w:val="3102C48A"/>
    <w:rsid w:val="31042C1A"/>
    <w:rsid w:val="31042FBC"/>
    <w:rsid w:val="3106BF1D"/>
    <w:rsid w:val="310B3E13"/>
    <w:rsid w:val="310E75F7"/>
    <w:rsid w:val="31215818"/>
    <w:rsid w:val="312A3E44"/>
    <w:rsid w:val="312D521F"/>
    <w:rsid w:val="312EF2DA"/>
    <w:rsid w:val="31330BC9"/>
    <w:rsid w:val="31333F2F"/>
    <w:rsid w:val="3133CE46"/>
    <w:rsid w:val="3145EF8C"/>
    <w:rsid w:val="3146F0E1"/>
    <w:rsid w:val="31527047"/>
    <w:rsid w:val="31574F64"/>
    <w:rsid w:val="3161972B"/>
    <w:rsid w:val="316DC03F"/>
    <w:rsid w:val="316F53ED"/>
    <w:rsid w:val="31858A45"/>
    <w:rsid w:val="318668F0"/>
    <w:rsid w:val="31922B1A"/>
    <w:rsid w:val="31945B55"/>
    <w:rsid w:val="319625D9"/>
    <w:rsid w:val="3199DC97"/>
    <w:rsid w:val="319E50EF"/>
    <w:rsid w:val="31A087AA"/>
    <w:rsid w:val="31A5482C"/>
    <w:rsid w:val="31AA56CD"/>
    <w:rsid w:val="31AAF614"/>
    <w:rsid w:val="31AE3018"/>
    <w:rsid w:val="31B6CCFE"/>
    <w:rsid w:val="31B7E98E"/>
    <w:rsid w:val="31BA2E45"/>
    <w:rsid w:val="31BAB10B"/>
    <w:rsid w:val="31C74DF8"/>
    <w:rsid w:val="31C9BEE2"/>
    <w:rsid w:val="31CBBA0C"/>
    <w:rsid w:val="31CF86DF"/>
    <w:rsid w:val="31D88C7E"/>
    <w:rsid w:val="31DB144F"/>
    <w:rsid w:val="31E10E0F"/>
    <w:rsid w:val="31EC8A4E"/>
    <w:rsid w:val="31EDF8E3"/>
    <w:rsid w:val="31F31710"/>
    <w:rsid w:val="31F81DF3"/>
    <w:rsid w:val="3201B012"/>
    <w:rsid w:val="32078E59"/>
    <w:rsid w:val="3209B122"/>
    <w:rsid w:val="321FB467"/>
    <w:rsid w:val="32212E98"/>
    <w:rsid w:val="322A5361"/>
    <w:rsid w:val="323315F3"/>
    <w:rsid w:val="323500B1"/>
    <w:rsid w:val="323862EA"/>
    <w:rsid w:val="323ED977"/>
    <w:rsid w:val="3249251E"/>
    <w:rsid w:val="325196AD"/>
    <w:rsid w:val="32541352"/>
    <w:rsid w:val="326395D1"/>
    <w:rsid w:val="3269CBE7"/>
    <w:rsid w:val="3276201C"/>
    <w:rsid w:val="3278140E"/>
    <w:rsid w:val="32817987"/>
    <w:rsid w:val="32831D9D"/>
    <w:rsid w:val="32854981"/>
    <w:rsid w:val="32879132"/>
    <w:rsid w:val="328FE406"/>
    <w:rsid w:val="329565EE"/>
    <w:rsid w:val="329AD137"/>
    <w:rsid w:val="329BA165"/>
    <w:rsid w:val="329BFF9F"/>
    <w:rsid w:val="329DBEE2"/>
    <w:rsid w:val="329ED2DB"/>
    <w:rsid w:val="329F6ECE"/>
    <w:rsid w:val="32A024C4"/>
    <w:rsid w:val="32A17633"/>
    <w:rsid w:val="32A62582"/>
    <w:rsid w:val="32AC50FE"/>
    <w:rsid w:val="32BFDEFA"/>
    <w:rsid w:val="32C49D48"/>
    <w:rsid w:val="32CA0145"/>
    <w:rsid w:val="32CAF124"/>
    <w:rsid w:val="32DA1F7F"/>
    <w:rsid w:val="32DBFDD1"/>
    <w:rsid w:val="32E37A50"/>
    <w:rsid w:val="32E5453B"/>
    <w:rsid w:val="32F1725F"/>
    <w:rsid w:val="3302081E"/>
    <w:rsid w:val="330AB0CE"/>
    <w:rsid w:val="330C3666"/>
    <w:rsid w:val="3310CFA0"/>
    <w:rsid w:val="3311A6A6"/>
    <w:rsid w:val="3319DE81"/>
    <w:rsid w:val="331A4C10"/>
    <w:rsid w:val="331C56A8"/>
    <w:rsid w:val="331CD86B"/>
    <w:rsid w:val="33264EFB"/>
    <w:rsid w:val="3326E409"/>
    <w:rsid w:val="332B272E"/>
    <w:rsid w:val="33331D74"/>
    <w:rsid w:val="33455955"/>
    <w:rsid w:val="334AB12B"/>
    <w:rsid w:val="334AF7C7"/>
    <w:rsid w:val="3351C316"/>
    <w:rsid w:val="3356A6B9"/>
    <w:rsid w:val="33634173"/>
    <w:rsid w:val="33687A30"/>
    <w:rsid w:val="337959DD"/>
    <w:rsid w:val="337F7338"/>
    <w:rsid w:val="33828B7B"/>
    <w:rsid w:val="33843A6B"/>
    <w:rsid w:val="338A6736"/>
    <w:rsid w:val="338CB515"/>
    <w:rsid w:val="338E3E33"/>
    <w:rsid w:val="338F51CE"/>
    <w:rsid w:val="33934D47"/>
    <w:rsid w:val="33963794"/>
    <w:rsid w:val="3396A531"/>
    <w:rsid w:val="3399BBF1"/>
    <w:rsid w:val="339C26AE"/>
    <w:rsid w:val="339CB88E"/>
    <w:rsid w:val="33A45F9F"/>
    <w:rsid w:val="33A5BB5D"/>
    <w:rsid w:val="33A69D83"/>
    <w:rsid w:val="33A84219"/>
    <w:rsid w:val="33A85EF1"/>
    <w:rsid w:val="33AF894D"/>
    <w:rsid w:val="33B1D476"/>
    <w:rsid w:val="33B31DC8"/>
    <w:rsid w:val="33B36A5E"/>
    <w:rsid w:val="33B6A8D0"/>
    <w:rsid w:val="33B731E7"/>
    <w:rsid w:val="33B99033"/>
    <w:rsid w:val="33D016C2"/>
    <w:rsid w:val="33D15849"/>
    <w:rsid w:val="33E6EA9B"/>
    <w:rsid w:val="33E971B3"/>
    <w:rsid w:val="33ED85BD"/>
    <w:rsid w:val="33F820DC"/>
    <w:rsid w:val="33F91722"/>
    <w:rsid w:val="340E0DDF"/>
    <w:rsid w:val="341497A6"/>
    <w:rsid w:val="341534DE"/>
    <w:rsid w:val="341C12EB"/>
    <w:rsid w:val="341C66C5"/>
    <w:rsid w:val="341E5922"/>
    <w:rsid w:val="341F8479"/>
    <w:rsid w:val="3423114B"/>
    <w:rsid w:val="34296487"/>
    <w:rsid w:val="342AFA15"/>
    <w:rsid w:val="342D27F6"/>
    <w:rsid w:val="3432162F"/>
    <w:rsid w:val="34347A2F"/>
    <w:rsid w:val="3436F4C7"/>
    <w:rsid w:val="3438D2C1"/>
    <w:rsid w:val="343A8273"/>
    <w:rsid w:val="343E5FDF"/>
    <w:rsid w:val="343F6B76"/>
    <w:rsid w:val="344E41F5"/>
    <w:rsid w:val="344FBC53"/>
    <w:rsid w:val="3451F5EC"/>
    <w:rsid w:val="345846AB"/>
    <w:rsid w:val="345A2E29"/>
    <w:rsid w:val="3465ADC4"/>
    <w:rsid w:val="3471D23F"/>
    <w:rsid w:val="34755043"/>
    <w:rsid w:val="34896AE5"/>
    <w:rsid w:val="3495E31A"/>
    <w:rsid w:val="3498168B"/>
    <w:rsid w:val="34A26961"/>
    <w:rsid w:val="34A63E44"/>
    <w:rsid w:val="34B8604A"/>
    <w:rsid w:val="34B985CA"/>
    <w:rsid w:val="34BA6F33"/>
    <w:rsid w:val="34BACD20"/>
    <w:rsid w:val="34BEBB34"/>
    <w:rsid w:val="34BF3059"/>
    <w:rsid w:val="34C3CBB2"/>
    <w:rsid w:val="34C9A49B"/>
    <w:rsid w:val="34CB8CD0"/>
    <w:rsid w:val="34D83590"/>
    <w:rsid w:val="34DCFB86"/>
    <w:rsid w:val="34E2F32D"/>
    <w:rsid w:val="34E3A93C"/>
    <w:rsid w:val="34E8CEFD"/>
    <w:rsid w:val="34EA9412"/>
    <w:rsid w:val="34EEB463"/>
    <w:rsid w:val="34F19591"/>
    <w:rsid w:val="34F69012"/>
    <w:rsid w:val="34F7FAA9"/>
    <w:rsid w:val="34FAA244"/>
    <w:rsid w:val="3501B46F"/>
    <w:rsid w:val="35025DB4"/>
    <w:rsid w:val="3507CC4A"/>
    <w:rsid w:val="350A156E"/>
    <w:rsid w:val="350D780D"/>
    <w:rsid w:val="350E1D24"/>
    <w:rsid w:val="351B61FF"/>
    <w:rsid w:val="3521898E"/>
    <w:rsid w:val="35219096"/>
    <w:rsid w:val="3524AC9C"/>
    <w:rsid w:val="3527C6FB"/>
    <w:rsid w:val="3529BA7D"/>
    <w:rsid w:val="352F999A"/>
    <w:rsid w:val="35350D56"/>
    <w:rsid w:val="353EDAEA"/>
    <w:rsid w:val="35409F3F"/>
    <w:rsid w:val="35457A87"/>
    <w:rsid w:val="3548E8D0"/>
    <w:rsid w:val="35490FAA"/>
    <w:rsid w:val="354D960C"/>
    <w:rsid w:val="355DA408"/>
    <w:rsid w:val="35672284"/>
    <w:rsid w:val="356C1D03"/>
    <w:rsid w:val="35763C95"/>
    <w:rsid w:val="3578BE23"/>
    <w:rsid w:val="357A6692"/>
    <w:rsid w:val="357EE49E"/>
    <w:rsid w:val="3581E7BC"/>
    <w:rsid w:val="3585C9FD"/>
    <w:rsid w:val="3589668A"/>
    <w:rsid w:val="358C6E00"/>
    <w:rsid w:val="358C9F9A"/>
    <w:rsid w:val="3591CAD5"/>
    <w:rsid w:val="3592CEE2"/>
    <w:rsid w:val="359714AB"/>
    <w:rsid w:val="359B3693"/>
    <w:rsid w:val="359F3063"/>
    <w:rsid w:val="359F4AE6"/>
    <w:rsid w:val="35A8D9BE"/>
    <w:rsid w:val="35B4D8A8"/>
    <w:rsid w:val="35B50607"/>
    <w:rsid w:val="35C7DC43"/>
    <w:rsid w:val="35D67A1A"/>
    <w:rsid w:val="35E6C3FF"/>
    <w:rsid w:val="35ECFD2D"/>
    <w:rsid w:val="35ED8418"/>
    <w:rsid w:val="35FAEF6A"/>
    <w:rsid w:val="36050117"/>
    <w:rsid w:val="360C2A0D"/>
    <w:rsid w:val="361E87A7"/>
    <w:rsid w:val="362E34D8"/>
    <w:rsid w:val="3631A9C3"/>
    <w:rsid w:val="36330F63"/>
    <w:rsid w:val="36394B62"/>
    <w:rsid w:val="363BBCA3"/>
    <w:rsid w:val="36422D81"/>
    <w:rsid w:val="3649ACE8"/>
    <w:rsid w:val="364D9576"/>
    <w:rsid w:val="36534092"/>
    <w:rsid w:val="36544C07"/>
    <w:rsid w:val="3655C8C0"/>
    <w:rsid w:val="3656AF48"/>
    <w:rsid w:val="3659B489"/>
    <w:rsid w:val="365C86F6"/>
    <w:rsid w:val="366093A8"/>
    <w:rsid w:val="3661D1BD"/>
    <w:rsid w:val="3662C7F0"/>
    <w:rsid w:val="3668B905"/>
    <w:rsid w:val="366A5399"/>
    <w:rsid w:val="366E71E0"/>
    <w:rsid w:val="36814569"/>
    <w:rsid w:val="3683FEBC"/>
    <w:rsid w:val="3687F917"/>
    <w:rsid w:val="368B3582"/>
    <w:rsid w:val="3695129A"/>
    <w:rsid w:val="36A8816F"/>
    <w:rsid w:val="36AFA1A8"/>
    <w:rsid w:val="36B0BD86"/>
    <w:rsid w:val="36B7D1C7"/>
    <w:rsid w:val="36BEFB03"/>
    <w:rsid w:val="36C1BD57"/>
    <w:rsid w:val="36C2BF6A"/>
    <w:rsid w:val="36C91029"/>
    <w:rsid w:val="36CE9FA0"/>
    <w:rsid w:val="36D11F48"/>
    <w:rsid w:val="36D269BB"/>
    <w:rsid w:val="36DFC009"/>
    <w:rsid w:val="36F5C29E"/>
    <w:rsid w:val="36FFC9DA"/>
    <w:rsid w:val="3701C00A"/>
    <w:rsid w:val="370B6642"/>
    <w:rsid w:val="370D87BB"/>
    <w:rsid w:val="372102F7"/>
    <w:rsid w:val="3735D497"/>
    <w:rsid w:val="373FE461"/>
    <w:rsid w:val="3741E053"/>
    <w:rsid w:val="37429B81"/>
    <w:rsid w:val="374315AF"/>
    <w:rsid w:val="37472529"/>
    <w:rsid w:val="3751DEC6"/>
    <w:rsid w:val="375B25E9"/>
    <w:rsid w:val="375D6A3A"/>
    <w:rsid w:val="375ED19C"/>
    <w:rsid w:val="37607231"/>
    <w:rsid w:val="3765B07D"/>
    <w:rsid w:val="376736EA"/>
    <w:rsid w:val="3767DFED"/>
    <w:rsid w:val="3772269A"/>
    <w:rsid w:val="3772920C"/>
    <w:rsid w:val="3776723E"/>
    <w:rsid w:val="377E4502"/>
    <w:rsid w:val="3785AE54"/>
    <w:rsid w:val="3786E07A"/>
    <w:rsid w:val="37891BE8"/>
    <w:rsid w:val="378A9D94"/>
    <w:rsid w:val="379A79AD"/>
    <w:rsid w:val="379C21D5"/>
    <w:rsid w:val="379E15DB"/>
    <w:rsid w:val="37A0D54F"/>
    <w:rsid w:val="37A59AC5"/>
    <w:rsid w:val="37B4D454"/>
    <w:rsid w:val="37B6F6DF"/>
    <w:rsid w:val="37B78D1B"/>
    <w:rsid w:val="37BBDABC"/>
    <w:rsid w:val="37CA6336"/>
    <w:rsid w:val="37CE7247"/>
    <w:rsid w:val="37D10D69"/>
    <w:rsid w:val="37D59A8C"/>
    <w:rsid w:val="37E4533C"/>
    <w:rsid w:val="37E7E1A4"/>
    <w:rsid w:val="37E9B1A9"/>
    <w:rsid w:val="37EABCB5"/>
    <w:rsid w:val="37F12207"/>
    <w:rsid w:val="37F87697"/>
    <w:rsid w:val="37F94119"/>
    <w:rsid w:val="37F98013"/>
    <w:rsid w:val="38095A7D"/>
    <w:rsid w:val="380E3265"/>
    <w:rsid w:val="3811549C"/>
    <w:rsid w:val="38176C23"/>
    <w:rsid w:val="381830F9"/>
    <w:rsid w:val="381948CC"/>
    <w:rsid w:val="38254CA2"/>
    <w:rsid w:val="382A6C6B"/>
    <w:rsid w:val="383BDFC5"/>
    <w:rsid w:val="383BEB53"/>
    <w:rsid w:val="383C862F"/>
    <w:rsid w:val="383EFF95"/>
    <w:rsid w:val="3842BAAF"/>
    <w:rsid w:val="3845B71E"/>
    <w:rsid w:val="3846D92F"/>
    <w:rsid w:val="384D4260"/>
    <w:rsid w:val="384F9879"/>
    <w:rsid w:val="3853A228"/>
    <w:rsid w:val="38560743"/>
    <w:rsid w:val="38582FE0"/>
    <w:rsid w:val="3859FCDB"/>
    <w:rsid w:val="385C8F08"/>
    <w:rsid w:val="3860DD45"/>
    <w:rsid w:val="3866DE32"/>
    <w:rsid w:val="3871A749"/>
    <w:rsid w:val="387A6768"/>
    <w:rsid w:val="3881C695"/>
    <w:rsid w:val="3889F60C"/>
    <w:rsid w:val="388B1C1B"/>
    <w:rsid w:val="388C969B"/>
    <w:rsid w:val="388DFDD4"/>
    <w:rsid w:val="3892C172"/>
    <w:rsid w:val="389AF760"/>
    <w:rsid w:val="389FBEF1"/>
    <w:rsid w:val="38A44783"/>
    <w:rsid w:val="38AB7AC0"/>
    <w:rsid w:val="38B9BEBE"/>
    <w:rsid w:val="38BDD197"/>
    <w:rsid w:val="38C023C6"/>
    <w:rsid w:val="38CEE06C"/>
    <w:rsid w:val="38CF665F"/>
    <w:rsid w:val="38D21CFF"/>
    <w:rsid w:val="38D70341"/>
    <w:rsid w:val="38DAB299"/>
    <w:rsid w:val="38DBCDCB"/>
    <w:rsid w:val="38E19573"/>
    <w:rsid w:val="38E3897D"/>
    <w:rsid w:val="38E70E07"/>
    <w:rsid w:val="38E7AFF2"/>
    <w:rsid w:val="38ED1AD7"/>
    <w:rsid w:val="38F00F41"/>
    <w:rsid w:val="38F13573"/>
    <w:rsid w:val="38F3F683"/>
    <w:rsid w:val="38F6A940"/>
    <w:rsid w:val="38F91A97"/>
    <w:rsid w:val="3900255F"/>
    <w:rsid w:val="39039D1C"/>
    <w:rsid w:val="3903FAFE"/>
    <w:rsid w:val="39058495"/>
    <w:rsid w:val="3908D164"/>
    <w:rsid w:val="390A4173"/>
    <w:rsid w:val="390D51D1"/>
    <w:rsid w:val="390E48C4"/>
    <w:rsid w:val="3911ED0C"/>
    <w:rsid w:val="3919C468"/>
    <w:rsid w:val="3926B516"/>
    <w:rsid w:val="392EF5A9"/>
    <w:rsid w:val="3934B124"/>
    <w:rsid w:val="393BCC27"/>
    <w:rsid w:val="393E4D37"/>
    <w:rsid w:val="3940407B"/>
    <w:rsid w:val="3940B080"/>
    <w:rsid w:val="39415DD7"/>
    <w:rsid w:val="394B62E9"/>
    <w:rsid w:val="395152D4"/>
    <w:rsid w:val="395404A4"/>
    <w:rsid w:val="3959A2D5"/>
    <w:rsid w:val="395ECA47"/>
    <w:rsid w:val="395EF4C5"/>
    <w:rsid w:val="396331B8"/>
    <w:rsid w:val="39652B7E"/>
    <w:rsid w:val="3966613E"/>
    <w:rsid w:val="396E157C"/>
    <w:rsid w:val="39795380"/>
    <w:rsid w:val="397C7438"/>
    <w:rsid w:val="3998755D"/>
    <w:rsid w:val="39A5C856"/>
    <w:rsid w:val="39ABF8A4"/>
    <w:rsid w:val="39AD50AC"/>
    <w:rsid w:val="39B3A2D5"/>
    <w:rsid w:val="39B47EC7"/>
    <w:rsid w:val="39B717CF"/>
    <w:rsid w:val="39B7B412"/>
    <w:rsid w:val="39B8D1FE"/>
    <w:rsid w:val="39BB0513"/>
    <w:rsid w:val="39BC687C"/>
    <w:rsid w:val="39BEAA70"/>
    <w:rsid w:val="39C365DD"/>
    <w:rsid w:val="39C3DE25"/>
    <w:rsid w:val="39C74733"/>
    <w:rsid w:val="39C9F8AA"/>
    <w:rsid w:val="39CDF6C9"/>
    <w:rsid w:val="39DCE954"/>
    <w:rsid w:val="39E46644"/>
    <w:rsid w:val="39EEAC12"/>
    <w:rsid w:val="39FB497F"/>
    <w:rsid w:val="39FB8DB7"/>
    <w:rsid w:val="39FDB43F"/>
    <w:rsid w:val="3A082F89"/>
    <w:rsid w:val="3A0D6EC8"/>
    <w:rsid w:val="3A15573F"/>
    <w:rsid w:val="3A1716CF"/>
    <w:rsid w:val="3A1B6ABA"/>
    <w:rsid w:val="3A2350A0"/>
    <w:rsid w:val="3A2411B9"/>
    <w:rsid w:val="3A2AC64C"/>
    <w:rsid w:val="3A362038"/>
    <w:rsid w:val="3A366C62"/>
    <w:rsid w:val="3A3B62C1"/>
    <w:rsid w:val="3A4456E6"/>
    <w:rsid w:val="3A46CEC6"/>
    <w:rsid w:val="3A4753A6"/>
    <w:rsid w:val="3A4E5210"/>
    <w:rsid w:val="3A565500"/>
    <w:rsid w:val="3A600D57"/>
    <w:rsid w:val="3A632D53"/>
    <w:rsid w:val="3A6394BE"/>
    <w:rsid w:val="3A670C59"/>
    <w:rsid w:val="3A6BE950"/>
    <w:rsid w:val="3A6DBA8F"/>
    <w:rsid w:val="3A6DF1CE"/>
    <w:rsid w:val="3A7598DB"/>
    <w:rsid w:val="3A7DC14A"/>
    <w:rsid w:val="3A8F15C7"/>
    <w:rsid w:val="3A94AF90"/>
    <w:rsid w:val="3A9D6224"/>
    <w:rsid w:val="3AA7D909"/>
    <w:rsid w:val="3AA7DE32"/>
    <w:rsid w:val="3AC55FE5"/>
    <w:rsid w:val="3AC9FF32"/>
    <w:rsid w:val="3ACF02A6"/>
    <w:rsid w:val="3AD05B78"/>
    <w:rsid w:val="3AD8D06D"/>
    <w:rsid w:val="3ADC742D"/>
    <w:rsid w:val="3ADE4C58"/>
    <w:rsid w:val="3ADF8DF7"/>
    <w:rsid w:val="3AE6FE18"/>
    <w:rsid w:val="3AEBE393"/>
    <w:rsid w:val="3AF12DA8"/>
    <w:rsid w:val="3AF40FF6"/>
    <w:rsid w:val="3AF6F6C4"/>
    <w:rsid w:val="3AF768BC"/>
    <w:rsid w:val="3AF90AD4"/>
    <w:rsid w:val="3AF9DFFF"/>
    <w:rsid w:val="3B07B8C6"/>
    <w:rsid w:val="3B0CDCC8"/>
    <w:rsid w:val="3B0EA2C1"/>
    <w:rsid w:val="3B11B3CB"/>
    <w:rsid w:val="3B1359A9"/>
    <w:rsid w:val="3B13DBA6"/>
    <w:rsid w:val="3B150CA5"/>
    <w:rsid w:val="3B177D01"/>
    <w:rsid w:val="3B2564D9"/>
    <w:rsid w:val="3B25EF1A"/>
    <w:rsid w:val="3B278820"/>
    <w:rsid w:val="3B2DFC66"/>
    <w:rsid w:val="3B30AC97"/>
    <w:rsid w:val="3B318023"/>
    <w:rsid w:val="3B34441E"/>
    <w:rsid w:val="3B418754"/>
    <w:rsid w:val="3B43E760"/>
    <w:rsid w:val="3B473580"/>
    <w:rsid w:val="3B4DD19B"/>
    <w:rsid w:val="3B533FDE"/>
    <w:rsid w:val="3B5D7C51"/>
    <w:rsid w:val="3B62C9A4"/>
    <w:rsid w:val="3B738DB0"/>
    <w:rsid w:val="3B756015"/>
    <w:rsid w:val="3B76935F"/>
    <w:rsid w:val="3B776F6E"/>
    <w:rsid w:val="3B7CC8EA"/>
    <w:rsid w:val="3B8334C1"/>
    <w:rsid w:val="3B8EE481"/>
    <w:rsid w:val="3B8F1A5E"/>
    <w:rsid w:val="3B9355EC"/>
    <w:rsid w:val="3B93A2B9"/>
    <w:rsid w:val="3B9735C5"/>
    <w:rsid w:val="3B9AD512"/>
    <w:rsid w:val="3B9DD071"/>
    <w:rsid w:val="3BA1C3C8"/>
    <w:rsid w:val="3BA6CFA0"/>
    <w:rsid w:val="3BA8A4D6"/>
    <w:rsid w:val="3BAD7AAC"/>
    <w:rsid w:val="3BB006D9"/>
    <w:rsid w:val="3BB985FE"/>
    <w:rsid w:val="3BC09CA2"/>
    <w:rsid w:val="3BC3E604"/>
    <w:rsid w:val="3BCF131C"/>
    <w:rsid w:val="3BD34DA9"/>
    <w:rsid w:val="3BE38864"/>
    <w:rsid w:val="3BF2AF23"/>
    <w:rsid w:val="3BF31DEC"/>
    <w:rsid w:val="3BFA749A"/>
    <w:rsid w:val="3BFD856C"/>
    <w:rsid w:val="3C024AC3"/>
    <w:rsid w:val="3C0CE25C"/>
    <w:rsid w:val="3C0F88F0"/>
    <w:rsid w:val="3C15F632"/>
    <w:rsid w:val="3C17B333"/>
    <w:rsid w:val="3C1B8DF2"/>
    <w:rsid w:val="3C250B57"/>
    <w:rsid w:val="3C258AA4"/>
    <w:rsid w:val="3C2A4D64"/>
    <w:rsid w:val="3C30111E"/>
    <w:rsid w:val="3C312E68"/>
    <w:rsid w:val="3C351A3B"/>
    <w:rsid w:val="3C382D02"/>
    <w:rsid w:val="3C3D5282"/>
    <w:rsid w:val="3C3F278D"/>
    <w:rsid w:val="3C41A343"/>
    <w:rsid w:val="3C47A554"/>
    <w:rsid w:val="3C489942"/>
    <w:rsid w:val="3C4B2568"/>
    <w:rsid w:val="3C4D585B"/>
    <w:rsid w:val="3C4E5589"/>
    <w:rsid w:val="3C54E44B"/>
    <w:rsid w:val="3C5DACB8"/>
    <w:rsid w:val="3C639303"/>
    <w:rsid w:val="3C65DD80"/>
    <w:rsid w:val="3C672893"/>
    <w:rsid w:val="3C68AAB3"/>
    <w:rsid w:val="3C6982A1"/>
    <w:rsid w:val="3C6A6A3A"/>
    <w:rsid w:val="3C6B0A7D"/>
    <w:rsid w:val="3C6E484F"/>
    <w:rsid w:val="3C70DEA3"/>
    <w:rsid w:val="3C7348CC"/>
    <w:rsid w:val="3C7C6C12"/>
    <w:rsid w:val="3C8C2078"/>
    <w:rsid w:val="3C8DED47"/>
    <w:rsid w:val="3C94A97D"/>
    <w:rsid w:val="3CA33745"/>
    <w:rsid w:val="3CA52E36"/>
    <w:rsid w:val="3CB293CA"/>
    <w:rsid w:val="3CB8E117"/>
    <w:rsid w:val="3CBD4677"/>
    <w:rsid w:val="3CBF882C"/>
    <w:rsid w:val="3CC438CD"/>
    <w:rsid w:val="3CC995E8"/>
    <w:rsid w:val="3CCCF136"/>
    <w:rsid w:val="3CD03FA2"/>
    <w:rsid w:val="3CDAA2DF"/>
    <w:rsid w:val="3CE7A0D9"/>
    <w:rsid w:val="3CE990AE"/>
    <w:rsid w:val="3CEB2E14"/>
    <w:rsid w:val="3CEE835A"/>
    <w:rsid w:val="3CF9DB41"/>
    <w:rsid w:val="3CFBFB51"/>
    <w:rsid w:val="3D07EB55"/>
    <w:rsid w:val="3D0C4C25"/>
    <w:rsid w:val="3D1B4C6A"/>
    <w:rsid w:val="3D1C9037"/>
    <w:rsid w:val="3D2B22A3"/>
    <w:rsid w:val="3D2C2A10"/>
    <w:rsid w:val="3D3672B1"/>
    <w:rsid w:val="3D3B47C6"/>
    <w:rsid w:val="3D41B024"/>
    <w:rsid w:val="3D51C5BC"/>
    <w:rsid w:val="3D52BB98"/>
    <w:rsid w:val="3D53AD15"/>
    <w:rsid w:val="3D5A6584"/>
    <w:rsid w:val="3D603B33"/>
    <w:rsid w:val="3D6A5002"/>
    <w:rsid w:val="3D7AB289"/>
    <w:rsid w:val="3D7C92CE"/>
    <w:rsid w:val="3D7D694E"/>
    <w:rsid w:val="3D7D9BC1"/>
    <w:rsid w:val="3D7DA255"/>
    <w:rsid w:val="3D840840"/>
    <w:rsid w:val="3D8AA95B"/>
    <w:rsid w:val="3DA2B7F8"/>
    <w:rsid w:val="3DA47720"/>
    <w:rsid w:val="3DA6501D"/>
    <w:rsid w:val="3DA7395E"/>
    <w:rsid w:val="3DAE41B5"/>
    <w:rsid w:val="3DB64821"/>
    <w:rsid w:val="3DC0E21E"/>
    <w:rsid w:val="3DCCFEC9"/>
    <w:rsid w:val="3DCE11F8"/>
    <w:rsid w:val="3DD16064"/>
    <w:rsid w:val="3DD510D5"/>
    <w:rsid w:val="3DDAAA21"/>
    <w:rsid w:val="3DE6F77A"/>
    <w:rsid w:val="3DE7B4F4"/>
    <w:rsid w:val="3DE7FF04"/>
    <w:rsid w:val="3DEE0E7D"/>
    <w:rsid w:val="3DF4FF99"/>
    <w:rsid w:val="3DF8EB7C"/>
    <w:rsid w:val="3E047023"/>
    <w:rsid w:val="3E0637C9"/>
    <w:rsid w:val="3E08EE5D"/>
    <w:rsid w:val="3E0C2E98"/>
    <w:rsid w:val="3E10D9CC"/>
    <w:rsid w:val="3E11F9FB"/>
    <w:rsid w:val="3E17BAD0"/>
    <w:rsid w:val="3E23D79E"/>
    <w:rsid w:val="3E273BB1"/>
    <w:rsid w:val="3E29998C"/>
    <w:rsid w:val="3E29E2CC"/>
    <w:rsid w:val="3E2D4624"/>
    <w:rsid w:val="3E3623D6"/>
    <w:rsid w:val="3E37C4D0"/>
    <w:rsid w:val="3E456EDF"/>
    <w:rsid w:val="3E509F2D"/>
    <w:rsid w:val="3E5180A8"/>
    <w:rsid w:val="3E57A27D"/>
    <w:rsid w:val="3E5B8CE0"/>
    <w:rsid w:val="3E5EBDF4"/>
    <w:rsid w:val="3E6A6D70"/>
    <w:rsid w:val="3E72EFD2"/>
    <w:rsid w:val="3E748FD3"/>
    <w:rsid w:val="3E75D0AC"/>
    <w:rsid w:val="3E8F3003"/>
    <w:rsid w:val="3E96224B"/>
    <w:rsid w:val="3E983ECB"/>
    <w:rsid w:val="3E9B2071"/>
    <w:rsid w:val="3E9CC667"/>
    <w:rsid w:val="3EA06279"/>
    <w:rsid w:val="3EAD9146"/>
    <w:rsid w:val="3EB79F10"/>
    <w:rsid w:val="3EB7DDB4"/>
    <w:rsid w:val="3EBB3776"/>
    <w:rsid w:val="3EBC180C"/>
    <w:rsid w:val="3ED59FE5"/>
    <w:rsid w:val="3ED9D48A"/>
    <w:rsid w:val="3EDB7233"/>
    <w:rsid w:val="3EDDC65B"/>
    <w:rsid w:val="3EE820A0"/>
    <w:rsid w:val="3EEEF693"/>
    <w:rsid w:val="3EEF2F3C"/>
    <w:rsid w:val="3EF04014"/>
    <w:rsid w:val="3EF34E31"/>
    <w:rsid w:val="3EF4738B"/>
    <w:rsid w:val="3EF61F97"/>
    <w:rsid w:val="3EFCE72E"/>
    <w:rsid w:val="3EFD3EA5"/>
    <w:rsid w:val="3F08BA82"/>
    <w:rsid w:val="3F0A1071"/>
    <w:rsid w:val="3F0B926D"/>
    <w:rsid w:val="3F0C1429"/>
    <w:rsid w:val="3F13D29E"/>
    <w:rsid w:val="3F16ECC4"/>
    <w:rsid w:val="3F224398"/>
    <w:rsid w:val="3F27A0DD"/>
    <w:rsid w:val="3F336CBA"/>
    <w:rsid w:val="3F3812CE"/>
    <w:rsid w:val="3F3ECDDC"/>
    <w:rsid w:val="3F535811"/>
    <w:rsid w:val="3F5807F7"/>
    <w:rsid w:val="3F5C1096"/>
    <w:rsid w:val="3F62A2F9"/>
    <w:rsid w:val="3F653941"/>
    <w:rsid w:val="3F69787B"/>
    <w:rsid w:val="3F7108F1"/>
    <w:rsid w:val="3F74D7EB"/>
    <w:rsid w:val="3F791B46"/>
    <w:rsid w:val="3F830FAE"/>
    <w:rsid w:val="3F967ABD"/>
    <w:rsid w:val="3F99A2EF"/>
    <w:rsid w:val="3FA2DD6F"/>
    <w:rsid w:val="3FA81D37"/>
    <w:rsid w:val="3FB63EC9"/>
    <w:rsid w:val="3FB650F7"/>
    <w:rsid w:val="3FBDEB4F"/>
    <w:rsid w:val="3FD00D9E"/>
    <w:rsid w:val="3FD95039"/>
    <w:rsid w:val="3FD9D860"/>
    <w:rsid w:val="3FDF9510"/>
    <w:rsid w:val="3FE160A5"/>
    <w:rsid w:val="3FE443BE"/>
    <w:rsid w:val="3FEDC77B"/>
    <w:rsid w:val="3FF46997"/>
    <w:rsid w:val="3FF86F5F"/>
    <w:rsid w:val="3FFB4273"/>
    <w:rsid w:val="400485EE"/>
    <w:rsid w:val="4010C413"/>
    <w:rsid w:val="401354DE"/>
    <w:rsid w:val="40148FA6"/>
    <w:rsid w:val="4017B8FA"/>
    <w:rsid w:val="401F1959"/>
    <w:rsid w:val="4021B569"/>
    <w:rsid w:val="402EBAF1"/>
    <w:rsid w:val="403B5961"/>
    <w:rsid w:val="403FD241"/>
    <w:rsid w:val="40436857"/>
    <w:rsid w:val="4044F560"/>
    <w:rsid w:val="4044F739"/>
    <w:rsid w:val="4046ECBD"/>
    <w:rsid w:val="4047DD48"/>
    <w:rsid w:val="40480867"/>
    <w:rsid w:val="404A8E05"/>
    <w:rsid w:val="404CCB3A"/>
    <w:rsid w:val="404DBBD5"/>
    <w:rsid w:val="4051D3D3"/>
    <w:rsid w:val="40570B10"/>
    <w:rsid w:val="405AA827"/>
    <w:rsid w:val="405BA61F"/>
    <w:rsid w:val="405BB1BC"/>
    <w:rsid w:val="4062CA91"/>
    <w:rsid w:val="4076546F"/>
    <w:rsid w:val="4077D8B9"/>
    <w:rsid w:val="407C23A3"/>
    <w:rsid w:val="40880F0C"/>
    <w:rsid w:val="408A0E36"/>
    <w:rsid w:val="409072B3"/>
    <w:rsid w:val="40987712"/>
    <w:rsid w:val="4099EED7"/>
    <w:rsid w:val="409E9F6E"/>
    <w:rsid w:val="40A11432"/>
    <w:rsid w:val="40A5EB02"/>
    <w:rsid w:val="40AB29EA"/>
    <w:rsid w:val="40B3C741"/>
    <w:rsid w:val="40B849D3"/>
    <w:rsid w:val="40B9B572"/>
    <w:rsid w:val="40BB5413"/>
    <w:rsid w:val="40C0A842"/>
    <w:rsid w:val="40C9C3B7"/>
    <w:rsid w:val="40CCE789"/>
    <w:rsid w:val="40CFA0D7"/>
    <w:rsid w:val="40CFE241"/>
    <w:rsid w:val="40D3A138"/>
    <w:rsid w:val="40D6AF0C"/>
    <w:rsid w:val="40D87CD4"/>
    <w:rsid w:val="40E16A45"/>
    <w:rsid w:val="40E97E3D"/>
    <w:rsid w:val="40E991F4"/>
    <w:rsid w:val="40EAEFB1"/>
    <w:rsid w:val="40EB7039"/>
    <w:rsid w:val="40EE0D2F"/>
    <w:rsid w:val="40EEF140"/>
    <w:rsid w:val="40F03EC8"/>
    <w:rsid w:val="40FAF10E"/>
    <w:rsid w:val="40FD742A"/>
    <w:rsid w:val="40FEC731"/>
    <w:rsid w:val="41033105"/>
    <w:rsid w:val="4105F33F"/>
    <w:rsid w:val="41126CC3"/>
    <w:rsid w:val="411883AD"/>
    <w:rsid w:val="41351B7F"/>
    <w:rsid w:val="4136C112"/>
    <w:rsid w:val="4137B1F9"/>
    <w:rsid w:val="4137D816"/>
    <w:rsid w:val="413850E5"/>
    <w:rsid w:val="413A574E"/>
    <w:rsid w:val="413F7AA3"/>
    <w:rsid w:val="41438521"/>
    <w:rsid w:val="4143F4BE"/>
    <w:rsid w:val="4146FD41"/>
    <w:rsid w:val="4153EACA"/>
    <w:rsid w:val="41587C08"/>
    <w:rsid w:val="41598BEC"/>
    <w:rsid w:val="415E6261"/>
    <w:rsid w:val="416030A7"/>
    <w:rsid w:val="416A4CFA"/>
    <w:rsid w:val="416CA845"/>
    <w:rsid w:val="4178839C"/>
    <w:rsid w:val="4185E897"/>
    <w:rsid w:val="418B431B"/>
    <w:rsid w:val="418E8126"/>
    <w:rsid w:val="419337E0"/>
    <w:rsid w:val="419D0347"/>
    <w:rsid w:val="419DC443"/>
    <w:rsid w:val="41A00940"/>
    <w:rsid w:val="41AFFF47"/>
    <w:rsid w:val="41B2D06C"/>
    <w:rsid w:val="41C1A6BE"/>
    <w:rsid w:val="41C24030"/>
    <w:rsid w:val="41C5AD73"/>
    <w:rsid w:val="41C6319A"/>
    <w:rsid w:val="41D5674D"/>
    <w:rsid w:val="41D807BF"/>
    <w:rsid w:val="41DFC1F6"/>
    <w:rsid w:val="41DFE6C0"/>
    <w:rsid w:val="41E27D42"/>
    <w:rsid w:val="41E28988"/>
    <w:rsid w:val="41E4429E"/>
    <w:rsid w:val="41E84DA5"/>
    <w:rsid w:val="41E87975"/>
    <w:rsid w:val="41ED8F98"/>
    <w:rsid w:val="41EEEA88"/>
    <w:rsid w:val="41EFD3A5"/>
    <w:rsid w:val="420614F5"/>
    <w:rsid w:val="421D7980"/>
    <w:rsid w:val="421FC162"/>
    <w:rsid w:val="42252538"/>
    <w:rsid w:val="422A99F3"/>
    <w:rsid w:val="422B8680"/>
    <w:rsid w:val="422CAFC4"/>
    <w:rsid w:val="424B8E1A"/>
    <w:rsid w:val="42539BCA"/>
    <w:rsid w:val="4253D6AE"/>
    <w:rsid w:val="4254A484"/>
    <w:rsid w:val="425D9B88"/>
    <w:rsid w:val="42644C41"/>
    <w:rsid w:val="426A2DAB"/>
    <w:rsid w:val="426F7E11"/>
    <w:rsid w:val="427059E5"/>
    <w:rsid w:val="427120A2"/>
    <w:rsid w:val="4274804D"/>
    <w:rsid w:val="427B6193"/>
    <w:rsid w:val="4295F39C"/>
    <w:rsid w:val="429A57AC"/>
    <w:rsid w:val="429DC5CA"/>
    <w:rsid w:val="429FE66D"/>
    <w:rsid w:val="42A0B653"/>
    <w:rsid w:val="42A12D90"/>
    <w:rsid w:val="42B0FC40"/>
    <w:rsid w:val="42C13BA9"/>
    <w:rsid w:val="42C14FBD"/>
    <w:rsid w:val="42C1B700"/>
    <w:rsid w:val="42C35521"/>
    <w:rsid w:val="42C701D2"/>
    <w:rsid w:val="42D3CFA1"/>
    <w:rsid w:val="42D96D10"/>
    <w:rsid w:val="42DAF017"/>
    <w:rsid w:val="42DC1098"/>
    <w:rsid w:val="42DC29A7"/>
    <w:rsid w:val="42E0F801"/>
    <w:rsid w:val="42E7593A"/>
    <w:rsid w:val="42EED79F"/>
    <w:rsid w:val="430CBB7B"/>
    <w:rsid w:val="4314C5E1"/>
    <w:rsid w:val="431EDFC3"/>
    <w:rsid w:val="43240979"/>
    <w:rsid w:val="4327E90C"/>
    <w:rsid w:val="432C11C2"/>
    <w:rsid w:val="432DC1AE"/>
    <w:rsid w:val="4332AA24"/>
    <w:rsid w:val="433808F6"/>
    <w:rsid w:val="4343E79F"/>
    <w:rsid w:val="43462E65"/>
    <w:rsid w:val="43497165"/>
    <w:rsid w:val="434A8587"/>
    <w:rsid w:val="43504B06"/>
    <w:rsid w:val="4355D7A4"/>
    <w:rsid w:val="43562263"/>
    <w:rsid w:val="4357CC3C"/>
    <w:rsid w:val="435E044F"/>
    <w:rsid w:val="436197F1"/>
    <w:rsid w:val="4363F1F4"/>
    <w:rsid w:val="436519B0"/>
    <w:rsid w:val="436F4FDA"/>
    <w:rsid w:val="4378C6D1"/>
    <w:rsid w:val="437A4081"/>
    <w:rsid w:val="437F8C11"/>
    <w:rsid w:val="437FF954"/>
    <w:rsid w:val="439919D7"/>
    <w:rsid w:val="439E0C1A"/>
    <w:rsid w:val="43A20D22"/>
    <w:rsid w:val="43A8A405"/>
    <w:rsid w:val="43BDF1A7"/>
    <w:rsid w:val="43BF3770"/>
    <w:rsid w:val="43CE5F5B"/>
    <w:rsid w:val="43CEAC9E"/>
    <w:rsid w:val="43D8385F"/>
    <w:rsid w:val="43DF0390"/>
    <w:rsid w:val="43E45236"/>
    <w:rsid w:val="43E5E263"/>
    <w:rsid w:val="43F5071A"/>
    <w:rsid w:val="43F88801"/>
    <w:rsid w:val="43F8F2E9"/>
    <w:rsid w:val="43FA41E2"/>
    <w:rsid w:val="43FAF0F0"/>
    <w:rsid w:val="43FC619F"/>
    <w:rsid w:val="4407119C"/>
    <w:rsid w:val="440A9948"/>
    <w:rsid w:val="440AB0B7"/>
    <w:rsid w:val="440CE5EE"/>
    <w:rsid w:val="44148A70"/>
    <w:rsid w:val="4422CB8F"/>
    <w:rsid w:val="4425E6D4"/>
    <w:rsid w:val="4427B5A0"/>
    <w:rsid w:val="4427FD92"/>
    <w:rsid w:val="442E7F0E"/>
    <w:rsid w:val="44350B9D"/>
    <w:rsid w:val="44353BB2"/>
    <w:rsid w:val="443A6AE2"/>
    <w:rsid w:val="444E585E"/>
    <w:rsid w:val="4454FDE5"/>
    <w:rsid w:val="4477B3AD"/>
    <w:rsid w:val="447B32E0"/>
    <w:rsid w:val="4487D44D"/>
    <w:rsid w:val="448968FD"/>
    <w:rsid w:val="448C5FD1"/>
    <w:rsid w:val="448EF942"/>
    <w:rsid w:val="44A375C6"/>
    <w:rsid w:val="44A51F4E"/>
    <w:rsid w:val="44A5A19A"/>
    <w:rsid w:val="44A6DA7B"/>
    <w:rsid w:val="44AAF6B2"/>
    <w:rsid w:val="44B1AF7F"/>
    <w:rsid w:val="44B5E77C"/>
    <w:rsid w:val="44B63FF4"/>
    <w:rsid w:val="44BCC901"/>
    <w:rsid w:val="44C39583"/>
    <w:rsid w:val="44C7004D"/>
    <w:rsid w:val="44CA1AB5"/>
    <w:rsid w:val="44CAC6EB"/>
    <w:rsid w:val="44CC01E9"/>
    <w:rsid w:val="44D3DA62"/>
    <w:rsid w:val="44D52C22"/>
    <w:rsid w:val="44DDBACB"/>
    <w:rsid w:val="44E51818"/>
    <w:rsid w:val="44F0FEF2"/>
    <w:rsid w:val="44FE7A04"/>
    <w:rsid w:val="45093BB9"/>
    <w:rsid w:val="450A7815"/>
    <w:rsid w:val="4511BF09"/>
    <w:rsid w:val="45142EE7"/>
    <w:rsid w:val="4516F3D1"/>
    <w:rsid w:val="451F2BF8"/>
    <w:rsid w:val="4526DEB4"/>
    <w:rsid w:val="452B6DE3"/>
    <w:rsid w:val="452D9D69"/>
    <w:rsid w:val="4532BAD0"/>
    <w:rsid w:val="45390403"/>
    <w:rsid w:val="453BFED6"/>
    <w:rsid w:val="453D438B"/>
    <w:rsid w:val="45489B90"/>
    <w:rsid w:val="454EE522"/>
    <w:rsid w:val="454F21D1"/>
    <w:rsid w:val="4550B933"/>
    <w:rsid w:val="4553C57A"/>
    <w:rsid w:val="45578B20"/>
    <w:rsid w:val="45632671"/>
    <w:rsid w:val="45641199"/>
    <w:rsid w:val="4572CE70"/>
    <w:rsid w:val="457375A6"/>
    <w:rsid w:val="45753FD7"/>
    <w:rsid w:val="457CB8FC"/>
    <w:rsid w:val="4591BAE0"/>
    <w:rsid w:val="45ACD68B"/>
    <w:rsid w:val="45B2AA62"/>
    <w:rsid w:val="45B5C1A3"/>
    <w:rsid w:val="45BD543E"/>
    <w:rsid w:val="45BDABCF"/>
    <w:rsid w:val="45C137B0"/>
    <w:rsid w:val="45C3C1AD"/>
    <w:rsid w:val="45C6B950"/>
    <w:rsid w:val="45CB1FB2"/>
    <w:rsid w:val="45CE4AFD"/>
    <w:rsid w:val="45D9B22A"/>
    <w:rsid w:val="45DE52C7"/>
    <w:rsid w:val="45E06130"/>
    <w:rsid w:val="45E2C776"/>
    <w:rsid w:val="45E9520A"/>
    <w:rsid w:val="45EED808"/>
    <w:rsid w:val="45F734D3"/>
    <w:rsid w:val="45FC32B9"/>
    <w:rsid w:val="45FD0648"/>
    <w:rsid w:val="4605DCEF"/>
    <w:rsid w:val="46070861"/>
    <w:rsid w:val="460D236F"/>
    <w:rsid w:val="461C9F23"/>
    <w:rsid w:val="4625924D"/>
    <w:rsid w:val="46392BC8"/>
    <w:rsid w:val="463F460D"/>
    <w:rsid w:val="465235AF"/>
    <w:rsid w:val="4658E121"/>
    <w:rsid w:val="465918C0"/>
    <w:rsid w:val="4665486B"/>
    <w:rsid w:val="467528EA"/>
    <w:rsid w:val="468205BA"/>
    <w:rsid w:val="46892A48"/>
    <w:rsid w:val="469384FD"/>
    <w:rsid w:val="469BECBC"/>
    <w:rsid w:val="469DF4F8"/>
    <w:rsid w:val="46A4693C"/>
    <w:rsid w:val="46A754BB"/>
    <w:rsid w:val="46A76E6E"/>
    <w:rsid w:val="46AC6359"/>
    <w:rsid w:val="46AFADF3"/>
    <w:rsid w:val="46C2AFC8"/>
    <w:rsid w:val="46C7A204"/>
    <w:rsid w:val="46CE83BA"/>
    <w:rsid w:val="46D2AA7C"/>
    <w:rsid w:val="46D97D71"/>
    <w:rsid w:val="46D9DF3C"/>
    <w:rsid w:val="46DB25F2"/>
    <w:rsid w:val="46DEB1CF"/>
    <w:rsid w:val="46E32D09"/>
    <w:rsid w:val="46E8AEB0"/>
    <w:rsid w:val="46F9EB24"/>
    <w:rsid w:val="4708DAB3"/>
    <w:rsid w:val="470FCC67"/>
    <w:rsid w:val="4713D384"/>
    <w:rsid w:val="47168415"/>
    <w:rsid w:val="471949AA"/>
    <w:rsid w:val="471E43F6"/>
    <w:rsid w:val="47288BBC"/>
    <w:rsid w:val="472AD6CE"/>
    <w:rsid w:val="47304B92"/>
    <w:rsid w:val="47340261"/>
    <w:rsid w:val="47394C47"/>
    <w:rsid w:val="47422BBF"/>
    <w:rsid w:val="4742FAE9"/>
    <w:rsid w:val="474A5542"/>
    <w:rsid w:val="474A5DEB"/>
    <w:rsid w:val="474BAD20"/>
    <w:rsid w:val="47508AAE"/>
    <w:rsid w:val="475DC1C2"/>
    <w:rsid w:val="4763AE67"/>
    <w:rsid w:val="47648DD3"/>
    <w:rsid w:val="476ACAAF"/>
    <w:rsid w:val="476BBC32"/>
    <w:rsid w:val="476D7F6F"/>
    <w:rsid w:val="4772FBCF"/>
    <w:rsid w:val="47750B16"/>
    <w:rsid w:val="47755BBC"/>
    <w:rsid w:val="477DFDB8"/>
    <w:rsid w:val="477FF2D1"/>
    <w:rsid w:val="47820619"/>
    <w:rsid w:val="478951F6"/>
    <w:rsid w:val="478AF23E"/>
    <w:rsid w:val="478D122E"/>
    <w:rsid w:val="478F1B3F"/>
    <w:rsid w:val="47902A8C"/>
    <w:rsid w:val="479717C0"/>
    <w:rsid w:val="4797F042"/>
    <w:rsid w:val="479868D6"/>
    <w:rsid w:val="4798F206"/>
    <w:rsid w:val="479C9C3F"/>
    <w:rsid w:val="47AC0C11"/>
    <w:rsid w:val="47B1C661"/>
    <w:rsid w:val="47B68F82"/>
    <w:rsid w:val="47C4C1C4"/>
    <w:rsid w:val="47C65042"/>
    <w:rsid w:val="47C8D378"/>
    <w:rsid w:val="47CA50C8"/>
    <w:rsid w:val="47D03B45"/>
    <w:rsid w:val="47D25CDC"/>
    <w:rsid w:val="47D3729D"/>
    <w:rsid w:val="47E00C7A"/>
    <w:rsid w:val="47E52DD3"/>
    <w:rsid w:val="47E55E1B"/>
    <w:rsid w:val="47E9014F"/>
    <w:rsid w:val="47F2C936"/>
    <w:rsid w:val="47F319BA"/>
    <w:rsid w:val="47FF9367"/>
    <w:rsid w:val="480B2EA0"/>
    <w:rsid w:val="480C1FEE"/>
    <w:rsid w:val="4823C160"/>
    <w:rsid w:val="4829C7D0"/>
    <w:rsid w:val="483618AB"/>
    <w:rsid w:val="4837ABCC"/>
    <w:rsid w:val="483CABDE"/>
    <w:rsid w:val="483FC3E7"/>
    <w:rsid w:val="4840AF80"/>
    <w:rsid w:val="484EC17A"/>
    <w:rsid w:val="485D297B"/>
    <w:rsid w:val="4862AE2E"/>
    <w:rsid w:val="48667634"/>
    <w:rsid w:val="486C1EE0"/>
    <w:rsid w:val="487288BD"/>
    <w:rsid w:val="48764595"/>
    <w:rsid w:val="4877839C"/>
    <w:rsid w:val="487B121D"/>
    <w:rsid w:val="487D6EAF"/>
    <w:rsid w:val="48897715"/>
    <w:rsid w:val="488D3ACC"/>
    <w:rsid w:val="488E3AF8"/>
    <w:rsid w:val="48985D07"/>
    <w:rsid w:val="4898E7FA"/>
    <w:rsid w:val="48A5207C"/>
    <w:rsid w:val="48A63F7D"/>
    <w:rsid w:val="48AB4120"/>
    <w:rsid w:val="48AD8489"/>
    <w:rsid w:val="48B5B8AA"/>
    <w:rsid w:val="48B7DA23"/>
    <w:rsid w:val="48BD1FB4"/>
    <w:rsid w:val="48BDBAEF"/>
    <w:rsid w:val="48CB23A2"/>
    <w:rsid w:val="48E10254"/>
    <w:rsid w:val="48E31B36"/>
    <w:rsid w:val="48E3CC87"/>
    <w:rsid w:val="48E3D3DD"/>
    <w:rsid w:val="48E4B033"/>
    <w:rsid w:val="48F73C7E"/>
    <w:rsid w:val="48F9FCB3"/>
    <w:rsid w:val="48FA3D04"/>
    <w:rsid w:val="48FEB4D8"/>
    <w:rsid w:val="4905BC66"/>
    <w:rsid w:val="4914B1FD"/>
    <w:rsid w:val="491C3423"/>
    <w:rsid w:val="491CAEA8"/>
    <w:rsid w:val="492173DA"/>
    <w:rsid w:val="4929F61F"/>
    <w:rsid w:val="492E0749"/>
    <w:rsid w:val="493016F7"/>
    <w:rsid w:val="4937C58D"/>
    <w:rsid w:val="4938358D"/>
    <w:rsid w:val="493AA972"/>
    <w:rsid w:val="493C1D85"/>
    <w:rsid w:val="495CED8B"/>
    <w:rsid w:val="495FBEB9"/>
    <w:rsid w:val="496B2BB6"/>
    <w:rsid w:val="496D1B3B"/>
    <w:rsid w:val="49713A2F"/>
    <w:rsid w:val="49716ECC"/>
    <w:rsid w:val="49764FD6"/>
    <w:rsid w:val="4976E1A9"/>
    <w:rsid w:val="497C3EC9"/>
    <w:rsid w:val="497D8065"/>
    <w:rsid w:val="4980ACCC"/>
    <w:rsid w:val="49858BC5"/>
    <w:rsid w:val="498963D2"/>
    <w:rsid w:val="498C1861"/>
    <w:rsid w:val="4992E38A"/>
    <w:rsid w:val="499A01AE"/>
    <w:rsid w:val="49A4ED9A"/>
    <w:rsid w:val="49A58738"/>
    <w:rsid w:val="49A7EEC1"/>
    <w:rsid w:val="49A7EF80"/>
    <w:rsid w:val="49A8F230"/>
    <w:rsid w:val="49AD7B91"/>
    <w:rsid w:val="49B2C9CE"/>
    <w:rsid w:val="49B67EB1"/>
    <w:rsid w:val="49B80980"/>
    <w:rsid w:val="49BBA82F"/>
    <w:rsid w:val="49C4DF6D"/>
    <w:rsid w:val="49C59831"/>
    <w:rsid w:val="49C89DB2"/>
    <w:rsid w:val="49CB13F8"/>
    <w:rsid w:val="49D1FBDF"/>
    <w:rsid w:val="49D563FE"/>
    <w:rsid w:val="49D7BF72"/>
    <w:rsid w:val="49D7E2E3"/>
    <w:rsid w:val="49D87B74"/>
    <w:rsid w:val="49DE7C16"/>
    <w:rsid w:val="49E3D24F"/>
    <w:rsid w:val="49E6F050"/>
    <w:rsid w:val="49F0912D"/>
    <w:rsid w:val="49FA9002"/>
    <w:rsid w:val="49FE7C0E"/>
    <w:rsid w:val="49FF3061"/>
    <w:rsid w:val="4A017D14"/>
    <w:rsid w:val="4A0F5842"/>
    <w:rsid w:val="4A10E89D"/>
    <w:rsid w:val="4A148B8D"/>
    <w:rsid w:val="4A16B76C"/>
    <w:rsid w:val="4A21ED0C"/>
    <w:rsid w:val="4A333009"/>
    <w:rsid w:val="4A3CCFD7"/>
    <w:rsid w:val="4A3E56E2"/>
    <w:rsid w:val="4A45803E"/>
    <w:rsid w:val="4A4A357C"/>
    <w:rsid w:val="4A5393BA"/>
    <w:rsid w:val="4A544F59"/>
    <w:rsid w:val="4A58090B"/>
    <w:rsid w:val="4A59C5ED"/>
    <w:rsid w:val="4A5A4042"/>
    <w:rsid w:val="4A5E76C3"/>
    <w:rsid w:val="4A5FABC1"/>
    <w:rsid w:val="4A61CF6A"/>
    <w:rsid w:val="4A65059A"/>
    <w:rsid w:val="4A686697"/>
    <w:rsid w:val="4A697985"/>
    <w:rsid w:val="4A6A5E64"/>
    <w:rsid w:val="4A6B887F"/>
    <w:rsid w:val="4A6BA323"/>
    <w:rsid w:val="4A72D773"/>
    <w:rsid w:val="4A735AF5"/>
    <w:rsid w:val="4A74F73F"/>
    <w:rsid w:val="4A76E466"/>
    <w:rsid w:val="4A7D40FE"/>
    <w:rsid w:val="4A802D43"/>
    <w:rsid w:val="4A807267"/>
    <w:rsid w:val="4A82271C"/>
    <w:rsid w:val="4A947A8E"/>
    <w:rsid w:val="4A94F91D"/>
    <w:rsid w:val="4A9BB3D5"/>
    <w:rsid w:val="4A9BDB98"/>
    <w:rsid w:val="4A9BE8D9"/>
    <w:rsid w:val="4A9D0F33"/>
    <w:rsid w:val="4A9F1F5B"/>
    <w:rsid w:val="4AAAED2F"/>
    <w:rsid w:val="4ABA6575"/>
    <w:rsid w:val="4ABC8552"/>
    <w:rsid w:val="4ABE938E"/>
    <w:rsid w:val="4AC6BF81"/>
    <w:rsid w:val="4ACA5148"/>
    <w:rsid w:val="4AD098D3"/>
    <w:rsid w:val="4AD84A02"/>
    <w:rsid w:val="4ADA075C"/>
    <w:rsid w:val="4AE3D720"/>
    <w:rsid w:val="4AE433FA"/>
    <w:rsid w:val="4AE8EACE"/>
    <w:rsid w:val="4AEBFC5B"/>
    <w:rsid w:val="4AEC3022"/>
    <w:rsid w:val="4AEE56EF"/>
    <w:rsid w:val="4AEF74AA"/>
    <w:rsid w:val="4AEF7710"/>
    <w:rsid w:val="4AF19A4F"/>
    <w:rsid w:val="4AF3A01C"/>
    <w:rsid w:val="4AFD9734"/>
    <w:rsid w:val="4AFF0DB4"/>
    <w:rsid w:val="4B01E338"/>
    <w:rsid w:val="4B0DF87F"/>
    <w:rsid w:val="4B0E871A"/>
    <w:rsid w:val="4B1A4D6C"/>
    <w:rsid w:val="4B1EDF2E"/>
    <w:rsid w:val="4B24EC32"/>
    <w:rsid w:val="4B31E2FE"/>
    <w:rsid w:val="4B34DE42"/>
    <w:rsid w:val="4B3DD98B"/>
    <w:rsid w:val="4B3F21AE"/>
    <w:rsid w:val="4B3F63BB"/>
    <w:rsid w:val="4B46B2F0"/>
    <w:rsid w:val="4B55C0AC"/>
    <w:rsid w:val="4B57CC21"/>
    <w:rsid w:val="4B616892"/>
    <w:rsid w:val="4B6CD91F"/>
    <w:rsid w:val="4B7088CF"/>
    <w:rsid w:val="4B78CAA3"/>
    <w:rsid w:val="4B7C5C6B"/>
    <w:rsid w:val="4B86BE4A"/>
    <w:rsid w:val="4B8BE784"/>
    <w:rsid w:val="4B927E52"/>
    <w:rsid w:val="4B9786F8"/>
    <w:rsid w:val="4B98E5C2"/>
    <w:rsid w:val="4BA49A9E"/>
    <w:rsid w:val="4BA7E7D3"/>
    <w:rsid w:val="4BA9AB07"/>
    <w:rsid w:val="4BAE2868"/>
    <w:rsid w:val="4BB47888"/>
    <w:rsid w:val="4BBC5305"/>
    <w:rsid w:val="4BCC9368"/>
    <w:rsid w:val="4BD7B7F3"/>
    <w:rsid w:val="4BDD216B"/>
    <w:rsid w:val="4BDD2575"/>
    <w:rsid w:val="4BE22F8D"/>
    <w:rsid w:val="4BE5BB45"/>
    <w:rsid w:val="4BE5C802"/>
    <w:rsid w:val="4BEE1E66"/>
    <w:rsid w:val="4BEF277B"/>
    <w:rsid w:val="4BF13EFF"/>
    <w:rsid w:val="4BF6E7D9"/>
    <w:rsid w:val="4BFBCCE3"/>
    <w:rsid w:val="4C01E2B2"/>
    <w:rsid w:val="4C0EF9E1"/>
    <w:rsid w:val="4C1153ED"/>
    <w:rsid w:val="4C1647E7"/>
    <w:rsid w:val="4C185ECA"/>
    <w:rsid w:val="4C213581"/>
    <w:rsid w:val="4C2F3E25"/>
    <w:rsid w:val="4C37B295"/>
    <w:rsid w:val="4C37B93A"/>
    <w:rsid w:val="4C3AA7B1"/>
    <w:rsid w:val="4C3DE323"/>
    <w:rsid w:val="4C421F52"/>
    <w:rsid w:val="4C423872"/>
    <w:rsid w:val="4C4377B0"/>
    <w:rsid w:val="4C472274"/>
    <w:rsid w:val="4C569A7D"/>
    <w:rsid w:val="4C59B031"/>
    <w:rsid w:val="4C5B5388"/>
    <w:rsid w:val="4C5C84D5"/>
    <w:rsid w:val="4C790D1A"/>
    <w:rsid w:val="4C8135FB"/>
    <w:rsid w:val="4C8843BF"/>
    <w:rsid w:val="4C886D2B"/>
    <w:rsid w:val="4C892F9F"/>
    <w:rsid w:val="4C8E88D3"/>
    <w:rsid w:val="4C912584"/>
    <w:rsid w:val="4C961C50"/>
    <w:rsid w:val="4C99C092"/>
    <w:rsid w:val="4C9CFB64"/>
    <w:rsid w:val="4C9E74B7"/>
    <w:rsid w:val="4CA9270C"/>
    <w:rsid w:val="4CB9A50F"/>
    <w:rsid w:val="4CBCC1B4"/>
    <w:rsid w:val="4CBFF8F6"/>
    <w:rsid w:val="4CC41A74"/>
    <w:rsid w:val="4CC47450"/>
    <w:rsid w:val="4CCC9A7C"/>
    <w:rsid w:val="4CCE6E91"/>
    <w:rsid w:val="4CD23746"/>
    <w:rsid w:val="4CD55EB6"/>
    <w:rsid w:val="4CDF550B"/>
    <w:rsid w:val="4CE81167"/>
    <w:rsid w:val="4CEAEF02"/>
    <w:rsid w:val="4CECB0CD"/>
    <w:rsid w:val="4CECFE9E"/>
    <w:rsid w:val="4CF557E2"/>
    <w:rsid w:val="4CF71BA3"/>
    <w:rsid w:val="4CFE5363"/>
    <w:rsid w:val="4D01AB45"/>
    <w:rsid w:val="4D06CAB4"/>
    <w:rsid w:val="4D0B8251"/>
    <w:rsid w:val="4D0EAA2D"/>
    <w:rsid w:val="4D1FE4E4"/>
    <w:rsid w:val="4D20E55E"/>
    <w:rsid w:val="4D264587"/>
    <w:rsid w:val="4D2F6299"/>
    <w:rsid w:val="4D308432"/>
    <w:rsid w:val="4D30F60D"/>
    <w:rsid w:val="4D3A1883"/>
    <w:rsid w:val="4D3B0BDF"/>
    <w:rsid w:val="4D426312"/>
    <w:rsid w:val="4D43F1EF"/>
    <w:rsid w:val="4D4583B1"/>
    <w:rsid w:val="4D470255"/>
    <w:rsid w:val="4D4CA515"/>
    <w:rsid w:val="4D56BDA5"/>
    <w:rsid w:val="4D5BFCE2"/>
    <w:rsid w:val="4D61174D"/>
    <w:rsid w:val="4D694D56"/>
    <w:rsid w:val="4D7799DA"/>
    <w:rsid w:val="4D7F6FBC"/>
    <w:rsid w:val="4D8ACB2A"/>
    <w:rsid w:val="4D97EF87"/>
    <w:rsid w:val="4D9A6434"/>
    <w:rsid w:val="4DA969B4"/>
    <w:rsid w:val="4DAD2FDE"/>
    <w:rsid w:val="4DBFA448"/>
    <w:rsid w:val="4DC0DAE8"/>
    <w:rsid w:val="4DCB7CFC"/>
    <w:rsid w:val="4DCF759D"/>
    <w:rsid w:val="4DD3BF37"/>
    <w:rsid w:val="4DD46BE4"/>
    <w:rsid w:val="4DD7EB06"/>
    <w:rsid w:val="4DDFD791"/>
    <w:rsid w:val="4DE23A21"/>
    <w:rsid w:val="4DE68A26"/>
    <w:rsid w:val="4DE73E72"/>
    <w:rsid w:val="4DE8B5E0"/>
    <w:rsid w:val="4DEB7315"/>
    <w:rsid w:val="4DF2B7EB"/>
    <w:rsid w:val="4E003A95"/>
    <w:rsid w:val="4E06A0F2"/>
    <w:rsid w:val="4E0A2E69"/>
    <w:rsid w:val="4E2133D0"/>
    <w:rsid w:val="4E256777"/>
    <w:rsid w:val="4E27F5F1"/>
    <w:rsid w:val="4E290032"/>
    <w:rsid w:val="4E31611E"/>
    <w:rsid w:val="4E3332C0"/>
    <w:rsid w:val="4E3B5D30"/>
    <w:rsid w:val="4E3B7251"/>
    <w:rsid w:val="4E4202AE"/>
    <w:rsid w:val="4E4604C5"/>
    <w:rsid w:val="4E465DE0"/>
    <w:rsid w:val="4E482A6C"/>
    <w:rsid w:val="4E4A3F65"/>
    <w:rsid w:val="4E4B5774"/>
    <w:rsid w:val="4E4FDC85"/>
    <w:rsid w:val="4E528483"/>
    <w:rsid w:val="4E5F4164"/>
    <w:rsid w:val="4E6A7323"/>
    <w:rsid w:val="4E7612B0"/>
    <w:rsid w:val="4E816E4C"/>
    <w:rsid w:val="4E8215D8"/>
    <w:rsid w:val="4E86B1EA"/>
    <w:rsid w:val="4E880785"/>
    <w:rsid w:val="4E8ABB75"/>
    <w:rsid w:val="4E9229F9"/>
    <w:rsid w:val="4E94A156"/>
    <w:rsid w:val="4E991165"/>
    <w:rsid w:val="4E9B5A5C"/>
    <w:rsid w:val="4E9D696B"/>
    <w:rsid w:val="4E9FBA4D"/>
    <w:rsid w:val="4EA18A49"/>
    <w:rsid w:val="4EAEC065"/>
    <w:rsid w:val="4EB43C54"/>
    <w:rsid w:val="4EC15735"/>
    <w:rsid w:val="4EC5D13D"/>
    <w:rsid w:val="4EC7C014"/>
    <w:rsid w:val="4EC7CC9F"/>
    <w:rsid w:val="4EC8587D"/>
    <w:rsid w:val="4EC8F6A2"/>
    <w:rsid w:val="4EE33087"/>
    <w:rsid w:val="4F02F2A8"/>
    <w:rsid w:val="4F052227"/>
    <w:rsid w:val="4F0B99DC"/>
    <w:rsid w:val="4F0C4839"/>
    <w:rsid w:val="4F0ED92A"/>
    <w:rsid w:val="4F101E86"/>
    <w:rsid w:val="4F134F1F"/>
    <w:rsid w:val="4F1F882D"/>
    <w:rsid w:val="4F23167E"/>
    <w:rsid w:val="4F253E0C"/>
    <w:rsid w:val="4F2790F5"/>
    <w:rsid w:val="4F281972"/>
    <w:rsid w:val="4F2944EF"/>
    <w:rsid w:val="4F2C08A1"/>
    <w:rsid w:val="4F2C8F39"/>
    <w:rsid w:val="4F3F49FD"/>
    <w:rsid w:val="4F57C5EE"/>
    <w:rsid w:val="4F617AB9"/>
    <w:rsid w:val="4F626212"/>
    <w:rsid w:val="4F7232AE"/>
    <w:rsid w:val="4F7FE47F"/>
    <w:rsid w:val="4F82DC45"/>
    <w:rsid w:val="4F8A95A8"/>
    <w:rsid w:val="4F949125"/>
    <w:rsid w:val="4FA21723"/>
    <w:rsid w:val="4FB601AB"/>
    <w:rsid w:val="4FBABAE0"/>
    <w:rsid w:val="4FC1D008"/>
    <w:rsid w:val="4FC89F39"/>
    <w:rsid w:val="4FCA7CAE"/>
    <w:rsid w:val="4FCBBBE8"/>
    <w:rsid w:val="4FD57D2A"/>
    <w:rsid w:val="4FD5B6C5"/>
    <w:rsid w:val="4FD5CDA7"/>
    <w:rsid w:val="4FDD8661"/>
    <w:rsid w:val="4FEB53C7"/>
    <w:rsid w:val="4FEC33F0"/>
    <w:rsid w:val="4FECE6F6"/>
    <w:rsid w:val="4FF2CD57"/>
    <w:rsid w:val="501A7CF9"/>
    <w:rsid w:val="501D7A68"/>
    <w:rsid w:val="5023866D"/>
    <w:rsid w:val="50283DEB"/>
    <w:rsid w:val="502A0D90"/>
    <w:rsid w:val="5034A76D"/>
    <w:rsid w:val="50353AC7"/>
    <w:rsid w:val="5048BE07"/>
    <w:rsid w:val="5052B022"/>
    <w:rsid w:val="5058BE2E"/>
    <w:rsid w:val="505BE7EE"/>
    <w:rsid w:val="505DD853"/>
    <w:rsid w:val="506AD0D0"/>
    <w:rsid w:val="506B441C"/>
    <w:rsid w:val="50769A48"/>
    <w:rsid w:val="507C387D"/>
    <w:rsid w:val="507E9C6F"/>
    <w:rsid w:val="5080FE5D"/>
    <w:rsid w:val="508D16AC"/>
    <w:rsid w:val="5092BA41"/>
    <w:rsid w:val="509C32A1"/>
    <w:rsid w:val="509E432F"/>
    <w:rsid w:val="50A836C1"/>
    <w:rsid w:val="50B53818"/>
    <w:rsid w:val="50B9ABD7"/>
    <w:rsid w:val="50BB10BA"/>
    <w:rsid w:val="50C0FD03"/>
    <w:rsid w:val="50C2989E"/>
    <w:rsid w:val="50D0AB6A"/>
    <w:rsid w:val="50DADA79"/>
    <w:rsid w:val="50DD96EE"/>
    <w:rsid w:val="50DE0CAA"/>
    <w:rsid w:val="50E55A44"/>
    <w:rsid w:val="50EA5CD9"/>
    <w:rsid w:val="50EC485C"/>
    <w:rsid w:val="50F05D3F"/>
    <w:rsid w:val="50F7CCC2"/>
    <w:rsid w:val="50F7DB61"/>
    <w:rsid w:val="51077962"/>
    <w:rsid w:val="510D1F7F"/>
    <w:rsid w:val="510D3FD2"/>
    <w:rsid w:val="510FCE4A"/>
    <w:rsid w:val="5113C2CB"/>
    <w:rsid w:val="511B590A"/>
    <w:rsid w:val="511C031E"/>
    <w:rsid w:val="5120756F"/>
    <w:rsid w:val="5121E7C0"/>
    <w:rsid w:val="5123E8B5"/>
    <w:rsid w:val="51245D27"/>
    <w:rsid w:val="5128855B"/>
    <w:rsid w:val="512914B9"/>
    <w:rsid w:val="512E9411"/>
    <w:rsid w:val="5131E016"/>
    <w:rsid w:val="513E30DA"/>
    <w:rsid w:val="514020C3"/>
    <w:rsid w:val="5153156F"/>
    <w:rsid w:val="5156C912"/>
    <w:rsid w:val="515A637A"/>
    <w:rsid w:val="516290EB"/>
    <w:rsid w:val="5164BF6A"/>
    <w:rsid w:val="516761EF"/>
    <w:rsid w:val="51685182"/>
    <w:rsid w:val="516CADFA"/>
    <w:rsid w:val="516D82EE"/>
    <w:rsid w:val="516DE9A2"/>
    <w:rsid w:val="516E69F4"/>
    <w:rsid w:val="517B377C"/>
    <w:rsid w:val="517C80B1"/>
    <w:rsid w:val="5180F8A6"/>
    <w:rsid w:val="518B8CE2"/>
    <w:rsid w:val="51916475"/>
    <w:rsid w:val="51918264"/>
    <w:rsid w:val="5194943C"/>
    <w:rsid w:val="519830F8"/>
    <w:rsid w:val="519A8CAD"/>
    <w:rsid w:val="51A44FA0"/>
    <w:rsid w:val="51A5C3DE"/>
    <w:rsid w:val="51A7FB12"/>
    <w:rsid w:val="51A954C5"/>
    <w:rsid w:val="51B22EB6"/>
    <w:rsid w:val="51BB7326"/>
    <w:rsid w:val="51C1C9C9"/>
    <w:rsid w:val="51D0A8F4"/>
    <w:rsid w:val="51D19497"/>
    <w:rsid w:val="51DDF243"/>
    <w:rsid w:val="51E19A1F"/>
    <w:rsid w:val="51E3D90E"/>
    <w:rsid w:val="51FA5AD6"/>
    <w:rsid w:val="51FEB50F"/>
    <w:rsid w:val="520307FD"/>
    <w:rsid w:val="52046C0C"/>
    <w:rsid w:val="5204C097"/>
    <w:rsid w:val="52057678"/>
    <w:rsid w:val="5205FD57"/>
    <w:rsid w:val="5207133E"/>
    <w:rsid w:val="5208BFB1"/>
    <w:rsid w:val="52116169"/>
    <w:rsid w:val="52145E12"/>
    <w:rsid w:val="521644CC"/>
    <w:rsid w:val="52214687"/>
    <w:rsid w:val="52228D1C"/>
    <w:rsid w:val="5226C9A4"/>
    <w:rsid w:val="5227AACB"/>
    <w:rsid w:val="5228E2A5"/>
    <w:rsid w:val="523329A6"/>
    <w:rsid w:val="524064FF"/>
    <w:rsid w:val="52428542"/>
    <w:rsid w:val="52469270"/>
    <w:rsid w:val="524D3720"/>
    <w:rsid w:val="52549FE4"/>
    <w:rsid w:val="525D91F2"/>
    <w:rsid w:val="52622465"/>
    <w:rsid w:val="526A2917"/>
    <w:rsid w:val="526B12A2"/>
    <w:rsid w:val="526CDCAC"/>
    <w:rsid w:val="52741323"/>
    <w:rsid w:val="52741CD6"/>
    <w:rsid w:val="527AA31B"/>
    <w:rsid w:val="527E4512"/>
    <w:rsid w:val="5280DB11"/>
    <w:rsid w:val="528249E2"/>
    <w:rsid w:val="5283684D"/>
    <w:rsid w:val="528C341E"/>
    <w:rsid w:val="529333F0"/>
    <w:rsid w:val="52AF1E0F"/>
    <w:rsid w:val="52B56B42"/>
    <w:rsid w:val="52BB6C17"/>
    <w:rsid w:val="52BF1B21"/>
    <w:rsid w:val="52C09FC2"/>
    <w:rsid w:val="52C19CE5"/>
    <w:rsid w:val="52C8F8D4"/>
    <w:rsid w:val="52C905DB"/>
    <w:rsid w:val="52C9973B"/>
    <w:rsid w:val="52CC2126"/>
    <w:rsid w:val="52D2ABE3"/>
    <w:rsid w:val="52DBB8F1"/>
    <w:rsid w:val="52E89013"/>
    <w:rsid w:val="52EA135B"/>
    <w:rsid w:val="52F007E0"/>
    <w:rsid w:val="52F074B4"/>
    <w:rsid w:val="52FD6099"/>
    <w:rsid w:val="530D71D0"/>
    <w:rsid w:val="5312AD66"/>
    <w:rsid w:val="5313AF39"/>
    <w:rsid w:val="5315D7D6"/>
    <w:rsid w:val="53164E99"/>
    <w:rsid w:val="531721E1"/>
    <w:rsid w:val="531CF638"/>
    <w:rsid w:val="53211381"/>
    <w:rsid w:val="53258B4A"/>
    <w:rsid w:val="532C6062"/>
    <w:rsid w:val="532E9052"/>
    <w:rsid w:val="533A6ADE"/>
    <w:rsid w:val="533D7F52"/>
    <w:rsid w:val="5343B900"/>
    <w:rsid w:val="53445700"/>
    <w:rsid w:val="53458056"/>
    <w:rsid w:val="534BE5BA"/>
    <w:rsid w:val="534E6601"/>
    <w:rsid w:val="53549C8E"/>
    <w:rsid w:val="53593C9E"/>
    <w:rsid w:val="535AD17B"/>
    <w:rsid w:val="536214B8"/>
    <w:rsid w:val="5363D098"/>
    <w:rsid w:val="536D3FED"/>
    <w:rsid w:val="5370DA8E"/>
    <w:rsid w:val="53760327"/>
    <w:rsid w:val="5377D6BC"/>
    <w:rsid w:val="537B5556"/>
    <w:rsid w:val="537DEDCE"/>
    <w:rsid w:val="53880789"/>
    <w:rsid w:val="538BDD87"/>
    <w:rsid w:val="538D62B1"/>
    <w:rsid w:val="538E2E66"/>
    <w:rsid w:val="538E5EBD"/>
    <w:rsid w:val="5391C340"/>
    <w:rsid w:val="5397FCCF"/>
    <w:rsid w:val="539BDAAE"/>
    <w:rsid w:val="53A3678F"/>
    <w:rsid w:val="53A620D5"/>
    <w:rsid w:val="53B74724"/>
    <w:rsid w:val="53D149B8"/>
    <w:rsid w:val="53D2286C"/>
    <w:rsid w:val="53D609F1"/>
    <w:rsid w:val="53D6C2BE"/>
    <w:rsid w:val="53D745E3"/>
    <w:rsid w:val="53D820FF"/>
    <w:rsid w:val="53DDDBD1"/>
    <w:rsid w:val="53DF4F1C"/>
    <w:rsid w:val="53E4C865"/>
    <w:rsid w:val="53ED02BC"/>
    <w:rsid w:val="53F49D48"/>
    <w:rsid w:val="53F5B695"/>
    <w:rsid w:val="53F64121"/>
    <w:rsid w:val="53FA90CE"/>
    <w:rsid w:val="53FE107E"/>
    <w:rsid w:val="53FFA98D"/>
    <w:rsid w:val="54006CA1"/>
    <w:rsid w:val="54025C10"/>
    <w:rsid w:val="5402E7F5"/>
    <w:rsid w:val="540386BF"/>
    <w:rsid w:val="540806A7"/>
    <w:rsid w:val="54082DEF"/>
    <w:rsid w:val="540AAB35"/>
    <w:rsid w:val="540BC68A"/>
    <w:rsid w:val="54110927"/>
    <w:rsid w:val="54114563"/>
    <w:rsid w:val="5413D09F"/>
    <w:rsid w:val="541D7FBC"/>
    <w:rsid w:val="542061D4"/>
    <w:rsid w:val="54244DB8"/>
    <w:rsid w:val="54296304"/>
    <w:rsid w:val="542FA373"/>
    <w:rsid w:val="543C35D1"/>
    <w:rsid w:val="5446F38C"/>
    <w:rsid w:val="54497ADD"/>
    <w:rsid w:val="544992F7"/>
    <w:rsid w:val="544A8C20"/>
    <w:rsid w:val="544DB84F"/>
    <w:rsid w:val="5450E229"/>
    <w:rsid w:val="545D33DE"/>
    <w:rsid w:val="5469E9ED"/>
    <w:rsid w:val="5470DB51"/>
    <w:rsid w:val="5471F073"/>
    <w:rsid w:val="5473008B"/>
    <w:rsid w:val="54758A61"/>
    <w:rsid w:val="547CA4A2"/>
    <w:rsid w:val="547FD82F"/>
    <w:rsid w:val="548ABB9C"/>
    <w:rsid w:val="548DBD03"/>
    <w:rsid w:val="54928564"/>
    <w:rsid w:val="54952F47"/>
    <w:rsid w:val="5496221D"/>
    <w:rsid w:val="54963832"/>
    <w:rsid w:val="549729BD"/>
    <w:rsid w:val="549D5472"/>
    <w:rsid w:val="54A9E269"/>
    <w:rsid w:val="54B221E4"/>
    <w:rsid w:val="54BA8F04"/>
    <w:rsid w:val="54BAE6CD"/>
    <w:rsid w:val="54C005B5"/>
    <w:rsid w:val="54C6109F"/>
    <w:rsid w:val="54CE1750"/>
    <w:rsid w:val="54D0590A"/>
    <w:rsid w:val="54D2A1A3"/>
    <w:rsid w:val="54DC12F5"/>
    <w:rsid w:val="54DEF65A"/>
    <w:rsid w:val="54E44121"/>
    <w:rsid w:val="54E5AC7C"/>
    <w:rsid w:val="54ED4228"/>
    <w:rsid w:val="54EDF5A6"/>
    <w:rsid w:val="54F54251"/>
    <w:rsid w:val="54F6F317"/>
    <w:rsid w:val="54F7ED22"/>
    <w:rsid w:val="54FAAE5D"/>
    <w:rsid w:val="55025173"/>
    <w:rsid w:val="5508FC29"/>
    <w:rsid w:val="550DDE18"/>
    <w:rsid w:val="55148DFF"/>
    <w:rsid w:val="55189F9D"/>
    <w:rsid w:val="551D9FAA"/>
    <w:rsid w:val="552D4581"/>
    <w:rsid w:val="552E606A"/>
    <w:rsid w:val="552E7DC8"/>
    <w:rsid w:val="552E98F1"/>
    <w:rsid w:val="553A5C0C"/>
    <w:rsid w:val="553C619B"/>
    <w:rsid w:val="553D87BB"/>
    <w:rsid w:val="55402A54"/>
    <w:rsid w:val="554285BB"/>
    <w:rsid w:val="554A28CF"/>
    <w:rsid w:val="554DFB65"/>
    <w:rsid w:val="554FB672"/>
    <w:rsid w:val="556024FC"/>
    <w:rsid w:val="55615C80"/>
    <w:rsid w:val="556206B3"/>
    <w:rsid w:val="556574FB"/>
    <w:rsid w:val="5568A485"/>
    <w:rsid w:val="556B7EE9"/>
    <w:rsid w:val="556D85EE"/>
    <w:rsid w:val="558793F5"/>
    <w:rsid w:val="55888BB7"/>
    <w:rsid w:val="55945CD8"/>
    <w:rsid w:val="559DBBD5"/>
    <w:rsid w:val="55A096C6"/>
    <w:rsid w:val="55A38AC5"/>
    <w:rsid w:val="55B2B9BD"/>
    <w:rsid w:val="55B42CBF"/>
    <w:rsid w:val="55BE9720"/>
    <w:rsid w:val="55C5DC0F"/>
    <w:rsid w:val="55CEE57B"/>
    <w:rsid w:val="55D2AF13"/>
    <w:rsid w:val="55D31BF0"/>
    <w:rsid w:val="55DC4357"/>
    <w:rsid w:val="55DD9591"/>
    <w:rsid w:val="55E09E8B"/>
    <w:rsid w:val="55E70B9D"/>
    <w:rsid w:val="55E7D856"/>
    <w:rsid w:val="55F0798D"/>
    <w:rsid w:val="55FB528F"/>
    <w:rsid w:val="55FE7C94"/>
    <w:rsid w:val="56092AFD"/>
    <w:rsid w:val="5609D5C7"/>
    <w:rsid w:val="561447E5"/>
    <w:rsid w:val="562CE466"/>
    <w:rsid w:val="562E0309"/>
    <w:rsid w:val="5632ED9D"/>
    <w:rsid w:val="5632F409"/>
    <w:rsid w:val="56352DED"/>
    <w:rsid w:val="563F0D44"/>
    <w:rsid w:val="5642EB5E"/>
    <w:rsid w:val="5650B228"/>
    <w:rsid w:val="565178DF"/>
    <w:rsid w:val="5657BAF8"/>
    <w:rsid w:val="565C287A"/>
    <w:rsid w:val="5661C299"/>
    <w:rsid w:val="5664E4A5"/>
    <w:rsid w:val="5670B6E6"/>
    <w:rsid w:val="5670E816"/>
    <w:rsid w:val="5674A8F9"/>
    <w:rsid w:val="5674EBEA"/>
    <w:rsid w:val="56755D71"/>
    <w:rsid w:val="5676F4B8"/>
    <w:rsid w:val="567D8253"/>
    <w:rsid w:val="5680F50F"/>
    <w:rsid w:val="5682D50B"/>
    <w:rsid w:val="5682F506"/>
    <w:rsid w:val="568D0799"/>
    <w:rsid w:val="5692CE3F"/>
    <w:rsid w:val="569C0FE6"/>
    <w:rsid w:val="56AD203D"/>
    <w:rsid w:val="56ADB057"/>
    <w:rsid w:val="56B33248"/>
    <w:rsid w:val="56B7916C"/>
    <w:rsid w:val="56BC12C1"/>
    <w:rsid w:val="56BCA574"/>
    <w:rsid w:val="56C5B8A8"/>
    <w:rsid w:val="56C5EDB5"/>
    <w:rsid w:val="56C65444"/>
    <w:rsid w:val="56C69A99"/>
    <w:rsid w:val="56C73EC4"/>
    <w:rsid w:val="56CA83A5"/>
    <w:rsid w:val="56D57270"/>
    <w:rsid w:val="56D74373"/>
    <w:rsid w:val="56E5FEA9"/>
    <w:rsid w:val="56E660A7"/>
    <w:rsid w:val="56EBED79"/>
    <w:rsid w:val="56F33C27"/>
    <w:rsid w:val="56F54D5E"/>
    <w:rsid w:val="56FA0972"/>
    <w:rsid w:val="56FE40E8"/>
    <w:rsid w:val="570C8D2E"/>
    <w:rsid w:val="570F36B2"/>
    <w:rsid w:val="5713F260"/>
    <w:rsid w:val="571EE716"/>
    <w:rsid w:val="57213E59"/>
    <w:rsid w:val="572C5D1A"/>
    <w:rsid w:val="57320798"/>
    <w:rsid w:val="57325E5C"/>
    <w:rsid w:val="5733AF6A"/>
    <w:rsid w:val="5736371F"/>
    <w:rsid w:val="57393CAA"/>
    <w:rsid w:val="5739C0FB"/>
    <w:rsid w:val="573A4E8B"/>
    <w:rsid w:val="573DE64A"/>
    <w:rsid w:val="57413233"/>
    <w:rsid w:val="57424717"/>
    <w:rsid w:val="57458D26"/>
    <w:rsid w:val="57476008"/>
    <w:rsid w:val="57483CB6"/>
    <w:rsid w:val="574C6243"/>
    <w:rsid w:val="574CEEE7"/>
    <w:rsid w:val="574E0C89"/>
    <w:rsid w:val="574F8A88"/>
    <w:rsid w:val="5751A502"/>
    <w:rsid w:val="575C1B8A"/>
    <w:rsid w:val="5763AC7F"/>
    <w:rsid w:val="5767CB18"/>
    <w:rsid w:val="57714422"/>
    <w:rsid w:val="5773D41C"/>
    <w:rsid w:val="5773DFF5"/>
    <w:rsid w:val="577B76A4"/>
    <w:rsid w:val="577C8B49"/>
    <w:rsid w:val="578E07C5"/>
    <w:rsid w:val="578F4F75"/>
    <w:rsid w:val="5796C4F5"/>
    <w:rsid w:val="579A8463"/>
    <w:rsid w:val="579C01DD"/>
    <w:rsid w:val="579CF992"/>
    <w:rsid w:val="57A28B6A"/>
    <w:rsid w:val="57A5A4EC"/>
    <w:rsid w:val="57AA2787"/>
    <w:rsid w:val="57AF1BDB"/>
    <w:rsid w:val="57B32AAB"/>
    <w:rsid w:val="57BA581E"/>
    <w:rsid w:val="57BD8D70"/>
    <w:rsid w:val="57C4216D"/>
    <w:rsid w:val="57C6CCCA"/>
    <w:rsid w:val="57C9405A"/>
    <w:rsid w:val="57CE322A"/>
    <w:rsid w:val="57D15C49"/>
    <w:rsid w:val="57D6604A"/>
    <w:rsid w:val="57D9E98E"/>
    <w:rsid w:val="57ED3DD0"/>
    <w:rsid w:val="57F30C5E"/>
    <w:rsid w:val="57F5EF02"/>
    <w:rsid w:val="57F77EEB"/>
    <w:rsid w:val="57FAF704"/>
    <w:rsid w:val="58037339"/>
    <w:rsid w:val="58174DA4"/>
    <w:rsid w:val="58229353"/>
    <w:rsid w:val="5824C0C1"/>
    <w:rsid w:val="5829DE32"/>
    <w:rsid w:val="582BAC30"/>
    <w:rsid w:val="58337E94"/>
    <w:rsid w:val="5836AE6A"/>
    <w:rsid w:val="583CE781"/>
    <w:rsid w:val="5852ADF4"/>
    <w:rsid w:val="5853779C"/>
    <w:rsid w:val="58563540"/>
    <w:rsid w:val="585CE106"/>
    <w:rsid w:val="58686044"/>
    <w:rsid w:val="5868AD16"/>
    <w:rsid w:val="58696B42"/>
    <w:rsid w:val="5869814A"/>
    <w:rsid w:val="587DD458"/>
    <w:rsid w:val="58810BF4"/>
    <w:rsid w:val="588C7C2F"/>
    <w:rsid w:val="58911DBF"/>
    <w:rsid w:val="58919C6A"/>
    <w:rsid w:val="58A02D8C"/>
    <w:rsid w:val="58A2511C"/>
    <w:rsid w:val="58A4B696"/>
    <w:rsid w:val="58A53409"/>
    <w:rsid w:val="58A8CA45"/>
    <w:rsid w:val="58B6BC43"/>
    <w:rsid w:val="58B70A3B"/>
    <w:rsid w:val="58BC05FD"/>
    <w:rsid w:val="58C5C45D"/>
    <w:rsid w:val="58CF3CAE"/>
    <w:rsid w:val="58D11DFF"/>
    <w:rsid w:val="58D5E9B1"/>
    <w:rsid w:val="58D90EA1"/>
    <w:rsid w:val="58DE4013"/>
    <w:rsid w:val="58E1106C"/>
    <w:rsid w:val="58E19EC3"/>
    <w:rsid w:val="58E6FEAD"/>
    <w:rsid w:val="58E8EAF5"/>
    <w:rsid w:val="58EF7B08"/>
    <w:rsid w:val="58F313A6"/>
    <w:rsid w:val="58F48033"/>
    <w:rsid w:val="58F8CD7C"/>
    <w:rsid w:val="58FB54C7"/>
    <w:rsid w:val="58FE2DDF"/>
    <w:rsid w:val="59029F39"/>
    <w:rsid w:val="5904FDC8"/>
    <w:rsid w:val="5905AA52"/>
    <w:rsid w:val="590A0556"/>
    <w:rsid w:val="590BD80F"/>
    <w:rsid w:val="590E0FF0"/>
    <w:rsid w:val="590ED9B7"/>
    <w:rsid w:val="591280A7"/>
    <w:rsid w:val="5913806C"/>
    <w:rsid w:val="59141172"/>
    <w:rsid w:val="591C77F3"/>
    <w:rsid w:val="592C49A0"/>
    <w:rsid w:val="592DA788"/>
    <w:rsid w:val="592EE904"/>
    <w:rsid w:val="59311BF2"/>
    <w:rsid w:val="59345437"/>
    <w:rsid w:val="59439E13"/>
    <w:rsid w:val="5945A1F6"/>
    <w:rsid w:val="59602157"/>
    <w:rsid w:val="596698E9"/>
    <w:rsid w:val="5968CB40"/>
    <w:rsid w:val="596DD988"/>
    <w:rsid w:val="5970C462"/>
    <w:rsid w:val="597E2A18"/>
    <w:rsid w:val="598368D6"/>
    <w:rsid w:val="598B19E7"/>
    <w:rsid w:val="598D6A35"/>
    <w:rsid w:val="598D8E3D"/>
    <w:rsid w:val="59993F20"/>
    <w:rsid w:val="599C96BD"/>
    <w:rsid w:val="599FFEEF"/>
    <w:rsid w:val="59A1E595"/>
    <w:rsid w:val="59B5B560"/>
    <w:rsid w:val="59C2F173"/>
    <w:rsid w:val="59C59413"/>
    <w:rsid w:val="59D4D97B"/>
    <w:rsid w:val="59D5C296"/>
    <w:rsid w:val="59E15B44"/>
    <w:rsid w:val="59E292B7"/>
    <w:rsid w:val="59E9A205"/>
    <w:rsid w:val="59F2C871"/>
    <w:rsid w:val="59F388A4"/>
    <w:rsid w:val="59F38C69"/>
    <w:rsid w:val="59F5708C"/>
    <w:rsid w:val="59FC288F"/>
    <w:rsid w:val="59FD1F51"/>
    <w:rsid w:val="59FFBDFE"/>
    <w:rsid w:val="5A084252"/>
    <w:rsid w:val="5A0AA891"/>
    <w:rsid w:val="5A1227A2"/>
    <w:rsid w:val="5A18B8EB"/>
    <w:rsid w:val="5A1FC0BC"/>
    <w:rsid w:val="5A2F8A6F"/>
    <w:rsid w:val="5A39EA26"/>
    <w:rsid w:val="5A3DEE28"/>
    <w:rsid w:val="5A3DEFF4"/>
    <w:rsid w:val="5A4ACFB7"/>
    <w:rsid w:val="5A4CC1BE"/>
    <w:rsid w:val="5A5179C4"/>
    <w:rsid w:val="5A558527"/>
    <w:rsid w:val="5A5B5E4E"/>
    <w:rsid w:val="5A614874"/>
    <w:rsid w:val="5A6CCAEE"/>
    <w:rsid w:val="5A6D42C0"/>
    <w:rsid w:val="5A70AEEB"/>
    <w:rsid w:val="5A780FEB"/>
    <w:rsid w:val="5A7B0F73"/>
    <w:rsid w:val="5A836B05"/>
    <w:rsid w:val="5A88D914"/>
    <w:rsid w:val="5A9826C1"/>
    <w:rsid w:val="5AA1A871"/>
    <w:rsid w:val="5AA56054"/>
    <w:rsid w:val="5AB1324F"/>
    <w:rsid w:val="5AB927A0"/>
    <w:rsid w:val="5ABDC337"/>
    <w:rsid w:val="5ABDD25F"/>
    <w:rsid w:val="5AC686EB"/>
    <w:rsid w:val="5ACB405E"/>
    <w:rsid w:val="5AD732C6"/>
    <w:rsid w:val="5AE0F4BA"/>
    <w:rsid w:val="5AE88E13"/>
    <w:rsid w:val="5AEC6863"/>
    <w:rsid w:val="5AED3A60"/>
    <w:rsid w:val="5AEE6098"/>
    <w:rsid w:val="5AEF26E2"/>
    <w:rsid w:val="5AF4E10D"/>
    <w:rsid w:val="5AF64142"/>
    <w:rsid w:val="5B00AC52"/>
    <w:rsid w:val="5B01FE5C"/>
    <w:rsid w:val="5B090348"/>
    <w:rsid w:val="5B09C6D3"/>
    <w:rsid w:val="5B0A1CAB"/>
    <w:rsid w:val="5B10D176"/>
    <w:rsid w:val="5B143819"/>
    <w:rsid w:val="5B34AE71"/>
    <w:rsid w:val="5B3B9B69"/>
    <w:rsid w:val="5B464995"/>
    <w:rsid w:val="5B4A5A5B"/>
    <w:rsid w:val="5B4DF2FF"/>
    <w:rsid w:val="5B4F1E06"/>
    <w:rsid w:val="5B61E424"/>
    <w:rsid w:val="5B69CF2C"/>
    <w:rsid w:val="5B6C2126"/>
    <w:rsid w:val="5B6CBA3A"/>
    <w:rsid w:val="5B722DBC"/>
    <w:rsid w:val="5B72A4E3"/>
    <w:rsid w:val="5B74AE81"/>
    <w:rsid w:val="5B797E9A"/>
    <w:rsid w:val="5B7BFDAF"/>
    <w:rsid w:val="5B7D8132"/>
    <w:rsid w:val="5B7FB58A"/>
    <w:rsid w:val="5B80C24E"/>
    <w:rsid w:val="5B860E7E"/>
    <w:rsid w:val="5B8F2127"/>
    <w:rsid w:val="5B9384C3"/>
    <w:rsid w:val="5B96E04E"/>
    <w:rsid w:val="5B982BC2"/>
    <w:rsid w:val="5B9FA7FD"/>
    <w:rsid w:val="5BA036EA"/>
    <w:rsid w:val="5BA38288"/>
    <w:rsid w:val="5BA4D591"/>
    <w:rsid w:val="5BAA120A"/>
    <w:rsid w:val="5BB04C7D"/>
    <w:rsid w:val="5BB26866"/>
    <w:rsid w:val="5BB7716F"/>
    <w:rsid w:val="5BBBA0AE"/>
    <w:rsid w:val="5BBD3CE9"/>
    <w:rsid w:val="5BC0D88F"/>
    <w:rsid w:val="5BC0FCF2"/>
    <w:rsid w:val="5BC5314D"/>
    <w:rsid w:val="5BCA0C72"/>
    <w:rsid w:val="5BCECEAE"/>
    <w:rsid w:val="5BD01F27"/>
    <w:rsid w:val="5BD13561"/>
    <w:rsid w:val="5BD58971"/>
    <w:rsid w:val="5BD95D99"/>
    <w:rsid w:val="5BE454B7"/>
    <w:rsid w:val="5BE64F1E"/>
    <w:rsid w:val="5BE75717"/>
    <w:rsid w:val="5BF628EC"/>
    <w:rsid w:val="5BF7717F"/>
    <w:rsid w:val="5C04019D"/>
    <w:rsid w:val="5C0A60CE"/>
    <w:rsid w:val="5C12AAD3"/>
    <w:rsid w:val="5C1420F8"/>
    <w:rsid w:val="5C1444A2"/>
    <w:rsid w:val="5C17F1A2"/>
    <w:rsid w:val="5C1A6C6F"/>
    <w:rsid w:val="5C1B1DC9"/>
    <w:rsid w:val="5C1D8B7D"/>
    <w:rsid w:val="5C20A22E"/>
    <w:rsid w:val="5C295485"/>
    <w:rsid w:val="5C2A38C6"/>
    <w:rsid w:val="5C362E68"/>
    <w:rsid w:val="5C382D21"/>
    <w:rsid w:val="5C3849F6"/>
    <w:rsid w:val="5C3CEBEF"/>
    <w:rsid w:val="5C41F170"/>
    <w:rsid w:val="5C45CE29"/>
    <w:rsid w:val="5C53EF06"/>
    <w:rsid w:val="5C5B0446"/>
    <w:rsid w:val="5C5F299F"/>
    <w:rsid w:val="5C6B4204"/>
    <w:rsid w:val="5C6B64B8"/>
    <w:rsid w:val="5C6E02B5"/>
    <w:rsid w:val="5C70E85C"/>
    <w:rsid w:val="5C75A9D9"/>
    <w:rsid w:val="5C78755A"/>
    <w:rsid w:val="5C7C36BE"/>
    <w:rsid w:val="5C88D7F0"/>
    <w:rsid w:val="5C93D883"/>
    <w:rsid w:val="5CAC8280"/>
    <w:rsid w:val="5CAE76D3"/>
    <w:rsid w:val="5CB0B6B5"/>
    <w:rsid w:val="5CB219D8"/>
    <w:rsid w:val="5CB25CC9"/>
    <w:rsid w:val="5CC13ABE"/>
    <w:rsid w:val="5CC7B259"/>
    <w:rsid w:val="5CD20856"/>
    <w:rsid w:val="5CD9F8FC"/>
    <w:rsid w:val="5CDE10A5"/>
    <w:rsid w:val="5CE4FBAA"/>
    <w:rsid w:val="5CE75797"/>
    <w:rsid w:val="5CE99CA6"/>
    <w:rsid w:val="5CE9D2FA"/>
    <w:rsid w:val="5CF1BB17"/>
    <w:rsid w:val="5D0311C0"/>
    <w:rsid w:val="5D040811"/>
    <w:rsid w:val="5D04D7DC"/>
    <w:rsid w:val="5D0795AB"/>
    <w:rsid w:val="5D0B3F36"/>
    <w:rsid w:val="5D0F4C59"/>
    <w:rsid w:val="5D115A41"/>
    <w:rsid w:val="5D11DBB5"/>
    <w:rsid w:val="5D129CF4"/>
    <w:rsid w:val="5D168EB4"/>
    <w:rsid w:val="5D16EC77"/>
    <w:rsid w:val="5D17F80C"/>
    <w:rsid w:val="5D195193"/>
    <w:rsid w:val="5D26FC49"/>
    <w:rsid w:val="5D2982FD"/>
    <w:rsid w:val="5D2C5D6A"/>
    <w:rsid w:val="5D2C6C8A"/>
    <w:rsid w:val="5D2C9F95"/>
    <w:rsid w:val="5D32585E"/>
    <w:rsid w:val="5D33EFA2"/>
    <w:rsid w:val="5D344058"/>
    <w:rsid w:val="5D355698"/>
    <w:rsid w:val="5D3769D2"/>
    <w:rsid w:val="5D4458C0"/>
    <w:rsid w:val="5D487302"/>
    <w:rsid w:val="5D5B84D3"/>
    <w:rsid w:val="5D6770C7"/>
    <w:rsid w:val="5D685477"/>
    <w:rsid w:val="5D6F5EFB"/>
    <w:rsid w:val="5D717E21"/>
    <w:rsid w:val="5D735215"/>
    <w:rsid w:val="5D8527D0"/>
    <w:rsid w:val="5D879507"/>
    <w:rsid w:val="5D8B75C4"/>
    <w:rsid w:val="5D94C28F"/>
    <w:rsid w:val="5D978F2E"/>
    <w:rsid w:val="5D9AABFD"/>
    <w:rsid w:val="5DA2A7F9"/>
    <w:rsid w:val="5DA75562"/>
    <w:rsid w:val="5DA8A6DE"/>
    <w:rsid w:val="5DAC4296"/>
    <w:rsid w:val="5DAF7208"/>
    <w:rsid w:val="5DB988B5"/>
    <w:rsid w:val="5DBC1213"/>
    <w:rsid w:val="5DC4EEDF"/>
    <w:rsid w:val="5DCA3281"/>
    <w:rsid w:val="5DCC82C4"/>
    <w:rsid w:val="5DE7587C"/>
    <w:rsid w:val="5DE7F7FE"/>
    <w:rsid w:val="5DE8D870"/>
    <w:rsid w:val="5DF0F818"/>
    <w:rsid w:val="5DF19AEB"/>
    <w:rsid w:val="5DF2565D"/>
    <w:rsid w:val="5DF90A16"/>
    <w:rsid w:val="5E06C6CD"/>
    <w:rsid w:val="5E0AEBA8"/>
    <w:rsid w:val="5E0AF0BB"/>
    <w:rsid w:val="5E0CAFA6"/>
    <w:rsid w:val="5E0E1D0D"/>
    <w:rsid w:val="5E0F78CC"/>
    <w:rsid w:val="5E177742"/>
    <w:rsid w:val="5E1819C1"/>
    <w:rsid w:val="5E197100"/>
    <w:rsid w:val="5E1A7021"/>
    <w:rsid w:val="5E236B3E"/>
    <w:rsid w:val="5E281A10"/>
    <w:rsid w:val="5E2B2856"/>
    <w:rsid w:val="5E322482"/>
    <w:rsid w:val="5E324B41"/>
    <w:rsid w:val="5E32EDCD"/>
    <w:rsid w:val="5E407D37"/>
    <w:rsid w:val="5E45AFB0"/>
    <w:rsid w:val="5E49AC2A"/>
    <w:rsid w:val="5E4F6459"/>
    <w:rsid w:val="5E5410EC"/>
    <w:rsid w:val="5E61FBC5"/>
    <w:rsid w:val="5E6C40D2"/>
    <w:rsid w:val="5E6F27E5"/>
    <w:rsid w:val="5E7181D2"/>
    <w:rsid w:val="5E721FAC"/>
    <w:rsid w:val="5E72FA9D"/>
    <w:rsid w:val="5E786C63"/>
    <w:rsid w:val="5E79B9A7"/>
    <w:rsid w:val="5E814EC5"/>
    <w:rsid w:val="5E86C2B1"/>
    <w:rsid w:val="5E8A9A44"/>
    <w:rsid w:val="5E908BA0"/>
    <w:rsid w:val="5E90AE59"/>
    <w:rsid w:val="5E92822D"/>
    <w:rsid w:val="5E962045"/>
    <w:rsid w:val="5E9CA8C9"/>
    <w:rsid w:val="5E9F3785"/>
    <w:rsid w:val="5EA6F9D0"/>
    <w:rsid w:val="5EA8C1B7"/>
    <w:rsid w:val="5EAD153C"/>
    <w:rsid w:val="5EB2B3D6"/>
    <w:rsid w:val="5EB37280"/>
    <w:rsid w:val="5EC8C3AA"/>
    <w:rsid w:val="5ECFC25A"/>
    <w:rsid w:val="5ED97C4E"/>
    <w:rsid w:val="5EE06022"/>
    <w:rsid w:val="5EE08EF0"/>
    <w:rsid w:val="5EE0F409"/>
    <w:rsid w:val="5EE6E9FF"/>
    <w:rsid w:val="5EEE3C51"/>
    <w:rsid w:val="5EEE84B7"/>
    <w:rsid w:val="5EF42D0F"/>
    <w:rsid w:val="5EFD69B9"/>
    <w:rsid w:val="5F022927"/>
    <w:rsid w:val="5F0D19F3"/>
    <w:rsid w:val="5F0FEAE8"/>
    <w:rsid w:val="5F1B0B77"/>
    <w:rsid w:val="5F1BD834"/>
    <w:rsid w:val="5F1C4891"/>
    <w:rsid w:val="5F1DCAAD"/>
    <w:rsid w:val="5F20B51C"/>
    <w:rsid w:val="5F25F6FE"/>
    <w:rsid w:val="5F3B512C"/>
    <w:rsid w:val="5F417199"/>
    <w:rsid w:val="5F46BCE4"/>
    <w:rsid w:val="5F46D600"/>
    <w:rsid w:val="5F4BD8AE"/>
    <w:rsid w:val="5F4DCA7D"/>
    <w:rsid w:val="5F4F3E2F"/>
    <w:rsid w:val="5F53390A"/>
    <w:rsid w:val="5F55B5DE"/>
    <w:rsid w:val="5F568BC4"/>
    <w:rsid w:val="5F56D51F"/>
    <w:rsid w:val="5F57EE71"/>
    <w:rsid w:val="5F58DC45"/>
    <w:rsid w:val="5F5C2AC2"/>
    <w:rsid w:val="5F608B4A"/>
    <w:rsid w:val="5F6B0ACE"/>
    <w:rsid w:val="5F6C5FCF"/>
    <w:rsid w:val="5F73E304"/>
    <w:rsid w:val="5F77ED9D"/>
    <w:rsid w:val="5F7D82EF"/>
    <w:rsid w:val="5F80D0CE"/>
    <w:rsid w:val="5F84AB7A"/>
    <w:rsid w:val="5F89C7B4"/>
    <w:rsid w:val="5F968C60"/>
    <w:rsid w:val="5F9B68D1"/>
    <w:rsid w:val="5F9C32E8"/>
    <w:rsid w:val="5F9F6E62"/>
    <w:rsid w:val="5FA81531"/>
    <w:rsid w:val="5FB36411"/>
    <w:rsid w:val="5FB5CCB1"/>
    <w:rsid w:val="5FB8427B"/>
    <w:rsid w:val="5FC4B69B"/>
    <w:rsid w:val="5FCCAC86"/>
    <w:rsid w:val="5FCECD81"/>
    <w:rsid w:val="5FD7D207"/>
    <w:rsid w:val="5FEE9A4E"/>
    <w:rsid w:val="5FF22539"/>
    <w:rsid w:val="5FFDCC26"/>
    <w:rsid w:val="5FFE76B9"/>
    <w:rsid w:val="60032D21"/>
    <w:rsid w:val="60082EB3"/>
    <w:rsid w:val="600BBCCF"/>
    <w:rsid w:val="600DD01F"/>
    <w:rsid w:val="60108EED"/>
    <w:rsid w:val="6011E90E"/>
    <w:rsid w:val="6019CDD7"/>
    <w:rsid w:val="60202228"/>
    <w:rsid w:val="60243EA9"/>
    <w:rsid w:val="602A5929"/>
    <w:rsid w:val="602A674D"/>
    <w:rsid w:val="602F7FE2"/>
    <w:rsid w:val="60338784"/>
    <w:rsid w:val="6038A0F6"/>
    <w:rsid w:val="603EDDD4"/>
    <w:rsid w:val="60442CB1"/>
    <w:rsid w:val="604965DF"/>
    <w:rsid w:val="60499963"/>
    <w:rsid w:val="604B77F8"/>
    <w:rsid w:val="6050CA35"/>
    <w:rsid w:val="605E84C2"/>
    <w:rsid w:val="60604FE9"/>
    <w:rsid w:val="6060986D"/>
    <w:rsid w:val="6064A83C"/>
    <w:rsid w:val="6065BA00"/>
    <w:rsid w:val="607158F3"/>
    <w:rsid w:val="6074F9EF"/>
    <w:rsid w:val="607A6FA9"/>
    <w:rsid w:val="607ADF01"/>
    <w:rsid w:val="607FAFC3"/>
    <w:rsid w:val="60827BD4"/>
    <w:rsid w:val="6085A6AA"/>
    <w:rsid w:val="608AB3FA"/>
    <w:rsid w:val="608E5D46"/>
    <w:rsid w:val="6091EBC2"/>
    <w:rsid w:val="6093D930"/>
    <w:rsid w:val="609609FB"/>
    <w:rsid w:val="609E07D8"/>
    <w:rsid w:val="60AECFF5"/>
    <w:rsid w:val="60B08443"/>
    <w:rsid w:val="60BC566F"/>
    <w:rsid w:val="60C0BB0A"/>
    <w:rsid w:val="60C2B3F5"/>
    <w:rsid w:val="60C322D0"/>
    <w:rsid w:val="60C3C5FD"/>
    <w:rsid w:val="60C5524F"/>
    <w:rsid w:val="60C6A3E8"/>
    <w:rsid w:val="60D089A7"/>
    <w:rsid w:val="60D1FA89"/>
    <w:rsid w:val="60D57FBC"/>
    <w:rsid w:val="60DCFCDB"/>
    <w:rsid w:val="60DDA556"/>
    <w:rsid w:val="60DFBC84"/>
    <w:rsid w:val="60EBD7E6"/>
    <w:rsid w:val="60EF77F6"/>
    <w:rsid w:val="60F008DC"/>
    <w:rsid w:val="60F60B66"/>
    <w:rsid w:val="60FCC9DC"/>
    <w:rsid w:val="610DD3FC"/>
    <w:rsid w:val="61102B58"/>
    <w:rsid w:val="61145557"/>
    <w:rsid w:val="6119844D"/>
    <w:rsid w:val="611C2ED4"/>
    <w:rsid w:val="611CAB1B"/>
    <w:rsid w:val="611CE2AB"/>
    <w:rsid w:val="611D52DD"/>
    <w:rsid w:val="611D7E56"/>
    <w:rsid w:val="612CF977"/>
    <w:rsid w:val="612DCA16"/>
    <w:rsid w:val="613EF5CC"/>
    <w:rsid w:val="61448F51"/>
    <w:rsid w:val="6144FADC"/>
    <w:rsid w:val="6145FF33"/>
    <w:rsid w:val="6148B1C7"/>
    <w:rsid w:val="614A018B"/>
    <w:rsid w:val="6150CB32"/>
    <w:rsid w:val="615C570B"/>
    <w:rsid w:val="616070AC"/>
    <w:rsid w:val="6166AC76"/>
    <w:rsid w:val="61817608"/>
    <w:rsid w:val="61843686"/>
    <w:rsid w:val="618AD695"/>
    <w:rsid w:val="618B28FC"/>
    <w:rsid w:val="6193D80A"/>
    <w:rsid w:val="61A067C6"/>
    <w:rsid w:val="61A38204"/>
    <w:rsid w:val="61A5F40E"/>
    <w:rsid w:val="61A924D9"/>
    <w:rsid w:val="61AB793F"/>
    <w:rsid w:val="61B38204"/>
    <w:rsid w:val="61B3A49E"/>
    <w:rsid w:val="61CC2040"/>
    <w:rsid w:val="61CD5E5F"/>
    <w:rsid w:val="61DBE45D"/>
    <w:rsid w:val="61E8615A"/>
    <w:rsid w:val="61F33F51"/>
    <w:rsid w:val="61FE9489"/>
    <w:rsid w:val="61FE9577"/>
    <w:rsid w:val="61FFC681"/>
    <w:rsid w:val="6215248C"/>
    <w:rsid w:val="62188ECB"/>
    <w:rsid w:val="621AC7E1"/>
    <w:rsid w:val="621B674B"/>
    <w:rsid w:val="621D21D2"/>
    <w:rsid w:val="622911EB"/>
    <w:rsid w:val="6229DBAC"/>
    <w:rsid w:val="622D2DC2"/>
    <w:rsid w:val="622E56F7"/>
    <w:rsid w:val="62360285"/>
    <w:rsid w:val="62461E41"/>
    <w:rsid w:val="6248D1C4"/>
    <w:rsid w:val="624E14E9"/>
    <w:rsid w:val="62527105"/>
    <w:rsid w:val="62561B4E"/>
    <w:rsid w:val="625E3FEC"/>
    <w:rsid w:val="62742CD4"/>
    <w:rsid w:val="627E961E"/>
    <w:rsid w:val="627F0A45"/>
    <w:rsid w:val="628BCBBC"/>
    <w:rsid w:val="629DAFA9"/>
    <w:rsid w:val="629E72A1"/>
    <w:rsid w:val="629F6184"/>
    <w:rsid w:val="62A5CE5E"/>
    <w:rsid w:val="62A975DC"/>
    <w:rsid w:val="62B5E361"/>
    <w:rsid w:val="62C72B38"/>
    <w:rsid w:val="62D0ECF0"/>
    <w:rsid w:val="62D4D906"/>
    <w:rsid w:val="62D74027"/>
    <w:rsid w:val="62ED4635"/>
    <w:rsid w:val="62EE4EEF"/>
    <w:rsid w:val="62F1D418"/>
    <w:rsid w:val="62F4CD63"/>
    <w:rsid w:val="62F6CA03"/>
    <w:rsid w:val="62F7D233"/>
    <w:rsid w:val="62F88B44"/>
    <w:rsid w:val="62FBB5AA"/>
    <w:rsid w:val="63036F6C"/>
    <w:rsid w:val="630EE04C"/>
    <w:rsid w:val="63163398"/>
    <w:rsid w:val="63166AE2"/>
    <w:rsid w:val="631DDEF0"/>
    <w:rsid w:val="63200427"/>
    <w:rsid w:val="632BB0BD"/>
    <w:rsid w:val="6331C216"/>
    <w:rsid w:val="63370E9A"/>
    <w:rsid w:val="63385928"/>
    <w:rsid w:val="6338B85F"/>
    <w:rsid w:val="633CFF73"/>
    <w:rsid w:val="634013A4"/>
    <w:rsid w:val="634050EC"/>
    <w:rsid w:val="6344C71E"/>
    <w:rsid w:val="634560E5"/>
    <w:rsid w:val="63478086"/>
    <w:rsid w:val="6347EE92"/>
    <w:rsid w:val="634D151C"/>
    <w:rsid w:val="634DF885"/>
    <w:rsid w:val="6352EFE5"/>
    <w:rsid w:val="63566634"/>
    <w:rsid w:val="635D05C3"/>
    <w:rsid w:val="6362BDD7"/>
    <w:rsid w:val="6362EDB6"/>
    <w:rsid w:val="6367249F"/>
    <w:rsid w:val="6367289E"/>
    <w:rsid w:val="6368E671"/>
    <w:rsid w:val="636B2B2B"/>
    <w:rsid w:val="63723CF2"/>
    <w:rsid w:val="637C15BE"/>
    <w:rsid w:val="63816D0E"/>
    <w:rsid w:val="638473EE"/>
    <w:rsid w:val="6386FE58"/>
    <w:rsid w:val="6387ECB8"/>
    <w:rsid w:val="638B174F"/>
    <w:rsid w:val="638B3C54"/>
    <w:rsid w:val="638B7352"/>
    <w:rsid w:val="638EED9D"/>
    <w:rsid w:val="63AC572A"/>
    <w:rsid w:val="63B1395B"/>
    <w:rsid w:val="63B548B1"/>
    <w:rsid w:val="63BDDF74"/>
    <w:rsid w:val="63C1F5DA"/>
    <w:rsid w:val="63C2113E"/>
    <w:rsid w:val="63CA88C7"/>
    <w:rsid w:val="63CE339E"/>
    <w:rsid w:val="63CF25AA"/>
    <w:rsid w:val="63DDEB60"/>
    <w:rsid w:val="63F17506"/>
    <w:rsid w:val="63F93B31"/>
    <w:rsid w:val="63FCC67F"/>
    <w:rsid w:val="6402EAFC"/>
    <w:rsid w:val="64063E6F"/>
    <w:rsid w:val="640A984B"/>
    <w:rsid w:val="640EFFB0"/>
    <w:rsid w:val="6412B17C"/>
    <w:rsid w:val="64181132"/>
    <w:rsid w:val="64258542"/>
    <w:rsid w:val="642E6994"/>
    <w:rsid w:val="6431BFFB"/>
    <w:rsid w:val="643395E2"/>
    <w:rsid w:val="6434942E"/>
    <w:rsid w:val="6434BEF9"/>
    <w:rsid w:val="643F5C23"/>
    <w:rsid w:val="6450708A"/>
    <w:rsid w:val="64519BA4"/>
    <w:rsid w:val="6451E50A"/>
    <w:rsid w:val="64579E11"/>
    <w:rsid w:val="645E4FD3"/>
    <w:rsid w:val="645F9B16"/>
    <w:rsid w:val="645FC57F"/>
    <w:rsid w:val="6460DC6F"/>
    <w:rsid w:val="6466C515"/>
    <w:rsid w:val="6467D72D"/>
    <w:rsid w:val="646855C5"/>
    <w:rsid w:val="646B6804"/>
    <w:rsid w:val="64793FD5"/>
    <w:rsid w:val="6485CFAD"/>
    <w:rsid w:val="6487A616"/>
    <w:rsid w:val="6487D45C"/>
    <w:rsid w:val="6492144A"/>
    <w:rsid w:val="64AA7950"/>
    <w:rsid w:val="64B79465"/>
    <w:rsid w:val="64BFDC9C"/>
    <w:rsid w:val="64C3BD02"/>
    <w:rsid w:val="64C7B828"/>
    <w:rsid w:val="64D19682"/>
    <w:rsid w:val="64D2D204"/>
    <w:rsid w:val="64DBF020"/>
    <w:rsid w:val="64E07842"/>
    <w:rsid w:val="64EB5A2B"/>
    <w:rsid w:val="64F78A92"/>
    <w:rsid w:val="64F89E2F"/>
    <w:rsid w:val="64FC5735"/>
    <w:rsid w:val="64FDE231"/>
    <w:rsid w:val="650C9CF2"/>
    <w:rsid w:val="651B09C5"/>
    <w:rsid w:val="651EA241"/>
    <w:rsid w:val="6526EEE2"/>
    <w:rsid w:val="6526FC9A"/>
    <w:rsid w:val="65308971"/>
    <w:rsid w:val="6532C3D7"/>
    <w:rsid w:val="65337340"/>
    <w:rsid w:val="65340990"/>
    <w:rsid w:val="6534FDDD"/>
    <w:rsid w:val="6535300C"/>
    <w:rsid w:val="6536AAF1"/>
    <w:rsid w:val="653BC983"/>
    <w:rsid w:val="6541037E"/>
    <w:rsid w:val="65426919"/>
    <w:rsid w:val="654857BA"/>
    <w:rsid w:val="655010A5"/>
    <w:rsid w:val="65586B8A"/>
    <w:rsid w:val="655E27A7"/>
    <w:rsid w:val="6560D594"/>
    <w:rsid w:val="6567F3A7"/>
    <w:rsid w:val="656B63DC"/>
    <w:rsid w:val="656B908F"/>
    <w:rsid w:val="6570DF7B"/>
    <w:rsid w:val="65792619"/>
    <w:rsid w:val="657C2FDB"/>
    <w:rsid w:val="657DB043"/>
    <w:rsid w:val="6581A3FF"/>
    <w:rsid w:val="658B4009"/>
    <w:rsid w:val="658EF410"/>
    <w:rsid w:val="65951683"/>
    <w:rsid w:val="65989898"/>
    <w:rsid w:val="659F529B"/>
    <w:rsid w:val="65A10E42"/>
    <w:rsid w:val="65A6B3E2"/>
    <w:rsid w:val="65A89A8A"/>
    <w:rsid w:val="65B67738"/>
    <w:rsid w:val="65C242C2"/>
    <w:rsid w:val="65C7370C"/>
    <w:rsid w:val="65C7F2BC"/>
    <w:rsid w:val="65D45E26"/>
    <w:rsid w:val="65D94CF5"/>
    <w:rsid w:val="65DFEAA7"/>
    <w:rsid w:val="65E368D1"/>
    <w:rsid w:val="65EC711F"/>
    <w:rsid w:val="65FA535E"/>
    <w:rsid w:val="660C865D"/>
    <w:rsid w:val="66118B4A"/>
    <w:rsid w:val="6615445A"/>
    <w:rsid w:val="6617449C"/>
    <w:rsid w:val="661792EC"/>
    <w:rsid w:val="661DF88B"/>
    <w:rsid w:val="661EAC24"/>
    <w:rsid w:val="66206E9C"/>
    <w:rsid w:val="6623AE65"/>
    <w:rsid w:val="6624D73C"/>
    <w:rsid w:val="66357B6F"/>
    <w:rsid w:val="6635C4C2"/>
    <w:rsid w:val="66377059"/>
    <w:rsid w:val="6640D227"/>
    <w:rsid w:val="664687F5"/>
    <w:rsid w:val="66525A40"/>
    <w:rsid w:val="66526C9A"/>
    <w:rsid w:val="6652D1F4"/>
    <w:rsid w:val="66539C3D"/>
    <w:rsid w:val="66540C64"/>
    <w:rsid w:val="6656E13E"/>
    <w:rsid w:val="665860FE"/>
    <w:rsid w:val="665A9B4C"/>
    <w:rsid w:val="665D13C4"/>
    <w:rsid w:val="66655E2F"/>
    <w:rsid w:val="6666421E"/>
    <w:rsid w:val="6669466E"/>
    <w:rsid w:val="666DCA02"/>
    <w:rsid w:val="66701E6A"/>
    <w:rsid w:val="66761C2F"/>
    <w:rsid w:val="66767017"/>
    <w:rsid w:val="66793305"/>
    <w:rsid w:val="6679DB6B"/>
    <w:rsid w:val="667C48A3"/>
    <w:rsid w:val="667F11B7"/>
    <w:rsid w:val="667FD7B5"/>
    <w:rsid w:val="66830BA5"/>
    <w:rsid w:val="669B6D32"/>
    <w:rsid w:val="669C3E85"/>
    <w:rsid w:val="669F5906"/>
    <w:rsid w:val="66A0ADC1"/>
    <w:rsid w:val="66A11488"/>
    <w:rsid w:val="66A1A5E5"/>
    <w:rsid w:val="66ACDF0D"/>
    <w:rsid w:val="66B40BAA"/>
    <w:rsid w:val="66B90F24"/>
    <w:rsid w:val="66C0DBE2"/>
    <w:rsid w:val="66C23794"/>
    <w:rsid w:val="66C5C690"/>
    <w:rsid w:val="66C68CA0"/>
    <w:rsid w:val="66C92531"/>
    <w:rsid w:val="66CC5688"/>
    <w:rsid w:val="66CCC194"/>
    <w:rsid w:val="66D3A07F"/>
    <w:rsid w:val="66D7C076"/>
    <w:rsid w:val="66D938FF"/>
    <w:rsid w:val="66DCBFD2"/>
    <w:rsid w:val="66DEB479"/>
    <w:rsid w:val="66DF2F88"/>
    <w:rsid w:val="66E31720"/>
    <w:rsid w:val="66F0ABDD"/>
    <w:rsid w:val="66F259B9"/>
    <w:rsid w:val="66F355A3"/>
    <w:rsid w:val="66FC46A3"/>
    <w:rsid w:val="6702A263"/>
    <w:rsid w:val="67056F03"/>
    <w:rsid w:val="670CB2AC"/>
    <w:rsid w:val="670DDA69"/>
    <w:rsid w:val="67114D77"/>
    <w:rsid w:val="6712E303"/>
    <w:rsid w:val="67175C52"/>
    <w:rsid w:val="671A275A"/>
    <w:rsid w:val="671AC957"/>
    <w:rsid w:val="67214072"/>
    <w:rsid w:val="67231DAE"/>
    <w:rsid w:val="6726BFB8"/>
    <w:rsid w:val="672DA69F"/>
    <w:rsid w:val="672E8A67"/>
    <w:rsid w:val="67332DB2"/>
    <w:rsid w:val="673486C1"/>
    <w:rsid w:val="6736CD3A"/>
    <w:rsid w:val="673AFE33"/>
    <w:rsid w:val="673FBBD8"/>
    <w:rsid w:val="6743C388"/>
    <w:rsid w:val="67477A2B"/>
    <w:rsid w:val="674BEC48"/>
    <w:rsid w:val="674C7CF1"/>
    <w:rsid w:val="675092E3"/>
    <w:rsid w:val="6756226B"/>
    <w:rsid w:val="676541FF"/>
    <w:rsid w:val="676B0F16"/>
    <w:rsid w:val="676CD07E"/>
    <w:rsid w:val="676E9AC5"/>
    <w:rsid w:val="6775E47A"/>
    <w:rsid w:val="677FB1D3"/>
    <w:rsid w:val="6782D1B6"/>
    <w:rsid w:val="6797414B"/>
    <w:rsid w:val="6798132C"/>
    <w:rsid w:val="67987D31"/>
    <w:rsid w:val="679A57E4"/>
    <w:rsid w:val="67ACBF1D"/>
    <w:rsid w:val="67ACC30C"/>
    <w:rsid w:val="67B0D89D"/>
    <w:rsid w:val="67C53D03"/>
    <w:rsid w:val="67C8F41E"/>
    <w:rsid w:val="67CA54AC"/>
    <w:rsid w:val="67CC500F"/>
    <w:rsid w:val="67CEE81B"/>
    <w:rsid w:val="67D11161"/>
    <w:rsid w:val="67D465E0"/>
    <w:rsid w:val="67D5CCDC"/>
    <w:rsid w:val="67D6C5C3"/>
    <w:rsid w:val="67DC7133"/>
    <w:rsid w:val="67DE9DB2"/>
    <w:rsid w:val="67EF3527"/>
    <w:rsid w:val="67F1A0D0"/>
    <w:rsid w:val="67F7F695"/>
    <w:rsid w:val="67FE7D18"/>
    <w:rsid w:val="6802050A"/>
    <w:rsid w:val="680DDBFA"/>
    <w:rsid w:val="680E1B2D"/>
    <w:rsid w:val="6813373E"/>
    <w:rsid w:val="681B9823"/>
    <w:rsid w:val="682D91EA"/>
    <w:rsid w:val="68310C2F"/>
    <w:rsid w:val="6832DD4B"/>
    <w:rsid w:val="683489E5"/>
    <w:rsid w:val="68380B34"/>
    <w:rsid w:val="683ABFEB"/>
    <w:rsid w:val="683BD362"/>
    <w:rsid w:val="6840AE72"/>
    <w:rsid w:val="68416B9B"/>
    <w:rsid w:val="6847E5C7"/>
    <w:rsid w:val="68542DEE"/>
    <w:rsid w:val="6854BBD5"/>
    <w:rsid w:val="68580385"/>
    <w:rsid w:val="6859B663"/>
    <w:rsid w:val="685C043A"/>
    <w:rsid w:val="68689010"/>
    <w:rsid w:val="6869B868"/>
    <w:rsid w:val="686D58F5"/>
    <w:rsid w:val="686DD23D"/>
    <w:rsid w:val="687C84DE"/>
    <w:rsid w:val="68859853"/>
    <w:rsid w:val="6885F294"/>
    <w:rsid w:val="68898E85"/>
    <w:rsid w:val="688BD179"/>
    <w:rsid w:val="688FED0F"/>
    <w:rsid w:val="6895DC66"/>
    <w:rsid w:val="68962B7B"/>
    <w:rsid w:val="68967D64"/>
    <w:rsid w:val="68AD5A5F"/>
    <w:rsid w:val="68AE47F3"/>
    <w:rsid w:val="68B50DFE"/>
    <w:rsid w:val="68B954BB"/>
    <w:rsid w:val="68B95E8D"/>
    <w:rsid w:val="68C09D16"/>
    <w:rsid w:val="68C15FF0"/>
    <w:rsid w:val="68C2435F"/>
    <w:rsid w:val="68C7E715"/>
    <w:rsid w:val="68C9606F"/>
    <w:rsid w:val="68CB9ACB"/>
    <w:rsid w:val="68CDC7BC"/>
    <w:rsid w:val="68D0468D"/>
    <w:rsid w:val="68D101BE"/>
    <w:rsid w:val="68D4959F"/>
    <w:rsid w:val="68D5E746"/>
    <w:rsid w:val="68D7C056"/>
    <w:rsid w:val="68DB3F50"/>
    <w:rsid w:val="68DB8BC4"/>
    <w:rsid w:val="68E0A4D1"/>
    <w:rsid w:val="68E628B0"/>
    <w:rsid w:val="68F8914E"/>
    <w:rsid w:val="6902F6A9"/>
    <w:rsid w:val="6912BE5B"/>
    <w:rsid w:val="69150FE2"/>
    <w:rsid w:val="691985E5"/>
    <w:rsid w:val="6919E006"/>
    <w:rsid w:val="691CB050"/>
    <w:rsid w:val="691DCB8B"/>
    <w:rsid w:val="692955E4"/>
    <w:rsid w:val="692CF321"/>
    <w:rsid w:val="6932F2C1"/>
    <w:rsid w:val="693A8160"/>
    <w:rsid w:val="693C2CDD"/>
    <w:rsid w:val="694341E8"/>
    <w:rsid w:val="694377DB"/>
    <w:rsid w:val="6947CFDB"/>
    <w:rsid w:val="6948F1BC"/>
    <w:rsid w:val="69498CE0"/>
    <w:rsid w:val="694A341B"/>
    <w:rsid w:val="694D850C"/>
    <w:rsid w:val="6958F786"/>
    <w:rsid w:val="69619530"/>
    <w:rsid w:val="6969C6C7"/>
    <w:rsid w:val="6978DF29"/>
    <w:rsid w:val="697AA156"/>
    <w:rsid w:val="697BCBA1"/>
    <w:rsid w:val="697FB6C2"/>
    <w:rsid w:val="698125B4"/>
    <w:rsid w:val="6982F370"/>
    <w:rsid w:val="69852BCE"/>
    <w:rsid w:val="69919DD0"/>
    <w:rsid w:val="69941454"/>
    <w:rsid w:val="6995E510"/>
    <w:rsid w:val="699C3B39"/>
    <w:rsid w:val="699DCB8A"/>
    <w:rsid w:val="69A3CDE4"/>
    <w:rsid w:val="69A99BAE"/>
    <w:rsid w:val="69ACEA54"/>
    <w:rsid w:val="69B76884"/>
    <w:rsid w:val="69B7C57F"/>
    <w:rsid w:val="69B89176"/>
    <w:rsid w:val="69C0F155"/>
    <w:rsid w:val="69CC3FF4"/>
    <w:rsid w:val="69D0EA26"/>
    <w:rsid w:val="69D1A6FA"/>
    <w:rsid w:val="69E1AADF"/>
    <w:rsid w:val="69E65018"/>
    <w:rsid w:val="69E80372"/>
    <w:rsid w:val="69ED26EA"/>
    <w:rsid w:val="69EF0DF6"/>
    <w:rsid w:val="69F00AFF"/>
    <w:rsid w:val="6A1236E2"/>
    <w:rsid w:val="6A1333FA"/>
    <w:rsid w:val="6A1A5E76"/>
    <w:rsid w:val="6A1CF09A"/>
    <w:rsid w:val="6A26D1A2"/>
    <w:rsid w:val="6A29FC21"/>
    <w:rsid w:val="6A2EB420"/>
    <w:rsid w:val="6A32478B"/>
    <w:rsid w:val="6A35508F"/>
    <w:rsid w:val="6A3CFD1E"/>
    <w:rsid w:val="6A4530D4"/>
    <w:rsid w:val="6A4A49B4"/>
    <w:rsid w:val="6A4D94CD"/>
    <w:rsid w:val="6A50C5C9"/>
    <w:rsid w:val="6A50C75A"/>
    <w:rsid w:val="6A522B00"/>
    <w:rsid w:val="6A5C7047"/>
    <w:rsid w:val="6A5D404B"/>
    <w:rsid w:val="6A64146B"/>
    <w:rsid w:val="6A6A52D2"/>
    <w:rsid w:val="6A6EC44B"/>
    <w:rsid w:val="6A78E3DC"/>
    <w:rsid w:val="6A7A700E"/>
    <w:rsid w:val="6A7B1BE3"/>
    <w:rsid w:val="6A7D2A4E"/>
    <w:rsid w:val="6A824430"/>
    <w:rsid w:val="6A82C7E1"/>
    <w:rsid w:val="6A89455E"/>
    <w:rsid w:val="6A897264"/>
    <w:rsid w:val="6A8B8004"/>
    <w:rsid w:val="6A923254"/>
    <w:rsid w:val="6A98DAB5"/>
    <w:rsid w:val="6AA1DEF2"/>
    <w:rsid w:val="6AAE8EBC"/>
    <w:rsid w:val="6AAF24BA"/>
    <w:rsid w:val="6AB0A96C"/>
    <w:rsid w:val="6AB454CD"/>
    <w:rsid w:val="6AB47290"/>
    <w:rsid w:val="6ABAC6C4"/>
    <w:rsid w:val="6AC4F155"/>
    <w:rsid w:val="6AC677B0"/>
    <w:rsid w:val="6AC747D5"/>
    <w:rsid w:val="6AC9D5B1"/>
    <w:rsid w:val="6AD4D444"/>
    <w:rsid w:val="6AD6F421"/>
    <w:rsid w:val="6AD895A5"/>
    <w:rsid w:val="6AE5D3D4"/>
    <w:rsid w:val="6AE8B471"/>
    <w:rsid w:val="6AFCFE03"/>
    <w:rsid w:val="6B05E5E7"/>
    <w:rsid w:val="6B06CA05"/>
    <w:rsid w:val="6B10A78A"/>
    <w:rsid w:val="6B11DFC3"/>
    <w:rsid w:val="6B179255"/>
    <w:rsid w:val="6B21B399"/>
    <w:rsid w:val="6B22540C"/>
    <w:rsid w:val="6B2641C8"/>
    <w:rsid w:val="6B2B40C9"/>
    <w:rsid w:val="6B443F20"/>
    <w:rsid w:val="6B476846"/>
    <w:rsid w:val="6B489509"/>
    <w:rsid w:val="6B4CA287"/>
    <w:rsid w:val="6B5C9062"/>
    <w:rsid w:val="6B63AD8F"/>
    <w:rsid w:val="6B6561AF"/>
    <w:rsid w:val="6B665AFA"/>
    <w:rsid w:val="6B68EC51"/>
    <w:rsid w:val="6B7808B6"/>
    <w:rsid w:val="6B7BC283"/>
    <w:rsid w:val="6B8BC61A"/>
    <w:rsid w:val="6B90F6BD"/>
    <w:rsid w:val="6B980604"/>
    <w:rsid w:val="6B99B822"/>
    <w:rsid w:val="6B9F53DF"/>
    <w:rsid w:val="6BA71CBE"/>
    <w:rsid w:val="6BACAA22"/>
    <w:rsid w:val="6BAD5BFA"/>
    <w:rsid w:val="6BB1B937"/>
    <w:rsid w:val="6BBC43BC"/>
    <w:rsid w:val="6BC263E4"/>
    <w:rsid w:val="6BC3052B"/>
    <w:rsid w:val="6BC3BB1B"/>
    <w:rsid w:val="6BCC15D4"/>
    <w:rsid w:val="6BCE28A8"/>
    <w:rsid w:val="6BD4523A"/>
    <w:rsid w:val="6BD827D7"/>
    <w:rsid w:val="6BD8C3DA"/>
    <w:rsid w:val="6BE215D5"/>
    <w:rsid w:val="6BE25475"/>
    <w:rsid w:val="6BE71D84"/>
    <w:rsid w:val="6BEBF3D9"/>
    <w:rsid w:val="6BF2D09E"/>
    <w:rsid w:val="6BFDC3E7"/>
    <w:rsid w:val="6C01B6F3"/>
    <w:rsid w:val="6C01E192"/>
    <w:rsid w:val="6C038E83"/>
    <w:rsid w:val="6C040B02"/>
    <w:rsid w:val="6C10933C"/>
    <w:rsid w:val="6C120899"/>
    <w:rsid w:val="6C124264"/>
    <w:rsid w:val="6C1930E9"/>
    <w:rsid w:val="6C292CC6"/>
    <w:rsid w:val="6C2DA1A5"/>
    <w:rsid w:val="6C41EE78"/>
    <w:rsid w:val="6C45DB37"/>
    <w:rsid w:val="6C47B2FA"/>
    <w:rsid w:val="6C481878"/>
    <w:rsid w:val="6C484285"/>
    <w:rsid w:val="6C53D66B"/>
    <w:rsid w:val="6C5601FB"/>
    <w:rsid w:val="6C630B4E"/>
    <w:rsid w:val="6C6BCE2D"/>
    <w:rsid w:val="6C6C3CAB"/>
    <w:rsid w:val="6C6D58C7"/>
    <w:rsid w:val="6C7579E4"/>
    <w:rsid w:val="6C782587"/>
    <w:rsid w:val="6C79C82B"/>
    <w:rsid w:val="6C79ED2C"/>
    <w:rsid w:val="6C86AB80"/>
    <w:rsid w:val="6C8B72C0"/>
    <w:rsid w:val="6C8E775C"/>
    <w:rsid w:val="6C95F3F4"/>
    <w:rsid w:val="6C9E86D6"/>
    <w:rsid w:val="6C9F3D8E"/>
    <w:rsid w:val="6CA17EEA"/>
    <w:rsid w:val="6CA40EE3"/>
    <w:rsid w:val="6CA83ED0"/>
    <w:rsid w:val="6CAFBDE6"/>
    <w:rsid w:val="6CB12EDB"/>
    <w:rsid w:val="6CB1F7C2"/>
    <w:rsid w:val="6CB21593"/>
    <w:rsid w:val="6CB26F1C"/>
    <w:rsid w:val="6CB32DF5"/>
    <w:rsid w:val="6CB338F6"/>
    <w:rsid w:val="6CB4B824"/>
    <w:rsid w:val="6CB5D2A9"/>
    <w:rsid w:val="6CBFFD84"/>
    <w:rsid w:val="6CC0C4FE"/>
    <w:rsid w:val="6CCBFE7C"/>
    <w:rsid w:val="6CCD4C16"/>
    <w:rsid w:val="6CD48E2E"/>
    <w:rsid w:val="6CD530A5"/>
    <w:rsid w:val="6CDA777F"/>
    <w:rsid w:val="6CE3ADA7"/>
    <w:rsid w:val="6CE692C0"/>
    <w:rsid w:val="6CE86A53"/>
    <w:rsid w:val="6CEB1793"/>
    <w:rsid w:val="6CEC7ECA"/>
    <w:rsid w:val="6CECA64E"/>
    <w:rsid w:val="6CF79849"/>
    <w:rsid w:val="6CF79DD4"/>
    <w:rsid w:val="6CFC9BCF"/>
    <w:rsid w:val="6CFCFA11"/>
    <w:rsid w:val="6D05B7DB"/>
    <w:rsid w:val="6D05DC72"/>
    <w:rsid w:val="6D114DD1"/>
    <w:rsid w:val="6D16762A"/>
    <w:rsid w:val="6D299A2C"/>
    <w:rsid w:val="6D2A1ECD"/>
    <w:rsid w:val="6D2A59B6"/>
    <w:rsid w:val="6D2E386E"/>
    <w:rsid w:val="6D2E4508"/>
    <w:rsid w:val="6D32D324"/>
    <w:rsid w:val="6D33CE73"/>
    <w:rsid w:val="6D3CE05E"/>
    <w:rsid w:val="6D4701FA"/>
    <w:rsid w:val="6D47251E"/>
    <w:rsid w:val="6D4CE0BA"/>
    <w:rsid w:val="6D4F2FCB"/>
    <w:rsid w:val="6D5A1413"/>
    <w:rsid w:val="6D5B6657"/>
    <w:rsid w:val="6D62147E"/>
    <w:rsid w:val="6D64E4B7"/>
    <w:rsid w:val="6D6CE0B4"/>
    <w:rsid w:val="6D6E6BAA"/>
    <w:rsid w:val="6D7752CF"/>
    <w:rsid w:val="6D7ADB8E"/>
    <w:rsid w:val="6D8FE02A"/>
    <w:rsid w:val="6D921FEC"/>
    <w:rsid w:val="6D948CF1"/>
    <w:rsid w:val="6D999C51"/>
    <w:rsid w:val="6DAC3771"/>
    <w:rsid w:val="6DAF6548"/>
    <w:rsid w:val="6DBE9A10"/>
    <w:rsid w:val="6DC04259"/>
    <w:rsid w:val="6DC3B13C"/>
    <w:rsid w:val="6DC46C4D"/>
    <w:rsid w:val="6DC780DB"/>
    <w:rsid w:val="6DC8B606"/>
    <w:rsid w:val="6DCD1FA0"/>
    <w:rsid w:val="6DCD394F"/>
    <w:rsid w:val="6DE927A1"/>
    <w:rsid w:val="6DEA44F6"/>
    <w:rsid w:val="6DEFACA8"/>
    <w:rsid w:val="6DF3038E"/>
    <w:rsid w:val="6DF4450C"/>
    <w:rsid w:val="6DFA0E88"/>
    <w:rsid w:val="6DFC7595"/>
    <w:rsid w:val="6DFEEB50"/>
    <w:rsid w:val="6E0AFED9"/>
    <w:rsid w:val="6E0E0C72"/>
    <w:rsid w:val="6E12FBC5"/>
    <w:rsid w:val="6E252741"/>
    <w:rsid w:val="6E26C26E"/>
    <w:rsid w:val="6E29654F"/>
    <w:rsid w:val="6E2E1D45"/>
    <w:rsid w:val="6E341C29"/>
    <w:rsid w:val="6E369D49"/>
    <w:rsid w:val="6E397E66"/>
    <w:rsid w:val="6E3C461E"/>
    <w:rsid w:val="6E3F0520"/>
    <w:rsid w:val="6E4DC1D8"/>
    <w:rsid w:val="6E502DD6"/>
    <w:rsid w:val="6E579EB6"/>
    <w:rsid w:val="6E59DD17"/>
    <w:rsid w:val="6E64BB10"/>
    <w:rsid w:val="6E683CE8"/>
    <w:rsid w:val="6E68F27A"/>
    <w:rsid w:val="6E698540"/>
    <w:rsid w:val="6E6BF143"/>
    <w:rsid w:val="6E71A49B"/>
    <w:rsid w:val="6E766FA8"/>
    <w:rsid w:val="6E771B49"/>
    <w:rsid w:val="6E80E0D4"/>
    <w:rsid w:val="6E831609"/>
    <w:rsid w:val="6E889250"/>
    <w:rsid w:val="6E88CBB9"/>
    <w:rsid w:val="6E8B8402"/>
    <w:rsid w:val="6E989373"/>
    <w:rsid w:val="6E9CD73A"/>
    <w:rsid w:val="6EACA4CB"/>
    <w:rsid w:val="6EACC7E8"/>
    <w:rsid w:val="6EAF3260"/>
    <w:rsid w:val="6EAFFCFA"/>
    <w:rsid w:val="6EBA333C"/>
    <w:rsid w:val="6EBD2465"/>
    <w:rsid w:val="6ECBB50F"/>
    <w:rsid w:val="6ECF88D1"/>
    <w:rsid w:val="6ED3C6B3"/>
    <w:rsid w:val="6EDD30D2"/>
    <w:rsid w:val="6EE39EF2"/>
    <w:rsid w:val="6EE9D7D2"/>
    <w:rsid w:val="6EEB7E2A"/>
    <w:rsid w:val="6EEDEC92"/>
    <w:rsid w:val="6EF1D358"/>
    <w:rsid w:val="6EF41869"/>
    <w:rsid w:val="6EF59C12"/>
    <w:rsid w:val="6EFBDDB9"/>
    <w:rsid w:val="6F072251"/>
    <w:rsid w:val="6F07416F"/>
    <w:rsid w:val="6F0785D9"/>
    <w:rsid w:val="6F12EEFB"/>
    <w:rsid w:val="6F1925E5"/>
    <w:rsid w:val="6F1A70D0"/>
    <w:rsid w:val="6F234AF7"/>
    <w:rsid w:val="6F23B257"/>
    <w:rsid w:val="6F24D5B4"/>
    <w:rsid w:val="6F29E39D"/>
    <w:rsid w:val="6F3391BE"/>
    <w:rsid w:val="6F3D967D"/>
    <w:rsid w:val="6F41027D"/>
    <w:rsid w:val="6F4C4D05"/>
    <w:rsid w:val="6F500904"/>
    <w:rsid w:val="6F514BF8"/>
    <w:rsid w:val="6F58FC51"/>
    <w:rsid w:val="6F657425"/>
    <w:rsid w:val="6F6C0846"/>
    <w:rsid w:val="6F708FCC"/>
    <w:rsid w:val="6F726448"/>
    <w:rsid w:val="6F7903F4"/>
    <w:rsid w:val="6F799DF1"/>
    <w:rsid w:val="6F7CD54D"/>
    <w:rsid w:val="6F8048CD"/>
    <w:rsid w:val="6F836577"/>
    <w:rsid w:val="6F871E6D"/>
    <w:rsid w:val="6F894BAF"/>
    <w:rsid w:val="6F8B7824"/>
    <w:rsid w:val="6F8BD5EF"/>
    <w:rsid w:val="6F8E0D37"/>
    <w:rsid w:val="6F900F13"/>
    <w:rsid w:val="6F927177"/>
    <w:rsid w:val="6F9C5D1F"/>
    <w:rsid w:val="6F9E1B90"/>
    <w:rsid w:val="6F9EF514"/>
    <w:rsid w:val="6F9F8DC3"/>
    <w:rsid w:val="6FD0566A"/>
    <w:rsid w:val="6FD0F341"/>
    <w:rsid w:val="6FD4AB76"/>
    <w:rsid w:val="6FD8A573"/>
    <w:rsid w:val="6FE50A07"/>
    <w:rsid w:val="6FEBFE37"/>
    <w:rsid w:val="6FF16C4C"/>
    <w:rsid w:val="6FF86AF7"/>
    <w:rsid w:val="7000FE61"/>
    <w:rsid w:val="7006D59A"/>
    <w:rsid w:val="700AD92B"/>
    <w:rsid w:val="701D661A"/>
    <w:rsid w:val="701E935B"/>
    <w:rsid w:val="701F3F0A"/>
    <w:rsid w:val="7025C142"/>
    <w:rsid w:val="702DEBED"/>
    <w:rsid w:val="7035D5A4"/>
    <w:rsid w:val="70360A42"/>
    <w:rsid w:val="703621FD"/>
    <w:rsid w:val="703F991C"/>
    <w:rsid w:val="70479124"/>
    <w:rsid w:val="70493DE8"/>
    <w:rsid w:val="704A0AFC"/>
    <w:rsid w:val="704A4331"/>
    <w:rsid w:val="704E2093"/>
    <w:rsid w:val="704E2E3C"/>
    <w:rsid w:val="7051D710"/>
    <w:rsid w:val="7053BC8E"/>
    <w:rsid w:val="705458C4"/>
    <w:rsid w:val="7055D4AB"/>
    <w:rsid w:val="705EB4B4"/>
    <w:rsid w:val="70614E3C"/>
    <w:rsid w:val="7064645B"/>
    <w:rsid w:val="7066BD03"/>
    <w:rsid w:val="70723A31"/>
    <w:rsid w:val="707AF85E"/>
    <w:rsid w:val="707ED67B"/>
    <w:rsid w:val="7084836F"/>
    <w:rsid w:val="70858F7E"/>
    <w:rsid w:val="7093D019"/>
    <w:rsid w:val="7094FE93"/>
    <w:rsid w:val="709BA5D3"/>
    <w:rsid w:val="70A076C7"/>
    <w:rsid w:val="70A9DCD7"/>
    <w:rsid w:val="70AD786C"/>
    <w:rsid w:val="70AE8E7B"/>
    <w:rsid w:val="70B16F0F"/>
    <w:rsid w:val="70BBE7E1"/>
    <w:rsid w:val="70BD596F"/>
    <w:rsid w:val="70C330FE"/>
    <w:rsid w:val="70C60D49"/>
    <w:rsid w:val="70CB2BA1"/>
    <w:rsid w:val="70DE06EF"/>
    <w:rsid w:val="70E333E5"/>
    <w:rsid w:val="70EA2C9B"/>
    <w:rsid w:val="70F04CAC"/>
    <w:rsid w:val="70F2AF06"/>
    <w:rsid w:val="70F42301"/>
    <w:rsid w:val="70F99F4D"/>
    <w:rsid w:val="70FA2266"/>
    <w:rsid w:val="70FA8FB9"/>
    <w:rsid w:val="70FAD041"/>
    <w:rsid w:val="7100F94C"/>
    <w:rsid w:val="710373B6"/>
    <w:rsid w:val="71097BD1"/>
    <w:rsid w:val="710CC580"/>
    <w:rsid w:val="710F543B"/>
    <w:rsid w:val="7113C439"/>
    <w:rsid w:val="71161C61"/>
    <w:rsid w:val="7129D25D"/>
    <w:rsid w:val="7139EBF1"/>
    <w:rsid w:val="7142CD08"/>
    <w:rsid w:val="7149FF3C"/>
    <w:rsid w:val="714DD9C9"/>
    <w:rsid w:val="714FE606"/>
    <w:rsid w:val="71536C29"/>
    <w:rsid w:val="7163E9C6"/>
    <w:rsid w:val="716559D8"/>
    <w:rsid w:val="716D8F4C"/>
    <w:rsid w:val="71789B42"/>
    <w:rsid w:val="717C4E3E"/>
    <w:rsid w:val="717DB4E8"/>
    <w:rsid w:val="7180B7A2"/>
    <w:rsid w:val="71838E1F"/>
    <w:rsid w:val="7185B2EB"/>
    <w:rsid w:val="718CB89C"/>
    <w:rsid w:val="7191ADD4"/>
    <w:rsid w:val="7191D455"/>
    <w:rsid w:val="71992099"/>
    <w:rsid w:val="71993555"/>
    <w:rsid w:val="719FE5E1"/>
    <w:rsid w:val="71A0D569"/>
    <w:rsid w:val="71A568C8"/>
    <w:rsid w:val="71AA46FE"/>
    <w:rsid w:val="71AA4C88"/>
    <w:rsid w:val="71AE997B"/>
    <w:rsid w:val="71AEA961"/>
    <w:rsid w:val="71B01802"/>
    <w:rsid w:val="71B26F2A"/>
    <w:rsid w:val="71C04632"/>
    <w:rsid w:val="71D44608"/>
    <w:rsid w:val="71D56DFC"/>
    <w:rsid w:val="71DA8ED1"/>
    <w:rsid w:val="71DCE331"/>
    <w:rsid w:val="71DDEA9C"/>
    <w:rsid w:val="71F081E5"/>
    <w:rsid w:val="71F29AC7"/>
    <w:rsid w:val="71F2FB70"/>
    <w:rsid w:val="71F750F7"/>
    <w:rsid w:val="71F7E3B4"/>
    <w:rsid w:val="71FF565F"/>
    <w:rsid w:val="720046DB"/>
    <w:rsid w:val="72085D69"/>
    <w:rsid w:val="72124CD1"/>
    <w:rsid w:val="7213C839"/>
    <w:rsid w:val="721AA1F4"/>
    <w:rsid w:val="72223169"/>
    <w:rsid w:val="7226B4B7"/>
    <w:rsid w:val="722F4A52"/>
    <w:rsid w:val="723293C8"/>
    <w:rsid w:val="723687C7"/>
    <w:rsid w:val="723AACB9"/>
    <w:rsid w:val="723E36E9"/>
    <w:rsid w:val="723EBC53"/>
    <w:rsid w:val="72418697"/>
    <w:rsid w:val="72487FE7"/>
    <w:rsid w:val="72565674"/>
    <w:rsid w:val="72590737"/>
    <w:rsid w:val="726320D1"/>
    <w:rsid w:val="72640C8A"/>
    <w:rsid w:val="726DBF2F"/>
    <w:rsid w:val="7270BA65"/>
    <w:rsid w:val="72740543"/>
    <w:rsid w:val="727874C8"/>
    <w:rsid w:val="7286682E"/>
    <w:rsid w:val="728872F3"/>
    <w:rsid w:val="7291BDB1"/>
    <w:rsid w:val="7293193A"/>
    <w:rsid w:val="729A9C0D"/>
    <w:rsid w:val="729AF0F4"/>
    <w:rsid w:val="729B192D"/>
    <w:rsid w:val="729CE270"/>
    <w:rsid w:val="72A1A338"/>
    <w:rsid w:val="72ACCBB0"/>
    <w:rsid w:val="72B1E3A3"/>
    <w:rsid w:val="72B27C5C"/>
    <w:rsid w:val="72B5047F"/>
    <w:rsid w:val="72B55B2C"/>
    <w:rsid w:val="72B5CD4E"/>
    <w:rsid w:val="72B6C984"/>
    <w:rsid w:val="72BA3A17"/>
    <w:rsid w:val="72C988ED"/>
    <w:rsid w:val="72CE5978"/>
    <w:rsid w:val="72CF1526"/>
    <w:rsid w:val="72D3C678"/>
    <w:rsid w:val="72DA83F3"/>
    <w:rsid w:val="72E50960"/>
    <w:rsid w:val="72E692A8"/>
    <w:rsid w:val="72E7CA32"/>
    <w:rsid w:val="72E942C6"/>
    <w:rsid w:val="72EC412D"/>
    <w:rsid w:val="72F19D20"/>
    <w:rsid w:val="72F3C489"/>
    <w:rsid w:val="72F46E45"/>
    <w:rsid w:val="72FBF991"/>
    <w:rsid w:val="72FE7106"/>
    <w:rsid w:val="73040DCE"/>
    <w:rsid w:val="73081955"/>
    <w:rsid w:val="7308C1C3"/>
    <w:rsid w:val="73148371"/>
    <w:rsid w:val="731A3A4B"/>
    <w:rsid w:val="731B035B"/>
    <w:rsid w:val="73215717"/>
    <w:rsid w:val="7322D7E1"/>
    <w:rsid w:val="7323D283"/>
    <w:rsid w:val="7335510B"/>
    <w:rsid w:val="733C9AD6"/>
    <w:rsid w:val="7343D89C"/>
    <w:rsid w:val="73441CE3"/>
    <w:rsid w:val="734A3EFB"/>
    <w:rsid w:val="734B8F2D"/>
    <w:rsid w:val="73510082"/>
    <w:rsid w:val="7358F103"/>
    <w:rsid w:val="735F0B82"/>
    <w:rsid w:val="7360A2E9"/>
    <w:rsid w:val="73615D12"/>
    <w:rsid w:val="7363B389"/>
    <w:rsid w:val="73659EF4"/>
    <w:rsid w:val="7367142A"/>
    <w:rsid w:val="737A7D64"/>
    <w:rsid w:val="737B56E8"/>
    <w:rsid w:val="737B761A"/>
    <w:rsid w:val="73835C74"/>
    <w:rsid w:val="738572E9"/>
    <w:rsid w:val="738B69CA"/>
    <w:rsid w:val="739033CA"/>
    <w:rsid w:val="7397D4AF"/>
    <w:rsid w:val="73A2EA07"/>
    <w:rsid w:val="73A57876"/>
    <w:rsid w:val="73A71A88"/>
    <w:rsid w:val="73AED5B1"/>
    <w:rsid w:val="73B4401F"/>
    <w:rsid w:val="73B6926F"/>
    <w:rsid w:val="73B734CE"/>
    <w:rsid w:val="73BB1E85"/>
    <w:rsid w:val="73C82FD2"/>
    <w:rsid w:val="73C9CDE1"/>
    <w:rsid w:val="73CF1A6B"/>
    <w:rsid w:val="73D1A920"/>
    <w:rsid w:val="73D3644E"/>
    <w:rsid w:val="73D53828"/>
    <w:rsid w:val="73DA074A"/>
    <w:rsid w:val="73DA84C8"/>
    <w:rsid w:val="73E4DF3A"/>
    <w:rsid w:val="73E6DC45"/>
    <w:rsid w:val="73E7734D"/>
    <w:rsid w:val="73E8D7A7"/>
    <w:rsid w:val="73F4AF9E"/>
    <w:rsid w:val="73F62E10"/>
    <w:rsid w:val="73F65C85"/>
    <w:rsid w:val="73FFA52E"/>
    <w:rsid w:val="740283FE"/>
    <w:rsid w:val="74051743"/>
    <w:rsid w:val="7414AEA5"/>
    <w:rsid w:val="742788F2"/>
    <w:rsid w:val="742CFFF3"/>
    <w:rsid w:val="743438E1"/>
    <w:rsid w:val="74448D80"/>
    <w:rsid w:val="744642BA"/>
    <w:rsid w:val="74570D9F"/>
    <w:rsid w:val="74588DC4"/>
    <w:rsid w:val="7458AFE3"/>
    <w:rsid w:val="74624003"/>
    <w:rsid w:val="7474FC9D"/>
    <w:rsid w:val="748289B8"/>
    <w:rsid w:val="7484DE59"/>
    <w:rsid w:val="748EFBA8"/>
    <w:rsid w:val="748FBAB7"/>
    <w:rsid w:val="749287D6"/>
    <w:rsid w:val="7496BC88"/>
    <w:rsid w:val="749C1651"/>
    <w:rsid w:val="749EFF12"/>
    <w:rsid w:val="74A0F96B"/>
    <w:rsid w:val="74A2D159"/>
    <w:rsid w:val="74A47320"/>
    <w:rsid w:val="74A691F0"/>
    <w:rsid w:val="74B23442"/>
    <w:rsid w:val="74B4F0CA"/>
    <w:rsid w:val="74C4AA41"/>
    <w:rsid w:val="74C4AFBE"/>
    <w:rsid w:val="74C78B4C"/>
    <w:rsid w:val="74DD9F28"/>
    <w:rsid w:val="74E25FDF"/>
    <w:rsid w:val="74E317BA"/>
    <w:rsid w:val="74E4C4FA"/>
    <w:rsid w:val="74F25DBF"/>
    <w:rsid w:val="74F64EBE"/>
    <w:rsid w:val="74FDB3A6"/>
    <w:rsid w:val="750B9A97"/>
    <w:rsid w:val="7513FCB9"/>
    <w:rsid w:val="751455B1"/>
    <w:rsid w:val="7515FF02"/>
    <w:rsid w:val="75280C7C"/>
    <w:rsid w:val="7528A542"/>
    <w:rsid w:val="752B735B"/>
    <w:rsid w:val="752DF132"/>
    <w:rsid w:val="752E3542"/>
    <w:rsid w:val="752E59F2"/>
    <w:rsid w:val="7530148E"/>
    <w:rsid w:val="75385304"/>
    <w:rsid w:val="753855F8"/>
    <w:rsid w:val="753A640B"/>
    <w:rsid w:val="753DB75D"/>
    <w:rsid w:val="754060BE"/>
    <w:rsid w:val="7544422C"/>
    <w:rsid w:val="755D74CF"/>
    <w:rsid w:val="7564B94F"/>
    <w:rsid w:val="756619FF"/>
    <w:rsid w:val="756E2889"/>
    <w:rsid w:val="756F359C"/>
    <w:rsid w:val="7574697D"/>
    <w:rsid w:val="75774E50"/>
    <w:rsid w:val="758192E9"/>
    <w:rsid w:val="758C40DD"/>
    <w:rsid w:val="758F07A2"/>
    <w:rsid w:val="758F8D1D"/>
    <w:rsid w:val="75967C9B"/>
    <w:rsid w:val="759B3A75"/>
    <w:rsid w:val="75B14110"/>
    <w:rsid w:val="75B71FAE"/>
    <w:rsid w:val="75B73EFC"/>
    <w:rsid w:val="75BEB348"/>
    <w:rsid w:val="75C74893"/>
    <w:rsid w:val="75CC5AAA"/>
    <w:rsid w:val="75D41F04"/>
    <w:rsid w:val="75E5F79C"/>
    <w:rsid w:val="75E864FB"/>
    <w:rsid w:val="75E91C46"/>
    <w:rsid w:val="75F460C7"/>
    <w:rsid w:val="75F51DDF"/>
    <w:rsid w:val="75F9BE25"/>
    <w:rsid w:val="760737C1"/>
    <w:rsid w:val="760FF971"/>
    <w:rsid w:val="7613600D"/>
    <w:rsid w:val="7615A275"/>
    <w:rsid w:val="7615B504"/>
    <w:rsid w:val="761724C2"/>
    <w:rsid w:val="7618FF4B"/>
    <w:rsid w:val="761CD3EE"/>
    <w:rsid w:val="7621696F"/>
    <w:rsid w:val="7623D85F"/>
    <w:rsid w:val="7626102D"/>
    <w:rsid w:val="7628F662"/>
    <w:rsid w:val="762CB576"/>
    <w:rsid w:val="762D55F3"/>
    <w:rsid w:val="76300C73"/>
    <w:rsid w:val="7631233A"/>
    <w:rsid w:val="76334168"/>
    <w:rsid w:val="76420236"/>
    <w:rsid w:val="76421F5A"/>
    <w:rsid w:val="76459CE6"/>
    <w:rsid w:val="764F032D"/>
    <w:rsid w:val="765702E4"/>
    <w:rsid w:val="7660B6C7"/>
    <w:rsid w:val="76648ED0"/>
    <w:rsid w:val="766D19D7"/>
    <w:rsid w:val="76703FE5"/>
    <w:rsid w:val="76725E08"/>
    <w:rsid w:val="7675D6AF"/>
    <w:rsid w:val="7675F372"/>
    <w:rsid w:val="7676552A"/>
    <w:rsid w:val="768DEE58"/>
    <w:rsid w:val="768F5812"/>
    <w:rsid w:val="769ADCB6"/>
    <w:rsid w:val="769F8746"/>
    <w:rsid w:val="76A7F89F"/>
    <w:rsid w:val="76A87D17"/>
    <w:rsid w:val="76B4BE51"/>
    <w:rsid w:val="76B61C31"/>
    <w:rsid w:val="76C3810C"/>
    <w:rsid w:val="76C3DCDD"/>
    <w:rsid w:val="76C8EA11"/>
    <w:rsid w:val="76E1EA09"/>
    <w:rsid w:val="76F81799"/>
    <w:rsid w:val="76FFCDDA"/>
    <w:rsid w:val="770BC396"/>
    <w:rsid w:val="770D6928"/>
    <w:rsid w:val="77127805"/>
    <w:rsid w:val="771BC7CF"/>
    <w:rsid w:val="771BE30C"/>
    <w:rsid w:val="7722EAD8"/>
    <w:rsid w:val="7725B587"/>
    <w:rsid w:val="772E3E8C"/>
    <w:rsid w:val="773C00BC"/>
    <w:rsid w:val="773E7C12"/>
    <w:rsid w:val="7748643C"/>
    <w:rsid w:val="77489610"/>
    <w:rsid w:val="774AB893"/>
    <w:rsid w:val="7756F735"/>
    <w:rsid w:val="77605E8B"/>
    <w:rsid w:val="77618D96"/>
    <w:rsid w:val="77651208"/>
    <w:rsid w:val="7766DEA8"/>
    <w:rsid w:val="776BA13B"/>
    <w:rsid w:val="77708CE5"/>
    <w:rsid w:val="7773AD30"/>
    <w:rsid w:val="77809CAC"/>
    <w:rsid w:val="7787628B"/>
    <w:rsid w:val="7788708D"/>
    <w:rsid w:val="778C3BC9"/>
    <w:rsid w:val="778E713E"/>
    <w:rsid w:val="77931A7D"/>
    <w:rsid w:val="7793633C"/>
    <w:rsid w:val="7793F2F4"/>
    <w:rsid w:val="7797B24D"/>
    <w:rsid w:val="779BF61B"/>
    <w:rsid w:val="779C4327"/>
    <w:rsid w:val="77A71CFA"/>
    <w:rsid w:val="77A80B8C"/>
    <w:rsid w:val="77AC7C64"/>
    <w:rsid w:val="77AF9EBE"/>
    <w:rsid w:val="77B836E5"/>
    <w:rsid w:val="77D2A37D"/>
    <w:rsid w:val="77D34E29"/>
    <w:rsid w:val="77D52F14"/>
    <w:rsid w:val="77DC194F"/>
    <w:rsid w:val="77DFE28D"/>
    <w:rsid w:val="77E320C6"/>
    <w:rsid w:val="77E48E70"/>
    <w:rsid w:val="77E48F33"/>
    <w:rsid w:val="77E76DB5"/>
    <w:rsid w:val="77EB8D38"/>
    <w:rsid w:val="77EE6E8F"/>
    <w:rsid w:val="77F28DDA"/>
    <w:rsid w:val="77F4AF11"/>
    <w:rsid w:val="77F553A0"/>
    <w:rsid w:val="77FC02CC"/>
    <w:rsid w:val="77FF0354"/>
    <w:rsid w:val="780550EB"/>
    <w:rsid w:val="7805660D"/>
    <w:rsid w:val="780848D7"/>
    <w:rsid w:val="78086F7F"/>
    <w:rsid w:val="7808C6EE"/>
    <w:rsid w:val="780DF097"/>
    <w:rsid w:val="780E9A6C"/>
    <w:rsid w:val="7810E982"/>
    <w:rsid w:val="78175E11"/>
    <w:rsid w:val="782E31DE"/>
    <w:rsid w:val="782EDC69"/>
    <w:rsid w:val="7839CDC4"/>
    <w:rsid w:val="783AB8E6"/>
    <w:rsid w:val="783D0CB8"/>
    <w:rsid w:val="783EA955"/>
    <w:rsid w:val="7847589F"/>
    <w:rsid w:val="7858A598"/>
    <w:rsid w:val="78591758"/>
    <w:rsid w:val="785D4480"/>
    <w:rsid w:val="785FD073"/>
    <w:rsid w:val="786EB636"/>
    <w:rsid w:val="7872C99B"/>
    <w:rsid w:val="78734D74"/>
    <w:rsid w:val="787591C7"/>
    <w:rsid w:val="787D5378"/>
    <w:rsid w:val="787D8E23"/>
    <w:rsid w:val="787E22D9"/>
    <w:rsid w:val="788917DE"/>
    <w:rsid w:val="788A2446"/>
    <w:rsid w:val="788C4274"/>
    <w:rsid w:val="789A12BF"/>
    <w:rsid w:val="78A1250B"/>
    <w:rsid w:val="78AACADC"/>
    <w:rsid w:val="78ABFD06"/>
    <w:rsid w:val="78AC2D96"/>
    <w:rsid w:val="78AC5033"/>
    <w:rsid w:val="78B117E5"/>
    <w:rsid w:val="78B33652"/>
    <w:rsid w:val="78B51809"/>
    <w:rsid w:val="78C09D7D"/>
    <w:rsid w:val="78CA22D9"/>
    <w:rsid w:val="78CA435B"/>
    <w:rsid w:val="78CB29FA"/>
    <w:rsid w:val="78CFD3A8"/>
    <w:rsid w:val="78D1A279"/>
    <w:rsid w:val="78D1D5AB"/>
    <w:rsid w:val="78D23656"/>
    <w:rsid w:val="78D2B965"/>
    <w:rsid w:val="78D4A265"/>
    <w:rsid w:val="78D7D11D"/>
    <w:rsid w:val="78D8F3E7"/>
    <w:rsid w:val="78DC424F"/>
    <w:rsid w:val="78DFF387"/>
    <w:rsid w:val="78E61F1E"/>
    <w:rsid w:val="78E79C28"/>
    <w:rsid w:val="78F14BFC"/>
    <w:rsid w:val="78F3EA01"/>
    <w:rsid w:val="78F812FF"/>
    <w:rsid w:val="78F95479"/>
    <w:rsid w:val="78F9D398"/>
    <w:rsid w:val="78FA0452"/>
    <w:rsid w:val="78FD53BE"/>
    <w:rsid w:val="7900A45F"/>
    <w:rsid w:val="7903D0B8"/>
    <w:rsid w:val="7903EF21"/>
    <w:rsid w:val="79051D04"/>
    <w:rsid w:val="79070318"/>
    <w:rsid w:val="7907D130"/>
    <w:rsid w:val="79093723"/>
    <w:rsid w:val="790A68C9"/>
    <w:rsid w:val="790ACF04"/>
    <w:rsid w:val="790B1164"/>
    <w:rsid w:val="790F3869"/>
    <w:rsid w:val="79183062"/>
    <w:rsid w:val="791BF9B6"/>
    <w:rsid w:val="791ED508"/>
    <w:rsid w:val="792C310F"/>
    <w:rsid w:val="792F0830"/>
    <w:rsid w:val="7932050F"/>
    <w:rsid w:val="7942E18E"/>
    <w:rsid w:val="794AEC2E"/>
    <w:rsid w:val="794B25FD"/>
    <w:rsid w:val="795B1E38"/>
    <w:rsid w:val="795C26D2"/>
    <w:rsid w:val="795E601E"/>
    <w:rsid w:val="7960496E"/>
    <w:rsid w:val="796334D1"/>
    <w:rsid w:val="796AE851"/>
    <w:rsid w:val="79715398"/>
    <w:rsid w:val="79787FCD"/>
    <w:rsid w:val="797D00B0"/>
    <w:rsid w:val="7986255D"/>
    <w:rsid w:val="798DFAE3"/>
    <w:rsid w:val="7999300B"/>
    <w:rsid w:val="799D87A2"/>
    <w:rsid w:val="79A3866C"/>
    <w:rsid w:val="79A420F3"/>
    <w:rsid w:val="79A4BA99"/>
    <w:rsid w:val="79B39612"/>
    <w:rsid w:val="79B792BD"/>
    <w:rsid w:val="79C72433"/>
    <w:rsid w:val="79C9F4E1"/>
    <w:rsid w:val="79CAA1B6"/>
    <w:rsid w:val="79CD0A45"/>
    <w:rsid w:val="79CE6877"/>
    <w:rsid w:val="79D172B8"/>
    <w:rsid w:val="79DC8DEA"/>
    <w:rsid w:val="79E1E290"/>
    <w:rsid w:val="79E9A8CD"/>
    <w:rsid w:val="79EC0A23"/>
    <w:rsid w:val="79F139A6"/>
    <w:rsid w:val="79F210EB"/>
    <w:rsid w:val="79F29DF8"/>
    <w:rsid w:val="79FE8F6A"/>
    <w:rsid w:val="7A009935"/>
    <w:rsid w:val="7A017F4D"/>
    <w:rsid w:val="7A04570B"/>
    <w:rsid w:val="7A09BD13"/>
    <w:rsid w:val="7A0CE713"/>
    <w:rsid w:val="7A189E3F"/>
    <w:rsid w:val="7A1E04C5"/>
    <w:rsid w:val="7A220D2F"/>
    <w:rsid w:val="7A23CFB0"/>
    <w:rsid w:val="7A242A7C"/>
    <w:rsid w:val="7A281909"/>
    <w:rsid w:val="7A288B0B"/>
    <w:rsid w:val="7A29C7A6"/>
    <w:rsid w:val="7A2D50AA"/>
    <w:rsid w:val="7A3074B4"/>
    <w:rsid w:val="7A327F8D"/>
    <w:rsid w:val="7A4128AC"/>
    <w:rsid w:val="7A432FD8"/>
    <w:rsid w:val="7A45522E"/>
    <w:rsid w:val="7A4A2424"/>
    <w:rsid w:val="7A4ED3D8"/>
    <w:rsid w:val="7A4F66E6"/>
    <w:rsid w:val="7A52F875"/>
    <w:rsid w:val="7A53EE25"/>
    <w:rsid w:val="7A53FD22"/>
    <w:rsid w:val="7A59A45E"/>
    <w:rsid w:val="7A632E09"/>
    <w:rsid w:val="7A638957"/>
    <w:rsid w:val="7A657535"/>
    <w:rsid w:val="7A67192B"/>
    <w:rsid w:val="7A6AFB80"/>
    <w:rsid w:val="7A6C0809"/>
    <w:rsid w:val="7A701C0E"/>
    <w:rsid w:val="7A75B671"/>
    <w:rsid w:val="7A7616EA"/>
    <w:rsid w:val="7A76F0E7"/>
    <w:rsid w:val="7A7BC3E8"/>
    <w:rsid w:val="7A7CA9CB"/>
    <w:rsid w:val="7A7CD1D2"/>
    <w:rsid w:val="7A816C53"/>
    <w:rsid w:val="7A816FCB"/>
    <w:rsid w:val="7A8728FB"/>
    <w:rsid w:val="7A88067C"/>
    <w:rsid w:val="7A939657"/>
    <w:rsid w:val="7A961973"/>
    <w:rsid w:val="7A968B55"/>
    <w:rsid w:val="7A9D6FD0"/>
    <w:rsid w:val="7AA4A7C5"/>
    <w:rsid w:val="7AAFBEBB"/>
    <w:rsid w:val="7AB06D00"/>
    <w:rsid w:val="7AB20DF9"/>
    <w:rsid w:val="7AB4036E"/>
    <w:rsid w:val="7AB620EE"/>
    <w:rsid w:val="7ABE2415"/>
    <w:rsid w:val="7AC221F4"/>
    <w:rsid w:val="7AC8BF3E"/>
    <w:rsid w:val="7AD04F8B"/>
    <w:rsid w:val="7ADED9A7"/>
    <w:rsid w:val="7AE6BC8F"/>
    <w:rsid w:val="7AEBD053"/>
    <w:rsid w:val="7AEF9866"/>
    <w:rsid w:val="7AF7D165"/>
    <w:rsid w:val="7AFC3D8E"/>
    <w:rsid w:val="7B0111FB"/>
    <w:rsid w:val="7B05886B"/>
    <w:rsid w:val="7B082692"/>
    <w:rsid w:val="7B086301"/>
    <w:rsid w:val="7B17DFDF"/>
    <w:rsid w:val="7B1E7A68"/>
    <w:rsid w:val="7B2208DB"/>
    <w:rsid w:val="7B2EB0DE"/>
    <w:rsid w:val="7B325898"/>
    <w:rsid w:val="7B343824"/>
    <w:rsid w:val="7B3497DC"/>
    <w:rsid w:val="7B3636A8"/>
    <w:rsid w:val="7B3AAF04"/>
    <w:rsid w:val="7B3B2116"/>
    <w:rsid w:val="7B49CFE8"/>
    <w:rsid w:val="7B5208CA"/>
    <w:rsid w:val="7B52B1E6"/>
    <w:rsid w:val="7B54B1F3"/>
    <w:rsid w:val="7B5DD2A9"/>
    <w:rsid w:val="7B614455"/>
    <w:rsid w:val="7B6B7943"/>
    <w:rsid w:val="7B6F81D9"/>
    <w:rsid w:val="7B747FFF"/>
    <w:rsid w:val="7B797D59"/>
    <w:rsid w:val="7B825C59"/>
    <w:rsid w:val="7B8B25BA"/>
    <w:rsid w:val="7B8DDDB5"/>
    <w:rsid w:val="7B9A8EB5"/>
    <w:rsid w:val="7B9D907A"/>
    <w:rsid w:val="7BAAC7F3"/>
    <w:rsid w:val="7BAB99C6"/>
    <w:rsid w:val="7BB342DE"/>
    <w:rsid w:val="7BB52C64"/>
    <w:rsid w:val="7BBF6B7C"/>
    <w:rsid w:val="7BC0CC33"/>
    <w:rsid w:val="7BD2BBA9"/>
    <w:rsid w:val="7BD46852"/>
    <w:rsid w:val="7BE4FA71"/>
    <w:rsid w:val="7BE96C88"/>
    <w:rsid w:val="7BF077A5"/>
    <w:rsid w:val="7BF0C6D3"/>
    <w:rsid w:val="7BF3246D"/>
    <w:rsid w:val="7BF6BEF9"/>
    <w:rsid w:val="7C03FDE2"/>
    <w:rsid w:val="7C081E03"/>
    <w:rsid w:val="7C0F6278"/>
    <w:rsid w:val="7C12BCB7"/>
    <w:rsid w:val="7C13DABA"/>
    <w:rsid w:val="7C187E33"/>
    <w:rsid w:val="7C1DAAA5"/>
    <w:rsid w:val="7C2A4421"/>
    <w:rsid w:val="7C2DD470"/>
    <w:rsid w:val="7C302885"/>
    <w:rsid w:val="7C30DCB0"/>
    <w:rsid w:val="7C3697CE"/>
    <w:rsid w:val="7C387F6B"/>
    <w:rsid w:val="7C3B6FAE"/>
    <w:rsid w:val="7C3E6A48"/>
    <w:rsid w:val="7C401AD9"/>
    <w:rsid w:val="7C416528"/>
    <w:rsid w:val="7C42550F"/>
    <w:rsid w:val="7C44750E"/>
    <w:rsid w:val="7C457EB8"/>
    <w:rsid w:val="7C4CDFC7"/>
    <w:rsid w:val="7C4FA0CA"/>
    <w:rsid w:val="7C52AFCA"/>
    <w:rsid w:val="7C57882E"/>
    <w:rsid w:val="7C5A2317"/>
    <w:rsid w:val="7C5E4E80"/>
    <w:rsid w:val="7C5E7B22"/>
    <w:rsid w:val="7C66F43F"/>
    <w:rsid w:val="7C73E5FB"/>
    <w:rsid w:val="7C828CF0"/>
    <w:rsid w:val="7C906812"/>
    <w:rsid w:val="7C92B22F"/>
    <w:rsid w:val="7C958B8D"/>
    <w:rsid w:val="7C96DE4A"/>
    <w:rsid w:val="7C9AA31A"/>
    <w:rsid w:val="7CA34EF9"/>
    <w:rsid w:val="7CAA3965"/>
    <w:rsid w:val="7CAAECD3"/>
    <w:rsid w:val="7CAFCAB5"/>
    <w:rsid w:val="7CB22D10"/>
    <w:rsid w:val="7CB413F1"/>
    <w:rsid w:val="7CB92AF7"/>
    <w:rsid w:val="7CBC84E9"/>
    <w:rsid w:val="7CBDD93C"/>
    <w:rsid w:val="7CC6180D"/>
    <w:rsid w:val="7CD0D603"/>
    <w:rsid w:val="7CD2A857"/>
    <w:rsid w:val="7CD3D19E"/>
    <w:rsid w:val="7CD54DF7"/>
    <w:rsid w:val="7CE08CD9"/>
    <w:rsid w:val="7CE7ACA1"/>
    <w:rsid w:val="7CE826B8"/>
    <w:rsid w:val="7CEBF430"/>
    <w:rsid w:val="7CED9E1D"/>
    <w:rsid w:val="7CEFA9E8"/>
    <w:rsid w:val="7D110100"/>
    <w:rsid w:val="7D137AEF"/>
    <w:rsid w:val="7D1C3212"/>
    <w:rsid w:val="7D213CEB"/>
    <w:rsid w:val="7D243352"/>
    <w:rsid w:val="7D249B33"/>
    <w:rsid w:val="7D30A500"/>
    <w:rsid w:val="7D31A599"/>
    <w:rsid w:val="7D33419B"/>
    <w:rsid w:val="7D341F1A"/>
    <w:rsid w:val="7D362983"/>
    <w:rsid w:val="7D39BC3A"/>
    <w:rsid w:val="7D3A27E5"/>
    <w:rsid w:val="7D3A2EBE"/>
    <w:rsid w:val="7D3BA1C7"/>
    <w:rsid w:val="7D3D516F"/>
    <w:rsid w:val="7D49C8CC"/>
    <w:rsid w:val="7D5B1973"/>
    <w:rsid w:val="7D5E816E"/>
    <w:rsid w:val="7D5FB065"/>
    <w:rsid w:val="7D601E0B"/>
    <w:rsid w:val="7D663F4A"/>
    <w:rsid w:val="7D6E096C"/>
    <w:rsid w:val="7D6F5962"/>
    <w:rsid w:val="7D754703"/>
    <w:rsid w:val="7D78B935"/>
    <w:rsid w:val="7D78C96E"/>
    <w:rsid w:val="7D7B0AE1"/>
    <w:rsid w:val="7D831333"/>
    <w:rsid w:val="7D83C492"/>
    <w:rsid w:val="7D86A5E6"/>
    <w:rsid w:val="7D89F452"/>
    <w:rsid w:val="7D8A9B7A"/>
    <w:rsid w:val="7D95C950"/>
    <w:rsid w:val="7D9672DD"/>
    <w:rsid w:val="7D9966B7"/>
    <w:rsid w:val="7D9CD38D"/>
    <w:rsid w:val="7DA1D116"/>
    <w:rsid w:val="7DA62721"/>
    <w:rsid w:val="7DB091E3"/>
    <w:rsid w:val="7DB3D512"/>
    <w:rsid w:val="7DB64849"/>
    <w:rsid w:val="7DBC727F"/>
    <w:rsid w:val="7DC01EF3"/>
    <w:rsid w:val="7DC0493E"/>
    <w:rsid w:val="7DC4D666"/>
    <w:rsid w:val="7DC86D93"/>
    <w:rsid w:val="7DCB3349"/>
    <w:rsid w:val="7DD01BA2"/>
    <w:rsid w:val="7DE1BD16"/>
    <w:rsid w:val="7DE3E633"/>
    <w:rsid w:val="7DEA4996"/>
    <w:rsid w:val="7DF21959"/>
    <w:rsid w:val="7E02235E"/>
    <w:rsid w:val="7E092A8A"/>
    <w:rsid w:val="7E0A3702"/>
    <w:rsid w:val="7E0C7B2A"/>
    <w:rsid w:val="7E0FC0E5"/>
    <w:rsid w:val="7E100EED"/>
    <w:rsid w:val="7E1BC1C2"/>
    <w:rsid w:val="7E1C56C0"/>
    <w:rsid w:val="7E1D1D28"/>
    <w:rsid w:val="7E1DEA3B"/>
    <w:rsid w:val="7E1E5D51"/>
    <w:rsid w:val="7E1F2683"/>
    <w:rsid w:val="7E1FAAC9"/>
    <w:rsid w:val="7E2163E0"/>
    <w:rsid w:val="7E23D151"/>
    <w:rsid w:val="7E2D79A2"/>
    <w:rsid w:val="7E393140"/>
    <w:rsid w:val="7E469059"/>
    <w:rsid w:val="7E48EA3D"/>
    <w:rsid w:val="7E497299"/>
    <w:rsid w:val="7E513163"/>
    <w:rsid w:val="7E51A10C"/>
    <w:rsid w:val="7E5577AC"/>
    <w:rsid w:val="7E5EB35B"/>
    <w:rsid w:val="7E6215F9"/>
    <w:rsid w:val="7E62D665"/>
    <w:rsid w:val="7E688F79"/>
    <w:rsid w:val="7E6F2ABC"/>
    <w:rsid w:val="7E70F454"/>
    <w:rsid w:val="7E72081E"/>
    <w:rsid w:val="7E8A8F4E"/>
    <w:rsid w:val="7E8D7FC3"/>
    <w:rsid w:val="7E913A2E"/>
    <w:rsid w:val="7E9325DF"/>
    <w:rsid w:val="7E951653"/>
    <w:rsid w:val="7E998452"/>
    <w:rsid w:val="7EAB4F54"/>
    <w:rsid w:val="7EBA0CDC"/>
    <w:rsid w:val="7EC23169"/>
    <w:rsid w:val="7EC4DBE4"/>
    <w:rsid w:val="7EC86335"/>
    <w:rsid w:val="7EDB4BF7"/>
    <w:rsid w:val="7EF1EE16"/>
    <w:rsid w:val="7EF38B2D"/>
    <w:rsid w:val="7EF87D15"/>
    <w:rsid w:val="7EF8AFE0"/>
    <w:rsid w:val="7EFE2852"/>
    <w:rsid w:val="7EFEB253"/>
    <w:rsid w:val="7F0233D6"/>
    <w:rsid w:val="7F02B155"/>
    <w:rsid w:val="7F1FF353"/>
    <w:rsid w:val="7F268461"/>
    <w:rsid w:val="7F3394E8"/>
    <w:rsid w:val="7F3D916C"/>
    <w:rsid w:val="7F44EBF5"/>
    <w:rsid w:val="7F45664C"/>
    <w:rsid w:val="7F4B185A"/>
    <w:rsid w:val="7F592A72"/>
    <w:rsid w:val="7F5BE16A"/>
    <w:rsid w:val="7F69C493"/>
    <w:rsid w:val="7F6A498D"/>
    <w:rsid w:val="7F6AE995"/>
    <w:rsid w:val="7F6B5033"/>
    <w:rsid w:val="7F6B9FAD"/>
    <w:rsid w:val="7F6DD5D7"/>
    <w:rsid w:val="7F6EA8E8"/>
    <w:rsid w:val="7F7005E8"/>
    <w:rsid w:val="7F80C54F"/>
    <w:rsid w:val="7F82D506"/>
    <w:rsid w:val="7F9BC9B8"/>
    <w:rsid w:val="7F9E5C55"/>
    <w:rsid w:val="7F9F008F"/>
    <w:rsid w:val="7FA1C1BA"/>
    <w:rsid w:val="7FA3A79C"/>
    <w:rsid w:val="7FB57108"/>
    <w:rsid w:val="7FB9D20E"/>
    <w:rsid w:val="7FBBC81A"/>
    <w:rsid w:val="7FBDACCD"/>
    <w:rsid w:val="7FC32C87"/>
    <w:rsid w:val="7FC3FFA6"/>
    <w:rsid w:val="7FCAA868"/>
    <w:rsid w:val="7FCB0BAF"/>
    <w:rsid w:val="7FD24D56"/>
    <w:rsid w:val="7FDA262A"/>
    <w:rsid w:val="7FDA8E55"/>
    <w:rsid w:val="7FE1F831"/>
    <w:rsid w:val="7FE43219"/>
    <w:rsid w:val="7FE63461"/>
    <w:rsid w:val="7FE9B9FA"/>
    <w:rsid w:val="7FEFCC50"/>
    <w:rsid w:val="7FF6D92D"/>
    <w:rsid w:val="7FF7E47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6E221"/>
  <w15:chartTrackingRefBased/>
  <w15:docId w15:val="{782F2A59-9B21-4217-B953-8E80674A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572"/>
    <w:pPr>
      <w:spacing w:after="180" w:line="280" w:lineRule="atLeast"/>
    </w:pPr>
    <w:rPr>
      <w:rFonts w:ascii="Arial" w:eastAsia="Times New Roman" w:hAnsi="Arial"/>
      <w:sz w:val="22"/>
      <w:lang w:val="en-GB" w:eastAsia="en-GB"/>
    </w:rPr>
  </w:style>
  <w:style w:type="paragraph" w:styleId="Heading1">
    <w:name w:val="heading 1"/>
    <w:basedOn w:val="Normal"/>
    <w:next w:val="Normal"/>
    <w:link w:val="Heading1Char"/>
    <w:qFormat/>
    <w:rsid w:val="00BC3EA0"/>
    <w:pPr>
      <w:spacing w:before="120" w:line="240" w:lineRule="auto"/>
      <w:outlineLvl w:val="0"/>
    </w:pPr>
    <w:rPr>
      <w:b/>
      <w:color w:val="002469"/>
      <w:spacing w:val="20"/>
      <w:w w:val="90"/>
      <w:sz w:val="44"/>
      <w:szCs w:val="44"/>
    </w:rPr>
  </w:style>
  <w:style w:type="paragraph" w:styleId="Heading2">
    <w:name w:val="heading 2"/>
    <w:basedOn w:val="Normal"/>
    <w:next w:val="Normal"/>
    <w:link w:val="Heading2Char"/>
    <w:autoRedefine/>
    <w:qFormat/>
    <w:rsid w:val="00346B30"/>
    <w:pPr>
      <w:keepNext/>
      <w:spacing w:before="120" w:after="120" w:line="240" w:lineRule="auto"/>
      <w:outlineLvl w:val="1"/>
    </w:pPr>
    <w:rPr>
      <w:rFonts w:ascii="Arial Bold" w:hAnsi="Arial Bold"/>
      <w:b/>
      <w:color w:val="0082AB"/>
      <w:spacing w:val="20"/>
      <w:w w:val="90"/>
      <w:sz w:val="32"/>
      <w:szCs w:val="24"/>
    </w:rPr>
  </w:style>
  <w:style w:type="paragraph" w:styleId="Heading3">
    <w:name w:val="heading 3"/>
    <w:basedOn w:val="Heading2"/>
    <w:next w:val="Normal"/>
    <w:link w:val="Heading3Char"/>
    <w:qFormat/>
    <w:rsid w:val="00715855"/>
    <w:pPr>
      <w:spacing w:before="200" w:after="180"/>
      <w:outlineLvl w:val="2"/>
    </w:pPr>
    <w:rPr>
      <w:sz w:val="24"/>
      <w:szCs w:val="22"/>
    </w:rPr>
  </w:style>
  <w:style w:type="paragraph" w:styleId="Heading4">
    <w:name w:val="heading 4"/>
    <w:basedOn w:val="Normal"/>
    <w:next w:val="Normal"/>
    <w:link w:val="Heading4Char"/>
    <w:qFormat/>
    <w:rsid w:val="006448CF"/>
    <w:pPr>
      <w:spacing w:before="120" w:after="200" w:line="240" w:lineRule="auto"/>
      <w:outlineLvl w:val="3"/>
    </w:pPr>
    <w:rPr>
      <w:b/>
      <w:bCs/>
      <w:color w:val="595959" w:themeColor="text1" w:themeTint="A6"/>
    </w:rPr>
  </w:style>
  <w:style w:type="paragraph" w:styleId="Heading5">
    <w:name w:val="heading 5"/>
    <w:basedOn w:val="Normal"/>
    <w:next w:val="Normal"/>
    <w:link w:val="Heading5Char"/>
    <w:rsid w:val="00BC3EA0"/>
    <w:pPr>
      <w:keepNext/>
      <w:widowControl w:val="0"/>
      <w:spacing w:before="80" w:after="120"/>
      <w:outlineLvl w:val="4"/>
    </w:pPr>
    <w:rPr>
      <w:color w:val="000000"/>
      <w:szCs w:val="22"/>
    </w:rPr>
  </w:style>
  <w:style w:type="paragraph" w:styleId="Heading6">
    <w:name w:val="heading 6"/>
    <w:basedOn w:val="Normal"/>
    <w:next w:val="Normal"/>
    <w:link w:val="Heading6Char"/>
    <w:rsid w:val="00BC3EA0"/>
    <w:pPr>
      <w:spacing w:before="240"/>
      <w:outlineLvl w:val="5"/>
    </w:pPr>
    <w:rPr>
      <w:i/>
      <w:sz w:val="20"/>
    </w:rPr>
  </w:style>
  <w:style w:type="paragraph" w:styleId="Heading7">
    <w:name w:val="heading 7"/>
    <w:basedOn w:val="Normal"/>
    <w:next w:val="Normal"/>
    <w:link w:val="Heading7Char"/>
    <w:rsid w:val="00BC3EA0"/>
    <w:pPr>
      <w:spacing w:before="240"/>
      <w:outlineLvl w:val="6"/>
    </w:pPr>
    <w:rPr>
      <w:sz w:val="20"/>
    </w:rPr>
  </w:style>
  <w:style w:type="paragraph" w:styleId="Heading8">
    <w:name w:val="heading 8"/>
    <w:basedOn w:val="Normal"/>
    <w:next w:val="Normal"/>
    <w:link w:val="Heading8Char"/>
    <w:rsid w:val="00BC3EA0"/>
    <w:pPr>
      <w:spacing w:before="80" w:after="80"/>
      <w:outlineLvl w:val="7"/>
    </w:pPr>
    <w:rPr>
      <w:sz w:val="20"/>
    </w:rPr>
  </w:style>
  <w:style w:type="paragraph" w:styleId="Heading9">
    <w:name w:val="heading 9"/>
    <w:next w:val="Normal"/>
    <w:link w:val="Heading9Char"/>
    <w:rsid w:val="00BC3EA0"/>
    <w:pPr>
      <w:keepNext/>
      <w:spacing w:before="160" w:line="260" w:lineRule="exact"/>
      <w:outlineLvl w:val="8"/>
    </w:pPr>
    <w:rPr>
      <w:rFonts w:ascii="Arial" w:eastAsia="Times New Roman"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rsid w:val="006448CF"/>
    <w:pPr>
      <w:tabs>
        <w:tab w:val="right" w:pos="14002"/>
      </w:tabs>
      <w:spacing w:after="0" w:line="240" w:lineRule="auto"/>
    </w:pPr>
    <w:rPr>
      <w:noProof/>
      <w:color w:val="0082AB"/>
      <w:spacing w:val="6"/>
      <w:sz w:val="16"/>
      <w:szCs w:val="16"/>
    </w:rPr>
  </w:style>
  <w:style w:type="character" w:customStyle="1" w:styleId="FooterChar">
    <w:name w:val="Footer Char"/>
    <w:link w:val="Footer"/>
    <w:rsid w:val="006448CF"/>
    <w:rPr>
      <w:rFonts w:ascii="Arial" w:eastAsia="Times New Roman" w:hAnsi="Arial"/>
      <w:noProof/>
      <w:color w:val="0082AB"/>
      <w:spacing w:val="6"/>
      <w:sz w:val="16"/>
      <w:szCs w:val="16"/>
      <w:lang w:val="en-GB" w:eastAsia="en-GB"/>
    </w:rPr>
  </w:style>
  <w:style w:type="table" w:styleId="TableGrid">
    <w:name w:val="Table Grid"/>
    <w:basedOn w:val="TableNormal"/>
    <w:uiPriority w:val="39"/>
    <w:rsid w:val="00BC3EA0"/>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C3EA0"/>
    <w:rPr>
      <w:rFonts w:ascii="Tahoma" w:hAnsi="Tahoma" w:cs="Tahoma"/>
      <w:sz w:val="16"/>
      <w:szCs w:val="16"/>
    </w:rPr>
  </w:style>
  <w:style w:type="character" w:customStyle="1" w:styleId="BalloonTextChar">
    <w:name w:val="Balloon Text Char"/>
    <w:link w:val="BalloonText"/>
    <w:semiHidden/>
    <w:rsid w:val="00487FAD"/>
    <w:rPr>
      <w:rFonts w:ascii="Tahoma" w:eastAsia="Times New Roman" w:hAnsi="Tahoma" w:cs="Tahoma"/>
      <w:sz w:val="16"/>
      <w:szCs w:val="16"/>
      <w:lang w:val="en-GB" w:eastAsia="en-GB"/>
    </w:rPr>
  </w:style>
  <w:style w:type="paragraph" w:styleId="ListParagraph">
    <w:name w:val="List Paragraph"/>
    <w:aliases w:val="Unordered List Paragraph,List Paragraph numbered,List Bullet indent,List Paragraph1,Rec para,Recommendation,List Paragraph11,Dot pt,F5 List Paragraph,No Spacing1,List Paragraph Char Char Char,Indicator Text,Numbered Para 1,Bullet 1,lp1,L"/>
    <w:basedOn w:val="Normal"/>
    <w:link w:val="ListParagraphChar"/>
    <w:uiPriority w:val="1"/>
    <w:qFormat/>
    <w:rsid w:val="006448CF"/>
    <w:pPr>
      <w:ind w:left="567"/>
      <w:contextualSpacing/>
    </w:pPr>
  </w:style>
  <w:style w:type="character" w:styleId="Hyperlink">
    <w:name w:val="Hyperlink"/>
    <w:uiPriority w:val="99"/>
    <w:rsid w:val="00537EFE"/>
    <w:rPr>
      <w:color w:val="0082AB"/>
      <w:u w:val="single"/>
    </w:rPr>
  </w:style>
  <w:style w:type="character" w:styleId="CommentReference">
    <w:name w:val="annotation reference"/>
    <w:uiPriority w:val="99"/>
    <w:semiHidden/>
    <w:rsid w:val="00BC3EA0"/>
    <w:rPr>
      <w:sz w:val="16"/>
      <w:szCs w:val="16"/>
    </w:rPr>
  </w:style>
  <w:style w:type="paragraph" w:styleId="CommentText">
    <w:name w:val="annotation text"/>
    <w:basedOn w:val="Normal"/>
    <w:link w:val="CommentTextChar"/>
    <w:uiPriority w:val="99"/>
    <w:rsid w:val="00BC3EA0"/>
    <w:rPr>
      <w:sz w:val="20"/>
    </w:rPr>
  </w:style>
  <w:style w:type="character" w:customStyle="1" w:styleId="CommentTextChar">
    <w:name w:val="Comment Text Char"/>
    <w:link w:val="CommentText"/>
    <w:uiPriority w:val="99"/>
    <w:rsid w:val="004A4084"/>
    <w:rPr>
      <w:rFonts w:ascii="Arial" w:eastAsia="Times New Roman" w:hAnsi="Arial" w:cs="Times New Roman"/>
      <w:sz w:val="20"/>
      <w:szCs w:val="20"/>
      <w:lang w:val="en-GB" w:eastAsia="en-GB"/>
    </w:rPr>
  </w:style>
  <w:style w:type="paragraph" w:customStyle="1" w:styleId="BodyText-Numbered">
    <w:name w:val="Body Text - Numbered"/>
    <w:basedOn w:val="BodyText"/>
    <w:link w:val="BodyText-NumberedChar"/>
    <w:qFormat/>
    <w:rsid w:val="004A4084"/>
    <w:pPr>
      <w:keepNext/>
      <w:numPr>
        <w:numId w:val="1"/>
      </w:numPr>
      <w:spacing w:before="60" w:line="240" w:lineRule="auto"/>
    </w:pPr>
    <w:rPr>
      <w:rFonts w:cs="Arial"/>
    </w:rPr>
  </w:style>
  <w:style w:type="character" w:customStyle="1" w:styleId="BodyText-NumberedChar">
    <w:name w:val="Body Text - Numbered Char"/>
    <w:link w:val="BodyText-Numbered"/>
    <w:rsid w:val="004A4084"/>
    <w:rPr>
      <w:rFonts w:ascii="Arial" w:eastAsia="Times New Roman" w:hAnsi="Arial" w:cs="Arial"/>
      <w:sz w:val="22"/>
      <w:lang w:val="en-GB" w:eastAsia="en-GB"/>
    </w:rPr>
  </w:style>
  <w:style w:type="paragraph" w:styleId="BodyText">
    <w:name w:val="Body Text"/>
    <w:basedOn w:val="Normal"/>
    <w:link w:val="BodyTextChar"/>
    <w:uiPriority w:val="99"/>
    <w:semiHidden/>
    <w:unhideWhenUsed/>
    <w:rsid w:val="004A4084"/>
    <w:pPr>
      <w:spacing w:after="120"/>
    </w:pPr>
  </w:style>
  <w:style w:type="character" w:customStyle="1" w:styleId="BodyTextChar">
    <w:name w:val="Body Text Char"/>
    <w:basedOn w:val="DefaultParagraphFont"/>
    <w:link w:val="BodyText"/>
    <w:uiPriority w:val="99"/>
    <w:semiHidden/>
    <w:rsid w:val="004A4084"/>
  </w:style>
  <w:style w:type="paragraph" w:customStyle="1" w:styleId="spacer">
    <w:name w:val="spacer"/>
    <w:basedOn w:val="Normal"/>
    <w:qFormat/>
    <w:rsid w:val="00BC3EA0"/>
    <w:pPr>
      <w:numPr>
        <w:numId w:val="23"/>
      </w:numPr>
      <w:spacing w:after="0" w:line="240" w:lineRule="auto"/>
    </w:pPr>
    <w:rPr>
      <w:sz w:val="16"/>
      <w:szCs w:val="22"/>
      <w:lang w:eastAsia="en-AU"/>
    </w:rPr>
  </w:style>
  <w:style w:type="paragraph" w:styleId="CommentSubject">
    <w:name w:val="annotation subject"/>
    <w:basedOn w:val="CommentText"/>
    <w:next w:val="CommentText"/>
    <w:link w:val="CommentSubjectChar"/>
    <w:semiHidden/>
    <w:rsid w:val="00BC3EA0"/>
    <w:rPr>
      <w:b/>
      <w:bCs/>
    </w:rPr>
  </w:style>
  <w:style w:type="character" w:customStyle="1" w:styleId="CommentSubjectChar">
    <w:name w:val="Comment Subject Char"/>
    <w:link w:val="CommentSubject"/>
    <w:semiHidden/>
    <w:rsid w:val="000C4659"/>
    <w:rPr>
      <w:rFonts w:ascii="Arial" w:eastAsia="Times New Roman" w:hAnsi="Arial" w:cs="Times New Roman"/>
      <w:b/>
      <w:bCs/>
      <w:sz w:val="20"/>
      <w:szCs w:val="20"/>
      <w:lang w:val="en-GB" w:eastAsia="en-GB"/>
    </w:rPr>
  </w:style>
  <w:style w:type="paragraph" w:styleId="Header">
    <w:name w:val="header"/>
    <w:basedOn w:val="Normal"/>
    <w:link w:val="HeaderChar"/>
    <w:uiPriority w:val="99"/>
    <w:rsid w:val="00BC3EA0"/>
    <w:pPr>
      <w:tabs>
        <w:tab w:val="center" w:pos="4153"/>
        <w:tab w:val="right" w:pos="8306"/>
      </w:tabs>
    </w:pPr>
  </w:style>
  <w:style w:type="character" w:customStyle="1" w:styleId="HeaderChar">
    <w:name w:val="Header Char"/>
    <w:link w:val="Header"/>
    <w:uiPriority w:val="99"/>
    <w:rsid w:val="008D265C"/>
    <w:rPr>
      <w:rFonts w:ascii="Arial" w:eastAsia="Times New Roman" w:hAnsi="Arial" w:cs="Times New Roman"/>
      <w:szCs w:val="20"/>
      <w:lang w:val="en-GB" w:eastAsia="en-GB"/>
    </w:rPr>
  </w:style>
  <w:style w:type="character" w:styleId="FollowedHyperlink">
    <w:name w:val="FollowedHyperlink"/>
    <w:rsid w:val="00BC3EA0"/>
    <w:rPr>
      <w:color w:val="800080"/>
      <w:u w:val="single"/>
    </w:rPr>
  </w:style>
  <w:style w:type="paragraph" w:styleId="Revision">
    <w:name w:val="Revision"/>
    <w:hidden/>
    <w:uiPriority w:val="99"/>
    <w:semiHidden/>
    <w:rsid w:val="0082413D"/>
    <w:rPr>
      <w:sz w:val="22"/>
      <w:szCs w:val="22"/>
      <w:lang w:eastAsia="en-US"/>
    </w:rPr>
  </w:style>
  <w:style w:type="paragraph" w:customStyle="1" w:styleId="Author">
    <w:name w:val="Author"/>
    <w:basedOn w:val="Normal"/>
    <w:semiHidden/>
    <w:rsid w:val="00BC3EA0"/>
    <w:pPr>
      <w:spacing w:before="240" w:after="1200"/>
      <w:ind w:left="-181"/>
      <w:jc w:val="right"/>
    </w:pPr>
    <w:rPr>
      <w:rFonts w:cs="Arial"/>
      <w:i/>
      <w:sz w:val="40"/>
      <w:szCs w:val="22"/>
    </w:rPr>
  </w:style>
  <w:style w:type="paragraph" w:customStyle="1" w:styleId="Boxtext">
    <w:name w:val="Box text"/>
    <w:basedOn w:val="Normal"/>
    <w:rsid w:val="00FA7EFC"/>
    <w:pPr>
      <w:pBdr>
        <w:top w:val="single" w:sz="4" w:space="10" w:color="EBF5F8"/>
        <w:left w:val="single" w:sz="4" w:space="4" w:color="EBF5F8"/>
        <w:bottom w:val="single" w:sz="4" w:space="10" w:color="EBF5F8"/>
        <w:right w:val="single" w:sz="4" w:space="4" w:color="EBF5F8"/>
      </w:pBdr>
      <w:shd w:val="clear" w:color="auto" w:fill="EBF5F8"/>
      <w:spacing w:after="80"/>
      <w:ind w:left="142" w:right="142"/>
    </w:pPr>
    <w:rPr>
      <w:i/>
    </w:rPr>
  </w:style>
  <w:style w:type="paragraph" w:customStyle="1" w:styleId="Boxbullet">
    <w:name w:val="Box bullet"/>
    <w:basedOn w:val="Boxtext"/>
    <w:rsid w:val="00BC3EA0"/>
    <w:pPr>
      <w:numPr>
        <w:numId w:val="2"/>
      </w:numPr>
      <w:tabs>
        <w:tab w:val="clear" w:pos="644"/>
        <w:tab w:val="num" w:pos="426"/>
      </w:tabs>
      <w:spacing w:before="80"/>
    </w:pPr>
  </w:style>
  <w:style w:type="paragraph" w:customStyle="1" w:styleId="Boxheading">
    <w:name w:val="Box heading"/>
    <w:basedOn w:val="Normal"/>
    <w:next w:val="Boxtext"/>
    <w:autoRedefine/>
    <w:rsid w:val="00BC3EA0"/>
    <w:pPr>
      <w:spacing w:before="180" w:after="60" w:line="240" w:lineRule="auto"/>
      <w:ind w:left="284" w:right="284"/>
    </w:pPr>
    <w:rPr>
      <w:rFonts w:ascii="Arial Narrow" w:hAnsi="Arial Narrow"/>
      <w:b/>
      <w:bCs/>
      <w:color w:val="335087"/>
      <w:spacing w:val="10"/>
      <w:szCs w:val="22"/>
    </w:rPr>
  </w:style>
  <w:style w:type="paragraph" w:customStyle="1" w:styleId="Boxindent">
    <w:name w:val="Box indent"/>
    <w:basedOn w:val="Boxtext"/>
    <w:rsid w:val="00BC3EA0"/>
    <w:pPr>
      <w:tabs>
        <w:tab w:val="left" w:pos="426"/>
      </w:tabs>
      <w:ind w:left="426" w:hanging="284"/>
    </w:pPr>
  </w:style>
  <w:style w:type="paragraph" w:customStyle="1" w:styleId="Bullet-list">
    <w:name w:val="Bullet-list"/>
    <w:qFormat/>
    <w:rsid w:val="00BC3EA0"/>
    <w:pPr>
      <w:numPr>
        <w:numId w:val="3"/>
      </w:numPr>
      <w:spacing w:after="180" w:line="280" w:lineRule="exact"/>
    </w:pPr>
    <w:rPr>
      <w:rFonts w:ascii="Arial" w:eastAsia="Times New Roman" w:hAnsi="Arial"/>
      <w:sz w:val="22"/>
      <w:lang w:val="en-AU" w:eastAsia="en-US"/>
    </w:rPr>
  </w:style>
  <w:style w:type="paragraph" w:styleId="Caption">
    <w:name w:val="caption"/>
    <w:basedOn w:val="Normal"/>
    <w:next w:val="Normal"/>
    <w:rsid w:val="00BC3EA0"/>
    <w:rPr>
      <w:b/>
      <w:bCs/>
      <w:sz w:val="20"/>
    </w:rPr>
  </w:style>
  <w:style w:type="paragraph" w:styleId="DocumentMap">
    <w:name w:val="Document Map"/>
    <w:basedOn w:val="Normal"/>
    <w:link w:val="DocumentMapChar"/>
    <w:semiHidden/>
    <w:rsid w:val="00BC3EA0"/>
    <w:pPr>
      <w:shd w:val="clear" w:color="auto" w:fill="000080"/>
    </w:pPr>
    <w:rPr>
      <w:rFonts w:ascii="Tahoma" w:hAnsi="Tahoma" w:cs="Tahoma"/>
      <w:sz w:val="20"/>
    </w:rPr>
  </w:style>
  <w:style w:type="character" w:customStyle="1" w:styleId="DocumentMapChar">
    <w:name w:val="Document Map Char"/>
    <w:link w:val="DocumentMap"/>
    <w:semiHidden/>
    <w:rsid w:val="00BC3EA0"/>
    <w:rPr>
      <w:rFonts w:ascii="Tahoma" w:eastAsia="Times New Roman" w:hAnsi="Tahoma" w:cs="Tahoma"/>
      <w:sz w:val="20"/>
      <w:szCs w:val="20"/>
      <w:shd w:val="clear" w:color="auto" w:fill="000080"/>
      <w:lang w:val="en-GB" w:eastAsia="en-GB"/>
    </w:rPr>
  </w:style>
  <w:style w:type="paragraph" w:customStyle="1" w:styleId="EvenFooter">
    <w:name w:val="Even Footer"/>
    <w:basedOn w:val="Footer"/>
    <w:rsid w:val="00BC3EA0"/>
  </w:style>
  <w:style w:type="paragraph" w:customStyle="1" w:styleId="Evenfooter-wide">
    <w:name w:val="Even footer-wide"/>
    <w:basedOn w:val="EvenFooter"/>
    <w:rsid w:val="00BC3EA0"/>
  </w:style>
  <w:style w:type="character" w:styleId="FootnoteReference">
    <w:name w:val="footnote reference"/>
    <w:uiPriority w:val="99"/>
    <w:rsid w:val="00BC3EA0"/>
    <w:rPr>
      <w:rFonts w:ascii="Arial" w:hAnsi="Arial"/>
      <w:color w:val="auto"/>
      <w:position w:val="8"/>
      <w:sz w:val="16"/>
    </w:rPr>
  </w:style>
  <w:style w:type="paragraph" w:styleId="FootnoteText">
    <w:name w:val="footnote text"/>
    <w:aliases w:val="Footnote - MOH"/>
    <w:basedOn w:val="Normal"/>
    <w:link w:val="FootnoteTextChar"/>
    <w:uiPriority w:val="99"/>
    <w:qFormat/>
    <w:rsid w:val="00BC3EA0"/>
    <w:pPr>
      <w:tabs>
        <w:tab w:val="left" w:pos="425"/>
      </w:tabs>
      <w:spacing w:after="60" w:line="240" w:lineRule="auto"/>
      <w:ind w:left="425" w:hanging="425"/>
    </w:pPr>
    <w:rPr>
      <w:sz w:val="18"/>
    </w:rPr>
  </w:style>
  <w:style w:type="character" w:customStyle="1" w:styleId="FootnoteTextChar">
    <w:name w:val="Footnote Text Char"/>
    <w:aliases w:val="Footnote - MOH Char"/>
    <w:link w:val="FootnoteText"/>
    <w:uiPriority w:val="99"/>
    <w:rsid w:val="00BC3EA0"/>
    <w:rPr>
      <w:rFonts w:ascii="Arial" w:eastAsia="Times New Roman" w:hAnsi="Arial" w:cs="Times New Roman"/>
      <w:sz w:val="18"/>
      <w:szCs w:val="20"/>
      <w:lang w:val="en-GB" w:eastAsia="en-GB"/>
    </w:rPr>
  </w:style>
  <w:style w:type="character" w:customStyle="1" w:styleId="Heading1Char">
    <w:name w:val="Heading 1 Char"/>
    <w:link w:val="Heading1"/>
    <w:rsid w:val="00BC3EA0"/>
    <w:rPr>
      <w:rFonts w:ascii="Arial" w:eastAsia="Times New Roman" w:hAnsi="Arial" w:cs="Times New Roman"/>
      <w:b/>
      <w:color w:val="002469"/>
      <w:spacing w:val="20"/>
      <w:w w:val="90"/>
      <w:sz w:val="44"/>
      <w:szCs w:val="44"/>
      <w:lang w:val="en-GB" w:eastAsia="en-GB"/>
    </w:rPr>
  </w:style>
  <w:style w:type="character" w:customStyle="1" w:styleId="Heading2Char">
    <w:name w:val="Heading 2 Char"/>
    <w:link w:val="Heading2"/>
    <w:rsid w:val="00346B30"/>
    <w:rPr>
      <w:rFonts w:ascii="Arial Bold" w:eastAsia="Times New Roman" w:hAnsi="Arial Bold"/>
      <w:b/>
      <w:color w:val="0082AB"/>
      <w:spacing w:val="20"/>
      <w:w w:val="90"/>
      <w:sz w:val="32"/>
      <w:szCs w:val="24"/>
      <w:lang w:val="en-GB" w:eastAsia="en-GB"/>
    </w:rPr>
  </w:style>
  <w:style w:type="character" w:customStyle="1" w:styleId="Heading3Char">
    <w:name w:val="Heading 3 Char"/>
    <w:link w:val="Heading3"/>
    <w:rsid w:val="00715855"/>
    <w:rPr>
      <w:rFonts w:ascii="Arial Bold" w:eastAsia="Times New Roman" w:hAnsi="Arial Bold"/>
      <w:b/>
      <w:color w:val="0082AB"/>
      <w:spacing w:val="20"/>
      <w:w w:val="90"/>
      <w:sz w:val="24"/>
      <w:szCs w:val="22"/>
      <w:lang w:val="en-GB" w:eastAsia="en-GB"/>
    </w:rPr>
  </w:style>
  <w:style w:type="character" w:customStyle="1" w:styleId="Heading4Char">
    <w:name w:val="Heading 4 Char"/>
    <w:link w:val="Heading4"/>
    <w:rsid w:val="006448CF"/>
    <w:rPr>
      <w:rFonts w:ascii="Arial" w:eastAsia="Times New Roman" w:hAnsi="Arial"/>
      <w:b/>
      <w:bCs/>
      <w:color w:val="595959" w:themeColor="text1" w:themeTint="A6"/>
      <w:sz w:val="22"/>
      <w:lang w:val="en-GB" w:eastAsia="en-GB"/>
    </w:rPr>
  </w:style>
  <w:style w:type="character" w:customStyle="1" w:styleId="Heading5Char">
    <w:name w:val="Heading 5 Char"/>
    <w:link w:val="Heading5"/>
    <w:rsid w:val="00BC3EA0"/>
    <w:rPr>
      <w:rFonts w:ascii="Arial" w:eastAsia="Times New Roman" w:hAnsi="Arial" w:cs="Times New Roman"/>
      <w:color w:val="000000"/>
      <w:lang w:val="en-GB" w:eastAsia="en-GB"/>
    </w:rPr>
  </w:style>
  <w:style w:type="character" w:customStyle="1" w:styleId="Heading6Char">
    <w:name w:val="Heading 6 Char"/>
    <w:link w:val="Heading6"/>
    <w:rsid w:val="00BC3EA0"/>
    <w:rPr>
      <w:rFonts w:ascii="Arial" w:eastAsia="Times New Roman" w:hAnsi="Arial" w:cs="Times New Roman"/>
      <w:i/>
      <w:sz w:val="20"/>
      <w:szCs w:val="20"/>
      <w:lang w:val="en-GB" w:eastAsia="en-GB"/>
    </w:rPr>
  </w:style>
  <w:style w:type="character" w:customStyle="1" w:styleId="Heading7Char">
    <w:name w:val="Heading 7 Char"/>
    <w:link w:val="Heading7"/>
    <w:rsid w:val="00BC3EA0"/>
    <w:rPr>
      <w:rFonts w:ascii="Arial" w:eastAsia="Times New Roman" w:hAnsi="Arial" w:cs="Times New Roman"/>
      <w:sz w:val="20"/>
      <w:szCs w:val="20"/>
      <w:lang w:val="en-GB" w:eastAsia="en-GB"/>
    </w:rPr>
  </w:style>
  <w:style w:type="character" w:customStyle="1" w:styleId="Heading8Char">
    <w:name w:val="Heading 8 Char"/>
    <w:link w:val="Heading8"/>
    <w:rsid w:val="00BC3EA0"/>
    <w:rPr>
      <w:rFonts w:ascii="Arial" w:eastAsia="Times New Roman" w:hAnsi="Arial" w:cs="Times New Roman"/>
      <w:sz w:val="20"/>
      <w:szCs w:val="20"/>
      <w:lang w:val="en-GB" w:eastAsia="en-GB"/>
    </w:rPr>
  </w:style>
  <w:style w:type="character" w:customStyle="1" w:styleId="Heading9Char">
    <w:name w:val="Heading 9 Char"/>
    <w:link w:val="Heading9"/>
    <w:rsid w:val="00BC3EA0"/>
    <w:rPr>
      <w:rFonts w:ascii="Arial" w:eastAsia="Times New Roman" w:hAnsi="Arial" w:cs="Times New Roman"/>
      <w:b/>
      <w:i/>
      <w:sz w:val="20"/>
      <w:szCs w:val="20"/>
      <w:lang w:val="en-AU"/>
    </w:rPr>
  </w:style>
  <w:style w:type="paragraph" w:styleId="List">
    <w:name w:val="List"/>
    <w:basedOn w:val="Normal"/>
    <w:rsid w:val="00BC3EA0"/>
    <w:pPr>
      <w:ind w:left="283" w:hanging="283"/>
    </w:pPr>
  </w:style>
  <w:style w:type="paragraph" w:styleId="Title">
    <w:name w:val="Title"/>
    <w:basedOn w:val="Normal"/>
    <w:link w:val="TitleChar"/>
    <w:rsid w:val="00BC3EA0"/>
    <w:pPr>
      <w:widowControl w:val="0"/>
      <w:autoSpaceDE w:val="0"/>
      <w:autoSpaceDN w:val="0"/>
      <w:adjustRightInd w:val="0"/>
      <w:spacing w:before="1560" w:after="720" w:line="240" w:lineRule="atLeast"/>
    </w:pPr>
    <w:rPr>
      <w:rFonts w:cs="Arial"/>
      <w:color w:val="002469"/>
      <w:spacing w:val="40"/>
      <w:w w:val="90"/>
      <w:sz w:val="48"/>
      <w:szCs w:val="48"/>
    </w:rPr>
  </w:style>
  <w:style w:type="character" w:customStyle="1" w:styleId="TitleChar">
    <w:name w:val="Title Char"/>
    <w:link w:val="Title"/>
    <w:rsid w:val="00BC3EA0"/>
    <w:rPr>
      <w:rFonts w:ascii="Arial" w:eastAsia="Times New Roman" w:hAnsi="Arial" w:cs="Arial"/>
      <w:color w:val="002469"/>
      <w:spacing w:val="40"/>
      <w:w w:val="90"/>
      <w:sz w:val="48"/>
      <w:szCs w:val="48"/>
      <w:lang w:val="en-GB" w:eastAsia="en-GB"/>
    </w:rPr>
  </w:style>
  <w:style w:type="paragraph" w:styleId="Subtitle">
    <w:name w:val="Subtitle"/>
    <w:basedOn w:val="Title"/>
    <w:next w:val="Normal"/>
    <w:link w:val="SubtitleChar"/>
    <w:rsid w:val="00BC3EA0"/>
    <w:pPr>
      <w:spacing w:before="360" w:line="600" w:lineRule="atLeast"/>
    </w:pPr>
    <w:rPr>
      <w:sz w:val="36"/>
      <w:szCs w:val="36"/>
    </w:rPr>
  </w:style>
  <w:style w:type="character" w:customStyle="1" w:styleId="SubtitleChar">
    <w:name w:val="Subtitle Char"/>
    <w:link w:val="Subtitle"/>
    <w:rsid w:val="00BC3EA0"/>
    <w:rPr>
      <w:rFonts w:ascii="Arial" w:eastAsia="Times New Roman" w:hAnsi="Arial" w:cs="Arial"/>
      <w:color w:val="002469"/>
      <w:spacing w:val="40"/>
      <w:w w:val="90"/>
      <w:sz w:val="36"/>
      <w:szCs w:val="36"/>
      <w:lang w:val="en-GB" w:eastAsia="en-GB"/>
    </w:rPr>
  </w:style>
  <w:style w:type="paragraph" w:customStyle="1" w:styleId="TableText">
    <w:name w:val="Table Text"/>
    <w:basedOn w:val="Normal"/>
    <w:rsid w:val="00BC3EA0"/>
    <w:pPr>
      <w:autoSpaceDE w:val="0"/>
      <w:autoSpaceDN w:val="0"/>
      <w:adjustRightInd w:val="0"/>
      <w:spacing w:before="60" w:after="60" w:line="240" w:lineRule="atLeast"/>
    </w:pPr>
    <w:rPr>
      <w:rFonts w:cs="GillSans"/>
      <w:sz w:val="20"/>
      <w:szCs w:val="22"/>
      <w:lang w:eastAsia="en-AU"/>
    </w:rPr>
  </w:style>
  <w:style w:type="paragraph" w:customStyle="1" w:styleId="tablespacer">
    <w:name w:val="table_spacer"/>
    <w:basedOn w:val="Normal"/>
    <w:next w:val="Normal"/>
    <w:rsid w:val="00BC3EA0"/>
    <w:pPr>
      <w:keepNext/>
      <w:spacing w:after="0" w:line="240" w:lineRule="auto"/>
    </w:pPr>
    <w:rPr>
      <w:sz w:val="20"/>
    </w:rPr>
  </w:style>
  <w:style w:type="paragraph" w:styleId="TOC1">
    <w:name w:val="toc 1"/>
    <w:basedOn w:val="Normal"/>
    <w:next w:val="Normal"/>
    <w:uiPriority w:val="39"/>
    <w:rsid w:val="00BC3EA0"/>
    <w:pPr>
      <w:tabs>
        <w:tab w:val="right" w:leader="dot" w:pos="9214"/>
      </w:tabs>
      <w:spacing w:before="240" w:after="120"/>
      <w:ind w:left="284" w:right="284"/>
    </w:pPr>
    <w:rPr>
      <w:bCs/>
      <w:noProof/>
      <w:sz w:val="24"/>
      <w:szCs w:val="44"/>
    </w:rPr>
  </w:style>
  <w:style w:type="paragraph" w:styleId="TOC2">
    <w:name w:val="toc 2"/>
    <w:basedOn w:val="Normal"/>
    <w:next w:val="Normal"/>
    <w:uiPriority w:val="39"/>
    <w:rsid w:val="00BC3EA0"/>
    <w:pPr>
      <w:tabs>
        <w:tab w:val="right" w:leader="dot" w:pos="9214"/>
      </w:tabs>
      <w:spacing w:before="100" w:after="100"/>
      <w:ind w:left="709" w:right="284"/>
    </w:pPr>
    <w:rPr>
      <w:noProof/>
      <w:sz w:val="24"/>
    </w:rPr>
  </w:style>
  <w:style w:type="paragraph" w:styleId="TOC3">
    <w:name w:val="toc 3"/>
    <w:basedOn w:val="Normal"/>
    <w:next w:val="Normal"/>
    <w:semiHidden/>
    <w:rsid w:val="00BC3EA0"/>
    <w:pPr>
      <w:tabs>
        <w:tab w:val="left" w:leader="dot" w:pos="8646"/>
        <w:tab w:val="right" w:pos="9072"/>
      </w:tabs>
      <w:ind w:left="1418" w:right="850"/>
    </w:pPr>
  </w:style>
  <w:style w:type="paragraph" w:customStyle="1" w:styleId="Tier2Bullet-list">
    <w:name w:val="Tier 2 Bullet-list"/>
    <w:qFormat/>
    <w:rsid w:val="0062657E"/>
    <w:pPr>
      <w:spacing w:after="160" w:line="259" w:lineRule="auto"/>
      <w:ind w:left="568" w:hanging="284"/>
    </w:pPr>
    <w:rPr>
      <w:rFonts w:ascii="Arial" w:eastAsia="Times New Roman" w:hAnsi="Arial"/>
      <w:sz w:val="22"/>
      <w:lang w:val="en-AU" w:eastAsia="en-US"/>
    </w:rPr>
  </w:style>
  <w:style w:type="paragraph" w:customStyle="1" w:styleId="TableHeading2">
    <w:name w:val="Table Heading 2"/>
    <w:basedOn w:val="Normal"/>
    <w:qFormat/>
    <w:rsid w:val="00DF2E7B"/>
    <w:pPr>
      <w:spacing w:before="60" w:after="60" w:line="276" w:lineRule="auto"/>
    </w:pPr>
    <w:rPr>
      <w:i/>
      <w:szCs w:val="22"/>
    </w:rPr>
  </w:style>
  <w:style w:type="paragraph" w:customStyle="1" w:styleId="Tablebullet">
    <w:name w:val="Table bullet"/>
    <w:basedOn w:val="Normal"/>
    <w:qFormat/>
    <w:rsid w:val="00B56273"/>
    <w:pPr>
      <w:numPr>
        <w:numId w:val="4"/>
      </w:numPr>
      <w:autoSpaceDE w:val="0"/>
      <w:autoSpaceDN w:val="0"/>
      <w:adjustRightInd w:val="0"/>
      <w:spacing w:before="60" w:after="60"/>
    </w:pPr>
    <w:rPr>
      <w:rFonts w:cs="GillSans"/>
      <w:szCs w:val="22"/>
      <w:lang w:eastAsia="en-AU"/>
    </w:rPr>
  </w:style>
  <w:style w:type="table" w:styleId="GridTable4-Accent1">
    <w:name w:val="Grid Table 4 Accent 1"/>
    <w:basedOn w:val="TableNormal"/>
    <w:uiPriority w:val="49"/>
    <w:rsid w:val="00C935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Headings">
    <w:name w:val="Table Headings"/>
    <w:basedOn w:val="Normal"/>
    <w:qFormat/>
    <w:rsid w:val="00C93549"/>
    <w:pPr>
      <w:spacing w:before="60" w:after="60"/>
    </w:pPr>
    <w:rPr>
      <w:rFonts w:cs="Arial"/>
      <w:b/>
      <w:color w:val="000000"/>
    </w:rPr>
  </w:style>
  <w:style w:type="character" w:customStyle="1" w:styleId="UnresolvedMention1">
    <w:name w:val="Unresolved Mention1"/>
    <w:basedOn w:val="DefaultParagraphFont"/>
    <w:uiPriority w:val="99"/>
    <w:semiHidden/>
    <w:unhideWhenUsed/>
    <w:rsid w:val="00E52B84"/>
    <w:rPr>
      <w:color w:val="605E5C"/>
      <w:shd w:val="clear" w:color="auto" w:fill="E1DFDD"/>
    </w:rPr>
  </w:style>
  <w:style w:type="character" w:styleId="UnresolvedMention">
    <w:name w:val="Unresolved Mention"/>
    <w:basedOn w:val="DefaultParagraphFont"/>
    <w:uiPriority w:val="99"/>
    <w:unhideWhenUsed/>
    <w:rsid w:val="00447453"/>
    <w:rPr>
      <w:color w:val="605E5C"/>
      <w:shd w:val="clear" w:color="auto" w:fill="E1DFDD"/>
    </w:rPr>
  </w:style>
  <w:style w:type="character" w:customStyle="1" w:styleId="ListParagraphChar">
    <w:name w:val="List Paragraph Char"/>
    <w:aliases w:val="Unordered List Paragraph Char,List Paragraph numbered Char,List Bullet indent Char,List Paragraph1 Char,Rec para Char,Recommendation Char,List Paragraph11 Char,Dot pt Char,F5 List Paragraph Char,No Spacing1 Char,Indicator Text Char"/>
    <w:basedOn w:val="DefaultParagraphFont"/>
    <w:link w:val="ListParagraph"/>
    <w:uiPriority w:val="34"/>
    <w:qFormat/>
    <w:rsid w:val="0018599C"/>
    <w:rPr>
      <w:rFonts w:ascii="Arial" w:eastAsia="Times New Roman" w:hAnsi="Arial"/>
      <w:sz w:val="22"/>
      <w:lang w:val="en-GB" w:eastAsia="en-GB"/>
    </w:rPr>
  </w:style>
  <w:style w:type="paragraph" w:customStyle="1" w:styleId="TableHeading">
    <w:name w:val="Table Heading"/>
    <w:basedOn w:val="Normal"/>
    <w:link w:val="TableHeadingChar"/>
    <w:qFormat/>
    <w:rsid w:val="0018599C"/>
    <w:pPr>
      <w:spacing w:after="0" w:line="240" w:lineRule="auto"/>
      <w:jc w:val="center"/>
    </w:pPr>
    <w:rPr>
      <w:rFonts w:asciiTheme="minorHAnsi" w:eastAsiaTheme="minorHAnsi" w:hAnsiTheme="minorHAnsi" w:cstheme="minorBidi"/>
      <w:b/>
      <w:bCs/>
      <w:szCs w:val="22"/>
      <w:lang w:val="en-NZ" w:eastAsia="en-US"/>
    </w:rPr>
  </w:style>
  <w:style w:type="character" w:customStyle="1" w:styleId="TableHeadingChar">
    <w:name w:val="Table Heading Char"/>
    <w:basedOn w:val="DefaultParagraphFont"/>
    <w:link w:val="TableHeading"/>
    <w:rsid w:val="0018599C"/>
    <w:rPr>
      <w:rFonts w:asciiTheme="minorHAnsi" w:eastAsiaTheme="minorHAnsi" w:hAnsiTheme="minorHAnsi" w:cstheme="minorBidi"/>
      <w:b/>
      <w:bCs/>
      <w:sz w:val="22"/>
      <w:szCs w:val="22"/>
      <w:lang w:eastAsia="en-US"/>
    </w:rPr>
  </w:style>
  <w:style w:type="table" w:customStyle="1" w:styleId="TableGrid1">
    <w:name w:val="Table Grid1"/>
    <w:basedOn w:val="TableNormal"/>
    <w:next w:val="TableGrid"/>
    <w:uiPriority w:val="59"/>
    <w:rsid w:val="0018599C"/>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Normal"/>
    <w:uiPriority w:val="99"/>
    <w:qFormat/>
    <w:rsid w:val="0018599C"/>
    <w:pPr>
      <w:spacing w:before="60" w:after="60" w:line="240" w:lineRule="auto"/>
    </w:pPr>
    <w:rPr>
      <w:rFonts w:ascii="Segoe UI" w:hAnsi="Segoe UI"/>
      <w:sz w:val="18"/>
      <w:lang w:val="en-NZ"/>
    </w:rPr>
  </w:style>
  <w:style w:type="paragraph" w:customStyle="1" w:styleId="ReportBody-MOH">
    <w:name w:val="Report Body - MOH"/>
    <w:basedOn w:val="Normal"/>
    <w:link w:val="ReportBody-MOHChar"/>
    <w:qFormat/>
    <w:rsid w:val="00754169"/>
    <w:pPr>
      <w:numPr>
        <w:numId w:val="5"/>
      </w:numPr>
      <w:spacing w:before="120" w:after="120" w:line="240" w:lineRule="auto"/>
      <w:ind w:right="284"/>
    </w:pPr>
    <w:rPr>
      <w:rFonts w:ascii="Segoe UI" w:hAnsi="Segoe UI" w:cs="Arial"/>
      <w:kern w:val="22"/>
      <w:szCs w:val="22"/>
      <w:lang w:val="en-NZ" w:eastAsia="en-NZ"/>
    </w:rPr>
  </w:style>
  <w:style w:type="paragraph" w:customStyle="1" w:styleId="ReportBody2-MOH">
    <w:name w:val="Report Body 2 - MOH"/>
    <w:basedOn w:val="ReportBody-MOH"/>
    <w:qFormat/>
    <w:rsid w:val="00754169"/>
    <w:pPr>
      <w:numPr>
        <w:ilvl w:val="1"/>
      </w:numPr>
      <w:tabs>
        <w:tab w:val="num" w:pos="360"/>
      </w:tabs>
    </w:pPr>
  </w:style>
  <w:style w:type="character" w:customStyle="1" w:styleId="ReportBody-MOHChar">
    <w:name w:val="Report Body - MOH Char"/>
    <w:basedOn w:val="DefaultParagraphFont"/>
    <w:link w:val="ReportBody-MOH"/>
    <w:rsid w:val="00754169"/>
    <w:rPr>
      <w:rFonts w:ascii="Segoe UI" w:eastAsia="Times New Roman" w:hAnsi="Segoe UI" w:cs="Arial"/>
      <w:kern w:val="22"/>
      <w:sz w:val="22"/>
      <w:szCs w:val="22"/>
    </w:rPr>
  </w:style>
  <w:style w:type="paragraph" w:customStyle="1" w:styleId="CabRec">
    <w:name w:val="CabRec"/>
    <w:basedOn w:val="Normal"/>
    <w:uiPriority w:val="1"/>
    <w:qFormat/>
    <w:rsid w:val="00EC7E3F"/>
    <w:pPr>
      <w:tabs>
        <w:tab w:val="num" w:pos="720"/>
      </w:tabs>
      <w:spacing w:after="240" w:line="240" w:lineRule="auto"/>
      <w:ind w:left="720" w:hanging="720"/>
    </w:pPr>
    <w:rPr>
      <w:rFonts w:ascii="Times New Roman" w:hAnsi="Times New Roman"/>
      <w:sz w:val="24"/>
      <w:lang w:eastAsia="ja-JP"/>
    </w:rPr>
  </w:style>
  <w:style w:type="numbering" w:customStyle="1" w:styleId="Recommendations">
    <w:name w:val="Recommendations"/>
    <w:uiPriority w:val="99"/>
    <w:rsid w:val="00EC7E3F"/>
    <w:pPr>
      <w:numPr>
        <w:numId w:val="11"/>
      </w:numPr>
    </w:pPr>
  </w:style>
  <w:style w:type="character" w:styleId="Emphasis">
    <w:name w:val="Emphasis"/>
    <w:basedOn w:val="DefaultParagraphFont"/>
    <w:uiPriority w:val="20"/>
    <w:qFormat/>
    <w:rsid w:val="004306CC"/>
    <w:rPr>
      <w:i/>
      <w:iCs/>
    </w:rPr>
  </w:style>
  <w:style w:type="paragraph" w:customStyle="1" w:styleId="Bullet">
    <w:name w:val="Bullet"/>
    <w:basedOn w:val="Normal"/>
    <w:qFormat/>
    <w:rsid w:val="00290E34"/>
    <w:pPr>
      <w:numPr>
        <w:numId w:val="6"/>
      </w:numPr>
      <w:spacing w:before="90" w:after="0" w:line="240" w:lineRule="auto"/>
    </w:pPr>
    <w:rPr>
      <w:rFonts w:ascii="Segoe UI" w:hAnsi="Segoe UI"/>
      <w:sz w:val="21"/>
      <w:lang w:val="en-NZ"/>
    </w:rPr>
  </w:style>
  <w:style w:type="character" w:customStyle="1" w:styleId="normaltextrun">
    <w:name w:val="normaltextrun"/>
    <w:basedOn w:val="DefaultParagraphFont"/>
    <w:rsid w:val="00290E34"/>
  </w:style>
  <w:style w:type="character" w:customStyle="1" w:styleId="eop">
    <w:name w:val="eop"/>
    <w:basedOn w:val="DefaultParagraphFont"/>
    <w:rsid w:val="00290E34"/>
  </w:style>
  <w:style w:type="paragraph" w:customStyle="1" w:styleId="paragraph">
    <w:name w:val="paragraph"/>
    <w:basedOn w:val="Normal"/>
    <w:rsid w:val="008836FE"/>
    <w:pPr>
      <w:spacing w:before="100" w:beforeAutospacing="1" w:after="100" w:afterAutospacing="1" w:line="240" w:lineRule="auto"/>
    </w:pPr>
    <w:rPr>
      <w:rFonts w:ascii="Times New Roman" w:hAnsi="Times New Roman"/>
      <w:sz w:val="24"/>
      <w:szCs w:val="24"/>
      <w:lang w:val="en-NZ" w:eastAsia="en-NZ"/>
    </w:rPr>
  </w:style>
  <w:style w:type="paragraph" w:customStyle="1" w:styleId="Table">
    <w:name w:val="Table"/>
    <w:basedOn w:val="Normal"/>
    <w:qFormat/>
    <w:rsid w:val="00AA4103"/>
    <w:pPr>
      <w:keepNext/>
      <w:spacing w:before="120" w:after="120" w:line="240" w:lineRule="auto"/>
    </w:pPr>
    <w:rPr>
      <w:rFonts w:ascii="Segoe UI" w:hAnsi="Segoe UI"/>
      <w:b/>
      <w:sz w:val="20"/>
      <w:lang w:val="en-NZ"/>
    </w:rPr>
  </w:style>
  <w:style w:type="character" w:customStyle="1" w:styleId="ui-provider">
    <w:name w:val="ui-provider"/>
    <w:basedOn w:val="DefaultParagraphFont"/>
    <w:rsid w:val="00976D7D"/>
  </w:style>
  <w:style w:type="paragraph" w:styleId="NormalWeb">
    <w:name w:val="Normal (Web)"/>
    <w:basedOn w:val="Normal"/>
    <w:uiPriority w:val="99"/>
    <w:unhideWhenUsed/>
    <w:rsid w:val="009F44A2"/>
    <w:pPr>
      <w:spacing w:before="100" w:beforeAutospacing="1" w:after="100" w:afterAutospacing="1" w:line="240" w:lineRule="auto"/>
    </w:pPr>
    <w:rPr>
      <w:rFonts w:ascii="Times New Roman" w:hAnsi="Times New Roman"/>
      <w:sz w:val="24"/>
      <w:szCs w:val="24"/>
      <w:lang w:val="en-NZ" w:eastAsia="en-NZ"/>
    </w:rPr>
  </w:style>
  <w:style w:type="character" w:styleId="Mention">
    <w:name w:val="Mention"/>
    <w:basedOn w:val="DefaultParagraphFont"/>
    <w:uiPriority w:val="99"/>
    <w:unhideWhenUsed/>
    <w:rsid w:val="00B57DEF"/>
    <w:rPr>
      <w:color w:val="2B579A"/>
      <w:shd w:val="clear" w:color="auto" w:fill="E1DFDD"/>
    </w:rPr>
  </w:style>
  <w:style w:type="character" w:customStyle="1" w:styleId="scxw50414826">
    <w:name w:val="scxw50414826"/>
    <w:basedOn w:val="DefaultParagraphFont"/>
    <w:rsid w:val="00B90A63"/>
  </w:style>
  <w:style w:type="character" w:customStyle="1" w:styleId="scxw251111522">
    <w:name w:val="scxw251111522"/>
    <w:basedOn w:val="DefaultParagraphFont"/>
    <w:rsid w:val="00734546"/>
  </w:style>
  <w:style w:type="paragraph" w:customStyle="1" w:styleId="CabStandard">
    <w:name w:val="CabStandard"/>
    <w:basedOn w:val="Normal"/>
    <w:link w:val="CabStandardChar"/>
    <w:qFormat/>
    <w:rsid w:val="00D61404"/>
    <w:pPr>
      <w:numPr>
        <w:numId w:val="8"/>
      </w:numPr>
      <w:spacing w:after="240" w:line="240" w:lineRule="auto"/>
    </w:pPr>
    <w:rPr>
      <w:sz w:val="24"/>
      <w:lang w:eastAsia="ja-JP"/>
    </w:rPr>
  </w:style>
  <w:style w:type="character" w:customStyle="1" w:styleId="CabStandardChar">
    <w:name w:val="CabStandard Char"/>
    <w:basedOn w:val="DefaultParagraphFont"/>
    <w:link w:val="CabStandard"/>
    <w:rsid w:val="00D61404"/>
    <w:rPr>
      <w:rFonts w:ascii="Arial" w:eastAsia="Times New Roman" w:hAnsi="Arial"/>
      <w:sz w:val="24"/>
      <w:lang w:val="en-GB" w:eastAsia="ja-JP"/>
    </w:rPr>
  </w:style>
  <w:style w:type="paragraph" w:customStyle="1" w:styleId="Number">
    <w:name w:val="Number"/>
    <w:basedOn w:val="Normal"/>
    <w:qFormat/>
    <w:rsid w:val="00D61404"/>
    <w:pPr>
      <w:numPr>
        <w:numId w:val="10"/>
      </w:numPr>
      <w:spacing w:before="210" w:after="0" w:line="240" w:lineRule="auto"/>
    </w:pPr>
    <w:rPr>
      <w:rFonts w:ascii="Segoe UI" w:hAnsi="Segoe UI"/>
      <w:sz w:val="21"/>
      <w:szCs w:val="24"/>
      <w:lang w:val="en-NZ"/>
    </w:rPr>
  </w:style>
  <w:style w:type="paragraph" w:customStyle="1" w:styleId="Letter">
    <w:name w:val="Letter"/>
    <w:basedOn w:val="Normal"/>
    <w:qFormat/>
    <w:rsid w:val="00D61404"/>
    <w:pPr>
      <w:numPr>
        <w:ilvl w:val="1"/>
        <w:numId w:val="10"/>
      </w:numPr>
      <w:spacing w:before="120" w:after="0" w:line="240" w:lineRule="auto"/>
    </w:pPr>
    <w:rPr>
      <w:rFonts w:ascii="Segoe UI" w:hAnsi="Segoe UI"/>
      <w:sz w:val="21"/>
      <w:lang w:val="en-NZ"/>
    </w:rPr>
  </w:style>
  <w:style w:type="paragraph" w:customStyle="1" w:styleId="Roman">
    <w:name w:val="Roman"/>
    <w:basedOn w:val="Normal"/>
    <w:qFormat/>
    <w:rsid w:val="00D61404"/>
    <w:pPr>
      <w:numPr>
        <w:ilvl w:val="2"/>
        <w:numId w:val="10"/>
      </w:numPr>
      <w:spacing w:before="90" w:after="0" w:line="240" w:lineRule="auto"/>
    </w:pPr>
    <w:rPr>
      <w:rFonts w:ascii="Segoe UI" w:eastAsia="Arial Unicode MS" w:hAnsi="Segoe UI"/>
      <w:sz w:val="21"/>
      <w:lang w:val="en-NZ"/>
    </w:rPr>
  </w:style>
  <w:style w:type="character" w:styleId="Strong">
    <w:name w:val="Strong"/>
    <w:basedOn w:val="DefaultParagraphFont"/>
    <w:uiPriority w:val="22"/>
    <w:qFormat/>
    <w:rsid w:val="00C94650"/>
    <w:rPr>
      <w:b/>
      <w:bCs/>
    </w:rPr>
  </w:style>
  <w:style w:type="character" w:customStyle="1" w:styleId="superscript">
    <w:name w:val="superscript"/>
    <w:basedOn w:val="DefaultParagraphFont"/>
    <w:rsid w:val="00091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294">
      <w:bodyDiv w:val="1"/>
      <w:marLeft w:val="0"/>
      <w:marRight w:val="0"/>
      <w:marTop w:val="0"/>
      <w:marBottom w:val="0"/>
      <w:divBdr>
        <w:top w:val="none" w:sz="0" w:space="0" w:color="auto"/>
        <w:left w:val="none" w:sz="0" w:space="0" w:color="auto"/>
        <w:bottom w:val="none" w:sz="0" w:space="0" w:color="auto"/>
        <w:right w:val="none" w:sz="0" w:space="0" w:color="auto"/>
      </w:divBdr>
      <w:divsChild>
        <w:div w:id="16153968">
          <w:marLeft w:val="0"/>
          <w:marRight w:val="0"/>
          <w:marTop w:val="0"/>
          <w:marBottom w:val="0"/>
          <w:divBdr>
            <w:top w:val="none" w:sz="0" w:space="0" w:color="auto"/>
            <w:left w:val="none" w:sz="0" w:space="0" w:color="auto"/>
            <w:bottom w:val="none" w:sz="0" w:space="0" w:color="auto"/>
            <w:right w:val="none" w:sz="0" w:space="0" w:color="auto"/>
          </w:divBdr>
          <w:divsChild>
            <w:div w:id="1318071795">
              <w:marLeft w:val="0"/>
              <w:marRight w:val="0"/>
              <w:marTop w:val="0"/>
              <w:marBottom w:val="0"/>
              <w:divBdr>
                <w:top w:val="none" w:sz="0" w:space="0" w:color="auto"/>
                <w:left w:val="none" w:sz="0" w:space="0" w:color="auto"/>
                <w:bottom w:val="none" w:sz="0" w:space="0" w:color="auto"/>
                <w:right w:val="none" w:sz="0" w:space="0" w:color="auto"/>
              </w:divBdr>
            </w:div>
            <w:div w:id="1369067405">
              <w:marLeft w:val="0"/>
              <w:marRight w:val="0"/>
              <w:marTop w:val="0"/>
              <w:marBottom w:val="0"/>
              <w:divBdr>
                <w:top w:val="none" w:sz="0" w:space="0" w:color="auto"/>
                <w:left w:val="none" w:sz="0" w:space="0" w:color="auto"/>
                <w:bottom w:val="none" w:sz="0" w:space="0" w:color="auto"/>
                <w:right w:val="none" w:sz="0" w:space="0" w:color="auto"/>
              </w:divBdr>
            </w:div>
          </w:divsChild>
        </w:div>
        <w:div w:id="84963492">
          <w:marLeft w:val="0"/>
          <w:marRight w:val="0"/>
          <w:marTop w:val="0"/>
          <w:marBottom w:val="0"/>
          <w:divBdr>
            <w:top w:val="none" w:sz="0" w:space="0" w:color="auto"/>
            <w:left w:val="none" w:sz="0" w:space="0" w:color="auto"/>
            <w:bottom w:val="none" w:sz="0" w:space="0" w:color="auto"/>
            <w:right w:val="none" w:sz="0" w:space="0" w:color="auto"/>
          </w:divBdr>
          <w:divsChild>
            <w:div w:id="345523809">
              <w:marLeft w:val="0"/>
              <w:marRight w:val="0"/>
              <w:marTop w:val="0"/>
              <w:marBottom w:val="0"/>
              <w:divBdr>
                <w:top w:val="none" w:sz="0" w:space="0" w:color="auto"/>
                <w:left w:val="none" w:sz="0" w:space="0" w:color="auto"/>
                <w:bottom w:val="none" w:sz="0" w:space="0" w:color="auto"/>
                <w:right w:val="none" w:sz="0" w:space="0" w:color="auto"/>
              </w:divBdr>
            </w:div>
            <w:div w:id="567881561">
              <w:marLeft w:val="0"/>
              <w:marRight w:val="0"/>
              <w:marTop w:val="0"/>
              <w:marBottom w:val="0"/>
              <w:divBdr>
                <w:top w:val="none" w:sz="0" w:space="0" w:color="auto"/>
                <w:left w:val="none" w:sz="0" w:space="0" w:color="auto"/>
                <w:bottom w:val="none" w:sz="0" w:space="0" w:color="auto"/>
                <w:right w:val="none" w:sz="0" w:space="0" w:color="auto"/>
              </w:divBdr>
            </w:div>
          </w:divsChild>
        </w:div>
        <w:div w:id="150996462">
          <w:marLeft w:val="0"/>
          <w:marRight w:val="0"/>
          <w:marTop w:val="0"/>
          <w:marBottom w:val="0"/>
          <w:divBdr>
            <w:top w:val="none" w:sz="0" w:space="0" w:color="auto"/>
            <w:left w:val="none" w:sz="0" w:space="0" w:color="auto"/>
            <w:bottom w:val="none" w:sz="0" w:space="0" w:color="auto"/>
            <w:right w:val="none" w:sz="0" w:space="0" w:color="auto"/>
          </w:divBdr>
          <w:divsChild>
            <w:div w:id="205796799">
              <w:marLeft w:val="0"/>
              <w:marRight w:val="0"/>
              <w:marTop w:val="0"/>
              <w:marBottom w:val="0"/>
              <w:divBdr>
                <w:top w:val="none" w:sz="0" w:space="0" w:color="auto"/>
                <w:left w:val="none" w:sz="0" w:space="0" w:color="auto"/>
                <w:bottom w:val="none" w:sz="0" w:space="0" w:color="auto"/>
                <w:right w:val="none" w:sz="0" w:space="0" w:color="auto"/>
              </w:divBdr>
            </w:div>
          </w:divsChild>
        </w:div>
        <w:div w:id="232393583">
          <w:marLeft w:val="0"/>
          <w:marRight w:val="0"/>
          <w:marTop w:val="0"/>
          <w:marBottom w:val="0"/>
          <w:divBdr>
            <w:top w:val="none" w:sz="0" w:space="0" w:color="auto"/>
            <w:left w:val="none" w:sz="0" w:space="0" w:color="auto"/>
            <w:bottom w:val="none" w:sz="0" w:space="0" w:color="auto"/>
            <w:right w:val="none" w:sz="0" w:space="0" w:color="auto"/>
          </w:divBdr>
          <w:divsChild>
            <w:div w:id="12850860">
              <w:marLeft w:val="0"/>
              <w:marRight w:val="0"/>
              <w:marTop w:val="0"/>
              <w:marBottom w:val="0"/>
              <w:divBdr>
                <w:top w:val="none" w:sz="0" w:space="0" w:color="auto"/>
                <w:left w:val="none" w:sz="0" w:space="0" w:color="auto"/>
                <w:bottom w:val="none" w:sz="0" w:space="0" w:color="auto"/>
                <w:right w:val="none" w:sz="0" w:space="0" w:color="auto"/>
              </w:divBdr>
            </w:div>
            <w:div w:id="1422681379">
              <w:marLeft w:val="0"/>
              <w:marRight w:val="0"/>
              <w:marTop w:val="0"/>
              <w:marBottom w:val="0"/>
              <w:divBdr>
                <w:top w:val="none" w:sz="0" w:space="0" w:color="auto"/>
                <w:left w:val="none" w:sz="0" w:space="0" w:color="auto"/>
                <w:bottom w:val="none" w:sz="0" w:space="0" w:color="auto"/>
                <w:right w:val="none" w:sz="0" w:space="0" w:color="auto"/>
              </w:divBdr>
            </w:div>
          </w:divsChild>
        </w:div>
        <w:div w:id="362831029">
          <w:marLeft w:val="0"/>
          <w:marRight w:val="0"/>
          <w:marTop w:val="0"/>
          <w:marBottom w:val="0"/>
          <w:divBdr>
            <w:top w:val="none" w:sz="0" w:space="0" w:color="auto"/>
            <w:left w:val="none" w:sz="0" w:space="0" w:color="auto"/>
            <w:bottom w:val="none" w:sz="0" w:space="0" w:color="auto"/>
            <w:right w:val="none" w:sz="0" w:space="0" w:color="auto"/>
          </w:divBdr>
          <w:divsChild>
            <w:div w:id="950629248">
              <w:marLeft w:val="0"/>
              <w:marRight w:val="0"/>
              <w:marTop w:val="0"/>
              <w:marBottom w:val="0"/>
              <w:divBdr>
                <w:top w:val="none" w:sz="0" w:space="0" w:color="auto"/>
                <w:left w:val="none" w:sz="0" w:space="0" w:color="auto"/>
                <w:bottom w:val="none" w:sz="0" w:space="0" w:color="auto"/>
                <w:right w:val="none" w:sz="0" w:space="0" w:color="auto"/>
              </w:divBdr>
            </w:div>
          </w:divsChild>
        </w:div>
        <w:div w:id="411779944">
          <w:marLeft w:val="0"/>
          <w:marRight w:val="0"/>
          <w:marTop w:val="0"/>
          <w:marBottom w:val="0"/>
          <w:divBdr>
            <w:top w:val="none" w:sz="0" w:space="0" w:color="auto"/>
            <w:left w:val="none" w:sz="0" w:space="0" w:color="auto"/>
            <w:bottom w:val="none" w:sz="0" w:space="0" w:color="auto"/>
            <w:right w:val="none" w:sz="0" w:space="0" w:color="auto"/>
          </w:divBdr>
          <w:divsChild>
            <w:div w:id="257258071">
              <w:marLeft w:val="0"/>
              <w:marRight w:val="0"/>
              <w:marTop w:val="0"/>
              <w:marBottom w:val="0"/>
              <w:divBdr>
                <w:top w:val="none" w:sz="0" w:space="0" w:color="auto"/>
                <w:left w:val="none" w:sz="0" w:space="0" w:color="auto"/>
                <w:bottom w:val="none" w:sz="0" w:space="0" w:color="auto"/>
                <w:right w:val="none" w:sz="0" w:space="0" w:color="auto"/>
              </w:divBdr>
            </w:div>
          </w:divsChild>
        </w:div>
        <w:div w:id="426124850">
          <w:marLeft w:val="0"/>
          <w:marRight w:val="0"/>
          <w:marTop w:val="0"/>
          <w:marBottom w:val="0"/>
          <w:divBdr>
            <w:top w:val="none" w:sz="0" w:space="0" w:color="auto"/>
            <w:left w:val="none" w:sz="0" w:space="0" w:color="auto"/>
            <w:bottom w:val="none" w:sz="0" w:space="0" w:color="auto"/>
            <w:right w:val="none" w:sz="0" w:space="0" w:color="auto"/>
          </w:divBdr>
          <w:divsChild>
            <w:div w:id="111024399">
              <w:marLeft w:val="0"/>
              <w:marRight w:val="0"/>
              <w:marTop w:val="0"/>
              <w:marBottom w:val="0"/>
              <w:divBdr>
                <w:top w:val="none" w:sz="0" w:space="0" w:color="auto"/>
                <w:left w:val="none" w:sz="0" w:space="0" w:color="auto"/>
                <w:bottom w:val="none" w:sz="0" w:space="0" w:color="auto"/>
                <w:right w:val="none" w:sz="0" w:space="0" w:color="auto"/>
              </w:divBdr>
            </w:div>
            <w:div w:id="1425954646">
              <w:marLeft w:val="0"/>
              <w:marRight w:val="0"/>
              <w:marTop w:val="0"/>
              <w:marBottom w:val="0"/>
              <w:divBdr>
                <w:top w:val="none" w:sz="0" w:space="0" w:color="auto"/>
                <w:left w:val="none" w:sz="0" w:space="0" w:color="auto"/>
                <w:bottom w:val="none" w:sz="0" w:space="0" w:color="auto"/>
                <w:right w:val="none" w:sz="0" w:space="0" w:color="auto"/>
              </w:divBdr>
            </w:div>
          </w:divsChild>
        </w:div>
        <w:div w:id="496917978">
          <w:marLeft w:val="0"/>
          <w:marRight w:val="0"/>
          <w:marTop w:val="0"/>
          <w:marBottom w:val="0"/>
          <w:divBdr>
            <w:top w:val="none" w:sz="0" w:space="0" w:color="auto"/>
            <w:left w:val="none" w:sz="0" w:space="0" w:color="auto"/>
            <w:bottom w:val="none" w:sz="0" w:space="0" w:color="auto"/>
            <w:right w:val="none" w:sz="0" w:space="0" w:color="auto"/>
          </w:divBdr>
          <w:divsChild>
            <w:div w:id="331875893">
              <w:marLeft w:val="0"/>
              <w:marRight w:val="0"/>
              <w:marTop w:val="0"/>
              <w:marBottom w:val="0"/>
              <w:divBdr>
                <w:top w:val="none" w:sz="0" w:space="0" w:color="auto"/>
                <w:left w:val="none" w:sz="0" w:space="0" w:color="auto"/>
                <w:bottom w:val="none" w:sz="0" w:space="0" w:color="auto"/>
                <w:right w:val="none" w:sz="0" w:space="0" w:color="auto"/>
              </w:divBdr>
            </w:div>
            <w:div w:id="929118566">
              <w:marLeft w:val="0"/>
              <w:marRight w:val="0"/>
              <w:marTop w:val="0"/>
              <w:marBottom w:val="0"/>
              <w:divBdr>
                <w:top w:val="none" w:sz="0" w:space="0" w:color="auto"/>
                <w:left w:val="none" w:sz="0" w:space="0" w:color="auto"/>
                <w:bottom w:val="none" w:sz="0" w:space="0" w:color="auto"/>
                <w:right w:val="none" w:sz="0" w:space="0" w:color="auto"/>
              </w:divBdr>
            </w:div>
          </w:divsChild>
        </w:div>
        <w:div w:id="896667526">
          <w:marLeft w:val="0"/>
          <w:marRight w:val="0"/>
          <w:marTop w:val="0"/>
          <w:marBottom w:val="0"/>
          <w:divBdr>
            <w:top w:val="none" w:sz="0" w:space="0" w:color="auto"/>
            <w:left w:val="none" w:sz="0" w:space="0" w:color="auto"/>
            <w:bottom w:val="none" w:sz="0" w:space="0" w:color="auto"/>
            <w:right w:val="none" w:sz="0" w:space="0" w:color="auto"/>
          </w:divBdr>
          <w:divsChild>
            <w:div w:id="930433971">
              <w:marLeft w:val="0"/>
              <w:marRight w:val="0"/>
              <w:marTop w:val="0"/>
              <w:marBottom w:val="0"/>
              <w:divBdr>
                <w:top w:val="none" w:sz="0" w:space="0" w:color="auto"/>
                <w:left w:val="none" w:sz="0" w:space="0" w:color="auto"/>
                <w:bottom w:val="none" w:sz="0" w:space="0" w:color="auto"/>
                <w:right w:val="none" w:sz="0" w:space="0" w:color="auto"/>
              </w:divBdr>
            </w:div>
          </w:divsChild>
        </w:div>
        <w:div w:id="1017077009">
          <w:marLeft w:val="0"/>
          <w:marRight w:val="0"/>
          <w:marTop w:val="0"/>
          <w:marBottom w:val="0"/>
          <w:divBdr>
            <w:top w:val="none" w:sz="0" w:space="0" w:color="auto"/>
            <w:left w:val="none" w:sz="0" w:space="0" w:color="auto"/>
            <w:bottom w:val="none" w:sz="0" w:space="0" w:color="auto"/>
            <w:right w:val="none" w:sz="0" w:space="0" w:color="auto"/>
          </w:divBdr>
          <w:divsChild>
            <w:div w:id="803735042">
              <w:marLeft w:val="0"/>
              <w:marRight w:val="0"/>
              <w:marTop w:val="0"/>
              <w:marBottom w:val="0"/>
              <w:divBdr>
                <w:top w:val="none" w:sz="0" w:space="0" w:color="auto"/>
                <w:left w:val="none" w:sz="0" w:space="0" w:color="auto"/>
                <w:bottom w:val="none" w:sz="0" w:space="0" w:color="auto"/>
                <w:right w:val="none" w:sz="0" w:space="0" w:color="auto"/>
              </w:divBdr>
            </w:div>
            <w:div w:id="2130663402">
              <w:marLeft w:val="0"/>
              <w:marRight w:val="0"/>
              <w:marTop w:val="0"/>
              <w:marBottom w:val="0"/>
              <w:divBdr>
                <w:top w:val="none" w:sz="0" w:space="0" w:color="auto"/>
                <w:left w:val="none" w:sz="0" w:space="0" w:color="auto"/>
                <w:bottom w:val="none" w:sz="0" w:space="0" w:color="auto"/>
                <w:right w:val="none" w:sz="0" w:space="0" w:color="auto"/>
              </w:divBdr>
            </w:div>
          </w:divsChild>
        </w:div>
        <w:div w:id="1109393455">
          <w:marLeft w:val="0"/>
          <w:marRight w:val="0"/>
          <w:marTop w:val="0"/>
          <w:marBottom w:val="0"/>
          <w:divBdr>
            <w:top w:val="none" w:sz="0" w:space="0" w:color="auto"/>
            <w:left w:val="none" w:sz="0" w:space="0" w:color="auto"/>
            <w:bottom w:val="none" w:sz="0" w:space="0" w:color="auto"/>
            <w:right w:val="none" w:sz="0" w:space="0" w:color="auto"/>
          </w:divBdr>
          <w:divsChild>
            <w:div w:id="54083947">
              <w:marLeft w:val="0"/>
              <w:marRight w:val="0"/>
              <w:marTop w:val="0"/>
              <w:marBottom w:val="0"/>
              <w:divBdr>
                <w:top w:val="none" w:sz="0" w:space="0" w:color="auto"/>
                <w:left w:val="none" w:sz="0" w:space="0" w:color="auto"/>
                <w:bottom w:val="none" w:sz="0" w:space="0" w:color="auto"/>
                <w:right w:val="none" w:sz="0" w:space="0" w:color="auto"/>
              </w:divBdr>
            </w:div>
          </w:divsChild>
        </w:div>
        <w:div w:id="1125663338">
          <w:marLeft w:val="0"/>
          <w:marRight w:val="0"/>
          <w:marTop w:val="0"/>
          <w:marBottom w:val="0"/>
          <w:divBdr>
            <w:top w:val="none" w:sz="0" w:space="0" w:color="auto"/>
            <w:left w:val="none" w:sz="0" w:space="0" w:color="auto"/>
            <w:bottom w:val="none" w:sz="0" w:space="0" w:color="auto"/>
            <w:right w:val="none" w:sz="0" w:space="0" w:color="auto"/>
          </w:divBdr>
          <w:divsChild>
            <w:div w:id="1057389131">
              <w:marLeft w:val="0"/>
              <w:marRight w:val="0"/>
              <w:marTop w:val="0"/>
              <w:marBottom w:val="0"/>
              <w:divBdr>
                <w:top w:val="none" w:sz="0" w:space="0" w:color="auto"/>
                <w:left w:val="none" w:sz="0" w:space="0" w:color="auto"/>
                <w:bottom w:val="none" w:sz="0" w:space="0" w:color="auto"/>
                <w:right w:val="none" w:sz="0" w:space="0" w:color="auto"/>
              </w:divBdr>
            </w:div>
          </w:divsChild>
        </w:div>
        <w:div w:id="1232735163">
          <w:marLeft w:val="0"/>
          <w:marRight w:val="0"/>
          <w:marTop w:val="0"/>
          <w:marBottom w:val="0"/>
          <w:divBdr>
            <w:top w:val="none" w:sz="0" w:space="0" w:color="auto"/>
            <w:left w:val="none" w:sz="0" w:space="0" w:color="auto"/>
            <w:bottom w:val="none" w:sz="0" w:space="0" w:color="auto"/>
            <w:right w:val="none" w:sz="0" w:space="0" w:color="auto"/>
          </w:divBdr>
          <w:divsChild>
            <w:div w:id="335350690">
              <w:marLeft w:val="0"/>
              <w:marRight w:val="0"/>
              <w:marTop w:val="0"/>
              <w:marBottom w:val="0"/>
              <w:divBdr>
                <w:top w:val="none" w:sz="0" w:space="0" w:color="auto"/>
                <w:left w:val="none" w:sz="0" w:space="0" w:color="auto"/>
                <w:bottom w:val="none" w:sz="0" w:space="0" w:color="auto"/>
                <w:right w:val="none" w:sz="0" w:space="0" w:color="auto"/>
              </w:divBdr>
            </w:div>
          </w:divsChild>
        </w:div>
        <w:div w:id="1596206371">
          <w:marLeft w:val="0"/>
          <w:marRight w:val="0"/>
          <w:marTop w:val="0"/>
          <w:marBottom w:val="0"/>
          <w:divBdr>
            <w:top w:val="none" w:sz="0" w:space="0" w:color="auto"/>
            <w:left w:val="none" w:sz="0" w:space="0" w:color="auto"/>
            <w:bottom w:val="none" w:sz="0" w:space="0" w:color="auto"/>
            <w:right w:val="none" w:sz="0" w:space="0" w:color="auto"/>
          </w:divBdr>
          <w:divsChild>
            <w:div w:id="894244851">
              <w:marLeft w:val="0"/>
              <w:marRight w:val="0"/>
              <w:marTop w:val="0"/>
              <w:marBottom w:val="0"/>
              <w:divBdr>
                <w:top w:val="none" w:sz="0" w:space="0" w:color="auto"/>
                <w:left w:val="none" w:sz="0" w:space="0" w:color="auto"/>
                <w:bottom w:val="none" w:sz="0" w:space="0" w:color="auto"/>
                <w:right w:val="none" w:sz="0" w:space="0" w:color="auto"/>
              </w:divBdr>
            </w:div>
          </w:divsChild>
        </w:div>
        <w:div w:id="1651522288">
          <w:marLeft w:val="0"/>
          <w:marRight w:val="0"/>
          <w:marTop w:val="0"/>
          <w:marBottom w:val="0"/>
          <w:divBdr>
            <w:top w:val="none" w:sz="0" w:space="0" w:color="auto"/>
            <w:left w:val="none" w:sz="0" w:space="0" w:color="auto"/>
            <w:bottom w:val="none" w:sz="0" w:space="0" w:color="auto"/>
            <w:right w:val="none" w:sz="0" w:space="0" w:color="auto"/>
          </w:divBdr>
          <w:divsChild>
            <w:div w:id="1928612034">
              <w:marLeft w:val="0"/>
              <w:marRight w:val="0"/>
              <w:marTop w:val="0"/>
              <w:marBottom w:val="0"/>
              <w:divBdr>
                <w:top w:val="none" w:sz="0" w:space="0" w:color="auto"/>
                <w:left w:val="none" w:sz="0" w:space="0" w:color="auto"/>
                <w:bottom w:val="none" w:sz="0" w:space="0" w:color="auto"/>
                <w:right w:val="none" w:sz="0" w:space="0" w:color="auto"/>
              </w:divBdr>
            </w:div>
          </w:divsChild>
        </w:div>
        <w:div w:id="1660428722">
          <w:marLeft w:val="0"/>
          <w:marRight w:val="0"/>
          <w:marTop w:val="0"/>
          <w:marBottom w:val="0"/>
          <w:divBdr>
            <w:top w:val="none" w:sz="0" w:space="0" w:color="auto"/>
            <w:left w:val="none" w:sz="0" w:space="0" w:color="auto"/>
            <w:bottom w:val="none" w:sz="0" w:space="0" w:color="auto"/>
            <w:right w:val="none" w:sz="0" w:space="0" w:color="auto"/>
          </w:divBdr>
          <w:divsChild>
            <w:div w:id="737483410">
              <w:marLeft w:val="0"/>
              <w:marRight w:val="0"/>
              <w:marTop w:val="0"/>
              <w:marBottom w:val="0"/>
              <w:divBdr>
                <w:top w:val="none" w:sz="0" w:space="0" w:color="auto"/>
                <w:left w:val="none" w:sz="0" w:space="0" w:color="auto"/>
                <w:bottom w:val="none" w:sz="0" w:space="0" w:color="auto"/>
                <w:right w:val="none" w:sz="0" w:space="0" w:color="auto"/>
              </w:divBdr>
            </w:div>
          </w:divsChild>
        </w:div>
        <w:div w:id="1693920247">
          <w:marLeft w:val="0"/>
          <w:marRight w:val="0"/>
          <w:marTop w:val="0"/>
          <w:marBottom w:val="0"/>
          <w:divBdr>
            <w:top w:val="none" w:sz="0" w:space="0" w:color="auto"/>
            <w:left w:val="none" w:sz="0" w:space="0" w:color="auto"/>
            <w:bottom w:val="none" w:sz="0" w:space="0" w:color="auto"/>
            <w:right w:val="none" w:sz="0" w:space="0" w:color="auto"/>
          </w:divBdr>
          <w:divsChild>
            <w:div w:id="2124768813">
              <w:marLeft w:val="0"/>
              <w:marRight w:val="0"/>
              <w:marTop w:val="0"/>
              <w:marBottom w:val="0"/>
              <w:divBdr>
                <w:top w:val="none" w:sz="0" w:space="0" w:color="auto"/>
                <w:left w:val="none" w:sz="0" w:space="0" w:color="auto"/>
                <w:bottom w:val="none" w:sz="0" w:space="0" w:color="auto"/>
                <w:right w:val="none" w:sz="0" w:space="0" w:color="auto"/>
              </w:divBdr>
            </w:div>
          </w:divsChild>
        </w:div>
        <w:div w:id="1760327833">
          <w:marLeft w:val="0"/>
          <w:marRight w:val="0"/>
          <w:marTop w:val="0"/>
          <w:marBottom w:val="0"/>
          <w:divBdr>
            <w:top w:val="none" w:sz="0" w:space="0" w:color="auto"/>
            <w:left w:val="none" w:sz="0" w:space="0" w:color="auto"/>
            <w:bottom w:val="none" w:sz="0" w:space="0" w:color="auto"/>
            <w:right w:val="none" w:sz="0" w:space="0" w:color="auto"/>
          </w:divBdr>
          <w:divsChild>
            <w:div w:id="1741247670">
              <w:marLeft w:val="0"/>
              <w:marRight w:val="0"/>
              <w:marTop w:val="0"/>
              <w:marBottom w:val="0"/>
              <w:divBdr>
                <w:top w:val="none" w:sz="0" w:space="0" w:color="auto"/>
                <w:left w:val="none" w:sz="0" w:space="0" w:color="auto"/>
                <w:bottom w:val="none" w:sz="0" w:space="0" w:color="auto"/>
                <w:right w:val="none" w:sz="0" w:space="0" w:color="auto"/>
              </w:divBdr>
            </w:div>
          </w:divsChild>
        </w:div>
        <w:div w:id="1860387996">
          <w:marLeft w:val="0"/>
          <w:marRight w:val="0"/>
          <w:marTop w:val="0"/>
          <w:marBottom w:val="0"/>
          <w:divBdr>
            <w:top w:val="none" w:sz="0" w:space="0" w:color="auto"/>
            <w:left w:val="none" w:sz="0" w:space="0" w:color="auto"/>
            <w:bottom w:val="none" w:sz="0" w:space="0" w:color="auto"/>
            <w:right w:val="none" w:sz="0" w:space="0" w:color="auto"/>
          </w:divBdr>
          <w:divsChild>
            <w:div w:id="1579973310">
              <w:marLeft w:val="0"/>
              <w:marRight w:val="0"/>
              <w:marTop w:val="0"/>
              <w:marBottom w:val="0"/>
              <w:divBdr>
                <w:top w:val="none" w:sz="0" w:space="0" w:color="auto"/>
                <w:left w:val="none" w:sz="0" w:space="0" w:color="auto"/>
                <w:bottom w:val="none" w:sz="0" w:space="0" w:color="auto"/>
                <w:right w:val="none" w:sz="0" w:space="0" w:color="auto"/>
              </w:divBdr>
            </w:div>
          </w:divsChild>
        </w:div>
        <w:div w:id="1961571090">
          <w:marLeft w:val="0"/>
          <w:marRight w:val="0"/>
          <w:marTop w:val="0"/>
          <w:marBottom w:val="0"/>
          <w:divBdr>
            <w:top w:val="none" w:sz="0" w:space="0" w:color="auto"/>
            <w:left w:val="none" w:sz="0" w:space="0" w:color="auto"/>
            <w:bottom w:val="none" w:sz="0" w:space="0" w:color="auto"/>
            <w:right w:val="none" w:sz="0" w:space="0" w:color="auto"/>
          </w:divBdr>
          <w:divsChild>
            <w:div w:id="10927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0894">
      <w:bodyDiv w:val="1"/>
      <w:marLeft w:val="0"/>
      <w:marRight w:val="0"/>
      <w:marTop w:val="0"/>
      <w:marBottom w:val="0"/>
      <w:divBdr>
        <w:top w:val="none" w:sz="0" w:space="0" w:color="auto"/>
        <w:left w:val="none" w:sz="0" w:space="0" w:color="auto"/>
        <w:bottom w:val="none" w:sz="0" w:space="0" w:color="auto"/>
        <w:right w:val="none" w:sz="0" w:space="0" w:color="auto"/>
      </w:divBdr>
      <w:divsChild>
        <w:div w:id="980034020">
          <w:marLeft w:val="0"/>
          <w:marRight w:val="0"/>
          <w:marTop w:val="0"/>
          <w:marBottom w:val="0"/>
          <w:divBdr>
            <w:top w:val="none" w:sz="0" w:space="0" w:color="auto"/>
            <w:left w:val="none" w:sz="0" w:space="0" w:color="auto"/>
            <w:bottom w:val="none" w:sz="0" w:space="0" w:color="auto"/>
            <w:right w:val="none" w:sz="0" w:space="0" w:color="auto"/>
          </w:divBdr>
        </w:div>
        <w:div w:id="1677535708">
          <w:marLeft w:val="0"/>
          <w:marRight w:val="0"/>
          <w:marTop w:val="0"/>
          <w:marBottom w:val="0"/>
          <w:divBdr>
            <w:top w:val="none" w:sz="0" w:space="0" w:color="auto"/>
            <w:left w:val="none" w:sz="0" w:space="0" w:color="auto"/>
            <w:bottom w:val="none" w:sz="0" w:space="0" w:color="auto"/>
            <w:right w:val="none" w:sz="0" w:space="0" w:color="auto"/>
          </w:divBdr>
          <w:divsChild>
            <w:div w:id="731390537">
              <w:marLeft w:val="0"/>
              <w:marRight w:val="0"/>
              <w:marTop w:val="30"/>
              <w:marBottom w:val="30"/>
              <w:divBdr>
                <w:top w:val="none" w:sz="0" w:space="0" w:color="auto"/>
                <w:left w:val="none" w:sz="0" w:space="0" w:color="auto"/>
                <w:bottom w:val="none" w:sz="0" w:space="0" w:color="auto"/>
                <w:right w:val="none" w:sz="0" w:space="0" w:color="auto"/>
              </w:divBdr>
              <w:divsChild>
                <w:div w:id="8215569">
                  <w:marLeft w:val="0"/>
                  <w:marRight w:val="0"/>
                  <w:marTop w:val="0"/>
                  <w:marBottom w:val="0"/>
                  <w:divBdr>
                    <w:top w:val="none" w:sz="0" w:space="0" w:color="auto"/>
                    <w:left w:val="none" w:sz="0" w:space="0" w:color="auto"/>
                    <w:bottom w:val="none" w:sz="0" w:space="0" w:color="auto"/>
                    <w:right w:val="none" w:sz="0" w:space="0" w:color="auto"/>
                  </w:divBdr>
                  <w:divsChild>
                    <w:div w:id="306781997">
                      <w:marLeft w:val="0"/>
                      <w:marRight w:val="0"/>
                      <w:marTop w:val="0"/>
                      <w:marBottom w:val="0"/>
                      <w:divBdr>
                        <w:top w:val="none" w:sz="0" w:space="0" w:color="auto"/>
                        <w:left w:val="none" w:sz="0" w:space="0" w:color="auto"/>
                        <w:bottom w:val="none" w:sz="0" w:space="0" w:color="auto"/>
                        <w:right w:val="none" w:sz="0" w:space="0" w:color="auto"/>
                      </w:divBdr>
                    </w:div>
                  </w:divsChild>
                </w:div>
                <w:div w:id="45882794">
                  <w:marLeft w:val="0"/>
                  <w:marRight w:val="0"/>
                  <w:marTop w:val="0"/>
                  <w:marBottom w:val="0"/>
                  <w:divBdr>
                    <w:top w:val="none" w:sz="0" w:space="0" w:color="auto"/>
                    <w:left w:val="none" w:sz="0" w:space="0" w:color="auto"/>
                    <w:bottom w:val="none" w:sz="0" w:space="0" w:color="auto"/>
                    <w:right w:val="none" w:sz="0" w:space="0" w:color="auto"/>
                  </w:divBdr>
                  <w:divsChild>
                    <w:div w:id="1487405106">
                      <w:marLeft w:val="0"/>
                      <w:marRight w:val="0"/>
                      <w:marTop w:val="0"/>
                      <w:marBottom w:val="0"/>
                      <w:divBdr>
                        <w:top w:val="none" w:sz="0" w:space="0" w:color="auto"/>
                        <w:left w:val="none" w:sz="0" w:space="0" w:color="auto"/>
                        <w:bottom w:val="none" w:sz="0" w:space="0" w:color="auto"/>
                        <w:right w:val="none" w:sz="0" w:space="0" w:color="auto"/>
                      </w:divBdr>
                    </w:div>
                  </w:divsChild>
                </w:div>
                <w:div w:id="89930726">
                  <w:marLeft w:val="0"/>
                  <w:marRight w:val="0"/>
                  <w:marTop w:val="0"/>
                  <w:marBottom w:val="0"/>
                  <w:divBdr>
                    <w:top w:val="none" w:sz="0" w:space="0" w:color="auto"/>
                    <w:left w:val="none" w:sz="0" w:space="0" w:color="auto"/>
                    <w:bottom w:val="none" w:sz="0" w:space="0" w:color="auto"/>
                    <w:right w:val="none" w:sz="0" w:space="0" w:color="auto"/>
                  </w:divBdr>
                  <w:divsChild>
                    <w:div w:id="244612775">
                      <w:marLeft w:val="0"/>
                      <w:marRight w:val="0"/>
                      <w:marTop w:val="0"/>
                      <w:marBottom w:val="0"/>
                      <w:divBdr>
                        <w:top w:val="none" w:sz="0" w:space="0" w:color="auto"/>
                        <w:left w:val="none" w:sz="0" w:space="0" w:color="auto"/>
                        <w:bottom w:val="none" w:sz="0" w:space="0" w:color="auto"/>
                        <w:right w:val="none" w:sz="0" w:space="0" w:color="auto"/>
                      </w:divBdr>
                    </w:div>
                  </w:divsChild>
                </w:div>
                <w:div w:id="115416324">
                  <w:marLeft w:val="0"/>
                  <w:marRight w:val="0"/>
                  <w:marTop w:val="0"/>
                  <w:marBottom w:val="0"/>
                  <w:divBdr>
                    <w:top w:val="none" w:sz="0" w:space="0" w:color="auto"/>
                    <w:left w:val="none" w:sz="0" w:space="0" w:color="auto"/>
                    <w:bottom w:val="none" w:sz="0" w:space="0" w:color="auto"/>
                    <w:right w:val="none" w:sz="0" w:space="0" w:color="auto"/>
                  </w:divBdr>
                  <w:divsChild>
                    <w:div w:id="186410706">
                      <w:marLeft w:val="0"/>
                      <w:marRight w:val="0"/>
                      <w:marTop w:val="0"/>
                      <w:marBottom w:val="0"/>
                      <w:divBdr>
                        <w:top w:val="none" w:sz="0" w:space="0" w:color="auto"/>
                        <w:left w:val="none" w:sz="0" w:space="0" w:color="auto"/>
                        <w:bottom w:val="none" w:sz="0" w:space="0" w:color="auto"/>
                        <w:right w:val="none" w:sz="0" w:space="0" w:color="auto"/>
                      </w:divBdr>
                    </w:div>
                    <w:div w:id="831457551">
                      <w:marLeft w:val="0"/>
                      <w:marRight w:val="0"/>
                      <w:marTop w:val="0"/>
                      <w:marBottom w:val="0"/>
                      <w:divBdr>
                        <w:top w:val="none" w:sz="0" w:space="0" w:color="auto"/>
                        <w:left w:val="none" w:sz="0" w:space="0" w:color="auto"/>
                        <w:bottom w:val="none" w:sz="0" w:space="0" w:color="auto"/>
                        <w:right w:val="none" w:sz="0" w:space="0" w:color="auto"/>
                      </w:divBdr>
                    </w:div>
                    <w:div w:id="878855133">
                      <w:marLeft w:val="0"/>
                      <w:marRight w:val="0"/>
                      <w:marTop w:val="0"/>
                      <w:marBottom w:val="0"/>
                      <w:divBdr>
                        <w:top w:val="none" w:sz="0" w:space="0" w:color="auto"/>
                        <w:left w:val="none" w:sz="0" w:space="0" w:color="auto"/>
                        <w:bottom w:val="none" w:sz="0" w:space="0" w:color="auto"/>
                        <w:right w:val="none" w:sz="0" w:space="0" w:color="auto"/>
                      </w:divBdr>
                    </w:div>
                  </w:divsChild>
                </w:div>
                <w:div w:id="154490087">
                  <w:marLeft w:val="0"/>
                  <w:marRight w:val="0"/>
                  <w:marTop w:val="0"/>
                  <w:marBottom w:val="0"/>
                  <w:divBdr>
                    <w:top w:val="none" w:sz="0" w:space="0" w:color="auto"/>
                    <w:left w:val="none" w:sz="0" w:space="0" w:color="auto"/>
                    <w:bottom w:val="none" w:sz="0" w:space="0" w:color="auto"/>
                    <w:right w:val="none" w:sz="0" w:space="0" w:color="auto"/>
                  </w:divBdr>
                  <w:divsChild>
                    <w:div w:id="87317704">
                      <w:marLeft w:val="0"/>
                      <w:marRight w:val="0"/>
                      <w:marTop w:val="0"/>
                      <w:marBottom w:val="0"/>
                      <w:divBdr>
                        <w:top w:val="none" w:sz="0" w:space="0" w:color="auto"/>
                        <w:left w:val="none" w:sz="0" w:space="0" w:color="auto"/>
                        <w:bottom w:val="none" w:sz="0" w:space="0" w:color="auto"/>
                        <w:right w:val="none" w:sz="0" w:space="0" w:color="auto"/>
                      </w:divBdr>
                    </w:div>
                  </w:divsChild>
                </w:div>
                <w:div w:id="177239285">
                  <w:marLeft w:val="0"/>
                  <w:marRight w:val="0"/>
                  <w:marTop w:val="0"/>
                  <w:marBottom w:val="0"/>
                  <w:divBdr>
                    <w:top w:val="none" w:sz="0" w:space="0" w:color="auto"/>
                    <w:left w:val="none" w:sz="0" w:space="0" w:color="auto"/>
                    <w:bottom w:val="none" w:sz="0" w:space="0" w:color="auto"/>
                    <w:right w:val="none" w:sz="0" w:space="0" w:color="auto"/>
                  </w:divBdr>
                  <w:divsChild>
                    <w:div w:id="1068499581">
                      <w:marLeft w:val="0"/>
                      <w:marRight w:val="0"/>
                      <w:marTop w:val="0"/>
                      <w:marBottom w:val="0"/>
                      <w:divBdr>
                        <w:top w:val="none" w:sz="0" w:space="0" w:color="auto"/>
                        <w:left w:val="none" w:sz="0" w:space="0" w:color="auto"/>
                        <w:bottom w:val="none" w:sz="0" w:space="0" w:color="auto"/>
                        <w:right w:val="none" w:sz="0" w:space="0" w:color="auto"/>
                      </w:divBdr>
                    </w:div>
                  </w:divsChild>
                </w:div>
                <w:div w:id="180045925">
                  <w:marLeft w:val="0"/>
                  <w:marRight w:val="0"/>
                  <w:marTop w:val="0"/>
                  <w:marBottom w:val="0"/>
                  <w:divBdr>
                    <w:top w:val="none" w:sz="0" w:space="0" w:color="auto"/>
                    <w:left w:val="none" w:sz="0" w:space="0" w:color="auto"/>
                    <w:bottom w:val="none" w:sz="0" w:space="0" w:color="auto"/>
                    <w:right w:val="none" w:sz="0" w:space="0" w:color="auto"/>
                  </w:divBdr>
                  <w:divsChild>
                    <w:div w:id="651367629">
                      <w:marLeft w:val="0"/>
                      <w:marRight w:val="0"/>
                      <w:marTop w:val="0"/>
                      <w:marBottom w:val="0"/>
                      <w:divBdr>
                        <w:top w:val="none" w:sz="0" w:space="0" w:color="auto"/>
                        <w:left w:val="none" w:sz="0" w:space="0" w:color="auto"/>
                        <w:bottom w:val="none" w:sz="0" w:space="0" w:color="auto"/>
                        <w:right w:val="none" w:sz="0" w:space="0" w:color="auto"/>
                      </w:divBdr>
                    </w:div>
                  </w:divsChild>
                </w:div>
                <w:div w:id="237179935">
                  <w:marLeft w:val="0"/>
                  <w:marRight w:val="0"/>
                  <w:marTop w:val="0"/>
                  <w:marBottom w:val="0"/>
                  <w:divBdr>
                    <w:top w:val="none" w:sz="0" w:space="0" w:color="auto"/>
                    <w:left w:val="none" w:sz="0" w:space="0" w:color="auto"/>
                    <w:bottom w:val="none" w:sz="0" w:space="0" w:color="auto"/>
                    <w:right w:val="none" w:sz="0" w:space="0" w:color="auto"/>
                  </w:divBdr>
                  <w:divsChild>
                    <w:div w:id="953367299">
                      <w:marLeft w:val="0"/>
                      <w:marRight w:val="0"/>
                      <w:marTop w:val="0"/>
                      <w:marBottom w:val="0"/>
                      <w:divBdr>
                        <w:top w:val="none" w:sz="0" w:space="0" w:color="auto"/>
                        <w:left w:val="none" w:sz="0" w:space="0" w:color="auto"/>
                        <w:bottom w:val="none" w:sz="0" w:space="0" w:color="auto"/>
                        <w:right w:val="none" w:sz="0" w:space="0" w:color="auto"/>
                      </w:divBdr>
                    </w:div>
                  </w:divsChild>
                </w:div>
                <w:div w:id="243416931">
                  <w:marLeft w:val="0"/>
                  <w:marRight w:val="0"/>
                  <w:marTop w:val="0"/>
                  <w:marBottom w:val="0"/>
                  <w:divBdr>
                    <w:top w:val="none" w:sz="0" w:space="0" w:color="auto"/>
                    <w:left w:val="none" w:sz="0" w:space="0" w:color="auto"/>
                    <w:bottom w:val="none" w:sz="0" w:space="0" w:color="auto"/>
                    <w:right w:val="none" w:sz="0" w:space="0" w:color="auto"/>
                  </w:divBdr>
                  <w:divsChild>
                    <w:div w:id="1214393594">
                      <w:marLeft w:val="0"/>
                      <w:marRight w:val="0"/>
                      <w:marTop w:val="0"/>
                      <w:marBottom w:val="0"/>
                      <w:divBdr>
                        <w:top w:val="none" w:sz="0" w:space="0" w:color="auto"/>
                        <w:left w:val="none" w:sz="0" w:space="0" w:color="auto"/>
                        <w:bottom w:val="none" w:sz="0" w:space="0" w:color="auto"/>
                        <w:right w:val="none" w:sz="0" w:space="0" w:color="auto"/>
                      </w:divBdr>
                    </w:div>
                  </w:divsChild>
                </w:div>
                <w:div w:id="264657810">
                  <w:marLeft w:val="0"/>
                  <w:marRight w:val="0"/>
                  <w:marTop w:val="0"/>
                  <w:marBottom w:val="0"/>
                  <w:divBdr>
                    <w:top w:val="none" w:sz="0" w:space="0" w:color="auto"/>
                    <w:left w:val="none" w:sz="0" w:space="0" w:color="auto"/>
                    <w:bottom w:val="none" w:sz="0" w:space="0" w:color="auto"/>
                    <w:right w:val="none" w:sz="0" w:space="0" w:color="auto"/>
                  </w:divBdr>
                  <w:divsChild>
                    <w:div w:id="1767114259">
                      <w:marLeft w:val="0"/>
                      <w:marRight w:val="0"/>
                      <w:marTop w:val="0"/>
                      <w:marBottom w:val="0"/>
                      <w:divBdr>
                        <w:top w:val="none" w:sz="0" w:space="0" w:color="auto"/>
                        <w:left w:val="none" w:sz="0" w:space="0" w:color="auto"/>
                        <w:bottom w:val="none" w:sz="0" w:space="0" w:color="auto"/>
                        <w:right w:val="none" w:sz="0" w:space="0" w:color="auto"/>
                      </w:divBdr>
                    </w:div>
                  </w:divsChild>
                </w:div>
                <w:div w:id="310066385">
                  <w:marLeft w:val="0"/>
                  <w:marRight w:val="0"/>
                  <w:marTop w:val="0"/>
                  <w:marBottom w:val="0"/>
                  <w:divBdr>
                    <w:top w:val="none" w:sz="0" w:space="0" w:color="auto"/>
                    <w:left w:val="none" w:sz="0" w:space="0" w:color="auto"/>
                    <w:bottom w:val="none" w:sz="0" w:space="0" w:color="auto"/>
                    <w:right w:val="none" w:sz="0" w:space="0" w:color="auto"/>
                  </w:divBdr>
                  <w:divsChild>
                    <w:div w:id="201091293">
                      <w:marLeft w:val="0"/>
                      <w:marRight w:val="0"/>
                      <w:marTop w:val="0"/>
                      <w:marBottom w:val="0"/>
                      <w:divBdr>
                        <w:top w:val="none" w:sz="0" w:space="0" w:color="auto"/>
                        <w:left w:val="none" w:sz="0" w:space="0" w:color="auto"/>
                        <w:bottom w:val="none" w:sz="0" w:space="0" w:color="auto"/>
                        <w:right w:val="none" w:sz="0" w:space="0" w:color="auto"/>
                      </w:divBdr>
                    </w:div>
                  </w:divsChild>
                </w:div>
                <w:div w:id="353459430">
                  <w:marLeft w:val="0"/>
                  <w:marRight w:val="0"/>
                  <w:marTop w:val="0"/>
                  <w:marBottom w:val="0"/>
                  <w:divBdr>
                    <w:top w:val="none" w:sz="0" w:space="0" w:color="auto"/>
                    <w:left w:val="none" w:sz="0" w:space="0" w:color="auto"/>
                    <w:bottom w:val="none" w:sz="0" w:space="0" w:color="auto"/>
                    <w:right w:val="none" w:sz="0" w:space="0" w:color="auto"/>
                  </w:divBdr>
                  <w:divsChild>
                    <w:div w:id="839613983">
                      <w:marLeft w:val="0"/>
                      <w:marRight w:val="0"/>
                      <w:marTop w:val="0"/>
                      <w:marBottom w:val="0"/>
                      <w:divBdr>
                        <w:top w:val="none" w:sz="0" w:space="0" w:color="auto"/>
                        <w:left w:val="none" w:sz="0" w:space="0" w:color="auto"/>
                        <w:bottom w:val="none" w:sz="0" w:space="0" w:color="auto"/>
                        <w:right w:val="none" w:sz="0" w:space="0" w:color="auto"/>
                      </w:divBdr>
                    </w:div>
                  </w:divsChild>
                </w:div>
                <w:div w:id="376122024">
                  <w:marLeft w:val="0"/>
                  <w:marRight w:val="0"/>
                  <w:marTop w:val="0"/>
                  <w:marBottom w:val="0"/>
                  <w:divBdr>
                    <w:top w:val="none" w:sz="0" w:space="0" w:color="auto"/>
                    <w:left w:val="none" w:sz="0" w:space="0" w:color="auto"/>
                    <w:bottom w:val="none" w:sz="0" w:space="0" w:color="auto"/>
                    <w:right w:val="none" w:sz="0" w:space="0" w:color="auto"/>
                  </w:divBdr>
                  <w:divsChild>
                    <w:div w:id="463693555">
                      <w:marLeft w:val="0"/>
                      <w:marRight w:val="0"/>
                      <w:marTop w:val="0"/>
                      <w:marBottom w:val="0"/>
                      <w:divBdr>
                        <w:top w:val="none" w:sz="0" w:space="0" w:color="auto"/>
                        <w:left w:val="none" w:sz="0" w:space="0" w:color="auto"/>
                        <w:bottom w:val="none" w:sz="0" w:space="0" w:color="auto"/>
                        <w:right w:val="none" w:sz="0" w:space="0" w:color="auto"/>
                      </w:divBdr>
                    </w:div>
                  </w:divsChild>
                </w:div>
                <w:div w:id="381947635">
                  <w:marLeft w:val="0"/>
                  <w:marRight w:val="0"/>
                  <w:marTop w:val="0"/>
                  <w:marBottom w:val="0"/>
                  <w:divBdr>
                    <w:top w:val="none" w:sz="0" w:space="0" w:color="auto"/>
                    <w:left w:val="none" w:sz="0" w:space="0" w:color="auto"/>
                    <w:bottom w:val="none" w:sz="0" w:space="0" w:color="auto"/>
                    <w:right w:val="none" w:sz="0" w:space="0" w:color="auto"/>
                  </w:divBdr>
                  <w:divsChild>
                    <w:div w:id="143816900">
                      <w:marLeft w:val="0"/>
                      <w:marRight w:val="0"/>
                      <w:marTop w:val="0"/>
                      <w:marBottom w:val="0"/>
                      <w:divBdr>
                        <w:top w:val="none" w:sz="0" w:space="0" w:color="auto"/>
                        <w:left w:val="none" w:sz="0" w:space="0" w:color="auto"/>
                        <w:bottom w:val="none" w:sz="0" w:space="0" w:color="auto"/>
                        <w:right w:val="none" w:sz="0" w:space="0" w:color="auto"/>
                      </w:divBdr>
                    </w:div>
                  </w:divsChild>
                </w:div>
                <w:div w:id="408767718">
                  <w:marLeft w:val="0"/>
                  <w:marRight w:val="0"/>
                  <w:marTop w:val="0"/>
                  <w:marBottom w:val="0"/>
                  <w:divBdr>
                    <w:top w:val="none" w:sz="0" w:space="0" w:color="auto"/>
                    <w:left w:val="none" w:sz="0" w:space="0" w:color="auto"/>
                    <w:bottom w:val="none" w:sz="0" w:space="0" w:color="auto"/>
                    <w:right w:val="none" w:sz="0" w:space="0" w:color="auto"/>
                  </w:divBdr>
                  <w:divsChild>
                    <w:div w:id="864439035">
                      <w:marLeft w:val="0"/>
                      <w:marRight w:val="0"/>
                      <w:marTop w:val="0"/>
                      <w:marBottom w:val="0"/>
                      <w:divBdr>
                        <w:top w:val="none" w:sz="0" w:space="0" w:color="auto"/>
                        <w:left w:val="none" w:sz="0" w:space="0" w:color="auto"/>
                        <w:bottom w:val="none" w:sz="0" w:space="0" w:color="auto"/>
                        <w:right w:val="none" w:sz="0" w:space="0" w:color="auto"/>
                      </w:divBdr>
                    </w:div>
                  </w:divsChild>
                </w:div>
                <w:div w:id="511068018">
                  <w:marLeft w:val="0"/>
                  <w:marRight w:val="0"/>
                  <w:marTop w:val="0"/>
                  <w:marBottom w:val="0"/>
                  <w:divBdr>
                    <w:top w:val="none" w:sz="0" w:space="0" w:color="auto"/>
                    <w:left w:val="none" w:sz="0" w:space="0" w:color="auto"/>
                    <w:bottom w:val="none" w:sz="0" w:space="0" w:color="auto"/>
                    <w:right w:val="none" w:sz="0" w:space="0" w:color="auto"/>
                  </w:divBdr>
                  <w:divsChild>
                    <w:div w:id="469438769">
                      <w:marLeft w:val="0"/>
                      <w:marRight w:val="0"/>
                      <w:marTop w:val="0"/>
                      <w:marBottom w:val="0"/>
                      <w:divBdr>
                        <w:top w:val="none" w:sz="0" w:space="0" w:color="auto"/>
                        <w:left w:val="none" w:sz="0" w:space="0" w:color="auto"/>
                        <w:bottom w:val="none" w:sz="0" w:space="0" w:color="auto"/>
                        <w:right w:val="none" w:sz="0" w:space="0" w:color="auto"/>
                      </w:divBdr>
                    </w:div>
                  </w:divsChild>
                </w:div>
                <w:div w:id="618610593">
                  <w:marLeft w:val="0"/>
                  <w:marRight w:val="0"/>
                  <w:marTop w:val="0"/>
                  <w:marBottom w:val="0"/>
                  <w:divBdr>
                    <w:top w:val="none" w:sz="0" w:space="0" w:color="auto"/>
                    <w:left w:val="none" w:sz="0" w:space="0" w:color="auto"/>
                    <w:bottom w:val="none" w:sz="0" w:space="0" w:color="auto"/>
                    <w:right w:val="none" w:sz="0" w:space="0" w:color="auto"/>
                  </w:divBdr>
                  <w:divsChild>
                    <w:div w:id="612979168">
                      <w:marLeft w:val="0"/>
                      <w:marRight w:val="0"/>
                      <w:marTop w:val="0"/>
                      <w:marBottom w:val="0"/>
                      <w:divBdr>
                        <w:top w:val="none" w:sz="0" w:space="0" w:color="auto"/>
                        <w:left w:val="none" w:sz="0" w:space="0" w:color="auto"/>
                        <w:bottom w:val="none" w:sz="0" w:space="0" w:color="auto"/>
                        <w:right w:val="none" w:sz="0" w:space="0" w:color="auto"/>
                      </w:divBdr>
                    </w:div>
                  </w:divsChild>
                </w:div>
                <w:div w:id="637803643">
                  <w:marLeft w:val="0"/>
                  <w:marRight w:val="0"/>
                  <w:marTop w:val="0"/>
                  <w:marBottom w:val="0"/>
                  <w:divBdr>
                    <w:top w:val="none" w:sz="0" w:space="0" w:color="auto"/>
                    <w:left w:val="none" w:sz="0" w:space="0" w:color="auto"/>
                    <w:bottom w:val="none" w:sz="0" w:space="0" w:color="auto"/>
                    <w:right w:val="none" w:sz="0" w:space="0" w:color="auto"/>
                  </w:divBdr>
                  <w:divsChild>
                    <w:div w:id="9920723">
                      <w:marLeft w:val="0"/>
                      <w:marRight w:val="0"/>
                      <w:marTop w:val="0"/>
                      <w:marBottom w:val="0"/>
                      <w:divBdr>
                        <w:top w:val="none" w:sz="0" w:space="0" w:color="auto"/>
                        <w:left w:val="none" w:sz="0" w:space="0" w:color="auto"/>
                        <w:bottom w:val="none" w:sz="0" w:space="0" w:color="auto"/>
                        <w:right w:val="none" w:sz="0" w:space="0" w:color="auto"/>
                      </w:divBdr>
                    </w:div>
                  </w:divsChild>
                </w:div>
                <w:div w:id="644775181">
                  <w:marLeft w:val="0"/>
                  <w:marRight w:val="0"/>
                  <w:marTop w:val="0"/>
                  <w:marBottom w:val="0"/>
                  <w:divBdr>
                    <w:top w:val="none" w:sz="0" w:space="0" w:color="auto"/>
                    <w:left w:val="none" w:sz="0" w:space="0" w:color="auto"/>
                    <w:bottom w:val="none" w:sz="0" w:space="0" w:color="auto"/>
                    <w:right w:val="none" w:sz="0" w:space="0" w:color="auto"/>
                  </w:divBdr>
                  <w:divsChild>
                    <w:div w:id="886067887">
                      <w:marLeft w:val="0"/>
                      <w:marRight w:val="0"/>
                      <w:marTop w:val="0"/>
                      <w:marBottom w:val="0"/>
                      <w:divBdr>
                        <w:top w:val="none" w:sz="0" w:space="0" w:color="auto"/>
                        <w:left w:val="none" w:sz="0" w:space="0" w:color="auto"/>
                        <w:bottom w:val="none" w:sz="0" w:space="0" w:color="auto"/>
                        <w:right w:val="none" w:sz="0" w:space="0" w:color="auto"/>
                      </w:divBdr>
                    </w:div>
                  </w:divsChild>
                </w:div>
                <w:div w:id="657612711">
                  <w:marLeft w:val="0"/>
                  <w:marRight w:val="0"/>
                  <w:marTop w:val="0"/>
                  <w:marBottom w:val="0"/>
                  <w:divBdr>
                    <w:top w:val="none" w:sz="0" w:space="0" w:color="auto"/>
                    <w:left w:val="none" w:sz="0" w:space="0" w:color="auto"/>
                    <w:bottom w:val="none" w:sz="0" w:space="0" w:color="auto"/>
                    <w:right w:val="none" w:sz="0" w:space="0" w:color="auto"/>
                  </w:divBdr>
                  <w:divsChild>
                    <w:div w:id="1604724736">
                      <w:marLeft w:val="0"/>
                      <w:marRight w:val="0"/>
                      <w:marTop w:val="0"/>
                      <w:marBottom w:val="0"/>
                      <w:divBdr>
                        <w:top w:val="none" w:sz="0" w:space="0" w:color="auto"/>
                        <w:left w:val="none" w:sz="0" w:space="0" w:color="auto"/>
                        <w:bottom w:val="none" w:sz="0" w:space="0" w:color="auto"/>
                        <w:right w:val="none" w:sz="0" w:space="0" w:color="auto"/>
                      </w:divBdr>
                    </w:div>
                  </w:divsChild>
                </w:div>
                <w:div w:id="665324220">
                  <w:marLeft w:val="0"/>
                  <w:marRight w:val="0"/>
                  <w:marTop w:val="0"/>
                  <w:marBottom w:val="0"/>
                  <w:divBdr>
                    <w:top w:val="none" w:sz="0" w:space="0" w:color="auto"/>
                    <w:left w:val="none" w:sz="0" w:space="0" w:color="auto"/>
                    <w:bottom w:val="none" w:sz="0" w:space="0" w:color="auto"/>
                    <w:right w:val="none" w:sz="0" w:space="0" w:color="auto"/>
                  </w:divBdr>
                  <w:divsChild>
                    <w:div w:id="275799351">
                      <w:marLeft w:val="0"/>
                      <w:marRight w:val="0"/>
                      <w:marTop w:val="0"/>
                      <w:marBottom w:val="0"/>
                      <w:divBdr>
                        <w:top w:val="none" w:sz="0" w:space="0" w:color="auto"/>
                        <w:left w:val="none" w:sz="0" w:space="0" w:color="auto"/>
                        <w:bottom w:val="none" w:sz="0" w:space="0" w:color="auto"/>
                        <w:right w:val="none" w:sz="0" w:space="0" w:color="auto"/>
                      </w:divBdr>
                    </w:div>
                  </w:divsChild>
                </w:div>
                <w:div w:id="789709515">
                  <w:marLeft w:val="0"/>
                  <w:marRight w:val="0"/>
                  <w:marTop w:val="0"/>
                  <w:marBottom w:val="0"/>
                  <w:divBdr>
                    <w:top w:val="none" w:sz="0" w:space="0" w:color="auto"/>
                    <w:left w:val="none" w:sz="0" w:space="0" w:color="auto"/>
                    <w:bottom w:val="none" w:sz="0" w:space="0" w:color="auto"/>
                    <w:right w:val="none" w:sz="0" w:space="0" w:color="auto"/>
                  </w:divBdr>
                  <w:divsChild>
                    <w:div w:id="956641258">
                      <w:marLeft w:val="0"/>
                      <w:marRight w:val="0"/>
                      <w:marTop w:val="0"/>
                      <w:marBottom w:val="0"/>
                      <w:divBdr>
                        <w:top w:val="none" w:sz="0" w:space="0" w:color="auto"/>
                        <w:left w:val="none" w:sz="0" w:space="0" w:color="auto"/>
                        <w:bottom w:val="none" w:sz="0" w:space="0" w:color="auto"/>
                        <w:right w:val="none" w:sz="0" w:space="0" w:color="auto"/>
                      </w:divBdr>
                    </w:div>
                  </w:divsChild>
                </w:div>
                <w:div w:id="827089946">
                  <w:marLeft w:val="0"/>
                  <w:marRight w:val="0"/>
                  <w:marTop w:val="0"/>
                  <w:marBottom w:val="0"/>
                  <w:divBdr>
                    <w:top w:val="none" w:sz="0" w:space="0" w:color="auto"/>
                    <w:left w:val="none" w:sz="0" w:space="0" w:color="auto"/>
                    <w:bottom w:val="none" w:sz="0" w:space="0" w:color="auto"/>
                    <w:right w:val="none" w:sz="0" w:space="0" w:color="auto"/>
                  </w:divBdr>
                  <w:divsChild>
                    <w:div w:id="516503120">
                      <w:marLeft w:val="0"/>
                      <w:marRight w:val="0"/>
                      <w:marTop w:val="0"/>
                      <w:marBottom w:val="0"/>
                      <w:divBdr>
                        <w:top w:val="none" w:sz="0" w:space="0" w:color="auto"/>
                        <w:left w:val="none" w:sz="0" w:space="0" w:color="auto"/>
                        <w:bottom w:val="none" w:sz="0" w:space="0" w:color="auto"/>
                        <w:right w:val="none" w:sz="0" w:space="0" w:color="auto"/>
                      </w:divBdr>
                    </w:div>
                  </w:divsChild>
                </w:div>
                <w:div w:id="918558787">
                  <w:marLeft w:val="0"/>
                  <w:marRight w:val="0"/>
                  <w:marTop w:val="0"/>
                  <w:marBottom w:val="0"/>
                  <w:divBdr>
                    <w:top w:val="none" w:sz="0" w:space="0" w:color="auto"/>
                    <w:left w:val="none" w:sz="0" w:space="0" w:color="auto"/>
                    <w:bottom w:val="none" w:sz="0" w:space="0" w:color="auto"/>
                    <w:right w:val="none" w:sz="0" w:space="0" w:color="auto"/>
                  </w:divBdr>
                  <w:divsChild>
                    <w:div w:id="42486774">
                      <w:marLeft w:val="0"/>
                      <w:marRight w:val="0"/>
                      <w:marTop w:val="0"/>
                      <w:marBottom w:val="0"/>
                      <w:divBdr>
                        <w:top w:val="none" w:sz="0" w:space="0" w:color="auto"/>
                        <w:left w:val="none" w:sz="0" w:space="0" w:color="auto"/>
                        <w:bottom w:val="none" w:sz="0" w:space="0" w:color="auto"/>
                        <w:right w:val="none" w:sz="0" w:space="0" w:color="auto"/>
                      </w:divBdr>
                    </w:div>
                    <w:div w:id="2128423962">
                      <w:marLeft w:val="0"/>
                      <w:marRight w:val="0"/>
                      <w:marTop w:val="0"/>
                      <w:marBottom w:val="0"/>
                      <w:divBdr>
                        <w:top w:val="none" w:sz="0" w:space="0" w:color="auto"/>
                        <w:left w:val="none" w:sz="0" w:space="0" w:color="auto"/>
                        <w:bottom w:val="none" w:sz="0" w:space="0" w:color="auto"/>
                        <w:right w:val="none" w:sz="0" w:space="0" w:color="auto"/>
                      </w:divBdr>
                    </w:div>
                  </w:divsChild>
                </w:div>
                <w:div w:id="931232900">
                  <w:marLeft w:val="0"/>
                  <w:marRight w:val="0"/>
                  <w:marTop w:val="0"/>
                  <w:marBottom w:val="0"/>
                  <w:divBdr>
                    <w:top w:val="none" w:sz="0" w:space="0" w:color="auto"/>
                    <w:left w:val="none" w:sz="0" w:space="0" w:color="auto"/>
                    <w:bottom w:val="none" w:sz="0" w:space="0" w:color="auto"/>
                    <w:right w:val="none" w:sz="0" w:space="0" w:color="auto"/>
                  </w:divBdr>
                  <w:divsChild>
                    <w:div w:id="1720085279">
                      <w:marLeft w:val="0"/>
                      <w:marRight w:val="0"/>
                      <w:marTop w:val="0"/>
                      <w:marBottom w:val="0"/>
                      <w:divBdr>
                        <w:top w:val="none" w:sz="0" w:space="0" w:color="auto"/>
                        <w:left w:val="none" w:sz="0" w:space="0" w:color="auto"/>
                        <w:bottom w:val="none" w:sz="0" w:space="0" w:color="auto"/>
                        <w:right w:val="none" w:sz="0" w:space="0" w:color="auto"/>
                      </w:divBdr>
                    </w:div>
                  </w:divsChild>
                </w:div>
                <w:div w:id="1009865455">
                  <w:marLeft w:val="0"/>
                  <w:marRight w:val="0"/>
                  <w:marTop w:val="0"/>
                  <w:marBottom w:val="0"/>
                  <w:divBdr>
                    <w:top w:val="none" w:sz="0" w:space="0" w:color="auto"/>
                    <w:left w:val="none" w:sz="0" w:space="0" w:color="auto"/>
                    <w:bottom w:val="none" w:sz="0" w:space="0" w:color="auto"/>
                    <w:right w:val="none" w:sz="0" w:space="0" w:color="auto"/>
                  </w:divBdr>
                  <w:divsChild>
                    <w:div w:id="757793437">
                      <w:marLeft w:val="0"/>
                      <w:marRight w:val="0"/>
                      <w:marTop w:val="0"/>
                      <w:marBottom w:val="0"/>
                      <w:divBdr>
                        <w:top w:val="none" w:sz="0" w:space="0" w:color="auto"/>
                        <w:left w:val="none" w:sz="0" w:space="0" w:color="auto"/>
                        <w:bottom w:val="none" w:sz="0" w:space="0" w:color="auto"/>
                        <w:right w:val="none" w:sz="0" w:space="0" w:color="auto"/>
                      </w:divBdr>
                    </w:div>
                  </w:divsChild>
                </w:div>
                <w:div w:id="1110859346">
                  <w:marLeft w:val="0"/>
                  <w:marRight w:val="0"/>
                  <w:marTop w:val="0"/>
                  <w:marBottom w:val="0"/>
                  <w:divBdr>
                    <w:top w:val="none" w:sz="0" w:space="0" w:color="auto"/>
                    <w:left w:val="none" w:sz="0" w:space="0" w:color="auto"/>
                    <w:bottom w:val="none" w:sz="0" w:space="0" w:color="auto"/>
                    <w:right w:val="none" w:sz="0" w:space="0" w:color="auto"/>
                  </w:divBdr>
                  <w:divsChild>
                    <w:div w:id="2075464860">
                      <w:marLeft w:val="0"/>
                      <w:marRight w:val="0"/>
                      <w:marTop w:val="0"/>
                      <w:marBottom w:val="0"/>
                      <w:divBdr>
                        <w:top w:val="none" w:sz="0" w:space="0" w:color="auto"/>
                        <w:left w:val="none" w:sz="0" w:space="0" w:color="auto"/>
                        <w:bottom w:val="none" w:sz="0" w:space="0" w:color="auto"/>
                        <w:right w:val="none" w:sz="0" w:space="0" w:color="auto"/>
                      </w:divBdr>
                    </w:div>
                  </w:divsChild>
                </w:div>
                <w:div w:id="1154295335">
                  <w:marLeft w:val="0"/>
                  <w:marRight w:val="0"/>
                  <w:marTop w:val="0"/>
                  <w:marBottom w:val="0"/>
                  <w:divBdr>
                    <w:top w:val="none" w:sz="0" w:space="0" w:color="auto"/>
                    <w:left w:val="none" w:sz="0" w:space="0" w:color="auto"/>
                    <w:bottom w:val="none" w:sz="0" w:space="0" w:color="auto"/>
                    <w:right w:val="none" w:sz="0" w:space="0" w:color="auto"/>
                  </w:divBdr>
                  <w:divsChild>
                    <w:div w:id="207686765">
                      <w:marLeft w:val="0"/>
                      <w:marRight w:val="0"/>
                      <w:marTop w:val="0"/>
                      <w:marBottom w:val="0"/>
                      <w:divBdr>
                        <w:top w:val="none" w:sz="0" w:space="0" w:color="auto"/>
                        <w:left w:val="none" w:sz="0" w:space="0" w:color="auto"/>
                        <w:bottom w:val="none" w:sz="0" w:space="0" w:color="auto"/>
                        <w:right w:val="none" w:sz="0" w:space="0" w:color="auto"/>
                      </w:divBdr>
                    </w:div>
                    <w:div w:id="1396319924">
                      <w:marLeft w:val="0"/>
                      <w:marRight w:val="0"/>
                      <w:marTop w:val="0"/>
                      <w:marBottom w:val="0"/>
                      <w:divBdr>
                        <w:top w:val="none" w:sz="0" w:space="0" w:color="auto"/>
                        <w:left w:val="none" w:sz="0" w:space="0" w:color="auto"/>
                        <w:bottom w:val="none" w:sz="0" w:space="0" w:color="auto"/>
                        <w:right w:val="none" w:sz="0" w:space="0" w:color="auto"/>
                      </w:divBdr>
                    </w:div>
                    <w:div w:id="1697147671">
                      <w:marLeft w:val="0"/>
                      <w:marRight w:val="0"/>
                      <w:marTop w:val="0"/>
                      <w:marBottom w:val="0"/>
                      <w:divBdr>
                        <w:top w:val="none" w:sz="0" w:space="0" w:color="auto"/>
                        <w:left w:val="none" w:sz="0" w:space="0" w:color="auto"/>
                        <w:bottom w:val="none" w:sz="0" w:space="0" w:color="auto"/>
                        <w:right w:val="none" w:sz="0" w:space="0" w:color="auto"/>
                      </w:divBdr>
                    </w:div>
                  </w:divsChild>
                </w:div>
                <w:div w:id="1159270441">
                  <w:marLeft w:val="0"/>
                  <w:marRight w:val="0"/>
                  <w:marTop w:val="0"/>
                  <w:marBottom w:val="0"/>
                  <w:divBdr>
                    <w:top w:val="none" w:sz="0" w:space="0" w:color="auto"/>
                    <w:left w:val="none" w:sz="0" w:space="0" w:color="auto"/>
                    <w:bottom w:val="none" w:sz="0" w:space="0" w:color="auto"/>
                    <w:right w:val="none" w:sz="0" w:space="0" w:color="auto"/>
                  </w:divBdr>
                  <w:divsChild>
                    <w:div w:id="501897734">
                      <w:marLeft w:val="0"/>
                      <w:marRight w:val="0"/>
                      <w:marTop w:val="0"/>
                      <w:marBottom w:val="0"/>
                      <w:divBdr>
                        <w:top w:val="none" w:sz="0" w:space="0" w:color="auto"/>
                        <w:left w:val="none" w:sz="0" w:space="0" w:color="auto"/>
                        <w:bottom w:val="none" w:sz="0" w:space="0" w:color="auto"/>
                        <w:right w:val="none" w:sz="0" w:space="0" w:color="auto"/>
                      </w:divBdr>
                    </w:div>
                  </w:divsChild>
                </w:div>
                <w:div w:id="1227567937">
                  <w:marLeft w:val="0"/>
                  <w:marRight w:val="0"/>
                  <w:marTop w:val="0"/>
                  <w:marBottom w:val="0"/>
                  <w:divBdr>
                    <w:top w:val="none" w:sz="0" w:space="0" w:color="auto"/>
                    <w:left w:val="none" w:sz="0" w:space="0" w:color="auto"/>
                    <w:bottom w:val="none" w:sz="0" w:space="0" w:color="auto"/>
                    <w:right w:val="none" w:sz="0" w:space="0" w:color="auto"/>
                  </w:divBdr>
                  <w:divsChild>
                    <w:div w:id="643244363">
                      <w:marLeft w:val="0"/>
                      <w:marRight w:val="0"/>
                      <w:marTop w:val="0"/>
                      <w:marBottom w:val="0"/>
                      <w:divBdr>
                        <w:top w:val="none" w:sz="0" w:space="0" w:color="auto"/>
                        <w:left w:val="none" w:sz="0" w:space="0" w:color="auto"/>
                        <w:bottom w:val="none" w:sz="0" w:space="0" w:color="auto"/>
                        <w:right w:val="none" w:sz="0" w:space="0" w:color="auto"/>
                      </w:divBdr>
                    </w:div>
                  </w:divsChild>
                </w:div>
                <w:div w:id="1350181623">
                  <w:marLeft w:val="0"/>
                  <w:marRight w:val="0"/>
                  <w:marTop w:val="0"/>
                  <w:marBottom w:val="0"/>
                  <w:divBdr>
                    <w:top w:val="none" w:sz="0" w:space="0" w:color="auto"/>
                    <w:left w:val="none" w:sz="0" w:space="0" w:color="auto"/>
                    <w:bottom w:val="none" w:sz="0" w:space="0" w:color="auto"/>
                    <w:right w:val="none" w:sz="0" w:space="0" w:color="auto"/>
                  </w:divBdr>
                  <w:divsChild>
                    <w:div w:id="1243292069">
                      <w:marLeft w:val="0"/>
                      <w:marRight w:val="0"/>
                      <w:marTop w:val="0"/>
                      <w:marBottom w:val="0"/>
                      <w:divBdr>
                        <w:top w:val="none" w:sz="0" w:space="0" w:color="auto"/>
                        <w:left w:val="none" w:sz="0" w:space="0" w:color="auto"/>
                        <w:bottom w:val="none" w:sz="0" w:space="0" w:color="auto"/>
                        <w:right w:val="none" w:sz="0" w:space="0" w:color="auto"/>
                      </w:divBdr>
                    </w:div>
                    <w:div w:id="1909684411">
                      <w:marLeft w:val="0"/>
                      <w:marRight w:val="0"/>
                      <w:marTop w:val="0"/>
                      <w:marBottom w:val="0"/>
                      <w:divBdr>
                        <w:top w:val="none" w:sz="0" w:space="0" w:color="auto"/>
                        <w:left w:val="none" w:sz="0" w:space="0" w:color="auto"/>
                        <w:bottom w:val="none" w:sz="0" w:space="0" w:color="auto"/>
                        <w:right w:val="none" w:sz="0" w:space="0" w:color="auto"/>
                      </w:divBdr>
                    </w:div>
                  </w:divsChild>
                </w:div>
                <w:div w:id="1405564392">
                  <w:marLeft w:val="0"/>
                  <w:marRight w:val="0"/>
                  <w:marTop w:val="0"/>
                  <w:marBottom w:val="0"/>
                  <w:divBdr>
                    <w:top w:val="none" w:sz="0" w:space="0" w:color="auto"/>
                    <w:left w:val="none" w:sz="0" w:space="0" w:color="auto"/>
                    <w:bottom w:val="none" w:sz="0" w:space="0" w:color="auto"/>
                    <w:right w:val="none" w:sz="0" w:space="0" w:color="auto"/>
                  </w:divBdr>
                  <w:divsChild>
                    <w:div w:id="1771579320">
                      <w:marLeft w:val="0"/>
                      <w:marRight w:val="0"/>
                      <w:marTop w:val="0"/>
                      <w:marBottom w:val="0"/>
                      <w:divBdr>
                        <w:top w:val="none" w:sz="0" w:space="0" w:color="auto"/>
                        <w:left w:val="none" w:sz="0" w:space="0" w:color="auto"/>
                        <w:bottom w:val="none" w:sz="0" w:space="0" w:color="auto"/>
                        <w:right w:val="none" w:sz="0" w:space="0" w:color="auto"/>
                      </w:divBdr>
                    </w:div>
                  </w:divsChild>
                </w:div>
                <w:div w:id="1412847715">
                  <w:marLeft w:val="0"/>
                  <w:marRight w:val="0"/>
                  <w:marTop w:val="0"/>
                  <w:marBottom w:val="0"/>
                  <w:divBdr>
                    <w:top w:val="none" w:sz="0" w:space="0" w:color="auto"/>
                    <w:left w:val="none" w:sz="0" w:space="0" w:color="auto"/>
                    <w:bottom w:val="none" w:sz="0" w:space="0" w:color="auto"/>
                    <w:right w:val="none" w:sz="0" w:space="0" w:color="auto"/>
                  </w:divBdr>
                  <w:divsChild>
                    <w:div w:id="79913885">
                      <w:marLeft w:val="0"/>
                      <w:marRight w:val="0"/>
                      <w:marTop w:val="0"/>
                      <w:marBottom w:val="0"/>
                      <w:divBdr>
                        <w:top w:val="none" w:sz="0" w:space="0" w:color="auto"/>
                        <w:left w:val="none" w:sz="0" w:space="0" w:color="auto"/>
                        <w:bottom w:val="none" w:sz="0" w:space="0" w:color="auto"/>
                        <w:right w:val="none" w:sz="0" w:space="0" w:color="auto"/>
                      </w:divBdr>
                    </w:div>
                    <w:div w:id="656303284">
                      <w:marLeft w:val="0"/>
                      <w:marRight w:val="0"/>
                      <w:marTop w:val="0"/>
                      <w:marBottom w:val="0"/>
                      <w:divBdr>
                        <w:top w:val="none" w:sz="0" w:space="0" w:color="auto"/>
                        <w:left w:val="none" w:sz="0" w:space="0" w:color="auto"/>
                        <w:bottom w:val="none" w:sz="0" w:space="0" w:color="auto"/>
                        <w:right w:val="none" w:sz="0" w:space="0" w:color="auto"/>
                      </w:divBdr>
                    </w:div>
                    <w:div w:id="758409202">
                      <w:marLeft w:val="0"/>
                      <w:marRight w:val="0"/>
                      <w:marTop w:val="0"/>
                      <w:marBottom w:val="0"/>
                      <w:divBdr>
                        <w:top w:val="none" w:sz="0" w:space="0" w:color="auto"/>
                        <w:left w:val="none" w:sz="0" w:space="0" w:color="auto"/>
                        <w:bottom w:val="none" w:sz="0" w:space="0" w:color="auto"/>
                        <w:right w:val="none" w:sz="0" w:space="0" w:color="auto"/>
                      </w:divBdr>
                    </w:div>
                  </w:divsChild>
                </w:div>
                <w:div w:id="1525053648">
                  <w:marLeft w:val="0"/>
                  <w:marRight w:val="0"/>
                  <w:marTop w:val="0"/>
                  <w:marBottom w:val="0"/>
                  <w:divBdr>
                    <w:top w:val="none" w:sz="0" w:space="0" w:color="auto"/>
                    <w:left w:val="none" w:sz="0" w:space="0" w:color="auto"/>
                    <w:bottom w:val="none" w:sz="0" w:space="0" w:color="auto"/>
                    <w:right w:val="none" w:sz="0" w:space="0" w:color="auto"/>
                  </w:divBdr>
                  <w:divsChild>
                    <w:div w:id="1195191285">
                      <w:marLeft w:val="0"/>
                      <w:marRight w:val="0"/>
                      <w:marTop w:val="0"/>
                      <w:marBottom w:val="0"/>
                      <w:divBdr>
                        <w:top w:val="none" w:sz="0" w:space="0" w:color="auto"/>
                        <w:left w:val="none" w:sz="0" w:space="0" w:color="auto"/>
                        <w:bottom w:val="none" w:sz="0" w:space="0" w:color="auto"/>
                        <w:right w:val="none" w:sz="0" w:space="0" w:color="auto"/>
                      </w:divBdr>
                    </w:div>
                  </w:divsChild>
                </w:div>
                <w:div w:id="1649436254">
                  <w:marLeft w:val="0"/>
                  <w:marRight w:val="0"/>
                  <w:marTop w:val="0"/>
                  <w:marBottom w:val="0"/>
                  <w:divBdr>
                    <w:top w:val="none" w:sz="0" w:space="0" w:color="auto"/>
                    <w:left w:val="none" w:sz="0" w:space="0" w:color="auto"/>
                    <w:bottom w:val="none" w:sz="0" w:space="0" w:color="auto"/>
                    <w:right w:val="none" w:sz="0" w:space="0" w:color="auto"/>
                  </w:divBdr>
                  <w:divsChild>
                    <w:div w:id="1218975404">
                      <w:marLeft w:val="0"/>
                      <w:marRight w:val="0"/>
                      <w:marTop w:val="0"/>
                      <w:marBottom w:val="0"/>
                      <w:divBdr>
                        <w:top w:val="none" w:sz="0" w:space="0" w:color="auto"/>
                        <w:left w:val="none" w:sz="0" w:space="0" w:color="auto"/>
                        <w:bottom w:val="none" w:sz="0" w:space="0" w:color="auto"/>
                        <w:right w:val="none" w:sz="0" w:space="0" w:color="auto"/>
                      </w:divBdr>
                    </w:div>
                    <w:div w:id="1390835559">
                      <w:marLeft w:val="0"/>
                      <w:marRight w:val="0"/>
                      <w:marTop w:val="0"/>
                      <w:marBottom w:val="0"/>
                      <w:divBdr>
                        <w:top w:val="none" w:sz="0" w:space="0" w:color="auto"/>
                        <w:left w:val="none" w:sz="0" w:space="0" w:color="auto"/>
                        <w:bottom w:val="none" w:sz="0" w:space="0" w:color="auto"/>
                        <w:right w:val="none" w:sz="0" w:space="0" w:color="auto"/>
                      </w:divBdr>
                    </w:div>
                    <w:div w:id="1886523115">
                      <w:marLeft w:val="0"/>
                      <w:marRight w:val="0"/>
                      <w:marTop w:val="0"/>
                      <w:marBottom w:val="0"/>
                      <w:divBdr>
                        <w:top w:val="none" w:sz="0" w:space="0" w:color="auto"/>
                        <w:left w:val="none" w:sz="0" w:space="0" w:color="auto"/>
                        <w:bottom w:val="none" w:sz="0" w:space="0" w:color="auto"/>
                        <w:right w:val="none" w:sz="0" w:space="0" w:color="auto"/>
                      </w:divBdr>
                    </w:div>
                  </w:divsChild>
                </w:div>
                <w:div w:id="1698970158">
                  <w:marLeft w:val="0"/>
                  <w:marRight w:val="0"/>
                  <w:marTop w:val="0"/>
                  <w:marBottom w:val="0"/>
                  <w:divBdr>
                    <w:top w:val="none" w:sz="0" w:space="0" w:color="auto"/>
                    <w:left w:val="none" w:sz="0" w:space="0" w:color="auto"/>
                    <w:bottom w:val="none" w:sz="0" w:space="0" w:color="auto"/>
                    <w:right w:val="none" w:sz="0" w:space="0" w:color="auto"/>
                  </w:divBdr>
                  <w:divsChild>
                    <w:div w:id="140969550">
                      <w:marLeft w:val="0"/>
                      <w:marRight w:val="0"/>
                      <w:marTop w:val="0"/>
                      <w:marBottom w:val="0"/>
                      <w:divBdr>
                        <w:top w:val="none" w:sz="0" w:space="0" w:color="auto"/>
                        <w:left w:val="none" w:sz="0" w:space="0" w:color="auto"/>
                        <w:bottom w:val="none" w:sz="0" w:space="0" w:color="auto"/>
                        <w:right w:val="none" w:sz="0" w:space="0" w:color="auto"/>
                      </w:divBdr>
                    </w:div>
                  </w:divsChild>
                </w:div>
                <w:div w:id="1794598014">
                  <w:marLeft w:val="0"/>
                  <w:marRight w:val="0"/>
                  <w:marTop w:val="0"/>
                  <w:marBottom w:val="0"/>
                  <w:divBdr>
                    <w:top w:val="none" w:sz="0" w:space="0" w:color="auto"/>
                    <w:left w:val="none" w:sz="0" w:space="0" w:color="auto"/>
                    <w:bottom w:val="none" w:sz="0" w:space="0" w:color="auto"/>
                    <w:right w:val="none" w:sz="0" w:space="0" w:color="auto"/>
                  </w:divBdr>
                  <w:divsChild>
                    <w:div w:id="1019812485">
                      <w:marLeft w:val="0"/>
                      <w:marRight w:val="0"/>
                      <w:marTop w:val="0"/>
                      <w:marBottom w:val="0"/>
                      <w:divBdr>
                        <w:top w:val="none" w:sz="0" w:space="0" w:color="auto"/>
                        <w:left w:val="none" w:sz="0" w:space="0" w:color="auto"/>
                        <w:bottom w:val="none" w:sz="0" w:space="0" w:color="auto"/>
                        <w:right w:val="none" w:sz="0" w:space="0" w:color="auto"/>
                      </w:divBdr>
                    </w:div>
                  </w:divsChild>
                </w:div>
                <w:div w:id="1803114417">
                  <w:marLeft w:val="0"/>
                  <w:marRight w:val="0"/>
                  <w:marTop w:val="0"/>
                  <w:marBottom w:val="0"/>
                  <w:divBdr>
                    <w:top w:val="none" w:sz="0" w:space="0" w:color="auto"/>
                    <w:left w:val="none" w:sz="0" w:space="0" w:color="auto"/>
                    <w:bottom w:val="none" w:sz="0" w:space="0" w:color="auto"/>
                    <w:right w:val="none" w:sz="0" w:space="0" w:color="auto"/>
                  </w:divBdr>
                  <w:divsChild>
                    <w:div w:id="1317959217">
                      <w:marLeft w:val="0"/>
                      <w:marRight w:val="0"/>
                      <w:marTop w:val="0"/>
                      <w:marBottom w:val="0"/>
                      <w:divBdr>
                        <w:top w:val="none" w:sz="0" w:space="0" w:color="auto"/>
                        <w:left w:val="none" w:sz="0" w:space="0" w:color="auto"/>
                        <w:bottom w:val="none" w:sz="0" w:space="0" w:color="auto"/>
                        <w:right w:val="none" w:sz="0" w:space="0" w:color="auto"/>
                      </w:divBdr>
                    </w:div>
                  </w:divsChild>
                </w:div>
                <w:div w:id="1847354729">
                  <w:marLeft w:val="0"/>
                  <w:marRight w:val="0"/>
                  <w:marTop w:val="0"/>
                  <w:marBottom w:val="0"/>
                  <w:divBdr>
                    <w:top w:val="none" w:sz="0" w:space="0" w:color="auto"/>
                    <w:left w:val="none" w:sz="0" w:space="0" w:color="auto"/>
                    <w:bottom w:val="none" w:sz="0" w:space="0" w:color="auto"/>
                    <w:right w:val="none" w:sz="0" w:space="0" w:color="auto"/>
                  </w:divBdr>
                  <w:divsChild>
                    <w:div w:id="323094975">
                      <w:marLeft w:val="0"/>
                      <w:marRight w:val="0"/>
                      <w:marTop w:val="0"/>
                      <w:marBottom w:val="0"/>
                      <w:divBdr>
                        <w:top w:val="none" w:sz="0" w:space="0" w:color="auto"/>
                        <w:left w:val="none" w:sz="0" w:space="0" w:color="auto"/>
                        <w:bottom w:val="none" w:sz="0" w:space="0" w:color="auto"/>
                        <w:right w:val="none" w:sz="0" w:space="0" w:color="auto"/>
                      </w:divBdr>
                    </w:div>
                  </w:divsChild>
                </w:div>
                <w:div w:id="1859197893">
                  <w:marLeft w:val="0"/>
                  <w:marRight w:val="0"/>
                  <w:marTop w:val="0"/>
                  <w:marBottom w:val="0"/>
                  <w:divBdr>
                    <w:top w:val="none" w:sz="0" w:space="0" w:color="auto"/>
                    <w:left w:val="none" w:sz="0" w:space="0" w:color="auto"/>
                    <w:bottom w:val="none" w:sz="0" w:space="0" w:color="auto"/>
                    <w:right w:val="none" w:sz="0" w:space="0" w:color="auto"/>
                  </w:divBdr>
                  <w:divsChild>
                    <w:div w:id="1274940680">
                      <w:marLeft w:val="0"/>
                      <w:marRight w:val="0"/>
                      <w:marTop w:val="0"/>
                      <w:marBottom w:val="0"/>
                      <w:divBdr>
                        <w:top w:val="none" w:sz="0" w:space="0" w:color="auto"/>
                        <w:left w:val="none" w:sz="0" w:space="0" w:color="auto"/>
                        <w:bottom w:val="none" w:sz="0" w:space="0" w:color="auto"/>
                        <w:right w:val="none" w:sz="0" w:space="0" w:color="auto"/>
                      </w:divBdr>
                    </w:div>
                  </w:divsChild>
                </w:div>
                <w:div w:id="1912810613">
                  <w:marLeft w:val="0"/>
                  <w:marRight w:val="0"/>
                  <w:marTop w:val="0"/>
                  <w:marBottom w:val="0"/>
                  <w:divBdr>
                    <w:top w:val="none" w:sz="0" w:space="0" w:color="auto"/>
                    <w:left w:val="none" w:sz="0" w:space="0" w:color="auto"/>
                    <w:bottom w:val="none" w:sz="0" w:space="0" w:color="auto"/>
                    <w:right w:val="none" w:sz="0" w:space="0" w:color="auto"/>
                  </w:divBdr>
                  <w:divsChild>
                    <w:div w:id="1684866705">
                      <w:marLeft w:val="0"/>
                      <w:marRight w:val="0"/>
                      <w:marTop w:val="0"/>
                      <w:marBottom w:val="0"/>
                      <w:divBdr>
                        <w:top w:val="none" w:sz="0" w:space="0" w:color="auto"/>
                        <w:left w:val="none" w:sz="0" w:space="0" w:color="auto"/>
                        <w:bottom w:val="none" w:sz="0" w:space="0" w:color="auto"/>
                        <w:right w:val="none" w:sz="0" w:space="0" w:color="auto"/>
                      </w:divBdr>
                    </w:div>
                  </w:divsChild>
                </w:div>
                <w:div w:id="1966765282">
                  <w:marLeft w:val="0"/>
                  <w:marRight w:val="0"/>
                  <w:marTop w:val="0"/>
                  <w:marBottom w:val="0"/>
                  <w:divBdr>
                    <w:top w:val="none" w:sz="0" w:space="0" w:color="auto"/>
                    <w:left w:val="none" w:sz="0" w:space="0" w:color="auto"/>
                    <w:bottom w:val="none" w:sz="0" w:space="0" w:color="auto"/>
                    <w:right w:val="none" w:sz="0" w:space="0" w:color="auto"/>
                  </w:divBdr>
                  <w:divsChild>
                    <w:div w:id="1629122574">
                      <w:marLeft w:val="0"/>
                      <w:marRight w:val="0"/>
                      <w:marTop w:val="0"/>
                      <w:marBottom w:val="0"/>
                      <w:divBdr>
                        <w:top w:val="none" w:sz="0" w:space="0" w:color="auto"/>
                        <w:left w:val="none" w:sz="0" w:space="0" w:color="auto"/>
                        <w:bottom w:val="none" w:sz="0" w:space="0" w:color="auto"/>
                        <w:right w:val="none" w:sz="0" w:space="0" w:color="auto"/>
                      </w:divBdr>
                    </w:div>
                  </w:divsChild>
                </w:div>
                <w:div w:id="2047873999">
                  <w:marLeft w:val="0"/>
                  <w:marRight w:val="0"/>
                  <w:marTop w:val="0"/>
                  <w:marBottom w:val="0"/>
                  <w:divBdr>
                    <w:top w:val="none" w:sz="0" w:space="0" w:color="auto"/>
                    <w:left w:val="none" w:sz="0" w:space="0" w:color="auto"/>
                    <w:bottom w:val="none" w:sz="0" w:space="0" w:color="auto"/>
                    <w:right w:val="none" w:sz="0" w:space="0" w:color="auto"/>
                  </w:divBdr>
                  <w:divsChild>
                    <w:div w:id="2092384273">
                      <w:marLeft w:val="0"/>
                      <w:marRight w:val="0"/>
                      <w:marTop w:val="0"/>
                      <w:marBottom w:val="0"/>
                      <w:divBdr>
                        <w:top w:val="none" w:sz="0" w:space="0" w:color="auto"/>
                        <w:left w:val="none" w:sz="0" w:space="0" w:color="auto"/>
                        <w:bottom w:val="none" w:sz="0" w:space="0" w:color="auto"/>
                        <w:right w:val="none" w:sz="0" w:space="0" w:color="auto"/>
                      </w:divBdr>
                    </w:div>
                  </w:divsChild>
                </w:div>
                <w:div w:id="2051760704">
                  <w:marLeft w:val="0"/>
                  <w:marRight w:val="0"/>
                  <w:marTop w:val="0"/>
                  <w:marBottom w:val="0"/>
                  <w:divBdr>
                    <w:top w:val="none" w:sz="0" w:space="0" w:color="auto"/>
                    <w:left w:val="none" w:sz="0" w:space="0" w:color="auto"/>
                    <w:bottom w:val="none" w:sz="0" w:space="0" w:color="auto"/>
                    <w:right w:val="none" w:sz="0" w:space="0" w:color="auto"/>
                  </w:divBdr>
                  <w:divsChild>
                    <w:div w:id="513496150">
                      <w:marLeft w:val="0"/>
                      <w:marRight w:val="0"/>
                      <w:marTop w:val="0"/>
                      <w:marBottom w:val="0"/>
                      <w:divBdr>
                        <w:top w:val="none" w:sz="0" w:space="0" w:color="auto"/>
                        <w:left w:val="none" w:sz="0" w:space="0" w:color="auto"/>
                        <w:bottom w:val="none" w:sz="0" w:space="0" w:color="auto"/>
                        <w:right w:val="none" w:sz="0" w:space="0" w:color="auto"/>
                      </w:divBdr>
                    </w:div>
                  </w:divsChild>
                </w:div>
                <w:div w:id="2138836930">
                  <w:marLeft w:val="0"/>
                  <w:marRight w:val="0"/>
                  <w:marTop w:val="0"/>
                  <w:marBottom w:val="0"/>
                  <w:divBdr>
                    <w:top w:val="none" w:sz="0" w:space="0" w:color="auto"/>
                    <w:left w:val="none" w:sz="0" w:space="0" w:color="auto"/>
                    <w:bottom w:val="none" w:sz="0" w:space="0" w:color="auto"/>
                    <w:right w:val="none" w:sz="0" w:space="0" w:color="auto"/>
                  </w:divBdr>
                  <w:divsChild>
                    <w:div w:id="1198198788">
                      <w:marLeft w:val="0"/>
                      <w:marRight w:val="0"/>
                      <w:marTop w:val="0"/>
                      <w:marBottom w:val="0"/>
                      <w:divBdr>
                        <w:top w:val="none" w:sz="0" w:space="0" w:color="auto"/>
                        <w:left w:val="none" w:sz="0" w:space="0" w:color="auto"/>
                        <w:bottom w:val="none" w:sz="0" w:space="0" w:color="auto"/>
                        <w:right w:val="none" w:sz="0" w:space="0" w:color="auto"/>
                      </w:divBdr>
                    </w:div>
                  </w:divsChild>
                </w:div>
                <w:div w:id="2144343807">
                  <w:marLeft w:val="0"/>
                  <w:marRight w:val="0"/>
                  <w:marTop w:val="0"/>
                  <w:marBottom w:val="0"/>
                  <w:divBdr>
                    <w:top w:val="none" w:sz="0" w:space="0" w:color="auto"/>
                    <w:left w:val="none" w:sz="0" w:space="0" w:color="auto"/>
                    <w:bottom w:val="none" w:sz="0" w:space="0" w:color="auto"/>
                    <w:right w:val="none" w:sz="0" w:space="0" w:color="auto"/>
                  </w:divBdr>
                  <w:divsChild>
                    <w:div w:id="3443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0275">
      <w:bodyDiv w:val="1"/>
      <w:marLeft w:val="0"/>
      <w:marRight w:val="0"/>
      <w:marTop w:val="0"/>
      <w:marBottom w:val="0"/>
      <w:divBdr>
        <w:top w:val="none" w:sz="0" w:space="0" w:color="auto"/>
        <w:left w:val="none" w:sz="0" w:space="0" w:color="auto"/>
        <w:bottom w:val="none" w:sz="0" w:space="0" w:color="auto"/>
        <w:right w:val="none" w:sz="0" w:space="0" w:color="auto"/>
      </w:divBdr>
    </w:div>
    <w:div w:id="196696763">
      <w:bodyDiv w:val="1"/>
      <w:marLeft w:val="0"/>
      <w:marRight w:val="0"/>
      <w:marTop w:val="0"/>
      <w:marBottom w:val="0"/>
      <w:divBdr>
        <w:top w:val="none" w:sz="0" w:space="0" w:color="auto"/>
        <w:left w:val="none" w:sz="0" w:space="0" w:color="auto"/>
        <w:bottom w:val="none" w:sz="0" w:space="0" w:color="auto"/>
        <w:right w:val="none" w:sz="0" w:space="0" w:color="auto"/>
      </w:divBdr>
    </w:div>
    <w:div w:id="207380708">
      <w:bodyDiv w:val="1"/>
      <w:marLeft w:val="0"/>
      <w:marRight w:val="0"/>
      <w:marTop w:val="0"/>
      <w:marBottom w:val="0"/>
      <w:divBdr>
        <w:top w:val="none" w:sz="0" w:space="0" w:color="auto"/>
        <w:left w:val="none" w:sz="0" w:space="0" w:color="auto"/>
        <w:bottom w:val="none" w:sz="0" w:space="0" w:color="auto"/>
        <w:right w:val="none" w:sz="0" w:space="0" w:color="auto"/>
      </w:divBdr>
      <w:divsChild>
        <w:div w:id="1204366139">
          <w:marLeft w:val="0"/>
          <w:marRight w:val="0"/>
          <w:marTop w:val="0"/>
          <w:marBottom w:val="0"/>
          <w:divBdr>
            <w:top w:val="none" w:sz="0" w:space="0" w:color="auto"/>
            <w:left w:val="none" w:sz="0" w:space="0" w:color="auto"/>
            <w:bottom w:val="none" w:sz="0" w:space="0" w:color="auto"/>
            <w:right w:val="none" w:sz="0" w:space="0" w:color="auto"/>
          </w:divBdr>
          <w:divsChild>
            <w:div w:id="600407394">
              <w:marLeft w:val="0"/>
              <w:marRight w:val="0"/>
              <w:marTop w:val="30"/>
              <w:marBottom w:val="30"/>
              <w:divBdr>
                <w:top w:val="none" w:sz="0" w:space="0" w:color="auto"/>
                <w:left w:val="none" w:sz="0" w:space="0" w:color="auto"/>
                <w:bottom w:val="none" w:sz="0" w:space="0" w:color="auto"/>
                <w:right w:val="none" w:sz="0" w:space="0" w:color="auto"/>
              </w:divBdr>
              <w:divsChild>
                <w:div w:id="165097557">
                  <w:marLeft w:val="0"/>
                  <w:marRight w:val="0"/>
                  <w:marTop w:val="0"/>
                  <w:marBottom w:val="0"/>
                  <w:divBdr>
                    <w:top w:val="none" w:sz="0" w:space="0" w:color="auto"/>
                    <w:left w:val="none" w:sz="0" w:space="0" w:color="auto"/>
                    <w:bottom w:val="none" w:sz="0" w:space="0" w:color="auto"/>
                    <w:right w:val="none" w:sz="0" w:space="0" w:color="auto"/>
                  </w:divBdr>
                  <w:divsChild>
                    <w:div w:id="347294742">
                      <w:marLeft w:val="0"/>
                      <w:marRight w:val="0"/>
                      <w:marTop w:val="0"/>
                      <w:marBottom w:val="0"/>
                      <w:divBdr>
                        <w:top w:val="none" w:sz="0" w:space="0" w:color="auto"/>
                        <w:left w:val="none" w:sz="0" w:space="0" w:color="auto"/>
                        <w:bottom w:val="none" w:sz="0" w:space="0" w:color="auto"/>
                        <w:right w:val="none" w:sz="0" w:space="0" w:color="auto"/>
                      </w:divBdr>
                    </w:div>
                    <w:div w:id="1496413236">
                      <w:marLeft w:val="0"/>
                      <w:marRight w:val="0"/>
                      <w:marTop w:val="0"/>
                      <w:marBottom w:val="0"/>
                      <w:divBdr>
                        <w:top w:val="none" w:sz="0" w:space="0" w:color="auto"/>
                        <w:left w:val="none" w:sz="0" w:space="0" w:color="auto"/>
                        <w:bottom w:val="none" w:sz="0" w:space="0" w:color="auto"/>
                        <w:right w:val="none" w:sz="0" w:space="0" w:color="auto"/>
                      </w:divBdr>
                    </w:div>
                  </w:divsChild>
                </w:div>
                <w:div w:id="313728882">
                  <w:marLeft w:val="0"/>
                  <w:marRight w:val="0"/>
                  <w:marTop w:val="0"/>
                  <w:marBottom w:val="0"/>
                  <w:divBdr>
                    <w:top w:val="none" w:sz="0" w:space="0" w:color="auto"/>
                    <w:left w:val="none" w:sz="0" w:space="0" w:color="auto"/>
                    <w:bottom w:val="none" w:sz="0" w:space="0" w:color="auto"/>
                    <w:right w:val="none" w:sz="0" w:space="0" w:color="auto"/>
                  </w:divBdr>
                  <w:divsChild>
                    <w:div w:id="38819886">
                      <w:marLeft w:val="0"/>
                      <w:marRight w:val="0"/>
                      <w:marTop w:val="0"/>
                      <w:marBottom w:val="0"/>
                      <w:divBdr>
                        <w:top w:val="none" w:sz="0" w:space="0" w:color="auto"/>
                        <w:left w:val="none" w:sz="0" w:space="0" w:color="auto"/>
                        <w:bottom w:val="none" w:sz="0" w:space="0" w:color="auto"/>
                        <w:right w:val="none" w:sz="0" w:space="0" w:color="auto"/>
                      </w:divBdr>
                    </w:div>
                    <w:div w:id="614600975">
                      <w:marLeft w:val="0"/>
                      <w:marRight w:val="0"/>
                      <w:marTop w:val="0"/>
                      <w:marBottom w:val="0"/>
                      <w:divBdr>
                        <w:top w:val="none" w:sz="0" w:space="0" w:color="auto"/>
                        <w:left w:val="none" w:sz="0" w:space="0" w:color="auto"/>
                        <w:bottom w:val="none" w:sz="0" w:space="0" w:color="auto"/>
                        <w:right w:val="none" w:sz="0" w:space="0" w:color="auto"/>
                      </w:divBdr>
                    </w:div>
                    <w:div w:id="2010251551">
                      <w:marLeft w:val="0"/>
                      <w:marRight w:val="0"/>
                      <w:marTop w:val="0"/>
                      <w:marBottom w:val="0"/>
                      <w:divBdr>
                        <w:top w:val="none" w:sz="0" w:space="0" w:color="auto"/>
                        <w:left w:val="none" w:sz="0" w:space="0" w:color="auto"/>
                        <w:bottom w:val="none" w:sz="0" w:space="0" w:color="auto"/>
                        <w:right w:val="none" w:sz="0" w:space="0" w:color="auto"/>
                      </w:divBdr>
                    </w:div>
                    <w:div w:id="2081753346">
                      <w:marLeft w:val="0"/>
                      <w:marRight w:val="0"/>
                      <w:marTop w:val="0"/>
                      <w:marBottom w:val="0"/>
                      <w:divBdr>
                        <w:top w:val="none" w:sz="0" w:space="0" w:color="auto"/>
                        <w:left w:val="none" w:sz="0" w:space="0" w:color="auto"/>
                        <w:bottom w:val="none" w:sz="0" w:space="0" w:color="auto"/>
                        <w:right w:val="none" w:sz="0" w:space="0" w:color="auto"/>
                      </w:divBdr>
                    </w:div>
                  </w:divsChild>
                </w:div>
                <w:div w:id="396786749">
                  <w:marLeft w:val="0"/>
                  <w:marRight w:val="0"/>
                  <w:marTop w:val="0"/>
                  <w:marBottom w:val="0"/>
                  <w:divBdr>
                    <w:top w:val="none" w:sz="0" w:space="0" w:color="auto"/>
                    <w:left w:val="none" w:sz="0" w:space="0" w:color="auto"/>
                    <w:bottom w:val="none" w:sz="0" w:space="0" w:color="auto"/>
                    <w:right w:val="none" w:sz="0" w:space="0" w:color="auto"/>
                  </w:divBdr>
                  <w:divsChild>
                    <w:div w:id="1960724876">
                      <w:marLeft w:val="0"/>
                      <w:marRight w:val="0"/>
                      <w:marTop w:val="0"/>
                      <w:marBottom w:val="0"/>
                      <w:divBdr>
                        <w:top w:val="none" w:sz="0" w:space="0" w:color="auto"/>
                        <w:left w:val="none" w:sz="0" w:space="0" w:color="auto"/>
                        <w:bottom w:val="none" w:sz="0" w:space="0" w:color="auto"/>
                        <w:right w:val="none" w:sz="0" w:space="0" w:color="auto"/>
                      </w:divBdr>
                    </w:div>
                  </w:divsChild>
                </w:div>
                <w:div w:id="567375777">
                  <w:marLeft w:val="0"/>
                  <w:marRight w:val="0"/>
                  <w:marTop w:val="0"/>
                  <w:marBottom w:val="0"/>
                  <w:divBdr>
                    <w:top w:val="none" w:sz="0" w:space="0" w:color="auto"/>
                    <w:left w:val="none" w:sz="0" w:space="0" w:color="auto"/>
                    <w:bottom w:val="none" w:sz="0" w:space="0" w:color="auto"/>
                    <w:right w:val="none" w:sz="0" w:space="0" w:color="auto"/>
                  </w:divBdr>
                  <w:divsChild>
                    <w:div w:id="277756940">
                      <w:marLeft w:val="0"/>
                      <w:marRight w:val="0"/>
                      <w:marTop w:val="0"/>
                      <w:marBottom w:val="0"/>
                      <w:divBdr>
                        <w:top w:val="none" w:sz="0" w:space="0" w:color="auto"/>
                        <w:left w:val="none" w:sz="0" w:space="0" w:color="auto"/>
                        <w:bottom w:val="none" w:sz="0" w:space="0" w:color="auto"/>
                        <w:right w:val="none" w:sz="0" w:space="0" w:color="auto"/>
                      </w:divBdr>
                    </w:div>
                    <w:div w:id="842940222">
                      <w:marLeft w:val="0"/>
                      <w:marRight w:val="0"/>
                      <w:marTop w:val="0"/>
                      <w:marBottom w:val="0"/>
                      <w:divBdr>
                        <w:top w:val="none" w:sz="0" w:space="0" w:color="auto"/>
                        <w:left w:val="none" w:sz="0" w:space="0" w:color="auto"/>
                        <w:bottom w:val="none" w:sz="0" w:space="0" w:color="auto"/>
                        <w:right w:val="none" w:sz="0" w:space="0" w:color="auto"/>
                      </w:divBdr>
                    </w:div>
                    <w:div w:id="1002512661">
                      <w:marLeft w:val="0"/>
                      <w:marRight w:val="0"/>
                      <w:marTop w:val="0"/>
                      <w:marBottom w:val="0"/>
                      <w:divBdr>
                        <w:top w:val="none" w:sz="0" w:space="0" w:color="auto"/>
                        <w:left w:val="none" w:sz="0" w:space="0" w:color="auto"/>
                        <w:bottom w:val="none" w:sz="0" w:space="0" w:color="auto"/>
                        <w:right w:val="none" w:sz="0" w:space="0" w:color="auto"/>
                      </w:divBdr>
                    </w:div>
                  </w:divsChild>
                </w:div>
                <w:div w:id="864946068">
                  <w:marLeft w:val="0"/>
                  <w:marRight w:val="0"/>
                  <w:marTop w:val="0"/>
                  <w:marBottom w:val="0"/>
                  <w:divBdr>
                    <w:top w:val="none" w:sz="0" w:space="0" w:color="auto"/>
                    <w:left w:val="none" w:sz="0" w:space="0" w:color="auto"/>
                    <w:bottom w:val="none" w:sz="0" w:space="0" w:color="auto"/>
                    <w:right w:val="none" w:sz="0" w:space="0" w:color="auto"/>
                  </w:divBdr>
                  <w:divsChild>
                    <w:div w:id="1157259826">
                      <w:marLeft w:val="0"/>
                      <w:marRight w:val="0"/>
                      <w:marTop w:val="0"/>
                      <w:marBottom w:val="0"/>
                      <w:divBdr>
                        <w:top w:val="none" w:sz="0" w:space="0" w:color="auto"/>
                        <w:left w:val="none" w:sz="0" w:space="0" w:color="auto"/>
                        <w:bottom w:val="none" w:sz="0" w:space="0" w:color="auto"/>
                        <w:right w:val="none" w:sz="0" w:space="0" w:color="auto"/>
                      </w:divBdr>
                    </w:div>
                    <w:div w:id="1382747736">
                      <w:marLeft w:val="0"/>
                      <w:marRight w:val="0"/>
                      <w:marTop w:val="0"/>
                      <w:marBottom w:val="0"/>
                      <w:divBdr>
                        <w:top w:val="none" w:sz="0" w:space="0" w:color="auto"/>
                        <w:left w:val="none" w:sz="0" w:space="0" w:color="auto"/>
                        <w:bottom w:val="none" w:sz="0" w:space="0" w:color="auto"/>
                        <w:right w:val="none" w:sz="0" w:space="0" w:color="auto"/>
                      </w:divBdr>
                    </w:div>
                    <w:div w:id="2084064937">
                      <w:marLeft w:val="0"/>
                      <w:marRight w:val="0"/>
                      <w:marTop w:val="0"/>
                      <w:marBottom w:val="0"/>
                      <w:divBdr>
                        <w:top w:val="none" w:sz="0" w:space="0" w:color="auto"/>
                        <w:left w:val="none" w:sz="0" w:space="0" w:color="auto"/>
                        <w:bottom w:val="none" w:sz="0" w:space="0" w:color="auto"/>
                        <w:right w:val="none" w:sz="0" w:space="0" w:color="auto"/>
                      </w:divBdr>
                    </w:div>
                  </w:divsChild>
                </w:div>
                <w:div w:id="1000893149">
                  <w:marLeft w:val="0"/>
                  <w:marRight w:val="0"/>
                  <w:marTop w:val="0"/>
                  <w:marBottom w:val="0"/>
                  <w:divBdr>
                    <w:top w:val="none" w:sz="0" w:space="0" w:color="auto"/>
                    <w:left w:val="none" w:sz="0" w:space="0" w:color="auto"/>
                    <w:bottom w:val="none" w:sz="0" w:space="0" w:color="auto"/>
                    <w:right w:val="none" w:sz="0" w:space="0" w:color="auto"/>
                  </w:divBdr>
                  <w:divsChild>
                    <w:div w:id="469591469">
                      <w:marLeft w:val="0"/>
                      <w:marRight w:val="0"/>
                      <w:marTop w:val="0"/>
                      <w:marBottom w:val="0"/>
                      <w:divBdr>
                        <w:top w:val="none" w:sz="0" w:space="0" w:color="auto"/>
                        <w:left w:val="none" w:sz="0" w:space="0" w:color="auto"/>
                        <w:bottom w:val="none" w:sz="0" w:space="0" w:color="auto"/>
                        <w:right w:val="none" w:sz="0" w:space="0" w:color="auto"/>
                      </w:divBdr>
                    </w:div>
                  </w:divsChild>
                </w:div>
                <w:div w:id="1018385905">
                  <w:marLeft w:val="0"/>
                  <w:marRight w:val="0"/>
                  <w:marTop w:val="0"/>
                  <w:marBottom w:val="0"/>
                  <w:divBdr>
                    <w:top w:val="none" w:sz="0" w:space="0" w:color="auto"/>
                    <w:left w:val="none" w:sz="0" w:space="0" w:color="auto"/>
                    <w:bottom w:val="none" w:sz="0" w:space="0" w:color="auto"/>
                    <w:right w:val="none" w:sz="0" w:space="0" w:color="auto"/>
                  </w:divBdr>
                  <w:divsChild>
                    <w:div w:id="603879340">
                      <w:marLeft w:val="0"/>
                      <w:marRight w:val="0"/>
                      <w:marTop w:val="0"/>
                      <w:marBottom w:val="0"/>
                      <w:divBdr>
                        <w:top w:val="none" w:sz="0" w:space="0" w:color="auto"/>
                        <w:left w:val="none" w:sz="0" w:space="0" w:color="auto"/>
                        <w:bottom w:val="none" w:sz="0" w:space="0" w:color="auto"/>
                        <w:right w:val="none" w:sz="0" w:space="0" w:color="auto"/>
                      </w:divBdr>
                    </w:div>
                  </w:divsChild>
                </w:div>
                <w:div w:id="1152941035">
                  <w:marLeft w:val="0"/>
                  <w:marRight w:val="0"/>
                  <w:marTop w:val="0"/>
                  <w:marBottom w:val="0"/>
                  <w:divBdr>
                    <w:top w:val="none" w:sz="0" w:space="0" w:color="auto"/>
                    <w:left w:val="none" w:sz="0" w:space="0" w:color="auto"/>
                    <w:bottom w:val="none" w:sz="0" w:space="0" w:color="auto"/>
                    <w:right w:val="none" w:sz="0" w:space="0" w:color="auto"/>
                  </w:divBdr>
                  <w:divsChild>
                    <w:div w:id="1818298564">
                      <w:marLeft w:val="0"/>
                      <w:marRight w:val="0"/>
                      <w:marTop w:val="0"/>
                      <w:marBottom w:val="0"/>
                      <w:divBdr>
                        <w:top w:val="none" w:sz="0" w:space="0" w:color="auto"/>
                        <w:left w:val="none" w:sz="0" w:space="0" w:color="auto"/>
                        <w:bottom w:val="none" w:sz="0" w:space="0" w:color="auto"/>
                        <w:right w:val="none" w:sz="0" w:space="0" w:color="auto"/>
                      </w:divBdr>
                    </w:div>
                  </w:divsChild>
                </w:div>
                <w:div w:id="1427574761">
                  <w:marLeft w:val="0"/>
                  <w:marRight w:val="0"/>
                  <w:marTop w:val="0"/>
                  <w:marBottom w:val="0"/>
                  <w:divBdr>
                    <w:top w:val="none" w:sz="0" w:space="0" w:color="auto"/>
                    <w:left w:val="none" w:sz="0" w:space="0" w:color="auto"/>
                    <w:bottom w:val="none" w:sz="0" w:space="0" w:color="auto"/>
                    <w:right w:val="none" w:sz="0" w:space="0" w:color="auto"/>
                  </w:divBdr>
                  <w:divsChild>
                    <w:div w:id="1546604198">
                      <w:marLeft w:val="0"/>
                      <w:marRight w:val="0"/>
                      <w:marTop w:val="0"/>
                      <w:marBottom w:val="0"/>
                      <w:divBdr>
                        <w:top w:val="none" w:sz="0" w:space="0" w:color="auto"/>
                        <w:left w:val="none" w:sz="0" w:space="0" w:color="auto"/>
                        <w:bottom w:val="none" w:sz="0" w:space="0" w:color="auto"/>
                        <w:right w:val="none" w:sz="0" w:space="0" w:color="auto"/>
                      </w:divBdr>
                    </w:div>
                  </w:divsChild>
                </w:div>
                <w:div w:id="1760328442">
                  <w:marLeft w:val="0"/>
                  <w:marRight w:val="0"/>
                  <w:marTop w:val="0"/>
                  <w:marBottom w:val="0"/>
                  <w:divBdr>
                    <w:top w:val="none" w:sz="0" w:space="0" w:color="auto"/>
                    <w:left w:val="none" w:sz="0" w:space="0" w:color="auto"/>
                    <w:bottom w:val="none" w:sz="0" w:space="0" w:color="auto"/>
                    <w:right w:val="none" w:sz="0" w:space="0" w:color="auto"/>
                  </w:divBdr>
                  <w:divsChild>
                    <w:div w:id="904141708">
                      <w:marLeft w:val="0"/>
                      <w:marRight w:val="0"/>
                      <w:marTop w:val="0"/>
                      <w:marBottom w:val="0"/>
                      <w:divBdr>
                        <w:top w:val="none" w:sz="0" w:space="0" w:color="auto"/>
                        <w:left w:val="none" w:sz="0" w:space="0" w:color="auto"/>
                        <w:bottom w:val="none" w:sz="0" w:space="0" w:color="auto"/>
                        <w:right w:val="none" w:sz="0" w:space="0" w:color="auto"/>
                      </w:divBdr>
                    </w:div>
                    <w:div w:id="1151479676">
                      <w:marLeft w:val="0"/>
                      <w:marRight w:val="0"/>
                      <w:marTop w:val="0"/>
                      <w:marBottom w:val="0"/>
                      <w:divBdr>
                        <w:top w:val="none" w:sz="0" w:space="0" w:color="auto"/>
                        <w:left w:val="none" w:sz="0" w:space="0" w:color="auto"/>
                        <w:bottom w:val="none" w:sz="0" w:space="0" w:color="auto"/>
                        <w:right w:val="none" w:sz="0" w:space="0" w:color="auto"/>
                      </w:divBdr>
                    </w:div>
                    <w:div w:id="1225219221">
                      <w:marLeft w:val="0"/>
                      <w:marRight w:val="0"/>
                      <w:marTop w:val="0"/>
                      <w:marBottom w:val="0"/>
                      <w:divBdr>
                        <w:top w:val="none" w:sz="0" w:space="0" w:color="auto"/>
                        <w:left w:val="none" w:sz="0" w:space="0" w:color="auto"/>
                        <w:bottom w:val="none" w:sz="0" w:space="0" w:color="auto"/>
                        <w:right w:val="none" w:sz="0" w:space="0" w:color="auto"/>
                      </w:divBdr>
                    </w:div>
                  </w:divsChild>
                </w:div>
                <w:div w:id="1918514447">
                  <w:marLeft w:val="0"/>
                  <w:marRight w:val="0"/>
                  <w:marTop w:val="0"/>
                  <w:marBottom w:val="0"/>
                  <w:divBdr>
                    <w:top w:val="none" w:sz="0" w:space="0" w:color="auto"/>
                    <w:left w:val="none" w:sz="0" w:space="0" w:color="auto"/>
                    <w:bottom w:val="none" w:sz="0" w:space="0" w:color="auto"/>
                    <w:right w:val="none" w:sz="0" w:space="0" w:color="auto"/>
                  </w:divBdr>
                  <w:divsChild>
                    <w:div w:id="1385132209">
                      <w:marLeft w:val="0"/>
                      <w:marRight w:val="0"/>
                      <w:marTop w:val="0"/>
                      <w:marBottom w:val="0"/>
                      <w:divBdr>
                        <w:top w:val="none" w:sz="0" w:space="0" w:color="auto"/>
                        <w:left w:val="none" w:sz="0" w:space="0" w:color="auto"/>
                        <w:bottom w:val="none" w:sz="0" w:space="0" w:color="auto"/>
                        <w:right w:val="none" w:sz="0" w:space="0" w:color="auto"/>
                      </w:divBdr>
                    </w:div>
                  </w:divsChild>
                </w:div>
                <w:div w:id="2046634304">
                  <w:marLeft w:val="0"/>
                  <w:marRight w:val="0"/>
                  <w:marTop w:val="0"/>
                  <w:marBottom w:val="0"/>
                  <w:divBdr>
                    <w:top w:val="none" w:sz="0" w:space="0" w:color="auto"/>
                    <w:left w:val="none" w:sz="0" w:space="0" w:color="auto"/>
                    <w:bottom w:val="none" w:sz="0" w:space="0" w:color="auto"/>
                    <w:right w:val="none" w:sz="0" w:space="0" w:color="auto"/>
                  </w:divBdr>
                  <w:divsChild>
                    <w:div w:id="23672766">
                      <w:marLeft w:val="0"/>
                      <w:marRight w:val="0"/>
                      <w:marTop w:val="0"/>
                      <w:marBottom w:val="0"/>
                      <w:divBdr>
                        <w:top w:val="none" w:sz="0" w:space="0" w:color="auto"/>
                        <w:left w:val="none" w:sz="0" w:space="0" w:color="auto"/>
                        <w:bottom w:val="none" w:sz="0" w:space="0" w:color="auto"/>
                        <w:right w:val="none" w:sz="0" w:space="0" w:color="auto"/>
                      </w:divBdr>
                    </w:div>
                    <w:div w:id="609508144">
                      <w:marLeft w:val="0"/>
                      <w:marRight w:val="0"/>
                      <w:marTop w:val="0"/>
                      <w:marBottom w:val="0"/>
                      <w:divBdr>
                        <w:top w:val="none" w:sz="0" w:space="0" w:color="auto"/>
                        <w:left w:val="none" w:sz="0" w:space="0" w:color="auto"/>
                        <w:bottom w:val="none" w:sz="0" w:space="0" w:color="auto"/>
                        <w:right w:val="none" w:sz="0" w:space="0" w:color="auto"/>
                      </w:divBdr>
                    </w:div>
                    <w:div w:id="1154182499">
                      <w:marLeft w:val="0"/>
                      <w:marRight w:val="0"/>
                      <w:marTop w:val="0"/>
                      <w:marBottom w:val="0"/>
                      <w:divBdr>
                        <w:top w:val="none" w:sz="0" w:space="0" w:color="auto"/>
                        <w:left w:val="none" w:sz="0" w:space="0" w:color="auto"/>
                        <w:bottom w:val="none" w:sz="0" w:space="0" w:color="auto"/>
                        <w:right w:val="none" w:sz="0" w:space="0" w:color="auto"/>
                      </w:divBdr>
                    </w:div>
                    <w:div w:id="18316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955128">
          <w:marLeft w:val="0"/>
          <w:marRight w:val="0"/>
          <w:marTop w:val="0"/>
          <w:marBottom w:val="0"/>
          <w:divBdr>
            <w:top w:val="none" w:sz="0" w:space="0" w:color="auto"/>
            <w:left w:val="none" w:sz="0" w:space="0" w:color="auto"/>
            <w:bottom w:val="none" w:sz="0" w:space="0" w:color="auto"/>
            <w:right w:val="none" w:sz="0" w:space="0" w:color="auto"/>
          </w:divBdr>
        </w:div>
      </w:divsChild>
    </w:div>
    <w:div w:id="479268507">
      <w:bodyDiv w:val="1"/>
      <w:marLeft w:val="0"/>
      <w:marRight w:val="0"/>
      <w:marTop w:val="0"/>
      <w:marBottom w:val="0"/>
      <w:divBdr>
        <w:top w:val="none" w:sz="0" w:space="0" w:color="auto"/>
        <w:left w:val="none" w:sz="0" w:space="0" w:color="auto"/>
        <w:bottom w:val="none" w:sz="0" w:space="0" w:color="auto"/>
        <w:right w:val="none" w:sz="0" w:space="0" w:color="auto"/>
      </w:divBdr>
      <w:divsChild>
        <w:div w:id="180903668">
          <w:marLeft w:val="0"/>
          <w:marRight w:val="0"/>
          <w:marTop w:val="0"/>
          <w:marBottom w:val="0"/>
          <w:divBdr>
            <w:top w:val="none" w:sz="0" w:space="0" w:color="auto"/>
            <w:left w:val="none" w:sz="0" w:space="0" w:color="auto"/>
            <w:bottom w:val="none" w:sz="0" w:space="0" w:color="auto"/>
            <w:right w:val="none" w:sz="0" w:space="0" w:color="auto"/>
          </w:divBdr>
          <w:divsChild>
            <w:div w:id="93676935">
              <w:marLeft w:val="0"/>
              <w:marRight w:val="0"/>
              <w:marTop w:val="0"/>
              <w:marBottom w:val="0"/>
              <w:divBdr>
                <w:top w:val="none" w:sz="0" w:space="0" w:color="auto"/>
                <w:left w:val="none" w:sz="0" w:space="0" w:color="auto"/>
                <w:bottom w:val="none" w:sz="0" w:space="0" w:color="auto"/>
                <w:right w:val="none" w:sz="0" w:space="0" w:color="auto"/>
              </w:divBdr>
            </w:div>
          </w:divsChild>
        </w:div>
        <w:div w:id="959260493">
          <w:marLeft w:val="0"/>
          <w:marRight w:val="0"/>
          <w:marTop w:val="0"/>
          <w:marBottom w:val="0"/>
          <w:divBdr>
            <w:top w:val="none" w:sz="0" w:space="0" w:color="auto"/>
            <w:left w:val="none" w:sz="0" w:space="0" w:color="auto"/>
            <w:bottom w:val="none" w:sz="0" w:space="0" w:color="auto"/>
            <w:right w:val="none" w:sz="0" w:space="0" w:color="auto"/>
          </w:divBdr>
          <w:divsChild>
            <w:div w:id="1166827857">
              <w:marLeft w:val="0"/>
              <w:marRight w:val="0"/>
              <w:marTop w:val="0"/>
              <w:marBottom w:val="0"/>
              <w:divBdr>
                <w:top w:val="none" w:sz="0" w:space="0" w:color="auto"/>
                <w:left w:val="none" w:sz="0" w:space="0" w:color="auto"/>
                <w:bottom w:val="none" w:sz="0" w:space="0" w:color="auto"/>
                <w:right w:val="none" w:sz="0" w:space="0" w:color="auto"/>
              </w:divBdr>
            </w:div>
          </w:divsChild>
        </w:div>
        <w:div w:id="1192718926">
          <w:marLeft w:val="0"/>
          <w:marRight w:val="0"/>
          <w:marTop w:val="0"/>
          <w:marBottom w:val="0"/>
          <w:divBdr>
            <w:top w:val="none" w:sz="0" w:space="0" w:color="auto"/>
            <w:left w:val="none" w:sz="0" w:space="0" w:color="auto"/>
            <w:bottom w:val="none" w:sz="0" w:space="0" w:color="auto"/>
            <w:right w:val="none" w:sz="0" w:space="0" w:color="auto"/>
          </w:divBdr>
          <w:divsChild>
            <w:div w:id="17618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8503">
      <w:bodyDiv w:val="1"/>
      <w:marLeft w:val="0"/>
      <w:marRight w:val="0"/>
      <w:marTop w:val="0"/>
      <w:marBottom w:val="0"/>
      <w:divBdr>
        <w:top w:val="none" w:sz="0" w:space="0" w:color="auto"/>
        <w:left w:val="none" w:sz="0" w:space="0" w:color="auto"/>
        <w:bottom w:val="none" w:sz="0" w:space="0" w:color="auto"/>
        <w:right w:val="none" w:sz="0" w:space="0" w:color="auto"/>
      </w:divBdr>
      <w:divsChild>
        <w:div w:id="493302224">
          <w:marLeft w:val="0"/>
          <w:marRight w:val="0"/>
          <w:marTop w:val="0"/>
          <w:marBottom w:val="0"/>
          <w:divBdr>
            <w:top w:val="none" w:sz="0" w:space="0" w:color="auto"/>
            <w:left w:val="none" w:sz="0" w:space="0" w:color="auto"/>
            <w:bottom w:val="none" w:sz="0" w:space="0" w:color="auto"/>
            <w:right w:val="none" w:sz="0" w:space="0" w:color="auto"/>
          </w:divBdr>
        </w:div>
        <w:div w:id="1301882436">
          <w:marLeft w:val="0"/>
          <w:marRight w:val="0"/>
          <w:marTop w:val="0"/>
          <w:marBottom w:val="0"/>
          <w:divBdr>
            <w:top w:val="none" w:sz="0" w:space="0" w:color="auto"/>
            <w:left w:val="none" w:sz="0" w:space="0" w:color="auto"/>
            <w:bottom w:val="none" w:sz="0" w:space="0" w:color="auto"/>
            <w:right w:val="none" w:sz="0" w:space="0" w:color="auto"/>
          </w:divBdr>
          <w:divsChild>
            <w:div w:id="347147887">
              <w:marLeft w:val="0"/>
              <w:marRight w:val="0"/>
              <w:marTop w:val="30"/>
              <w:marBottom w:val="30"/>
              <w:divBdr>
                <w:top w:val="none" w:sz="0" w:space="0" w:color="auto"/>
                <w:left w:val="none" w:sz="0" w:space="0" w:color="auto"/>
                <w:bottom w:val="none" w:sz="0" w:space="0" w:color="auto"/>
                <w:right w:val="none" w:sz="0" w:space="0" w:color="auto"/>
              </w:divBdr>
              <w:divsChild>
                <w:div w:id="355549162">
                  <w:marLeft w:val="0"/>
                  <w:marRight w:val="0"/>
                  <w:marTop w:val="0"/>
                  <w:marBottom w:val="0"/>
                  <w:divBdr>
                    <w:top w:val="none" w:sz="0" w:space="0" w:color="auto"/>
                    <w:left w:val="none" w:sz="0" w:space="0" w:color="auto"/>
                    <w:bottom w:val="none" w:sz="0" w:space="0" w:color="auto"/>
                    <w:right w:val="none" w:sz="0" w:space="0" w:color="auto"/>
                  </w:divBdr>
                  <w:divsChild>
                    <w:div w:id="622465790">
                      <w:marLeft w:val="0"/>
                      <w:marRight w:val="0"/>
                      <w:marTop w:val="0"/>
                      <w:marBottom w:val="0"/>
                      <w:divBdr>
                        <w:top w:val="none" w:sz="0" w:space="0" w:color="auto"/>
                        <w:left w:val="none" w:sz="0" w:space="0" w:color="auto"/>
                        <w:bottom w:val="none" w:sz="0" w:space="0" w:color="auto"/>
                        <w:right w:val="none" w:sz="0" w:space="0" w:color="auto"/>
                      </w:divBdr>
                    </w:div>
                    <w:div w:id="1216315056">
                      <w:marLeft w:val="0"/>
                      <w:marRight w:val="0"/>
                      <w:marTop w:val="0"/>
                      <w:marBottom w:val="0"/>
                      <w:divBdr>
                        <w:top w:val="none" w:sz="0" w:space="0" w:color="auto"/>
                        <w:left w:val="none" w:sz="0" w:space="0" w:color="auto"/>
                        <w:bottom w:val="none" w:sz="0" w:space="0" w:color="auto"/>
                        <w:right w:val="none" w:sz="0" w:space="0" w:color="auto"/>
                      </w:divBdr>
                    </w:div>
                    <w:div w:id="1376351715">
                      <w:marLeft w:val="0"/>
                      <w:marRight w:val="0"/>
                      <w:marTop w:val="0"/>
                      <w:marBottom w:val="0"/>
                      <w:divBdr>
                        <w:top w:val="none" w:sz="0" w:space="0" w:color="auto"/>
                        <w:left w:val="none" w:sz="0" w:space="0" w:color="auto"/>
                        <w:bottom w:val="none" w:sz="0" w:space="0" w:color="auto"/>
                        <w:right w:val="none" w:sz="0" w:space="0" w:color="auto"/>
                      </w:divBdr>
                    </w:div>
                    <w:div w:id="2139565908">
                      <w:marLeft w:val="0"/>
                      <w:marRight w:val="0"/>
                      <w:marTop w:val="0"/>
                      <w:marBottom w:val="0"/>
                      <w:divBdr>
                        <w:top w:val="none" w:sz="0" w:space="0" w:color="auto"/>
                        <w:left w:val="none" w:sz="0" w:space="0" w:color="auto"/>
                        <w:bottom w:val="none" w:sz="0" w:space="0" w:color="auto"/>
                        <w:right w:val="none" w:sz="0" w:space="0" w:color="auto"/>
                      </w:divBdr>
                    </w:div>
                  </w:divsChild>
                </w:div>
                <w:div w:id="384527177">
                  <w:marLeft w:val="0"/>
                  <w:marRight w:val="0"/>
                  <w:marTop w:val="0"/>
                  <w:marBottom w:val="0"/>
                  <w:divBdr>
                    <w:top w:val="none" w:sz="0" w:space="0" w:color="auto"/>
                    <w:left w:val="none" w:sz="0" w:space="0" w:color="auto"/>
                    <w:bottom w:val="none" w:sz="0" w:space="0" w:color="auto"/>
                    <w:right w:val="none" w:sz="0" w:space="0" w:color="auto"/>
                  </w:divBdr>
                  <w:divsChild>
                    <w:div w:id="131799196">
                      <w:marLeft w:val="0"/>
                      <w:marRight w:val="0"/>
                      <w:marTop w:val="0"/>
                      <w:marBottom w:val="0"/>
                      <w:divBdr>
                        <w:top w:val="none" w:sz="0" w:space="0" w:color="auto"/>
                        <w:left w:val="none" w:sz="0" w:space="0" w:color="auto"/>
                        <w:bottom w:val="none" w:sz="0" w:space="0" w:color="auto"/>
                        <w:right w:val="none" w:sz="0" w:space="0" w:color="auto"/>
                      </w:divBdr>
                    </w:div>
                  </w:divsChild>
                </w:div>
                <w:div w:id="916984044">
                  <w:marLeft w:val="0"/>
                  <w:marRight w:val="0"/>
                  <w:marTop w:val="0"/>
                  <w:marBottom w:val="0"/>
                  <w:divBdr>
                    <w:top w:val="none" w:sz="0" w:space="0" w:color="auto"/>
                    <w:left w:val="none" w:sz="0" w:space="0" w:color="auto"/>
                    <w:bottom w:val="none" w:sz="0" w:space="0" w:color="auto"/>
                    <w:right w:val="none" w:sz="0" w:space="0" w:color="auto"/>
                  </w:divBdr>
                  <w:divsChild>
                    <w:div w:id="1962957668">
                      <w:marLeft w:val="0"/>
                      <w:marRight w:val="0"/>
                      <w:marTop w:val="0"/>
                      <w:marBottom w:val="0"/>
                      <w:divBdr>
                        <w:top w:val="none" w:sz="0" w:space="0" w:color="auto"/>
                        <w:left w:val="none" w:sz="0" w:space="0" w:color="auto"/>
                        <w:bottom w:val="none" w:sz="0" w:space="0" w:color="auto"/>
                        <w:right w:val="none" w:sz="0" w:space="0" w:color="auto"/>
                      </w:divBdr>
                    </w:div>
                  </w:divsChild>
                </w:div>
                <w:div w:id="920603221">
                  <w:marLeft w:val="0"/>
                  <w:marRight w:val="0"/>
                  <w:marTop w:val="0"/>
                  <w:marBottom w:val="0"/>
                  <w:divBdr>
                    <w:top w:val="none" w:sz="0" w:space="0" w:color="auto"/>
                    <w:left w:val="none" w:sz="0" w:space="0" w:color="auto"/>
                    <w:bottom w:val="none" w:sz="0" w:space="0" w:color="auto"/>
                    <w:right w:val="none" w:sz="0" w:space="0" w:color="auto"/>
                  </w:divBdr>
                  <w:divsChild>
                    <w:div w:id="15011507">
                      <w:marLeft w:val="0"/>
                      <w:marRight w:val="0"/>
                      <w:marTop w:val="0"/>
                      <w:marBottom w:val="0"/>
                      <w:divBdr>
                        <w:top w:val="none" w:sz="0" w:space="0" w:color="auto"/>
                        <w:left w:val="none" w:sz="0" w:space="0" w:color="auto"/>
                        <w:bottom w:val="none" w:sz="0" w:space="0" w:color="auto"/>
                        <w:right w:val="none" w:sz="0" w:space="0" w:color="auto"/>
                      </w:divBdr>
                    </w:div>
                    <w:div w:id="245262880">
                      <w:marLeft w:val="0"/>
                      <w:marRight w:val="0"/>
                      <w:marTop w:val="0"/>
                      <w:marBottom w:val="0"/>
                      <w:divBdr>
                        <w:top w:val="none" w:sz="0" w:space="0" w:color="auto"/>
                        <w:left w:val="none" w:sz="0" w:space="0" w:color="auto"/>
                        <w:bottom w:val="none" w:sz="0" w:space="0" w:color="auto"/>
                        <w:right w:val="none" w:sz="0" w:space="0" w:color="auto"/>
                      </w:divBdr>
                    </w:div>
                    <w:div w:id="1268924404">
                      <w:marLeft w:val="0"/>
                      <w:marRight w:val="0"/>
                      <w:marTop w:val="0"/>
                      <w:marBottom w:val="0"/>
                      <w:divBdr>
                        <w:top w:val="none" w:sz="0" w:space="0" w:color="auto"/>
                        <w:left w:val="none" w:sz="0" w:space="0" w:color="auto"/>
                        <w:bottom w:val="none" w:sz="0" w:space="0" w:color="auto"/>
                        <w:right w:val="none" w:sz="0" w:space="0" w:color="auto"/>
                      </w:divBdr>
                    </w:div>
                    <w:div w:id="1547645273">
                      <w:marLeft w:val="0"/>
                      <w:marRight w:val="0"/>
                      <w:marTop w:val="0"/>
                      <w:marBottom w:val="0"/>
                      <w:divBdr>
                        <w:top w:val="none" w:sz="0" w:space="0" w:color="auto"/>
                        <w:left w:val="none" w:sz="0" w:space="0" w:color="auto"/>
                        <w:bottom w:val="none" w:sz="0" w:space="0" w:color="auto"/>
                        <w:right w:val="none" w:sz="0" w:space="0" w:color="auto"/>
                      </w:divBdr>
                    </w:div>
                    <w:div w:id="1824353820">
                      <w:marLeft w:val="0"/>
                      <w:marRight w:val="0"/>
                      <w:marTop w:val="0"/>
                      <w:marBottom w:val="0"/>
                      <w:divBdr>
                        <w:top w:val="none" w:sz="0" w:space="0" w:color="auto"/>
                        <w:left w:val="none" w:sz="0" w:space="0" w:color="auto"/>
                        <w:bottom w:val="none" w:sz="0" w:space="0" w:color="auto"/>
                        <w:right w:val="none" w:sz="0" w:space="0" w:color="auto"/>
                      </w:divBdr>
                    </w:div>
                  </w:divsChild>
                </w:div>
                <w:div w:id="1092628470">
                  <w:marLeft w:val="0"/>
                  <w:marRight w:val="0"/>
                  <w:marTop w:val="0"/>
                  <w:marBottom w:val="0"/>
                  <w:divBdr>
                    <w:top w:val="none" w:sz="0" w:space="0" w:color="auto"/>
                    <w:left w:val="none" w:sz="0" w:space="0" w:color="auto"/>
                    <w:bottom w:val="none" w:sz="0" w:space="0" w:color="auto"/>
                    <w:right w:val="none" w:sz="0" w:space="0" w:color="auto"/>
                  </w:divBdr>
                  <w:divsChild>
                    <w:div w:id="283003637">
                      <w:marLeft w:val="0"/>
                      <w:marRight w:val="0"/>
                      <w:marTop w:val="0"/>
                      <w:marBottom w:val="0"/>
                      <w:divBdr>
                        <w:top w:val="none" w:sz="0" w:space="0" w:color="auto"/>
                        <w:left w:val="none" w:sz="0" w:space="0" w:color="auto"/>
                        <w:bottom w:val="none" w:sz="0" w:space="0" w:color="auto"/>
                        <w:right w:val="none" w:sz="0" w:space="0" w:color="auto"/>
                      </w:divBdr>
                    </w:div>
                    <w:div w:id="669797317">
                      <w:marLeft w:val="0"/>
                      <w:marRight w:val="0"/>
                      <w:marTop w:val="0"/>
                      <w:marBottom w:val="0"/>
                      <w:divBdr>
                        <w:top w:val="none" w:sz="0" w:space="0" w:color="auto"/>
                        <w:left w:val="none" w:sz="0" w:space="0" w:color="auto"/>
                        <w:bottom w:val="none" w:sz="0" w:space="0" w:color="auto"/>
                        <w:right w:val="none" w:sz="0" w:space="0" w:color="auto"/>
                      </w:divBdr>
                    </w:div>
                    <w:div w:id="1809934187">
                      <w:marLeft w:val="0"/>
                      <w:marRight w:val="0"/>
                      <w:marTop w:val="0"/>
                      <w:marBottom w:val="0"/>
                      <w:divBdr>
                        <w:top w:val="none" w:sz="0" w:space="0" w:color="auto"/>
                        <w:left w:val="none" w:sz="0" w:space="0" w:color="auto"/>
                        <w:bottom w:val="none" w:sz="0" w:space="0" w:color="auto"/>
                        <w:right w:val="none" w:sz="0" w:space="0" w:color="auto"/>
                      </w:divBdr>
                    </w:div>
                    <w:div w:id="1991252291">
                      <w:marLeft w:val="0"/>
                      <w:marRight w:val="0"/>
                      <w:marTop w:val="0"/>
                      <w:marBottom w:val="0"/>
                      <w:divBdr>
                        <w:top w:val="none" w:sz="0" w:space="0" w:color="auto"/>
                        <w:left w:val="none" w:sz="0" w:space="0" w:color="auto"/>
                        <w:bottom w:val="none" w:sz="0" w:space="0" w:color="auto"/>
                        <w:right w:val="none" w:sz="0" w:space="0" w:color="auto"/>
                      </w:divBdr>
                    </w:div>
                    <w:div w:id="2042968892">
                      <w:marLeft w:val="0"/>
                      <w:marRight w:val="0"/>
                      <w:marTop w:val="0"/>
                      <w:marBottom w:val="0"/>
                      <w:divBdr>
                        <w:top w:val="none" w:sz="0" w:space="0" w:color="auto"/>
                        <w:left w:val="none" w:sz="0" w:space="0" w:color="auto"/>
                        <w:bottom w:val="none" w:sz="0" w:space="0" w:color="auto"/>
                        <w:right w:val="none" w:sz="0" w:space="0" w:color="auto"/>
                      </w:divBdr>
                    </w:div>
                  </w:divsChild>
                </w:div>
                <w:div w:id="1131094632">
                  <w:marLeft w:val="0"/>
                  <w:marRight w:val="0"/>
                  <w:marTop w:val="0"/>
                  <w:marBottom w:val="0"/>
                  <w:divBdr>
                    <w:top w:val="none" w:sz="0" w:space="0" w:color="auto"/>
                    <w:left w:val="none" w:sz="0" w:space="0" w:color="auto"/>
                    <w:bottom w:val="none" w:sz="0" w:space="0" w:color="auto"/>
                    <w:right w:val="none" w:sz="0" w:space="0" w:color="auto"/>
                  </w:divBdr>
                  <w:divsChild>
                    <w:div w:id="714692676">
                      <w:marLeft w:val="0"/>
                      <w:marRight w:val="0"/>
                      <w:marTop w:val="0"/>
                      <w:marBottom w:val="0"/>
                      <w:divBdr>
                        <w:top w:val="none" w:sz="0" w:space="0" w:color="auto"/>
                        <w:left w:val="none" w:sz="0" w:space="0" w:color="auto"/>
                        <w:bottom w:val="none" w:sz="0" w:space="0" w:color="auto"/>
                        <w:right w:val="none" w:sz="0" w:space="0" w:color="auto"/>
                      </w:divBdr>
                    </w:div>
                  </w:divsChild>
                </w:div>
                <w:div w:id="1314483771">
                  <w:marLeft w:val="0"/>
                  <w:marRight w:val="0"/>
                  <w:marTop w:val="0"/>
                  <w:marBottom w:val="0"/>
                  <w:divBdr>
                    <w:top w:val="none" w:sz="0" w:space="0" w:color="auto"/>
                    <w:left w:val="none" w:sz="0" w:space="0" w:color="auto"/>
                    <w:bottom w:val="none" w:sz="0" w:space="0" w:color="auto"/>
                    <w:right w:val="none" w:sz="0" w:space="0" w:color="auto"/>
                  </w:divBdr>
                  <w:divsChild>
                    <w:div w:id="2121684196">
                      <w:marLeft w:val="0"/>
                      <w:marRight w:val="0"/>
                      <w:marTop w:val="0"/>
                      <w:marBottom w:val="0"/>
                      <w:divBdr>
                        <w:top w:val="none" w:sz="0" w:space="0" w:color="auto"/>
                        <w:left w:val="none" w:sz="0" w:space="0" w:color="auto"/>
                        <w:bottom w:val="none" w:sz="0" w:space="0" w:color="auto"/>
                        <w:right w:val="none" w:sz="0" w:space="0" w:color="auto"/>
                      </w:divBdr>
                    </w:div>
                  </w:divsChild>
                </w:div>
                <w:div w:id="1546410542">
                  <w:marLeft w:val="0"/>
                  <w:marRight w:val="0"/>
                  <w:marTop w:val="0"/>
                  <w:marBottom w:val="0"/>
                  <w:divBdr>
                    <w:top w:val="none" w:sz="0" w:space="0" w:color="auto"/>
                    <w:left w:val="none" w:sz="0" w:space="0" w:color="auto"/>
                    <w:bottom w:val="none" w:sz="0" w:space="0" w:color="auto"/>
                    <w:right w:val="none" w:sz="0" w:space="0" w:color="auto"/>
                  </w:divBdr>
                  <w:divsChild>
                    <w:div w:id="2021613494">
                      <w:marLeft w:val="0"/>
                      <w:marRight w:val="0"/>
                      <w:marTop w:val="0"/>
                      <w:marBottom w:val="0"/>
                      <w:divBdr>
                        <w:top w:val="none" w:sz="0" w:space="0" w:color="auto"/>
                        <w:left w:val="none" w:sz="0" w:space="0" w:color="auto"/>
                        <w:bottom w:val="none" w:sz="0" w:space="0" w:color="auto"/>
                        <w:right w:val="none" w:sz="0" w:space="0" w:color="auto"/>
                      </w:divBdr>
                    </w:div>
                  </w:divsChild>
                </w:div>
                <w:div w:id="1759909260">
                  <w:marLeft w:val="0"/>
                  <w:marRight w:val="0"/>
                  <w:marTop w:val="0"/>
                  <w:marBottom w:val="0"/>
                  <w:divBdr>
                    <w:top w:val="none" w:sz="0" w:space="0" w:color="auto"/>
                    <w:left w:val="none" w:sz="0" w:space="0" w:color="auto"/>
                    <w:bottom w:val="none" w:sz="0" w:space="0" w:color="auto"/>
                    <w:right w:val="none" w:sz="0" w:space="0" w:color="auto"/>
                  </w:divBdr>
                  <w:divsChild>
                    <w:div w:id="717776811">
                      <w:marLeft w:val="0"/>
                      <w:marRight w:val="0"/>
                      <w:marTop w:val="0"/>
                      <w:marBottom w:val="0"/>
                      <w:divBdr>
                        <w:top w:val="none" w:sz="0" w:space="0" w:color="auto"/>
                        <w:left w:val="none" w:sz="0" w:space="0" w:color="auto"/>
                        <w:bottom w:val="none" w:sz="0" w:space="0" w:color="auto"/>
                        <w:right w:val="none" w:sz="0" w:space="0" w:color="auto"/>
                      </w:divBdr>
                    </w:div>
                    <w:div w:id="1019816765">
                      <w:marLeft w:val="0"/>
                      <w:marRight w:val="0"/>
                      <w:marTop w:val="0"/>
                      <w:marBottom w:val="0"/>
                      <w:divBdr>
                        <w:top w:val="none" w:sz="0" w:space="0" w:color="auto"/>
                        <w:left w:val="none" w:sz="0" w:space="0" w:color="auto"/>
                        <w:bottom w:val="none" w:sz="0" w:space="0" w:color="auto"/>
                        <w:right w:val="none" w:sz="0" w:space="0" w:color="auto"/>
                      </w:divBdr>
                    </w:div>
                  </w:divsChild>
                </w:div>
                <w:div w:id="1834057044">
                  <w:marLeft w:val="0"/>
                  <w:marRight w:val="0"/>
                  <w:marTop w:val="0"/>
                  <w:marBottom w:val="0"/>
                  <w:divBdr>
                    <w:top w:val="none" w:sz="0" w:space="0" w:color="auto"/>
                    <w:left w:val="none" w:sz="0" w:space="0" w:color="auto"/>
                    <w:bottom w:val="none" w:sz="0" w:space="0" w:color="auto"/>
                    <w:right w:val="none" w:sz="0" w:space="0" w:color="auto"/>
                  </w:divBdr>
                  <w:divsChild>
                    <w:div w:id="607739053">
                      <w:marLeft w:val="0"/>
                      <w:marRight w:val="0"/>
                      <w:marTop w:val="0"/>
                      <w:marBottom w:val="0"/>
                      <w:divBdr>
                        <w:top w:val="none" w:sz="0" w:space="0" w:color="auto"/>
                        <w:left w:val="none" w:sz="0" w:space="0" w:color="auto"/>
                        <w:bottom w:val="none" w:sz="0" w:space="0" w:color="auto"/>
                        <w:right w:val="none" w:sz="0" w:space="0" w:color="auto"/>
                      </w:divBdr>
                    </w:div>
                  </w:divsChild>
                </w:div>
                <w:div w:id="1889217261">
                  <w:marLeft w:val="0"/>
                  <w:marRight w:val="0"/>
                  <w:marTop w:val="0"/>
                  <w:marBottom w:val="0"/>
                  <w:divBdr>
                    <w:top w:val="none" w:sz="0" w:space="0" w:color="auto"/>
                    <w:left w:val="none" w:sz="0" w:space="0" w:color="auto"/>
                    <w:bottom w:val="none" w:sz="0" w:space="0" w:color="auto"/>
                    <w:right w:val="none" w:sz="0" w:space="0" w:color="auto"/>
                  </w:divBdr>
                  <w:divsChild>
                    <w:div w:id="515925322">
                      <w:marLeft w:val="0"/>
                      <w:marRight w:val="0"/>
                      <w:marTop w:val="0"/>
                      <w:marBottom w:val="0"/>
                      <w:divBdr>
                        <w:top w:val="none" w:sz="0" w:space="0" w:color="auto"/>
                        <w:left w:val="none" w:sz="0" w:space="0" w:color="auto"/>
                        <w:bottom w:val="none" w:sz="0" w:space="0" w:color="auto"/>
                        <w:right w:val="none" w:sz="0" w:space="0" w:color="auto"/>
                      </w:divBdr>
                    </w:div>
                    <w:div w:id="1197936083">
                      <w:marLeft w:val="0"/>
                      <w:marRight w:val="0"/>
                      <w:marTop w:val="0"/>
                      <w:marBottom w:val="0"/>
                      <w:divBdr>
                        <w:top w:val="none" w:sz="0" w:space="0" w:color="auto"/>
                        <w:left w:val="none" w:sz="0" w:space="0" w:color="auto"/>
                        <w:bottom w:val="none" w:sz="0" w:space="0" w:color="auto"/>
                        <w:right w:val="none" w:sz="0" w:space="0" w:color="auto"/>
                      </w:divBdr>
                    </w:div>
                    <w:div w:id="1482497834">
                      <w:marLeft w:val="0"/>
                      <w:marRight w:val="0"/>
                      <w:marTop w:val="0"/>
                      <w:marBottom w:val="0"/>
                      <w:divBdr>
                        <w:top w:val="none" w:sz="0" w:space="0" w:color="auto"/>
                        <w:left w:val="none" w:sz="0" w:space="0" w:color="auto"/>
                        <w:bottom w:val="none" w:sz="0" w:space="0" w:color="auto"/>
                        <w:right w:val="none" w:sz="0" w:space="0" w:color="auto"/>
                      </w:divBdr>
                    </w:div>
                  </w:divsChild>
                </w:div>
                <w:div w:id="2008098008">
                  <w:marLeft w:val="0"/>
                  <w:marRight w:val="0"/>
                  <w:marTop w:val="0"/>
                  <w:marBottom w:val="0"/>
                  <w:divBdr>
                    <w:top w:val="none" w:sz="0" w:space="0" w:color="auto"/>
                    <w:left w:val="none" w:sz="0" w:space="0" w:color="auto"/>
                    <w:bottom w:val="none" w:sz="0" w:space="0" w:color="auto"/>
                    <w:right w:val="none" w:sz="0" w:space="0" w:color="auto"/>
                  </w:divBdr>
                  <w:divsChild>
                    <w:div w:id="823399825">
                      <w:marLeft w:val="0"/>
                      <w:marRight w:val="0"/>
                      <w:marTop w:val="0"/>
                      <w:marBottom w:val="0"/>
                      <w:divBdr>
                        <w:top w:val="none" w:sz="0" w:space="0" w:color="auto"/>
                        <w:left w:val="none" w:sz="0" w:space="0" w:color="auto"/>
                        <w:bottom w:val="none" w:sz="0" w:space="0" w:color="auto"/>
                        <w:right w:val="none" w:sz="0" w:space="0" w:color="auto"/>
                      </w:divBdr>
                    </w:div>
                    <w:div w:id="1062633287">
                      <w:marLeft w:val="0"/>
                      <w:marRight w:val="0"/>
                      <w:marTop w:val="0"/>
                      <w:marBottom w:val="0"/>
                      <w:divBdr>
                        <w:top w:val="none" w:sz="0" w:space="0" w:color="auto"/>
                        <w:left w:val="none" w:sz="0" w:space="0" w:color="auto"/>
                        <w:bottom w:val="none" w:sz="0" w:space="0" w:color="auto"/>
                        <w:right w:val="none" w:sz="0" w:space="0" w:color="auto"/>
                      </w:divBdr>
                    </w:div>
                    <w:div w:id="17481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764391">
      <w:bodyDiv w:val="1"/>
      <w:marLeft w:val="0"/>
      <w:marRight w:val="0"/>
      <w:marTop w:val="0"/>
      <w:marBottom w:val="0"/>
      <w:divBdr>
        <w:top w:val="none" w:sz="0" w:space="0" w:color="auto"/>
        <w:left w:val="none" w:sz="0" w:space="0" w:color="auto"/>
        <w:bottom w:val="none" w:sz="0" w:space="0" w:color="auto"/>
        <w:right w:val="none" w:sz="0" w:space="0" w:color="auto"/>
      </w:divBdr>
      <w:divsChild>
        <w:div w:id="10764639">
          <w:marLeft w:val="0"/>
          <w:marRight w:val="0"/>
          <w:marTop w:val="0"/>
          <w:marBottom w:val="0"/>
          <w:divBdr>
            <w:top w:val="none" w:sz="0" w:space="0" w:color="auto"/>
            <w:left w:val="none" w:sz="0" w:space="0" w:color="auto"/>
            <w:bottom w:val="none" w:sz="0" w:space="0" w:color="auto"/>
            <w:right w:val="none" w:sz="0" w:space="0" w:color="auto"/>
          </w:divBdr>
        </w:div>
        <w:div w:id="238751067">
          <w:marLeft w:val="0"/>
          <w:marRight w:val="0"/>
          <w:marTop w:val="0"/>
          <w:marBottom w:val="0"/>
          <w:divBdr>
            <w:top w:val="none" w:sz="0" w:space="0" w:color="auto"/>
            <w:left w:val="none" w:sz="0" w:space="0" w:color="auto"/>
            <w:bottom w:val="none" w:sz="0" w:space="0" w:color="auto"/>
            <w:right w:val="none" w:sz="0" w:space="0" w:color="auto"/>
          </w:divBdr>
        </w:div>
        <w:div w:id="306740399">
          <w:marLeft w:val="0"/>
          <w:marRight w:val="0"/>
          <w:marTop w:val="0"/>
          <w:marBottom w:val="0"/>
          <w:divBdr>
            <w:top w:val="none" w:sz="0" w:space="0" w:color="auto"/>
            <w:left w:val="none" w:sz="0" w:space="0" w:color="auto"/>
            <w:bottom w:val="none" w:sz="0" w:space="0" w:color="auto"/>
            <w:right w:val="none" w:sz="0" w:space="0" w:color="auto"/>
          </w:divBdr>
        </w:div>
        <w:div w:id="501435364">
          <w:marLeft w:val="0"/>
          <w:marRight w:val="0"/>
          <w:marTop w:val="0"/>
          <w:marBottom w:val="0"/>
          <w:divBdr>
            <w:top w:val="none" w:sz="0" w:space="0" w:color="auto"/>
            <w:left w:val="none" w:sz="0" w:space="0" w:color="auto"/>
            <w:bottom w:val="none" w:sz="0" w:space="0" w:color="auto"/>
            <w:right w:val="none" w:sz="0" w:space="0" w:color="auto"/>
          </w:divBdr>
        </w:div>
        <w:div w:id="724835170">
          <w:marLeft w:val="0"/>
          <w:marRight w:val="0"/>
          <w:marTop w:val="0"/>
          <w:marBottom w:val="0"/>
          <w:divBdr>
            <w:top w:val="none" w:sz="0" w:space="0" w:color="auto"/>
            <w:left w:val="none" w:sz="0" w:space="0" w:color="auto"/>
            <w:bottom w:val="none" w:sz="0" w:space="0" w:color="auto"/>
            <w:right w:val="none" w:sz="0" w:space="0" w:color="auto"/>
          </w:divBdr>
        </w:div>
        <w:div w:id="759372359">
          <w:marLeft w:val="0"/>
          <w:marRight w:val="0"/>
          <w:marTop w:val="0"/>
          <w:marBottom w:val="0"/>
          <w:divBdr>
            <w:top w:val="none" w:sz="0" w:space="0" w:color="auto"/>
            <w:left w:val="none" w:sz="0" w:space="0" w:color="auto"/>
            <w:bottom w:val="none" w:sz="0" w:space="0" w:color="auto"/>
            <w:right w:val="none" w:sz="0" w:space="0" w:color="auto"/>
          </w:divBdr>
        </w:div>
        <w:div w:id="1199245317">
          <w:marLeft w:val="0"/>
          <w:marRight w:val="0"/>
          <w:marTop w:val="0"/>
          <w:marBottom w:val="0"/>
          <w:divBdr>
            <w:top w:val="none" w:sz="0" w:space="0" w:color="auto"/>
            <w:left w:val="none" w:sz="0" w:space="0" w:color="auto"/>
            <w:bottom w:val="none" w:sz="0" w:space="0" w:color="auto"/>
            <w:right w:val="none" w:sz="0" w:space="0" w:color="auto"/>
          </w:divBdr>
        </w:div>
        <w:div w:id="1535654830">
          <w:marLeft w:val="0"/>
          <w:marRight w:val="0"/>
          <w:marTop w:val="0"/>
          <w:marBottom w:val="0"/>
          <w:divBdr>
            <w:top w:val="none" w:sz="0" w:space="0" w:color="auto"/>
            <w:left w:val="none" w:sz="0" w:space="0" w:color="auto"/>
            <w:bottom w:val="none" w:sz="0" w:space="0" w:color="auto"/>
            <w:right w:val="none" w:sz="0" w:space="0" w:color="auto"/>
          </w:divBdr>
        </w:div>
        <w:div w:id="1573664043">
          <w:marLeft w:val="0"/>
          <w:marRight w:val="0"/>
          <w:marTop w:val="0"/>
          <w:marBottom w:val="0"/>
          <w:divBdr>
            <w:top w:val="none" w:sz="0" w:space="0" w:color="auto"/>
            <w:left w:val="none" w:sz="0" w:space="0" w:color="auto"/>
            <w:bottom w:val="none" w:sz="0" w:space="0" w:color="auto"/>
            <w:right w:val="none" w:sz="0" w:space="0" w:color="auto"/>
          </w:divBdr>
        </w:div>
        <w:div w:id="1582832749">
          <w:marLeft w:val="0"/>
          <w:marRight w:val="0"/>
          <w:marTop w:val="0"/>
          <w:marBottom w:val="0"/>
          <w:divBdr>
            <w:top w:val="none" w:sz="0" w:space="0" w:color="auto"/>
            <w:left w:val="none" w:sz="0" w:space="0" w:color="auto"/>
            <w:bottom w:val="none" w:sz="0" w:space="0" w:color="auto"/>
            <w:right w:val="none" w:sz="0" w:space="0" w:color="auto"/>
          </w:divBdr>
        </w:div>
        <w:div w:id="1645312758">
          <w:marLeft w:val="0"/>
          <w:marRight w:val="0"/>
          <w:marTop w:val="0"/>
          <w:marBottom w:val="0"/>
          <w:divBdr>
            <w:top w:val="none" w:sz="0" w:space="0" w:color="auto"/>
            <w:left w:val="none" w:sz="0" w:space="0" w:color="auto"/>
            <w:bottom w:val="none" w:sz="0" w:space="0" w:color="auto"/>
            <w:right w:val="none" w:sz="0" w:space="0" w:color="auto"/>
          </w:divBdr>
        </w:div>
        <w:div w:id="1896232759">
          <w:marLeft w:val="0"/>
          <w:marRight w:val="0"/>
          <w:marTop w:val="0"/>
          <w:marBottom w:val="0"/>
          <w:divBdr>
            <w:top w:val="none" w:sz="0" w:space="0" w:color="auto"/>
            <w:left w:val="none" w:sz="0" w:space="0" w:color="auto"/>
            <w:bottom w:val="none" w:sz="0" w:space="0" w:color="auto"/>
            <w:right w:val="none" w:sz="0" w:space="0" w:color="auto"/>
          </w:divBdr>
        </w:div>
        <w:div w:id="1933082328">
          <w:marLeft w:val="0"/>
          <w:marRight w:val="0"/>
          <w:marTop w:val="0"/>
          <w:marBottom w:val="0"/>
          <w:divBdr>
            <w:top w:val="none" w:sz="0" w:space="0" w:color="auto"/>
            <w:left w:val="none" w:sz="0" w:space="0" w:color="auto"/>
            <w:bottom w:val="none" w:sz="0" w:space="0" w:color="auto"/>
            <w:right w:val="none" w:sz="0" w:space="0" w:color="auto"/>
          </w:divBdr>
        </w:div>
        <w:div w:id="1991707733">
          <w:marLeft w:val="0"/>
          <w:marRight w:val="0"/>
          <w:marTop w:val="0"/>
          <w:marBottom w:val="0"/>
          <w:divBdr>
            <w:top w:val="none" w:sz="0" w:space="0" w:color="auto"/>
            <w:left w:val="none" w:sz="0" w:space="0" w:color="auto"/>
            <w:bottom w:val="none" w:sz="0" w:space="0" w:color="auto"/>
            <w:right w:val="none" w:sz="0" w:space="0" w:color="auto"/>
          </w:divBdr>
        </w:div>
        <w:div w:id="2044091712">
          <w:marLeft w:val="0"/>
          <w:marRight w:val="0"/>
          <w:marTop w:val="0"/>
          <w:marBottom w:val="0"/>
          <w:divBdr>
            <w:top w:val="none" w:sz="0" w:space="0" w:color="auto"/>
            <w:left w:val="none" w:sz="0" w:space="0" w:color="auto"/>
            <w:bottom w:val="none" w:sz="0" w:space="0" w:color="auto"/>
            <w:right w:val="none" w:sz="0" w:space="0" w:color="auto"/>
          </w:divBdr>
        </w:div>
        <w:div w:id="2077583570">
          <w:marLeft w:val="0"/>
          <w:marRight w:val="0"/>
          <w:marTop w:val="0"/>
          <w:marBottom w:val="0"/>
          <w:divBdr>
            <w:top w:val="none" w:sz="0" w:space="0" w:color="auto"/>
            <w:left w:val="none" w:sz="0" w:space="0" w:color="auto"/>
            <w:bottom w:val="none" w:sz="0" w:space="0" w:color="auto"/>
            <w:right w:val="none" w:sz="0" w:space="0" w:color="auto"/>
          </w:divBdr>
        </w:div>
      </w:divsChild>
    </w:div>
    <w:div w:id="590162895">
      <w:bodyDiv w:val="1"/>
      <w:marLeft w:val="0"/>
      <w:marRight w:val="0"/>
      <w:marTop w:val="0"/>
      <w:marBottom w:val="0"/>
      <w:divBdr>
        <w:top w:val="none" w:sz="0" w:space="0" w:color="auto"/>
        <w:left w:val="none" w:sz="0" w:space="0" w:color="auto"/>
        <w:bottom w:val="none" w:sz="0" w:space="0" w:color="auto"/>
        <w:right w:val="none" w:sz="0" w:space="0" w:color="auto"/>
      </w:divBdr>
      <w:divsChild>
        <w:div w:id="411238718">
          <w:marLeft w:val="446"/>
          <w:marRight w:val="0"/>
          <w:marTop w:val="0"/>
          <w:marBottom w:val="0"/>
          <w:divBdr>
            <w:top w:val="none" w:sz="0" w:space="0" w:color="auto"/>
            <w:left w:val="none" w:sz="0" w:space="0" w:color="auto"/>
            <w:bottom w:val="none" w:sz="0" w:space="0" w:color="auto"/>
            <w:right w:val="none" w:sz="0" w:space="0" w:color="auto"/>
          </w:divBdr>
        </w:div>
        <w:div w:id="424110194">
          <w:marLeft w:val="446"/>
          <w:marRight w:val="0"/>
          <w:marTop w:val="0"/>
          <w:marBottom w:val="0"/>
          <w:divBdr>
            <w:top w:val="none" w:sz="0" w:space="0" w:color="auto"/>
            <w:left w:val="none" w:sz="0" w:space="0" w:color="auto"/>
            <w:bottom w:val="none" w:sz="0" w:space="0" w:color="auto"/>
            <w:right w:val="none" w:sz="0" w:space="0" w:color="auto"/>
          </w:divBdr>
        </w:div>
        <w:div w:id="660811508">
          <w:marLeft w:val="446"/>
          <w:marRight w:val="0"/>
          <w:marTop w:val="0"/>
          <w:marBottom w:val="0"/>
          <w:divBdr>
            <w:top w:val="none" w:sz="0" w:space="0" w:color="auto"/>
            <w:left w:val="none" w:sz="0" w:space="0" w:color="auto"/>
            <w:bottom w:val="none" w:sz="0" w:space="0" w:color="auto"/>
            <w:right w:val="none" w:sz="0" w:space="0" w:color="auto"/>
          </w:divBdr>
        </w:div>
        <w:div w:id="864370509">
          <w:marLeft w:val="446"/>
          <w:marRight w:val="0"/>
          <w:marTop w:val="0"/>
          <w:marBottom w:val="0"/>
          <w:divBdr>
            <w:top w:val="none" w:sz="0" w:space="0" w:color="auto"/>
            <w:left w:val="none" w:sz="0" w:space="0" w:color="auto"/>
            <w:bottom w:val="none" w:sz="0" w:space="0" w:color="auto"/>
            <w:right w:val="none" w:sz="0" w:space="0" w:color="auto"/>
          </w:divBdr>
        </w:div>
        <w:div w:id="1015885561">
          <w:marLeft w:val="446"/>
          <w:marRight w:val="0"/>
          <w:marTop w:val="0"/>
          <w:marBottom w:val="0"/>
          <w:divBdr>
            <w:top w:val="none" w:sz="0" w:space="0" w:color="auto"/>
            <w:left w:val="none" w:sz="0" w:space="0" w:color="auto"/>
            <w:bottom w:val="none" w:sz="0" w:space="0" w:color="auto"/>
            <w:right w:val="none" w:sz="0" w:space="0" w:color="auto"/>
          </w:divBdr>
        </w:div>
        <w:div w:id="1507479296">
          <w:marLeft w:val="446"/>
          <w:marRight w:val="0"/>
          <w:marTop w:val="0"/>
          <w:marBottom w:val="0"/>
          <w:divBdr>
            <w:top w:val="none" w:sz="0" w:space="0" w:color="auto"/>
            <w:left w:val="none" w:sz="0" w:space="0" w:color="auto"/>
            <w:bottom w:val="none" w:sz="0" w:space="0" w:color="auto"/>
            <w:right w:val="none" w:sz="0" w:space="0" w:color="auto"/>
          </w:divBdr>
        </w:div>
        <w:div w:id="1788743710">
          <w:marLeft w:val="446"/>
          <w:marRight w:val="0"/>
          <w:marTop w:val="0"/>
          <w:marBottom w:val="0"/>
          <w:divBdr>
            <w:top w:val="none" w:sz="0" w:space="0" w:color="auto"/>
            <w:left w:val="none" w:sz="0" w:space="0" w:color="auto"/>
            <w:bottom w:val="none" w:sz="0" w:space="0" w:color="auto"/>
            <w:right w:val="none" w:sz="0" w:space="0" w:color="auto"/>
          </w:divBdr>
        </w:div>
        <w:div w:id="1976793565">
          <w:marLeft w:val="446"/>
          <w:marRight w:val="0"/>
          <w:marTop w:val="0"/>
          <w:marBottom w:val="0"/>
          <w:divBdr>
            <w:top w:val="none" w:sz="0" w:space="0" w:color="auto"/>
            <w:left w:val="none" w:sz="0" w:space="0" w:color="auto"/>
            <w:bottom w:val="none" w:sz="0" w:space="0" w:color="auto"/>
            <w:right w:val="none" w:sz="0" w:space="0" w:color="auto"/>
          </w:divBdr>
        </w:div>
      </w:divsChild>
    </w:div>
    <w:div w:id="731776398">
      <w:bodyDiv w:val="1"/>
      <w:marLeft w:val="0"/>
      <w:marRight w:val="0"/>
      <w:marTop w:val="0"/>
      <w:marBottom w:val="0"/>
      <w:divBdr>
        <w:top w:val="none" w:sz="0" w:space="0" w:color="auto"/>
        <w:left w:val="none" w:sz="0" w:space="0" w:color="auto"/>
        <w:bottom w:val="none" w:sz="0" w:space="0" w:color="auto"/>
        <w:right w:val="none" w:sz="0" w:space="0" w:color="auto"/>
      </w:divBdr>
    </w:div>
    <w:div w:id="830146850">
      <w:bodyDiv w:val="1"/>
      <w:marLeft w:val="0"/>
      <w:marRight w:val="0"/>
      <w:marTop w:val="0"/>
      <w:marBottom w:val="0"/>
      <w:divBdr>
        <w:top w:val="none" w:sz="0" w:space="0" w:color="auto"/>
        <w:left w:val="none" w:sz="0" w:space="0" w:color="auto"/>
        <w:bottom w:val="none" w:sz="0" w:space="0" w:color="auto"/>
        <w:right w:val="none" w:sz="0" w:space="0" w:color="auto"/>
      </w:divBdr>
    </w:div>
    <w:div w:id="839740075">
      <w:bodyDiv w:val="1"/>
      <w:marLeft w:val="0"/>
      <w:marRight w:val="0"/>
      <w:marTop w:val="0"/>
      <w:marBottom w:val="0"/>
      <w:divBdr>
        <w:top w:val="none" w:sz="0" w:space="0" w:color="auto"/>
        <w:left w:val="none" w:sz="0" w:space="0" w:color="auto"/>
        <w:bottom w:val="none" w:sz="0" w:space="0" w:color="auto"/>
        <w:right w:val="none" w:sz="0" w:space="0" w:color="auto"/>
      </w:divBdr>
    </w:div>
    <w:div w:id="1040396228">
      <w:bodyDiv w:val="1"/>
      <w:marLeft w:val="0"/>
      <w:marRight w:val="0"/>
      <w:marTop w:val="0"/>
      <w:marBottom w:val="0"/>
      <w:divBdr>
        <w:top w:val="none" w:sz="0" w:space="0" w:color="auto"/>
        <w:left w:val="none" w:sz="0" w:space="0" w:color="auto"/>
        <w:bottom w:val="none" w:sz="0" w:space="0" w:color="auto"/>
        <w:right w:val="none" w:sz="0" w:space="0" w:color="auto"/>
      </w:divBdr>
    </w:div>
    <w:div w:id="1059748582">
      <w:bodyDiv w:val="1"/>
      <w:marLeft w:val="0"/>
      <w:marRight w:val="0"/>
      <w:marTop w:val="0"/>
      <w:marBottom w:val="0"/>
      <w:divBdr>
        <w:top w:val="none" w:sz="0" w:space="0" w:color="auto"/>
        <w:left w:val="none" w:sz="0" w:space="0" w:color="auto"/>
        <w:bottom w:val="none" w:sz="0" w:space="0" w:color="auto"/>
        <w:right w:val="none" w:sz="0" w:space="0" w:color="auto"/>
      </w:divBdr>
      <w:divsChild>
        <w:div w:id="124395692">
          <w:marLeft w:val="0"/>
          <w:marRight w:val="0"/>
          <w:marTop w:val="0"/>
          <w:marBottom w:val="0"/>
          <w:divBdr>
            <w:top w:val="none" w:sz="0" w:space="0" w:color="auto"/>
            <w:left w:val="none" w:sz="0" w:space="0" w:color="auto"/>
            <w:bottom w:val="none" w:sz="0" w:space="0" w:color="auto"/>
            <w:right w:val="none" w:sz="0" w:space="0" w:color="auto"/>
          </w:divBdr>
          <w:divsChild>
            <w:div w:id="1723793478">
              <w:marLeft w:val="0"/>
              <w:marRight w:val="0"/>
              <w:marTop w:val="0"/>
              <w:marBottom w:val="0"/>
              <w:divBdr>
                <w:top w:val="none" w:sz="0" w:space="0" w:color="auto"/>
                <w:left w:val="none" w:sz="0" w:space="0" w:color="auto"/>
                <w:bottom w:val="none" w:sz="0" w:space="0" w:color="auto"/>
                <w:right w:val="none" w:sz="0" w:space="0" w:color="auto"/>
              </w:divBdr>
            </w:div>
          </w:divsChild>
        </w:div>
        <w:div w:id="198475672">
          <w:marLeft w:val="0"/>
          <w:marRight w:val="0"/>
          <w:marTop w:val="0"/>
          <w:marBottom w:val="0"/>
          <w:divBdr>
            <w:top w:val="none" w:sz="0" w:space="0" w:color="auto"/>
            <w:left w:val="none" w:sz="0" w:space="0" w:color="auto"/>
            <w:bottom w:val="none" w:sz="0" w:space="0" w:color="auto"/>
            <w:right w:val="none" w:sz="0" w:space="0" w:color="auto"/>
          </w:divBdr>
          <w:divsChild>
            <w:div w:id="1577205695">
              <w:marLeft w:val="0"/>
              <w:marRight w:val="0"/>
              <w:marTop w:val="0"/>
              <w:marBottom w:val="0"/>
              <w:divBdr>
                <w:top w:val="none" w:sz="0" w:space="0" w:color="auto"/>
                <w:left w:val="none" w:sz="0" w:space="0" w:color="auto"/>
                <w:bottom w:val="none" w:sz="0" w:space="0" w:color="auto"/>
                <w:right w:val="none" w:sz="0" w:space="0" w:color="auto"/>
              </w:divBdr>
            </w:div>
          </w:divsChild>
        </w:div>
        <w:div w:id="319699199">
          <w:marLeft w:val="0"/>
          <w:marRight w:val="0"/>
          <w:marTop w:val="0"/>
          <w:marBottom w:val="0"/>
          <w:divBdr>
            <w:top w:val="none" w:sz="0" w:space="0" w:color="auto"/>
            <w:left w:val="none" w:sz="0" w:space="0" w:color="auto"/>
            <w:bottom w:val="none" w:sz="0" w:space="0" w:color="auto"/>
            <w:right w:val="none" w:sz="0" w:space="0" w:color="auto"/>
          </w:divBdr>
          <w:divsChild>
            <w:div w:id="1491559448">
              <w:marLeft w:val="0"/>
              <w:marRight w:val="0"/>
              <w:marTop w:val="0"/>
              <w:marBottom w:val="0"/>
              <w:divBdr>
                <w:top w:val="none" w:sz="0" w:space="0" w:color="auto"/>
                <w:left w:val="none" w:sz="0" w:space="0" w:color="auto"/>
                <w:bottom w:val="none" w:sz="0" w:space="0" w:color="auto"/>
                <w:right w:val="none" w:sz="0" w:space="0" w:color="auto"/>
              </w:divBdr>
            </w:div>
            <w:div w:id="1511677364">
              <w:marLeft w:val="0"/>
              <w:marRight w:val="0"/>
              <w:marTop w:val="0"/>
              <w:marBottom w:val="0"/>
              <w:divBdr>
                <w:top w:val="none" w:sz="0" w:space="0" w:color="auto"/>
                <w:left w:val="none" w:sz="0" w:space="0" w:color="auto"/>
                <w:bottom w:val="none" w:sz="0" w:space="0" w:color="auto"/>
                <w:right w:val="none" w:sz="0" w:space="0" w:color="auto"/>
              </w:divBdr>
            </w:div>
          </w:divsChild>
        </w:div>
        <w:div w:id="333919937">
          <w:marLeft w:val="0"/>
          <w:marRight w:val="0"/>
          <w:marTop w:val="0"/>
          <w:marBottom w:val="0"/>
          <w:divBdr>
            <w:top w:val="none" w:sz="0" w:space="0" w:color="auto"/>
            <w:left w:val="none" w:sz="0" w:space="0" w:color="auto"/>
            <w:bottom w:val="none" w:sz="0" w:space="0" w:color="auto"/>
            <w:right w:val="none" w:sz="0" w:space="0" w:color="auto"/>
          </w:divBdr>
          <w:divsChild>
            <w:div w:id="1943878477">
              <w:marLeft w:val="0"/>
              <w:marRight w:val="0"/>
              <w:marTop w:val="0"/>
              <w:marBottom w:val="0"/>
              <w:divBdr>
                <w:top w:val="none" w:sz="0" w:space="0" w:color="auto"/>
                <w:left w:val="none" w:sz="0" w:space="0" w:color="auto"/>
                <w:bottom w:val="none" w:sz="0" w:space="0" w:color="auto"/>
                <w:right w:val="none" w:sz="0" w:space="0" w:color="auto"/>
              </w:divBdr>
            </w:div>
          </w:divsChild>
        </w:div>
        <w:div w:id="521825485">
          <w:marLeft w:val="0"/>
          <w:marRight w:val="0"/>
          <w:marTop w:val="0"/>
          <w:marBottom w:val="0"/>
          <w:divBdr>
            <w:top w:val="none" w:sz="0" w:space="0" w:color="auto"/>
            <w:left w:val="none" w:sz="0" w:space="0" w:color="auto"/>
            <w:bottom w:val="none" w:sz="0" w:space="0" w:color="auto"/>
            <w:right w:val="none" w:sz="0" w:space="0" w:color="auto"/>
          </w:divBdr>
          <w:divsChild>
            <w:div w:id="141242309">
              <w:marLeft w:val="0"/>
              <w:marRight w:val="0"/>
              <w:marTop w:val="0"/>
              <w:marBottom w:val="0"/>
              <w:divBdr>
                <w:top w:val="none" w:sz="0" w:space="0" w:color="auto"/>
                <w:left w:val="none" w:sz="0" w:space="0" w:color="auto"/>
                <w:bottom w:val="none" w:sz="0" w:space="0" w:color="auto"/>
                <w:right w:val="none" w:sz="0" w:space="0" w:color="auto"/>
              </w:divBdr>
            </w:div>
            <w:div w:id="696347536">
              <w:marLeft w:val="0"/>
              <w:marRight w:val="0"/>
              <w:marTop w:val="0"/>
              <w:marBottom w:val="0"/>
              <w:divBdr>
                <w:top w:val="none" w:sz="0" w:space="0" w:color="auto"/>
                <w:left w:val="none" w:sz="0" w:space="0" w:color="auto"/>
                <w:bottom w:val="none" w:sz="0" w:space="0" w:color="auto"/>
                <w:right w:val="none" w:sz="0" w:space="0" w:color="auto"/>
              </w:divBdr>
            </w:div>
            <w:div w:id="1630092627">
              <w:marLeft w:val="0"/>
              <w:marRight w:val="0"/>
              <w:marTop w:val="0"/>
              <w:marBottom w:val="0"/>
              <w:divBdr>
                <w:top w:val="none" w:sz="0" w:space="0" w:color="auto"/>
                <w:left w:val="none" w:sz="0" w:space="0" w:color="auto"/>
                <w:bottom w:val="none" w:sz="0" w:space="0" w:color="auto"/>
                <w:right w:val="none" w:sz="0" w:space="0" w:color="auto"/>
              </w:divBdr>
            </w:div>
          </w:divsChild>
        </w:div>
        <w:div w:id="596642172">
          <w:marLeft w:val="0"/>
          <w:marRight w:val="0"/>
          <w:marTop w:val="0"/>
          <w:marBottom w:val="0"/>
          <w:divBdr>
            <w:top w:val="none" w:sz="0" w:space="0" w:color="auto"/>
            <w:left w:val="none" w:sz="0" w:space="0" w:color="auto"/>
            <w:bottom w:val="none" w:sz="0" w:space="0" w:color="auto"/>
            <w:right w:val="none" w:sz="0" w:space="0" w:color="auto"/>
          </w:divBdr>
          <w:divsChild>
            <w:div w:id="805582829">
              <w:marLeft w:val="0"/>
              <w:marRight w:val="0"/>
              <w:marTop w:val="0"/>
              <w:marBottom w:val="0"/>
              <w:divBdr>
                <w:top w:val="none" w:sz="0" w:space="0" w:color="auto"/>
                <w:left w:val="none" w:sz="0" w:space="0" w:color="auto"/>
                <w:bottom w:val="none" w:sz="0" w:space="0" w:color="auto"/>
                <w:right w:val="none" w:sz="0" w:space="0" w:color="auto"/>
              </w:divBdr>
            </w:div>
          </w:divsChild>
        </w:div>
        <w:div w:id="873809518">
          <w:marLeft w:val="0"/>
          <w:marRight w:val="0"/>
          <w:marTop w:val="0"/>
          <w:marBottom w:val="0"/>
          <w:divBdr>
            <w:top w:val="none" w:sz="0" w:space="0" w:color="auto"/>
            <w:left w:val="none" w:sz="0" w:space="0" w:color="auto"/>
            <w:bottom w:val="none" w:sz="0" w:space="0" w:color="auto"/>
            <w:right w:val="none" w:sz="0" w:space="0" w:color="auto"/>
          </w:divBdr>
          <w:divsChild>
            <w:div w:id="1448352584">
              <w:marLeft w:val="0"/>
              <w:marRight w:val="0"/>
              <w:marTop w:val="0"/>
              <w:marBottom w:val="0"/>
              <w:divBdr>
                <w:top w:val="none" w:sz="0" w:space="0" w:color="auto"/>
                <w:left w:val="none" w:sz="0" w:space="0" w:color="auto"/>
                <w:bottom w:val="none" w:sz="0" w:space="0" w:color="auto"/>
                <w:right w:val="none" w:sz="0" w:space="0" w:color="auto"/>
              </w:divBdr>
            </w:div>
          </w:divsChild>
        </w:div>
        <w:div w:id="1031221077">
          <w:marLeft w:val="0"/>
          <w:marRight w:val="0"/>
          <w:marTop w:val="0"/>
          <w:marBottom w:val="0"/>
          <w:divBdr>
            <w:top w:val="none" w:sz="0" w:space="0" w:color="auto"/>
            <w:left w:val="none" w:sz="0" w:space="0" w:color="auto"/>
            <w:bottom w:val="none" w:sz="0" w:space="0" w:color="auto"/>
            <w:right w:val="none" w:sz="0" w:space="0" w:color="auto"/>
          </w:divBdr>
          <w:divsChild>
            <w:div w:id="369186629">
              <w:marLeft w:val="0"/>
              <w:marRight w:val="0"/>
              <w:marTop w:val="0"/>
              <w:marBottom w:val="0"/>
              <w:divBdr>
                <w:top w:val="none" w:sz="0" w:space="0" w:color="auto"/>
                <w:left w:val="none" w:sz="0" w:space="0" w:color="auto"/>
                <w:bottom w:val="none" w:sz="0" w:space="0" w:color="auto"/>
                <w:right w:val="none" w:sz="0" w:space="0" w:color="auto"/>
              </w:divBdr>
            </w:div>
            <w:div w:id="622882769">
              <w:marLeft w:val="0"/>
              <w:marRight w:val="0"/>
              <w:marTop w:val="0"/>
              <w:marBottom w:val="0"/>
              <w:divBdr>
                <w:top w:val="none" w:sz="0" w:space="0" w:color="auto"/>
                <w:left w:val="none" w:sz="0" w:space="0" w:color="auto"/>
                <w:bottom w:val="none" w:sz="0" w:space="0" w:color="auto"/>
                <w:right w:val="none" w:sz="0" w:space="0" w:color="auto"/>
              </w:divBdr>
            </w:div>
          </w:divsChild>
        </w:div>
        <w:div w:id="1112214257">
          <w:marLeft w:val="0"/>
          <w:marRight w:val="0"/>
          <w:marTop w:val="0"/>
          <w:marBottom w:val="0"/>
          <w:divBdr>
            <w:top w:val="none" w:sz="0" w:space="0" w:color="auto"/>
            <w:left w:val="none" w:sz="0" w:space="0" w:color="auto"/>
            <w:bottom w:val="none" w:sz="0" w:space="0" w:color="auto"/>
            <w:right w:val="none" w:sz="0" w:space="0" w:color="auto"/>
          </w:divBdr>
          <w:divsChild>
            <w:div w:id="1867673229">
              <w:marLeft w:val="0"/>
              <w:marRight w:val="0"/>
              <w:marTop w:val="0"/>
              <w:marBottom w:val="0"/>
              <w:divBdr>
                <w:top w:val="none" w:sz="0" w:space="0" w:color="auto"/>
                <w:left w:val="none" w:sz="0" w:space="0" w:color="auto"/>
                <w:bottom w:val="none" w:sz="0" w:space="0" w:color="auto"/>
                <w:right w:val="none" w:sz="0" w:space="0" w:color="auto"/>
              </w:divBdr>
            </w:div>
          </w:divsChild>
        </w:div>
        <w:div w:id="1139373407">
          <w:marLeft w:val="0"/>
          <w:marRight w:val="0"/>
          <w:marTop w:val="0"/>
          <w:marBottom w:val="0"/>
          <w:divBdr>
            <w:top w:val="none" w:sz="0" w:space="0" w:color="auto"/>
            <w:left w:val="none" w:sz="0" w:space="0" w:color="auto"/>
            <w:bottom w:val="none" w:sz="0" w:space="0" w:color="auto"/>
            <w:right w:val="none" w:sz="0" w:space="0" w:color="auto"/>
          </w:divBdr>
          <w:divsChild>
            <w:div w:id="414547531">
              <w:marLeft w:val="0"/>
              <w:marRight w:val="0"/>
              <w:marTop w:val="0"/>
              <w:marBottom w:val="0"/>
              <w:divBdr>
                <w:top w:val="none" w:sz="0" w:space="0" w:color="auto"/>
                <w:left w:val="none" w:sz="0" w:space="0" w:color="auto"/>
                <w:bottom w:val="none" w:sz="0" w:space="0" w:color="auto"/>
                <w:right w:val="none" w:sz="0" w:space="0" w:color="auto"/>
              </w:divBdr>
            </w:div>
          </w:divsChild>
        </w:div>
        <w:div w:id="1621760457">
          <w:marLeft w:val="0"/>
          <w:marRight w:val="0"/>
          <w:marTop w:val="0"/>
          <w:marBottom w:val="0"/>
          <w:divBdr>
            <w:top w:val="none" w:sz="0" w:space="0" w:color="auto"/>
            <w:left w:val="none" w:sz="0" w:space="0" w:color="auto"/>
            <w:bottom w:val="none" w:sz="0" w:space="0" w:color="auto"/>
            <w:right w:val="none" w:sz="0" w:space="0" w:color="auto"/>
          </w:divBdr>
          <w:divsChild>
            <w:div w:id="2061127721">
              <w:marLeft w:val="0"/>
              <w:marRight w:val="0"/>
              <w:marTop w:val="0"/>
              <w:marBottom w:val="0"/>
              <w:divBdr>
                <w:top w:val="none" w:sz="0" w:space="0" w:color="auto"/>
                <w:left w:val="none" w:sz="0" w:space="0" w:color="auto"/>
                <w:bottom w:val="none" w:sz="0" w:space="0" w:color="auto"/>
                <w:right w:val="none" w:sz="0" w:space="0" w:color="auto"/>
              </w:divBdr>
            </w:div>
          </w:divsChild>
        </w:div>
        <w:div w:id="1837839523">
          <w:marLeft w:val="0"/>
          <w:marRight w:val="0"/>
          <w:marTop w:val="0"/>
          <w:marBottom w:val="0"/>
          <w:divBdr>
            <w:top w:val="none" w:sz="0" w:space="0" w:color="auto"/>
            <w:left w:val="none" w:sz="0" w:space="0" w:color="auto"/>
            <w:bottom w:val="none" w:sz="0" w:space="0" w:color="auto"/>
            <w:right w:val="none" w:sz="0" w:space="0" w:color="auto"/>
          </w:divBdr>
          <w:divsChild>
            <w:div w:id="247614542">
              <w:marLeft w:val="0"/>
              <w:marRight w:val="0"/>
              <w:marTop w:val="0"/>
              <w:marBottom w:val="0"/>
              <w:divBdr>
                <w:top w:val="none" w:sz="0" w:space="0" w:color="auto"/>
                <w:left w:val="none" w:sz="0" w:space="0" w:color="auto"/>
                <w:bottom w:val="none" w:sz="0" w:space="0" w:color="auto"/>
                <w:right w:val="none" w:sz="0" w:space="0" w:color="auto"/>
              </w:divBdr>
            </w:div>
            <w:div w:id="293996028">
              <w:marLeft w:val="0"/>
              <w:marRight w:val="0"/>
              <w:marTop w:val="0"/>
              <w:marBottom w:val="0"/>
              <w:divBdr>
                <w:top w:val="none" w:sz="0" w:space="0" w:color="auto"/>
                <w:left w:val="none" w:sz="0" w:space="0" w:color="auto"/>
                <w:bottom w:val="none" w:sz="0" w:space="0" w:color="auto"/>
                <w:right w:val="none" w:sz="0" w:space="0" w:color="auto"/>
              </w:divBdr>
            </w:div>
          </w:divsChild>
        </w:div>
        <w:div w:id="1921988189">
          <w:marLeft w:val="0"/>
          <w:marRight w:val="0"/>
          <w:marTop w:val="0"/>
          <w:marBottom w:val="0"/>
          <w:divBdr>
            <w:top w:val="none" w:sz="0" w:space="0" w:color="auto"/>
            <w:left w:val="none" w:sz="0" w:space="0" w:color="auto"/>
            <w:bottom w:val="none" w:sz="0" w:space="0" w:color="auto"/>
            <w:right w:val="none" w:sz="0" w:space="0" w:color="auto"/>
          </w:divBdr>
          <w:divsChild>
            <w:div w:id="703360321">
              <w:marLeft w:val="0"/>
              <w:marRight w:val="0"/>
              <w:marTop w:val="0"/>
              <w:marBottom w:val="0"/>
              <w:divBdr>
                <w:top w:val="none" w:sz="0" w:space="0" w:color="auto"/>
                <w:left w:val="none" w:sz="0" w:space="0" w:color="auto"/>
                <w:bottom w:val="none" w:sz="0" w:space="0" w:color="auto"/>
                <w:right w:val="none" w:sz="0" w:space="0" w:color="auto"/>
              </w:divBdr>
            </w:div>
          </w:divsChild>
        </w:div>
        <w:div w:id="1947468732">
          <w:marLeft w:val="0"/>
          <w:marRight w:val="0"/>
          <w:marTop w:val="0"/>
          <w:marBottom w:val="0"/>
          <w:divBdr>
            <w:top w:val="none" w:sz="0" w:space="0" w:color="auto"/>
            <w:left w:val="none" w:sz="0" w:space="0" w:color="auto"/>
            <w:bottom w:val="none" w:sz="0" w:space="0" w:color="auto"/>
            <w:right w:val="none" w:sz="0" w:space="0" w:color="auto"/>
          </w:divBdr>
          <w:divsChild>
            <w:div w:id="123274387">
              <w:marLeft w:val="0"/>
              <w:marRight w:val="0"/>
              <w:marTop w:val="0"/>
              <w:marBottom w:val="0"/>
              <w:divBdr>
                <w:top w:val="none" w:sz="0" w:space="0" w:color="auto"/>
                <w:left w:val="none" w:sz="0" w:space="0" w:color="auto"/>
                <w:bottom w:val="none" w:sz="0" w:space="0" w:color="auto"/>
                <w:right w:val="none" w:sz="0" w:space="0" w:color="auto"/>
              </w:divBdr>
            </w:div>
          </w:divsChild>
        </w:div>
        <w:div w:id="1997756107">
          <w:marLeft w:val="0"/>
          <w:marRight w:val="0"/>
          <w:marTop w:val="0"/>
          <w:marBottom w:val="0"/>
          <w:divBdr>
            <w:top w:val="none" w:sz="0" w:space="0" w:color="auto"/>
            <w:left w:val="none" w:sz="0" w:space="0" w:color="auto"/>
            <w:bottom w:val="none" w:sz="0" w:space="0" w:color="auto"/>
            <w:right w:val="none" w:sz="0" w:space="0" w:color="auto"/>
          </w:divBdr>
          <w:divsChild>
            <w:div w:id="457921471">
              <w:marLeft w:val="0"/>
              <w:marRight w:val="0"/>
              <w:marTop w:val="0"/>
              <w:marBottom w:val="0"/>
              <w:divBdr>
                <w:top w:val="none" w:sz="0" w:space="0" w:color="auto"/>
                <w:left w:val="none" w:sz="0" w:space="0" w:color="auto"/>
                <w:bottom w:val="none" w:sz="0" w:space="0" w:color="auto"/>
                <w:right w:val="none" w:sz="0" w:space="0" w:color="auto"/>
              </w:divBdr>
            </w:div>
          </w:divsChild>
        </w:div>
        <w:div w:id="2027899314">
          <w:marLeft w:val="0"/>
          <w:marRight w:val="0"/>
          <w:marTop w:val="0"/>
          <w:marBottom w:val="0"/>
          <w:divBdr>
            <w:top w:val="none" w:sz="0" w:space="0" w:color="auto"/>
            <w:left w:val="none" w:sz="0" w:space="0" w:color="auto"/>
            <w:bottom w:val="none" w:sz="0" w:space="0" w:color="auto"/>
            <w:right w:val="none" w:sz="0" w:space="0" w:color="auto"/>
          </w:divBdr>
          <w:divsChild>
            <w:div w:id="1889877780">
              <w:marLeft w:val="0"/>
              <w:marRight w:val="0"/>
              <w:marTop w:val="0"/>
              <w:marBottom w:val="0"/>
              <w:divBdr>
                <w:top w:val="none" w:sz="0" w:space="0" w:color="auto"/>
                <w:left w:val="none" w:sz="0" w:space="0" w:color="auto"/>
                <w:bottom w:val="none" w:sz="0" w:space="0" w:color="auto"/>
                <w:right w:val="none" w:sz="0" w:space="0" w:color="auto"/>
              </w:divBdr>
            </w:div>
          </w:divsChild>
        </w:div>
        <w:div w:id="2030526433">
          <w:marLeft w:val="0"/>
          <w:marRight w:val="0"/>
          <w:marTop w:val="0"/>
          <w:marBottom w:val="0"/>
          <w:divBdr>
            <w:top w:val="none" w:sz="0" w:space="0" w:color="auto"/>
            <w:left w:val="none" w:sz="0" w:space="0" w:color="auto"/>
            <w:bottom w:val="none" w:sz="0" w:space="0" w:color="auto"/>
            <w:right w:val="none" w:sz="0" w:space="0" w:color="auto"/>
          </w:divBdr>
          <w:divsChild>
            <w:div w:id="1179198993">
              <w:marLeft w:val="0"/>
              <w:marRight w:val="0"/>
              <w:marTop w:val="0"/>
              <w:marBottom w:val="0"/>
              <w:divBdr>
                <w:top w:val="none" w:sz="0" w:space="0" w:color="auto"/>
                <w:left w:val="none" w:sz="0" w:space="0" w:color="auto"/>
                <w:bottom w:val="none" w:sz="0" w:space="0" w:color="auto"/>
                <w:right w:val="none" w:sz="0" w:space="0" w:color="auto"/>
              </w:divBdr>
            </w:div>
          </w:divsChild>
        </w:div>
        <w:div w:id="2057586140">
          <w:marLeft w:val="0"/>
          <w:marRight w:val="0"/>
          <w:marTop w:val="0"/>
          <w:marBottom w:val="0"/>
          <w:divBdr>
            <w:top w:val="none" w:sz="0" w:space="0" w:color="auto"/>
            <w:left w:val="none" w:sz="0" w:space="0" w:color="auto"/>
            <w:bottom w:val="none" w:sz="0" w:space="0" w:color="auto"/>
            <w:right w:val="none" w:sz="0" w:space="0" w:color="auto"/>
          </w:divBdr>
          <w:divsChild>
            <w:div w:id="822699348">
              <w:marLeft w:val="0"/>
              <w:marRight w:val="0"/>
              <w:marTop w:val="0"/>
              <w:marBottom w:val="0"/>
              <w:divBdr>
                <w:top w:val="none" w:sz="0" w:space="0" w:color="auto"/>
                <w:left w:val="none" w:sz="0" w:space="0" w:color="auto"/>
                <w:bottom w:val="none" w:sz="0" w:space="0" w:color="auto"/>
                <w:right w:val="none" w:sz="0" w:space="0" w:color="auto"/>
              </w:divBdr>
            </w:div>
            <w:div w:id="918322479">
              <w:marLeft w:val="0"/>
              <w:marRight w:val="0"/>
              <w:marTop w:val="0"/>
              <w:marBottom w:val="0"/>
              <w:divBdr>
                <w:top w:val="none" w:sz="0" w:space="0" w:color="auto"/>
                <w:left w:val="none" w:sz="0" w:space="0" w:color="auto"/>
                <w:bottom w:val="none" w:sz="0" w:space="0" w:color="auto"/>
                <w:right w:val="none" w:sz="0" w:space="0" w:color="auto"/>
              </w:divBdr>
            </w:div>
          </w:divsChild>
        </w:div>
        <w:div w:id="2066369794">
          <w:marLeft w:val="0"/>
          <w:marRight w:val="0"/>
          <w:marTop w:val="0"/>
          <w:marBottom w:val="0"/>
          <w:divBdr>
            <w:top w:val="none" w:sz="0" w:space="0" w:color="auto"/>
            <w:left w:val="none" w:sz="0" w:space="0" w:color="auto"/>
            <w:bottom w:val="none" w:sz="0" w:space="0" w:color="auto"/>
            <w:right w:val="none" w:sz="0" w:space="0" w:color="auto"/>
          </w:divBdr>
          <w:divsChild>
            <w:div w:id="695539343">
              <w:marLeft w:val="0"/>
              <w:marRight w:val="0"/>
              <w:marTop w:val="0"/>
              <w:marBottom w:val="0"/>
              <w:divBdr>
                <w:top w:val="none" w:sz="0" w:space="0" w:color="auto"/>
                <w:left w:val="none" w:sz="0" w:space="0" w:color="auto"/>
                <w:bottom w:val="none" w:sz="0" w:space="0" w:color="auto"/>
                <w:right w:val="none" w:sz="0" w:space="0" w:color="auto"/>
              </w:divBdr>
            </w:div>
          </w:divsChild>
        </w:div>
        <w:div w:id="2087458585">
          <w:marLeft w:val="0"/>
          <w:marRight w:val="0"/>
          <w:marTop w:val="0"/>
          <w:marBottom w:val="0"/>
          <w:divBdr>
            <w:top w:val="none" w:sz="0" w:space="0" w:color="auto"/>
            <w:left w:val="none" w:sz="0" w:space="0" w:color="auto"/>
            <w:bottom w:val="none" w:sz="0" w:space="0" w:color="auto"/>
            <w:right w:val="none" w:sz="0" w:space="0" w:color="auto"/>
          </w:divBdr>
          <w:divsChild>
            <w:div w:id="13642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2443">
      <w:bodyDiv w:val="1"/>
      <w:marLeft w:val="0"/>
      <w:marRight w:val="0"/>
      <w:marTop w:val="0"/>
      <w:marBottom w:val="0"/>
      <w:divBdr>
        <w:top w:val="none" w:sz="0" w:space="0" w:color="auto"/>
        <w:left w:val="none" w:sz="0" w:space="0" w:color="auto"/>
        <w:bottom w:val="none" w:sz="0" w:space="0" w:color="auto"/>
        <w:right w:val="none" w:sz="0" w:space="0" w:color="auto"/>
      </w:divBdr>
      <w:divsChild>
        <w:div w:id="746541187">
          <w:marLeft w:val="0"/>
          <w:marRight w:val="0"/>
          <w:marTop w:val="0"/>
          <w:marBottom w:val="0"/>
          <w:divBdr>
            <w:top w:val="none" w:sz="0" w:space="0" w:color="auto"/>
            <w:left w:val="none" w:sz="0" w:space="0" w:color="auto"/>
            <w:bottom w:val="none" w:sz="0" w:space="0" w:color="auto"/>
            <w:right w:val="none" w:sz="0" w:space="0" w:color="auto"/>
          </w:divBdr>
          <w:divsChild>
            <w:div w:id="82147766">
              <w:marLeft w:val="0"/>
              <w:marRight w:val="0"/>
              <w:marTop w:val="0"/>
              <w:marBottom w:val="0"/>
              <w:divBdr>
                <w:top w:val="none" w:sz="0" w:space="0" w:color="auto"/>
                <w:left w:val="none" w:sz="0" w:space="0" w:color="auto"/>
                <w:bottom w:val="none" w:sz="0" w:space="0" w:color="auto"/>
                <w:right w:val="none" w:sz="0" w:space="0" w:color="auto"/>
              </w:divBdr>
            </w:div>
            <w:div w:id="1885747274">
              <w:marLeft w:val="0"/>
              <w:marRight w:val="0"/>
              <w:marTop w:val="0"/>
              <w:marBottom w:val="0"/>
              <w:divBdr>
                <w:top w:val="none" w:sz="0" w:space="0" w:color="auto"/>
                <w:left w:val="none" w:sz="0" w:space="0" w:color="auto"/>
                <w:bottom w:val="none" w:sz="0" w:space="0" w:color="auto"/>
                <w:right w:val="none" w:sz="0" w:space="0" w:color="auto"/>
              </w:divBdr>
            </w:div>
            <w:div w:id="2025814139">
              <w:marLeft w:val="0"/>
              <w:marRight w:val="0"/>
              <w:marTop w:val="0"/>
              <w:marBottom w:val="0"/>
              <w:divBdr>
                <w:top w:val="none" w:sz="0" w:space="0" w:color="auto"/>
                <w:left w:val="none" w:sz="0" w:space="0" w:color="auto"/>
                <w:bottom w:val="none" w:sz="0" w:space="0" w:color="auto"/>
                <w:right w:val="none" w:sz="0" w:space="0" w:color="auto"/>
              </w:divBdr>
            </w:div>
          </w:divsChild>
        </w:div>
        <w:div w:id="799416164">
          <w:marLeft w:val="0"/>
          <w:marRight w:val="0"/>
          <w:marTop w:val="0"/>
          <w:marBottom w:val="0"/>
          <w:divBdr>
            <w:top w:val="none" w:sz="0" w:space="0" w:color="auto"/>
            <w:left w:val="none" w:sz="0" w:space="0" w:color="auto"/>
            <w:bottom w:val="none" w:sz="0" w:space="0" w:color="auto"/>
            <w:right w:val="none" w:sz="0" w:space="0" w:color="auto"/>
          </w:divBdr>
        </w:div>
        <w:div w:id="840777010">
          <w:marLeft w:val="0"/>
          <w:marRight w:val="0"/>
          <w:marTop w:val="0"/>
          <w:marBottom w:val="0"/>
          <w:divBdr>
            <w:top w:val="none" w:sz="0" w:space="0" w:color="auto"/>
            <w:left w:val="none" w:sz="0" w:space="0" w:color="auto"/>
            <w:bottom w:val="none" w:sz="0" w:space="0" w:color="auto"/>
            <w:right w:val="none" w:sz="0" w:space="0" w:color="auto"/>
          </w:divBdr>
        </w:div>
        <w:div w:id="1097291941">
          <w:marLeft w:val="0"/>
          <w:marRight w:val="0"/>
          <w:marTop w:val="0"/>
          <w:marBottom w:val="0"/>
          <w:divBdr>
            <w:top w:val="none" w:sz="0" w:space="0" w:color="auto"/>
            <w:left w:val="none" w:sz="0" w:space="0" w:color="auto"/>
            <w:bottom w:val="none" w:sz="0" w:space="0" w:color="auto"/>
            <w:right w:val="none" w:sz="0" w:space="0" w:color="auto"/>
          </w:divBdr>
          <w:divsChild>
            <w:div w:id="1147630378">
              <w:marLeft w:val="-75"/>
              <w:marRight w:val="0"/>
              <w:marTop w:val="30"/>
              <w:marBottom w:val="30"/>
              <w:divBdr>
                <w:top w:val="none" w:sz="0" w:space="0" w:color="auto"/>
                <w:left w:val="none" w:sz="0" w:space="0" w:color="auto"/>
                <w:bottom w:val="none" w:sz="0" w:space="0" w:color="auto"/>
                <w:right w:val="none" w:sz="0" w:space="0" w:color="auto"/>
              </w:divBdr>
              <w:divsChild>
                <w:div w:id="426926443">
                  <w:marLeft w:val="0"/>
                  <w:marRight w:val="0"/>
                  <w:marTop w:val="0"/>
                  <w:marBottom w:val="0"/>
                  <w:divBdr>
                    <w:top w:val="none" w:sz="0" w:space="0" w:color="auto"/>
                    <w:left w:val="none" w:sz="0" w:space="0" w:color="auto"/>
                    <w:bottom w:val="none" w:sz="0" w:space="0" w:color="auto"/>
                    <w:right w:val="none" w:sz="0" w:space="0" w:color="auto"/>
                  </w:divBdr>
                  <w:divsChild>
                    <w:div w:id="999508187">
                      <w:marLeft w:val="0"/>
                      <w:marRight w:val="0"/>
                      <w:marTop w:val="0"/>
                      <w:marBottom w:val="0"/>
                      <w:divBdr>
                        <w:top w:val="none" w:sz="0" w:space="0" w:color="auto"/>
                        <w:left w:val="none" w:sz="0" w:space="0" w:color="auto"/>
                        <w:bottom w:val="none" w:sz="0" w:space="0" w:color="auto"/>
                        <w:right w:val="none" w:sz="0" w:space="0" w:color="auto"/>
                      </w:divBdr>
                    </w:div>
                  </w:divsChild>
                </w:div>
                <w:div w:id="658121968">
                  <w:marLeft w:val="0"/>
                  <w:marRight w:val="0"/>
                  <w:marTop w:val="0"/>
                  <w:marBottom w:val="0"/>
                  <w:divBdr>
                    <w:top w:val="none" w:sz="0" w:space="0" w:color="auto"/>
                    <w:left w:val="none" w:sz="0" w:space="0" w:color="auto"/>
                    <w:bottom w:val="none" w:sz="0" w:space="0" w:color="auto"/>
                    <w:right w:val="none" w:sz="0" w:space="0" w:color="auto"/>
                  </w:divBdr>
                  <w:divsChild>
                    <w:div w:id="895510770">
                      <w:marLeft w:val="0"/>
                      <w:marRight w:val="0"/>
                      <w:marTop w:val="0"/>
                      <w:marBottom w:val="0"/>
                      <w:divBdr>
                        <w:top w:val="none" w:sz="0" w:space="0" w:color="auto"/>
                        <w:left w:val="none" w:sz="0" w:space="0" w:color="auto"/>
                        <w:bottom w:val="none" w:sz="0" w:space="0" w:color="auto"/>
                        <w:right w:val="none" w:sz="0" w:space="0" w:color="auto"/>
                      </w:divBdr>
                    </w:div>
                  </w:divsChild>
                </w:div>
                <w:div w:id="1028338776">
                  <w:marLeft w:val="0"/>
                  <w:marRight w:val="0"/>
                  <w:marTop w:val="0"/>
                  <w:marBottom w:val="0"/>
                  <w:divBdr>
                    <w:top w:val="none" w:sz="0" w:space="0" w:color="auto"/>
                    <w:left w:val="none" w:sz="0" w:space="0" w:color="auto"/>
                    <w:bottom w:val="none" w:sz="0" w:space="0" w:color="auto"/>
                    <w:right w:val="none" w:sz="0" w:space="0" w:color="auto"/>
                  </w:divBdr>
                  <w:divsChild>
                    <w:div w:id="1512143692">
                      <w:marLeft w:val="0"/>
                      <w:marRight w:val="0"/>
                      <w:marTop w:val="0"/>
                      <w:marBottom w:val="0"/>
                      <w:divBdr>
                        <w:top w:val="none" w:sz="0" w:space="0" w:color="auto"/>
                        <w:left w:val="none" w:sz="0" w:space="0" w:color="auto"/>
                        <w:bottom w:val="none" w:sz="0" w:space="0" w:color="auto"/>
                        <w:right w:val="none" w:sz="0" w:space="0" w:color="auto"/>
                      </w:divBdr>
                    </w:div>
                  </w:divsChild>
                </w:div>
                <w:div w:id="1089616394">
                  <w:marLeft w:val="0"/>
                  <w:marRight w:val="0"/>
                  <w:marTop w:val="0"/>
                  <w:marBottom w:val="0"/>
                  <w:divBdr>
                    <w:top w:val="none" w:sz="0" w:space="0" w:color="auto"/>
                    <w:left w:val="none" w:sz="0" w:space="0" w:color="auto"/>
                    <w:bottom w:val="none" w:sz="0" w:space="0" w:color="auto"/>
                    <w:right w:val="none" w:sz="0" w:space="0" w:color="auto"/>
                  </w:divBdr>
                  <w:divsChild>
                    <w:div w:id="913006300">
                      <w:marLeft w:val="0"/>
                      <w:marRight w:val="0"/>
                      <w:marTop w:val="0"/>
                      <w:marBottom w:val="0"/>
                      <w:divBdr>
                        <w:top w:val="none" w:sz="0" w:space="0" w:color="auto"/>
                        <w:left w:val="none" w:sz="0" w:space="0" w:color="auto"/>
                        <w:bottom w:val="none" w:sz="0" w:space="0" w:color="auto"/>
                        <w:right w:val="none" w:sz="0" w:space="0" w:color="auto"/>
                      </w:divBdr>
                    </w:div>
                  </w:divsChild>
                </w:div>
                <w:div w:id="1231036079">
                  <w:marLeft w:val="0"/>
                  <w:marRight w:val="0"/>
                  <w:marTop w:val="0"/>
                  <w:marBottom w:val="0"/>
                  <w:divBdr>
                    <w:top w:val="none" w:sz="0" w:space="0" w:color="auto"/>
                    <w:left w:val="none" w:sz="0" w:space="0" w:color="auto"/>
                    <w:bottom w:val="none" w:sz="0" w:space="0" w:color="auto"/>
                    <w:right w:val="none" w:sz="0" w:space="0" w:color="auto"/>
                  </w:divBdr>
                  <w:divsChild>
                    <w:div w:id="1687828426">
                      <w:marLeft w:val="0"/>
                      <w:marRight w:val="0"/>
                      <w:marTop w:val="0"/>
                      <w:marBottom w:val="0"/>
                      <w:divBdr>
                        <w:top w:val="none" w:sz="0" w:space="0" w:color="auto"/>
                        <w:left w:val="none" w:sz="0" w:space="0" w:color="auto"/>
                        <w:bottom w:val="none" w:sz="0" w:space="0" w:color="auto"/>
                        <w:right w:val="none" w:sz="0" w:space="0" w:color="auto"/>
                      </w:divBdr>
                    </w:div>
                  </w:divsChild>
                </w:div>
                <w:div w:id="1442457942">
                  <w:marLeft w:val="0"/>
                  <w:marRight w:val="0"/>
                  <w:marTop w:val="0"/>
                  <w:marBottom w:val="0"/>
                  <w:divBdr>
                    <w:top w:val="none" w:sz="0" w:space="0" w:color="auto"/>
                    <w:left w:val="none" w:sz="0" w:space="0" w:color="auto"/>
                    <w:bottom w:val="none" w:sz="0" w:space="0" w:color="auto"/>
                    <w:right w:val="none" w:sz="0" w:space="0" w:color="auto"/>
                  </w:divBdr>
                  <w:divsChild>
                    <w:div w:id="7443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9841">
          <w:marLeft w:val="0"/>
          <w:marRight w:val="0"/>
          <w:marTop w:val="0"/>
          <w:marBottom w:val="0"/>
          <w:divBdr>
            <w:top w:val="none" w:sz="0" w:space="0" w:color="auto"/>
            <w:left w:val="none" w:sz="0" w:space="0" w:color="auto"/>
            <w:bottom w:val="none" w:sz="0" w:space="0" w:color="auto"/>
            <w:right w:val="none" w:sz="0" w:space="0" w:color="auto"/>
          </w:divBdr>
          <w:divsChild>
            <w:div w:id="101271836">
              <w:marLeft w:val="0"/>
              <w:marRight w:val="0"/>
              <w:marTop w:val="0"/>
              <w:marBottom w:val="0"/>
              <w:divBdr>
                <w:top w:val="none" w:sz="0" w:space="0" w:color="auto"/>
                <w:left w:val="none" w:sz="0" w:space="0" w:color="auto"/>
                <w:bottom w:val="none" w:sz="0" w:space="0" w:color="auto"/>
                <w:right w:val="none" w:sz="0" w:space="0" w:color="auto"/>
              </w:divBdr>
            </w:div>
            <w:div w:id="593325754">
              <w:marLeft w:val="0"/>
              <w:marRight w:val="0"/>
              <w:marTop w:val="0"/>
              <w:marBottom w:val="0"/>
              <w:divBdr>
                <w:top w:val="none" w:sz="0" w:space="0" w:color="auto"/>
                <w:left w:val="none" w:sz="0" w:space="0" w:color="auto"/>
                <w:bottom w:val="none" w:sz="0" w:space="0" w:color="auto"/>
                <w:right w:val="none" w:sz="0" w:space="0" w:color="auto"/>
              </w:divBdr>
            </w:div>
            <w:div w:id="1134300030">
              <w:marLeft w:val="0"/>
              <w:marRight w:val="0"/>
              <w:marTop w:val="0"/>
              <w:marBottom w:val="0"/>
              <w:divBdr>
                <w:top w:val="none" w:sz="0" w:space="0" w:color="auto"/>
                <w:left w:val="none" w:sz="0" w:space="0" w:color="auto"/>
                <w:bottom w:val="none" w:sz="0" w:space="0" w:color="auto"/>
                <w:right w:val="none" w:sz="0" w:space="0" w:color="auto"/>
              </w:divBdr>
            </w:div>
            <w:div w:id="1771390413">
              <w:marLeft w:val="0"/>
              <w:marRight w:val="0"/>
              <w:marTop w:val="0"/>
              <w:marBottom w:val="0"/>
              <w:divBdr>
                <w:top w:val="none" w:sz="0" w:space="0" w:color="auto"/>
                <w:left w:val="none" w:sz="0" w:space="0" w:color="auto"/>
                <w:bottom w:val="none" w:sz="0" w:space="0" w:color="auto"/>
                <w:right w:val="none" w:sz="0" w:space="0" w:color="auto"/>
              </w:divBdr>
            </w:div>
            <w:div w:id="1785228673">
              <w:marLeft w:val="0"/>
              <w:marRight w:val="0"/>
              <w:marTop w:val="0"/>
              <w:marBottom w:val="0"/>
              <w:divBdr>
                <w:top w:val="none" w:sz="0" w:space="0" w:color="auto"/>
                <w:left w:val="none" w:sz="0" w:space="0" w:color="auto"/>
                <w:bottom w:val="none" w:sz="0" w:space="0" w:color="auto"/>
                <w:right w:val="none" w:sz="0" w:space="0" w:color="auto"/>
              </w:divBdr>
            </w:div>
          </w:divsChild>
        </w:div>
        <w:div w:id="2137983028">
          <w:marLeft w:val="0"/>
          <w:marRight w:val="0"/>
          <w:marTop w:val="0"/>
          <w:marBottom w:val="0"/>
          <w:divBdr>
            <w:top w:val="none" w:sz="0" w:space="0" w:color="auto"/>
            <w:left w:val="none" w:sz="0" w:space="0" w:color="auto"/>
            <w:bottom w:val="none" w:sz="0" w:space="0" w:color="auto"/>
            <w:right w:val="none" w:sz="0" w:space="0" w:color="auto"/>
          </w:divBdr>
          <w:divsChild>
            <w:div w:id="149252413">
              <w:marLeft w:val="0"/>
              <w:marRight w:val="0"/>
              <w:marTop w:val="0"/>
              <w:marBottom w:val="0"/>
              <w:divBdr>
                <w:top w:val="none" w:sz="0" w:space="0" w:color="auto"/>
                <w:left w:val="none" w:sz="0" w:space="0" w:color="auto"/>
                <w:bottom w:val="none" w:sz="0" w:space="0" w:color="auto"/>
                <w:right w:val="none" w:sz="0" w:space="0" w:color="auto"/>
              </w:divBdr>
            </w:div>
            <w:div w:id="838544653">
              <w:marLeft w:val="0"/>
              <w:marRight w:val="0"/>
              <w:marTop w:val="0"/>
              <w:marBottom w:val="0"/>
              <w:divBdr>
                <w:top w:val="none" w:sz="0" w:space="0" w:color="auto"/>
                <w:left w:val="none" w:sz="0" w:space="0" w:color="auto"/>
                <w:bottom w:val="none" w:sz="0" w:space="0" w:color="auto"/>
                <w:right w:val="none" w:sz="0" w:space="0" w:color="auto"/>
              </w:divBdr>
            </w:div>
            <w:div w:id="1437214238">
              <w:marLeft w:val="0"/>
              <w:marRight w:val="0"/>
              <w:marTop w:val="0"/>
              <w:marBottom w:val="0"/>
              <w:divBdr>
                <w:top w:val="none" w:sz="0" w:space="0" w:color="auto"/>
                <w:left w:val="none" w:sz="0" w:space="0" w:color="auto"/>
                <w:bottom w:val="none" w:sz="0" w:space="0" w:color="auto"/>
                <w:right w:val="none" w:sz="0" w:space="0" w:color="auto"/>
              </w:divBdr>
            </w:div>
            <w:div w:id="15110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6928">
      <w:bodyDiv w:val="1"/>
      <w:marLeft w:val="0"/>
      <w:marRight w:val="0"/>
      <w:marTop w:val="0"/>
      <w:marBottom w:val="0"/>
      <w:divBdr>
        <w:top w:val="none" w:sz="0" w:space="0" w:color="auto"/>
        <w:left w:val="none" w:sz="0" w:space="0" w:color="auto"/>
        <w:bottom w:val="none" w:sz="0" w:space="0" w:color="auto"/>
        <w:right w:val="none" w:sz="0" w:space="0" w:color="auto"/>
      </w:divBdr>
    </w:div>
    <w:div w:id="1269847265">
      <w:bodyDiv w:val="1"/>
      <w:marLeft w:val="0"/>
      <w:marRight w:val="0"/>
      <w:marTop w:val="0"/>
      <w:marBottom w:val="0"/>
      <w:divBdr>
        <w:top w:val="none" w:sz="0" w:space="0" w:color="auto"/>
        <w:left w:val="none" w:sz="0" w:space="0" w:color="auto"/>
        <w:bottom w:val="none" w:sz="0" w:space="0" w:color="auto"/>
        <w:right w:val="none" w:sz="0" w:space="0" w:color="auto"/>
      </w:divBdr>
      <w:divsChild>
        <w:div w:id="559950042">
          <w:marLeft w:val="0"/>
          <w:marRight w:val="0"/>
          <w:marTop w:val="0"/>
          <w:marBottom w:val="0"/>
          <w:divBdr>
            <w:top w:val="none" w:sz="0" w:space="0" w:color="auto"/>
            <w:left w:val="none" w:sz="0" w:space="0" w:color="auto"/>
            <w:bottom w:val="none" w:sz="0" w:space="0" w:color="auto"/>
            <w:right w:val="none" w:sz="0" w:space="0" w:color="auto"/>
          </w:divBdr>
        </w:div>
        <w:div w:id="642463885">
          <w:marLeft w:val="0"/>
          <w:marRight w:val="0"/>
          <w:marTop w:val="0"/>
          <w:marBottom w:val="0"/>
          <w:divBdr>
            <w:top w:val="none" w:sz="0" w:space="0" w:color="auto"/>
            <w:left w:val="none" w:sz="0" w:space="0" w:color="auto"/>
            <w:bottom w:val="none" w:sz="0" w:space="0" w:color="auto"/>
            <w:right w:val="none" w:sz="0" w:space="0" w:color="auto"/>
          </w:divBdr>
          <w:divsChild>
            <w:div w:id="1648704057">
              <w:marLeft w:val="0"/>
              <w:marRight w:val="0"/>
              <w:marTop w:val="30"/>
              <w:marBottom w:val="30"/>
              <w:divBdr>
                <w:top w:val="none" w:sz="0" w:space="0" w:color="auto"/>
                <w:left w:val="none" w:sz="0" w:space="0" w:color="auto"/>
                <w:bottom w:val="none" w:sz="0" w:space="0" w:color="auto"/>
                <w:right w:val="none" w:sz="0" w:space="0" w:color="auto"/>
              </w:divBdr>
              <w:divsChild>
                <w:div w:id="326251584">
                  <w:marLeft w:val="0"/>
                  <w:marRight w:val="0"/>
                  <w:marTop w:val="0"/>
                  <w:marBottom w:val="0"/>
                  <w:divBdr>
                    <w:top w:val="none" w:sz="0" w:space="0" w:color="auto"/>
                    <w:left w:val="none" w:sz="0" w:space="0" w:color="auto"/>
                    <w:bottom w:val="none" w:sz="0" w:space="0" w:color="auto"/>
                    <w:right w:val="none" w:sz="0" w:space="0" w:color="auto"/>
                  </w:divBdr>
                  <w:divsChild>
                    <w:div w:id="639697544">
                      <w:marLeft w:val="0"/>
                      <w:marRight w:val="0"/>
                      <w:marTop w:val="0"/>
                      <w:marBottom w:val="0"/>
                      <w:divBdr>
                        <w:top w:val="none" w:sz="0" w:space="0" w:color="auto"/>
                        <w:left w:val="none" w:sz="0" w:space="0" w:color="auto"/>
                        <w:bottom w:val="none" w:sz="0" w:space="0" w:color="auto"/>
                        <w:right w:val="none" w:sz="0" w:space="0" w:color="auto"/>
                      </w:divBdr>
                    </w:div>
                    <w:div w:id="2003586706">
                      <w:marLeft w:val="0"/>
                      <w:marRight w:val="0"/>
                      <w:marTop w:val="0"/>
                      <w:marBottom w:val="0"/>
                      <w:divBdr>
                        <w:top w:val="none" w:sz="0" w:space="0" w:color="auto"/>
                        <w:left w:val="none" w:sz="0" w:space="0" w:color="auto"/>
                        <w:bottom w:val="none" w:sz="0" w:space="0" w:color="auto"/>
                        <w:right w:val="none" w:sz="0" w:space="0" w:color="auto"/>
                      </w:divBdr>
                    </w:div>
                  </w:divsChild>
                </w:div>
                <w:div w:id="627080234">
                  <w:marLeft w:val="0"/>
                  <w:marRight w:val="0"/>
                  <w:marTop w:val="0"/>
                  <w:marBottom w:val="0"/>
                  <w:divBdr>
                    <w:top w:val="none" w:sz="0" w:space="0" w:color="auto"/>
                    <w:left w:val="none" w:sz="0" w:space="0" w:color="auto"/>
                    <w:bottom w:val="none" w:sz="0" w:space="0" w:color="auto"/>
                    <w:right w:val="none" w:sz="0" w:space="0" w:color="auto"/>
                  </w:divBdr>
                  <w:divsChild>
                    <w:div w:id="318660652">
                      <w:marLeft w:val="0"/>
                      <w:marRight w:val="0"/>
                      <w:marTop w:val="0"/>
                      <w:marBottom w:val="0"/>
                      <w:divBdr>
                        <w:top w:val="none" w:sz="0" w:space="0" w:color="auto"/>
                        <w:left w:val="none" w:sz="0" w:space="0" w:color="auto"/>
                        <w:bottom w:val="none" w:sz="0" w:space="0" w:color="auto"/>
                        <w:right w:val="none" w:sz="0" w:space="0" w:color="auto"/>
                      </w:divBdr>
                    </w:div>
                  </w:divsChild>
                </w:div>
                <w:div w:id="721102187">
                  <w:marLeft w:val="0"/>
                  <w:marRight w:val="0"/>
                  <w:marTop w:val="0"/>
                  <w:marBottom w:val="0"/>
                  <w:divBdr>
                    <w:top w:val="none" w:sz="0" w:space="0" w:color="auto"/>
                    <w:left w:val="none" w:sz="0" w:space="0" w:color="auto"/>
                    <w:bottom w:val="none" w:sz="0" w:space="0" w:color="auto"/>
                    <w:right w:val="none" w:sz="0" w:space="0" w:color="auto"/>
                  </w:divBdr>
                  <w:divsChild>
                    <w:div w:id="154688439">
                      <w:marLeft w:val="0"/>
                      <w:marRight w:val="0"/>
                      <w:marTop w:val="0"/>
                      <w:marBottom w:val="0"/>
                      <w:divBdr>
                        <w:top w:val="none" w:sz="0" w:space="0" w:color="auto"/>
                        <w:left w:val="none" w:sz="0" w:space="0" w:color="auto"/>
                        <w:bottom w:val="none" w:sz="0" w:space="0" w:color="auto"/>
                        <w:right w:val="none" w:sz="0" w:space="0" w:color="auto"/>
                      </w:divBdr>
                    </w:div>
                    <w:div w:id="237402249">
                      <w:marLeft w:val="0"/>
                      <w:marRight w:val="0"/>
                      <w:marTop w:val="0"/>
                      <w:marBottom w:val="0"/>
                      <w:divBdr>
                        <w:top w:val="none" w:sz="0" w:space="0" w:color="auto"/>
                        <w:left w:val="none" w:sz="0" w:space="0" w:color="auto"/>
                        <w:bottom w:val="none" w:sz="0" w:space="0" w:color="auto"/>
                        <w:right w:val="none" w:sz="0" w:space="0" w:color="auto"/>
                      </w:divBdr>
                    </w:div>
                    <w:div w:id="484124152">
                      <w:marLeft w:val="0"/>
                      <w:marRight w:val="0"/>
                      <w:marTop w:val="0"/>
                      <w:marBottom w:val="0"/>
                      <w:divBdr>
                        <w:top w:val="none" w:sz="0" w:space="0" w:color="auto"/>
                        <w:left w:val="none" w:sz="0" w:space="0" w:color="auto"/>
                        <w:bottom w:val="none" w:sz="0" w:space="0" w:color="auto"/>
                        <w:right w:val="none" w:sz="0" w:space="0" w:color="auto"/>
                      </w:divBdr>
                    </w:div>
                    <w:div w:id="717247655">
                      <w:marLeft w:val="0"/>
                      <w:marRight w:val="0"/>
                      <w:marTop w:val="0"/>
                      <w:marBottom w:val="0"/>
                      <w:divBdr>
                        <w:top w:val="none" w:sz="0" w:space="0" w:color="auto"/>
                        <w:left w:val="none" w:sz="0" w:space="0" w:color="auto"/>
                        <w:bottom w:val="none" w:sz="0" w:space="0" w:color="auto"/>
                        <w:right w:val="none" w:sz="0" w:space="0" w:color="auto"/>
                      </w:divBdr>
                    </w:div>
                    <w:div w:id="855190126">
                      <w:marLeft w:val="0"/>
                      <w:marRight w:val="0"/>
                      <w:marTop w:val="0"/>
                      <w:marBottom w:val="0"/>
                      <w:divBdr>
                        <w:top w:val="none" w:sz="0" w:space="0" w:color="auto"/>
                        <w:left w:val="none" w:sz="0" w:space="0" w:color="auto"/>
                        <w:bottom w:val="none" w:sz="0" w:space="0" w:color="auto"/>
                        <w:right w:val="none" w:sz="0" w:space="0" w:color="auto"/>
                      </w:divBdr>
                    </w:div>
                    <w:div w:id="894044137">
                      <w:marLeft w:val="0"/>
                      <w:marRight w:val="0"/>
                      <w:marTop w:val="0"/>
                      <w:marBottom w:val="0"/>
                      <w:divBdr>
                        <w:top w:val="none" w:sz="0" w:space="0" w:color="auto"/>
                        <w:left w:val="none" w:sz="0" w:space="0" w:color="auto"/>
                        <w:bottom w:val="none" w:sz="0" w:space="0" w:color="auto"/>
                        <w:right w:val="none" w:sz="0" w:space="0" w:color="auto"/>
                      </w:divBdr>
                    </w:div>
                    <w:div w:id="978614565">
                      <w:marLeft w:val="0"/>
                      <w:marRight w:val="0"/>
                      <w:marTop w:val="0"/>
                      <w:marBottom w:val="0"/>
                      <w:divBdr>
                        <w:top w:val="none" w:sz="0" w:space="0" w:color="auto"/>
                        <w:left w:val="none" w:sz="0" w:space="0" w:color="auto"/>
                        <w:bottom w:val="none" w:sz="0" w:space="0" w:color="auto"/>
                        <w:right w:val="none" w:sz="0" w:space="0" w:color="auto"/>
                      </w:divBdr>
                    </w:div>
                    <w:div w:id="1071611561">
                      <w:marLeft w:val="0"/>
                      <w:marRight w:val="0"/>
                      <w:marTop w:val="0"/>
                      <w:marBottom w:val="0"/>
                      <w:divBdr>
                        <w:top w:val="none" w:sz="0" w:space="0" w:color="auto"/>
                        <w:left w:val="none" w:sz="0" w:space="0" w:color="auto"/>
                        <w:bottom w:val="none" w:sz="0" w:space="0" w:color="auto"/>
                        <w:right w:val="none" w:sz="0" w:space="0" w:color="auto"/>
                      </w:divBdr>
                    </w:div>
                    <w:div w:id="1072432727">
                      <w:marLeft w:val="0"/>
                      <w:marRight w:val="0"/>
                      <w:marTop w:val="0"/>
                      <w:marBottom w:val="0"/>
                      <w:divBdr>
                        <w:top w:val="none" w:sz="0" w:space="0" w:color="auto"/>
                        <w:left w:val="none" w:sz="0" w:space="0" w:color="auto"/>
                        <w:bottom w:val="none" w:sz="0" w:space="0" w:color="auto"/>
                        <w:right w:val="none" w:sz="0" w:space="0" w:color="auto"/>
                      </w:divBdr>
                    </w:div>
                    <w:div w:id="1590432606">
                      <w:marLeft w:val="0"/>
                      <w:marRight w:val="0"/>
                      <w:marTop w:val="0"/>
                      <w:marBottom w:val="0"/>
                      <w:divBdr>
                        <w:top w:val="none" w:sz="0" w:space="0" w:color="auto"/>
                        <w:left w:val="none" w:sz="0" w:space="0" w:color="auto"/>
                        <w:bottom w:val="none" w:sz="0" w:space="0" w:color="auto"/>
                        <w:right w:val="none" w:sz="0" w:space="0" w:color="auto"/>
                      </w:divBdr>
                    </w:div>
                    <w:div w:id="1978341518">
                      <w:marLeft w:val="0"/>
                      <w:marRight w:val="0"/>
                      <w:marTop w:val="0"/>
                      <w:marBottom w:val="0"/>
                      <w:divBdr>
                        <w:top w:val="none" w:sz="0" w:space="0" w:color="auto"/>
                        <w:left w:val="none" w:sz="0" w:space="0" w:color="auto"/>
                        <w:bottom w:val="none" w:sz="0" w:space="0" w:color="auto"/>
                        <w:right w:val="none" w:sz="0" w:space="0" w:color="auto"/>
                      </w:divBdr>
                    </w:div>
                    <w:div w:id="2092698027">
                      <w:marLeft w:val="0"/>
                      <w:marRight w:val="0"/>
                      <w:marTop w:val="0"/>
                      <w:marBottom w:val="0"/>
                      <w:divBdr>
                        <w:top w:val="none" w:sz="0" w:space="0" w:color="auto"/>
                        <w:left w:val="none" w:sz="0" w:space="0" w:color="auto"/>
                        <w:bottom w:val="none" w:sz="0" w:space="0" w:color="auto"/>
                        <w:right w:val="none" w:sz="0" w:space="0" w:color="auto"/>
                      </w:divBdr>
                    </w:div>
                    <w:div w:id="2127045209">
                      <w:marLeft w:val="0"/>
                      <w:marRight w:val="0"/>
                      <w:marTop w:val="0"/>
                      <w:marBottom w:val="0"/>
                      <w:divBdr>
                        <w:top w:val="none" w:sz="0" w:space="0" w:color="auto"/>
                        <w:left w:val="none" w:sz="0" w:space="0" w:color="auto"/>
                        <w:bottom w:val="none" w:sz="0" w:space="0" w:color="auto"/>
                        <w:right w:val="none" w:sz="0" w:space="0" w:color="auto"/>
                      </w:divBdr>
                    </w:div>
                    <w:div w:id="2137868974">
                      <w:marLeft w:val="0"/>
                      <w:marRight w:val="0"/>
                      <w:marTop w:val="0"/>
                      <w:marBottom w:val="0"/>
                      <w:divBdr>
                        <w:top w:val="none" w:sz="0" w:space="0" w:color="auto"/>
                        <w:left w:val="none" w:sz="0" w:space="0" w:color="auto"/>
                        <w:bottom w:val="none" w:sz="0" w:space="0" w:color="auto"/>
                        <w:right w:val="none" w:sz="0" w:space="0" w:color="auto"/>
                      </w:divBdr>
                    </w:div>
                  </w:divsChild>
                </w:div>
                <w:div w:id="806748914">
                  <w:marLeft w:val="0"/>
                  <w:marRight w:val="0"/>
                  <w:marTop w:val="0"/>
                  <w:marBottom w:val="0"/>
                  <w:divBdr>
                    <w:top w:val="none" w:sz="0" w:space="0" w:color="auto"/>
                    <w:left w:val="none" w:sz="0" w:space="0" w:color="auto"/>
                    <w:bottom w:val="none" w:sz="0" w:space="0" w:color="auto"/>
                    <w:right w:val="none" w:sz="0" w:space="0" w:color="auto"/>
                  </w:divBdr>
                  <w:divsChild>
                    <w:div w:id="1583446726">
                      <w:marLeft w:val="0"/>
                      <w:marRight w:val="0"/>
                      <w:marTop w:val="0"/>
                      <w:marBottom w:val="0"/>
                      <w:divBdr>
                        <w:top w:val="none" w:sz="0" w:space="0" w:color="auto"/>
                        <w:left w:val="none" w:sz="0" w:space="0" w:color="auto"/>
                        <w:bottom w:val="none" w:sz="0" w:space="0" w:color="auto"/>
                        <w:right w:val="none" w:sz="0" w:space="0" w:color="auto"/>
                      </w:divBdr>
                    </w:div>
                  </w:divsChild>
                </w:div>
                <w:div w:id="1256743713">
                  <w:marLeft w:val="0"/>
                  <w:marRight w:val="0"/>
                  <w:marTop w:val="0"/>
                  <w:marBottom w:val="0"/>
                  <w:divBdr>
                    <w:top w:val="none" w:sz="0" w:space="0" w:color="auto"/>
                    <w:left w:val="none" w:sz="0" w:space="0" w:color="auto"/>
                    <w:bottom w:val="none" w:sz="0" w:space="0" w:color="auto"/>
                    <w:right w:val="none" w:sz="0" w:space="0" w:color="auto"/>
                  </w:divBdr>
                  <w:divsChild>
                    <w:div w:id="1795562867">
                      <w:marLeft w:val="0"/>
                      <w:marRight w:val="0"/>
                      <w:marTop w:val="0"/>
                      <w:marBottom w:val="0"/>
                      <w:divBdr>
                        <w:top w:val="none" w:sz="0" w:space="0" w:color="auto"/>
                        <w:left w:val="none" w:sz="0" w:space="0" w:color="auto"/>
                        <w:bottom w:val="none" w:sz="0" w:space="0" w:color="auto"/>
                        <w:right w:val="none" w:sz="0" w:space="0" w:color="auto"/>
                      </w:divBdr>
                    </w:div>
                  </w:divsChild>
                </w:div>
                <w:div w:id="1952667543">
                  <w:marLeft w:val="0"/>
                  <w:marRight w:val="0"/>
                  <w:marTop w:val="0"/>
                  <w:marBottom w:val="0"/>
                  <w:divBdr>
                    <w:top w:val="none" w:sz="0" w:space="0" w:color="auto"/>
                    <w:left w:val="none" w:sz="0" w:space="0" w:color="auto"/>
                    <w:bottom w:val="none" w:sz="0" w:space="0" w:color="auto"/>
                    <w:right w:val="none" w:sz="0" w:space="0" w:color="auto"/>
                  </w:divBdr>
                  <w:divsChild>
                    <w:div w:id="40442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3708">
      <w:bodyDiv w:val="1"/>
      <w:marLeft w:val="0"/>
      <w:marRight w:val="0"/>
      <w:marTop w:val="0"/>
      <w:marBottom w:val="0"/>
      <w:divBdr>
        <w:top w:val="none" w:sz="0" w:space="0" w:color="auto"/>
        <w:left w:val="none" w:sz="0" w:space="0" w:color="auto"/>
        <w:bottom w:val="none" w:sz="0" w:space="0" w:color="auto"/>
        <w:right w:val="none" w:sz="0" w:space="0" w:color="auto"/>
      </w:divBdr>
      <w:divsChild>
        <w:div w:id="305740509">
          <w:marLeft w:val="0"/>
          <w:marRight w:val="0"/>
          <w:marTop w:val="0"/>
          <w:marBottom w:val="0"/>
          <w:divBdr>
            <w:top w:val="none" w:sz="0" w:space="0" w:color="auto"/>
            <w:left w:val="none" w:sz="0" w:space="0" w:color="auto"/>
            <w:bottom w:val="none" w:sz="0" w:space="0" w:color="auto"/>
            <w:right w:val="none" w:sz="0" w:space="0" w:color="auto"/>
          </w:divBdr>
        </w:div>
        <w:div w:id="1269191960">
          <w:marLeft w:val="0"/>
          <w:marRight w:val="0"/>
          <w:marTop w:val="0"/>
          <w:marBottom w:val="0"/>
          <w:divBdr>
            <w:top w:val="none" w:sz="0" w:space="0" w:color="auto"/>
            <w:left w:val="none" w:sz="0" w:space="0" w:color="auto"/>
            <w:bottom w:val="none" w:sz="0" w:space="0" w:color="auto"/>
            <w:right w:val="none" w:sz="0" w:space="0" w:color="auto"/>
          </w:divBdr>
          <w:divsChild>
            <w:div w:id="176773398">
              <w:marLeft w:val="-75"/>
              <w:marRight w:val="0"/>
              <w:marTop w:val="30"/>
              <w:marBottom w:val="30"/>
              <w:divBdr>
                <w:top w:val="none" w:sz="0" w:space="0" w:color="auto"/>
                <w:left w:val="none" w:sz="0" w:space="0" w:color="auto"/>
                <w:bottom w:val="none" w:sz="0" w:space="0" w:color="auto"/>
                <w:right w:val="none" w:sz="0" w:space="0" w:color="auto"/>
              </w:divBdr>
              <w:divsChild>
                <w:div w:id="152599681">
                  <w:marLeft w:val="0"/>
                  <w:marRight w:val="0"/>
                  <w:marTop w:val="0"/>
                  <w:marBottom w:val="0"/>
                  <w:divBdr>
                    <w:top w:val="none" w:sz="0" w:space="0" w:color="auto"/>
                    <w:left w:val="none" w:sz="0" w:space="0" w:color="auto"/>
                    <w:bottom w:val="none" w:sz="0" w:space="0" w:color="auto"/>
                    <w:right w:val="none" w:sz="0" w:space="0" w:color="auto"/>
                  </w:divBdr>
                  <w:divsChild>
                    <w:div w:id="1722291578">
                      <w:marLeft w:val="0"/>
                      <w:marRight w:val="0"/>
                      <w:marTop w:val="0"/>
                      <w:marBottom w:val="0"/>
                      <w:divBdr>
                        <w:top w:val="none" w:sz="0" w:space="0" w:color="auto"/>
                        <w:left w:val="none" w:sz="0" w:space="0" w:color="auto"/>
                        <w:bottom w:val="none" w:sz="0" w:space="0" w:color="auto"/>
                        <w:right w:val="none" w:sz="0" w:space="0" w:color="auto"/>
                      </w:divBdr>
                    </w:div>
                  </w:divsChild>
                </w:div>
                <w:div w:id="243229182">
                  <w:marLeft w:val="0"/>
                  <w:marRight w:val="0"/>
                  <w:marTop w:val="0"/>
                  <w:marBottom w:val="0"/>
                  <w:divBdr>
                    <w:top w:val="none" w:sz="0" w:space="0" w:color="auto"/>
                    <w:left w:val="none" w:sz="0" w:space="0" w:color="auto"/>
                    <w:bottom w:val="none" w:sz="0" w:space="0" w:color="auto"/>
                    <w:right w:val="none" w:sz="0" w:space="0" w:color="auto"/>
                  </w:divBdr>
                  <w:divsChild>
                    <w:div w:id="1293711485">
                      <w:marLeft w:val="0"/>
                      <w:marRight w:val="0"/>
                      <w:marTop w:val="0"/>
                      <w:marBottom w:val="0"/>
                      <w:divBdr>
                        <w:top w:val="none" w:sz="0" w:space="0" w:color="auto"/>
                        <w:left w:val="none" w:sz="0" w:space="0" w:color="auto"/>
                        <w:bottom w:val="none" w:sz="0" w:space="0" w:color="auto"/>
                        <w:right w:val="none" w:sz="0" w:space="0" w:color="auto"/>
                      </w:divBdr>
                    </w:div>
                  </w:divsChild>
                </w:div>
                <w:div w:id="317617172">
                  <w:marLeft w:val="0"/>
                  <w:marRight w:val="0"/>
                  <w:marTop w:val="0"/>
                  <w:marBottom w:val="0"/>
                  <w:divBdr>
                    <w:top w:val="none" w:sz="0" w:space="0" w:color="auto"/>
                    <w:left w:val="none" w:sz="0" w:space="0" w:color="auto"/>
                    <w:bottom w:val="none" w:sz="0" w:space="0" w:color="auto"/>
                    <w:right w:val="none" w:sz="0" w:space="0" w:color="auto"/>
                  </w:divBdr>
                  <w:divsChild>
                    <w:div w:id="1044985085">
                      <w:marLeft w:val="0"/>
                      <w:marRight w:val="0"/>
                      <w:marTop w:val="0"/>
                      <w:marBottom w:val="0"/>
                      <w:divBdr>
                        <w:top w:val="none" w:sz="0" w:space="0" w:color="auto"/>
                        <w:left w:val="none" w:sz="0" w:space="0" w:color="auto"/>
                        <w:bottom w:val="none" w:sz="0" w:space="0" w:color="auto"/>
                        <w:right w:val="none" w:sz="0" w:space="0" w:color="auto"/>
                      </w:divBdr>
                    </w:div>
                    <w:div w:id="1409614725">
                      <w:marLeft w:val="0"/>
                      <w:marRight w:val="0"/>
                      <w:marTop w:val="0"/>
                      <w:marBottom w:val="0"/>
                      <w:divBdr>
                        <w:top w:val="none" w:sz="0" w:space="0" w:color="auto"/>
                        <w:left w:val="none" w:sz="0" w:space="0" w:color="auto"/>
                        <w:bottom w:val="none" w:sz="0" w:space="0" w:color="auto"/>
                        <w:right w:val="none" w:sz="0" w:space="0" w:color="auto"/>
                      </w:divBdr>
                    </w:div>
                  </w:divsChild>
                </w:div>
                <w:div w:id="455755106">
                  <w:marLeft w:val="0"/>
                  <w:marRight w:val="0"/>
                  <w:marTop w:val="0"/>
                  <w:marBottom w:val="0"/>
                  <w:divBdr>
                    <w:top w:val="none" w:sz="0" w:space="0" w:color="auto"/>
                    <w:left w:val="none" w:sz="0" w:space="0" w:color="auto"/>
                    <w:bottom w:val="none" w:sz="0" w:space="0" w:color="auto"/>
                    <w:right w:val="none" w:sz="0" w:space="0" w:color="auto"/>
                  </w:divBdr>
                  <w:divsChild>
                    <w:div w:id="1044526208">
                      <w:marLeft w:val="0"/>
                      <w:marRight w:val="0"/>
                      <w:marTop w:val="0"/>
                      <w:marBottom w:val="0"/>
                      <w:divBdr>
                        <w:top w:val="none" w:sz="0" w:space="0" w:color="auto"/>
                        <w:left w:val="none" w:sz="0" w:space="0" w:color="auto"/>
                        <w:bottom w:val="none" w:sz="0" w:space="0" w:color="auto"/>
                        <w:right w:val="none" w:sz="0" w:space="0" w:color="auto"/>
                      </w:divBdr>
                    </w:div>
                  </w:divsChild>
                </w:div>
                <w:div w:id="457644253">
                  <w:marLeft w:val="0"/>
                  <w:marRight w:val="0"/>
                  <w:marTop w:val="0"/>
                  <w:marBottom w:val="0"/>
                  <w:divBdr>
                    <w:top w:val="none" w:sz="0" w:space="0" w:color="auto"/>
                    <w:left w:val="none" w:sz="0" w:space="0" w:color="auto"/>
                    <w:bottom w:val="none" w:sz="0" w:space="0" w:color="auto"/>
                    <w:right w:val="none" w:sz="0" w:space="0" w:color="auto"/>
                  </w:divBdr>
                  <w:divsChild>
                    <w:div w:id="56520252">
                      <w:marLeft w:val="0"/>
                      <w:marRight w:val="0"/>
                      <w:marTop w:val="0"/>
                      <w:marBottom w:val="0"/>
                      <w:divBdr>
                        <w:top w:val="none" w:sz="0" w:space="0" w:color="auto"/>
                        <w:left w:val="none" w:sz="0" w:space="0" w:color="auto"/>
                        <w:bottom w:val="none" w:sz="0" w:space="0" w:color="auto"/>
                        <w:right w:val="none" w:sz="0" w:space="0" w:color="auto"/>
                      </w:divBdr>
                    </w:div>
                  </w:divsChild>
                </w:div>
                <w:div w:id="471291875">
                  <w:marLeft w:val="0"/>
                  <w:marRight w:val="0"/>
                  <w:marTop w:val="0"/>
                  <w:marBottom w:val="0"/>
                  <w:divBdr>
                    <w:top w:val="none" w:sz="0" w:space="0" w:color="auto"/>
                    <w:left w:val="none" w:sz="0" w:space="0" w:color="auto"/>
                    <w:bottom w:val="none" w:sz="0" w:space="0" w:color="auto"/>
                    <w:right w:val="none" w:sz="0" w:space="0" w:color="auto"/>
                  </w:divBdr>
                  <w:divsChild>
                    <w:div w:id="90516505">
                      <w:marLeft w:val="0"/>
                      <w:marRight w:val="0"/>
                      <w:marTop w:val="0"/>
                      <w:marBottom w:val="0"/>
                      <w:divBdr>
                        <w:top w:val="none" w:sz="0" w:space="0" w:color="auto"/>
                        <w:left w:val="none" w:sz="0" w:space="0" w:color="auto"/>
                        <w:bottom w:val="none" w:sz="0" w:space="0" w:color="auto"/>
                        <w:right w:val="none" w:sz="0" w:space="0" w:color="auto"/>
                      </w:divBdr>
                    </w:div>
                    <w:div w:id="1425610798">
                      <w:marLeft w:val="0"/>
                      <w:marRight w:val="0"/>
                      <w:marTop w:val="0"/>
                      <w:marBottom w:val="0"/>
                      <w:divBdr>
                        <w:top w:val="none" w:sz="0" w:space="0" w:color="auto"/>
                        <w:left w:val="none" w:sz="0" w:space="0" w:color="auto"/>
                        <w:bottom w:val="none" w:sz="0" w:space="0" w:color="auto"/>
                        <w:right w:val="none" w:sz="0" w:space="0" w:color="auto"/>
                      </w:divBdr>
                    </w:div>
                  </w:divsChild>
                </w:div>
                <w:div w:id="573009875">
                  <w:marLeft w:val="0"/>
                  <w:marRight w:val="0"/>
                  <w:marTop w:val="0"/>
                  <w:marBottom w:val="0"/>
                  <w:divBdr>
                    <w:top w:val="none" w:sz="0" w:space="0" w:color="auto"/>
                    <w:left w:val="none" w:sz="0" w:space="0" w:color="auto"/>
                    <w:bottom w:val="none" w:sz="0" w:space="0" w:color="auto"/>
                    <w:right w:val="none" w:sz="0" w:space="0" w:color="auto"/>
                  </w:divBdr>
                  <w:divsChild>
                    <w:div w:id="434640459">
                      <w:marLeft w:val="0"/>
                      <w:marRight w:val="0"/>
                      <w:marTop w:val="0"/>
                      <w:marBottom w:val="0"/>
                      <w:divBdr>
                        <w:top w:val="none" w:sz="0" w:space="0" w:color="auto"/>
                        <w:left w:val="none" w:sz="0" w:space="0" w:color="auto"/>
                        <w:bottom w:val="none" w:sz="0" w:space="0" w:color="auto"/>
                        <w:right w:val="none" w:sz="0" w:space="0" w:color="auto"/>
                      </w:divBdr>
                    </w:div>
                    <w:div w:id="1191992677">
                      <w:marLeft w:val="0"/>
                      <w:marRight w:val="0"/>
                      <w:marTop w:val="0"/>
                      <w:marBottom w:val="0"/>
                      <w:divBdr>
                        <w:top w:val="none" w:sz="0" w:space="0" w:color="auto"/>
                        <w:left w:val="none" w:sz="0" w:space="0" w:color="auto"/>
                        <w:bottom w:val="none" w:sz="0" w:space="0" w:color="auto"/>
                        <w:right w:val="none" w:sz="0" w:space="0" w:color="auto"/>
                      </w:divBdr>
                    </w:div>
                  </w:divsChild>
                </w:div>
                <w:div w:id="587234767">
                  <w:marLeft w:val="0"/>
                  <w:marRight w:val="0"/>
                  <w:marTop w:val="0"/>
                  <w:marBottom w:val="0"/>
                  <w:divBdr>
                    <w:top w:val="none" w:sz="0" w:space="0" w:color="auto"/>
                    <w:left w:val="none" w:sz="0" w:space="0" w:color="auto"/>
                    <w:bottom w:val="none" w:sz="0" w:space="0" w:color="auto"/>
                    <w:right w:val="none" w:sz="0" w:space="0" w:color="auto"/>
                  </w:divBdr>
                  <w:divsChild>
                    <w:div w:id="1392581007">
                      <w:marLeft w:val="0"/>
                      <w:marRight w:val="0"/>
                      <w:marTop w:val="0"/>
                      <w:marBottom w:val="0"/>
                      <w:divBdr>
                        <w:top w:val="none" w:sz="0" w:space="0" w:color="auto"/>
                        <w:left w:val="none" w:sz="0" w:space="0" w:color="auto"/>
                        <w:bottom w:val="none" w:sz="0" w:space="0" w:color="auto"/>
                        <w:right w:val="none" w:sz="0" w:space="0" w:color="auto"/>
                      </w:divBdr>
                    </w:div>
                  </w:divsChild>
                </w:div>
                <w:div w:id="654264238">
                  <w:marLeft w:val="0"/>
                  <w:marRight w:val="0"/>
                  <w:marTop w:val="0"/>
                  <w:marBottom w:val="0"/>
                  <w:divBdr>
                    <w:top w:val="none" w:sz="0" w:space="0" w:color="auto"/>
                    <w:left w:val="none" w:sz="0" w:space="0" w:color="auto"/>
                    <w:bottom w:val="none" w:sz="0" w:space="0" w:color="auto"/>
                    <w:right w:val="none" w:sz="0" w:space="0" w:color="auto"/>
                  </w:divBdr>
                  <w:divsChild>
                    <w:div w:id="1820926903">
                      <w:marLeft w:val="0"/>
                      <w:marRight w:val="0"/>
                      <w:marTop w:val="0"/>
                      <w:marBottom w:val="0"/>
                      <w:divBdr>
                        <w:top w:val="none" w:sz="0" w:space="0" w:color="auto"/>
                        <w:left w:val="none" w:sz="0" w:space="0" w:color="auto"/>
                        <w:bottom w:val="none" w:sz="0" w:space="0" w:color="auto"/>
                        <w:right w:val="none" w:sz="0" w:space="0" w:color="auto"/>
                      </w:divBdr>
                    </w:div>
                  </w:divsChild>
                </w:div>
                <w:div w:id="899049219">
                  <w:marLeft w:val="0"/>
                  <w:marRight w:val="0"/>
                  <w:marTop w:val="0"/>
                  <w:marBottom w:val="0"/>
                  <w:divBdr>
                    <w:top w:val="none" w:sz="0" w:space="0" w:color="auto"/>
                    <w:left w:val="none" w:sz="0" w:space="0" w:color="auto"/>
                    <w:bottom w:val="none" w:sz="0" w:space="0" w:color="auto"/>
                    <w:right w:val="none" w:sz="0" w:space="0" w:color="auto"/>
                  </w:divBdr>
                  <w:divsChild>
                    <w:div w:id="1067265949">
                      <w:marLeft w:val="0"/>
                      <w:marRight w:val="0"/>
                      <w:marTop w:val="0"/>
                      <w:marBottom w:val="0"/>
                      <w:divBdr>
                        <w:top w:val="none" w:sz="0" w:space="0" w:color="auto"/>
                        <w:left w:val="none" w:sz="0" w:space="0" w:color="auto"/>
                        <w:bottom w:val="none" w:sz="0" w:space="0" w:color="auto"/>
                        <w:right w:val="none" w:sz="0" w:space="0" w:color="auto"/>
                      </w:divBdr>
                    </w:div>
                    <w:div w:id="1538808213">
                      <w:marLeft w:val="0"/>
                      <w:marRight w:val="0"/>
                      <w:marTop w:val="0"/>
                      <w:marBottom w:val="0"/>
                      <w:divBdr>
                        <w:top w:val="none" w:sz="0" w:space="0" w:color="auto"/>
                        <w:left w:val="none" w:sz="0" w:space="0" w:color="auto"/>
                        <w:bottom w:val="none" w:sz="0" w:space="0" w:color="auto"/>
                        <w:right w:val="none" w:sz="0" w:space="0" w:color="auto"/>
                      </w:divBdr>
                    </w:div>
                  </w:divsChild>
                </w:div>
                <w:div w:id="906962374">
                  <w:marLeft w:val="0"/>
                  <w:marRight w:val="0"/>
                  <w:marTop w:val="0"/>
                  <w:marBottom w:val="0"/>
                  <w:divBdr>
                    <w:top w:val="none" w:sz="0" w:space="0" w:color="auto"/>
                    <w:left w:val="none" w:sz="0" w:space="0" w:color="auto"/>
                    <w:bottom w:val="none" w:sz="0" w:space="0" w:color="auto"/>
                    <w:right w:val="none" w:sz="0" w:space="0" w:color="auto"/>
                  </w:divBdr>
                  <w:divsChild>
                    <w:div w:id="392510766">
                      <w:marLeft w:val="0"/>
                      <w:marRight w:val="0"/>
                      <w:marTop w:val="0"/>
                      <w:marBottom w:val="0"/>
                      <w:divBdr>
                        <w:top w:val="none" w:sz="0" w:space="0" w:color="auto"/>
                        <w:left w:val="none" w:sz="0" w:space="0" w:color="auto"/>
                        <w:bottom w:val="none" w:sz="0" w:space="0" w:color="auto"/>
                        <w:right w:val="none" w:sz="0" w:space="0" w:color="auto"/>
                      </w:divBdr>
                    </w:div>
                  </w:divsChild>
                </w:div>
                <w:div w:id="1141076141">
                  <w:marLeft w:val="0"/>
                  <w:marRight w:val="0"/>
                  <w:marTop w:val="0"/>
                  <w:marBottom w:val="0"/>
                  <w:divBdr>
                    <w:top w:val="none" w:sz="0" w:space="0" w:color="auto"/>
                    <w:left w:val="none" w:sz="0" w:space="0" w:color="auto"/>
                    <w:bottom w:val="none" w:sz="0" w:space="0" w:color="auto"/>
                    <w:right w:val="none" w:sz="0" w:space="0" w:color="auto"/>
                  </w:divBdr>
                  <w:divsChild>
                    <w:div w:id="258830522">
                      <w:marLeft w:val="0"/>
                      <w:marRight w:val="0"/>
                      <w:marTop w:val="0"/>
                      <w:marBottom w:val="0"/>
                      <w:divBdr>
                        <w:top w:val="none" w:sz="0" w:space="0" w:color="auto"/>
                        <w:left w:val="none" w:sz="0" w:space="0" w:color="auto"/>
                        <w:bottom w:val="none" w:sz="0" w:space="0" w:color="auto"/>
                        <w:right w:val="none" w:sz="0" w:space="0" w:color="auto"/>
                      </w:divBdr>
                    </w:div>
                    <w:div w:id="2081634462">
                      <w:marLeft w:val="0"/>
                      <w:marRight w:val="0"/>
                      <w:marTop w:val="0"/>
                      <w:marBottom w:val="0"/>
                      <w:divBdr>
                        <w:top w:val="none" w:sz="0" w:space="0" w:color="auto"/>
                        <w:left w:val="none" w:sz="0" w:space="0" w:color="auto"/>
                        <w:bottom w:val="none" w:sz="0" w:space="0" w:color="auto"/>
                        <w:right w:val="none" w:sz="0" w:space="0" w:color="auto"/>
                      </w:divBdr>
                    </w:div>
                  </w:divsChild>
                </w:div>
                <w:div w:id="1293051708">
                  <w:marLeft w:val="0"/>
                  <w:marRight w:val="0"/>
                  <w:marTop w:val="0"/>
                  <w:marBottom w:val="0"/>
                  <w:divBdr>
                    <w:top w:val="none" w:sz="0" w:space="0" w:color="auto"/>
                    <w:left w:val="none" w:sz="0" w:space="0" w:color="auto"/>
                    <w:bottom w:val="none" w:sz="0" w:space="0" w:color="auto"/>
                    <w:right w:val="none" w:sz="0" w:space="0" w:color="auto"/>
                  </w:divBdr>
                  <w:divsChild>
                    <w:div w:id="451706694">
                      <w:marLeft w:val="0"/>
                      <w:marRight w:val="0"/>
                      <w:marTop w:val="0"/>
                      <w:marBottom w:val="0"/>
                      <w:divBdr>
                        <w:top w:val="none" w:sz="0" w:space="0" w:color="auto"/>
                        <w:left w:val="none" w:sz="0" w:space="0" w:color="auto"/>
                        <w:bottom w:val="none" w:sz="0" w:space="0" w:color="auto"/>
                        <w:right w:val="none" w:sz="0" w:space="0" w:color="auto"/>
                      </w:divBdr>
                    </w:div>
                    <w:div w:id="1591426323">
                      <w:marLeft w:val="0"/>
                      <w:marRight w:val="0"/>
                      <w:marTop w:val="0"/>
                      <w:marBottom w:val="0"/>
                      <w:divBdr>
                        <w:top w:val="none" w:sz="0" w:space="0" w:color="auto"/>
                        <w:left w:val="none" w:sz="0" w:space="0" w:color="auto"/>
                        <w:bottom w:val="none" w:sz="0" w:space="0" w:color="auto"/>
                        <w:right w:val="none" w:sz="0" w:space="0" w:color="auto"/>
                      </w:divBdr>
                    </w:div>
                  </w:divsChild>
                </w:div>
                <w:div w:id="1419866305">
                  <w:marLeft w:val="0"/>
                  <w:marRight w:val="0"/>
                  <w:marTop w:val="0"/>
                  <w:marBottom w:val="0"/>
                  <w:divBdr>
                    <w:top w:val="none" w:sz="0" w:space="0" w:color="auto"/>
                    <w:left w:val="none" w:sz="0" w:space="0" w:color="auto"/>
                    <w:bottom w:val="none" w:sz="0" w:space="0" w:color="auto"/>
                    <w:right w:val="none" w:sz="0" w:space="0" w:color="auto"/>
                  </w:divBdr>
                  <w:divsChild>
                    <w:div w:id="371926598">
                      <w:marLeft w:val="0"/>
                      <w:marRight w:val="0"/>
                      <w:marTop w:val="0"/>
                      <w:marBottom w:val="0"/>
                      <w:divBdr>
                        <w:top w:val="none" w:sz="0" w:space="0" w:color="auto"/>
                        <w:left w:val="none" w:sz="0" w:space="0" w:color="auto"/>
                        <w:bottom w:val="none" w:sz="0" w:space="0" w:color="auto"/>
                        <w:right w:val="none" w:sz="0" w:space="0" w:color="auto"/>
                      </w:divBdr>
                    </w:div>
                  </w:divsChild>
                </w:div>
                <w:div w:id="1571229975">
                  <w:marLeft w:val="0"/>
                  <w:marRight w:val="0"/>
                  <w:marTop w:val="0"/>
                  <w:marBottom w:val="0"/>
                  <w:divBdr>
                    <w:top w:val="none" w:sz="0" w:space="0" w:color="auto"/>
                    <w:left w:val="none" w:sz="0" w:space="0" w:color="auto"/>
                    <w:bottom w:val="none" w:sz="0" w:space="0" w:color="auto"/>
                    <w:right w:val="none" w:sz="0" w:space="0" w:color="auto"/>
                  </w:divBdr>
                  <w:divsChild>
                    <w:div w:id="864172425">
                      <w:marLeft w:val="0"/>
                      <w:marRight w:val="0"/>
                      <w:marTop w:val="0"/>
                      <w:marBottom w:val="0"/>
                      <w:divBdr>
                        <w:top w:val="none" w:sz="0" w:space="0" w:color="auto"/>
                        <w:left w:val="none" w:sz="0" w:space="0" w:color="auto"/>
                        <w:bottom w:val="none" w:sz="0" w:space="0" w:color="auto"/>
                        <w:right w:val="none" w:sz="0" w:space="0" w:color="auto"/>
                      </w:divBdr>
                    </w:div>
                  </w:divsChild>
                </w:div>
                <w:div w:id="1579746300">
                  <w:marLeft w:val="0"/>
                  <w:marRight w:val="0"/>
                  <w:marTop w:val="0"/>
                  <w:marBottom w:val="0"/>
                  <w:divBdr>
                    <w:top w:val="none" w:sz="0" w:space="0" w:color="auto"/>
                    <w:left w:val="none" w:sz="0" w:space="0" w:color="auto"/>
                    <w:bottom w:val="none" w:sz="0" w:space="0" w:color="auto"/>
                    <w:right w:val="none" w:sz="0" w:space="0" w:color="auto"/>
                  </w:divBdr>
                  <w:divsChild>
                    <w:div w:id="969938989">
                      <w:marLeft w:val="0"/>
                      <w:marRight w:val="0"/>
                      <w:marTop w:val="0"/>
                      <w:marBottom w:val="0"/>
                      <w:divBdr>
                        <w:top w:val="none" w:sz="0" w:space="0" w:color="auto"/>
                        <w:left w:val="none" w:sz="0" w:space="0" w:color="auto"/>
                        <w:bottom w:val="none" w:sz="0" w:space="0" w:color="auto"/>
                        <w:right w:val="none" w:sz="0" w:space="0" w:color="auto"/>
                      </w:divBdr>
                    </w:div>
                    <w:div w:id="1934624010">
                      <w:marLeft w:val="0"/>
                      <w:marRight w:val="0"/>
                      <w:marTop w:val="0"/>
                      <w:marBottom w:val="0"/>
                      <w:divBdr>
                        <w:top w:val="none" w:sz="0" w:space="0" w:color="auto"/>
                        <w:left w:val="none" w:sz="0" w:space="0" w:color="auto"/>
                        <w:bottom w:val="none" w:sz="0" w:space="0" w:color="auto"/>
                        <w:right w:val="none" w:sz="0" w:space="0" w:color="auto"/>
                      </w:divBdr>
                    </w:div>
                  </w:divsChild>
                </w:div>
                <w:div w:id="1606691849">
                  <w:marLeft w:val="0"/>
                  <w:marRight w:val="0"/>
                  <w:marTop w:val="0"/>
                  <w:marBottom w:val="0"/>
                  <w:divBdr>
                    <w:top w:val="none" w:sz="0" w:space="0" w:color="auto"/>
                    <w:left w:val="none" w:sz="0" w:space="0" w:color="auto"/>
                    <w:bottom w:val="none" w:sz="0" w:space="0" w:color="auto"/>
                    <w:right w:val="none" w:sz="0" w:space="0" w:color="auto"/>
                  </w:divBdr>
                  <w:divsChild>
                    <w:div w:id="2064518401">
                      <w:marLeft w:val="0"/>
                      <w:marRight w:val="0"/>
                      <w:marTop w:val="0"/>
                      <w:marBottom w:val="0"/>
                      <w:divBdr>
                        <w:top w:val="none" w:sz="0" w:space="0" w:color="auto"/>
                        <w:left w:val="none" w:sz="0" w:space="0" w:color="auto"/>
                        <w:bottom w:val="none" w:sz="0" w:space="0" w:color="auto"/>
                        <w:right w:val="none" w:sz="0" w:space="0" w:color="auto"/>
                      </w:divBdr>
                    </w:div>
                  </w:divsChild>
                </w:div>
                <w:div w:id="1619222013">
                  <w:marLeft w:val="0"/>
                  <w:marRight w:val="0"/>
                  <w:marTop w:val="0"/>
                  <w:marBottom w:val="0"/>
                  <w:divBdr>
                    <w:top w:val="none" w:sz="0" w:space="0" w:color="auto"/>
                    <w:left w:val="none" w:sz="0" w:space="0" w:color="auto"/>
                    <w:bottom w:val="none" w:sz="0" w:space="0" w:color="auto"/>
                    <w:right w:val="none" w:sz="0" w:space="0" w:color="auto"/>
                  </w:divBdr>
                  <w:divsChild>
                    <w:div w:id="4673984">
                      <w:marLeft w:val="0"/>
                      <w:marRight w:val="0"/>
                      <w:marTop w:val="0"/>
                      <w:marBottom w:val="0"/>
                      <w:divBdr>
                        <w:top w:val="none" w:sz="0" w:space="0" w:color="auto"/>
                        <w:left w:val="none" w:sz="0" w:space="0" w:color="auto"/>
                        <w:bottom w:val="none" w:sz="0" w:space="0" w:color="auto"/>
                        <w:right w:val="none" w:sz="0" w:space="0" w:color="auto"/>
                      </w:divBdr>
                    </w:div>
                  </w:divsChild>
                </w:div>
                <w:div w:id="1857772184">
                  <w:marLeft w:val="0"/>
                  <w:marRight w:val="0"/>
                  <w:marTop w:val="0"/>
                  <w:marBottom w:val="0"/>
                  <w:divBdr>
                    <w:top w:val="none" w:sz="0" w:space="0" w:color="auto"/>
                    <w:left w:val="none" w:sz="0" w:space="0" w:color="auto"/>
                    <w:bottom w:val="none" w:sz="0" w:space="0" w:color="auto"/>
                    <w:right w:val="none" w:sz="0" w:space="0" w:color="auto"/>
                  </w:divBdr>
                  <w:divsChild>
                    <w:div w:id="454371150">
                      <w:marLeft w:val="0"/>
                      <w:marRight w:val="0"/>
                      <w:marTop w:val="0"/>
                      <w:marBottom w:val="0"/>
                      <w:divBdr>
                        <w:top w:val="none" w:sz="0" w:space="0" w:color="auto"/>
                        <w:left w:val="none" w:sz="0" w:space="0" w:color="auto"/>
                        <w:bottom w:val="none" w:sz="0" w:space="0" w:color="auto"/>
                        <w:right w:val="none" w:sz="0" w:space="0" w:color="auto"/>
                      </w:divBdr>
                    </w:div>
                  </w:divsChild>
                </w:div>
                <w:div w:id="1881279185">
                  <w:marLeft w:val="0"/>
                  <w:marRight w:val="0"/>
                  <w:marTop w:val="0"/>
                  <w:marBottom w:val="0"/>
                  <w:divBdr>
                    <w:top w:val="none" w:sz="0" w:space="0" w:color="auto"/>
                    <w:left w:val="none" w:sz="0" w:space="0" w:color="auto"/>
                    <w:bottom w:val="none" w:sz="0" w:space="0" w:color="auto"/>
                    <w:right w:val="none" w:sz="0" w:space="0" w:color="auto"/>
                  </w:divBdr>
                  <w:divsChild>
                    <w:div w:id="515003331">
                      <w:marLeft w:val="0"/>
                      <w:marRight w:val="0"/>
                      <w:marTop w:val="0"/>
                      <w:marBottom w:val="0"/>
                      <w:divBdr>
                        <w:top w:val="none" w:sz="0" w:space="0" w:color="auto"/>
                        <w:left w:val="none" w:sz="0" w:space="0" w:color="auto"/>
                        <w:bottom w:val="none" w:sz="0" w:space="0" w:color="auto"/>
                        <w:right w:val="none" w:sz="0" w:space="0" w:color="auto"/>
                      </w:divBdr>
                    </w:div>
                  </w:divsChild>
                </w:div>
                <w:div w:id="1898585776">
                  <w:marLeft w:val="0"/>
                  <w:marRight w:val="0"/>
                  <w:marTop w:val="0"/>
                  <w:marBottom w:val="0"/>
                  <w:divBdr>
                    <w:top w:val="none" w:sz="0" w:space="0" w:color="auto"/>
                    <w:left w:val="none" w:sz="0" w:space="0" w:color="auto"/>
                    <w:bottom w:val="none" w:sz="0" w:space="0" w:color="auto"/>
                    <w:right w:val="none" w:sz="0" w:space="0" w:color="auto"/>
                  </w:divBdr>
                  <w:divsChild>
                    <w:div w:id="432939398">
                      <w:marLeft w:val="0"/>
                      <w:marRight w:val="0"/>
                      <w:marTop w:val="0"/>
                      <w:marBottom w:val="0"/>
                      <w:divBdr>
                        <w:top w:val="none" w:sz="0" w:space="0" w:color="auto"/>
                        <w:left w:val="none" w:sz="0" w:space="0" w:color="auto"/>
                        <w:bottom w:val="none" w:sz="0" w:space="0" w:color="auto"/>
                        <w:right w:val="none" w:sz="0" w:space="0" w:color="auto"/>
                      </w:divBdr>
                    </w:div>
                    <w:div w:id="831263918">
                      <w:marLeft w:val="0"/>
                      <w:marRight w:val="0"/>
                      <w:marTop w:val="0"/>
                      <w:marBottom w:val="0"/>
                      <w:divBdr>
                        <w:top w:val="none" w:sz="0" w:space="0" w:color="auto"/>
                        <w:left w:val="none" w:sz="0" w:space="0" w:color="auto"/>
                        <w:bottom w:val="none" w:sz="0" w:space="0" w:color="auto"/>
                        <w:right w:val="none" w:sz="0" w:space="0" w:color="auto"/>
                      </w:divBdr>
                    </w:div>
                  </w:divsChild>
                </w:div>
                <w:div w:id="1902134958">
                  <w:marLeft w:val="0"/>
                  <w:marRight w:val="0"/>
                  <w:marTop w:val="0"/>
                  <w:marBottom w:val="0"/>
                  <w:divBdr>
                    <w:top w:val="none" w:sz="0" w:space="0" w:color="auto"/>
                    <w:left w:val="none" w:sz="0" w:space="0" w:color="auto"/>
                    <w:bottom w:val="none" w:sz="0" w:space="0" w:color="auto"/>
                    <w:right w:val="none" w:sz="0" w:space="0" w:color="auto"/>
                  </w:divBdr>
                  <w:divsChild>
                    <w:div w:id="2092727905">
                      <w:marLeft w:val="0"/>
                      <w:marRight w:val="0"/>
                      <w:marTop w:val="0"/>
                      <w:marBottom w:val="0"/>
                      <w:divBdr>
                        <w:top w:val="none" w:sz="0" w:space="0" w:color="auto"/>
                        <w:left w:val="none" w:sz="0" w:space="0" w:color="auto"/>
                        <w:bottom w:val="none" w:sz="0" w:space="0" w:color="auto"/>
                        <w:right w:val="none" w:sz="0" w:space="0" w:color="auto"/>
                      </w:divBdr>
                    </w:div>
                  </w:divsChild>
                </w:div>
                <w:div w:id="1940285251">
                  <w:marLeft w:val="0"/>
                  <w:marRight w:val="0"/>
                  <w:marTop w:val="0"/>
                  <w:marBottom w:val="0"/>
                  <w:divBdr>
                    <w:top w:val="none" w:sz="0" w:space="0" w:color="auto"/>
                    <w:left w:val="none" w:sz="0" w:space="0" w:color="auto"/>
                    <w:bottom w:val="none" w:sz="0" w:space="0" w:color="auto"/>
                    <w:right w:val="none" w:sz="0" w:space="0" w:color="auto"/>
                  </w:divBdr>
                  <w:divsChild>
                    <w:div w:id="1044019775">
                      <w:marLeft w:val="0"/>
                      <w:marRight w:val="0"/>
                      <w:marTop w:val="0"/>
                      <w:marBottom w:val="0"/>
                      <w:divBdr>
                        <w:top w:val="none" w:sz="0" w:space="0" w:color="auto"/>
                        <w:left w:val="none" w:sz="0" w:space="0" w:color="auto"/>
                        <w:bottom w:val="none" w:sz="0" w:space="0" w:color="auto"/>
                        <w:right w:val="none" w:sz="0" w:space="0" w:color="auto"/>
                      </w:divBdr>
                    </w:div>
                  </w:divsChild>
                </w:div>
                <w:div w:id="1975208622">
                  <w:marLeft w:val="0"/>
                  <w:marRight w:val="0"/>
                  <w:marTop w:val="0"/>
                  <w:marBottom w:val="0"/>
                  <w:divBdr>
                    <w:top w:val="none" w:sz="0" w:space="0" w:color="auto"/>
                    <w:left w:val="none" w:sz="0" w:space="0" w:color="auto"/>
                    <w:bottom w:val="none" w:sz="0" w:space="0" w:color="auto"/>
                    <w:right w:val="none" w:sz="0" w:space="0" w:color="auto"/>
                  </w:divBdr>
                  <w:divsChild>
                    <w:div w:id="1733889348">
                      <w:marLeft w:val="0"/>
                      <w:marRight w:val="0"/>
                      <w:marTop w:val="0"/>
                      <w:marBottom w:val="0"/>
                      <w:divBdr>
                        <w:top w:val="none" w:sz="0" w:space="0" w:color="auto"/>
                        <w:left w:val="none" w:sz="0" w:space="0" w:color="auto"/>
                        <w:bottom w:val="none" w:sz="0" w:space="0" w:color="auto"/>
                        <w:right w:val="none" w:sz="0" w:space="0" w:color="auto"/>
                      </w:divBdr>
                    </w:div>
                    <w:div w:id="1901087679">
                      <w:marLeft w:val="0"/>
                      <w:marRight w:val="0"/>
                      <w:marTop w:val="0"/>
                      <w:marBottom w:val="0"/>
                      <w:divBdr>
                        <w:top w:val="none" w:sz="0" w:space="0" w:color="auto"/>
                        <w:left w:val="none" w:sz="0" w:space="0" w:color="auto"/>
                        <w:bottom w:val="none" w:sz="0" w:space="0" w:color="auto"/>
                        <w:right w:val="none" w:sz="0" w:space="0" w:color="auto"/>
                      </w:divBdr>
                    </w:div>
                  </w:divsChild>
                </w:div>
                <w:div w:id="2076277105">
                  <w:marLeft w:val="0"/>
                  <w:marRight w:val="0"/>
                  <w:marTop w:val="0"/>
                  <w:marBottom w:val="0"/>
                  <w:divBdr>
                    <w:top w:val="none" w:sz="0" w:space="0" w:color="auto"/>
                    <w:left w:val="none" w:sz="0" w:space="0" w:color="auto"/>
                    <w:bottom w:val="none" w:sz="0" w:space="0" w:color="auto"/>
                    <w:right w:val="none" w:sz="0" w:space="0" w:color="auto"/>
                  </w:divBdr>
                  <w:divsChild>
                    <w:div w:id="4738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96844">
      <w:bodyDiv w:val="1"/>
      <w:marLeft w:val="0"/>
      <w:marRight w:val="0"/>
      <w:marTop w:val="0"/>
      <w:marBottom w:val="0"/>
      <w:divBdr>
        <w:top w:val="none" w:sz="0" w:space="0" w:color="auto"/>
        <w:left w:val="none" w:sz="0" w:space="0" w:color="auto"/>
        <w:bottom w:val="none" w:sz="0" w:space="0" w:color="auto"/>
        <w:right w:val="none" w:sz="0" w:space="0" w:color="auto"/>
      </w:divBdr>
      <w:divsChild>
        <w:div w:id="441997133">
          <w:marLeft w:val="0"/>
          <w:marRight w:val="0"/>
          <w:marTop w:val="0"/>
          <w:marBottom w:val="0"/>
          <w:divBdr>
            <w:top w:val="none" w:sz="0" w:space="0" w:color="auto"/>
            <w:left w:val="none" w:sz="0" w:space="0" w:color="auto"/>
            <w:bottom w:val="none" w:sz="0" w:space="0" w:color="auto"/>
            <w:right w:val="none" w:sz="0" w:space="0" w:color="auto"/>
          </w:divBdr>
          <w:divsChild>
            <w:div w:id="868491091">
              <w:marLeft w:val="0"/>
              <w:marRight w:val="0"/>
              <w:marTop w:val="0"/>
              <w:marBottom w:val="0"/>
              <w:divBdr>
                <w:top w:val="none" w:sz="0" w:space="0" w:color="auto"/>
                <w:left w:val="none" w:sz="0" w:space="0" w:color="auto"/>
                <w:bottom w:val="none" w:sz="0" w:space="0" w:color="auto"/>
                <w:right w:val="none" w:sz="0" w:space="0" w:color="auto"/>
              </w:divBdr>
            </w:div>
          </w:divsChild>
        </w:div>
        <w:div w:id="712340166">
          <w:marLeft w:val="0"/>
          <w:marRight w:val="0"/>
          <w:marTop w:val="0"/>
          <w:marBottom w:val="0"/>
          <w:divBdr>
            <w:top w:val="none" w:sz="0" w:space="0" w:color="auto"/>
            <w:left w:val="none" w:sz="0" w:space="0" w:color="auto"/>
            <w:bottom w:val="none" w:sz="0" w:space="0" w:color="auto"/>
            <w:right w:val="none" w:sz="0" w:space="0" w:color="auto"/>
          </w:divBdr>
          <w:divsChild>
            <w:div w:id="754281689">
              <w:marLeft w:val="0"/>
              <w:marRight w:val="0"/>
              <w:marTop w:val="0"/>
              <w:marBottom w:val="0"/>
              <w:divBdr>
                <w:top w:val="none" w:sz="0" w:space="0" w:color="auto"/>
                <w:left w:val="none" w:sz="0" w:space="0" w:color="auto"/>
                <w:bottom w:val="none" w:sz="0" w:space="0" w:color="auto"/>
                <w:right w:val="none" w:sz="0" w:space="0" w:color="auto"/>
              </w:divBdr>
            </w:div>
          </w:divsChild>
        </w:div>
        <w:div w:id="1610743915">
          <w:marLeft w:val="0"/>
          <w:marRight w:val="0"/>
          <w:marTop w:val="0"/>
          <w:marBottom w:val="0"/>
          <w:divBdr>
            <w:top w:val="none" w:sz="0" w:space="0" w:color="auto"/>
            <w:left w:val="none" w:sz="0" w:space="0" w:color="auto"/>
            <w:bottom w:val="none" w:sz="0" w:space="0" w:color="auto"/>
            <w:right w:val="none" w:sz="0" w:space="0" w:color="auto"/>
          </w:divBdr>
          <w:divsChild>
            <w:div w:id="12102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7389">
      <w:bodyDiv w:val="1"/>
      <w:marLeft w:val="0"/>
      <w:marRight w:val="0"/>
      <w:marTop w:val="0"/>
      <w:marBottom w:val="0"/>
      <w:divBdr>
        <w:top w:val="none" w:sz="0" w:space="0" w:color="auto"/>
        <w:left w:val="none" w:sz="0" w:space="0" w:color="auto"/>
        <w:bottom w:val="none" w:sz="0" w:space="0" w:color="auto"/>
        <w:right w:val="none" w:sz="0" w:space="0" w:color="auto"/>
      </w:divBdr>
      <w:divsChild>
        <w:div w:id="25181797">
          <w:marLeft w:val="0"/>
          <w:marRight w:val="0"/>
          <w:marTop w:val="0"/>
          <w:marBottom w:val="0"/>
          <w:divBdr>
            <w:top w:val="none" w:sz="0" w:space="0" w:color="auto"/>
            <w:left w:val="none" w:sz="0" w:space="0" w:color="auto"/>
            <w:bottom w:val="none" w:sz="0" w:space="0" w:color="auto"/>
            <w:right w:val="none" w:sz="0" w:space="0" w:color="auto"/>
          </w:divBdr>
          <w:divsChild>
            <w:div w:id="100876706">
              <w:marLeft w:val="0"/>
              <w:marRight w:val="0"/>
              <w:marTop w:val="0"/>
              <w:marBottom w:val="0"/>
              <w:divBdr>
                <w:top w:val="none" w:sz="0" w:space="0" w:color="auto"/>
                <w:left w:val="none" w:sz="0" w:space="0" w:color="auto"/>
                <w:bottom w:val="none" w:sz="0" w:space="0" w:color="auto"/>
                <w:right w:val="none" w:sz="0" w:space="0" w:color="auto"/>
              </w:divBdr>
            </w:div>
          </w:divsChild>
        </w:div>
        <w:div w:id="184222475">
          <w:marLeft w:val="0"/>
          <w:marRight w:val="0"/>
          <w:marTop w:val="0"/>
          <w:marBottom w:val="0"/>
          <w:divBdr>
            <w:top w:val="none" w:sz="0" w:space="0" w:color="auto"/>
            <w:left w:val="none" w:sz="0" w:space="0" w:color="auto"/>
            <w:bottom w:val="none" w:sz="0" w:space="0" w:color="auto"/>
            <w:right w:val="none" w:sz="0" w:space="0" w:color="auto"/>
          </w:divBdr>
          <w:divsChild>
            <w:div w:id="1666668736">
              <w:marLeft w:val="0"/>
              <w:marRight w:val="0"/>
              <w:marTop w:val="0"/>
              <w:marBottom w:val="0"/>
              <w:divBdr>
                <w:top w:val="none" w:sz="0" w:space="0" w:color="auto"/>
                <w:left w:val="none" w:sz="0" w:space="0" w:color="auto"/>
                <w:bottom w:val="none" w:sz="0" w:space="0" w:color="auto"/>
                <w:right w:val="none" w:sz="0" w:space="0" w:color="auto"/>
              </w:divBdr>
            </w:div>
            <w:div w:id="1680303448">
              <w:marLeft w:val="0"/>
              <w:marRight w:val="0"/>
              <w:marTop w:val="0"/>
              <w:marBottom w:val="0"/>
              <w:divBdr>
                <w:top w:val="none" w:sz="0" w:space="0" w:color="auto"/>
                <w:left w:val="none" w:sz="0" w:space="0" w:color="auto"/>
                <w:bottom w:val="none" w:sz="0" w:space="0" w:color="auto"/>
                <w:right w:val="none" w:sz="0" w:space="0" w:color="auto"/>
              </w:divBdr>
            </w:div>
          </w:divsChild>
        </w:div>
        <w:div w:id="241377880">
          <w:marLeft w:val="0"/>
          <w:marRight w:val="0"/>
          <w:marTop w:val="0"/>
          <w:marBottom w:val="0"/>
          <w:divBdr>
            <w:top w:val="none" w:sz="0" w:space="0" w:color="auto"/>
            <w:left w:val="none" w:sz="0" w:space="0" w:color="auto"/>
            <w:bottom w:val="none" w:sz="0" w:space="0" w:color="auto"/>
            <w:right w:val="none" w:sz="0" w:space="0" w:color="auto"/>
          </w:divBdr>
          <w:divsChild>
            <w:div w:id="1021249573">
              <w:marLeft w:val="0"/>
              <w:marRight w:val="0"/>
              <w:marTop w:val="0"/>
              <w:marBottom w:val="0"/>
              <w:divBdr>
                <w:top w:val="none" w:sz="0" w:space="0" w:color="auto"/>
                <w:left w:val="none" w:sz="0" w:space="0" w:color="auto"/>
                <w:bottom w:val="none" w:sz="0" w:space="0" w:color="auto"/>
                <w:right w:val="none" w:sz="0" w:space="0" w:color="auto"/>
              </w:divBdr>
            </w:div>
            <w:div w:id="1123960575">
              <w:marLeft w:val="0"/>
              <w:marRight w:val="0"/>
              <w:marTop w:val="0"/>
              <w:marBottom w:val="0"/>
              <w:divBdr>
                <w:top w:val="none" w:sz="0" w:space="0" w:color="auto"/>
                <w:left w:val="none" w:sz="0" w:space="0" w:color="auto"/>
                <w:bottom w:val="none" w:sz="0" w:space="0" w:color="auto"/>
                <w:right w:val="none" w:sz="0" w:space="0" w:color="auto"/>
              </w:divBdr>
            </w:div>
          </w:divsChild>
        </w:div>
        <w:div w:id="406197559">
          <w:marLeft w:val="0"/>
          <w:marRight w:val="0"/>
          <w:marTop w:val="0"/>
          <w:marBottom w:val="0"/>
          <w:divBdr>
            <w:top w:val="none" w:sz="0" w:space="0" w:color="auto"/>
            <w:left w:val="none" w:sz="0" w:space="0" w:color="auto"/>
            <w:bottom w:val="none" w:sz="0" w:space="0" w:color="auto"/>
            <w:right w:val="none" w:sz="0" w:space="0" w:color="auto"/>
          </w:divBdr>
          <w:divsChild>
            <w:div w:id="137499506">
              <w:marLeft w:val="0"/>
              <w:marRight w:val="0"/>
              <w:marTop w:val="0"/>
              <w:marBottom w:val="0"/>
              <w:divBdr>
                <w:top w:val="none" w:sz="0" w:space="0" w:color="auto"/>
                <w:left w:val="none" w:sz="0" w:space="0" w:color="auto"/>
                <w:bottom w:val="none" w:sz="0" w:space="0" w:color="auto"/>
                <w:right w:val="none" w:sz="0" w:space="0" w:color="auto"/>
              </w:divBdr>
            </w:div>
          </w:divsChild>
        </w:div>
        <w:div w:id="436485203">
          <w:marLeft w:val="0"/>
          <w:marRight w:val="0"/>
          <w:marTop w:val="0"/>
          <w:marBottom w:val="0"/>
          <w:divBdr>
            <w:top w:val="none" w:sz="0" w:space="0" w:color="auto"/>
            <w:left w:val="none" w:sz="0" w:space="0" w:color="auto"/>
            <w:bottom w:val="none" w:sz="0" w:space="0" w:color="auto"/>
            <w:right w:val="none" w:sz="0" w:space="0" w:color="auto"/>
          </w:divBdr>
          <w:divsChild>
            <w:div w:id="207764221">
              <w:marLeft w:val="0"/>
              <w:marRight w:val="0"/>
              <w:marTop w:val="0"/>
              <w:marBottom w:val="0"/>
              <w:divBdr>
                <w:top w:val="none" w:sz="0" w:space="0" w:color="auto"/>
                <w:left w:val="none" w:sz="0" w:space="0" w:color="auto"/>
                <w:bottom w:val="none" w:sz="0" w:space="0" w:color="auto"/>
                <w:right w:val="none" w:sz="0" w:space="0" w:color="auto"/>
              </w:divBdr>
            </w:div>
            <w:div w:id="1948462243">
              <w:marLeft w:val="0"/>
              <w:marRight w:val="0"/>
              <w:marTop w:val="0"/>
              <w:marBottom w:val="0"/>
              <w:divBdr>
                <w:top w:val="none" w:sz="0" w:space="0" w:color="auto"/>
                <w:left w:val="none" w:sz="0" w:space="0" w:color="auto"/>
                <w:bottom w:val="none" w:sz="0" w:space="0" w:color="auto"/>
                <w:right w:val="none" w:sz="0" w:space="0" w:color="auto"/>
              </w:divBdr>
            </w:div>
          </w:divsChild>
        </w:div>
        <w:div w:id="564031545">
          <w:marLeft w:val="0"/>
          <w:marRight w:val="0"/>
          <w:marTop w:val="0"/>
          <w:marBottom w:val="0"/>
          <w:divBdr>
            <w:top w:val="none" w:sz="0" w:space="0" w:color="auto"/>
            <w:left w:val="none" w:sz="0" w:space="0" w:color="auto"/>
            <w:bottom w:val="none" w:sz="0" w:space="0" w:color="auto"/>
            <w:right w:val="none" w:sz="0" w:space="0" w:color="auto"/>
          </w:divBdr>
          <w:divsChild>
            <w:div w:id="901403107">
              <w:marLeft w:val="0"/>
              <w:marRight w:val="0"/>
              <w:marTop w:val="0"/>
              <w:marBottom w:val="0"/>
              <w:divBdr>
                <w:top w:val="none" w:sz="0" w:space="0" w:color="auto"/>
                <w:left w:val="none" w:sz="0" w:space="0" w:color="auto"/>
                <w:bottom w:val="none" w:sz="0" w:space="0" w:color="auto"/>
                <w:right w:val="none" w:sz="0" w:space="0" w:color="auto"/>
              </w:divBdr>
            </w:div>
          </w:divsChild>
        </w:div>
        <w:div w:id="632835362">
          <w:marLeft w:val="0"/>
          <w:marRight w:val="0"/>
          <w:marTop w:val="0"/>
          <w:marBottom w:val="0"/>
          <w:divBdr>
            <w:top w:val="none" w:sz="0" w:space="0" w:color="auto"/>
            <w:left w:val="none" w:sz="0" w:space="0" w:color="auto"/>
            <w:bottom w:val="none" w:sz="0" w:space="0" w:color="auto"/>
            <w:right w:val="none" w:sz="0" w:space="0" w:color="auto"/>
          </w:divBdr>
          <w:divsChild>
            <w:div w:id="977688593">
              <w:marLeft w:val="0"/>
              <w:marRight w:val="0"/>
              <w:marTop w:val="0"/>
              <w:marBottom w:val="0"/>
              <w:divBdr>
                <w:top w:val="none" w:sz="0" w:space="0" w:color="auto"/>
                <w:left w:val="none" w:sz="0" w:space="0" w:color="auto"/>
                <w:bottom w:val="none" w:sz="0" w:space="0" w:color="auto"/>
                <w:right w:val="none" w:sz="0" w:space="0" w:color="auto"/>
              </w:divBdr>
            </w:div>
          </w:divsChild>
        </w:div>
        <w:div w:id="883059599">
          <w:marLeft w:val="0"/>
          <w:marRight w:val="0"/>
          <w:marTop w:val="0"/>
          <w:marBottom w:val="0"/>
          <w:divBdr>
            <w:top w:val="none" w:sz="0" w:space="0" w:color="auto"/>
            <w:left w:val="none" w:sz="0" w:space="0" w:color="auto"/>
            <w:bottom w:val="none" w:sz="0" w:space="0" w:color="auto"/>
            <w:right w:val="none" w:sz="0" w:space="0" w:color="auto"/>
          </w:divBdr>
          <w:divsChild>
            <w:div w:id="1924759072">
              <w:marLeft w:val="0"/>
              <w:marRight w:val="0"/>
              <w:marTop w:val="0"/>
              <w:marBottom w:val="0"/>
              <w:divBdr>
                <w:top w:val="none" w:sz="0" w:space="0" w:color="auto"/>
                <w:left w:val="none" w:sz="0" w:space="0" w:color="auto"/>
                <w:bottom w:val="none" w:sz="0" w:space="0" w:color="auto"/>
                <w:right w:val="none" w:sz="0" w:space="0" w:color="auto"/>
              </w:divBdr>
            </w:div>
          </w:divsChild>
        </w:div>
        <w:div w:id="884172078">
          <w:marLeft w:val="0"/>
          <w:marRight w:val="0"/>
          <w:marTop w:val="0"/>
          <w:marBottom w:val="0"/>
          <w:divBdr>
            <w:top w:val="none" w:sz="0" w:space="0" w:color="auto"/>
            <w:left w:val="none" w:sz="0" w:space="0" w:color="auto"/>
            <w:bottom w:val="none" w:sz="0" w:space="0" w:color="auto"/>
            <w:right w:val="none" w:sz="0" w:space="0" w:color="auto"/>
          </w:divBdr>
          <w:divsChild>
            <w:div w:id="574360968">
              <w:marLeft w:val="0"/>
              <w:marRight w:val="0"/>
              <w:marTop w:val="0"/>
              <w:marBottom w:val="0"/>
              <w:divBdr>
                <w:top w:val="none" w:sz="0" w:space="0" w:color="auto"/>
                <w:left w:val="none" w:sz="0" w:space="0" w:color="auto"/>
                <w:bottom w:val="none" w:sz="0" w:space="0" w:color="auto"/>
                <w:right w:val="none" w:sz="0" w:space="0" w:color="auto"/>
              </w:divBdr>
            </w:div>
          </w:divsChild>
        </w:div>
        <w:div w:id="920717217">
          <w:marLeft w:val="0"/>
          <w:marRight w:val="0"/>
          <w:marTop w:val="0"/>
          <w:marBottom w:val="0"/>
          <w:divBdr>
            <w:top w:val="none" w:sz="0" w:space="0" w:color="auto"/>
            <w:left w:val="none" w:sz="0" w:space="0" w:color="auto"/>
            <w:bottom w:val="none" w:sz="0" w:space="0" w:color="auto"/>
            <w:right w:val="none" w:sz="0" w:space="0" w:color="auto"/>
          </w:divBdr>
          <w:divsChild>
            <w:div w:id="1574924791">
              <w:marLeft w:val="0"/>
              <w:marRight w:val="0"/>
              <w:marTop w:val="0"/>
              <w:marBottom w:val="0"/>
              <w:divBdr>
                <w:top w:val="none" w:sz="0" w:space="0" w:color="auto"/>
                <w:left w:val="none" w:sz="0" w:space="0" w:color="auto"/>
                <w:bottom w:val="none" w:sz="0" w:space="0" w:color="auto"/>
                <w:right w:val="none" w:sz="0" w:space="0" w:color="auto"/>
              </w:divBdr>
            </w:div>
          </w:divsChild>
        </w:div>
        <w:div w:id="1049457517">
          <w:marLeft w:val="0"/>
          <w:marRight w:val="0"/>
          <w:marTop w:val="0"/>
          <w:marBottom w:val="0"/>
          <w:divBdr>
            <w:top w:val="none" w:sz="0" w:space="0" w:color="auto"/>
            <w:left w:val="none" w:sz="0" w:space="0" w:color="auto"/>
            <w:bottom w:val="none" w:sz="0" w:space="0" w:color="auto"/>
            <w:right w:val="none" w:sz="0" w:space="0" w:color="auto"/>
          </w:divBdr>
          <w:divsChild>
            <w:div w:id="719324879">
              <w:marLeft w:val="0"/>
              <w:marRight w:val="0"/>
              <w:marTop w:val="0"/>
              <w:marBottom w:val="0"/>
              <w:divBdr>
                <w:top w:val="none" w:sz="0" w:space="0" w:color="auto"/>
                <w:left w:val="none" w:sz="0" w:space="0" w:color="auto"/>
                <w:bottom w:val="none" w:sz="0" w:space="0" w:color="auto"/>
                <w:right w:val="none" w:sz="0" w:space="0" w:color="auto"/>
              </w:divBdr>
            </w:div>
          </w:divsChild>
        </w:div>
        <w:div w:id="1160464732">
          <w:marLeft w:val="0"/>
          <w:marRight w:val="0"/>
          <w:marTop w:val="0"/>
          <w:marBottom w:val="0"/>
          <w:divBdr>
            <w:top w:val="none" w:sz="0" w:space="0" w:color="auto"/>
            <w:left w:val="none" w:sz="0" w:space="0" w:color="auto"/>
            <w:bottom w:val="none" w:sz="0" w:space="0" w:color="auto"/>
            <w:right w:val="none" w:sz="0" w:space="0" w:color="auto"/>
          </w:divBdr>
          <w:divsChild>
            <w:div w:id="278685728">
              <w:marLeft w:val="0"/>
              <w:marRight w:val="0"/>
              <w:marTop w:val="0"/>
              <w:marBottom w:val="0"/>
              <w:divBdr>
                <w:top w:val="none" w:sz="0" w:space="0" w:color="auto"/>
                <w:left w:val="none" w:sz="0" w:space="0" w:color="auto"/>
                <w:bottom w:val="none" w:sz="0" w:space="0" w:color="auto"/>
                <w:right w:val="none" w:sz="0" w:space="0" w:color="auto"/>
              </w:divBdr>
            </w:div>
          </w:divsChild>
        </w:div>
        <w:div w:id="1191647349">
          <w:marLeft w:val="0"/>
          <w:marRight w:val="0"/>
          <w:marTop w:val="0"/>
          <w:marBottom w:val="0"/>
          <w:divBdr>
            <w:top w:val="none" w:sz="0" w:space="0" w:color="auto"/>
            <w:left w:val="none" w:sz="0" w:space="0" w:color="auto"/>
            <w:bottom w:val="none" w:sz="0" w:space="0" w:color="auto"/>
            <w:right w:val="none" w:sz="0" w:space="0" w:color="auto"/>
          </w:divBdr>
          <w:divsChild>
            <w:div w:id="747730774">
              <w:marLeft w:val="0"/>
              <w:marRight w:val="0"/>
              <w:marTop w:val="0"/>
              <w:marBottom w:val="0"/>
              <w:divBdr>
                <w:top w:val="none" w:sz="0" w:space="0" w:color="auto"/>
                <w:left w:val="none" w:sz="0" w:space="0" w:color="auto"/>
                <w:bottom w:val="none" w:sz="0" w:space="0" w:color="auto"/>
                <w:right w:val="none" w:sz="0" w:space="0" w:color="auto"/>
              </w:divBdr>
            </w:div>
            <w:div w:id="1239558992">
              <w:marLeft w:val="0"/>
              <w:marRight w:val="0"/>
              <w:marTop w:val="0"/>
              <w:marBottom w:val="0"/>
              <w:divBdr>
                <w:top w:val="none" w:sz="0" w:space="0" w:color="auto"/>
                <w:left w:val="none" w:sz="0" w:space="0" w:color="auto"/>
                <w:bottom w:val="none" w:sz="0" w:space="0" w:color="auto"/>
                <w:right w:val="none" w:sz="0" w:space="0" w:color="auto"/>
              </w:divBdr>
            </w:div>
          </w:divsChild>
        </w:div>
        <w:div w:id="1286890626">
          <w:marLeft w:val="0"/>
          <w:marRight w:val="0"/>
          <w:marTop w:val="0"/>
          <w:marBottom w:val="0"/>
          <w:divBdr>
            <w:top w:val="none" w:sz="0" w:space="0" w:color="auto"/>
            <w:left w:val="none" w:sz="0" w:space="0" w:color="auto"/>
            <w:bottom w:val="none" w:sz="0" w:space="0" w:color="auto"/>
            <w:right w:val="none" w:sz="0" w:space="0" w:color="auto"/>
          </w:divBdr>
          <w:divsChild>
            <w:div w:id="1092049311">
              <w:marLeft w:val="0"/>
              <w:marRight w:val="0"/>
              <w:marTop w:val="0"/>
              <w:marBottom w:val="0"/>
              <w:divBdr>
                <w:top w:val="none" w:sz="0" w:space="0" w:color="auto"/>
                <w:left w:val="none" w:sz="0" w:space="0" w:color="auto"/>
                <w:bottom w:val="none" w:sz="0" w:space="0" w:color="auto"/>
                <w:right w:val="none" w:sz="0" w:space="0" w:color="auto"/>
              </w:divBdr>
            </w:div>
          </w:divsChild>
        </w:div>
        <w:div w:id="1308317167">
          <w:marLeft w:val="0"/>
          <w:marRight w:val="0"/>
          <w:marTop w:val="0"/>
          <w:marBottom w:val="0"/>
          <w:divBdr>
            <w:top w:val="none" w:sz="0" w:space="0" w:color="auto"/>
            <w:left w:val="none" w:sz="0" w:space="0" w:color="auto"/>
            <w:bottom w:val="none" w:sz="0" w:space="0" w:color="auto"/>
            <w:right w:val="none" w:sz="0" w:space="0" w:color="auto"/>
          </w:divBdr>
          <w:divsChild>
            <w:div w:id="886377868">
              <w:marLeft w:val="0"/>
              <w:marRight w:val="0"/>
              <w:marTop w:val="0"/>
              <w:marBottom w:val="0"/>
              <w:divBdr>
                <w:top w:val="none" w:sz="0" w:space="0" w:color="auto"/>
                <w:left w:val="none" w:sz="0" w:space="0" w:color="auto"/>
                <w:bottom w:val="none" w:sz="0" w:space="0" w:color="auto"/>
                <w:right w:val="none" w:sz="0" w:space="0" w:color="auto"/>
              </w:divBdr>
            </w:div>
          </w:divsChild>
        </w:div>
        <w:div w:id="1308707745">
          <w:marLeft w:val="0"/>
          <w:marRight w:val="0"/>
          <w:marTop w:val="0"/>
          <w:marBottom w:val="0"/>
          <w:divBdr>
            <w:top w:val="none" w:sz="0" w:space="0" w:color="auto"/>
            <w:left w:val="none" w:sz="0" w:space="0" w:color="auto"/>
            <w:bottom w:val="none" w:sz="0" w:space="0" w:color="auto"/>
            <w:right w:val="none" w:sz="0" w:space="0" w:color="auto"/>
          </w:divBdr>
          <w:divsChild>
            <w:div w:id="587037016">
              <w:marLeft w:val="0"/>
              <w:marRight w:val="0"/>
              <w:marTop w:val="0"/>
              <w:marBottom w:val="0"/>
              <w:divBdr>
                <w:top w:val="none" w:sz="0" w:space="0" w:color="auto"/>
                <w:left w:val="none" w:sz="0" w:space="0" w:color="auto"/>
                <w:bottom w:val="none" w:sz="0" w:space="0" w:color="auto"/>
                <w:right w:val="none" w:sz="0" w:space="0" w:color="auto"/>
              </w:divBdr>
            </w:div>
            <w:div w:id="691996753">
              <w:marLeft w:val="0"/>
              <w:marRight w:val="0"/>
              <w:marTop w:val="0"/>
              <w:marBottom w:val="0"/>
              <w:divBdr>
                <w:top w:val="none" w:sz="0" w:space="0" w:color="auto"/>
                <w:left w:val="none" w:sz="0" w:space="0" w:color="auto"/>
                <w:bottom w:val="none" w:sz="0" w:space="0" w:color="auto"/>
                <w:right w:val="none" w:sz="0" w:space="0" w:color="auto"/>
              </w:divBdr>
            </w:div>
          </w:divsChild>
        </w:div>
        <w:div w:id="1739589643">
          <w:marLeft w:val="0"/>
          <w:marRight w:val="0"/>
          <w:marTop w:val="0"/>
          <w:marBottom w:val="0"/>
          <w:divBdr>
            <w:top w:val="none" w:sz="0" w:space="0" w:color="auto"/>
            <w:left w:val="none" w:sz="0" w:space="0" w:color="auto"/>
            <w:bottom w:val="none" w:sz="0" w:space="0" w:color="auto"/>
            <w:right w:val="none" w:sz="0" w:space="0" w:color="auto"/>
          </w:divBdr>
          <w:divsChild>
            <w:div w:id="1374039129">
              <w:marLeft w:val="0"/>
              <w:marRight w:val="0"/>
              <w:marTop w:val="0"/>
              <w:marBottom w:val="0"/>
              <w:divBdr>
                <w:top w:val="none" w:sz="0" w:space="0" w:color="auto"/>
                <w:left w:val="none" w:sz="0" w:space="0" w:color="auto"/>
                <w:bottom w:val="none" w:sz="0" w:space="0" w:color="auto"/>
                <w:right w:val="none" w:sz="0" w:space="0" w:color="auto"/>
              </w:divBdr>
            </w:div>
            <w:div w:id="1636565085">
              <w:marLeft w:val="0"/>
              <w:marRight w:val="0"/>
              <w:marTop w:val="0"/>
              <w:marBottom w:val="0"/>
              <w:divBdr>
                <w:top w:val="none" w:sz="0" w:space="0" w:color="auto"/>
                <w:left w:val="none" w:sz="0" w:space="0" w:color="auto"/>
                <w:bottom w:val="none" w:sz="0" w:space="0" w:color="auto"/>
                <w:right w:val="none" w:sz="0" w:space="0" w:color="auto"/>
              </w:divBdr>
            </w:div>
          </w:divsChild>
        </w:div>
        <w:div w:id="1797333496">
          <w:marLeft w:val="0"/>
          <w:marRight w:val="0"/>
          <w:marTop w:val="0"/>
          <w:marBottom w:val="0"/>
          <w:divBdr>
            <w:top w:val="none" w:sz="0" w:space="0" w:color="auto"/>
            <w:left w:val="none" w:sz="0" w:space="0" w:color="auto"/>
            <w:bottom w:val="none" w:sz="0" w:space="0" w:color="auto"/>
            <w:right w:val="none" w:sz="0" w:space="0" w:color="auto"/>
          </w:divBdr>
          <w:divsChild>
            <w:div w:id="618411068">
              <w:marLeft w:val="0"/>
              <w:marRight w:val="0"/>
              <w:marTop w:val="0"/>
              <w:marBottom w:val="0"/>
              <w:divBdr>
                <w:top w:val="none" w:sz="0" w:space="0" w:color="auto"/>
                <w:left w:val="none" w:sz="0" w:space="0" w:color="auto"/>
                <w:bottom w:val="none" w:sz="0" w:space="0" w:color="auto"/>
                <w:right w:val="none" w:sz="0" w:space="0" w:color="auto"/>
              </w:divBdr>
            </w:div>
          </w:divsChild>
        </w:div>
        <w:div w:id="1988197167">
          <w:marLeft w:val="0"/>
          <w:marRight w:val="0"/>
          <w:marTop w:val="0"/>
          <w:marBottom w:val="0"/>
          <w:divBdr>
            <w:top w:val="none" w:sz="0" w:space="0" w:color="auto"/>
            <w:left w:val="none" w:sz="0" w:space="0" w:color="auto"/>
            <w:bottom w:val="none" w:sz="0" w:space="0" w:color="auto"/>
            <w:right w:val="none" w:sz="0" w:space="0" w:color="auto"/>
          </w:divBdr>
          <w:divsChild>
            <w:div w:id="1530141441">
              <w:marLeft w:val="0"/>
              <w:marRight w:val="0"/>
              <w:marTop w:val="0"/>
              <w:marBottom w:val="0"/>
              <w:divBdr>
                <w:top w:val="none" w:sz="0" w:space="0" w:color="auto"/>
                <w:left w:val="none" w:sz="0" w:space="0" w:color="auto"/>
                <w:bottom w:val="none" w:sz="0" w:space="0" w:color="auto"/>
                <w:right w:val="none" w:sz="0" w:space="0" w:color="auto"/>
              </w:divBdr>
            </w:div>
          </w:divsChild>
        </w:div>
        <w:div w:id="2088527680">
          <w:marLeft w:val="0"/>
          <w:marRight w:val="0"/>
          <w:marTop w:val="0"/>
          <w:marBottom w:val="0"/>
          <w:divBdr>
            <w:top w:val="none" w:sz="0" w:space="0" w:color="auto"/>
            <w:left w:val="none" w:sz="0" w:space="0" w:color="auto"/>
            <w:bottom w:val="none" w:sz="0" w:space="0" w:color="auto"/>
            <w:right w:val="none" w:sz="0" w:space="0" w:color="auto"/>
          </w:divBdr>
          <w:divsChild>
            <w:div w:id="10205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97516">
      <w:bodyDiv w:val="1"/>
      <w:marLeft w:val="0"/>
      <w:marRight w:val="0"/>
      <w:marTop w:val="0"/>
      <w:marBottom w:val="0"/>
      <w:divBdr>
        <w:top w:val="none" w:sz="0" w:space="0" w:color="auto"/>
        <w:left w:val="none" w:sz="0" w:space="0" w:color="auto"/>
        <w:bottom w:val="none" w:sz="0" w:space="0" w:color="auto"/>
        <w:right w:val="none" w:sz="0" w:space="0" w:color="auto"/>
      </w:divBdr>
      <w:divsChild>
        <w:div w:id="149291312">
          <w:marLeft w:val="0"/>
          <w:marRight w:val="0"/>
          <w:marTop w:val="0"/>
          <w:marBottom w:val="0"/>
          <w:divBdr>
            <w:top w:val="none" w:sz="0" w:space="0" w:color="auto"/>
            <w:left w:val="none" w:sz="0" w:space="0" w:color="auto"/>
            <w:bottom w:val="none" w:sz="0" w:space="0" w:color="auto"/>
            <w:right w:val="none" w:sz="0" w:space="0" w:color="auto"/>
          </w:divBdr>
          <w:divsChild>
            <w:div w:id="693533402">
              <w:marLeft w:val="0"/>
              <w:marRight w:val="0"/>
              <w:marTop w:val="0"/>
              <w:marBottom w:val="0"/>
              <w:divBdr>
                <w:top w:val="none" w:sz="0" w:space="0" w:color="auto"/>
                <w:left w:val="none" w:sz="0" w:space="0" w:color="auto"/>
                <w:bottom w:val="none" w:sz="0" w:space="0" w:color="auto"/>
                <w:right w:val="none" w:sz="0" w:space="0" w:color="auto"/>
              </w:divBdr>
            </w:div>
          </w:divsChild>
        </w:div>
        <w:div w:id="166017203">
          <w:marLeft w:val="0"/>
          <w:marRight w:val="0"/>
          <w:marTop w:val="0"/>
          <w:marBottom w:val="0"/>
          <w:divBdr>
            <w:top w:val="none" w:sz="0" w:space="0" w:color="auto"/>
            <w:left w:val="none" w:sz="0" w:space="0" w:color="auto"/>
            <w:bottom w:val="none" w:sz="0" w:space="0" w:color="auto"/>
            <w:right w:val="none" w:sz="0" w:space="0" w:color="auto"/>
          </w:divBdr>
          <w:divsChild>
            <w:div w:id="716245295">
              <w:marLeft w:val="0"/>
              <w:marRight w:val="0"/>
              <w:marTop w:val="0"/>
              <w:marBottom w:val="0"/>
              <w:divBdr>
                <w:top w:val="none" w:sz="0" w:space="0" w:color="auto"/>
                <w:left w:val="none" w:sz="0" w:space="0" w:color="auto"/>
                <w:bottom w:val="none" w:sz="0" w:space="0" w:color="auto"/>
                <w:right w:val="none" w:sz="0" w:space="0" w:color="auto"/>
              </w:divBdr>
            </w:div>
          </w:divsChild>
        </w:div>
        <w:div w:id="560100755">
          <w:marLeft w:val="0"/>
          <w:marRight w:val="0"/>
          <w:marTop w:val="0"/>
          <w:marBottom w:val="0"/>
          <w:divBdr>
            <w:top w:val="none" w:sz="0" w:space="0" w:color="auto"/>
            <w:left w:val="none" w:sz="0" w:space="0" w:color="auto"/>
            <w:bottom w:val="none" w:sz="0" w:space="0" w:color="auto"/>
            <w:right w:val="none" w:sz="0" w:space="0" w:color="auto"/>
          </w:divBdr>
          <w:divsChild>
            <w:div w:id="1201624428">
              <w:marLeft w:val="0"/>
              <w:marRight w:val="0"/>
              <w:marTop w:val="0"/>
              <w:marBottom w:val="0"/>
              <w:divBdr>
                <w:top w:val="none" w:sz="0" w:space="0" w:color="auto"/>
                <w:left w:val="none" w:sz="0" w:space="0" w:color="auto"/>
                <w:bottom w:val="none" w:sz="0" w:space="0" w:color="auto"/>
                <w:right w:val="none" w:sz="0" w:space="0" w:color="auto"/>
              </w:divBdr>
            </w:div>
          </w:divsChild>
        </w:div>
        <w:div w:id="877208875">
          <w:marLeft w:val="0"/>
          <w:marRight w:val="0"/>
          <w:marTop w:val="0"/>
          <w:marBottom w:val="0"/>
          <w:divBdr>
            <w:top w:val="none" w:sz="0" w:space="0" w:color="auto"/>
            <w:left w:val="none" w:sz="0" w:space="0" w:color="auto"/>
            <w:bottom w:val="none" w:sz="0" w:space="0" w:color="auto"/>
            <w:right w:val="none" w:sz="0" w:space="0" w:color="auto"/>
          </w:divBdr>
          <w:divsChild>
            <w:div w:id="200436972">
              <w:marLeft w:val="0"/>
              <w:marRight w:val="0"/>
              <w:marTop w:val="0"/>
              <w:marBottom w:val="0"/>
              <w:divBdr>
                <w:top w:val="none" w:sz="0" w:space="0" w:color="auto"/>
                <w:left w:val="none" w:sz="0" w:space="0" w:color="auto"/>
                <w:bottom w:val="none" w:sz="0" w:space="0" w:color="auto"/>
                <w:right w:val="none" w:sz="0" w:space="0" w:color="auto"/>
              </w:divBdr>
            </w:div>
          </w:divsChild>
        </w:div>
        <w:div w:id="887566298">
          <w:marLeft w:val="0"/>
          <w:marRight w:val="0"/>
          <w:marTop w:val="0"/>
          <w:marBottom w:val="0"/>
          <w:divBdr>
            <w:top w:val="none" w:sz="0" w:space="0" w:color="auto"/>
            <w:left w:val="none" w:sz="0" w:space="0" w:color="auto"/>
            <w:bottom w:val="none" w:sz="0" w:space="0" w:color="auto"/>
            <w:right w:val="none" w:sz="0" w:space="0" w:color="auto"/>
          </w:divBdr>
          <w:divsChild>
            <w:div w:id="213664243">
              <w:marLeft w:val="0"/>
              <w:marRight w:val="0"/>
              <w:marTop w:val="0"/>
              <w:marBottom w:val="0"/>
              <w:divBdr>
                <w:top w:val="none" w:sz="0" w:space="0" w:color="auto"/>
                <w:left w:val="none" w:sz="0" w:space="0" w:color="auto"/>
                <w:bottom w:val="none" w:sz="0" w:space="0" w:color="auto"/>
                <w:right w:val="none" w:sz="0" w:space="0" w:color="auto"/>
              </w:divBdr>
            </w:div>
          </w:divsChild>
        </w:div>
        <w:div w:id="2012678959">
          <w:marLeft w:val="0"/>
          <w:marRight w:val="0"/>
          <w:marTop w:val="0"/>
          <w:marBottom w:val="0"/>
          <w:divBdr>
            <w:top w:val="none" w:sz="0" w:space="0" w:color="auto"/>
            <w:left w:val="none" w:sz="0" w:space="0" w:color="auto"/>
            <w:bottom w:val="none" w:sz="0" w:space="0" w:color="auto"/>
            <w:right w:val="none" w:sz="0" w:space="0" w:color="auto"/>
          </w:divBdr>
          <w:divsChild>
            <w:div w:id="20229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5681">
      <w:bodyDiv w:val="1"/>
      <w:marLeft w:val="0"/>
      <w:marRight w:val="0"/>
      <w:marTop w:val="0"/>
      <w:marBottom w:val="0"/>
      <w:divBdr>
        <w:top w:val="none" w:sz="0" w:space="0" w:color="auto"/>
        <w:left w:val="none" w:sz="0" w:space="0" w:color="auto"/>
        <w:bottom w:val="none" w:sz="0" w:space="0" w:color="auto"/>
        <w:right w:val="none" w:sz="0" w:space="0" w:color="auto"/>
      </w:divBdr>
      <w:divsChild>
        <w:div w:id="27032440">
          <w:marLeft w:val="0"/>
          <w:marRight w:val="0"/>
          <w:marTop w:val="0"/>
          <w:marBottom w:val="0"/>
          <w:divBdr>
            <w:top w:val="none" w:sz="0" w:space="0" w:color="auto"/>
            <w:left w:val="none" w:sz="0" w:space="0" w:color="auto"/>
            <w:bottom w:val="none" w:sz="0" w:space="0" w:color="auto"/>
            <w:right w:val="none" w:sz="0" w:space="0" w:color="auto"/>
          </w:divBdr>
          <w:divsChild>
            <w:div w:id="174926610">
              <w:marLeft w:val="0"/>
              <w:marRight w:val="0"/>
              <w:marTop w:val="0"/>
              <w:marBottom w:val="0"/>
              <w:divBdr>
                <w:top w:val="none" w:sz="0" w:space="0" w:color="auto"/>
                <w:left w:val="none" w:sz="0" w:space="0" w:color="auto"/>
                <w:bottom w:val="none" w:sz="0" w:space="0" w:color="auto"/>
                <w:right w:val="none" w:sz="0" w:space="0" w:color="auto"/>
              </w:divBdr>
            </w:div>
            <w:div w:id="1586181397">
              <w:marLeft w:val="0"/>
              <w:marRight w:val="0"/>
              <w:marTop w:val="0"/>
              <w:marBottom w:val="0"/>
              <w:divBdr>
                <w:top w:val="none" w:sz="0" w:space="0" w:color="auto"/>
                <w:left w:val="none" w:sz="0" w:space="0" w:color="auto"/>
                <w:bottom w:val="none" w:sz="0" w:space="0" w:color="auto"/>
                <w:right w:val="none" w:sz="0" w:space="0" w:color="auto"/>
              </w:divBdr>
            </w:div>
          </w:divsChild>
        </w:div>
        <w:div w:id="27267375">
          <w:marLeft w:val="0"/>
          <w:marRight w:val="0"/>
          <w:marTop w:val="0"/>
          <w:marBottom w:val="0"/>
          <w:divBdr>
            <w:top w:val="none" w:sz="0" w:space="0" w:color="auto"/>
            <w:left w:val="none" w:sz="0" w:space="0" w:color="auto"/>
            <w:bottom w:val="none" w:sz="0" w:space="0" w:color="auto"/>
            <w:right w:val="none" w:sz="0" w:space="0" w:color="auto"/>
          </w:divBdr>
          <w:divsChild>
            <w:div w:id="1096828449">
              <w:marLeft w:val="0"/>
              <w:marRight w:val="0"/>
              <w:marTop w:val="0"/>
              <w:marBottom w:val="0"/>
              <w:divBdr>
                <w:top w:val="none" w:sz="0" w:space="0" w:color="auto"/>
                <w:left w:val="none" w:sz="0" w:space="0" w:color="auto"/>
                <w:bottom w:val="none" w:sz="0" w:space="0" w:color="auto"/>
                <w:right w:val="none" w:sz="0" w:space="0" w:color="auto"/>
              </w:divBdr>
            </w:div>
            <w:div w:id="1163620745">
              <w:marLeft w:val="0"/>
              <w:marRight w:val="0"/>
              <w:marTop w:val="0"/>
              <w:marBottom w:val="0"/>
              <w:divBdr>
                <w:top w:val="none" w:sz="0" w:space="0" w:color="auto"/>
                <w:left w:val="none" w:sz="0" w:space="0" w:color="auto"/>
                <w:bottom w:val="none" w:sz="0" w:space="0" w:color="auto"/>
                <w:right w:val="none" w:sz="0" w:space="0" w:color="auto"/>
              </w:divBdr>
            </w:div>
          </w:divsChild>
        </w:div>
        <w:div w:id="133064161">
          <w:marLeft w:val="0"/>
          <w:marRight w:val="0"/>
          <w:marTop w:val="0"/>
          <w:marBottom w:val="0"/>
          <w:divBdr>
            <w:top w:val="none" w:sz="0" w:space="0" w:color="auto"/>
            <w:left w:val="none" w:sz="0" w:space="0" w:color="auto"/>
            <w:bottom w:val="none" w:sz="0" w:space="0" w:color="auto"/>
            <w:right w:val="none" w:sz="0" w:space="0" w:color="auto"/>
          </w:divBdr>
          <w:divsChild>
            <w:div w:id="1275358356">
              <w:marLeft w:val="0"/>
              <w:marRight w:val="0"/>
              <w:marTop w:val="0"/>
              <w:marBottom w:val="0"/>
              <w:divBdr>
                <w:top w:val="none" w:sz="0" w:space="0" w:color="auto"/>
                <w:left w:val="none" w:sz="0" w:space="0" w:color="auto"/>
                <w:bottom w:val="none" w:sz="0" w:space="0" w:color="auto"/>
                <w:right w:val="none" w:sz="0" w:space="0" w:color="auto"/>
              </w:divBdr>
            </w:div>
          </w:divsChild>
        </w:div>
        <w:div w:id="146752296">
          <w:marLeft w:val="0"/>
          <w:marRight w:val="0"/>
          <w:marTop w:val="0"/>
          <w:marBottom w:val="0"/>
          <w:divBdr>
            <w:top w:val="none" w:sz="0" w:space="0" w:color="auto"/>
            <w:left w:val="none" w:sz="0" w:space="0" w:color="auto"/>
            <w:bottom w:val="none" w:sz="0" w:space="0" w:color="auto"/>
            <w:right w:val="none" w:sz="0" w:space="0" w:color="auto"/>
          </w:divBdr>
          <w:divsChild>
            <w:div w:id="1770853324">
              <w:marLeft w:val="0"/>
              <w:marRight w:val="0"/>
              <w:marTop w:val="0"/>
              <w:marBottom w:val="0"/>
              <w:divBdr>
                <w:top w:val="none" w:sz="0" w:space="0" w:color="auto"/>
                <w:left w:val="none" w:sz="0" w:space="0" w:color="auto"/>
                <w:bottom w:val="none" w:sz="0" w:space="0" w:color="auto"/>
                <w:right w:val="none" w:sz="0" w:space="0" w:color="auto"/>
              </w:divBdr>
            </w:div>
          </w:divsChild>
        </w:div>
        <w:div w:id="237130936">
          <w:marLeft w:val="0"/>
          <w:marRight w:val="0"/>
          <w:marTop w:val="0"/>
          <w:marBottom w:val="0"/>
          <w:divBdr>
            <w:top w:val="none" w:sz="0" w:space="0" w:color="auto"/>
            <w:left w:val="none" w:sz="0" w:space="0" w:color="auto"/>
            <w:bottom w:val="none" w:sz="0" w:space="0" w:color="auto"/>
            <w:right w:val="none" w:sz="0" w:space="0" w:color="auto"/>
          </w:divBdr>
          <w:divsChild>
            <w:div w:id="1590772687">
              <w:marLeft w:val="0"/>
              <w:marRight w:val="0"/>
              <w:marTop w:val="0"/>
              <w:marBottom w:val="0"/>
              <w:divBdr>
                <w:top w:val="none" w:sz="0" w:space="0" w:color="auto"/>
                <w:left w:val="none" w:sz="0" w:space="0" w:color="auto"/>
                <w:bottom w:val="none" w:sz="0" w:space="0" w:color="auto"/>
                <w:right w:val="none" w:sz="0" w:space="0" w:color="auto"/>
              </w:divBdr>
            </w:div>
            <w:div w:id="1826122686">
              <w:marLeft w:val="0"/>
              <w:marRight w:val="0"/>
              <w:marTop w:val="0"/>
              <w:marBottom w:val="0"/>
              <w:divBdr>
                <w:top w:val="none" w:sz="0" w:space="0" w:color="auto"/>
                <w:left w:val="none" w:sz="0" w:space="0" w:color="auto"/>
                <w:bottom w:val="none" w:sz="0" w:space="0" w:color="auto"/>
                <w:right w:val="none" w:sz="0" w:space="0" w:color="auto"/>
              </w:divBdr>
            </w:div>
            <w:div w:id="1833982616">
              <w:marLeft w:val="0"/>
              <w:marRight w:val="0"/>
              <w:marTop w:val="0"/>
              <w:marBottom w:val="0"/>
              <w:divBdr>
                <w:top w:val="none" w:sz="0" w:space="0" w:color="auto"/>
                <w:left w:val="none" w:sz="0" w:space="0" w:color="auto"/>
                <w:bottom w:val="none" w:sz="0" w:space="0" w:color="auto"/>
                <w:right w:val="none" w:sz="0" w:space="0" w:color="auto"/>
              </w:divBdr>
            </w:div>
          </w:divsChild>
        </w:div>
        <w:div w:id="307171726">
          <w:marLeft w:val="0"/>
          <w:marRight w:val="0"/>
          <w:marTop w:val="0"/>
          <w:marBottom w:val="0"/>
          <w:divBdr>
            <w:top w:val="none" w:sz="0" w:space="0" w:color="auto"/>
            <w:left w:val="none" w:sz="0" w:space="0" w:color="auto"/>
            <w:bottom w:val="none" w:sz="0" w:space="0" w:color="auto"/>
            <w:right w:val="none" w:sz="0" w:space="0" w:color="auto"/>
          </w:divBdr>
          <w:divsChild>
            <w:div w:id="767845657">
              <w:marLeft w:val="0"/>
              <w:marRight w:val="0"/>
              <w:marTop w:val="0"/>
              <w:marBottom w:val="0"/>
              <w:divBdr>
                <w:top w:val="none" w:sz="0" w:space="0" w:color="auto"/>
                <w:left w:val="none" w:sz="0" w:space="0" w:color="auto"/>
                <w:bottom w:val="none" w:sz="0" w:space="0" w:color="auto"/>
                <w:right w:val="none" w:sz="0" w:space="0" w:color="auto"/>
              </w:divBdr>
            </w:div>
          </w:divsChild>
        </w:div>
        <w:div w:id="595217243">
          <w:marLeft w:val="0"/>
          <w:marRight w:val="0"/>
          <w:marTop w:val="0"/>
          <w:marBottom w:val="0"/>
          <w:divBdr>
            <w:top w:val="none" w:sz="0" w:space="0" w:color="auto"/>
            <w:left w:val="none" w:sz="0" w:space="0" w:color="auto"/>
            <w:bottom w:val="none" w:sz="0" w:space="0" w:color="auto"/>
            <w:right w:val="none" w:sz="0" w:space="0" w:color="auto"/>
          </w:divBdr>
          <w:divsChild>
            <w:div w:id="1989819334">
              <w:marLeft w:val="0"/>
              <w:marRight w:val="0"/>
              <w:marTop w:val="0"/>
              <w:marBottom w:val="0"/>
              <w:divBdr>
                <w:top w:val="none" w:sz="0" w:space="0" w:color="auto"/>
                <w:left w:val="none" w:sz="0" w:space="0" w:color="auto"/>
                <w:bottom w:val="none" w:sz="0" w:space="0" w:color="auto"/>
                <w:right w:val="none" w:sz="0" w:space="0" w:color="auto"/>
              </w:divBdr>
            </w:div>
          </w:divsChild>
        </w:div>
        <w:div w:id="863053408">
          <w:marLeft w:val="0"/>
          <w:marRight w:val="0"/>
          <w:marTop w:val="0"/>
          <w:marBottom w:val="0"/>
          <w:divBdr>
            <w:top w:val="none" w:sz="0" w:space="0" w:color="auto"/>
            <w:left w:val="none" w:sz="0" w:space="0" w:color="auto"/>
            <w:bottom w:val="none" w:sz="0" w:space="0" w:color="auto"/>
            <w:right w:val="none" w:sz="0" w:space="0" w:color="auto"/>
          </w:divBdr>
          <w:divsChild>
            <w:div w:id="265699897">
              <w:marLeft w:val="0"/>
              <w:marRight w:val="0"/>
              <w:marTop w:val="0"/>
              <w:marBottom w:val="0"/>
              <w:divBdr>
                <w:top w:val="none" w:sz="0" w:space="0" w:color="auto"/>
                <w:left w:val="none" w:sz="0" w:space="0" w:color="auto"/>
                <w:bottom w:val="none" w:sz="0" w:space="0" w:color="auto"/>
                <w:right w:val="none" w:sz="0" w:space="0" w:color="auto"/>
              </w:divBdr>
            </w:div>
          </w:divsChild>
        </w:div>
        <w:div w:id="1111171607">
          <w:marLeft w:val="0"/>
          <w:marRight w:val="0"/>
          <w:marTop w:val="0"/>
          <w:marBottom w:val="0"/>
          <w:divBdr>
            <w:top w:val="none" w:sz="0" w:space="0" w:color="auto"/>
            <w:left w:val="none" w:sz="0" w:space="0" w:color="auto"/>
            <w:bottom w:val="none" w:sz="0" w:space="0" w:color="auto"/>
            <w:right w:val="none" w:sz="0" w:space="0" w:color="auto"/>
          </w:divBdr>
          <w:divsChild>
            <w:div w:id="1807775040">
              <w:marLeft w:val="0"/>
              <w:marRight w:val="0"/>
              <w:marTop w:val="0"/>
              <w:marBottom w:val="0"/>
              <w:divBdr>
                <w:top w:val="none" w:sz="0" w:space="0" w:color="auto"/>
                <w:left w:val="none" w:sz="0" w:space="0" w:color="auto"/>
                <w:bottom w:val="none" w:sz="0" w:space="0" w:color="auto"/>
                <w:right w:val="none" w:sz="0" w:space="0" w:color="auto"/>
              </w:divBdr>
            </w:div>
          </w:divsChild>
        </w:div>
        <w:div w:id="1272981172">
          <w:marLeft w:val="0"/>
          <w:marRight w:val="0"/>
          <w:marTop w:val="0"/>
          <w:marBottom w:val="0"/>
          <w:divBdr>
            <w:top w:val="none" w:sz="0" w:space="0" w:color="auto"/>
            <w:left w:val="none" w:sz="0" w:space="0" w:color="auto"/>
            <w:bottom w:val="none" w:sz="0" w:space="0" w:color="auto"/>
            <w:right w:val="none" w:sz="0" w:space="0" w:color="auto"/>
          </w:divBdr>
          <w:divsChild>
            <w:div w:id="1106729498">
              <w:marLeft w:val="0"/>
              <w:marRight w:val="0"/>
              <w:marTop w:val="0"/>
              <w:marBottom w:val="0"/>
              <w:divBdr>
                <w:top w:val="none" w:sz="0" w:space="0" w:color="auto"/>
                <w:left w:val="none" w:sz="0" w:space="0" w:color="auto"/>
                <w:bottom w:val="none" w:sz="0" w:space="0" w:color="auto"/>
                <w:right w:val="none" w:sz="0" w:space="0" w:color="auto"/>
              </w:divBdr>
            </w:div>
          </w:divsChild>
        </w:div>
        <w:div w:id="1340959281">
          <w:marLeft w:val="0"/>
          <w:marRight w:val="0"/>
          <w:marTop w:val="0"/>
          <w:marBottom w:val="0"/>
          <w:divBdr>
            <w:top w:val="none" w:sz="0" w:space="0" w:color="auto"/>
            <w:left w:val="none" w:sz="0" w:space="0" w:color="auto"/>
            <w:bottom w:val="none" w:sz="0" w:space="0" w:color="auto"/>
            <w:right w:val="none" w:sz="0" w:space="0" w:color="auto"/>
          </w:divBdr>
          <w:divsChild>
            <w:div w:id="1861778413">
              <w:marLeft w:val="0"/>
              <w:marRight w:val="0"/>
              <w:marTop w:val="0"/>
              <w:marBottom w:val="0"/>
              <w:divBdr>
                <w:top w:val="none" w:sz="0" w:space="0" w:color="auto"/>
                <w:left w:val="none" w:sz="0" w:space="0" w:color="auto"/>
                <w:bottom w:val="none" w:sz="0" w:space="0" w:color="auto"/>
                <w:right w:val="none" w:sz="0" w:space="0" w:color="auto"/>
              </w:divBdr>
            </w:div>
          </w:divsChild>
        </w:div>
        <w:div w:id="1346010821">
          <w:marLeft w:val="0"/>
          <w:marRight w:val="0"/>
          <w:marTop w:val="0"/>
          <w:marBottom w:val="0"/>
          <w:divBdr>
            <w:top w:val="none" w:sz="0" w:space="0" w:color="auto"/>
            <w:left w:val="none" w:sz="0" w:space="0" w:color="auto"/>
            <w:bottom w:val="none" w:sz="0" w:space="0" w:color="auto"/>
            <w:right w:val="none" w:sz="0" w:space="0" w:color="auto"/>
          </w:divBdr>
          <w:divsChild>
            <w:div w:id="2065987047">
              <w:marLeft w:val="0"/>
              <w:marRight w:val="0"/>
              <w:marTop w:val="0"/>
              <w:marBottom w:val="0"/>
              <w:divBdr>
                <w:top w:val="none" w:sz="0" w:space="0" w:color="auto"/>
                <w:left w:val="none" w:sz="0" w:space="0" w:color="auto"/>
                <w:bottom w:val="none" w:sz="0" w:space="0" w:color="auto"/>
                <w:right w:val="none" w:sz="0" w:space="0" w:color="auto"/>
              </w:divBdr>
            </w:div>
          </w:divsChild>
        </w:div>
        <w:div w:id="1370566926">
          <w:marLeft w:val="0"/>
          <w:marRight w:val="0"/>
          <w:marTop w:val="0"/>
          <w:marBottom w:val="0"/>
          <w:divBdr>
            <w:top w:val="none" w:sz="0" w:space="0" w:color="auto"/>
            <w:left w:val="none" w:sz="0" w:space="0" w:color="auto"/>
            <w:bottom w:val="none" w:sz="0" w:space="0" w:color="auto"/>
            <w:right w:val="none" w:sz="0" w:space="0" w:color="auto"/>
          </w:divBdr>
          <w:divsChild>
            <w:div w:id="849566321">
              <w:marLeft w:val="0"/>
              <w:marRight w:val="0"/>
              <w:marTop w:val="0"/>
              <w:marBottom w:val="0"/>
              <w:divBdr>
                <w:top w:val="none" w:sz="0" w:space="0" w:color="auto"/>
                <w:left w:val="none" w:sz="0" w:space="0" w:color="auto"/>
                <w:bottom w:val="none" w:sz="0" w:space="0" w:color="auto"/>
                <w:right w:val="none" w:sz="0" w:space="0" w:color="auto"/>
              </w:divBdr>
            </w:div>
          </w:divsChild>
        </w:div>
        <w:div w:id="1373847733">
          <w:marLeft w:val="0"/>
          <w:marRight w:val="0"/>
          <w:marTop w:val="0"/>
          <w:marBottom w:val="0"/>
          <w:divBdr>
            <w:top w:val="none" w:sz="0" w:space="0" w:color="auto"/>
            <w:left w:val="none" w:sz="0" w:space="0" w:color="auto"/>
            <w:bottom w:val="none" w:sz="0" w:space="0" w:color="auto"/>
            <w:right w:val="none" w:sz="0" w:space="0" w:color="auto"/>
          </w:divBdr>
          <w:divsChild>
            <w:div w:id="87586012">
              <w:marLeft w:val="0"/>
              <w:marRight w:val="0"/>
              <w:marTop w:val="0"/>
              <w:marBottom w:val="0"/>
              <w:divBdr>
                <w:top w:val="none" w:sz="0" w:space="0" w:color="auto"/>
                <w:left w:val="none" w:sz="0" w:space="0" w:color="auto"/>
                <w:bottom w:val="none" w:sz="0" w:space="0" w:color="auto"/>
                <w:right w:val="none" w:sz="0" w:space="0" w:color="auto"/>
              </w:divBdr>
            </w:div>
          </w:divsChild>
        </w:div>
        <w:div w:id="1461414989">
          <w:marLeft w:val="0"/>
          <w:marRight w:val="0"/>
          <w:marTop w:val="0"/>
          <w:marBottom w:val="0"/>
          <w:divBdr>
            <w:top w:val="none" w:sz="0" w:space="0" w:color="auto"/>
            <w:left w:val="none" w:sz="0" w:space="0" w:color="auto"/>
            <w:bottom w:val="none" w:sz="0" w:space="0" w:color="auto"/>
            <w:right w:val="none" w:sz="0" w:space="0" w:color="auto"/>
          </w:divBdr>
          <w:divsChild>
            <w:div w:id="53822441">
              <w:marLeft w:val="0"/>
              <w:marRight w:val="0"/>
              <w:marTop w:val="0"/>
              <w:marBottom w:val="0"/>
              <w:divBdr>
                <w:top w:val="none" w:sz="0" w:space="0" w:color="auto"/>
                <w:left w:val="none" w:sz="0" w:space="0" w:color="auto"/>
                <w:bottom w:val="none" w:sz="0" w:space="0" w:color="auto"/>
                <w:right w:val="none" w:sz="0" w:space="0" w:color="auto"/>
              </w:divBdr>
            </w:div>
            <w:div w:id="2016684515">
              <w:marLeft w:val="0"/>
              <w:marRight w:val="0"/>
              <w:marTop w:val="0"/>
              <w:marBottom w:val="0"/>
              <w:divBdr>
                <w:top w:val="none" w:sz="0" w:space="0" w:color="auto"/>
                <w:left w:val="none" w:sz="0" w:space="0" w:color="auto"/>
                <w:bottom w:val="none" w:sz="0" w:space="0" w:color="auto"/>
                <w:right w:val="none" w:sz="0" w:space="0" w:color="auto"/>
              </w:divBdr>
            </w:div>
          </w:divsChild>
        </w:div>
        <w:div w:id="1615943543">
          <w:marLeft w:val="0"/>
          <w:marRight w:val="0"/>
          <w:marTop w:val="0"/>
          <w:marBottom w:val="0"/>
          <w:divBdr>
            <w:top w:val="none" w:sz="0" w:space="0" w:color="auto"/>
            <w:left w:val="none" w:sz="0" w:space="0" w:color="auto"/>
            <w:bottom w:val="none" w:sz="0" w:space="0" w:color="auto"/>
            <w:right w:val="none" w:sz="0" w:space="0" w:color="auto"/>
          </w:divBdr>
          <w:divsChild>
            <w:div w:id="415710031">
              <w:marLeft w:val="0"/>
              <w:marRight w:val="0"/>
              <w:marTop w:val="0"/>
              <w:marBottom w:val="0"/>
              <w:divBdr>
                <w:top w:val="none" w:sz="0" w:space="0" w:color="auto"/>
                <w:left w:val="none" w:sz="0" w:space="0" w:color="auto"/>
                <w:bottom w:val="none" w:sz="0" w:space="0" w:color="auto"/>
                <w:right w:val="none" w:sz="0" w:space="0" w:color="auto"/>
              </w:divBdr>
            </w:div>
          </w:divsChild>
        </w:div>
        <w:div w:id="1675525172">
          <w:marLeft w:val="0"/>
          <w:marRight w:val="0"/>
          <w:marTop w:val="0"/>
          <w:marBottom w:val="0"/>
          <w:divBdr>
            <w:top w:val="none" w:sz="0" w:space="0" w:color="auto"/>
            <w:left w:val="none" w:sz="0" w:space="0" w:color="auto"/>
            <w:bottom w:val="none" w:sz="0" w:space="0" w:color="auto"/>
            <w:right w:val="none" w:sz="0" w:space="0" w:color="auto"/>
          </w:divBdr>
          <w:divsChild>
            <w:div w:id="487522683">
              <w:marLeft w:val="0"/>
              <w:marRight w:val="0"/>
              <w:marTop w:val="0"/>
              <w:marBottom w:val="0"/>
              <w:divBdr>
                <w:top w:val="none" w:sz="0" w:space="0" w:color="auto"/>
                <w:left w:val="none" w:sz="0" w:space="0" w:color="auto"/>
                <w:bottom w:val="none" w:sz="0" w:space="0" w:color="auto"/>
                <w:right w:val="none" w:sz="0" w:space="0" w:color="auto"/>
              </w:divBdr>
            </w:div>
          </w:divsChild>
        </w:div>
        <w:div w:id="1887642477">
          <w:marLeft w:val="0"/>
          <w:marRight w:val="0"/>
          <w:marTop w:val="0"/>
          <w:marBottom w:val="0"/>
          <w:divBdr>
            <w:top w:val="none" w:sz="0" w:space="0" w:color="auto"/>
            <w:left w:val="none" w:sz="0" w:space="0" w:color="auto"/>
            <w:bottom w:val="none" w:sz="0" w:space="0" w:color="auto"/>
            <w:right w:val="none" w:sz="0" w:space="0" w:color="auto"/>
          </w:divBdr>
          <w:divsChild>
            <w:div w:id="1727995288">
              <w:marLeft w:val="0"/>
              <w:marRight w:val="0"/>
              <w:marTop w:val="0"/>
              <w:marBottom w:val="0"/>
              <w:divBdr>
                <w:top w:val="none" w:sz="0" w:space="0" w:color="auto"/>
                <w:left w:val="none" w:sz="0" w:space="0" w:color="auto"/>
                <w:bottom w:val="none" w:sz="0" w:space="0" w:color="auto"/>
                <w:right w:val="none" w:sz="0" w:space="0" w:color="auto"/>
              </w:divBdr>
            </w:div>
            <w:div w:id="2025277184">
              <w:marLeft w:val="0"/>
              <w:marRight w:val="0"/>
              <w:marTop w:val="0"/>
              <w:marBottom w:val="0"/>
              <w:divBdr>
                <w:top w:val="none" w:sz="0" w:space="0" w:color="auto"/>
                <w:left w:val="none" w:sz="0" w:space="0" w:color="auto"/>
                <w:bottom w:val="none" w:sz="0" w:space="0" w:color="auto"/>
                <w:right w:val="none" w:sz="0" w:space="0" w:color="auto"/>
              </w:divBdr>
            </w:div>
          </w:divsChild>
        </w:div>
        <w:div w:id="1942494528">
          <w:marLeft w:val="0"/>
          <w:marRight w:val="0"/>
          <w:marTop w:val="0"/>
          <w:marBottom w:val="0"/>
          <w:divBdr>
            <w:top w:val="none" w:sz="0" w:space="0" w:color="auto"/>
            <w:left w:val="none" w:sz="0" w:space="0" w:color="auto"/>
            <w:bottom w:val="none" w:sz="0" w:space="0" w:color="auto"/>
            <w:right w:val="none" w:sz="0" w:space="0" w:color="auto"/>
          </w:divBdr>
          <w:divsChild>
            <w:div w:id="114905937">
              <w:marLeft w:val="0"/>
              <w:marRight w:val="0"/>
              <w:marTop w:val="0"/>
              <w:marBottom w:val="0"/>
              <w:divBdr>
                <w:top w:val="none" w:sz="0" w:space="0" w:color="auto"/>
                <w:left w:val="none" w:sz="0" w:space="0" w:color="auto"/>
                <w:bottom w:val="none" w:sz="0" w:space="0" w:color="auto"/>
                <w:right w:val="none" w:sz="0" w:space="0" w:color="auto"/>
              </w:divBdr>
            </w:div>
          </w:divsChild>
        </w:div>
        <w:div w:id="2097748780">
          <w:marLeft w:val="0"/>
          <w:marRight w:val="0"/>
          <w:marTop w:val="0"/>
          <w:marBottom w:val="0"/>
          <w:divBdr>
            <w:top w:val="none" w:sz="0" w:space="0" w:color="auto"/>
            <w:left w:val="none" w:sz="0" w:space="0" w:color="auto"/>
            <w:bottom w:val="none" w:sz="0" w:space="0" w:color="auto"/>
            <w:right w:val="none" w:sz="0" w:space="0" w:color="auto"/>
          </w:divBdr>
          <w:divsChild>
            <w:div w:id="16704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2792">
      <w:bodyDiv w:val="1"/>
      <w:marLeft w:val="0"/>
      <w:marRight w:val="0"/>
      <w:marTop w:val="0"/>
      <w:marBottom w:val="0"/>
      <w:divBdr>
        <w:top w:val="none" w:sz="0" w:space="0" w:color="auto"/>
        <w:left w:val="none" w:sz="0" w:space="0" w:color="auto"/>
        <w:bottom w:val="none" w:sz="0" w:space="0" w:color="auto"/>
        <w:right w:val="none" w:sz="0" w:space="0" w:color="auto"/>
      </w:divBdr>
      <w:divsChild>
        <w:div w:id="1250310936">
          <w:marLeft w:val="0"/>
          <w:marRight w:val="0"/>
          <w:marTop w:val="0"/>
          <w:marBottom w:val="0"/>
          <w:divBdr>
            <w:top w:val="none" w:sz="0" w:space="0" w:color="auto"/>
            <w:left w:val="none" w:sz="0" w:space="0" w:color="auto"/>
            <w:bottom w:val="none" w:sz="0" w:space="0" w:color="auto"/>
            <w:right w:val="none" w:sz="0" w:space="0" w:color="auto"/>
          </w:divBdr>
          <w:divsChild>
            <w:div w:id="2079983021">
              <w:marLeft w:val="-75"/>
              <w:marRight w:val="0"/>
              <w:marTop w:val="30"/>
              <w:marBottom w:val="30"/>
              <w:divBdr>
                <w:top w:val="none" w:sz="0" w:space="0" w:color="auto"/>
                <w:left w:val="none" w:sz="0" w:space="0" w:color="auto"/>
                <w:bottom w:val="none" w:sz="0" w:space="0" w:color="auto"/>
                <w:right w:val="none" w:sz="0" w:space="0" w:color="auto"/>
              </w:divBdr>
              <w:divsChild>
                <w:div w:id="61104651">
                  <w:marLeft w:val="0"/>
                  <w:marRight w:val="0"/>
                  <w:marTop w:val="0"/>
                  <w:marBottom w:val="0"/>
                  <w:divBdr>
                    <w:top w:val="none" w:sz="0" w:space="0" w:color="auto"/>
                    <w:left w:val="none" w:sz="0" w:space="0" w:color="auto"/>
                    <w:bottom w:val="none" w:sz="0" w:space="0" w:color="auto"/>
                    <w:right w:val="none" w:sz="0" w:space="0" w:color="auto"/>
                  </w:divBdr>
                  <w:divsChild>
                    <w:div w:id="1066730606">
                      <w:marLeft w:val="0"/>
                      <w:marRight w:val="0"/>
                      <w:marTop w:val="0"/>
                      <w:marBottom w:val="0"/>
                      <w:divBdr>
                        <w:top w:val="none" w:sz="0" w:space="0" w:color="auto"/>
                        <w:left w:val="none" w:sz="0" w:space="0" w:color="auto"/>
                        <w:bottom w:val="none" w:sz="0" w:space="0" w:color="auto"/>
                        <w:right w:val="none" w:sz="0" w:space="0" w:color="auto"/>
                      </w:divBdr>
                    </w:div>
                    <w:div w:id="1430156261">
                      <w:marLeft w:val="0"/>
                      <w:marRight w:val="0"/>
                      <w:marTop w:val="0"/>
                      <w:marBottom w:val="0"/>
                      <w:divBdr>
                        <w:top w:val="none" w:sz="0" w:space="0" w:color="auto"/>
                        <w:left w:val="none" w:sz="0" w:space="0" w:color="auto"/>
                        <w:bottom w:val="none" w:sz="0" w:space="0" w:color="auto"/>
                        <w:right w:val="none" w:sz="0" w:space="0" w:color="auto"/>
                      </w:divBdr>
                    </w:div>
                  </w:divsChild>
                </w:div>
                <w:div w:id="306059466">
                  <w:marLeft w:val="0"/>
                  <w:marRight w:val="0"/>
                  <w:marTop w:val="0"/>
                  <w:marBottom w:val="0"/>
                  <w:divBdr>
                    <w:top w:val="none" w:sz="0" w:space="0" w:color="auto"/>
                    <w:left w:val="none" w:sz="0" w:space="0" w:color="auto"/>
                    <w:bottom w:val="none" w:sz="0" w:space="0" w:color="auto"/>
                    <w:right w:val="none" w:sz="0" w:space="0" w:color="auto"/>
                  </w:divBdr>
                  <w:divsChild>
                    <w:div w:id="160894327">
                      <w:marLeft w:val="0"/>
                      <w:marRight w:val="0"/>
                      <w:marTop w:val="0"/>
                      <w:marBottom w:val="0"/>
                      <w:divBdr>
                        <w:top w:val="none" w:sz="0" w:space="0" w:color="auto"/>
                        <w:left w:val="none" w:sz="0" w:space="0" w:color="auto"/>
                        <w:bottom w:val="none" w:sz="0" w:space="0" w:color="auto"/>
                        <w:right w:val="none" w:sz="0" w:space="0" w:color="auto"/>
                      </w:divBdr>
                    </w:div>
                  </w:divsChild>
                </w:div>
                <w:div w:id="333387007">
                  <w:marLeft w:val="0"/>
                  <w:marRight w:val="0"/>
                  <w:marTop w:val="0"/>
                  <w:marBottom w:val="0"/>
                  <w:divBdr>
                    <w:top w:val="none" w:sz="0" w:space="0" w:color="auto"/>
                    <w:left w:val="none" w:sz="0" w:space="0" w:color="auto"/>
                    <w:bottom w:val="none" w:sz="0" w:space="0" w:color="auto"/>
                    <w:right w:val="none" w:sz="0" w:space="0" w:color="auto"/>
                  </w:divBdr>
                  <w:divsChild>
                    <w:div w:id="1147815548">
                      <w:marLeft w:val="0"/>
                      <w:marRight w:val="0"/>
                      <w:marTop w:val="0"/>
                      <w:marBottom w:val="0"/>
                      <w:divBdr>
                        <w:top w:val="none" w:sz="0" w:space="0" w:color="auto"/>
                        <w:left w:val="none" w:sz="0" w:space="0" w:color="auto"/>
                        <w:bottom w:val="none" w:sz="0" w:space="0" w:color="auto"/>
                        <w:right w:val="none" w:sz="0" w:space="0" w:color="auto"/>
                      </w:divBdr>
                    </w:div>
                  </w:divsChild>
                </w:div>
                <w:div w:id="343944834">
                  <w:marLeft w:val="0"/>
                  <w:marRight w:val="0"/>
                  <w:marTop w:val="0"/>
                  <w:marBottom w:val="0"/>
                  <w:divBdr>
                    <w:top w:val="none" w:sz="0" w:space="0" w:color="auto"/>
                    <w:left w:val="none" w:sz="0" w:space="0" w:color="auto"/>
                    <w:bottom w:val="none" w:sz="0" w:space="0" w:color="auto"/>
                    <w:right w:val="none" w:sz="0" w:space="0" w:color="auto"/>
                  </w:divBdr>
                  <w:divsChild>
                    <w:div w:id="547885396">
                      <w:marLeft w:val="0"/>
                      <w:marRight w:val="0"/>
                      <w:marTop w:val="0"/>
                      <w:marBottom w:val="0"/>
                      <w:divBdr>
                        <w:top w:val="none" w:sz="0" w:space="0" w:color="auto"/>
                        <w:left w:val="none" w:sz="0" w:space="0" w:color="auto"/>
                        <w:bottom w:val="none" w:sz="0" w:space="0" w:color="auto"/>
                        <w:right w:val="none" w:sz="0" w:space="0" w:color="auto"/>
                      </w:divBdr>
                    </w:div>
                    <w:div w:id="1213233127">
                      <w:marLeft w:val="0"/>
                      <w:marRight w:val="0"/>
                      <w:marTop w:val="0"/>
                      <w:marBottom w:val="0"/>
                      <w:divBdr>
                        <w:top w:val="none" w:sz="0" w:space="0" w:color="auto"/>
                        <w:left w:val="none" w:sz="0" w:space="0" w:color="auto"/>
                        <w:bottom w:val="none" w:sz="0" w:space="0" w:color="auto"/>
                        <w:right w:val="none" w:sz="0" w:space="0" w:color="auto"/>
                      </w:divBdr>
                    </w:div>
                  </w:divsChild>
                </w:div>
                <w:div w:id="575557370">
                  <w:marLeft w:val="0"/>
                  <w:marRight w:val="0"/>
                  <w:marTop w:val="0"/>
                  <w:marBottom w:val="0"/>
                  <w:divBdr>
                    <w:top w:val="none" w:sz="0" w:space="0" w:color="auto"/>
                    <w:left w:val="none" w:sz="0" w:space="0" w:color="auto"/>
                    <w:bottom w:val="none" w:sz="0" w:space="0" w:color="auto"/>
                    <w:right w:val="none" w:sz="0" w:space="0" w:color="auto"/>
                  </w:divBdr>
                  <w:divsChild>
                    <w:div w:id="1062294191">
                      <w:marLeft w:val="0"/>
                      <w:marRight w:val="0"/>
                      <w:marTop w:val="0"/>
                      <w:marBottom w:val="0"/>
                      <w:divBdr>
                        <w:top w:val="none" w:sz="0" w:space="0" w:color="auto"/>
                        <w:left w:val="none" w:sz="0" w:space="0" w:color="auto"/>
                        <w:bottom w:val="none" w:sz="0" w:space="0" w:color="auto"/>
                        <w:right w:val="none" w:sz="0" w:space="0" w:color="auto"/>
                      </w:divBdr>
                    </w:div>
                  </w:divsChild>
                </w:div>
                <w:div w:id="735933813">
                  <w:marLeft w:val="0"/>
                  <w:marRight w:val="0"/>
                  <w:marTop w:val="0"/>
                  <w:marBottom w:val="0"/>
                  <w:divBdr>
                    <w:top w:val="none" w:sz="0" w:space="0" w:color="auto"/>
                    <w:left w:val="none" w:sz="0" w:space="0" w:color="auto"/>
                    <w:bottom w:val="none" w:sz="0" w:space="0" w:color="auto"/>
                    <w:right w:val="none" w:sz="0" w:space="0" w:color="auto"/>
                  </w:divBdr>
                  <w:divsChild>
                    <w:div w:id="587885620">
                      <w:marLeft w:val="0"/>
                      <w:marRight w:val="0"/>
                      <w:marTop w:val="0"/>
                      <w:marBottom w:val="0"/>
                      <w:divBdr>
                        <w:top w:val="none" w:sz="0" w:space="0" w:color="auto"/>
                        <w:left w:val="none" w:sz="0" w:space="0" w:color="auto"/>
                        <w:bottom w:val="none" w:sz="0" w:space="0" w:color="auto"/>
                        <w:right w:val="none" w:sz="0" w:space="0" w:color="auto"/>
                      </w:divBdr>
                    </w:div>
                  </w:divsChild>
                </w:div>
                <w:div w:id="742219555">
                  <w:marLeft w:val="0"/>
                  <w:marRight w:val="0"/>
                  <w:marTop w:val="0"/>
                  <w:marBottom w:val="0"/>
                  <w:divBdr>
                    <w:top w:val="none" w:sz="0" w:space="0" w:color="auto"/>
                    <w:left w:val="none" w:sz="0" w:space="0" w:color="auto"/>
                    <w:bottom w:val="none" w:sz="0" w:space="0" w:color="auto"/>
                    <w:right w:val="none" w:sz="0" w:space="0" w:color="auto"/>
                  </w:divBdr>
                  <w:divsChild>
                    <w:div w:id="2104302261">
                      <w:marLeft w:val="0"/>
                      <w:marRight w:val="0"/>
                      <w:marTop w:val="0"/>
                      <w:marBottom w:val="0"/>
                      <w:divBdr>
                        <w:top w:val="none" w:sz="0" w:space="0" w:color="auto"/>
                        <w:left w:val="none" w:sz="0" w:space="0" w:color="auto"/>
                        <w:bottom w:val="none" w:sz="0" w:space="0" w:color="auto"/>
                        <w:right w:val="none" w:sz="0" w:space="0" w:color="auto"/>
                      </w:divBdr>
                    </w:div>
                  </w:divsChild>
                </w:div>
                <w:div w:id="805584081">
                  <w:marLeft w:val="0"/>
                  <w:marRight w:val="0"/>
                  <w:marTop w:val="0"/>
                  <w:marBottom w:val="0"/>
                  <w:divBdr>
                    <w:top w:val="none" w:sz="0" w:space="0" w:color="auto"/>
                    <w:left w:val="none" w:sz="0" w:space="0" w:color="auto"/>
                    <w:bottom w:val="none" w:sz="0" w:space="0" w:color="auto"/>
                    <w:right w:val="none" w:sz="0" w:space="0" w:color="auto"/>
                  </w:divBdr>
                  <w:divsChild>
                    <w:div w:id="283772077">
                      <w:marLeft w:val="0"/>
                      <w:marRight w:val="0"/>
                      <w:marTop w:val="0"/>
                      <w:marBottom w:val="0"/>
                      <w:divBdr>
                        <w:top w:val="none" w:sz="0" w:space="0" w:color="auto"/>
                        <w:left w:val="none" w:sz="0" w:space="0" w:color="auto"/>
                        <w:bottom w:val="none" w:sz="0" w:space="0" w:color="auto"/>
                        <w:right w:val="none" w:sz="0" w:space="0" w:color="auto"/>
                      </w:divBdr>
                    </w:div>
                    <w:div w:id="1847673788">
                      <w:marLeft w:val="0"/>
                      <w:marRight w:val="0"/>
                      <w:marTop w:val="0"/>
                      <w:marBottom w:val="0"/>
                      <w:divBdr>
                        <w:top w:val="none" w:sz="0" w:space="0" w:color="auto"/>
                        <w:left w:val="none" w:sz="0" w:space="0" w:color="auto"/>
                        <w:bottom w:val="none" w:sz="0" w:space="0" w:color="auto"/>
                        <w:right w:val="none" w:sz="0" w:space="0" w:color="auto"/>
                      </w:divBdr>
                    </w:div>
                  </w:divsChild>
                </w:div>
                <w:div w:id="823164805">
                  <w:marLeft w:val="0"/>
                  <w:marRight w:val="0"/>
                  <w:marTop w:val="0"/>
                  <w:marBottom w:val="0"/>
                  <w:divBdr>
                    <w:top w:val="none" w:sz="0" w:space="0" w:color="auto"/>
                    <w:left w:val="none" w:sz="0" w:space="0" w:color="auto"/>
                    <w:bottom w:val="none" w:sz="0" w:space="0" w:color="auto"/>
                    <w:right w:val="none" w:sz="0" w:space="0" w:color="auto"/>
                  </w:divBdr>
                  <w:divsChild>
                    <w:div w:id="1123887769">
                      <w:marLeft w:val="0"/>
                      <w:marRight w:val="0"/>
                      <w:marTop w:val="0"/>
                      <w:marBottom w:val="0"/>
                      <w:divBdr>
                        <w:top w:val="none" w:sz="0" w:space="0" w:color="auto"/>
                        <w:left w:val="none" w:sz="0" w:space="0" w:color="auto"/>
                        <w:bottom w:val="none" w:sz="0" w:space="0" w:color="auto"/>
                        <w:right w:val="none" w:sz="0" w:space="0" w:color="auto"/>
                      </w:divBdr>
                    </w:div>
                  </w:divsChild>
                </w:div>
                <w:div w:id="922909409">
                  <w:marLeft w:val="0"/>
                  <w:marRight w:val="0"/>
                  <w:marTop w:val="0"/>
                  <w:marBottom w:val="0"/>
                  <w:divBdr>
                    <w:top w:val="none" w:sz="0" w:space="0" w:color="auto"/>
                    <w:left w:val="none" w:sz="0" w:space="0" w:color="auto"/>
                    <w:bottom w:val="none" w:sz="0" w:space="0" w:color="auto"/>
                    <w:right w:val="none" w:sz="0" w:space="0" w:color="auto"/>
                  </w:divBdr>
                  <w:divsChild>
                    <w:div w:id="186066247">
                      <w:marLeft w:val="0"/>
                      <w:marRight w:val="0"/>
                      <w:marTop w:val="0"/>
                      <w:marBottom w:val="0"/>
                      <w:divBdr>
                        <w:top w:val="none" w:sz="0" w:space="0" w:color="auto"/>
                        <w:left w:val="none" w:sz="0" w:space="0" w:color="auto"/>
                        <w:bottom w:val="none" w:sz="0" w:space="0" w:color="auto"/>
                        <w:right w:val="none" w:sz="0" w:space="0" w:color="auto"/>
                      </w:divBdr>
                    </w:div>
                  </w:divsChild>
                </w:div>
                <w:div w:id="928348162">
                  <w:marLeft w:val="0"/>
                  <w:marRight w:val="0"/>
                  <w:marTop w:val="0"/>
                  <w:marBottom w:val="0"/>
                  <w:divBdr>
                    <w:top w:val="none" w:sz="0" w:space="0" w:color="auto"/>
                    <w:left w:val="none" w:sz="0" w:space="0" w:color="auto"/>
                    <w:bottom w:val="none" w:sz="0" w:space="0" w:color="auto"/>
                    <w:right w:val="none" w:sz="0" w:space="0" w:color="auto"/>
                  </w:divBdr>
                  <w:divsChild>
                    <w:div w:id="1471249059">
                      <w:marLeft w:val="0"/>
                      <w:marRight w:val="0"/>
                      <w:marTop w:val="0"/>
                      <w:marBottom w:val="0"/>
                      <w:divBdr>
                        <w:top w:val="none" w:sz="0" w:space="0" w:color="auto"/>
                        <w:left w:val="none" w:sz="0" w:space="0" w:color="auto"/>
                        <w:bottom w:val="none" w:sz="0" w:space="0" w:color="auto"/>
                        <w:right w:val="none" w:sz="0" w:space="0" w:color="auto"/>
                      </w:divBdr>
                    </w:div>
                    <w:div w:id="2039162407">
                      <w:marLeft w:val="0"/>
                      <w:marRight w:val="0"/>
                      <w:marTop w:val="0"/>
                      <w:marBottom w:val="0"/>
                      <w:divBdr>
                        <w:top w:val="none" w:sz="0" w:space="0" w:color="auto"/>
                        <w:left w:val="none" w:sz="0" w:space="0" w:color="auto"/>
                        <w:bottom w:val="none" w:sz="0" w:space="0" w:color="auto"/>
                        <w:right w:val="none" w:sz="0" w:space="0" w:color="auto"/>
                      </w:divBdr>
                    </w:div>
                  </w:divsChild>
                </w:div>
                <w:div w:id="952856869">
                  <w:marLeft w:val="0"/>
                  <w:marRight w:val="0"/>
                  <w:marTop w:val="0"/>
                  <w:marBottom w:val="0"/>
                  <w:divBdr>
                    <w:top w:val="none" w:sz="0" w:space="0" w:color="auto"/>
                    <w:left w:val="none" w:sz="0" w:space="0" w:color="auto"/>
                    <w:bottom w:val="none" w:sz="0" w:space="0" w:color="auto"/>
                    <w:right w:val="none" w:sz="0" w:space="0" w:color="auto"/>
                  </w:divBdr>
                  <w:divsChild>
                    <w:div w:id="1111898137">
                      <w:marLeft w:val="0"/>
                      <w:marRight w:val="0"/>
                      <w:marTop w:val="0"/>
                      <w:marBottom w:val="0"/>
                      <w:divBdr>
                        <w:top w:val="none" w:sz="0" w:space="0" w:color="auto"/>
                        <w:left w:val="none" w:sz="0" w:space="0" w:color="auto"/>
                        <w:bottom w:val="none" w:sz="0" w:space="0" w:color="auto"/>
                        <w:right w:val="none" w:sz="0" w:space="0" w:color="auto"/>
                      </w:divBdr>
                    </w:div>
                  </w:divsChild>
                </w:div>
                <w:div w:id="1038897287">
                  <w:marLeft w:val="0"/>
                  <w:marRight w:val="0"/>
                  <w:marTop w:val="0"/>
                  <w:marBottom w:val="0"/>
                  <w:divBdr>
                    <w:top w:val="none" w:sz="0" w:space="0" w:color="auto"/>
                    <w:left w:val="none" w:sz="0" w:space="0" w:color="auto"/>
                    <w:bottom w:val="none" w:sz="0" w:space="0" w:color="auto"/>
                    <w:right w:val="none" w:sz="0" w:space="0" w:color="auto"/>
                  </w:divBdr>
                  <w:divsChild>
                    <w:div w:id="922028845">
                      <w:marLeft w:val="0"/>
                      <w:marRight w:val="0"/>
                      <w:marTop w:val="0"/>
                      <w:marBottom w:val="0"/>
                      <w:divBdr>
                        <w:top w:val="none" w:sz="0" w:space="0" w:color="auto"/>
                        <w:left w:val="none" w:sz="0" w:space="0" w:color="auto"/>
                        <w:bottom w:val="none" w:sz="0" w:space="0" w:color="auto"/>
                        <w:right w:val="none" w:sz="0" w:space="0" w:color="auto"/>
                      </w:divBdr>
                    </w:div>
                  </w:divsChild>
                </w:div>
                <w:div w:id="1398362136">
                  <w:marLeft w:val="0"/>
                  <w:marRight w:val="0"/>
                  <w:marTop w:val="0"/>
                  <w:marBottom w:val="0"/>
                  <w:divBdr>
                    <w:top w:val="none" w:sz="0" w:space="0" w:color="auto"/>
                    <w:left w:val="none" w:sz="0" w:space="0" w:color="auto"/>
                    <w:bottom w:val="none" w:sz="0" w:space="0" w:color="auto"/>
                    <w:right w:val="none" w:sz="0" w:space="0" w:color="auto"/>
                  </w:divBdr>
                  <w:divsChild>
                    <w:div w:id="715619865">
                      <w:marLeft w:val="0"/>
                      <w:marRight w:val="0"/>
                      <w:marTop w:val="0"/>
                      <w:marBottom w:val="0"/>
                      <w:divBdr>
                        <w:top w:val="none" w:sz="0" w:space="0" w:color="auto"/>
                        <w:left w:val="none" w:sz="0" w:space="0" w:color="auto"/>
                        <w:bottom w:val="none" w:sz="0" w:space="0" w:color="auto"/>
                        <w:right w:val="none" w:sz="0" w:space="0" w:color="auto"/>
                      </w:divBdr>
                    </w:div>
                    <w:div w:id="1155755495">
                      <w:marLeft w:val="0"/>
                      <w:marRight w:val="0"/>
                      <w:marTop w:val="0"/>
                      <w:marBottom w:val="0"/>
                      <w:divBdr>
                        <w:top w:val="none" w:sz="0" w:space="0" w:color="auto"/>
                        <w:left w:val="none" w:sz="0" w:space="0" w:color="auto"/>
                        <w:bottom w:val="none" w:sz="0" w:space="0" w:color="auto"/>
                        <w:right w:val="none" w:sz="0" w:space="0" w:color="auto"/>
                      </w:divBdr>
                    </w:div>
                  </w:divsChild>
                </w:div>
                <w:div w:id="1647777840">
                  <w:marLeft w:val="0"/>
                  <w:marRight w:val="0"/>
                  <w:marTop w:val="0"/>
                  <w:marBottom w:val="0"/>
                  <w:divBdr>
                    <w:top w:val="none" w:sz="0" w:space="0" w:color="auto"/>
                    <w:left w:val="none" w:sz="0" w:space="0" w:color="auto"/>
                    <w:bottom w:val="none" w:sz="0" w:space="0" w:color="auto"/>
                    <w:right w:val="none" w:sz="0" w:space="0" w:color="auto"/>
                  </w:divBdr>
                  <w:divsChild>
                    <w:div w:id="1668512946">
                      <w:marLeft w:val="0"/>
                      <w:marRight w:val="0"/>
                      <w:marTop w:val="0"/>
                      <w:marBottom w:val="0"/>
                      <w:divBdr>
                        <w:top w:val="none" w:sz="0" w:space="0" w:color="auto"/>
                        <w:left w:val="none" w:sz="0" w:space="0" w:color="auto"/>
                        <w:bottom w:val="none" w:sz="0" w:space="0" w:color="auto"/>
                        <w:right w:val="none" w:sz="0" w:space="0" w:color="auto"/>
                      </w:divBdr>
                    </w:div>
                  </w:divsChild>
                </w:div>
                <w:div w:id="1652980843">
                  <w:marLeft w:val="0"/>
                  <w:marRight w:val="0"/>
                  <w:marTop w:val="0"/>
                  <w:marBottom w:val="0"/>
                  <w:divBdr>
                    <w:top w:val="none" w:sz="0" w:space="0" w:color="auto"/>
                    <w:left w:val="none" w:sz="0" w:space="0" w:color="auto"/>
                    <w:bottom w:val="none" w:sz="0" w:space="0" w:color="auto"/>
                    <w:right w:val="none" w:sz="0" w:space="0" w:color="auto"/>
                  </w:divBdr>
                  <w:divsChild>
                    <w:div w:id="984552438">
                      <w:marLeft w:val="0"/>
                      <w:marRight w:val="0"/>
                      <w:marTop w:val="0"/>
                      <w:marBottom w:val="0"/>
                      <w:divBdr>
                        <w:top w:val="none" w:sz="0" w:space="0" w:color="auto"/>
                        <w:left w:val="none" w:sz="0" w:space="0" w:color="auto"/>
                        <w:bottom w:val="none" w:sz="0" w:space="0" w:color="auto"/>
                        <w:right w:val="none" w:sz="0" w:space="0" w:color="auto"/>
                      </w:divBdr>
                    </w:div>
                  </w:divsChild>
                </w:div>
                <w:div w:id="1783455273">
                  <w:marLeft w:val="0"/>
                  <w:marRight w:val="0"/>
                  <w:marTop w:val="0"/>
                  <w:marBottom w:val="0"/>
                  <w:divBdr>
                    <w:top w:val="none" w:sz="0" w:space="0" w:color="auto"/>
                    <w:left w:val="none" w:sz="0" w:space="0" w:color="auto"/>
                    <w:bottom w:val="none" w:sz="0" w:space="0" w:color="auto"/>
                    <w:right w:val="none" w:sz="0" w:space="0" w:color="auto"/>
                  </w:divBdr>
                  <w:divsChild>
                    <w:div w:id="1888224259">
                      <w:marLeft w:val="0"/>
                      <w:marRight w:val="0"/>
                      <w:marTop w:val="0"/>
                      <w:marBottom w:val="0"/>
                      <w:divBdr>
                        <w:top w:val="none" w:sz="0" w:space="0" w:color="auto"/>
                        <w:left w:val="none" w:sz="0" w:space="0" w:color="auto"/>
                        <w:bottom w:val="none" w:sz="0" w:space="0" w:color="auto"/>
                        <w:right w:val="none" w:sz="0" w:space="0" w:color="auto"/>
                      </w:divBdr>
                    </w:div>
                  </w:divsChild>
                </w:div>
                <w:div w:id="1837109503">
                  <w:marLeft w:val="0"/>
                  <w:marRight w:val="0"/>
                  <w:marTop w:val="0"/>
                  <w:marBottom w:val="0"/>
                  <w:divBdr>
                    <w:top w:val="none" w:sz="0" w:space="0" w:color="auto"/>
                    <w:left w:val="none" w:sz="0" w:space="0" w:color="auto"/>
                    <w:bottom w:val="none" w:sz="0" w:space="0" w:color="auto"/>
                    <w:right w:val="none" w:sz="0" w:space="0" w:color="auto"/>
                  </w:divBdr>
                  <w:divsChild>
                    <w:div w:id="122386594">
                      <w:marLeft w:val="0"/>
                      <w:marRight w:val="0"/>
                      <w:marTop w:val="0"/>
                      <w:marBottom w:val="0"/>
                      <w:divBdr>
                        <w:top w:val="none" w:sz="0" w:space="0" w:color="auto"/>
                        <w:left w:val="none" w:sz="0" w:space="0" w:color="auto"/>
                        <w:bottom w:val="none" w:sz="0" w:space="0" w:color="auto"/>
                        <w:right w:val="none" w:sz="0" w:space="0" w:color="auto"/>
                      </w:divBdr>
                    </w:div>
                    <w:div w:id="457263182">
                      <w:marLeft w:val="0"/>
                      <w:marRight w:val="0"/>
                      <w:marTop w:val="0"/>
                      <w:marBottom w:val="0"/>
                      <w:divBdr>
                        <w:top w:val="none" w:sz="0" w:space="0" w:color="auto"/>
                        <w:left w:val="none" w:sz="0" w:space="0" w:color="auto"/>
                        <w:bottom w:val="none" w:sz="0" w:space="0" w:color="auto"/>
                        <w:right w:val="none" w:sz="0" w:space="0" w:color="auto"/>
                      </w:divBdr>
                    </w:div>
                  </w:divsChild>
                </w:div>
                <w:div w:id="1868328241">
                  <w:marLeft w:val="0"/>
                  <w:marRight w:val="0"/>
                  <w:marTop w:val="0"/>
                  <w:marBottom w:val="0"/>
                  <w:divBdr>
                    <w:top w:val="none" w:sz="0" w:space="0" w:color="auto"/>
                    <w:left w:val="none" w:sz="0" w:space="0" w:color="auto"/>
                    <w:bottom w:val="none" w:sz="0" w:space="0" w:color="auto"/>
                    <w:right w:val="none" w:sz="0" w:space="0" w:color="auto"/>
                  </w:divBdr>
                  <w:divsChild>
                    <w:div w:id="892695299">
                      <w:marLeft w:val="0"/>
                      <w:marRight w:val="0"/>
                      <w:marTop w:val="0"/>
                      <w:marBottom w:val="0"/>
                      <w:divBdr>
                        <w:top w:val="none" w:sz="0" w:space="0" w:color="auto"/>
                        <w:left w:val="none" w:sz="0" w:space="0" w:color="auto"/>
                        <w:bottom w:val="none" w:sz="0" w:space="0" w:color="auto"/>
                        <w:right w:val="none" w:sz="0" w:space="0" w:color="auto"/>
                      </w:divBdr>
                    </w:div>
                  </w:divsChild>
                </w:div>
                <w:div w:id="1882017280">
                  <w:marLeft w:val="0"/>
                  <w:marRight w:val="0"/>
                  <w:marTop w:val="0"/>
                  <w:marBottom w:val="0"/>
                  <w:divBdr>
                    <w:top w:val="none" w:sz="0" w:space="0" w:color="auto"/>
                    <w:left w:val="none" w:sz="0" w:space="0" w:color="auto"/>
                    <w:bottom w:val="none" w:sz="0" w:space="0" w:color="auto"/>
                    <w:right w:val="none" w:sz="0" w:space="0" w:color="auto"/>
                  </w:divBdr>
                  <w:divsChild>
                    <w:div w:id="184943806">
                      <w:marLeft w:val="0"/>
                      <w:marRight w:val="0"/>
                      <w:marTop w:val="0"/>
                      <w:marBottom w:val="0"/>
                      <w:divBdr>
                        <w:top w:val="none" w:sz="0" w:space="0" w:color="auto"/>
                        <w:left w:val="none" w:sz="0" w:space="0" w:color="auto"/>
                        <w:bottom w:val="none" w:sz="0" w:space="0" w:color="auto"/>
                        <w:right w:val="none" w:sz="0" w:space="0" w:color="auto"/>
                      </w:divBdr>
                    </w:div>
                  </w:divsChild>
                </w:div>
                <w:div w:id="1899628766">
                  <w:marLeft w:val="0"/>
                  <w:marRight w:val="0"/>
                  <w:marTop w:val="0"/>
                  <w:marBottom w:val="0"/>
                  <w:divBdr>
                    <w:top w:val="none" w:sz="0" w:space="0" w:color="auto"/>
                    <w:left w:val="none" w:sz="0" w:space="0" w:color="auto"/>
                    <w:bottom w:val="none" w:sz="0" w:space="0" w:color="auto"/>
                    <w:right w:val="none" w:sz="0" w:space="0" w:color="auto"/>
                  </w:divBdr>
                  <w:divsChild>
                    <w:div w:id="1955867731">
                      <w:marLeft w:val="0"/>
                      <w:marRight w:val="0"/>
                      <w:marTop w:val="0"/>
                      <w:marBottom w:val="0"/>
                      <w:divBdr>
                        <w:top w:val="none" w:sz="0" w:space="0" w:color="auto"/>
                        <w:left w:val="none" w:sz="0" w:space="0" w:color="auto"/>
                        <w:bottom w:val="none" w:sz="0" w:space="0" w:color="auto"/>
                        <w:right w:val="none" w:sz="0" w:space="0" w:color="auto"/>
                      </w:divBdr>
                    </w:div>
                  </w:divsChild>
                </w:div>
                <w:div w:id="1950432325">
                  <w:marLeft w:val="0"/>
                  <w:marRight w:val="0"/>
                  <w:marTop w:val="0"/>
                  <w:marBottom w:val="0"/>
                  <w:divBdr>
                    <w:top w:val="none" w:sz="0" w:space="0" w:color="auto"/>
                    <w:left w:val="none" w:sz="0" w:space="0" w:color="auto"/>
                    <w:bottom w:val="none" w:sz="0" w:space="0" w:color="auto"/>
                    <w:right w:val="none" w:sz="0" w:space="0" w:color="auto"/>
                  </w:divBdr>
                  <w:divsChild>
                    <w:div w:id="951404478">
                      <w:marLeft w:val="0"/>
                      <w:marRight w:val="0"/>
                      <w:marTop w:val="0"/>
                      <w:marBottom w:val="0"/>
                      <w:divBdr>
                        <w:top w:val="none" w:sz="0" w:space="0" w:color="auto"/>
                        <w:left w:val="none" w:sz="0" w:space="0" w:color="auto"/>
                        <w:bottom w:val="none" w:sz="0" w:space="0" w:color="auto"/>
                        <w:right w:val="none" w:sz="0" w:space="0" w:color="auto"/>
                      </w:divBdr>
                    </w:div>
                    <w:div w:id="1892963127">
                      <w:marLeft w:val="0"/>
                      <w:marRight w:val="0"/>
                      <w:marTop w:val="0"/>
                      <w:marBottom w:val="0"/>
                      <w:divBdr>
                        <w:top w:val="none" w:sz="0" w:space="0" w:color="auto"/>
                        <w:left w:val="none" w:sz="0" w:space="0" w:color="auto"/>
                        <w:bottom w:val="none" w:sz="0" w:space="0" w:color="auto"/>
                        <w:right w:val="none" w:sz="0" w:space="0" w:color="auto"/>
                      </w:divBdr>
                    </w:div>
                  </w:divsChild>
                </w:div>
                <w:div w:id="1953903497">
                  <w:marLeft w:val="0"/>
                  <w:marRight w:val="0"/>
                  <w:marTop w:val="0"/>
                  <w:marBottom w:val="0"/>
                  <w:divBdr>
                    <w:top w:val="none" w:sz="0" w:space="0" w:color="auto"/>
                    <w:left w:val="none" w:sz="0" w:space="0" w:color="auto"/>
                    <w:bottom w:val="none" w:sz="0" w:space="0" w:color="auto"/>
                    <w:right w:val="none" w:sz="0" w:space="0" w:color="auto"/>
                  </w:divBdr>
                  <w:divsChild>
                    <w:div w:id="655837479">
                      <w:marLeft w:val="0"/>
                      <w:marRight w:val="0"/>
                      <w:marTop w:val="0"/>
                      <w:marBottom w:val="0"/>
                      <w:divBdr>
                        <w:top w:val="none" w:sz="0" w:space="0" w:color="auto"/>
                        <w:left w:val="none" w:sz="0" w:space="0" w:color="auto"/>
                        <w:bottom w:val="none" w:sz="0" w:space="0" w:color="auto"/>
                        <w:right w:val="none" w:sz="0" w:space="0" w:color="auto"/>
                      </w:divBdr>
                    </w:div>
                    <w:div w:id="1015227596">
                      <w:marLeft w:val="0"/>
                      <w:marRight w:val="0"/>
                      <w:marTop w:val="0"/>
                      <w:marBottom w:val="0"/>
                      <w:divBdr>
                        <w:top w:val="none" w:sz="0" w:space="0" w:color="auto"/>
                        <w:left w:val="none" w:sz="0" w:space="0" w:color="auto"/>
                        <w:bottom w:val="none" w:sz="0" w:space="0" w:color="auto"/>
                        <w:right w:val="none" w:sz="0" w:space="0" w:color="auto"/>
                      </w:divBdr>
                    </w:div>
                  </w:divsChild>
                </w:div>
                <w:div w:id="1962498261">
                  <w:marLeft w:val="0"/>
                  <w:marRight w:val="0"/>
                  <w:marTop w:val="0"/>
                  <w:marBottom w:val="0"/>
                  <w:divBdr>
                    <w:top w:val="none" w:sz="0" w:space="0" w:color="auto"/>
                    <w:left w:val="none" w:sz="0" w:space="0" w:color="auto"/>
                    <w:bottom w:val="none" w:sz="0" w:space="0" w:color="auto"/>
                    <w:right w:val="none" w:sz="0" w:space="0" w:color="auto"/>
                  </w:divBdr>
                  <w:divsChild>
                    <w:div w:id="1295674755">
                      <w:marLeft w:val="0"/>
                      <w:marRight w:val="0"/>
                      <w:marTop w:val="0"/>
                      <w:marBottom w:val="0"/>
                      <w:divBdr>
                        <w:top w:val="none" w:sz="0" w:space="0" w:color="auto"/>
                        <w:left w:val="none" w:sz="0" w:space="0" w:color="auto"/>
                        <w:bottom w:val="none" w:sz="0" w:space="0" w:color="auto"/>
                        <w:right w:val="none" w:sz="0" w:space="0" w:color="auto"/>
                      </w:divBdr>
                    </w:div>
                    <w:div w:id="2050916116">
                      <w:marLeft w:val="0"/>
                      <w:marRight w:val="0"/>
                      <w:marTop w:val="0"/>
                      <w:marBottom w:val="0"/>
                      <w:divBdr>
                        <w:top w:val="none" w:sz="0" w:space="0" w:color="auto"/>
                        <w:left w:val="none" w:sz="0" w:space="0" w:color="auto"/>
                        <w:bottom w:val="none" w:sz="0" w:space="0" w:color="auto"/>
                        <w:right w:val="none" w:sz="0" w:space="0" w:color="auto"/>
                      </w:divBdr>
                    </w:div>
                  </w:divsChild>
                </w:div>
                <w:div w:id="2053455246">
                  <w:marLeft w:val="0"/>
                  <w:marRight w:val="0"/>
                  <w:marTop w:val="0"/>
                  <w:marBottom w:val="0"/>
                  <w:divBdr>
                    <w:top w:val="none" w:sz="0" w:space="0" w:color="auto"/>
                    <w:left w:val="none" w:sz="0" w:space="0" w:color="auto"/>
                    <w:bottom w:val="none" w:sz="0" w:space="0" w:color="auto"/>
                    <w:right w:val="none" w:sz="0" w:space="0" w:color="auto"/>
                  </w:divBdr>
                  <w:divsChild>
                    <w:div w:id="11522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00862">
      <w:bodyDiv w:val="1"/>
      <w:marLeft w:val="0"/>
      <w:marRight w:val="0"/>
      <w:marTop w:val="0"/>
      <w:marBottom w:val="0"/>
      <w:divBdr>
        <w:top w:val="none" w:sz="0" w:space="0" w:color="auto"/>
        <w:left w:val="none" w:sz="0" w:space="0" w:color="auto"/>
        <w:bottom w:val="none" w:sz="0" w:space="0" w:color="auto"/>
        <w:right w:val="none" w:sz="0" w:space="0" w:color="auto"/>
      </w:divBdr>
      <w:divsChild>
        <w:div w:id="107435130">
          <w:marLeft w:val="0"/>
          <w:marRight w:val="0"/>
          <w:marTop w:val="0"/>
          <w:marBottom w:val="0"/>
          <w:divBdr>
            <w:top w:val="none" w:sz="0" w:space="0" w:color="auto"/>
            <w:left w:val="none" w:sz="0" w:space="0" w:color="auto"/>
            <w:bottom w:val="none" w:sz="0" w:space="0" w:color="auto"/>
            <w:right w:val="none" w:sz="0" w:space="0" w:color="auto"/>
          </w:divBdr>
          <w:divsChild>
            <w:div w:id="375543861">
              <w:marLeft w:val="0"/>
              <w:marRight w:val="0"/>
              <w:marTop w:val="30"/>
              <w:marBottom w:val="30"/>
              <w:divBdr>
                <w:top w:val="none" w:sz="0" w:space="0" w:color="auto"/>
                <w:left w:val="none" w:sz="0" w:space="0" w:color="auto"/>
                <w:bottom w:val="none" w:sz="0" w:space="0" w:color="auto"/>
                <w:right w:val="none" w:sz="0" w:space="0" w:color="auto"/>
              </w:divBdr>
              <w:divsChild>
                <w:div w:id="27222227">
                  <w:marLeft w:val="0"/>
                  <w:marRight w:val="0"/>
                  <w:marTop w:val="0"/>
                  <w:marBottom w:val="0"/>
                  <w:divBdr>
                    <w:top w:val="none" w:sz="0" w:space="0" w:color="auto"/>
                    <w:left w:val="none" w:sz="0" w:space="0" w:color="auto"/>
                    <w:bottom w:val="none" w:sz="0" w:space="0" w:color="auto"/>
                    <w:right w:val="none" w:sz="0" w:space="0" w:color="auto"/>
                  </w:divBdr>
                  <w:divsChild>
                    <w:div w:id="312026001">
                      <w:marLeft w:val="0"/>
                      <w:marRight w:val="0"/>
                      <w:marTop w:val="0"/>
                      <w:marBottom w:val="0"/>
                      <w:divBdr>
                        <w:top w:val="none" w:sz="0" w:space="0" w:color="auto"/>
                        <w:left w:val="none" w:sz="0" w:space="0" w:color="auto"/>
                        <w:bottom w:val="none" w:sz="0" w:space="0" w:color="auto"/>
                        <w:right w:val="none" w:sz="0" w:space="0" w:color="auto"/>
                      </w:divBdr>
                    </w:div>
                    <w:div w:id="403649765">
                      <w:marLeft w:val="0"/>
                      <w:marRight w:val="0"/>
                      <w:marTop w:val="0"/>
                      <w:marBottom w:val="0"/>
                      <w:divBdr>
                        <w:top w:val="none" w:sz="0" w:space="0" w:color="auto"/>
                        <w:left w:val="none" w:sz="0" w:space="0" w:color="auto"/>
                        <w:bottom w:val="none" w:sz="0" w:space="0" w:color="auto"/>
                        <w:right w:val="none" w:sz="0" w:space="0" w:color="auto"/>
                      </w:divBdr>
                    </w:div>
                    <w:div w:id="1425224948">
                      <w:marLeft w:val="0"/>
                      <w:marRight w:val="0"/>
                      <w:marTop w:val="0"/>
                      <w:marBottom w:val="0"/>
                      <w:divBdr>
                        <w:top w:val="none" w:sz="0" w:space="0" w:color="auto"/>
                        <w:left w:val="none" w:sz="0" w:space="0" w:color="auto"/>
                        <w:bottom w:val="none" w:sz="0" w:space="0" w:color="auto"/>
                        <w:right w:val="none" w:sz="0" w:space="0" w:color="auto"/>
                      </w:divBdr>
                    </w:div>
                  </w:divsChild>
                </w:div>
                <w:div w:id="36204632">
                  <w:marLeft w:val="0"/>
                  <w:marRight w:val="0"/>
                  <w:marTop w:val="0"/>
                  <w:marBottom w:val="0"/>
                  <w:divBdr>
                    <w:top w:val="none" w:sz="0" w:space="0" w:color="auto"/>
                    <w:left w:val="none" w:sz="0" w:space="0" w:color="auto"/>
                    <w:bottom w:val="none" w:sz="0" w:space="0" w:color="auto"/>
                    <w:right w:val="none" w:sz="0" w:space="0" w:color="auto"/>
                  </w:divBdr>
                  <w:divsChild>
                    <w:div w:id="182331565">
                      <w:marLeft w:val="0"/>
                      <w:marRight w:val="0"/>
                      <w:marTop w:val="0"/>
                      <w:marBottom w:val="0"/>
                      <w:divBdr>
                        <w:top w:val="none" w:sz="0" w:space="0" w:color="auto"/>
                        <w:left w:val="none" w:sz="0" w:space="0" w:color="auto"/>
                        <w:bottom w:val="none" w:sz="0" w:space="0" w:color="auto"/>
                        <w:right w:val="none" w:sz="0" w:space="0" w:color="auto"/>
                      </w:divBdr>
                    </w:div>
                  </w:divsChild>
                </w:div>
                <w:div w:id="88474981">
                  <w:marLeft w:val="0"/>
                  <w:marRight w:val="0"/>
                  <w:marTop w:val="0"/>
                  <w:marBottom w:val="0"/>
                  <w:divBdr>
                    <w:top w:val="none" w:sz="0" w:space="0" w:color="auto"/>
                    <w:left w:val="none" w:sz="0" w:space="0" w:color="auto"/>
                    <w:bottom w:val="none" w:sz="0" w:space="0" w:color="auto"/>
                    <w:right w:val="none" w:sz="0" w:space="0" w:color="auto"/>
                  </w:divBdr>
                  <w:divsChild>
                    <w:div w:id="235209785">
                      <w:marLeft w:val="0"/>
                      <w:marRight w:val="0"/>
                      <w:marTop w:val="0"/>
                      <w:marBottom w:val="0"/>
                      <w:divBdr>
                        <w:top w:val="none" w:sz="0" w:space="0" w:color="auto"/>
                        <w:left w:val="none" w:sz="0" w:space="0" w:color="auto"/>
                        <w:bottom w:val="none" w:sz="0" w:space="0" w:color="auto"/>
                        <w:right w:val="none" w:sz="0" w:space="0" w:color="auto"/>
                      </w:divBdr>
                    </w:div>
                  </w:divsChild>
                </w:div>
                <w:div w:id="122770173">
                  <w:marLeft w:val="0"/>
                  <w:marRight w:val="0"/>
                  <w:marTop w:val="0"/>
                  <w:marBottom w:val="0"/>
                  <w:divBdr>
                    <w:top w:val="none" w:sz="0" w:space="0" w:color="auto"/>
                    <w:left w:val="none" w:sz="0" w:space="0" w:color="auto"/>
                    <w:bottom w:val="none" w:sz="0" w:space="0" w:color="auto"/>
                    <w:right w:val="none" w:sz="0" w:space="0" w:color="auto"/>
                  </w:divBdr>
                  <w:divsChild>
                    <w:div w:id="1557203565">
                      <w:marLeft w:val="0"/>
                      <w:marRight w:val="0"/>
                      <w:marTop w:val="0"/>
                      <w:marBottom w:val="0"/>
                      <w:divBdr>
                        <w:top w:val="none" w:sz="0" w:space="0" w:color="auto"/>
                        <w:left w:val="none" w:sz="0" w:space="0" w:color="auto"/>
                        <w:bottom w:val="none" w:sz="0" w:space="0" w:color="auto"/>
                        <w:right w:val="none" w:sz="0" w:space="0" w:color="auto"/>
                      </w:divBdr>
                    </w:div>
                  </w:divsChild>
                </w:div>
                <w:div w:id="444811171">
                  <w:marLeft w:val="0"/>
                  <w:marRight w:val="0"/>
                  <w:marTop w:val="0"/>
                  <w:marBottom w:val="0"/>
                  <w:divBdr>
                    <w:top w:val="none" w:sz="0" w:space="0" w:color="auto"/>
                    <w:left w:val="none" w:sz="0" w:space="0" w:color="auto"/>
                    <w:bottom w:val="none" w:sz="0" w:space="0" w:color="auto"/>
                    <w:right w:val="none" w:sz="0" w:space="0" w:color="auto"/>
                  </w:divBdr>
                  <w:divsChild>
                    <w:div w:id="1621105962">
                      <w:marLeft w:val="0"/>
                      <w:marRight w:val="0"/>
                      <w:marTop w:val="0"/>
                      <w:marBottom w:val="0"/>
                      <w:divBdr>
                        <w:top w:val="none" w:sz="0" w:space="0" w:color="auto"/>
                        <w:left w:val="none" w:sz="0" w:space="0" w:color="auto"/>
                        <w:bottom w:val="none" w:sz="0" w:space="0" w:color="auto"/>
                        <w:right w:val="none" w:sz="0" w:space="0" w:color="auto"/>
                      </w:divBdr>
                    </w:div>
                    <w:div w:id="1668245869">
                      <w:marLeft w:val="0"/>
                      <w:marRight w:val="0"/>
                      <w:marTop w:val="0"/>
                      <w:marBottom w:val="0"/>
                      <w:divBdr>
                        <w:top w:val="none" w:sz="0" w:space="0" w:color="auto"/>
                        <w:left w:val="none" w:sz="0" w:space="0" w:color="auto"/>
                        <w:bottom w:val="none" w:sz="0" w:space="0" w:color="auto"/>
                        <w:right w:val="none" w:sz="0" w:space="0" w:color="auto"/>
                      </w:divBdr>
                    </w:div>
                  </w:divsChild>
                </w:div>
                <w:div w:id="635338746">
                  <w:marLeft w:val="0"/>
                  <w:marRight w:val="0"/>
                  <w:marTop w:val="0"/>
                  <w:marBottom w:val="0"/>
                  <w:divBdr>
                    <w:top w:val="none" w:sz="0" w:space="0" w:color="auto"/>
                    <w:left w:val="none" w:sz="0" w:space="0" w:color="auto"/>
                    <w:bottom w:val="none" w:sz="0" w:space="0" w:color="auto"/>
                    <w:right w:val="none" w:sz="0" w:space="0" w:color="auto"/>
                  </w:divBdr>
                  <w:divsChild>
                    <w:div w:id="2138257089">
                      <w:marLeft w:val="0"/>
                      <w:marRight w:val="0"/>
                      <w:marTop w:val="0"/>
                      <w:marBottom w:val="0"/>
                      <w:divBdr>
                        <w:top w:val="none" w:sz="0" w:space="0" w:color="auto"/>
                        <w:left w:val="none" w:sz="0" w:space="0" w:color="auto"/>
                        <w:bottom w:val="none" w:sz="0" w:space="0" w:color="auto"/>
                        <w:right w:val="none" w:sz="0" w:space="0" w:color="auto"/>
                      </w:divBdr>
                    </w:div>
                  </w:divsChild>
                </w:div>
                <w:div w:id="679157678">
                  <w:marLeft w:val="0"/>
                  <w:marRight w:val="0"/>
                  <w:marTop w:val="0"/>
                  <w:marBottom w:val="0"/>
                  <w:divBdr>
                    <w:top w:val="none" w:sz="0" w:space="0" w:color="auto"/>
                    <w:left w:val="none" w:sz="0" w:space="0" w:color="auto"/>
                    <w:bottom w:val="none" w:sz="0" w:space="0" w:color="auto"/>
                    <w:right w:val="none" w:sz="0" w:space="0" w:color="auto"/>
                  </w:divBdr>
                  <w:divsChild>
                    <w:div w:id="656760780">
                      <w:marLeft w:val="0"/>
                      <w:marRight w:val="0"/>
                      <w:marTop w:val="0"/>
                      <w:marBottom w:val="0"/>
                      <w:divBdr>
                        <w:top w:val="none" w:sz="0" w:space="0" w:color="auto"/>
                        <w:left w:val="none" w:sz="0" w:space="0" w:color="auto"/>
                        <w:bottom w:val="none" w:sz="0" w:space="0" w:color="auto"/>
                        <w:right w:val="none" w:sz="0" w:space="0" w:color="auto"/>
                      </w:divBdr>
                    </w:div>
                    <w:div w:id="741299150">
                      <w:marLeft w:val="0"/>
                      <w:marRight w:val="0"/>
                      <w:marTop w:val="0"/>
                      <w:marBottom w:val="0"/>
                      <w:divBdr>
                        <w:top w:val="none" w:sz="0" w:space="0" w:color="auto"/>
                        <w:left w:val="none" w:sz="0" w:space="0" w:color="auto"/>
                        <w:bottom w:val="none" w:sz="0" w:space="0" w:color="auto"/>
                        <w:right w:val="none" w:sz="0" w:space="0" w:color="auto"/>
                      </w:divBdr>
                    </w:div>
                    <w:div w:id="1288585865">
                      <w:marLeft w:val="0"/>
                      <w:marRight w:val="0"/>
                      <w:marTop w:val="0"/>
                      <w:marBottom w:val="0"/>
                      <w:divBdr>
                        <w:top w:val="none" w:sz="0" w:space="0" w:color="auto"/>
                        <w:left w:val="none" w:sz="0" w:space="0" w:color="auto"/>
                        <w:bottom w:val="none" w:sz="0" w:space="0" w:color="auto"/>
                        <w:right w:val="none" w:sz="0" w:space="0" w:color="auto"/>
                      </w:divBdr>
                    </w:div>
                    <w:div w:id="1633056238">
                      <w:marLeft w:val="0"/>
                      <w:marRight w:val="0"/>
                      <w:marTop w:val="0"/>
                      <w:marBottom w:val="0"/>
                      <w:divBdr>
                        <w:top w:val="none" w:sz="0" w:space="0" w:color="auto"/>
                        <w:left w:val="none" w:sz="0" w:space="0" w:color="auto"/>
                        <w:bottom w:val="none" w:sz="0" w:space="0" w:color="auto"/>
                        <w:right w:val="none" w:sz="0" w:space="0" w:color="auto"/>
                      </w:divBdr>
                    </w:div>
                  </w:divsChild>
                </w:div>
                <w:div w:id="689919074">
                  <w:marLeft w:val="0"/>
                  <w:marRight w:val="0"/>
                  <w:marTop w:val="0"/>
                  <w:marBottom w:val="0"/>
                  <w:divBdr>
                    <w:top w:val="none" w:sz="0" w:space="0" w:color="auto"/>
                    <w:left w:val="none" w:sz="0" w:space="0" w:color="auto"/>
                    <w:bottom w:val="none" w:sz="0" w:space="0" w:color="auto"/>
                    <w:right w:val="none" w:sz="0" w:space="0" w:color="auto"/>
                  </w:divBdr>
                  <w:divsChild>
                    <w:div w:id="1570340841">
                      <w:marLeft w:val="0"/>
                      <w:marRight w:val="0"/>
                      <w:marTop w:val="0"/>
                      <w:marBottom w:val="0"/>
                      <w:divBdr>
                        <w:top w:val="none" w:sz="0" w:space="0" w:color="auto"/>
                        <w:left w:val="none" w:sz="0" w:space="0" w:color="auto"/>
                        <w:bottom w:val="none" w:sz="0" w:space="0" w:color="auto"/>
                        <w:right w:val="none" w:sz="0" w:space="0" w:color="auto"/>
                      </w:divBdr>
                    </w:div>
                  </w:divsChild>
                </w:div>
                <w:div w:id="785271322">
                  <w:marLeft w:val="0"/>
                  <w:marRight w:val="0"/>
                  <w:marTop w:val="0"/>
                  <w:marBottom w:val="0"/>
                  <w:divBdr>
                    <w:top w:val="none" w:sz="0" w:space="0" w:color="auto"/>
                    <w:left w:val="none" w:sz="0" w:space="0" w:color="auto"/>
                    <w:bottom w:val="none" w:sz="0" w:space="0" w:color="auto"/>
                    <w:right w:val="none" w:sz="0" w:space="0" w:color="auto"/>
                  </w:divBdr>
                  <w:divsChild>
                    <w:div w:id="174810547">
                      <w:marLeft w:val="0"/>
                      <w:marRight w:val="0"/>
                      <w:marTop w:val="0"/>
                      <w:marBottom w:val="0"/>
                      <w:divBdr>
                        <w:top w:val="none" w:sz="0" w:space="0" w:color="auto"/>
                        <w:left w:val="none" w:sz="0" w:space="0" w:color="auto"/>
                        <w:bottom w:val="none" w:sz="0" w:space="0" w:color="auto"/>
                        <w:right w:val="none" w:sz="0" w:space="0" w:color="auto"/>
                      </w:divBdr>
                    </w:div>
                    <w:div w:id="300964724">
                      <w:marLeft w:val="0"/>
                      <w:marRight w:val="0"/>
                      <w:marTop w:val="0"/>
                      <w:marBottom w:val="0"/>
                      <w:divBdr>
                        <w:top w:val="none" w:sz="0" w:space="0" w:color="auto"/>
                        <w:left w:val="none" w:sz="0" w:space="0" w:color="auto"/>
                        <w:bottom w:val="none" w:sz="0" w:space="0" w:color="auto"/>
                        <w:right w:val="none" w:sz="0" w:space="0" w:color="auto"/>
                      </w:divBdr>
                    </w:div>
                    <w:div w:id="665015532">
                      <w:marLeft w:val="0"/>
                      <w:marRight w:val="0"/>
                      <w:marTop w:val="0"/>
                      <w:marBottom w:val="0"/>
                      <w:divBdr>
                        <w:top w:val="none" w:sz="0" w:space="0" w:color="auto"/>
                        <w:left w:val="none" w:sz="0" w:space="0" w:color="auto"/>
                        <w:bottom w:val="none" w:sz="0" w:space="0" w:color="auto"/>
                        <w:right w:val="none" w:sz="0" w:space="0" w:color="auto"/>
                      </w:divBdr>
                    </w:div>
                    <w:div w:id="1079330105">
                      <w:marLeft w:val="0"/>
                      <w:marRight w:val="0"/>
                      <w:marTop w:val="0"/>
                      <w:marBottom w:val="0"/>
                      <w:divBdr>
                        <w:top w:val="none" w:sz="0" w:space="0" w:color="auto"/>
                        <w:left w:val="none" w:sz="0" w:space="0" w:color="auto"/>
                        <w:bottom w:val="none" w:sz="0" w:space="0" w:color="auto"/>
                        <w:right w:val="none" w:sz="0" w:space="0" w:color="auto"/>
                      </w:divBdr>
                    </w:div>
                    <w:div w:id="1846900733">
                      <w:marLeft w:val="0"/>
                      <w:marRight w:val="0"/>
                      <w:marTop w:val="0"/>
                      <w:marBottom w:val="0"/>
                      <w:divBdr>
                        <w:top w:val="none" w:sz="0" w:space="0" w:color="auto"/>
                        <w:left w:val="none" w:sz="0" w:space="0" w:color="auto"/>
                        <w:bottom w:val="none" w:sz="0" w:space="0" w:color="auto"/>
                        <w:right w:val="none" w:sz="0" w:space="0" w:color="auto"/>
                      </w:divBdr>
                    </w:div>
                  </w:divsChild>
                </w:div>
                <w:div w:id="942687497">
                  <w:marLeft w:val="0"/>
                  <w:marRight w:val="0"/>
                  <w:marTop w:val="0"/>
                  <w:marBottom w:val="0"/>
                  <w:divBdr>
                    <w:top w:val="none" w:sz="0" w:space="0" w:color="auto"/>
                    <w:left w:val="none" w:sz="0" w:space="0" w:color="auto"/>
                    <w:bottom w:val="none" w:sz="0" w:space="0" w:color="auto"/>
                    <w:right w:val="none" w:sz="0" w:space="0" w:color="auto"/>
                  </w:divBdr>
                  <w:divsChild>
                    <w:div w:id="1737826097">
                      <w:marLeft w:val="0"/>
                      <w:marRight w:val="0"/>
                      <w:marTop w:val="0"/>
                      <w:marBottom w:val="0"/>
                      <w:divBdr>
                        <w:top w:val="none" w:sz="0" w:space="0" w:color="auto"/>
                        <w:left w:val="none" w:sz="0" w:space="0" w:color="auto"/>
                        <w:bottom w:val="none" w:sz="0" w:space="0" w:color="auto"/>
                        <w:right w:val="none" w:sz="0" w:space="0" w:color="auto"/>
                      </w:divBdr>
                    </w:div>
                  </w:divsChild>
                </w:div>
                <w:div w:id="1117915254">
                  <w:marLeft w:val="0"/>
                  <w:marRight w:val="0"/>
                  <w:marTop w:val="0"/>
                  <w:marBottom w:val="0"/>
                  <w:divBdr>
                    <w:top w:val="none" w:sz="0" w:space="0" w:color="auto"/>
                    <w:left w:val="none" w:sz="0" w:space="0" w:color="auto"/>
                    <w:bottom w:val="none" w:sz="0" w:space="0" w:color="auto"/>
                    <w:right w:val="none" w:sz="0" w:space="0" w:color="auto"/>
                  </w:divBdr>
                  <w:divsChild>
                    <w:div w:id="18632294">
                      <w:marLeft w:val="0"/>
                      <w:marRight w:val="0"/>
                      <w:marTop w:val="0"/>
                      <w:marBottom w:val="0"/>
                      <w:divBdr>
                        <w:top w:val="none" w:sz="0" w:space="0" w:color="auto"/>
                        <w:left w:val="none" w:sz="0" w:space="0" w:color="auto"/>
                        <w:bottom w:val="none" w:sz="0" w:space="0" w:color="auto"/>
                        <w:right w:val="none" w:sz="0" w:space="0" w:color="auto"/>
                      </w:divBdr>
                    </w:div>
                    <w:div w:id="25645789">
                      <w:marLeft w:val="0"/>
                      <w:marRight w:val="0"/>
                      <w:marTop w:val="0"/>
                      <w:marBottom w:val="0"/>
                      <w:divBdr>
                        <w:top w:val="none" w:sz="0" w:space="0" w:color="auto"/>
                        <w:left w:val="none" w:sz="0" w:space="0" w:color="auto"/>
                        <w:bottom w:val="none" w:sz="0" w:space="0" w:color="auto"/>
                        <w:right w:val="none" w:sz="0" w:space="0" w:color="auto"/>
                      </w:divBdr>
                    </w:div>
                    <w:div w:id="1596477392">
                      <w:marLeft w:val="0"/>
                      <w:marRight w:val="0"/>
                      <w:marTop w:val="0"/>
                      <w:marBottom w:val="0"/>
                      <w:divBdr>
                        <w:top w:val="none" w:sz="0" w:space="0" w:color="auto"/>
                        <w:left w:val="none" w:sz="0" w:space="0" w:color="auto"/>
                        <w:bottom w:val="none" w:sz="0" w:space="0" w:color="auto"/>
                        <w:right w:val="none" w:sz="0" w:space="0" w:color="auto"/>
                      </w:divBdr>
                    </w:div>
                  </w:divsChild>
                </w:div>
                <w:div w:id="1620994816">
                  <w:marLeft w:val="0"/>
                  <w:marRight w:val="0"/>
                  <w:marTop w:val="0"/>
                  <w:marBottom w:val="0"/>
                  <w:divBdr>
                    <w:top w:val="none" w:sz="0" w:space="0" w:color="auto"/>
                    <w:left w:val="none" w:sz="0" w:space="0" w:color="auto"/>
                    <w:bottom w:val="none" w:sz="0" w:space="0" w:color="auto"/>
                    <w:right w:val="none" w:sz="0" w:space="0" w:color="auto"/>
                  </w:divBdr>
                  <w:divsChild>
                    <w:div w:id="210313734">
                      <w:marLeft w:val="0"/>
                      <w:marRight w:val="0"/>
                      <w:marTop w:val="0"/>
                      <w:marBottom w:val="0"/>
                      <w:divBdr>
                        <w:top w:val="none" w:sz="0" w:space="0" w:color="auto"/>
                        <w:left w:val="none" w:sz="0" w:space="0" w:color="auto"/>
                        <w:bottom w:val="none" w:sz="0" w:space="0" w:color="auto"/>
                        <w:right w:val="none" w:sz="0" w:space="0" w:color="auto"/>
                      </w:divBdr>
                    </w:div>
                    <w:div w:id="390346102">
                      <w:marLeft w:val="0"/>
                      <w:marRight w:val="0"/>
                      <w:marTop w:val="0"/>
                      <w:marBottom w:val="0"/>
                      <w:divBdr>
                        <w:top w:val="none" w:sz="0" w:space="0" w:color="auto"/>
                        <w:left w:val="none" w:sz="0" w:space="0" w:color="auto"/>
                        <w:bottom w:val="none" w:sz="0" w:space="0" w:color="auto"/>
                        <w:right w:val="none" w:sz="0" w:space="0" w:color="auto"/>
                      </w:divBdr>
                    </w:div>
                    <w:div w:id="1428883746">
                      <w:marLeft w:val="0"/>
                      <w:marRight w:val="0"/>
                      <w:marTop w:val="0"/>
                      <w:marBottom w:val="0"/>
                      <w:divBdr>
                        <w:top w:val="none" w:sz="0" w:space="0" w:color="auto"/>
                        <w:left w:val="none" w:sz="0" w:space="0" w:color="auto"/>
                        <w:bottom w:val="none" w:sz="0" w:space="0" w:color="auto"/>
                        <w:right w:val="none" w:sz="0" w:space="0" w:color="auto"/>
                      </w:divBdr>
                    </w:div>
                    <w:div w:id="1535463079">
                      <w:marLeft w:val="0"/>
                      <w:marRight w:val="0"/>
                      <w:marTop w:val="0"/>
                      <w:marBottom w:val="0"/>
                      <w:divBdr>
                        <w:top w:val="none" w:sz="0" w:space="0" w:color="auto"/>
                        <w:left w:val="none" w:sz="0" w:space="0" w:color="auto"/>
                        <w:bottom w:val="none" w:sz="0" w:space="0" w:color="auto"/>
                        <w:right w:val="none" w:sz="0" w:space="0" w:color="auto"/>
                      </w:divBdr>
                    </w:div>
                    <w:div w:id="2043821199">
                      <w:marLeft w:val="0"/>
                      <w:marRight w:val="0"/>
                      <w:marTop w:val="0"/>
                      <w:marBottom w:val="0"/>
                      <w:divBdr>
                        <w:top w:val="none" w:sz="0" w:space="0" w:color="auto"/>
                        <w:left w:val="none" w:sz="0" w:space="0" w:color="auto"/>
                        <w:bottom w:val="none" w:sz="0" w:space="0" w:color="auto"/>
                        <w:right w:val="none" w:sz="0" w:space="0" w:color="auto"/>
                      </w:divBdr>
                    </w:div>
                  </w:divsChild>
                </w:div>
                <w:div w:id="1745564869">
                  <w:marLeft w:val="0"/>
                  <w:marRight w:val="0"/>
                  <w:marTop w:val="0"/>
                  <w:marBottom w:val="0"/>
                  <w:divBdr>
                    <w:top w:val="none" w:sz="0" w:space="0" w:color="auto"/>
                    <w:left w:val="none" w:sz="0" w:space="0" w:color="auto"/>
                    <w:bottom w:val="none" w:sz="0" w:space="0" w:color="auto"/>
                    <w:right w:val="none" w:sz="0" w:space="0" w:color="auto"/>
                  </w:divBdr>
                  <w:divsChild>
                    <w:div w:id="171843699">
                      <w:marLeft w:val="0"/>
                      <w:marRight w:val="0"/>
                      <w:marTop w:val="0"/>
                      <w:marBottom w:val="0"/>
                      <w:divBdr>
                        <w:top w:val="none" w:sz="0" w:space="0" w:color="auto"/>
                        <w:left w:val="none" w:sz="0" w:space="0" w:color="auto"/>
                        <w:bottom w:val="none" w:sz="0" w:space="0" w:color="auto"/>
                        <w:right w:val="none" w:sz="0" w:space="0" w:color="auto"/>
                      </w:divBdr>
                    </w:div>
                  </w:divsChild>
                </w:div>
                <w:div w:id="1854763535">
                  <w:marLeft w:val="0"/>
                  <w:marRight w:val="0"/>
                  <w:marTop w:val="0"/>
                  <w:marBottom w:val="0"/>
                  <w:divBdr>
                    <w:top w:val="none" w:sz="0" w:space="0" w:color="auto"/>
                    <w:left w:val="none" w:sz="0" w:space="0" w:color="auto"/>
                    <w:bottom w:val="none" w:sz="0" w:space="0" w:color="auto"/>
                    <w:right w:val="none" w:sz="0" w:space="0" w:color="auto"/>
                  </w:divBdr>
                  <w:divsChild>
                    <w:div w:id="1084306585">
                      <w:marLeft w:val="0"/>
                      <w:marRight w:val="0"/>
                      <w:marTop w:val="0"/>
                      <w:marBottom w:val="0"/>
                      <w:divBdr>
                        <w:top w:val="none" w:sz="0" w:space="0" w:color="auto"/>
                        <w:left w:val="none" w:sz="0" w:space="0" w:color="auto"/>
                        <w:bottom w:val="none" w:sz="0" w:space="0" w:color="auto"/>
                        <w:right w:val="none" w:sz="0" w:space="0" w:color="auto"/>
                      </w:divBdr>
                    </w:div>
                  </w:divsChild>
                </w:div>
                <w:div w:id="1949310081">
                  <w:marLeft w:val="0"/>
                  <w:marRight w:val="0"/>
                  <w:marTop w:val="0"/>
                  <w:marBottom w:val="0"/>
                  <w:divBdr>
                    <w:top w:val="none" w:sz="0" w:space="0" w:color="auto"/>
                    <w:left w:val="none" w:sz="0" w:space="0" w:color="auto"/>
                    <w:bottom w:val="none" w:sz="0" w:space="0" w:color="auto"/>
                    <w:right w:val="none" w:sz="0" w:space="0" w:color="auto"/>
                  </w:divBdr>
                  <w:divsChild>
                    <w:div w:id="61755497">
                      <w:marLeft w:val="0"/>
                      <w:marRight w:val="0"/>
                      <w:marTop w:val="0"/>
                      <w:marBottom w:val="0"/>
                      <w:divBdr>
                        <w:top w:val="none" w:sz="0" w:space="0" w:color="auto"/>
                        <w:left w:val="none" w:sz="0" w:space="0" w:color="auto"/>
                        <w:bottom w:val="none" w:sz="0" w:space="0" w:color="auto"/>
                        <w:right w:val="none" w:sz="0" w:space="0" w:color="auto"/>
                      </w:divBdr>
                    </w:div>
                    <w:div w:id="388380433">
                      <w:marLeft w:val="0"/>
                      <w:marRight w:val="0"/>
                      <w:marTop w:val="0"/>
                      <w:marBottom w:val="0"/>
                      <w:divBdr>
                        <w:top w:val="none" w:sz="0" w:space="0" w:color="auto"/>
                        <w:left w:val="none" w:sz="0" w:space="0" w:color="auto"/>
                        <w:bottom w:val="none" w:sz="0" w:space="0" w:color="auto"/>
                        <w:right w:val="none" w:sz="0" w:space="0" w:color="auto"/>
                      </w:divBdr>
                    </w:div>
                    <w:div w:id="567543668">
                      <w:marLeft w:val="0"/>
                      <w:marRight w:val="0"/>
                      <w:marTop w:val="0"/>
                      <w:marBottom w:val="0"/>
                      <w:divBdr>
                        <w:top w:val="none" w:sz="0" w:space="0" w:color="auto"/>
                        <w:left w:val="none" w:sz="0" w:space="0" w:color="auto"/>
                        <w:bottom w:val="none" w:sz="0" w:space="0" w:color="auto"/>
                        <w:right w:val="none" w:sz="0" w:space="0" w:color="auto"/>
                      </w:divBdr>
                    </w:div>
                    <w:div w:id="1570311602">
                      <w:marLeft w:val="0"/>
                      <w:marRight w:val="0"/>
                      <w:marTop w:val="0"/>
                      <w:marBottom w:val="0"/>
                      <w:divBdr>
                        <w:top w:val="none" w:sz="0" w:space="0" w:color="auto"/>
                        <w:left w:val="none" w:sz="0" w:space="0" w:color="auto"/>
                        <w:bottom w:val="none" w:sz="0" w:space="0" w:color="auto"/>
                        <w:right w:val="none" w:sz="0" w:space="0" w:color="auto"/>
                      </w:divBdr>
                    </w:div>
                    <w:div w:id="2060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80788">
          <w:marLeft w:val="0"/>
          <w:marRight w:val="0"/>
          <w:marTop w:val="0"/>
          <w:marBottom w:val="0"/>
          <w:divBdr>
            <w:top w:val="none" w:sz="0" w:space="0" w:color="auto"/>
            <w:left w:val="none" w:sz="0" w:space="0" w:color="auto"/>
            <w:bottom w:val="none" w:sz="0" w:space="0" w:color="auto"/>
            <w:right w:val="none" w:sz="0" w:space="0" w:color="auto"/>
          </w:divBdr>
        </w:div>
        <w:div w:id="353000877">
          <w:marLeft w:val="0"/>
          <w:marRight w:val="0"/>
          <w:marTop w:val="0"/>
          <w:marBottom w:val="0"/>
          <w:divBdr>
            <w:top w:val="none" w:sz="0" w:space="0" w:color="auto"/>
            <w:left w:val="none" w:sz="0" w:space="0" w:color="auto"/>
            <w:bottom w:val="none" w:sz="0" w:space="0" w:color="auto"/>
            <w:right w:val="none" w:sz="0" w:space="0" w:color="auto"/>
          </w:divBdr>
        </w:div>
        <w:div w:id="514000664">
          <w:marLeft w:val="0"/>
          <w:marRight w:val="0"/>
          <w:marTop w:val="0"/>
          <w:marBottom w:val="0"/>
          <w:divBdr>
            <w:top w:val="none" w:sz="0" w:space="0" w:color="auto"/>
            <w:left w:val="none" w:sz="0" w:space="0" w:color="auto"/>
            <w:bottom w:val="none" w:sz="0" w:space="0" w:color="auto"/>
            <w:right w:val="none" w:sz="0" w:space="0" w:color="auto"/>
          </w:divBdr>
        </w:div>
        <w:div w:id="517692442">
          <w:marLeft w:val="0"/>
          <w:marRight w:val="0"/>
          <w:marTop w:val="0"/>
          <w:marBottom w:val="0"/>
          <w:divBdr>
            <w:top w:val="none" w:sz="0" w:space="0" w:color="auto"/>
            <w:left w:val="none" w:sz="0" w:space="0" w:color="auto"/>
            <w:bottom w:val="none" w:sz="0" w:space="0" w:color="auto"/>
            <w:right w:val="none" w:sz="0" w:space="0" w:color="auto"/>
          </w:divBdr>
        </w:div>
        <w:div w:id="523517844">
          <w:marLeft w:val="0"/>
          <w:marRight w:val="0"/>
          <w:marTop w:val="0"/>
          <w:marBottom w:val="0"/>
          <w:divBdr>
            <w:top w:val="none" w:sz="0" w:space="0" w:color="auto"/>
            <w:left w:val="none" w:sz="0" w:space="0" w:color="auto"/>
            <w:bottom w:val="none" w:sz="0" w:space="0" w:color="auto"/>
            <w:right w:val="none" w:sz="0" w:space="0" w:color="auto"/>
          </w:divBdr>
        </w:div>
        <w:div w:id="625547974">
          <w:marLeft w:val="0"/>
          <w:marRight w:val="0"/>
          <w:marTop w:val="0"/>
          <w:marBottom w:val="0"/>
          <w:divBdr>
            <w:top w:val="none" w:sz="0" w:space="0" w:color="auto"/>
            <w:left w:val="none" w:sz="0" w:space="0" w:color="auto"/>
            <w:bottom w:val="none" w:sz="0" w:space="0" w:color="auto"/>
            <w:right w:val="none" w:sz="0" w:space="0" w:color="auto"/>
          </w:divBdr>
        </w:div>
        <w:div w:id="652954807">
          <w:marLeft w:val="0"/>
          <w:marRight w:val="0"/>
          <w:marTop w:val="0"/>
          <w:marBottom w:val="0"/>
          <w:divBdr>
            <w:top w:val="none" w:sz="0" w:space="0" w:color="auto"/>
            <w:left w:val="none" w:sz="0" w:space="0" w:color="auto"/>
            <w:bottom w:val="none" w:sz="0" w:space="0" w:color="auto"/>
            <w:right w:val="none" w:sz="0" w:space="0" w:color="auto"/>
          </w:divBdr>
        </w:div>
        <w:div w:id="692456015">
          <w:marLeft w:val="0"/>
          <w:marRight w:val="0"/>
          <w:marTop w:val="0"/>
          <w:marBottom w:val="0"/>
          <w:divBdr>
            <w:top w:val="none" w:sz="0" w:space="0" w:color="auto"/>
            <w:left w:val="none" w:sz="0" w:space="0" w:color="auto"/>
            <w:bottom w:val="none" w:sz="0" w:space="0" w:color="auto"/>
            <w:right w:val="none" w:sz="0" w:space="0" w:color="auto"/>
          </w:divBdr>
        </w:div>
        <w:div w:id="841775753">
          <w:marLeft w:val="0"/>
          <w:marRight w:val="0"/>
          <w:marTop w:val="0"/>
          <w:marBottom w:val="0"/>
          <w:divBdr>
            <w:top w:val="none" w:sz="0" w:space="0" w:color="auto"/>
            <w:left w:val="none" w:sz="0" w:space="0" w:color="auto"/>
            <w:bottom w:val="none" w:sz="0" w:space="0" w:color="auto"/>
            <w:right w:val="none" w:sz="0" w:space="0" w:color="auto"/>
          </w:divBdr>
        </w:div>
        <w:div w:id="889343627">
          <w:marLeft w:val="0"/>
          <w:marRight w:val="0"/>
          <w:marTop w:val="0"/>
          <w:marBottom w:val="0"/>
          <w:divBdr>
            <w:top w:val="none" w:sz="0" w:space="0" w:color="auto"/>
            <w:left w:val="none" w:sz="0" w:space="0" w:color="auto"/>
            <w:bottom w:val="none" w:sz="0" w:space="0" w:color="auto"/>
            <w:right w:val="none" w:sz="0" w:space="0" w:color="auto"/>
          </w:divBdr>
        </w:div>
        <w:div w:id="923807573">
          <w:marLeft w:val="0"/>
          <w:marRight w:val="0"/>
          <w:marTop w:val="0"/>
          <w:marBottom w:val="0"/>
          <w:divBdr>
            <w:top w:val="none" w:sz="0" w:space="0" w:color="auto"/>
            <w:left w:val="none" w:sz="0" w:space="0" w:color="auto"/>
            <w:bottom w:val="none" w:sz="0" w:space="0" w:color="auto"/>
            <w:right w:val="none" w:sz="0" w:space="0" w:color="auto"/>
          </w:divBdr>
        </w:div>
        <w:div w:id="1098714744">
          <w:marLeft w:val="0"/>
          <w:marRight w:val="0"/>
          <w:marTop w:val="0"/>
          <w:marBottom w:val="0"/>
          <w:divBdr>
            <w:top w:val="none" w:sz="0" w:space="0" w:color="auto"/>
            <w:left w:val="none" w:sz="0" w:space="0" w:color="auto"/>
            <w:bottom w:val="none" w:sz="0" w:space="0" w:color="auto"/>
            <w:right w:val="none" w:sz="0" w:space="0" w:color="auto"/>
          </w:divBdr>
        </w:div>
        <w:div w:id="1261336729">
          <w:marLeft w:val="0"/>
          <w:marRight w:val="0"/>
          <w:marTop w:val="0"/>
          <w:marBottom w:val="0"/>
          <w:divBdr>
            <w:top w:val="none" w:sz="0" w:space="0" w:color="auto"/>
            <w:left w:val="none" w:sz="0" w:space="0" w:color="auto"/>
            <w:bottom w:val="none" w:sz="0" w:space="0" w:color="auto"/>
            <w:right w:val="none" w:sz="0" w:space="0" w:color="auto"/>
          </w:divBdr>
        </w:div>
        <w:div w:id="1586958963">
          <w:marLeft w:val="0"/>
          <w:marRight w:val="0"/>
          <w:marTop w:val="0"/>
          <w:marBottom w:val="0"/>
          <w:divBdr>
            <w:top w:val="none" w:sz="0" w:space="0" w:color="auto"/>
            <w:left w:val="none" w:sz="0" w:space="0" w:color="auto"/>
            <w:bottom w:val="none" w:sz="0" w:space="0" w:color="auto"/>
            <w:right w:val="none" w:sz="0" w:space="0" w:color="auto"/>
          </w:divBdr>
        </w:div>
        <w:div w:id="1654331901">
          <w:marLeft w:val="0"/>
          <w:marRight w:val="0"/>
          <w:marTop w:val="0"/>
          <w:marBottom w:val="0"/>
          <w:divBdr>
            <w:top w:val="none" w:sz="0" w:space="0" w:color="auto"/>
            <w:left w:val="none" w:sz="0" w:space="0" w:color="auto"/>
            <w:bottom w:val="none" w:sz="0" w:space="0" w:color="auto"/>
            <w:right w:val="none" w:sz="0" w:space="0" w:color="auto"/>
          </w:divBdr>
          <w:divsChild>
            <w:div w:id="464662259">
              <w:marLeft w:val="0"/>
              <w:marRight w:val="0"/>
              <w:marTop w:val="0"/>
              <w:marBottom w:val="0"/>
              <w:divBdr>
                <w:top w:val="none" w:sz="0" w:space="0" w:color="auto"/>
                <w:left w:val="none" w:sz="0" w:space="0" w:color="auto"/>
                <w:bottom w:val="none" w:sz="0" w:space="0" w:color="auto"/>
                <w:right w:val="none" w:sz="0" w:space="0" w:color="auto"/>
              </w:divBdr>
            </w:div>
            <w:div w:id="849374562">
              <w:marLeft w:val="0"/>
              <w:marRight w:val="0"/>
              <w:marTop w:val="0"/>
              <w:marBottom w:val="0"/>
              <w:divBdr>
                <w:top w:val="none" w:sz="0" w:space="0" w:color="auto"/>
                <w:left w:val="none" w:sz="0" w:space="0" w:color="auto"/>
                <w:bottom w:val="none" w:sz="0" w:space="0" w:color="auto"/>
                <w:right w:val="none" w:sz="0" w:space="0" w:color="auto"/>
              </w:divBdr>
            </w:div>
            <w:div w:id="1199927745">
              <w:marLeft w:val="0"/>
              <w:marRight w:val="0"/>
              <w:marTop w:val="0"/>
              <w:marBottom w:val="0"/>
              <w:divBdr>
                <w:top w:val="none" w:sz="0" w:space="0" w:color="auto"/>
                <w:left w:val="none" w:sz="0" w:space="0" w:color="auto"/>
                <w:bottom w:val="none" w:sz="0" w:space="0" w:color="auto"/>
                <w:right w:val="none" w:sz="0" w:space="0" w:color="auto"/>
              </w:divBdr>
            </w:div>
          </w:divsChild>
        </w:div>
        <w:div w:id="1762677383">
          <w:marLeft w:val="0"/>
          <w:marRight w:val="0"/>
          <w:marTop w:val="0"/>
          <w:marBottom w:val="0"/>
          <w:divBdr>
            <w:top w:val="none" w:sz="0" w:space="0" w:color="auto"/>
            <w:left w:val="none" w:sz="0" w:space="0" w:color="auto"/>
            <w:bottom w:val="none" w:sz="0" w:space="0" w:color="auto"/>
            <w:right w:val="none" w:sz="0" w:space="0" w:color="auto"/>
          </w:divBdr>
        </w:div>
        <w:div w:id="1962613531">
          <w:marLeft w:val="0"/>
          <w:marRight w:val="0"/>
          <w:marTop w:val="0"/>
          <w:marBottom w:val="0"/>
          <w:divBdr>
            <w:top w:val="none" w:sz="0" w:space="0" w:color="auto"/>
            <w:left w:val="none" w:sz="0" w:space="0" w:color="auto"/>
            <w:bottom w:val="none" w:sz="0" w:space="0" w:color="auto"/>
            <w:right w:val="none" w:sz="0" w:space="0" w:color="auto"/>
          </w:divBdr>
        </w:div>
        <w:div w:id="2024548942">
          <w:marLeft w:val="0"/>
          <w:marRight w:val="0"/>
          <w:marTop w:val="0"/>
          <w:marBottom w:val="0"/>
          <w:divBdr>
            <w:top w:val="none" w:sz="0" w:space="0" w:color="auto"/>
            <w:left w:val="none" w:sz="0" w:space="0" w:color="auto"/>
            <w:bottom w:val="none" w:sz="0" w:space="0" w:color="auto"/>
            <w:right w:val="none" w:sz="0" w:space="0" w:color="auto"/>
          </w:divBdr>
        </w:div>
      </w:divsChild>
    </w:div>
    <w:div w:id="1701081625">
      <w:bodyDiv w:val="1"/>
      <w:marLeft w:val="0"/>
      <w:marRight w:val="0"/>
      <w:marTop w:val="0"/>
      <w:marBottom w:val="0"/>
      <w:divBdr>
        <w:top w:val="none" w:sz="0" w:space="0" w:color="auto"/>
        <w:left w:val="none" w:sz="0" w:space="0" w:color="auto"/>
        <w:bottom w:val="none" w:sz="0" w:space="0" w:color="auto"/>
        <w:right w:val="none" w:sz="0" w:space="0" w:color="auto"/>
      </w:divBdr>
    </w:div>
    <w:div w:id="1872450897">
      <w:bodyDiv w:val="1"/>
      <w:marLeft w:val="0"/>
      <w:marRight w:val="0"/>
      <w:marTop w:val="0"/>
      <w:marBottom w:val="0"/>
      <w:divBdr>
        <w:top w:val="none" w:sz="0" w:space="0" w:color="auto"/>
        <w:left w:val="none" w:sz="0" w:space="0" w:color="auto"/>
        <w:bottom w:val="none" w:sz="0" w:space="0" w:color="auto"/>
        <w:right w:val="none" w:sz="0" w:space="0" w:color="auto"/>
      </w:divBdr>
      <w:divsChild>
        <w:div w:id="12191467">
          <w:marLeft w:val="0"/>
          <w:marRight w:val="0"/>
          <w:marTop w:val="0"/>
          <w:marBottom w:val="0"/>
          <w:divBdr>
            <w:top w:val="none" w:sz="0" w:space="0" w:color="auto"/>
            <w:left w:val="none" w:sz="0" w:space="0" w:color="auto"/>
            <w:bottom w:val="none" w:sz="0" w:space="0" w:color="auto"/>
            <w:right w:val="none" w:sz="0" w:space="0" w:color="auto"/>
          </w:divBdr>
        </w:div>
        <w:div w:id="31150802">
          <w:marLeft w:val="0"/>
          <w:marRight w:val="0"/>
          <w:marTop w:val="0"/>
          <w:marBottom w:val="0"/>
          <w:divBdr>
            <w:top w:val="none" w:sz="0" w:space="0" w:color="auto"/>
            <w:left w:val="none" w:sz="0" w:space="0" w:color="auto"/>
            <w:bottom w:val="none" w:sz="0" w:space="0" w:color="auto"/>
            <w:right w:val="none" w:sz="0" w:space="0" w:color="auto"/>
          </w:divBdr>
        </w:div>
        <w:div w:id="95176744">
          <w:marLeft w:val="0"/>
          <w:marRight w:val="0"/>
          <w:marTop w:val="0"/>
          <w:marBottom w:val="0"/>
          <w:divBdr>
            <w:top w:val="none" w:sz="0" w:space="0" w:color="auto"/>
            <w:left w:val="none" w:sz="0" w:space="0" w:color="auto"/>
            <w:bottom w:val="none" w:sz="0" w:space="0" w:color="auto"/>
            <w:right w:val="none" w:sz="0" w:space="0" w:color="auto"/>
          </w:divBdr>
        </w:div>
        <w:div w:id="166215814">
          <w:marLeft w:val="0"/>
          <w:marRight w:val="0"/>
          <w:marTop w:val="0"/>
          <w:marBottom w:val="0"/>
          <w:divBdr>
            <w:top w:val="none" w:sz="0" w:space="0" w:color="auto"/>
            <w:left w:val="none" w:sz="0" w:space="0" w:color="auto"/>
            <w:bottom w:val="none" w:sz="0" w:space="0" w:color="auto"/>
            <w:right w:val="none" w:sz="0" w:space="0" w:color="auto"/>
          </w:divBdr>
          <w:divsChild>
            <w:div w:id="330835794">
              <w:marLeft w:val="0"/>
              <w:marRight w:val="0"/>
              <w:marTop w:val="0"/>
              <w:marBottom w:val="0"/>
              <w:divBdr>
                <w:top w:val="none" w:sz="0" w:space="0" w:color="auto"/>
                <w:left w:val="none" w:sz="0" w:space="0" w:color="auto"/>
                <w:bottom w:val="none" w:sz="0" w:space="0" w:color="auto"/>
                <w:right w:val="none" w:sz="0" w:space="0" w:color="auto"/>
              </w:divBdr>
            </w:div>
            <w:div w:id="1737514188">
              <w:marLeft w:val="0"/>
              <w:marRight w:val="0"/>
              <w:marTop w:val="0"/>
              <w:marBottom w:val="0"/>
              <w:divBdr>
                <w:top w:val="none" w:sz="0" w:space="0" w:color="auto"/>
                <w:left w:val="none" w:sz="0" w:space="0" w:color="auto"/>
                <w:bottom w:val="none" w:sz="0" w:space="0" w:color="auto"/>
                <w:right w:val="none" w:sz="0" w:space="0" w:color="auto"/>
              </w:divBdr>
            </w:div>
            <w:div w:id="1881046305">
              <w:marLeft w:val="0"/>
              <w:marRight w:val="0"/>
              <w:marTop w:val="0"/>
              <w:marBottom w:val="0"/>
              <w:divBdr>
                <w:top w:val="none" w:sz="0" w:space="0" w:color="auto"/>
                <w:left w:val="none" w:sz="0" w:space="0" w:color="auto"/>
                <w:bottom w:val="none" w:sz="0" w:space="0" w:color="auto"/>
                <w:right w:val="none" w:sz="0" w:space="0" w:color="auto"/>
              </w:divBdr>
            </w:div>
          </w:divsChild>
        </w:div>
        <w:div w:id="332487148">
          <w:marLeft w:val="0"/>
          <w:marRight w:val="0"/>
          <w:marTop w:val="0"/>
          <w:marBottom w:val="0"/>
          <w:divBdr>
            <w:top w:val="none" w:sz="0" w:space="0" w:color="auto"/>
            <w:left w:val="none" w:sz="0" w:space="0" w:color="auto"/>
            <w:bottom w:val="none" w:sz="0" w:space="0" w:color="auto"/>
            <w:right w:val="none" w:sz="0" w:space="0" w:color="auto"/>
          </w:divBdr>
        </w:div>
        <w:div w:id="455412376">
          <w:marLeft w:val="0"/>
          <w:marRight w:val="0"/>
          <w:marTop w:val="0"/>
          <w:marBottom w:val="0"/>
          <w:divBdr>
            <w:top w:val="none" w:sz="0" w:space="0" w:color="auto"/>
            <w:left w:val="none" w:sz="0" w:space="0" w:color="auto"/>
            <w:bottom w:val="none" w:sz="0" w:space="0" w:color="auto"/>
            <w:right w:val="none" w:sz="0" w:space="0" w:color="auto"/>
          </w:divBdr>
        </w:div>
        <w:div w:id="504049941">
          <w:marLeft w:val="0"/>
          <w:marRight w:val="0"/>
          <w:marTop w:val="0"/>
          <w:marBottom w:val="0"/>
          <w:divBdr>
            <w:top w:val="none" w:sz="0" w:space="0" w:color="auto"/>
            <w:left w:val="none" w:sz="0" w:space="0" w:color="auto"/>
            <w:bottom w:val="none" w:sz="0" w:space="0" w:color="auto"/>
            <w:right w:val="none" w:sz="0" w:space="0" w:color="auto"/>
          </w:divBdr>
        </w:div>
        <w:div w:id="791368005">
          <w:marLeft w:val="0"/>
          <w:marRight w:val="0"/>
          <w:marTop w:val="0"/>
          <w:marBottom w:val="0"/>
          <w:divBdr>
            <w:top w:val="none" w:sz="0" w:space="0" w:color="auto"/>
            <w:left w:val="none" w:sz="0" w:space="0" w:color="auto"/>
            <w:bottom w:val="none" w:sz="0" w:space="0" w:color="auto"/>
            <w:right w:val="none" w:sz="0" w:space="0" w:color="auto"/>
          </w:divBdr>
        </w:div>
        <w:div w:id="997731457">
          <w:marLeft w:val="0"/>
          <w:marRight w:val="0"/>
          <w:marTop w:val="0"/>
          <w:marBottom w:val="0"/>
          <w:divBdr>
            <w:top w:val="none" w:sz="0" w:space="0" w:color="auto"/>
            <w:left w:val="none" w:sz="0" w:space="0" w:color="auto"/>
            <w:bottom w:val="none" w:sz="0" w:space="0" w:color="auto"/>
            <w:right w:val="none" w:sz="0" w:space="0" w:color="auto"/>
          </w:divBdr>
        </w:div>
        <w:div w:id="1028603412">
          <w:marLeft w:val="0"/>
          <w:marRight w:val="0"/>
          <w:marTop w:val="0"/>
          <w:marBottom w:val="0"/>
          <w:divBdr>
            <w:top w:val="none" w:sz="0" w:space="0" w:color="auto"/>
            <w:left w:val="none" w:sz="0" w:space="0" w:color="auto"/>
            <w:bottom w:val="none" w:sz="0" w:space="0" w:color="auto"/>
            <w:right w:val="none" w:sz="0" w:space="0" w:color="auto"/>
          </w:divBdr>
        </w:div>
        <w:div w:id="1065756795">
          <w:marLeft w:val="0"/>
          <w:marRight w:val="0"/>
          <w:marTop w:val="0"/>
          <w:marBottom w:val="0"/>
          <w:divBdr>
            <w:top w:val="none" w:sz="0" w:space="0" w:color="auto"/>
            <w:left w:val="none" w:sz="0" w:space="0" w:color="auto"/>
            <w:bottom w:val="none" w:sz="0" w:space="0" w:color="auto"/>
            <w:right w:val="none" w:sz="0" w:space="0" w:color="auto"/>
          </w:divBdr>
        </w:div>
        <w:div w:id="1179151009">
          <w:marLeft w:val="0"/>
          <w:marRight w:val="0"/>
          <w:marTop w:val="0"/>
          <w:marBottom w:val="0"/>
          <w:divBdr>
            <w:top w:val="none" w:sz="0" w:space="0" w:color="auto"/>
            <w:left w:val="none" w:sz="0" w:space="0" w:color="auto"/>
            <w:bottom w:val="none" w:sz="0" w:space="0" w:color="auto"/>
            <w:right w:val="none" w:sz="0" w:space="0" w:color="auto"/>
          </w:divBdr>
        </w:div>
        <w:div w:id="1272475147">
          <w:marLeft w:val="0"/>
          <w:marRight w:val="0"/>
          <w:marTop w:val="0"/>
          <w:marBottom w:val="0"/>
          <w:divBdr>
            <w:top w:val="none" w:sz="0" w:space="0" w:color="auto"/>
            <w:left w:val="none" w:sz="0" w:space="0" w:color="auto"/>
            <w:bottom w:val="none" w:sz="0" w:space="0" w:color="auto"/>
            <w:right w:val="none" w:sz="0" w:space="0" w:color="auto"/>
          </w:divBdr>
        </w:div>
        <w:div w:id="1456558134">
          <w:marLeft w:val="0"/>
          <w:marRight w:val="0"/>
          <w:marTop w:val="0"/>
          <w:marBottom w:val="0"/>
          <w:divBdr>
            <w:top w:val="none" w:sz="0" w:space="0" w:color="auto"/>
            <w:left w:val="none" w:sz="0" w:space="0" w:color="auto"/>
            <w:bottom w:val="none" w:sz="0" w:space="0" w:color="auto"/>
            <w:right w:val="none" w:sz="0" w:space="0" w:color="auto"/>
          </w:divBdr>
        </w:div>
        <w:div w:id="1600135185">
          <w:marLeft w:val="0"/>
          <w:marRight w:val="0"/>
          <w:marTop w:val="0"/>
          <w:marBottom w:val="0"/>
          <w:divBdr>
            <w:top w:val="none" w:sz="0" w:space="0" w:color="auto"/>
            <w:left w:val="none" w:sz="0" w:space="0" w:color="auto"/>
            <w:bottom w:val="none" w:sz="0" w:space="0" w:color="auto"/>
            <w:right w:val="none" w:sz="0" w:space="0" w:color="auto"/>
          </w:divBdr>
        </w:div>
        <w:div w:id="1610047391">
          <w:marLeft w:val="0"/>
          <w:marRight w:val="0"/>
          <w:marTop w:val="0"/>
          <w:marBottom w:val="0"/>
          <w:divBdr>
            <w:top w:val="none" w:sz="0" w:space="0" w:color="auto"/>
            <w:left w:val="none" w:sz="0" w:space="0" w:color="auto"/>
            <w:bottom w:val="none" w:sz="0" w:space="0" w:color="auto"/>
            <w:right w:val="none" w:sz="0" w:space="0" w:color="auto"/>
          </w:divBdr>
        </w:div>
        <w:div w:id="1637292575">
          <w:marLeft w:val="0"/>
          <w:marRight w:val="0"/>
          <w:marTop w:val="0"/>
          <w:marBottom w:val="0"/>
          <w:divBdr>
            <w:top w:val="none" w:sz="0" w:space="0" w:color="auto"/>
            <w:left w:val="none" w:sz="0" w:space="0" w:color="auto"/>
            <w:bottom w:val="none" w:sz="0" w:space="0" w:color="auto"/>
            <w:right w:val="none" w:sz="0" w:space="0" w:color="auto"/>
          </w:divBdr>
        </w:div>
        <w:div w:id="1770202474">
          <w:marLeft w:val="0"/>
          <w:marRight w:val="0"/>
          <w:marTop w:val="0"/>
          <w:marBottom w:val="0"/>
          <w:divBdr>
            <w:top w:val="none" w:sz="0" w:space="0" w:color="auto"/>
            <w:left w:val="none" w:sz="0" w:space="0" w:color="auto"/>
            <w:bottom w:val="none" w:sz="0" w:space="0" w:color="auto"/>
            <w:right w:val="none" w:sz="0" w:space="0" w:color="auto"/>
          </w:divBdr>
          <w:divsChild>
            <w:div w:id="1235169126">
              <w:marLeft w:val="0"/>
              <w:marRight w:val="0"/>
              <w:marTop w:val="30"/>
              <w:marBottom w:val="30"/>
              <w:divBdr>
                <w:top w:val="none" w:sz="0" w:space="0" w:color="auto"/>
                <w:left w:val="none" w:sz="0" w:space="0" w:color="auto"/>
                <w:bottom w:val="none" w:sz="0" w:space="0" w:color="auto"/>
                <w:right w:val="none" w:sz="0" w:space="0" w:color="auto"/>
              </w:divBdr>
              <w:divsChild>
                <w:div w:id="13652582">
                  <w:marLeft w:val="0"/>
                  <w:marRight w:val="0"/>
                  <w:marTop w:val="0"/>
                  <w:marBottom w:val="0"/>
                  <w:divBdr>
                    <w:top w:val="none" w:sz="0" w:space="0" w:color="auto"/>
                    <w:left w:val="none" w:sz="0" w:space="0" w:color="auto"/>
                    <w:bottom w:val="none" w:sz="0" w:space="0" w:color="auto"/>
                    <w:right w:val="none" w:sz="0" w:space="0" w:color="auto"/>
                  </w:divBdr>
                  <w:divsChild>
                    <w:div w:id="136919407">
                      <w:marLeft w:val="0"/>
                      <w:marRight w:val="0"/>
                      <w:marTop w:val="0"/>
                      <w:marBottom w:val="0"/>
                      <w:divBdr>
                        <w:top w:val="none" w:sz="0" w:space="0" w:color="auto"/>
                        <w:left w:val="none" w:sz="0" w:space="0" w:color="auto"/>
                        <w:bottom w:val="none" w:sz="0" w:space="0" w:color="auto"/>
                        <w:right w:val="none" w:sz="0" w:space="0" w:color="auto"/>
                      </w:divBdr>
                    </w:div>
                    <w:div w:id="1358503226">
                      <w:marLeft w:val="0"/>
                      <w:marRight w:val="0"/>
                      <w:marTop w:val="0"/>
                      <w:marBottom w:val="0"/>
                      <w:divBdr>
                        <w:top w:val="none" w:sz="0" w:space="0" w:color="auto"/>
                        <w:left w:val="none" w:sz="0" w:space="0" w:color="auto"/>
                        <w:bottom w:val="none" w:sz="0" w:space="0" w:color="auto"/>
                        <w:right w:val="none" w:sz="0" w:space="0" w:color="auto"/>
                      </w:divBdr>
                    </w:div>
                    <w:div w:id="1430196485">
                      <w:marLeft w:val="0"/>
                      <w:marRight w:val="0"/>
                      <w:marTop w:val="0"/>
                      <w:marBottom w:val="0"/>
                      <w:divBdr>
                        <w:top w:val="none" w:sz="0" w:space="0" w:color="auto"/>
                        <w:left w:val="none" w:sz="0" w:space="0" w:color="auto"/>
                        <w:bottom w:val="none" w:sz="0" w:space="0" w:color="auto"/>
                        <w:right w:val="none" w:sz="0" w:space="0" w:color="auto"/>
                      </w:divBdr>
                    </w:div>
                  </w:divsChild>
                </w:div>
                <w:div w:id="331615408">
                  <w:marLeft w:val="0"/>
                  <w:marRight w:val="0"/>
                  <w:marTop w:val="0"/>
                  <w:marBottom w:val="0"/>
                  <w:divBdr>
                    <w:top w:val="none" w:sz="0" w:space="0" w:color="auto"/>
                    <w:left w:val="none" w:sz="0" w:space="0" w:color="auto"/>
                    <w:bottom w:val="none" w:sz="0" w:space="0" w:color="auto"/>
                    <w:right w:val="none" w:sz="0" w:space="0" w:color="auto"/>
                  </w:divBdr>
                  <w:divsChild>
                    <w:div w:id="262885723">
                      <w:marLeft w:val="0"/>
                      <w:marRight w:val="0"/>
                      <w:marTop w:val="0"/>
                      <w:marBottom w:val="0"/>
                      <w:divBdr>
                        <w:top w:val="none" w:sz="0" w:space="0" w:color="auto"/>
                        <w:left w:val="none" w:sz="0" w:space="0" w:color="auto"/>
                        <w:bottom w:val="none" w:sz="0" w:space="0" w:color="auto"/>
                        <w:right w:val="none" w:sz="0" w:space="0" w:color="auto"/>
                      </w:divBdr>
                    </w:div>
                    <w:div w:id="770392410">
                      <w:marLeft w:val="0"/>
                      <w:marRight w:val="0"/>
                      <w:marTop w:val="0"/>
                      <w:marBottom w:val="0"/>
                      <w:divBdr>
                        <w:top w:val="none" w:sz="0" w:space="0" w:color="auto"/>
                        <w:left w:val="none" w:sz="0" w:space="0" w:color="auto"/>
                        <w:bottom w:val="none" w:sz="0" w:space="0" w:color="auto"/>
                        <w:right w:val="none" w:sz="0" w:space="0" w:color="auto"/>
                      </w:divBdr>
                    </w:div>
                    <w:div w:id="811291254">
                      <w:marLeft w:val="0"/>
                      <w:marRight w:val="0"/>
                      <w:marTop w:val="0"/>
                      <w:marBottom w:val="0"/>
                      <w:divBdr>
                        <w:top w:val="none" w:sz="0" w:space="0" w:color="auto"/>
                        <w:left w:val="none" w:sz="0" w:space="0" w:color="auto"/>
                        <w:bottom w:val="none" w:sz="0" w:space="0" w:color="auto"/>
                        <w:right w:val="none" w:sz="0" w:space="0" w:color="auto"/>
                      </w:divBdr>
                    </w:div>
                    <w:div w:id="844829357">
                      <w:marLeft w:val="0"/>
                      <w:marRight w:val="0"/>
                      <w:marTop w:val="0"/>
                      <w:marBottom w:val="0"/>
                      <w:divBdr>
                        <w:top w:val="none" w:sz="0" w:space="0" w:color="auto"/>
                        <w:left w:val="none" w:sz="0" w:space="0" w:color="auto"/>
                        <w:bottom w:val="none" w:sz="0" w:space="0" w:color="auto"/>
                        <w:right w:val="none" w:sz="0" w:space="0" w:color="auto"/>
                      </w:divBdr>
                    </w:div>
                  </w:divsChild>
                </w:div>
                <w:div w:id="412826031">
                  <w:marLeft w:val="0"/>
                  <w:marRight w:val="0"/>
                  <w:marTop w:val="0"/>
                  <w:marBottom w:val="0"/>
                  <w:divBdr>
                    <w:top w:val="none" w:sz="0" w:space="0" w:color="auto"/>
                    <w:left w:val="none" w:sz="0" w:space="0" w:color="auto"/>
                    <w:bottom w:val="none" w:sz="0" w:space="0" w:color="auto"/>
                    <w:right w:val="none" w:sz="0" w:space="0" w:color="auto"/>
                  </w:divBdr>
                  <w:divsChild>
                    <w:div w:id="620110299">
                      <w:marLeft w:val="0"/>
                      <w:marRight w:val="0"/>
                      <w:marTop w:val="0"/>
                      <w:marBottom w:val="0"/>
                      <w:divBdr>
                        <w:top w:val="none" w:sz="0" w:space="0" w:color="auto"/>
                        <w:left w:val="none" w:sz="0" w:space="0" w:color="auto"/>
                        <w:bottom w:val="none" w:sz="0" w:space="0" w:color="auto"/>
                        <w:right w:val="none" w:sz="0" w:space="0" w:color="auto"/>
                      </w:divBdr>
                    </w:div>
                    <w:div w:id="1756828484">
                      <w:marLeft w:val="0"/>
                      <w:marRight w:val="0"/>
                      <w:marTop w:val="0"/>
                      <w:marBottom w:val="0"/>
                      <w:divBdr>
                        <w:top w:val="none" w:sz="0" w:space="0" w:color="auto"/>
                        <w:left w:val="none" w:sz="0" w:space="0" w:color="auto"/>
                        <w:bottom w:val="none" w:sz="0" w:space="0" w:color="auto"/>
                        <w:right w:val="none" w:sz="0" w:space="0" w:color="auto"/>
                      </w:divBdr>
                    </w:div>
                  </w:divsChild>
                </w:div>
                <w:div w:id="547570784">
                  <w:marLeft w:val="0"/>
                  <w:marRight w:val="0"/>
                  <w:marTop w:val="0"/>
                  <w:marBottom w:val="0"/>
                  <w:divBdr>
                    <w:top w:val="none" w:sz="0" w:space="0" w:color="auto"/>
                    <w:left w:val="none" w:sz="0" w:space="0" w:color="auto"/>
                    <w:bottom w:val="none" w:sz="0" w:space="0" w:color="auto"/>
                    <w:right w:val="none" w:sz="0" w:space="0" w:color="auto"/>
                  </w:divBdr>
                  <w:divsChild>
                    <w:div w:id="64300719">
                      <w:marLeft w:val="0"/>
                      <w:marRight w:val="0"/>
                      <w:marTop w:val="0"/>
                      <w:marBottom w:val="0"/>
                      <w:divBdr>
                        <w:top w:val="none" w:sz="0" w:space="0" w:color="auto"/>
                        <w:left w:val="none" w:sz="0" w:space="0" w:color="auto"/>
                        <w:bottom w:val="none" w:sz="0" w:space="0" w:color="auto"/>
                        <w:right w:val="none" w:sz="0" w:space="0" w:color="auto"/>
                      </w:divBdr>
                    </w:div>
                    <w:div w:id="530651882">
                      <w:marLeft w:val="0"/>
                      <w:marRight w:val="0"/>
                      <w:marTop w:val="0"/>
                      <w:marBottom w:val="0"/>
                      <w:divBdr>
                        <w:top w:val="none" w:sz="0" w:space="0" w:color="auto"/>
                        <w:left w:val="none" w:sz="0" w:space="0" w:color="auto"/>
                        <w:bottom w:val="none" w:sz="0" w:space="0" w:color="auto"/>
                        <w:right w:val="none" w:sz="0" w:space="0" w:color="auto"/>
                      </w:divBdr>
                    </w:div>
                    <w:div w:id="616713545">
                      <w:marLeft w:val="0"/>
                      <w:marRight w:val="0"/>
                      <w:marTop w:val="0"/>
                      <w:marBottom w:val="0"/>
                      <w:divBdr>
                        <w:top w:val="none" w:sz="0" w:space="0" w:color="auto"/>
                        <w:left w:val="none" w:sz="0" w:space="0" w:color="auto"/>
                        <w:bottom w:val="none" w:sz="0" w:space="0" w:color="auto"/>
                        <w:right w:val="none" w:sz="0" w:space="0" w:color="auto"/>
                      </w:divBdr>
                    </w:div>
                    <w:div w:id="1280840235">
                      <w:marLeft w:val="0"/>
                      <w:marRight w:val="0"/>
                      <w:marTop w:val="0"/>
                      <w:marBottom w:val="0"/>
                      <w:divBdr>
                        <w:top w:val="none" w:sz="0" w:space="0" w:color="auto"/>
                        <w:left w:val="none" w:sz="0" w:space="0" w:color="auto"/>
                        <w:bottom w:val="none" w:sz="0" w:space="0" w:color="auto"/>
                        <w:right w:val="none" w:sz="0" w:space="0" w:color="auto"/>
                      </w:divBdr>
                    </w:div>
                    <w:div w:id="2064476585">
                      <w:marLeft w:val="0"/>
                      <w:marRight w:val="0"/>
                      <w:marTop w:val="0"/>
                      <w:marBottom w:val="0"/>
                      <w:divBdr>
                        <w:top w:val="none" w:sz="0" w:space="0" w:color="auto"/>
                        <w:left w:val="none" w:sz="0" w:space="0" w:color="auto"/>
                        <w:bottom w:val="none" w:sz="0" w:space="0" w:color="auto"/>
                        <w:right w:val="none" w:sz="0" w:space="0" w:color="auto"/>
                      </w:divBdr>
                    </w:div>
                  </w:divsChild>
                </w:div>
                <w:div w:id="578683765">
                  <w:marLeft w:val="0"/>
                  <w:marRight w:val="0"/>
                  <w:marTop w:val="0"/>
                  <w:marBottom w:val="0"/>
                  <w:divBdr>
                    <w:top w:val="none" w:sz="0" w:space="0" w:color="auto"/>
                    <w:left w:val="none" w:sz="0" w:space="0" w:color="auto"/>
                    <w:bottom w:val="none" w:sz="0" w:space="0" w:color="auto"/>
                    <w:right w:val="none" w:sz="0" w:space="0" w:color="auto"/>
                  </w:divBdr>
                  <w:divsChild>
                    <w:div w:id="1656301308">
                      <w:marLeft w:val="0"/>
                      <w:marRight w:val="0"/>
                      <w:marTop w:val="0"/>
                      <w:marBottom w:val="0"/>
                      <w:divBdr>
                        <w:top w:val="none" w:sz="0" w:space="0" w:color="auto"/>
                        <w:left w:val="none" w:sz="0" w:space="0" w:color="auto"/>
                        <w:bottom w:val="none" w:sz="0" w:space="0" w:color="auto"/>
                        <w:right w:val="none" w:sz="0" w:space="0" w:color="auto"/>
                      </w:divBdr>
                    </w:div>
                  </w:divsChild>
                </w:div>
                <w:div w:id="900333683">
                  <w:marLeft w:val="0"/>
                  <w:marRight w:val="0"/>
                  <w:marTop w:val="0"/>
                  <w:marBottom w:val="0"/>
                  <w:divBdr>
                    <w:top w:val="none" w:sz="0" w:space="0" w:color="auto"/>
                    <w:left w:val="none" w:sz="0" w:space="0" w:color="auto"/>
                    <w:bottom w:val="none" w:sz="0" w:space="0" w:color="auto"/>
                    <w:right w:val="none" w:sz="0" w:space="0" w:color="auto"/>
                  </w:divBdr>
                  <w:divsChild>
                    <w:div w:id="1901863683">
                      <w:marLeft w:val="0"/>
                      <w:marRight w:val="0"/>
                      <w:marTop w:val="0"/>
                      <w:marBottom w:val="0"/>
                      <w:divBdr>
                        <w:top w:val="none" w:sz="0" w:space="0" w:color="auto"/>
                        <w:left w:val="none" w:sz="0" w:space="0" w:color="auto"/>
                        <w:bottom w:val="none" w:sz="0" w:space="0" w:color="auto"/>
                        <w:right w:val="none" w:sz="0" w:space="0" w:color="auto"/>
                      </w:divBdr>
                    </w:div>
                  </w:divsChild>
                </w:div>
                <w:div w:id="1110778805">
                  <w:marLeft w:val="0"/>
                  <w:marRight w:val="0"/>
                  <w:marTop w:val="0"/>
                  <w:marBottom w:val="0"/>
                  <w:divBdr>
                    <w:top w:val="none" w:sz="0" w:space="0" w:color="auto"/>
                    <w:left w:val="none" w:sz="0" w:space="0" w:color="auto"/>
                    <w:bottom w:val="none" w:sz="0" w:space="0" w:color="auto"/>
                    <w:right w:val="none" w:sz="0" w:space="0" w:color="auto"/>
                  </w:divBdr>
                  <w:divsChild>
                    <w:div w:id="203907034">
                      <w:marLeft w:val="0"/>
                      <w:marRight w:val="0"/>
                      <w:marTop w:val="0"/>
                      <w:marBottom w:val="0"/>
                      <w:divBdr>
                        <w:top w:val="none" w:sz="0" w:space="0" w:color="auto"/>
                        <w:left w:val="none" w:sz="0" w:space="0" w:color="auto"/>
                        <w:bottom w:val="none" w:sz="0" w:space="0" w:color="auto"/>
                        <w:right w:val="none" w:sz="0" w:space="0" w:color="auto"/>
                      </w:divBdr>
                    </w:div>
                    <w:div w:id="452016339">
                      <w:marLeft w:val="0"/>
                      <w:marRight w:val="0"/>
                      <w:marTop w:val="0"/>
                      <w:marBottom w:val="0"/>
                      <w:divBdr>
                        <w:top w:val="none" w:sz="0" w:space="0" w:color="auto"/>
                        <w:left w:val="none" w:sz="0" w:space="0" w:color="auto"/>
                        <w:bottom w:val="none" w:sz="0" w:space="0" w:color="auto"/>
                        <w:right w:val="none" w:sz="0" w:space="0" w:color="auto"/>
                      </w:divBdr>
                    </w:div>
                    <w:div w:id="868686268">
                      <w:marLeft w:val="0"/>
                      <w:marRight w:val="0"/>
                      <w:marTop w:val="0"/>
                      <w:marBottom w:val="0"/>
                      <w:divBdr>
                        <w:top w:val="none" w:sz="0" w:space="0" w:color="auto"/>
                        <w:left w:val="none" w:sz="0" w:space="0" w:color="auto"/>
                        <w:bottom w:val="none" w:sz="0" w:space="0" w:color="auto"/>
                        <w:right w:val="none" w:sz="0" w:space="0" w:color="auto"/>
                      </w:divBdr>
                    </w:div>
                    <w:div w:id="1071195672">
                      <w:marLeft w:val="0"/>
                      <w:marRight w:val="0"/>
                      <w:marTop w:val="0"/>
                      <w:marBottom w:val="0"/>
                      <w:divBdr>
                        <w:top w:val="none" w:sz="0" w:space="0" w:color="auto"/>
                        <w:left w:val="none" w:sz="0" w:space="0" w:color="auto"/>
                        <w:bottom w:val="none" w:sz="0" w:space="0" w:color="auto"/>
                        <w:right w:val="none" w:sz="0" w:space="0" w:color="auto"/>
                      </w:divBdr>
                    </w:div>
                    <w:div w:id="2026176856">
                      <w:marLeft w:val="0"/>
                      <w:marRight w:val="0"/>
                      <w:marTop w:val="0"/>
                      <w:marBottom w:val="0"/>
                      <w:divBdr>
                        <w:top w:val="none" w:sz="0" w:space="0" w:color="auto"/>
                        <w:left w:val="none" w:sz="0" w:space="0" w:color="auto"/>
                        <w:bottom w:val="none" w:sz="0" w:space="0" w:color="auto"/>
                        <w:right w:val="none" w:sz="0" w:space="0" w:color="auto"/>
                      </w:divBdr>
                    </w:div>
                  </w:divsChild>
                </w:div>
                <w:div w:id="1155490779">
                  <w:marLeft w:val="0"/>
                  <w:marRight w:val="0"/>
                  <w:marTop w:val="0"/>
                  <w:marBottom w:val="0"/>
                  <w:divBdr>
                    <w:top w:val="none" w:sz="0" w:space="0" w:color="auto"/>
                    <w:left w:val="none" w:sz="0" w:space="0" w:color="auto"/>
                    <w:bottom w:val="none" w:sz="0" w:space="0" w:color="auto"/>
                    <w:right w:val="none" w:sz="0" w:space="0" w:color="auto"/>
                  </w:divBdr>
                  <w:divsChild>
                    <w:div w:id="262500175">
                      <w:marLeft w:val="0"/>
                      <w:marRight w:val="0"/>
                      <w:marTop w:val="0"/>
                      <w:marBottom w:val="0"/>
                      <w:divBdr>
                        <w:top w:val="none" w:sz="0" w:space="0" w:color="auto"/>
                        <w:left w:val="none" w:sz="0" w:space="0" w:color="auto"/>
                        <w:bottom w:val="none" w:sz="0" w:space="0" w:color="auto"/>
                        <w:right w:val="none" w:sz="0" w:space="0" w:color="auto"/>
                      </w:divBdr>
                    </w:div>
                  </w:divsChild>
                </w:div>
                <w:div w:id="1475558586">
                  <w:marLeft w:val="0"/>
                  <w:marRight w:val="0"/>
                  <w:marTop w:val="0"/>
                  <w:marBottom w:val="0"/>
                  <w:divBdr>
                    <w:top w:val="none" w:sz="0" w:space="0" w:color="auto"/>
                    <w:left w:val="none" w:sz="0" w:space="0" w:color="auto"/>
                    <w:bottom w:val="none" w:sz="0" w:space="0" w:color="auto"/>
                    <w:right w:val="none" w:sz="0" w:space="0" w:color="auto"/>
                  </w:divBdr>
                  <w:divsChild>
                    <w:div w:id="362290604">
                      <w:marLeft w:val="0"/>
                      <w:marRight w:val="0"/>
                      <w:marTop w:val="0"/>
                      <w:marBottom w:val="0"/>
                      <w:divBdr>
                        <w:top w:val="none" w:sz="0" w:space="0" w:color="auto"/>
                        <w:left w:val="none" w:sz="0" w:space="0" w:color="auto"/>
                        <w:bottom w:val="none" w:sz="0" w:space="0" w:color="auto"/>
                        <w:right w:val="none" w:sz="0" w:space="0" w:color="auto"/>
                      </w:divBdr>
                    </w:div>
                    <w:div w:id="911819057">
                      <w:marLeft w:val="0"/>
                      <w:marRight w:val="0"/>
                      <w:marTop w:val="0"/>
                      <w:marBottom w:val="0"/>
                      <w:divBdr>
                        <w:top w:val="none" w:sz="0" w:space="0" w:color="auto"/>
                        <w:left w:val="none" w:sz="0" w:space="0" w:color="auto"/>
                        <w:bottom w:val="none" w:sz="0" w:space="0" w:color="auto"/>
                        <w:right w:val="none" w:sz="0" w:space="0" w:color="auto"/>
                      </w:divBdr>
                    </w:div>
                    <w:div w:id="1129974210">
                      <w:marLeft w:val="0"/>
                      <w:marRight w:val="0"/>
                      <w:marTop w:val="0"/>
                      <w:marBottom w:val="0"/>
                      <w:divBdr>
                        <w:top w:val="none" w:sz="0" w:space="0" w:color="auto"/>
                        <w:left w:val="none" w:sz="0" w:space="0" w:color="auto"/>
                        <w:bottom w:val="none" w:sz="0" w:space="0" w:color="auto"/>
                        <w:right w:val="none" w:sz="0" w:space="0" w:color="auto"/>
                      </w:divBdr>
                    </w:div>
                    <w:div w:id="1360620974">
                      <w:marLeft w:val="0"/>
                      <w:marRight w:val="0"/>
                      <w:marTop w:val="0"/>
                      <w:marBottom w:val="0"/>
                      <w:divBdr>
                        <w:top w:val="none" w:sz="0" w:space="0" w:color="auto"/>
                        <w:left w:val="none" w:sz="0" w:space="0" w:color="auto"/>
                        <w:bottom w:val="none" w:sz="0" w:space="0" w:color="auto"/>
                        <w:right w:val="none" w:sz="0" w:space="0" w:color="auto"/>
                      </w:divBdr>
                    </w:div>
                    <w:div w:id="1441224958">
                      <w:marLeft w:val="0"/>
                      <w:marRight w:val="0"/>
                      <w:marTop w:val="0"/>
                      <w:marBottom w:val="0"/>
                      <w:divBdr>
                        <w:top w:val="none" w:sz="0" w:space="0" w:color="auto"/>
                        <w:left w:val="none" w:sz="0" w:space="0" w:color="auto"/>
                        <w:bottom w:val="none" w:sz="0" w:space="0" w:color="auto"/>
                        <w:right w:val="none" w:sz="0" w:space="0" w:color="auto"/>
                      </w:divBdr>
                    </w:div>
                  </w:divsChild>
                </w:div>
                <w:div w:id="1560244201">
                  <w:marLeft w:val="0"/>
                  <w:marRight w:val="0"/>
                  <w:marTop w:val="0"/>
                  <w:marBottom w:val="0"/>
                  <w:divBdr>
                    <w:top w:val="none" w:sz="0" w:space="0" w:color="auto"/>
                    <w:left w:val="none" w:sz="0" w:space="0" w:color="auto"/>
                    <w:bottom w:val="none" w:sz="0" w:space="0" w:color="auto"/>
                    <w:right w:val="none" w:sz="0" w:space="0" w:color="auto"/>
                  </w:divBdr>
                  <w:divsChild>
                    <w:div w:id="925456206">
                      <w:marLeft w:val="0"/>
                      <w:marRight w:val="0"/>
                      <w:marTop w:val="0"/>
                      <w:marBottom w:val="0"/>
                      <w:divBdr>
                        <w:top w:val="none" w:sz="0" w:space="0" w:color="auto"/>
                        <w:left w:val="none" w:sz="0" w:space="0" w:color="auto"/>
                        <w:bottom w:val="none" w:sz="0" w:space="0" w:color="auto"/>
                        <w:right w:val="none" w:sz="0" w:space="0" w:color="auto"/>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1930458615">
                      <w:marLeft w:val="0"/>
                      <w:marRight w:val="0"/>
                      <w:marTop w:val="0"/>
                      <w:marBottom w:val="0"/>
                      <w:divBdr>
                        <w:top w:val="none" w:sz="0" w:space="0" w:color="auto"/>
                        <w:left w:val="none" w:sz="0" w:space="0" w:color="auto"/>
                        <w:bottom w:val="none" w:sz="0" w:space="0" w:color="auto"/>
                        <w:right w:val="none" w:sz="0" w:space="0" w:color="auto"/>
                      </w:divBdr>
                    </w:div>
                  </w:divsChild>
                </w:div>
                <w:div w:id="1562326900">
                  <w:marLeft w:val="0"/>
                  <w:marRight w:val="0"/>
                  <w:marTop w:val="0"/>
                  <w:marBottom w:val="0"/>
                  <w:divBdr>
                    <w:top w:val="none" w:sz="0" w:space="0" w:color="auto"/>
                    <w:left w:val="none" w:sz="0" w:space="0" w:color="auto"/>
                    <w:bottom w:val="none" w:sz="0" w:space="0" w:color="auto"/>
                    <w:right w:val="none" w:sz="0" w:space="0" w:color="auto"/>
                  </w:divBdr>
                  <w:divsChild>
                    <w:div w:id="2146309117">
                      <w:marLeft w:val="0"/>
                      <w:marRight w:val="0"/>
                      <w:marTop w:val="0"/>
                      <w:marBottom w:val="0"/>
                      <w:divBdr>
                        <w:top w:val="none" w:sz="0" w:space="0" w:color="auto"/>
                        <w:left w:val="none" w:sz="0" w:space="0" w:color="auto"/>
                        <w:bottom w:val="none" w:sz="0" w:space="0" w:color="auto"/>
                        <w:right w:val="none" w:sz="0" w:space="0" w:color="auto"/>
                      </w:divBdr>
                    </w:div>
                  </w:divsChild>
                </w:div>
                <w:div w:id="1710298036">
                  <w:marLeft w:val="0"/>
                  <w:marRight w:val="0"/>
                  <w:marTop w:val="0"/>
                  <w:marBottom w:val="0"/>
                  <w:divBdr>
                    <w:top w:val="none" w:sz="0" w:space="0" w:color="auto"/>
                    <w:left w:val="none" w:sz="0" w:space="0" w:color="auto"/>
                    <w:bottom w:val="none" w:sz="0" w:space="0" w:color="auto"/>
                    <w:right w:val="none" w:sz="0" w:space="0" w:color="auto"/>
                  </w:divBdr>
                  <w:divsChild>
                    <w:div w:id="869759654">
                      <w:marLeft w:val="0"/>
                      <w:marRight w:val="0"/>
                      <w:marTop w:val="0"/>
                      <w:marBottom w:val="0"/>
                      <w:divBdr>
                        <w:top w:val="none" w:sz="0" w:space="0" w:color="auto"/>
                        <w:left w:val="none" w:sz="0" w:space="0" w:color="auto"/>
                        <w:bottom w:val="none" w:sz="0" w:space="0" w:color="auto"/>
                        <w:right w:val="none" w:sz="0" w:space="0" w:color="auto"/>
                      </w:divBdr>
                    </w:div>
                  </w:divsChild>
                </w:div>
                <w:div w:id="1816022556">
                  <w:marLeft w:val="0"/>
                  <w:marRight w:val="0"/>
                  <w:marTop w:val="0"/>
                  <w:marBottom w:val="0"/>
                  <w:divBdr>
                    <w:top w:val="none" w:sz="0" w:space="0" w:color="auto"/>
                    <w:left w:val="none" w:sz="0" w:space="0" w:color="auto"/>
                    <w:bottom w:val="none" w:sz="0" w:space="0" w:color="auto"/>
                    <w:right w:val="none" w:sz="0" w:space="0" w:color="auto"/>
                  </w:divBdr>
                  <w:divsChild>
                    <w:div w:id="583153147">
                      <w:marLeft w:val="0"/>
                      <w:marRight w:val="0"/>
                      <w:marTop w:val="0"/>
                      <w:marBottom w:val="0"/>
                      <w:divBdr>
                        <w:top w:val="none" w:sz="0" w:space="0" w:color="auto"/>
                        <w:left w:val="none" w:sz="0" w:space="0" w:color="auto"/>
                        <w:bottom w:val="none" w:sz="0" w:space="0" w:color="auto"/>
                        <w:right w:val="none" w:sz="0" w:space="0" w:color="auto"/>
                      </w:divBdr>
                    </w:div>
                  </w:divsChild>
                </w:div>
                <w:div w:id="1842234320">
                  <w:marLeft w:val="0"/>
                  <w:marRight w:val="0"/>
                  <w:marTop w:val="0"/>
                  <w:marBottom w:val="0"/>
                  <w:divBdr>
                    <w:top w:val="none" w:sz="0" w:space="0" w:color="auto"/>
                    <w:left w:val="none" w:sz="0" w:space="0" w:color="auto"/>
                    <w:bottom w:val="none" w:sz="0" w:space="0" w:color="auto"/>
                    <w:right w:val="none" w:sz="0" w:space="0" w:color="auto"/>
                  </w:divBdr>
                  <w:divsChild>
                    <w:div w:id="89787589">
                      <w:marLeft w:val="0"/>
                      <w:marRight w:val="0"/>
                      <w:marTop w:val="0"/>
                      <w:marBottom w:val="0"/>
                      <w:divBdr>
                        <w:top w:val="none" w:sz="0" w:space="0" w:color="auto"/>
                        <w:left w:val="none" w:sz="0" w:space="0" w:color="auto"/>
                        <w:bottom w:val="none" w:sz="0" w:space="0" w:color="auto"/>
                        <w:right w:val="none" w:sz="0" w:space="0" w:color="auto"/>
                      </w:divBdr>
                    </w:div>
                  </w:divsChild>
                </w:div>
                <w:div w:id="2026907326">
                  <w:marLeft w:val="0"/>
                  <w:marRight w:val="0"/>
                  <w:marTop w:val="0"/>
                  <w:marBottom w:val="0"/>
                  <w:divBdr>
                    <w:top w:val="none" w:sz="0" w:space="0" w:color="auto"/>
                    <w:left w:val="none" w:sz="0" w:space="0" w:color="auto"/>
                    <w:bottom w:val="none" w:sz="0" w:space="0" w:color="auto"/>
                    <w:right w:val="none" w:sz="0" w:space="0" w:color="auto"/>
                  </w:divBdr>
                  <w:divsChild>
                    <w:div w:id="21038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91100">
          <w:marLeft w:val="0"/>
          <w:marRight w:val="0"/>
          <w:marTop w:val="0"/>
          <w:marBottom w:val="0"/>
          <w:divBdr>
            <w:top w:val="none" w:sz="0" w:space="0" w:color="auto"/>
            <w:left w:val="none" w:sz="0" w:space="0" w:color="auto"/>
            <w:bottom w:val="none" w:sz="0" w:space="0" w:color="auto"/>
            <w:right w:val="none" w:sz="0" w:space="0" w:color="auto"/>
          </w:divBdr>
        </w:div>
      </w:divsChild>
    </w:div>
    <w:div w:id="1896160540">
      <w:bodyDiv w:val="1"/>
      <w:marLeft w:val="0"/>
      <w:marRight w:val="0"/>
      <w:marTop w:val="0"/>
      <w:marBottom w:val="0"/>
      <w:divBdr>
        <w:top w:val="none" w:sz="0" w:space="0" w:color="auto"/>
        <w:left w:val="none" w:sz="0" w:space="0" w:color="auto"/>
        <w:bottom w:val="none" w:sz="0" w:space="0" w:color="auto"/>
        <w:right w:val="none" w:sz="0" w:space="0" w:color="auto"/>
      </w:divBdr>
      <w:divsChild>
        <w:div w:id="90395618">
          <w:marLeft w:val="0"/>
          <w:marRight w:val="0"/>
          <w:marTop w:val="0"/>
          <w:marBottom w:val="0"/>
          <w:divBdr>
            <w:top w:val="none" w:sz="0" w:space="0" w:color="auto"/>
            <w:left w:val="none" w:sz="0" w:space="0" w:color="auto"/>
            <w:bottom w:val="none" w:sz="0" w:space="0" w:color="auto"/>
            <w:right w:val="none" w:sz="0" w:space="0" w:color="auto"/>
          </w:divBdr>
        </w:div>
        <w:div w:id="1975595601">
          <w:marLeft w:val="0"/>
          <w:marRight w:val="0"/>
          <w:marTop w:val="0"/>
          <w:marBottom w:val="0"/>
          <w:divBdr>
            <w:top w:val="none" w:sz="0" w:space="0" w:color="auto"/>
            <w:left w:val="none" w:sz="0" w:space="0" w:color="auto"/>
            <w:bottom w:val="none" w:sz="0" w:space="0" w:color="auto"/>
            <w:right w:val="none" w:sz="0" w:space="0" w:color="auto"/>
          </w:divBdr>
          <w:divsChild>
            <w:div w:id="1143235684">
              <w:marLeft w:val="-75"/>
              <w:marRight w:val="0"/>
              <w:marTop w:val="30"/>
              <w:marBottom w:val="30"/>
              <w:divBdr>
                <w:top w:val="none" w:sz="0" w:space="0" w:color="auto"/>
                <w:left w:val="none" w:sz="0" w:space="0" w:color="auto"/>
                <w:bottom w:val="none" w:sz="0" w:space="0" w:color="auto"/>
                <w:right w:val="none" w:sz="0" w:space="0" w:color="auto"/>
              </w:divBdr>
              <w:divsChild>
                <w:div w:id="136801603">
                  <w:marLeft w:val="0"/>
                  <w:marRight w:val="0"/>
                  <w:marTop w:val="0"/>
                  <w:marBottom w:val="0"/>
                  <w:divBdr>
                    <w:top w:val="none" w:sz="0" w:space="0" w:color="auto"/>
                    <w:left w:val="none" w:sz="0" w:space="0" w:color="auto"/>
                    <w:bottom w:val="none" w:sz="0" w:space="0" w:color="auto"/>
                    <w:right w:val="none" w:sz="0" w:space="0" w:color="auto"/>
                  </w:divBdr>
                  <w:divsChild>
                    <w:div w:id="850295817">
                      <w:marLeft w:val="0"/>
                      <w:marRight w:val="0"/>
                      <w:marTop w:val="0"/>
                      <w:marBottom w:val="0"/>
                      <w:divBdr>
                        <w:top w:val="none" w:sz="0" w:space="0" w:color="auto"/>
                        <w:left w:val="none" w:sz="0" w:space="0" w:color="auto"/>
                        <w:bottom w:val="none" w:sz="0" w:space="0" w:color="auto"/>
                        <w:right w:val="none" w:sz="0" w:space="0" w:color="auto"/>
                      </w:divBdr>
                    </w:div>
                  </w:divsChild>
                </w:div>
                <w:div w:id="139617301">
                  <w:marLeft w:val="0"/>
                  <w:marRight w:val="0"/>
                  <w:marTop w:val="0"/>
                  <w:marBottom w:val="0"/>
                  <w:divBdr>
                    <w:top w:val="none" w:sz="0" w:space="0" w:color="auto"/>
                    <w:left w:val="none" w:sz="0" w:space="0" w:color="auto"/>
                    <w:bottom w:val="none" w:sz="0" w:space="0" w:color="auto"/>
                    <w:right w:val="none" w:sz="0" w:space="0" w:color="auto"/>
                  </w:divBdr>
                  <w:divsChild>
                    <w:div w:id="178588046">
                      <w:marLeft w:val="0"/>
                      <w:marRight w:val="0"/>
                      <w:marTop w:val="0"/>
                      <w:marBottom w:val="0"/>
                      <w:divBdr>
                        <w:top w:val="none" w:sz="0" w:space="0" w:color="auto"/>
                        <w:left w:val="none" w:sz="0" w:space="0" w:color="auto"/>
                        <w:bottom w:val="none" w:sz="0" w:space="0" w:color="auto"/>
                        <w:right w:val="none" w:sz="0" w:space="0" w:color="auto"/>
                      </w:divBdr>
                    </w:div>
                    <w:div w:id="542450223">
                      <w:marLeft w:val="0"/>
                      <w:marRight w:val="0"/>
                      <w:marTop w:val="0"/>
                      <w:marBottom w:val="0"/>
                      <w:divBdr>
                        <w:top w:val="none" w:sz="0" w:space="0" w:color="auto"/>
                        <w:left w:val="none" w:sz="0" w:space="0" w:color="auto"/>
                        <w:bottom w:val="none" w:sz="0" w:space="0" w:color="auto"/>
                        <w:right w:val="none" w:sz="0" w:space="0" w:color="auto"/>
                      </w:divBdr>
                    </w:div>
                    <w:div w:id="1484391141">
                      <w:marLeft w:val="0"/>
                      <w:marRight w:val="0"/>
                      <w:marTop w:val="0"/>
                      <w:marBottom w:val="0"/>
                      <w:divBdr>
                        <w:top w:val="none" w:sz="0" w:space="0" w:color="auto"/>
                        <w:left w:val="none" w:sz="0" w:space="0" w:color="auto"/>
                        <w:bottom w:val="none" w:sz="0" w:space="0" w:color="auto"/>
                        <w:right w:val="none" w:sz="0" w:space="0" w:color="auto"/>
                      </w:divBdr>
                    </w:div>
                  </w:divsChild>
                </w:div>
                <w:div w:id="217598402">
                  <w:marLeft w:val="0"/>
                  <w:marRight w:val="0"/>
                  <w:marTop w:val="0"/>
                  <w:marBottom w:val="0"/>
                  <w:divBdr>
                    <w:top w:val="none" w:sz="0" w:space="0" w:color="auto"/>
                    <w:left w:val="none" w:sz="0" w:space="0" w:color="auto"/>
                    <w:bottom w:val="none" w:sz="0" w:space="0" w:color="auto"/>
                    <w:right w:val="none" w:sz="0" w:space="0" w:color="auto"/>
                  </w:divBdr>
                  <w:divsChild>
                    <w:div w:id="317225653">
                      <w:marLeft w:val="0"/>
                      <w:marRight w:val="0"/>
                      <w:marTop w:val="0"/>
                      <w:marBottom w:val="0"/>
                      <w:divBdr>
                        <w:top w:val="none" w:sz="0" w:space="0" w:color="auto"/>
                        <w:left w:val="none" w:sz="0" w:space="0" w:color="auto"/>
                        <w:bottom w:val="none" w:sz="0" w:space="0" w:color="auto"/>
                        <w:right w:val="none" w:sz="0" w:space="0" w:color="auto"/>
                      </w:divBdr>
                    </w:div>
                    <w:div w:id="744380169">
                      <w:marLeft w:val="0"/>
                      <w:marRight w:val="0"/>
                      <w:marTop w:val="0"/>
                      <w:marBottom w:val="0"/>
                      <w:divBdr>
                        <w:top w:val="none" w:sz="0" w:space="0" w:color="auto"/>
                        <w:left w:val="none" w:sz="0" w:space="0" w:color="auto"/>
                        <w:bottom w:val="none" w:sz="0" w:space="0" w:color="auto"/>
                        <w:right w:val="none" w:sz="0" w:space="0" w:color="auto"/>
                      </w:divBdr>
                    </w:div>
                    <w:div w:id="1815482870">
                      <w:marLeft w:val="0"/>
                      <w:marRight w:val="0"/>
                      <w:marTop w:val="0"/>
                      <w:marBottom w:val="0"/>
                      <w:divBdr>
                        <w:top w:val="none" w:sz="0" w:space="0" w:color="auto"/>
                        <w:left w:val="none" w:sz="0" w:space="0" w:color="auto"/>
                        <w:bottom w:val="none" w:sz="0" w:space="0" w:color="auto"/>
                        <w:right w:val="none" w:sz="0" w:space="0" w:color="auto"/>
                      </w:divBdr>
                    </w:div>
                  </w:divsChild>
                </w:div>
                <w:div w:id="257759000">
                  <w:marLeft w:val="0"/>
                  <w:marRight w:val="0"/>
                  <w:marTop w:val="0"/>
                  <w:marBottom w:val="0"/>
                  <w:divBdr>
                    <w:top w:val="none" w:sz="0" w:space="0" w:color="auto"/>
                    <w:left w:val="none" w:sz="0" w:space="0" w:color="auto"/>
                    <w:bottom w:val="none" w:sz="0" w:space="0" w:color="auto"/>
                    <w:right w:val="none" w:sz="0" w:space="0" w:color="auto"/>
                  </w:divBdr>
                  <w:divsChild>
                    <w:div w:id="1409421140">
                      <w:marLeft w:val="0"/>
                      <w:marRight w:val="0"/>
                      <w:marTop w:val="0"/>
                      <w:marBottom w:val="0"/>
                      <w:divBdr>
                        <w:top w:val="none" w:sz="0" w:space="0" w:color="auto"/>
                        <w:left w:val="none" w:sz="0" w:space="0" w:color="auto"/>
                        <w:bottom w:val="none" w:sz="0" w:space="0" w:color="auto"/>
                        <w:right w:val="none" w:sz="0" w:space="0" w:color="auto"/>
                      </w:divBdr>
                    </w:div>
                  </w:divsChild>
                </w:div>
                <w:div w:id="287204650">
                  <w:marLeft w:val="0"/>
                  <w:marRight w:val="0"/>
                  <w:marTop w:val="0"/>
                  <w:marBottom w:val="0"/>
                  <w:divBdr>
                    <w:top w:val="none" w:sz="0" w:space="0" w:color="auto"/>
                    <w:left w:val="none" w:sz="0" w:space="0" w:color="auto"/>
                    <w:bottom w:val="none" w:sz="0" w:space="0" w:color="auto"/>
                    <w:right w:val="none" w:sz="0" w:space="0" w:color="auto"/>
                  </w:divBdr>
                  <w:divsChild>
                    <w:div w:id="2063093879">
                      <w:marLeft w:val="0"/>
                      <w:marRight w:val="0"/>
                      <w:marTop w:val="0"/>
                      <w:marBottom w:val="0"/>
                      <w:divBdr>
                        <w:top w:val="none" w:sz="0" w:space="0" w:color="auto"/>
                        <w:left w:val="none" w:sz="0" w:space="0" w:color="auto"/>
                        <w:bottom w:val="none" w:sz="0" w:space="0" w:color="auto"/>
                        <w:right w:val="none" w:sz="0" w:space="0" w:color="auto"/>
                      </w:divBdr>
                    </w:div>
                  </w:divsChild>
                </w:div>
                <w:div w:id="327562914">
                  <w:marLeft w:val="0"/>
                  <w:marRight w:val="0"/>
                  <w:marTop w:val="0"/>
                  <w:marBottom w:val="0"/>
                  <w:divBdr>
                    <w:top w:val="none" w:sz="0" w:space="0" w:color="auto"/>
                    <w:left w:val="none" w:sz="0" w:space="0" w:color="auto"/>
                    <w:bottom w:val="none" w:sz="0" w:space="0" w:color="auto"/>
                    <w:right w:val="none" w:sz="0" w:space="0" w:color="auto"/>
                  </w:divBdr>
                  <w:divsChild>
                    <w:div w:id="599605986">
                      <w:marLeft w:val="0"/>
                      <w:marRight w:val="0"/>
                      <w:marTop w:val="0"/>
                      <w:marBottom w:val="0"/>
                      <w:divBdr>
                        <w:top w:val="none" w:sz="0" w:space="0" w:color="auto"/>
                        <w:left w:val="none" w:sz="0" w:space="0" w:color="auto"/>
                        <w:bottom w:val="none" w:sz="0" w:space="0" w:color="auto"/>
                        <w:right w:val="none" w:sz="0" w:space="0" w:color="auto"/>
                      </w:divBdr>
                    </w:div>
                    <w:div w:id="629553036">
                      <w:marLeft w:val="0"/>
                      <w:marRight w:val="0"/>
                      <w:marTop w:val="0"/>
                      <w:marBottom w:val="0"/>
                      <w:divBdr>
                        <w:top w:val="none" w:sz="0" w:space="0" w:color="auto"/>
                        <w:left w:val="none" w:sz="0" w:space="0" w:color="auto"/>
                        <w:bottom w:val="none" w:sz="0" w:space="0" w:color="auto"/>
                        <w:right w:val="none" w:sz="0" w:space="0" w:color="auto"/>
                      </w:divBdr>
                    </w:div>
                    <w:div w:id="724378205">
                      <w:marLeft w:val="0"/>
                      <w:marRight w:val="0"/>
                      <w:marTop w:val="0"/>
                      <w:marBottom w:val="0"/>
                      <w:divBdr>
                        <w:top w:val="none" w:sz="0" w:space="0" w:color="auto"/>
                        <w:left w:val="none" w:sz="0" w:space="0" w:color="auto"/>
                        <w:bottom w:val="none" w:sz="0" w:space="0" w:color="auto"/>
                        <w:right w:val="none" w:sz="0" w:space="0" w:color="auto"/>
                      </w:divBdr>
                    </w:div>
                    <w:div w:id="1243563684">
                      <w:marLeft w:val="0"/>
                      <w:marRight w:val="0"/>
                      <w:marTop w:val="0"/>
                      <w:marBottom w:val="0"/>
                      <w:divBdr>
                        <w:top w:val="none" w:sz="0" w:space="0" w:color="auto"/>
                        <w:left w:val="none" w:sz="0" w:space="0" w:color="auto"/>
                        <w:bottom w:val="none" w:sz="0" w:space="0" w:color="auto"/>
                        <w:right w:val="none" w:sz="0" w:space="0" w:color="auto"/>
                      </w:divBdr>
                    </w:div>
                    <w:div w:id="1815369024">
                      <w:marLeft w:val="0"/>
                      <w:marRight w:val="0"/>
                      <w:marTop w:val="0"/>
                      <w:marBottom w:val="0"/>
                      <w:divBdr>
                        <w:top w:val="none" w:sz="0" w:space="0" w:color="auto"/>
                        <w:left w:val="none" w:sz="0" w:space="0" w:color="auto"/>
                        <w:bottom w:val="none" w:sz="0" w:space="0" w:color="auto"/>
                        <w:right w:val="none" w:sz="0" w:space="0" w:color="auto"/>
                      </w:divBdr>
                    </w:div>
                  </w:divsChild>
                </w:div>
                <w:div w:id="407313351">
                  <w:marLeft w:val="0"/>
                  <w:marRight w:val="0"/>
                  <w:marTop w:val="0"/>
                  <w:marBottom w:val="0"/>
                  <w:divBdr>
                    <w:top w:val="none" w:sz="0" w:space="0" w:color="auto"/>
                    <w:left w:val="none" w:sz="0" w:space="0" w:color="auto"/>
                    <w:bottom w:val="none" w:sz="0" w:space="0" w:color="auto"/>
                    <w:right w:val="none" w:sz="0" w:space="0" w:color="auto"/>
                  </w:divBdr>
                  <w:divsChild>
                    <w:div w:id="129399616">
                      <w:marLeft w:val="0"/>
                      <w:marRight w:val="0"/>
                      <w:marTop w:val="0"/>
                      <w:marBottom w:val="0"/>
                      <w:divBdr>
                        <w:top w:val="none" w:sz="0" w:space="0" w:color="auto"/>
                        <w:left w:val="none" w:sz="0" w:space="0" w:color="auto"/>
                        <w:bottom w:val="none" w:sz="0" w:space="0" w:color="auto"/>
                        <w:right w:val="none" w:sz="0" w:space="0" w:color="auto"/>
                      </w:divBdr>
                    </w:div>
                    <w:div w:id="1798259330">
                      <w:marLeft w:val="0"/>
                      <w:marRight w:val="0"/>
                      <w:marTop w:val="0"/>
                      <w:marBottom w:val="0"/>
                      <w:divBdr>
                        <w:top w:val="none" w:sz="0" w:space="0" w:color="auto"/>
                        <w:left w:val="none" w:sz="0" w:space="0" w:color="auto"/>
                        <w:bottom w:val="none" w:sz="0" w:space="0" w:color="auto"/>
                        <w:right w:val="none" w:sz="0" w:space="0" w:color="auto"/>
                      </w:divBdr>
                    </w:div>
                  </w:divsChild>
                </w:div>
                <w:div w:id="409470787">
                  <w:marLeft w:val="0"/>
                  <w:marRight w:val="0"/>
                  <w:marTop w:val="0"/>
                  <w:marBottom w:val="0"/>
                  <w:divBdr>
                    <w:top w:val="none" w:sz="0" w:space="0" w:color="auto"/>
                    <w:left w:val="none" w:sz="0" w:space="0" w:color="auto"/>
                    <w:bottom w:val="none" w:sz="0" w:space="0" w:color="auto"/>
                    <w:right w:val="none" w:sz="0" w:space="0" w:color="auto"/>
                  </w:divBdr>
                  <w:divsChild>
                    <w:div w:id="152767519">
                      <w:marLeft w:val="0"/>
                      <w:marRight w:val="0"/>
                      <w:marTop w:val="0"/>
                      <w:marBottom w:val="0"/>
                      <w:divBdr>
                        <w:top w:val="none" w:sz="0" w:space="0" w:color="auto"/>
                        <w:left w:val="none" w:sz="0" w:space="0" w:color="auto"/>
                        <w:bottom w:val="none" w:sz="0" w:space="0" w:color="auto"/>
                        <w:right w:val="none" w:sz="0" w:space="0" w:color="auto"/>
                      </w:divBdr>
                    </w:div>
                    <w:div w:id="299266399">
                      <w:marLeft w:val="0"/>
                      <w:marRight w:val="0"/>
                      <w:marTop w:val="0"/>
                      <w:marBottom w:val="0"/>
                      <w:divBdr>
                        <w:top w:val="none" w:sz="0" w:space="0" w:color="auto"/>
                        <w:left w:val="none" w:sz="0" w:space="0" w:color="auto"/>
                        <w:bottom w:val="none" w:sz="0" w:space="0" w:color="auto"/>
                        <w:right w:val="none" w:sz="0" w:space="0" w:color="auto"/>
                      </w:divBdr>
                    </w:div>
                    <w:div w:id="703411076">
                      <w:marLeft w:val="0"/>
                      <w:marRight w:val="0"/>
                      <w:marTop w:val="0"/>
                      <w:marBottom w:val="0"/>
                      <w:divBdr>
                        <w:top w:val="none" w:sz="0" w:space="0" w:color="auto"/>
                        <w:left w:val="none" w:sz="0" w:space="0" w:color="auto"/>
                        <w:bottom w:val="none" w:sz="0" w:space="0" w:color="auto"/>
                        <w:right w:val="none" w:sz="0" w:space="0" w:color="auto"/>
                      </w:divBdr>
                    </w:div>
                    <w:div w:id="1564943676">
                      <w:marLeft w:val="0"/>
                      <w:marRight w:val="0"/>
                      <w:marTop w:val="0"/>
                      <w:marBottom w:val="0"/>
                      <w:divBdr>
                        <w:top w:val="none" w:sz="0" w:space="0" w:color="auto"/>
                        <w:left w:val="none" w:sz="0" w:space="0" w:color="auto"/>
                        <w:bottom w:val="none" w:sz="0" w:space="0" w:color="auto"/>
                        <w:right w:val="none" w:sz="0" w:space="0" w:color="auto"/>
                      </w:divBdr>
                    </w:div>
                    <w:div w:id="1858693975">
                      <w:marLeft w:val="0"/>
                      <w:marRight w:val="0"/>
                      <w:marTop w:val="0"/>
                      <w:marBottom w:val="0"/>
                      <w:divBdr>
                        <w:top w:val="none" w:sz="0" w:space="0" w:color="auto"/>
                        <w:left w:val="none" w:sz="0" w:space="0" w:color="auto"/>
                        <w:bottom w:val="none" w:sz="0" w:space="0" w:color="auto"/>
                        <w:right w:val="none" w:sz="0" w:space="0" w:color="auto"/>
                      </w:divBdr>
                    </w:div>
                  </w:divsChild>
                </w:div>
                <w:div w:id="534972709">
                  <w:marLeft w:val="0"/>
                  <w:marRight w:val="0"/>
                  <w:marTop w:val="0"/>
                  <w:marBottom w:val="0"/>
                  <w:divBdr>
                    <w:top w:val="none" w:sz="0" w:space="0" w:color="auto"/>
                    <w:left w:val="none" w:sz="0" w:space="0" w:color="auto"/>
                    <w:bottom w:val="none" w:sz="0" w:space="0" w:color="auto"/>
                    <w:right w:val="none" w:sz="0" w:space="0" w:color="auto"/>
                  </w:divBdr>
                  <w:divsChild>
                    <w:div w:id="557402271">
                      <w:marLeft w:val="0"/>
                      <w:marRight w:val="0"/>
                      <w:marTop w:val="0"/>
                      <w:marBottom w:val="0"/>
                      <w:divBdr>
                        <w:top w:val="none" w:sz="0" w:space="0" w:color="auto"/>
                        <w:left w:val="none" w:sz="0" w:space="0" w:color="auto"/>
                        <w:bottom w:val="none" w:sz="0" w:space="0" w:color="auto"/>
                        <w:right w:val="none" w:sz="0" w:space="0" w:color="auto"/>
                      </w:divBdr>
                    </w:div>
                  </w:divsChild>
                </w:div>
                <w:div w:id="581839953">
                  <w:marLeft w:val="0"/>
                  <w:marRight w:val="0"/>
                  <w:marTop w:val="0"/>
                  <w:marBottom w:val="0"/>
                  <w:divBdr>
                    <w:top w:val="none" w:sz="0" w:space="0" w:color="auto"/>
                    <w:left w:val="none" w:sz="0" w:space="0" w:color="auto"/>
                    <w:bottom w:val="none" w:sz="0" w:space="0" w:color="auto"/>
                    <w:right w:val="none" w:sz="0" w:space="0" w:color="auto"/>
                  </w:divBdr>
                  <w:divsChild>
                    <w:div w:id="1070275136">
                      <w:marLeft w:val="0"/>
                      <w:marRight w:val="0"/>
                      <w:marTop w:val="0"/>
                      <w:marBottom w:val="0"/>
                      <w:divBdr>
                        <w:top w:val="none" w:sz="0" w:space="0" w:color="auto"/>
                        <w:left w:val="none" w:sz="0" w:space="0" w:color="auto"/>
                        <w:bottom w:val="none" w:sz="0" w:space="0" w:color="auto"/>
                        <w:right w:val="none" w:sz="0" w:space="0" w:color="auto"/>
                      </w:divBdr>
                    </w:div>
                  </w:divsChild>
                </w:div>
                <w:div w:id="742989262">
                  <w:marLeft w:val="0"/>
                  <w:marRight w:val="0"/>
                  <w:marTop w:val="0"/>
                  <w:marBottom w:val="0"/>
                  <w:divBdr>
                    <w:top w:val="none" w:sz="0" w:space="0" w:color="auto"/>
                    <w:left w:val="none" w:sz="0" w:space="0" w:color="auto"/>
                    <w:bottom w:val="none" w:sz="0" w:space="0" w:color="auto"/>
                    <w:right w:val="none" w:sz="0" w:space="0" w:color="auto"/>
                  </w:divBdr>
                  <w:divsChild>
                    <w:div w:id="41223206">
                      <w:marLeft w:val="0"/>
                      <w:marRight w:val="0"/>
                      <w:marTop w:val="0"/>
                      <w:marBottom w:val="0"/>
                      <w:divBdr>
                        <w:top w:val="none" w:sz="0" w:space="0" w:color="auto"/>
                        <w:left w:val="none" w:sz="0" w:space="0" w:color="auto"/>
                        <w:bottom w:val="none" w:sz="0" w:space="0" w:color="auto"/>
                        <w:right w:val="none" w:sz="0" w:space="0" w:color="auto"/>
                      </w:divBdr>
                    </w:div>
                  </w:divsChild>
                </w:div>
                <w:div w:id="937131212">
                  <w:marLeft w:val="0"/>
                  <w:marRight w:val="0"/>
                  <w:marTop w:val="0"/>
                  <w:marBottom w:val="0"/>
                  <w:divBdr>
                    <w:top w:val="none" w:sz="0" w:space="0" w:color="auto"/>
                    <w:left w:val="none" w:sz="0" w:space="0" w:color="auto"/>
                    <w:bottom w:val="none" w:sz="0" w:space="0" w:color="auto"/>
                    <w:right w:val="none" w:sz="0" w:space="0" w:color="auto"/>
                  </w:divBdr>
                  <w:divsChild>
                    <w:div w:id="763189873">
                      <w:marLeft w:val="0"/>
                      <w:marRight w:val="0"/>
                      <w:marTop w:val="0"/>
                      <w:marBottom w:val="0"/>
                      <w:divBdr>
                        <w:top w:val="none" w:sz="0" w:space="0" w:color="auto"/>
                        <w:left w:val="none" w:sz="0" w:space="0" w:color="auto"/>
                        <w:bottom w:val="none" w:sz="0" w:space="0" w:color="auto"/>
                        <w:right w:val="none" w:sz="0" w:space="0" w:color="auto"/>
                      </w:divBdr>
                    </w:div>
                  </w:divsChild>
                </w:div>
                <w:div w:id="945041470">
                  <w:marLeft w:val="0"/>
                  <w:marRight w:val="0"/>
                  <w:marTop w:val="0"/>
                  <w:marBottom w:val="0"/>
                  <w:divBdr>
                    <w:top w:val="none" w:sz="0" w:space="0" w:color="auto"/>
                    <w:left w:val="none" w:sz="0" w:space="0" w:color="auto"/>
                    <w:bottom w:val="none" w:sz="0" w:space="0" w:color="auto"/>
                    <w:right w:val="none" w:sz="0" w:space="0" w:color="auto"/>
                  </w:divBdr>
                  <w:divsChild>
                    <w:div w:id="1163013285">
                      <w:marLeft w:val="0"/>
                      <w:marRight w:val="0"/>
                      <w:marTop w:val="0"/>
                      <w:marBottom w:val="0"/>
                      <w:divBdr>
                        <w:top w:val="none" w:sz="0" w:space="0" w:color="auto"/>
                        <w:left w:val="none" w:sz="0" w:space="0" w:color="auto"/>
                        <w:bottom w:val="none" w:sz="0" w:space="0" w:color="auto"/>
                        <w:right w:val="none" w:sz="0" w:space="0" w:color="auto"/>
                      </w:divBdr>
                    </w:div>
                  </w:divsChild>
                </w:div>
                <w:div w:id="1277525568">
                  <w:marLeft w:val="0"/>
                  <w:marRight w:val="0"/>
                  <w:marTop w:val="0"/>
                  <w:marBottom w:val="0"/>
                  <w:divBdr>
                    <w:top w:val="none" w:sz="0" w:space="0" w:color="auto"/>
                    <w:left w:val="none" w:sz="0" w:space="0" w:color="auto"/>
                    <w:bottom w:val="none" w:sz="0" w:space="0" w:color="auto"/>
                    <w:right w:val="none" w:sz="0" w:space="0" w:color="auto"/>
                  </w:divBdr>
                  <w:divsChild>
                    <w:div w:id="569736964">
                      <w:marLeft w:val="0"/>
                      <w:marRight w:val="0"/>
                      <w:marTop w:val="0"/>
                      <w:marBottom w:val="0"/>
                      <w:divBdr>
                        <w:top w:val="none" w:sz="0" w:space="0" w:color="auto"/>
                        <w:left w:val="none" w:sz="0" w:space="0" w:color="auto"/>
                        <w:bottom w:val="none" w:sz="0" w:space="0" w:color="auto"/>
                        <w:right w:val="none" w:sz="0" w:space="0" w:color="auto"/>
                      </w:divBdr>
                    </w:div>
                    <w:div w:id="777525172">
                      <w:marLeft w:val="0"/>
                      <w:marRight w:val="0"/>
                      <w:marTop w:val="0"/>
                      <w:marBottom w:val="0"/>
                      <w:divBdr>
                        <w:top w:val="none" w:sz="0" w:space="0" w:color="auto"/>
                        <w:left w:val="none" w:sz="0" w:space="0" w:color="auto"/>
                        <w:bottom w:val="none" w:sz="0" w:space="0" w:color="auto"/>
                        <w:right w:val="none" w:sz="0" w:space="0" w:color="auto"/>
                      </w:divBdr>
                    </w:div>
                    <w:div w:id="1003244768">
                      <w:marLeft w:val="0"/>
                      <w:marRight w:val="0"/>
                      <w:marTop w:val="0"/>
                      <w:marBottom w:val="0"/>
                      <w:divBdr>
                        <w:top w:val="none" w:sz="0" w:space="0" w:color="auto"/>
                        <w:left w:val="none" w:sz="0" w:space="0" w:color="auto"/>
                        <w:bottom w:val="none" w:sz="0" w:space="0" w:color="auto"/>
                        <w:right w:val="none" w:sz="0" w:space="0" w:color="auto"/>
                      </w:divBdr>
                    </w:div>
                    <w:div w:id="1419062126">
                      <w:marLeft w:val="0"/>
                      <w:marRight w:val="0"/>
                      <w:marTop w:val="0"/>
                      <w:marBottom w:val="0"/>
                      <w:divBdr>
                        <w:top w:val="none" w:sz="0" w:space="0" w:color="auto"/>
                        <w:left w:val="none" w:sz="0" w:space="0" w:color="auto"/>
                        <w:bottom w:val="none" w:sz="0" w:space="0" w:color="auto"/>
                        <w:right w:val="none" w:sz="0" w:space="0" w:color="auto"/>
                      </w:divBdr>
                    </w:div>
                    <w:div w:id="1749572535">
                      <w:marLeft w:val="0"/>
                      <w:marRight w:val="0"/>
                      <w:marTop w:val="0"/>
                      <w:marBottom w:val="0"/>
                      <w:divBdr>
                        <w:top w:val="none" w:sz="0" w:space="0" w:color="auto"/>
                        <w:left w:val="none" w:sz="0" w:space="0" w:color="auto"/>
                        <w:bottom w:val="none" w:sz="0" w:space="0" w:color="auto"/>
                        <w:right w:val="none" w:sz="0" w:space="0" w:color="auto"/>
                      </w:divBdr>
                    </w:div>
                  </w:divsChild>
                </w:div>
                <w:div w:id="1794978133">
                  <w:marLeft w:val="0"/>
                  <w:marRight w:val="0"/>
                  <w:marTop w:val="0"/>
                  <w:marBottom w:val="0"/>
                  <w:divBdr>
                    <w:top w:val="none" w:sz="0" w:space="0" w:color="auto"/>
                    <w:left w:val="none" w:sz="0" w:space="0" w:color="auto"/>
                    <w:bottom w:val="none" w:sz="0" w:space="0" w:color="auto"/>
                    <w:right w:val="none" w:sz="0" w:space="0" w:color="auto"/>
                  </w:divBdr>
                  <w:divsChild>
                    <w:div w:id="597373183">
                      <w:marLeft w:val="0"/>
                      <w:marRight w:val="0"/>
                      <w:marTop w:val="0"/>
                      <w:marBottom w:val="0"/>
                      <w:divBdr>
                        <w:top w:val="none" w:sz="0" w:space="0" w:color="auto"/>
                        <w:left w:val="none" w:sz="0" w:space="0" w:color="auto"/>
                        <w:bottom w:val="none" w:sz="0" w:space="0" w:color="auto"/>
                        <w:right w:val="none" w:sz="0" w:space="0" w:color="auto"/>
                      </w:divBdr>
                    </w:div>
                    <w:div w:id="807363050">
                      <w:marLeft w:val="0"/>
                      <w:marRight w:val="0"/>
                      <w:marTop w:val="0"/>
                      <w:marBottom w:val="0"/>
                      <w:divBdr>
                        <w:top w:val="none" w:sz="0" w:space="0" w:color="auto"/>
                        <w:left w:val="none" w:sz="0" w:space="0" w:color="auto"/>
                        <w:bottom w:val="none" w:sz="0" w:space="0" w:color="auto"/>
                        <w:right w:val="none" w:sz="0" w:space="0" w:color="auto"/>
                      </w:divBdr>
                    </w:div>
                    <w:div w:id="1638486548">
                      <w:marLeft w:val="0"/>
                      <w:marRight w:val="0"/>
                      <w:marTop w:val="0"/>
                      <w:marBottom w:val="0"/>
                      <w:divBdr>
                        <w:top w:val="none" w:sz="0" w:space="0" w:color="auto"/>
                        <w:left w:val="none" w:sz="0" w:space="0" w:color="auto"/>
                        <w:bottom w:val="none" w:sz="0" w:space="0" w:color="auto"/>
                        <w:right w:val="none" w:sz="0" w:space="0" w:color="auto"/>
                      </w:divBdr>
                    </w:div>
                    <w:div w:id="18662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41337">
      <w:bodyDiv w:val="1"/>
      <w:marLeft w:val="0"/>
      <w:marRight w:val="0"/>
      <w:marTop w:val="0"/>
      <w:marBottom w:val="0"/>
      <w:divBdr>
        <w:top w:val="none" w:sz="0" w:space="0" w:color="auto"/>
        <w:left w:val="none" w:sz="0" w:space="0" w:color="auto"/>
        <w:bottom w:val="none" w:sz="0" w:space="0" w:color="auto"/>
        <w:right w:val="none" w:sz="0" w:space="0" w:color="auto"/>
      </w:divBdr>
    </w:div>
    <w:div w:id="1940135686">
      <w:bodyDiv w:val="1"/>
      <w:marLeft w:val="0"/>
      <w:marRight w:val="0"/>
      <w:marTop w:val="0"/>
      <w:marBottom w:val="0"/>
      <w:divBdr>
        <w:top w:val="none" w:sz="0" w:space="0" w:color="auto"/>
        <w:left w:val="none" w:sz="0" w:space="0" w:color="auto"/>
        <w:bottom w:val="none" w:sz="0" w:space="0" w:color="auto"/>
        <w:right w:val="none" w:sz="0" w:space="0" w:color="auto"/>
      </w:divBdr>
      <w:divsChild>
        <w:div w:id="73944190">
          <w:marLeft w:val="0"/>
          <w:marRight w:val="0"/>
          <w:marTop w:val="0"/>
          <w:marBottom w:val="0"/>
          <w:divBdr>
            <w:top w:val="none" w:sz="0" w:space="0" w:color="auto"/>
            <w:left w:val="none" w:sz="0" w:space="0" w:color="auto"/>
            <w:bottom w:val="none" w:sz="0" w:space="0" w:color="auto"/>
            <w:right w:val="none" w:sz="0" w:space="0" w:color="auto"/>
          </w:divBdr>
        </w:div>
        <w:div w:id="143552052">
          <w:marLeft w:val="0"/>
          <w:marRight w:val="0"/>
          <w:marTop w:val="0"/>
          <w:marBottom w:val="0"/>
          <w:divBdr>
            <w:top w:val="none" w:sz="0" w:space="0" w:color="auto"/>
            <w:left w:val="none" w:sz="0" w:space="0" w:color="auto"/>
            <w:bottom w:val="none" w:sz="0" w:space="0" w:color="auto"/>
            <w:right w:val="none" w:sz="0" w:space="0" w:color="auto"/>
          </w:divBdr>
          <w:divsChild>
            <w:div w:id="1228957513">
              <w:marLeft w:val="-75"/>
              <w:marRight w:val="0"/>
              <w:marTop w:val="30"/>
              <w:marBottom w:val="30"/>
              <w:divBdr>
                <w:top w:val="none" w:sz="0" w:space="0" w:color="auto"/>
                <w:left w:val="none" w:sz="0" w:space="0" w:color="auto"/>
                <w:bottom w:val="none" w:sz="0" w:space="0" w:color="auto"/>
                <w:right w:val="none" w:sz="0" w:space="0" w:color="auto"/>
              </w:divBdr>
              <w:divsChild>
                <w:div w:id="530338183">
                  <w:marLeft w:val="0"/>
                  <w:marRight w:val="0"/>
                  <w:marTop w:val="0"/>
                  <w:marBottom w:val="0"/>
                  <w:divBdr>
                    <w:top w:val="none" w:sz="0" w:space="0" w:color="auto"/>
                    <w:left w:val="none" w:sz="0" w:space="0" w:color="auto"/>
                    <w:bottom w:val="none" w:sz="0" w:space="0" w:color="auto"/>
                    <w:right w:val="none" w:sz="0" w:space="0" w:color="auto"/>
                  </w:divBdr>
                  <w:divsChild>
                    <w:div w:id="1532961031">
                      <w:marLeft w:val="0"/>
                      <w:marRight w:val="0"/>
                      <w:marTop w:val="0"/>
                      <w:marBottom w:val="0"/>
                      <w:divBdr>
                        <w:top w:val="none" w:sz="0" w:space="0" w:color="auto"/>
                        <w:left w:val="none" w:sz="0" w:space="0" w:color="auto"/>
                        <w:bottom w:val="none" w:sz="0" w:space="0" w:color="auto"/>
                        <w:right w:val="none" w:sz="0" w:space="0" w:color="auto"/>
                      </w:divBdr>
                    </w:div>
                  </w:divsChild>
                </w:div>
                <w:div w:id="591279727">
                  <w:marLeft w:val="0"/>
                  <w:marRight w:val="0"/>
                  <w:marTop w:val="0"/>
                  <w:marBottom w:val="0"/>
                  <w:divBdr>
                    <w:top w:val="none" w:sz="0" w:space="0" w:color="auto"/>
                    <w:left w:val="none" w:sz="0" w:space="0" w:color="auto"/>
                    <w:bottom w:val="none" w:sz="0" w:space="0" w:color="auto"/>
                    <w:right w:val="none" w:sz="0" w:space="0" w:color="auto"/>
                  </w:divBdr>
                  <w:divsChild>
                    <w:div w:id="1619681641">
                      <w:marLeft w:val="0"/>
                      <w:marRight w:val="0"/>
                      <w:marTop w:val="0"/>
                      <w:marBottom w:val="0"/>
                      <w:divBdr>
                        <w:top w:val="none" w:sz="0" w:space="0" w:color="auto"/>
                        <w:left w:val="none" w:sz="0" w:space="0" w:color="auto"/>
                        <w:bottom w:val="none" w:sz="0" w:space="0" w:color="auto"/>
                        <w:right w:val="none" w:sz="0" w:space="0" w:color="auto"/>
                      </w:divBdr>
                    </w:div>
                  </w:divsChild>
                </w:div>
                <w:div w:id="963392217">
                  <w:marLeft w:val="0"/>
                  <w:marRight w:val="0"/>
                  <w:marTop w:val="0"/>
                  <w:marBottom w:val="0"/>
                  <w:divBdr>
                    <w:top w:val="none" w:sz="0" w:space="0" w:color="auto"/>
                    <w:left w:val="none" w:sz="0" w:space="0" w:color="auto"/>
                    <w:bottom w:val="none" w:sz="0" w:space="0" w:color="auto"/>
                    <w:right w:val="none" w:sz="0" w:space="0" w:color="auto"/>
                  </w:divBdr>
                  <w:divsChild>
                    <w:div w:id="1565605747">
                      <w:marLeft w:val="0"/>
                      <w:marRight w:val="0"/>
                      <w:marTop w:val="0"/>
                      <w:marBottom w:val="0"/>
                      <w:divBdr>
                        <w:top w:val="none" w:sz="0" w:space="0" w:color="auto"/>
                        <w:left w:val="none" w:sz="0" w:space="0" w:color="auto"/>
                        <w:bottom w:val="none" w:sz="0" w:space="0" w:color="auto"/>
                        <w:right w:val="none" w:sz="0" w:space="0" w:color="auto"/>
                      </w:divBdr>
                    </w:div>
                  </w:divsChild>
                </w:div>
                <w:div w:id="1032656203">
                  <w:marLeft w:val="0"/>
                  <w:marRight w:val="0"/>
                  <w:marTop w:val="0"/>
                  <w:marBottom w:val="0"/>
                  <w:divBdr>
                    <w:top w:val="none" w:sz="0" w:space="0" w:color="auto"/>
                    <w:left w:val="none" w:sz="0" w:space="0" w:color="auto"/>
                    <w:bottom w:val="none" w:sz="0" w:space="0" w:color="auto"/>
                    <w:right w:val="none" w:sz="0" w:space="0" w:color="auto"/>
                  </w:divBdr>
                  <w:divsChild>
                    <w:div w:id="888300909">
                      <w:marLeft w:val="0"/>
                      <w:marRight w:val="0"/>
                      <w:marTop w:val="0"/>
                      <w:marBottom w:val="0"/>
                      <w:divBdr>
                        <w:top w:val="none" w:sz="0" w:space="0" w:color="auto"/>
                        <w:left w:val="none" w:sz="0" w:space="0" w:color="auto"/>
                        <w:bottom w:val="none" w:sz="0" w:space="0" w:color="auto"/>
                        <w:right w:val="none" w:sz="0" w:space="0" w:color="auto"/>
                      </w:divBdr>
                    </w:div>
                  </w:divsChild>
                </w:div>
                <w:div w:id="1047073758">
                  <w:marLeft w:val="0"/>
                  <w:marRight w:val="0"/>
                  <w:marTop w:val="0"/>
                  <w:marBottom w:val="0"/>
                  <w:divBdr>
                    <w:top w:val="none" w:sz="0" w:space="0" w:color="auto"/>
                    <w:left w:val="none" w:sz="0" w:space="0" w:color="auto"/>
                    <w:bottom w:val="none" w:sz="0" w:space="0" w:color="auto"/>
                    <w:right w:val="none" w:sz="0" w:space="0" w:color="auto"/>
                  </w:divBdr>
                  <w:divsChild>
                    <w:div w:id="1660382177">
                      <w:marLeft w:val="0"/>
                      <w:marRight w:val="0"/>
                      <w:marTop w:val="0"/>
                      <w:marBottom w:val="0"/>
                      <w:divBdr>
                        <w:top w:val="none" w:sz="0" w:space="0" w:color="auto"/>
                        <w:left w:val="none" w:sz="0" w:space="0" w:color="auto"/>
                        <w:bottom w:val="none" w:sz="0" w:space="0" w:color="auto"/>
                        <w:right w:val="none" w:sz="0" w:space="0" w:color="auto"/>
                      </w:divBdr>
                    </w:div>
                  </w:divsChild>
                </w:div>
                <w:div w:id="1174077893">
                  <w:marLeft w:val="0"/>
                  <w:marRight w:val="0"/>
                  <w:marTop w:val="0"/>
                  <w:marBottom w:val="0"/>
                  <w:divBdr>
                    <w:top w:val="none" w:sz="0" w:space="0" w:color="auto"/>
                    <w:left w:val="none" w:sz="0" w:space="0" w:color="auto"/>
                    <w:bottom w:val="none" w:sz="0" w:space="0" w:color="auto"/>
                    <w:right w:val="none" w:sz="0" w:space="0" w:color="auto"/>
                  </w:divBdr>
                  <w:divsChild>
                    <w:div w:id="1052776048">
                      <w:marLeft w:val="0"/>
                      <w:marRight w:val="0"/>
                      <w:marTop w:val="0"/>
                      <w:marBottom w:val="0"/>
                      <w:divBdr>
                        <w:top w:val="none" w:sz="0" w:space="0" w:color="auto"/>
                        <w:left w:val="none" w:sz="0" w:space="0" w:color="auto"/>
                        <w:bottom w:val="none" w:sz="0" w:space="0" w:color="auto"/>
                        <w:right w:val="none" w:sz="0" w:space="0" w:color="auto"/>
                      </w:divBdr>
                    </w:div>
                  </w:divsChild>
                </w:div>
                <w:div w:id="1483697769">
                  <w:marLeft w:val="0"/>
                  <w:marRight w:val="0"/>
                  <w:marTop w:val="0"/>
                  <w:marBottom w:val="0"/>
                  <w:divBdr>
                    <w:top w:val="none" w:sz="0" w:space="0" w:color="auto"/>
                    <w:left w:val="none" w:sz="0" w:space="0" w:color="auto"/>
                    <w:bottom w:val="none" w:sz="0" w:space="0" w:color="auto"/>
                    <w:right w:val="none" w:sz="0" w:space="0" w:color="auto"/>
                  </w:divBdr>
                  <w:divsChild>
                    <w:div w:id="1684547903">
                      <w:marLeft w:val="0"/>
                      <w:marRight w:val="0"/>
                      <w:marTop w:val="0"/>
                      <w:marBottom w:val="0"/>
                      <w:divBdr>
                        <w:top w:val="none" w:sz="0" w:space="0" w:color="auto"/>
                        <w:left w:val="none" w:sz="0" w:space="0" w:color="auto"/>
                        <w:bottom w:val="none" w:sz="0" w:space="0" w:color="auto"/>
                        <w:right w:val="none" w:sz="0" w:space="0" w:color="auto"/>
                      </w:divBdr>
                    </w:div>
                  </w:divsChild>
                </w:div>
                <w:div w:id="1534540032">
                  <w:marLeft w:val="0"/>
                  <w:marRight w:val="0"/>
                  <w:marTop w:val="0"/>
                  <w:marBottom w:val="0"/>
                  <w:divBdr>
                    <w:top w:val="none" w:sz="0" w:space="0" w:color="auto"/>
                    <w:left w:val="none" w:sz="0" w:space="0" w:color="auto"/>
                    <w:bottom w:val="none" w:sz="0" w:space="0" w:color="auto"/>
                    <w:right w:val="none" w:sz="0" w:space="0" w:color="auto"/>
                  </w:divBdr>
                  <w:divsChild>
                    <w:div w:id="1514146649">
                      <w:marLeft w:val="0"/>
                      <w:marRight w:val="0"/>
                      <w:marTop w:val="0"/>
                      <w:marBottom w:val="0"/>
                      <w:divBdr>
                        <w:top w:val="none" w:sz="0" w:space="0" w:color="auto"/>
                        <w:left w:val="none" w:sz="0" w:space="0" w:color="auto"/>
                        <w:bottom w:val="none" w:sz="0" w:space="0" w:color="auto"/>
                        <w:right w:val="none" w:sz="0" w:space="0" w:color="auto"/>
                      </w:divBdr>
                    </w:div>
                  </w:divsChild>
                </w:div>
                <w:div w:id="1677726452">
                  <w:marLeft w:val="0"/>
                  <w:marRight w:val="0"/>
                  <w:marTop w:val="0"/>
                  <w:marBottom w:val="0"/>
                  <w:divBdr>
                    <w:top w:val="none" w:sz="0" w:space="0" w:color="auto"/>
                    <w:left w:val="none" w:sz="0" w:space="0" w:color="auto"/>
                    <w:bottom w:val="none" w:sz="0" w:space="0" w:color="auto"/>
                    <w:right w:val="none" w:sz="0" w:space="0" w:color="auto"/>
                  </w:divBdr>
                  <w:divsChild>
                    <w:div w:id="1189025039">
                      <w:marLeft w:val="0"/>
                      <w:marRight w:val="0"/>
                      <w:marTop w:val="0"/>
                      <w:marBottom w:val="0"/>
                      <w:divBdr>
                        <w:top w:val="none" w:sz="0" w:space="0" w:color="auto"/>
                        <w:left w:val="none" w:sz="0" w:space="0" w:color="auto"/>
                        <w:bottom w:val="none" w:sz="0" w:space="0" w:color="auto"/>
                        <w:right w:val="none" w:sz="0" w:space="0" w:color="auto"/>
                      </w:divBdr>
                    </w:div>
                    <w:div w:id="1908301126">
                      <w:marLeft w:val="0"/>
                      <w:marRight w:val="0"/>
                      <w:marTop w:val="0"/>
                      <w:marBottom w:val="0"/>
                      <w:divBdr>
                        <w:top w:val="none" w:sz="0" w:space="0" w:color="auto"/>
                        <w:left w:val="none" w:sz="0" w:space="0" w:color="auto"/>
                        <w:bottom w:val="none" w:sz="0" w:space="0" w:color="auto"/>
                        <w:right w:val="none" w:sz="0" w:space="0" w:color="auto"/>
                      </w:divBdr>
                    </w:div>
                  </w:divsChild>
                </w:div>
                <w:div w:id="1781297199">
                  <w:marLeft w:val="0"/>
                  <w:marRight w:val="0"/>
                  <w:marTop w:val="0"/>
                  <w:marBottom w:val="0"/>
                  <w:divBdr>
                    <w:top w:val="none" w:sz="0" w:space="0" w:color="auto"/>
                    <w:left w:val="none" w:sz="0" w:space="0" w:color="auto"/>
                    <w:bottom w:val="none" w:sz="0" w:space="0" w:color="auto"/>
                    <w:right w:val="none" w:sz="0" w:space="0" w:color="auto"/>
                  </w:divBdr>
                  <w:divsChild>
                    <w:div w:id="17198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092">
          <w:marLeft w:val="0"/>
          <w:marRight w:val="0"/>
          <w:marTop w:val="0"/>
          <w:marBottom w:val="0"/>
          <w:divBdr>
            <w:top w:val="none" w:sz="0" w:space="0" w:color="auto"/>
            <w:left w:val="none" w:sz="0" w:space="0" w:color="auto"/>
            <w:bottom w:val="none" w:sz="0" w:space="0" w:color="auto"/>
            <w:right w:val="none" w:sz="0" w:space="0" w:color="auto"/>
          </w:divBdr>
        </w:div>
        <w:div w:id="276179843">
          <w:marLeft w:val="0"/>
          <w:marRight w:val="0"/>
          <w:marTop w:val="0"/>
          <w:marBottom w:val="0"/>
          <w:divBdr>
            <w:top w:val="none" w:sz="0" w:space="0" w:color="auto"/>
            <w:left w:val="none" w:sz="0" w:space="0" w:color="auto"/>
            <w:bottom w:val="none" w:sz="0" w:space="0" w:color="auto"/>
            <w:right w:val="none" w:sz="0" w:space="0" w:color="auto"/>
          </w:divBdr>
        </w:div>
        <w:div w:id="306207229">
          <w:marLeft w:val="0"/>
          <w:marRight w:val="0"/>
          <w:marTop w:val="0"/>
          <w:marBottom w:val="0"/>
          <w:divBdr>
            <w:top w:val="none" w:sz="0" w:space="0" w:color="auto"/>
            <w:left w:val="none" w:sz="0" w:space="0" w:color="auto"/>
            <w:bottom w:val="none" w:sz="0" w:space="0" w:color="auto"/>
            <w:right w:val="none" w:sz="0" w:space="0" w:color="auto"/>
          </w:divBdr>
        </w:div>
        <w:div w:id="306470364">
          <w:marLeft w:val="0"/>
          <w:marRight w:val="0"/>
          <w:marTop w:val="0"/>
          <w:marBottom w:val="0"/>
          <w:divBdr>
            <w:top w:val="none" w:sz="0" w:space="0" w:color="auto"/>
            <w:left w:val="none" w:sz="0" w:space="0" w:color="auto"/>
            <w:bottom w:val="none" w:sz="0" w:space="0" w:color="auto"/>
            <w:right w:val="none" w:sz="0" w:space="0" w:color="auto"/>
          </w:divBdr>
        </w:div>
        <w:div w:id="406683632">
          <w:marLeft w:val="0"/>
          <w:marRight w:val="0"/>
          <w:marTop w:val="0"/>
          <w:marBottom w:val="0"/>
          <w:divBdr>
            <w:top w:val="none" w:sz="0" w:space="0" w:color="auto"/>
            <w:left w:val="none" w:sz="0" w:space="0" w:color="auto"/>
            <w:bottom w:val="none" w:sz="0" w:space="0" w:color="auto"/>
            <w:right w:val="none" w:sz="0" w:space="0" w:color="auto"/>
          </w:divBdr>
        </w:div>
        <w:div w:id="529757301">
          <w:marLeft w:val="0"/>
          <w:marRight w:val="0"/>
          <w:marTop w:val="0"/>
          <w:marBottom w:val="0"/>
          <w:divBdr>
            <w:top w:val="none" w:sz="0" w:space="0" w:color="auto"/>
            <w:left w:val="none" w:sz="0" w:space="0" w:color="auto"/>
            <w:bottom w:val="none" w:sz="0" w:space="0" w:color="auto"/>
            <w:right w:val="none" w:sz="0" w:space="0" w:color="auto"/>
          </w:divBdr>
        </w:div>
        <w:div w:id="587932855">
          <w:marLeft w:val="0"/>
          <w:marRight w:val="0"/>
          <w:marTop w:val="0"/>
          <w:marBottom w:val="0"/>
          <w:divBdr>
            <w:top w:val="none" w:sz="0" w:space="0" w:color="auto"/>
            <w:left w:val="none" w:sz="0" w:space="0" w:color="auto"/>
            <w:bottom w:val="none" w:sz="0" w:space="0" w:color="auto"/>
            <w:right w:val="none" w:sz="0" w:space="0" w:color="auto"/>
          </w:divBdr>
        </w:div>
        <w:div w:id="902835772">
          <w:marLeft w:val="0"/>
          <w:marRight w:val="0"/>
          <w:marTop w:val="0"/>
          <w:marBottom w:val="0"/>
          <w:divBdr>
            <w:top w:val="none" w:sz="0" w:space="0" w:color="auto"/>
            <w:left w:val="none" w:sz="0" w:space="0" w:color="auto"/>
            <w:bottom w:val="none" w:sz="0" w:space="0" w:color="auto"/>
            <w:right w:val="none" w:sz="0" w:space="0" w:color="auto"/>
          </w:divBdr>
        </w:div>
        <w:div w:id="1036396147">
          <w:marLeft w:val="0"/>
          <w:marRight w:val="0"/>
          <w:marTop w:val="0"/>
          <w:marBottom w:val="0"/>
          <w:divBdr>
            <w:top w:val="none" w:sz="0" w:space="0" w:color="auto"/>
            <w:left w:val="none" w:sz="0" w:space="0" w:color="auto"/>
            <w:bottom w:val="none" w:sz="0" w:space="0" w:color="auto"/>
            <w:right w:val="none" w:sz="0" w:space="0" w:color="auto"/>
          </w:divBdr>
        </w:div>
        <w:div w:id="1240406392">
          <w:marLeft w:val="0"/>
          <w:marRight w:val="0"/>
          <w:marTop w:val="0"/>
          <w:marBottom w:val="0"/>
          <w:divBdr>
            <w:top w:val="none" w:sz="0" w:space="0" w:color="auto"/>
            <w:left w:val="none" w:sz="0" w:space="0" w:color="auto"/>
            <w:bottom w:val="none" w:sz="0" w:space="0" w:color="auto"/>
            <w:right w:val="none" w:sz="0" w:space="0" w:color="auto"/>
          </w:divBdr>
        </w:div>
        <w:div w:id="1474444306">
          <w:marLeft w:val="0"/>
          <w:marRight w:val="0"/>
          <w:marTop w:val="0"/>
          <w:marBottom w:val="0"/>
          <w:divBdr>
            <w:top w:val="none" w:sz="0" w:space="0" w:color="auto"/>
            <w:left w:val="none" w:sz="0" w:space="0" w:color="auto"/>
            <w:bottom w:val="none" w:sz="0" w:space="0" w:color="auto"/>
            <w:right w:val="none" w:sz="0" w:space="0" w:color="auto"/>
          </w:divBdr>
        </w:div>
        <w:div w:id="1731925358">
          <w:marLeft w:val="0"/>
          <w:marRight w:val="0"/>
          <w:marTop w:val="0"/>
          <w:marBottom w:val="0"/>
          <w:divBdr>
            <w:top w:val="none" w:sz="0" w:space="0" w:color="auto"/>
            <w:left w:val="none" w:sz="0" w:space="0" w:color="auto"/>
            <w:bottom w:val="none" w:sz="0" w:space="0" w:color="auto"/>
            <w:right w:val="none" w:sz="0" w:space="0" w:color="auto"/>
          </w:divBdr>
        </w:div>
        <w:div w:id="1745452081">
          <w:marLeft w:val="0"/>
          <w:marRight w:val="0"/>
          <w:marTop w:val="0"/>
          <w:marBottom w:val="0"/>
          <w:divBdr>
            <w:top w:val="none" w:sz="0" w:space="0" w:color="auto"/>
            <w:left w:val="none" w:sz="0" w:space="0" w:color="auto"/>
            <w:bottom w:val="none" w:sz="0" w:space="0" w:color="auto"/>
            <w:right w:val="none" w:sz="0" w:space="0" w:color="auto"/>
          </w:divBdr>
        </w:div>
        <w:div w:id="1780024039">
          <w:marLeft w:val="0"/>
          <w:marRight w:val="0"/>
          <w:marTop w:val="0"/>
          <w:marBottom w:val="0"/>
          <w:divBdr>
            <w:top w:val="none" w:sz="0" w:space="0" w:color="auto"/>
            <w:left w:val="none" w:sz="0" w:space="0" w:color="auto"/>
            <w:bottom w:val="none" w:sz="0" w:space="0" w:color="auto"/>
            <w:right w:val="none" w:sz="0" w:space="0" w:color="auto"/>
          </w:divBdr>
        </w:div>
        <w:div w:id="1803234036">
          <w:marLeft w:val="0"/>
          <w:marRight w:val="0"/>
          <w:marTop w:val="0"/>
          <w:marBottom w:val="0"/>
          <w:divBdr>
            <w:top w:val="none" w:sz="0" w:space="0" w:color="auto"/>
            <w:left w:val="none" w:sz="0" w:space="0" w:color="auto"/>
            <w:bottom w:val="none" w:sz="0" w:space="0" w:color="auto"/>
            <w:right w:val="none" w:sz="0" w:space="0" w:color="auto"/>
          </w:divBdr>
        </w:div>
        <w:div w:id="1970746724">
          <w:marLeft w:val="0"/>
          <w:marRight w:val="0"/>
          <w:marTop w:val="0"/>
          <w:marBottom w:val="0"/>
          <w:divBdr>
            <w:top w:val="none" w:sz="0" w:space="0" w:color="auto"/>
            <w:left w:val="none" w:sz="0" w:space="0" w:color="auto"/>
            <w:bottom w:val="none" w:sz="0" w:space="0" w:color="auto"/>
            <w:right w:val="none" w:sz="0" w:space="0" w:color="auto"/>
          </w:divBdr>
        </w:div>
        <w:div w:id="2001038043">
          <w:marLeft w:val="0"/>
          <w:marRight w:val="0"/>
          <w:marTop w:val="0"/>
          <w:marBottom w:val="0"/>
          <w:divBdr>
            <w:top w:val="none" w:sz="0" w:space="0" w:color="auto"/>
            <w:left w:val="none" w:sz="0" w:space="0" w:color="auto"/>
            <w:bottom w:val="none" w:sz="0" w:space="0" w:color="auto"/>
            <w:right w:val="none" w:sz="0" w:space="0" w:color="auto"/>
          </w:divBdr>
        </w:div>
      </w:divsChild>
    </w:div>
    <w:div w:id="2061512554">
      <w:bodyDiv w:val="1"/>
      <w:marLeft w:val="0"/>
      <w:marRight w:val="0"/>
      <w:marTop w:val="0"/>
      <w:marBottom w:val="0"/>
      <w:divBdr>
        <w:top w:val="none" w:sz="0" w:space="0" w:color="auto"/>
        <w:left w:val="none" w:sz="0" w:space="0" w:color="auto"/>
        <w:bottom w:val="none" w:sz="0" w:space="0" w:color="auto"/>
        <w:right w:val="none" w:sz="0" w:space="0" w:color="auto"/>
      </w:divBdr>
    </w:div>
    <w:div w:id="213817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png@01D98332.A25A9870" TargetMode="Externa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header" Target="header13.xml"/><Relationship Id="rId47" Type="http://schemas.openxmlformats.org/officeDocument/2006/relationships/header" Target="header15.xml"/><Relationship Id="rId50" Type="http://schemas.openxmlformats.org/officeDocument/2006/relationships/footer" Target="footer21.xml"/><Relationship Id="rId55" Type="http://schemas.openxmlformats.org/officeDocument/2006/relationships/footer" Target="footer2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footer" Target="footer16.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header" Target="header18.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hyperlink" Target="https://www.health.govt.nz/system/files/documents/pages/ris-smokefree-aotearoa-action-plan-nov-2021.pdf" TargetMode="External"/><Relationship Id="rId61"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header" Target="header17.xml"/><Relationship Id="rId60"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header" Target="header14.xml"/><Relationship Id="rId48" Type="http://schemas.openxmlformats.org/officeDocument/2006/relationships/header" Target="header16.xml"/><Relationship Id="rId56" Type="http://schemas.openxmlformats.org/officeDocument/2006/relationships/footer" Target="footer25.xml"/><Relationship Id="rId8" Type="http://schemas.openxmlformats.org/officeDocument/2006/relationships/settings" Target="settings.xml"/><Relationship Id="rId51" Type="http://schemas.openxmlformats.org/officeDocument/2006/relationships/footer" Target="footer2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9.xml"/><Relationship Id="rId5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t.nz/system/files/documents/information-release/ris-smokefree-aotearoa-action-plan-nov21.pdf" TargetMode="External"/><Relationship Id="rId3" Type="http://schemas.openxmlformats.org/officeDocument/2006/relationships/hyperlink" Target="https://www.ash.org.nz/2022_topline_youth_smoking_and_vaping_factsheet" TargetMode="External"/><Relationship Id="rId7" Type="http://schemas.openxmlformats.org/officeDocument/2006/relationships/hyperlink" Target="https://www.ash.org.nz/2022_topline_youth_smoking_and_vaping_factsheet" TargetMode="External"/><Relationship Id="rId2" Type="http://schemas.openxmlformats.org/officeDocument/2006/relationships/hyperlink" Target="https://minhealthnz.shinyapps.io/nz-health-survey-2021-22-annual-data-explorer/_w_1275039c/" TargetMode="External"/><Relationship Id="rId1" Type="http://schemas.openxmlformats.org/officeDocument/2006/relationships/hyperlink" Target="https://www.sciencedirect.com/science/article/pii/S2468266719302415" TargetMode="External"/><Relationship Id="rId6" Type="http://schemas.openxmlformats.org/officeDocument/2006/relationships/hyperlink" Target="https://pubmed.ncbi.nlm.nih.gov/35931419/" TargetMode="External"/><Relationship Id="rId5" Type="http://schemas.openxmlformats.org/officeDocument/2006/relationships/hyperlink" Target="https://academic.oup.com/ntr/article/25/3/524/6995393" TargetMode="External"/><Relationship Id="rId4" Type="http://schemas.openxmlformats.org/officeDocument/2006/relationships/hyperlink" Target="https://www.ash.org.nz/ash_year_10" TargetMode="External"/><Relationship Id="rId9" Type="http://schemas.openxmlformats.org/officeDocument/2006/relationships/hyperlink" Target="https://www.health.govt.nz/system/files/documents/pages/serpa_key_dates_timeline.pdf" TargetMode="External"/></Relationships>
</file>

<file path=word/documenttasks/documenttasks1.xml><?xml version="1.0" encoding="utf-8"?>
<t:Tasks xmlns:t="http://schemas.microsoft.com/office/tasks/2019/documenttasks" xmlns:oel="http://schemas.microsoft.com/office/2019/extlst">
  <t:Task id="{13A43A63-4CB4-4CED-BFAA-CA83990DB831}">
    <t:Anchor>
      <t:Comment id="771274150"/>
    </t:Anchor>
    <t:History>
      <t:Event id="{0785CB6A-3E20-4701-B49A-3DBD30A5E3AC}" time="2023-04-12T01:12:00.287Z">
        <t:Attribution userId="S::sally.stewart@health.govt.nz::89804d3b-2805-4590-bfac-54806198e67f" userProvider="AD" userName="Sally Stewart"/>
        <t:Anchor>
          <t:Comment id="771274150"/>
        </t:Anchor>
        <t:Create/>
      </t:Event>
      <t:Event id="{19574F5D-DF92-4E8E-8CF9-92290B7F600A}" time="2023-04-12T01:12:00.287Z">
        <t:Attribution userId="S::sally.stewart@health.govt.nz::89804d3b-2805-4590-bfac-54806198e67f" userProvider="AD" userName="Sally Stewart"/>
        <t:Anchor>
          <t:Comment id="771274150"/>
        </t:Anchor>
        <t:Assign userId="S::Emma.Hindson@health.govt.nz::63de94da-173f-4a5c-b123-7fc6ebd43091" userProvider="AD" userName="Emma Hindson"/>
      </t:Event>
      <t:Event id="{260B3485-5C68-4A21-A640-C47CD1E04615}" time="2023-04-12T01:12:00.287Z">
        <t:Attribution userId="S::sally.stewart@health.govt.nz::89804d3b-2805-4590-bfac-54806198e67f" userProvider="AD" userName="Sally Stewart"/>
        <t:Anchor>
          <t:Comment id="771274150"/>
        </t:Anchor>
        <t:SetTitle title="@Emma Hindson do we need this"/>
      </t:Event>
    </t:History>
  </t:Task>
  <t:Task id="{AC63ADD4-82C9-473F-A085-76FB9E44AB4C}">
    <t:Anchor>
      <t:Comment id="2083271335"/>
    </t:Anchor>
    <t:History>
      <t:Event id="{DAC1E48F-24CA-433C-BE8F-EB798F67C134}" time="2023-04-11T22:42:00.53Z">
        <t:Attribution userId="S::sally.stewart@health.govt.nz::89804d3b-2805-4590-bfac-54806198e67f" userProvider="AD" userName="Sally Stewart"/>
        <t:Anchor>
          <t:Comment id="2083271335"/>
        </t:Anchor>
        <t:Create/>
      </t:Event>
      <t:Event id="{6CA498C3-0ADB-4568-AB07-CCFE364ED63E}" time="2023-04-11T22:42:00.53Z">
        <t:Attribution userId="S::sally.stewart@health.govt.nz::89804d3b-2805-4590-bfac-54806198e67f" userProvider="AD" userName="Sally Stewart"/>
        <t:Anchor>
          <t:Comment id="2083271335"/>
        </t:Anchor>
        <t:Assign userId="S::Matthew.Burgess@health.govt.nz::99b1626e-8627-4a74-913e-aada12abc7a4" userProvider="AD" userName="Matt Burgess"/>
      </t:Event>
      <t:Event id="{8C994793-F72B-4768-9930-5CE4C809FB18}" time="2023-04-11T22:42:00.53Z">
        <t:Attribution userId="S::sally.stewart@health.govt.nz::89804d3b-2805-4590-bfac-54806198e67f" userProvider="AD" userName="Sally Stewart"/>
        <t:Anchor>
          <t:Comment id="2083271335"/>
        </t:Anchor>
        <t:SetTitle title="@Matt Burgess Matt - does this mean the middle option in table three (I added 'a' and changed 'are' to 'is' in this sentence, so let me know if that is not right"/>
      </t:Event>
    </t:History>
  </t:Task>
  <t:Task id="{DA1D6410-2C2E-4D08-9ACC-897110F0CFFB}">
    <t:Anchor>
      <t:Comment id="1830515418"/>
    </t:Anchor>
    <t:History>
      <t:Event id="{B417B727-3E64-4F6F-8F7C-B209AD6E74F2}" time="2023-04-11T22:45:05.392Z">
        <t:Attribution userId="S::sally.stewart@health.govt.nz::89804d3b-2805-4590-bfac-54806198e67f" userProvider="AD" userName="Sally Stewart"/>
        <t:Anchor>
          <t:Comment id="1830515418"/>
        </t:Anchor>
        <t:Create/>
      </t:Event>
      <t:Event id="{9A443AE2-D3D6-4019-8A0D-9208ABEE36DC}" time="2023-04-11T22:45:05.392Z">
        <t:Attribution userId="S::sally.stewart@health.govt.nz::89804d3b-2805-4590-bfac-54806198e67f" userProvider="AD" userName="Sally Stewart"/>
        <t:Anchor>
          <t:Comment id="1830515418"/>
        </t:Anchor>
        <t:Assign userId="S::Matthew.Burgess@health.govt.nz::99b1626e-8627-4a74-913e-aada12abc7a4" userProvider="AD" userName="Matt Burgess"/>
      </t:Event>
      <t:Event id="{3B45615A-4FBD-4EE6-9747-FA23DFAB4589}" time="2023-04-11T22:45:05.392Z">
        <t:Attribution userId="S::sally.stewart@health.govt.nz::89804d3b-2805-4590-bfac-54806198e67f" userProvider="AD" userName="Sally Stewart"/>
        <t:Anchor>
          <t:Comment id="1830515418"/>
        </t:Anchor>
        <t:SetTitle title="@Matt Burgess I presume this is linked to the legislative review timeframe"/>
      </t:Event>
    </t:History>
  </t:Task>
  <t:Task id="{6CB0E6C3-687A-4A1F-8B21-818DEEAD579F}">
    <t:Anchor>
      <t:Comment id="872179198"/>
    </t:Anchor>
    <t:History>
      <t:Event id="{59333DC7-AA52-4527-A09B-CBEB65344C67}" time="2023-04-11T22:52:32.671Z">
        <t:Attribution userId="S::sally.stewart@health.govt.nz::89804d3b-2805-4590-bfac-54806198e67f" userProvider="AD" userName="Sally Stewart"/>
        <t:Anchor>
          <t:Comment id="872179198"/>
        </t:Anchor>
        <t:Create/>
      </t:Event>
      <t:Event id="{38E359D3-5BF9-4D53-A0DB-5FBC7A26E3A6}" time="2023-04-11T22:52:32.671Z">
        <t:Attribution userId="S::sally.stewart@health.govt.nz::89804d3b-2805-4590-bfac-54806198e67f" userProvider="AD" userName="Sally Stewart"/>
        <t:Anchor>
          <t:Comment id="872179198"/>
        </t:Anchor>
        <t:Assign userId="S::Emma.Hindson@health.govt.nz::63de94da-173f-4a5c-b123-7fc6ebd43091" userProvider="AD" userName="Emma Hindson"/>
      </t:Event>
      <t:Event id="{28DE64BA-5C1F-45F5-B134-25366C410E82}" time="2023-04-11T22:52:32.671Z">
        <t:Attribution userId="S::sally.stewart@health.govt.nz::89804d3b-2805-4590-bfac-54806198e67f" userProvider="AD" userName="Sally Stewart"/>
        <t:Anchor>
          <t:Comment id="872179198"/>
        </t:Anchor>
        <t:SetTitle title="@Emma Hindson can you look at this wording please - I've started to tinker but am not sure where I am going"/>
      </t:Event>
    </t:History>
  </t:Task>
  <t:Task id="{0D91B57E-F2C0-4A67-A571-E7FE141435D0}">
    <t:Anchor>
      <t:Comment id="2079542324"/>
    </t:Anchor>
    <t:History>
      <t:Event id="{4B7145CA-8331-4EFD-93F9-65700F9D12A7}" time="2023-04-11T22:53:45.521Z">
        <t:Attribution userId="S::sally.stewart@health.govt.nz::89804d3b-2805-4590-bfac-54806198e67f" userProvider="AD" userName="Sally Stewart"/>
        <t:Anchor>
          <t:Comment id="2079542324"/>
        </t:Anchor>
        <t:Create/>
      </t:Event>
      <t:Event id="{02B81C19-E4F5-47D3-894A-50E22B0C8FB4}" time="2023-04-11T22:53:45.521Z">
        <t:Attribution userId="S::sally.stewart@health.govt.nz::89804d3b-2805-4590-bfac-54806198e67f" userProvider="AD" userName="Sally Stewart"/>
        <t:Anchor>
          <t:Comment id="2079542324"/>
        </t:Anchor>
        <t:Assign userId="S::Emma.Hindson@health.govt.nz::63de94da-173f-4a5c-b123-7fc6ebd43091" userProvider="AD" userName="Emma Hindson"/>
      </t:Event>
      <t:Event id="{67346388-E602-4C5B-92D0-ABCC9B1A188E}" time="2023-04-11T22:53:45.521Z">
        <t:Attribution userId="S::sally.stewart@health.govt.nz::89804d3b-2805-4590-bfac-54806198e67f" userProvider="AD" userName="Sally Stewart"/>
        <t:Anchor>
          <t:Comment id="2079542324"/>
        </t:Anchor>
        <t:SetTitle title="@Emma Hindson do we need this here?"/>
      </t:Event>
    </t:History>
  </t:Task>
  <t:Task id="{23C53957-DFB5-4611-8D77-86704A148EF6}">
    <t:Anchor>
      <t:Comment id="2144131168"/>
    </t:Anchor>
    <t:History>
      <t:Event id="{265C25EA-FE72-4AF6-BDB2-E61F71BB6F13}" time="2023-04-12T01:13:07.182Z">
        <t:Attribution userId="S::sally.stewart@health.govt.nz::89804d3b-2805-4590-bfac-54806198e67f" userProvider="AD" userName="Sally Stewart"/>
        <t:Anchor>
          <t:Comment id="2144131168"/>
        </t:Anchor>
        <t:Create/>
      </t:Event>
      <t:Event id="{8B6A446C-DBD9-454B-8FF6-858EDDE546C2}" time="2023-04-12T01:13:07.182Z">
        <t:Attribution userId="S::sally.stewart@health.govt.nz::89804d3b-2805-4590-bfac-54806198e67f" userProvider="AD" userName="Sally Stewart"/>
        <t:Anchor>
          <t:Comment id="2144131168"/>
        </t:Anchor>
        <t:Assign userId="S::Emma.Hindson@health.govt.nz::63de94da-173f-4a5c-b123-7fc6ebd43091" userProvider="AD" userName="Emma Hindson"/>
      </t:Event>
      <t:Event id="{D4E8724A-93F9-47BC-8C1D-71813CA4B27C}" time="2023-04-12T01:13:07.182Z">
        <t:Attribution userId="S::sally.stewart@health.govt.nz::89804d3b-2805-4590-bfac-54806198e67f" userProvider="AD" userName="Sally Stewart"/>
        <t:Anchor>
          <t:Comment id="2144131168"/>
        </t:Anchor>
        <t:SetTitle title="@Emma Hindson do we need this?"/>
      </t:Event>
    </t:History>
  </t:Task>
  <t:Task id="{04CB8339-9A16-41F4-A2DD-E1EDF44F37B5}">
    <t:Anchor>
      <t:Comment id="1553680783"/>
    </t:Anchor>
    <t:History>
      <t:Event id="{540BA6C1-53E8-469B-B1BF-80119FAE196C}" time="2023-04-12T00:42:07.101Z">
        <t:Attribution userId="S::sally.stewart@health.govt.nz::89804d3b-2805-4590-bfac-54806198e67f" userProvider="AD" userName="Sally Stewart"/>
        <t:Anchor>
          <t:Comment id="1553680783"/>
        </t:Anchor>
        <t:Create/>
      </t:Event>
      <t:Event id="{96AEB79D-3B6A-4310-B2BA-6E535FB50A79}" time="2023-04-12T00:42:07.101Z">
        <t:Attribution userId="S::sally.stewart@health.govt.nz::89804d3b-2805-4590-bfac-54806198e67f" userProvider="AD" userName="Sally Stewart"/>
        <t:Anchor>
          <t:Comment id="1553680783"/>
        </t:Anchor>
        <t:Assign userId="S::Matthew.Burgess@health.govt.nz::99b1626e-8627-4a74-913e-aada12abc7a4" userProvider="AD" userName="Matt Burgess"/>
      </t:Event>
      <t:Event id="{157CB4BA-03CE-4072-A726-B6DAAC7F7543}" time="2023-04-12T00:42:07.101Z">
        <t:Attribution userId="S::sally.stewart@health.govt.nz::89804d3b-2805-4590-bfac-54806198e67f" userProvider="AD" userName="Sally Stewart"/>
        <t:Anchor>
          <t:Comment id="1553680783"/>
        </t:Anchor>
        <t:SetTitle title="@Matt Burgess are these the things we talked about yesterday that are not included in this package of approvals?"/>
      </t:Event>
    </t:History>
  </t:Task>
  <t:Task id="{3C97994F-B3D7-49A9-B77E-1A807795BF73}">
    <t:Anchor>
      <t:Comment id="508425867"/>
    </t:Anchor>
    <t:History>
      <t:Event id="{6EBDE4C6-698B-4BED-B5C4-59010D5BE8D2}" time="2023-04-12T21:13:23.11Z">
        <t:Attribution userId="S::sally.stewart@health.govt.nz::89804d3b-2805-4590-bfac-54806198e67f" userProvider="AD" userName="Sally Stewart"/>
        <t:Anchor>
          <t:Comment id="508425867"/>
        </t:Anchor>
        <t:Create/>
      </t:Event>
      <t:Event id="{573A4BC6-DD67-4E00-98A6-87DCEDC196F8}" time="2023-04-12T21:13:23.11Z">
        <t:Attribution userId="S::sally.stewart@health.govt.nz::89804d3b-2805-4590-bfac-54806198e67f" userProvider="AD" userName="Sally Stewart"/>
        <t:Anchor>
          <t:Comment id="508425867"/>
        </t:Anchor>
        <t:Assign userId="S::Carolyn.Shivanandan@health.govt.nz::22fd469f-0edb-4965-b85c-fe790a240685" userProvider="AD" userName="Carolyn Shivanandan"/>
      </t:Event>
      <t:Event id="{43A68EC0-6929-44F6-A2AF-9724F6F68208}" time="2023-04-12T21:13:23.11Z">
        <t:Attribution userId="S::sally.stewart@health.govt.nz::89804d3b-2805-4590-bfac-54806198e67f" userProvider="AD" userName="Sally Stewart"/>
        <t:Anchor>
          <t:Comment id="508425867"/>
        </t:Anchor>
        <t:SetTitle title="@Carolyn Shivanandan is it just psychoactive substances that can be used to maintain addictiveness?"/>
      </t:Event>
    </t:History>
  </t:Task>
  <t:Task id="{80CC4F5D-E416-4120-8C9B-CCED91890064}">
    <t:Anchor>
      <t:Comment id="1055450474"/>
    </t:Anchor>
    <t:History>
      <t:Event id="{72C46E11-78E9-4751-9993-D047E4E09E32}" time="2023-04-12T23:23:35.905Z">
        <t:Attribution userId="S::sally.stewart@health.govt.nz::89804d3b-2805-4590-bfac-54806198e67f" userProvider="AD" userName="Sally Stewart"/>
        <t:Anchor>
          <t:Comment id="1055450474"/>
        </t:Anchor>
        <t:Create/>
      </t:Event>
      <t:Event id="{3D6EA451-9F3E-4F50-992A-88D8A82A683C}" time="2023-04-12T23:23:35.905Z">
        <t:Attribution userId="S::sally.stewart@health.govt.nz::89804d3b-2805-4590-bfac-54806198e67f" userProvider="AD" userName="Sally Stewart"/>
        <t:Anchor>
          <t:Comment id="1055450474"/>
        </t:Anchor>
        <t:Assign userId="S::Matthew.Burgess@health.govt.nz::99b1626e-8627-4a74-913e-aada12abc7a4" userProvider="AD" userName="Matt Burgess"/>
      </t:Event>
      <t:Event id="{C8460609-08E1-42DF-B1E7-66C71AFD6145}" time="2023-04-12T23:23:35.905Z">
        <t:Attribution userId="S::sally.stewart@health.govt.nz::89804d3b-2805-4590-bfac-54806198e67f" userProvider="AD" userName="Sally Stewart"/>
        <t:Anchor>
          <t:Comment id="1055450474"/>
        </t:Anchor>
        <t:SetTitle title="@Matt Burgess is this section something that Kate and/or Steph will have existing information for that is presenting in a more appealing way?"/>
      </t:Event>
    </t:History>
  </t:Task>
  <t:Task id="{BCED5EDB-4577-48A7-B282-CD3416362AE7}">
    <t:Anchor>
      <t:Comment id="1169294876"/>
    </t:Anchor>
    <t:History>
      <t:Event id="{553ED9FF-C134-4371-BB15-C9B5D48F9323}" time="2023-04-12T23:27:11.424Z">
        <t:Attribution userId="S::sally.stewart@health.govt.nz::89804d3b-2805-4590-bfac-54806198e67f" userProvider="AD" userName="Sally Stewart"/>
        <t:Anchor>
          <t:Comment id="1169294876"/>
        </t:Anchor>
        <t:Create/>
      </t:Event>
      <t:Event id="{5D248B56-EFC5-4A95-942C-A79C1C5F9302}" time="2023-04-12T23:27:11.424Z">
        <t:Attribution userId="S::sally.stewart@health.govt.nz::89804d3b-2805-4590-bfac-54806198e67f" userProvider="AD" userName="Sally Stewart"/>
        <t:Anchor>
          <t:Comment id="1169294876"/>
        </t:Anchor>
        <t:Assign userId="S::Matthew.Burgess@health.govt.nz::99b1626e-8627-4a74-913e-aada12abc7a4" userProvider="AD" userName="Matt Burgess"/>
      </t:Event>
      <t:Event id="{D62B2DAF-4EB5-4FF9-ADEB-A90ED852701C}" time="2023-04-12T23:27:11.424Z">
        <t:Attribution userId="S::sally.stewart@health.govt.nz::89804d3b-2805-4590-bfac-54806198e67f" userProvider="AD" userName="Sally Stewart"/>
        <t:Anchor>
          <t:Comment id="1169294876"/>
        </t:Anchor>
        <t:SetTitle title="@Matt Burgess could you please get someone to look at this section too. It feels a bit repetitive / messy (tracks are my starter suggestions)"/>
      </t:Event>
    </t:History>
  </t:Task>
  <t:Task id="{CFC35C17-AC37-42D4-8137-1B5CF9F5FEBD}">
    <t:Anchor>
      <t:Comment id="1073089147"/>
    </t:Anchor>
    <t:History>
      <t:Event id="{0D23489E-0023-4C9C-9375-499A2D8D67A3}" time="2023-04-12T23:27:53.192Z">
        <t:Attribution userId="S::sally.stewart@health.govt.nz::89804d3b-2805-4590-bfac-54806198e67f" userProvider="AD" userName="Sally Stewart"/>
        <t:Anchor>
          <t:Comment id="1073089147"/>
        </t:Anchor>
        <t:Create/>
      </t:Event>
      <t:Event id="{DFF1548E-F48D-4E16-A731-2CFA7A17832C}" time="2023-04-12T23:27:53.192Z">
        <t:Attribution userId="S::sally.stewart@health.govt.nz::89804d3b-2805-4590-bfac-54806198e67f" userProvider="AD" userName="Sally Stewart"/>
        <t:Anchor>
          <t:Comment id="1073089147"/>
        </t:Anchor>
        <t:Assign userId="S::Matthew.Burgess@health.govt.nz::99b1626e-8627-4a74-913e-aada12abc7a4" userProvider="AD" userName="Matt Burgess"/>
      </t:Event>
      <t:Event id="{163FE0D9-20E2-4C4D-9013-3012B9827017}" time="2023-04-12T23:27:53.192Z">
        <t:Attribution userId="S::sally.stewart@health.govt.nz::89804d3b-2805-4590-bfac-54806198e67f" userProvider="AD" userName="Sally Stewart"/>
        <t:Anchor>
          <t:Comment id="1073089147"/>
        </t:Anchor>
        <t:SetTitle title="@Matt Burgess this too - could Kate have a quick loo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NA</Activity>
    <AggregationStatus xmlns="4f9c820c-e7e2-444d-97ee-45f2b3485c1d">Normal</AggregationStatus>
    <OverrideLabel xmlns="d0b61010-d6f3-4072-b934-7bbb13e97771" xsi:nil="true"/>
    <CategoryValue xmlns="4f9c820c-e7e2-444d-97ee-45f2b3485c1d">Consultation report back</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Public Health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Public Health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Smokefree Environments and Regulated Products Smoked Tobacco Amendment Bill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Secondary Legislation</CategoryName>
    <PRADateTrigger xmlns="4f9c820c-e7e2-444d-97ee-45f2b3485c1d" xsi:nil="true"/>
    <PRAText2 xmlns="4f9c820c-e7e2-444d-97ee-45f2b3485c1d" xsi:nil="true"/>
    <zLegacyID xmlns="184c05c4-c568-455d-94a4-7e009b164348" xsi:nil="true"/>
    <_dlc_DocId xmlns="94106329-9bbb-49eb-b32b-6355cff7f379">MOHECM-588128392-6995</_dlc_DocId>
    <_dlc_DocIdUrl xmlns="94106329-9bbb-49eb-b32b-6355cff7f379">
      <Url>https://mohgovtnz.sharepoint.com/sites/moh-ecm-PHP/_layouts/15/DocIdRedir.aspx?ID=MOHECM-588128392-6995</Url>
      <Description>MOHECM-588128392-6995</Description>
    </_dlc_DocIdUrl>
    <SharedWithUsers xmlns="94106329-9bbb-49eb-b32b-6355cff7f379">
      <UserInfo>
        <DisplayName>Emma Hindson</DisplayName>
        <AccountId>112</AccountId>
        <AccountType/>
      </UserInfo>
      <UserInfo>
        <DisplayName>Carolyn Shivanandan</DisplayName>
        <AccountId>102</AccountId>
        <AccountType/>
      </UserInfo>
      <UserInfo>
        <DisplayName>Matt Burgess</DisplayName>
        <AccountId>185</AccountId>
        <AccountType/>
      </UserInfo>
      <UserInfo>
        <DisplayName>Sally Stewart</DisplayName>
        <AccountId>58</AccountId>
        <AccountType/>
      </UserInfo>
      <UserInfo>
        <DisplayName>Jack Heagney</DisplayName>
        <AccountId>60</AccountId>
        <AccountType/>
      </UserInfo>
      <UserInfo>
        <DisplayName>Olivia Barr</DisplayName>
        <AccountId>56</AccountId>
        <AccountType/>
      </UserInfo>
      <UserInfo>
        <DisplayName>Grace Penlain</DisplayName>
        <AccountId>122</AccountId>
        <AccountType/>
      </UserInfo>
    </SharedWithUsers>
    <Subactivity xmlns="4f9c820c-e7e2-444d-97ee-45f2b3485c1d">NA</Subactivity>
    <lcf76f155ced4ddcb4097134ff3c332f xmlns="481b176e-4748-40e6-b4c2-5c78c09fb5f8">
      <Terms xmlns="http://schemas.microsoft.com/office/infopath/2007/PartnerControls"/>
    </lcf76f155ced4ddcb4097134ff3c332f>
    <TaxCatchAll xmlns="94106329-9bbb-49eb-b32b-6355cff7f3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06B508744A2AC848B695886D527F4BAE" ma:contentTypeVersion="227" ma:contentTypeDescription="Create a new document." ma:contentTypeScope="" ma:versionID="a613e92bf24da52f2fad1c0cc43af3c3">
  <xsd:schema xmlns:xsd="http://www.w3.org/2001/XMLSchema" xmlns:xs="http://www.w3.org/2001/XMLSchema" xmlns:p="http://schemas.microsoft.com/office/2006/metadata/properties" xmlns:ns2="94106329-9bbb-49eb-b32b-6355cff7f379" xmlns:ns3="4f9c820c-e7e2-444d-97ee-45f2b3485c1d" xmlns:ns4="15ffb055-6eb4-45a1-bc20-bf2ac0d420da" xmlns:ns5="725c79e5-42ce-4aa0-ac78-b6418001f0d2" xmlns:ns6="c91a514c-9034-4fa3-897a-8352025b26ed" xmlns:ns7="d0b61010-d6f3-4072-b934-7bbb13e97771" xmlns:ns8="184c05c4-c568-455d-94a4-7e009b164348" xmlns:ns9="481b176e-4748-40e6-b4c2-5c78c09fb5f8" targetNamespace="http://schemas.microsoft.com/office/2006/metadata/properties" ma:root="true" ma:fieldsID="003bbf2e7bfb1e717865709dacee88c1" ns2:_="" ns3:_="" ns4:_="" ns5:_="" ns6:_="" ns7:_="" ns8:_="" ns9:_="">
    <xsd:import namespace="94106329-9bbb-49eb-b32b-6355cff7f379"/>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481b176e-4748-40e6-b4c2-5c78c09fb5f8"/>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9:MediaServiceDateTaken" minOccurs="0"/>
                <xsd:element ref="ns9: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06329-9bbb-49eb-b32b-6355cff7f3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4b177090-7f76-44cf-9b6e-eb239a801baf}" ma:internalName="TaxCatchAll" ma:showField="CatchAllData" ma:web="94106329-9bbb-49eb-b32b-6355cff7f3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2" nillable="true" ma:displayName="Function" ma:default="Public Health Programme"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NA"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Public Health Programme"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Retain"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481b176e-4748-40e6-b4c2-5c78c09fb5f8"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8" nillable="true" ma:displayName="Extracted Text" ma:internalName="MediaServiceOCR" ma:readOnly="true">
      <xsd:simpleType>
        <xsd:restriction base="dms:Note">
          <xsd:maxLength value="255"/>
        </xsd:restriction>
      </xsd:simpleType>
    </xsd:element>
    <xsd:element name="MediaServiceGenerationTime" ma:index="59" nillable="true" ma:displayName="MediaServiceGenerationTime" ma:hidden="true" ma:internalName="MediaServiceGenerationTime" ma:readOnly="true">
      <xsd:simpleType>
        <xsd:restriction base="dms:Text"/>
      </xsd:simpleType>
    </xsd:element>
    <xsd:element name="MediaServiceEventHashCode" ma:index="60" nillable="true" ma:displayName="MediaServiceEventHashCode" ma:hidden="true" ma:internalName="MediaServiceEventHashCode" ma:readOnly="true">
      <xsd:simpleType>
        <xsd:restriction base="dms:Text"/>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MediaLengthInSeconds" ma:index="6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36DA1-2376-410A-BE2B-943A75C21A61}">
  <ds:schemaRefs>
    <ds:schemaRef ds:uri="http://schemas.microsoft.com/sharepoint/events"/>
  </ds:schemaRefs>
</ds:datastoreItem>
</file>

<file path=customXml/itemProps2.xml><?xml version="1.0" encoding="utf-8"?>
<ds:datastoreItem xmlns:ds="http://schemas.openxmlformats.org/officeDocument/2006/customXml" ds:itemID="{1EB7D159-610A-4ACF-92A5-748165938A18}">
  <ds:schemaRefs>
    <ds:schemaRef ds:uri="http://schemas.openxmlformats.org/officeDocument/2006/bibliography"/>
  </ds:schemaRefs>
</ds:datastoreItem>
</file>

<file path=customXml/itemProps3.xml><?xml version="1.0" encoding="utf-8"?>
<ds:datastoreItem xmlns:ds="http://schemas.openxmlformats.org/officeDocument/2006/customXml" ds:itemID="{EDF5A826-58E9-416E-A227-64DF90C4C290}">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94106329-9bbb-49eb-b32b-6355cff7f379"/>
    <ds:schemaRef ds:uri="481b176e-4748-40e6-b4c2-5c78c09fb5f8"/>
  </ds:schemaRefs>
</ds:datastoreItem>
</file>

<file path=customXml/itemProps4.xml><?xml version="1.0" encoding="utf-8"?>
<ds:datastoreItem xmlns:ds="http://schemas.openxmlformats.org/officeDocument/2006/customXml" ds:itemID="{BE6D7CF9-7525-42DA-90A5-B3395EA04401}">
  <ds:schemaRefs>
    <ds:schemaRef ds:uri="http://schemas.microsoft.com/sharepoint/v3/contenttype/forms"/>
  </ds:schemaRefs>
</ds:datastoreItem>
</file>

<file path=customXml/itemProps5.xml><?xml version="1.0" encoding="utf-8"?>
<ds:datastoreItem xmlns:ds="http://schemas.openxmlformats.org/officeDocument/2006/customXml" ds:itemID="{58922355-253F-4B2F-85AB-FDDDDD59E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06329-9bbb-49eb-b32b-6355cff7f379"/>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481b176e-4748-40e6-b4c2-5c78c09fb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13214</Words>
  <Characters>75322</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Smokefree Environments and Regulated Products Smoked Tobacco Amendment Bill</vt:lpstr>
    </vt:vector>
  </TitlesOfParts>
  <Company>NZ Government</Company>
  <LinksUpToDate>false</LinksUpToDate>
  <CharactersWithSpaces>88360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Environments and Regulated Products Smoked Tobacco Amendment Bill</dc:title>
  <dc:subject/>
  <dc:creator>New Zealand Treasury</dc:creator>
  <cp:keywords/>
  <dc:description/>
  <cp:lastModifiedBy>Emma Hindson</cp:lastModifiedBy>
  <cp:revision>2</cp:revision>
  <cp:lastPrinted>2023-05-10T02:35:00Z</cp:lastPrinted>
  <dcterms:created xsi:type="dcterms:W3CDTF">2023-08-27T21:19:00Z</dcterms:created>
  <dcterms:modified xsi:type="dcterms:W3CDTF">2023-08-27T21:19:00Z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0x01010006B508744A2AC848B695886D527F4BAE</vt:lpwstr>
  </property>
  <property fmtid="{D5CDD505-2E9C-101B-9397-08002B2CF9AE}" pid="3" name="_dlc_DocIdItemGuid">
    <vt:lpwstr>7b6941c5-c051-4046-9d5b-9f414fa5a978</vt:lpwstr>
  </property>
  <property fmtid="{D5CDD505-2E9C-101B-9397-08002B2CF9AE}" pid="4" name="MediaServiceImageTags">
    <vt:lpwstr/>
  </property>
</Properties>
</file>