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55161" w14:textId="5CDC2A7E" w:rsidR="00C86248" w:rsidRDefault="00FC4E54" w:rsidP="00926083">
      <w:pPr>
        <w:pStyle w:val="Title"/>
      </w:pPr>
      <w:r w:rsidRPr="00FC4E54">
        <w:t>Ngā mahi kaikiri i te tau 2011/12, i te tau 2016/17 me te tau 2020/21</w:t>
      </w:r>
    </w:p>
    <w:p w14:paraId="05570DCD" w14:textId="77B925C5" w:rsidR="00FC4E54" w:rsidRDefault="00FC4E54" w:rsidP="00FC4E54"/>
    <w:p w14:paraId="14EAEE88" w14:textId="55467DA0" w:rsidR="00FC4E54" w:rsidRPr="00FC4E54" w:rsidRDefault="00FC4E54" w:rsidP="00FC4E54">
      <w:pPr>
        <w:pStyle w:val="Title"/>
        <w:spacing w:before="480"/>
      </w:pPr>
      <w:r w:rsidRPr="00FC4E54">
        <w:t>Racial Discrimination 2011/12, 2016/17 and 2020/21</w:t>
      </w:r>
    </w:p>
    <w:p w14:paraId="2B4FAC6A" w14:textId="29464489" w:rsidR="00C05132" w:rsidRDefault="00FC4E54" w:rsidP="00926083">
      <w:pPr>
        <w:pStyle w:val="Subhead"/>
      </w:pPr>
      <w:r w:rsidRPr="00FC4E54">
        <w:t>New Zealand Health Survey</w:t>
      </w:r>
    </w:p>
    <w:p w14:paraId="5C1CCC9F" w14:textId="77777777" w:rsidR="00C05132" w:rsidRDefault="00C05132" w:rsidP="00A06BE4"/>
    <w:p w14:paraId="57E2CB79" w14:textId="77777777" w:rsidR="00142954" w:rsidRPr="00142954" w:rsidRDefault="00142954" w:rsidP="00142954">
      <w:pPr>
        <w:sectPr w:rsidR="00142954" w:rsidRPr="00142954" w:rsidSect="00FC4E54">
          <w:headerReference w:type="default" r:id="rId12"/>
          <w:footerReference w:type="default" r:id="rId13"/>
          <w:pgSz w:w="11907" w:h="16834" w:code="9"/>
          <w:pgMar w:top="3686" w:right="1134" w:bottom="1134" w:left="1134" w:header="567" w:footer="851" w:gutter="0"/>
          <w:pgNumType w:start="1"/>
          <w:cols w:space="720"/>
        </w:sectPr>
      </w:pPr>
    </w:p>
    <w:p w14:paraId="097FF2AB" w14:textId="6601152E" w:rsidR="00FC4E54" w:rsidRPr="00A63DFF" w:rsidRDefault="00FC4E54" w:rsidP="00FC4E54">
      <w:pPr>
        <w:rPr>
          <w:rFonts w:asciiTheme="minorHAnsi" w:hAnsiTheme="minorHAnsi" w:cstheme="minorHAnsi"/>
          <w:b/>
          <w:spacing w:val="10"/>
          <w:sz w:val="36"/>
          <w:szCs w:val="36"/>
        </w:rPr>
      </w:pPr>
      <w:r w:rsidRPr="00FC4E54">
        <w:rPr>
          <w:rFonts w:asciiTheme="minorHAnsi" w:hAnsiTheme="minorHAnsi" w:cstheme="minorHAnsi"/>
          <w:b/>
          <w:spacing w:val="10"/>
          <w:sz w:val="36"/>
          <w:szCs w:val="36"/>
        </w:rPr>
        <w:lastRenderedPageBreak/>
        <w:t>Ngā mihi</w:t>
      </w:r>
    </w:p>
    <w:p w14:paraId="6A92D61B" w14:textId="77777777" w:rsidR="00FC4E54" w:rsidRPr="00FC4E54" w:rsidRDefault="00FC4E54" w:rsidP="00FC4E54">
      <w:pPr>
        <w:spacing w:before="120"/>
        <w:rPr>
          <w:rFonts w:cs="Segoe UI"/>
          <w:sz w:val="18"/>
          <w:szCs w:val="18"/>
        </w:rPr>
      </w:pPr>
      <w:r w:rsidRPr="00FC4E54">
        <w:rPr>
          <w:rFonts w:cs="Segoe UI"/>
          <w:sz w:val="18"/>
          <w:szCs w:val="18"/>
        </w:rPr>
        <w:t>E hāpaitia ana te New Zealand Health Survey e te tautoko me te ngākau hihiri o te takitini, pērā i ngā kaiwhakautu me ngā kairangahau nā rātou ngā tatauranga i āta kohikohi mai nei. Tēnā koutou katoa.</w:t>
      </w:r>
    </w:p>
    <w:p w14:paraId="1E2CB1F6" w14:textId="77777777" w:rsidR="00FC4E54" w:rsidRPr="00FC4E54" w:rsidRDefault="00FC4E54" w:rsidP="00FC4E54">
      <w:pPr>
        <w:spacing w:before="120"/>
        <w:rPr>
          <w:rFonts w:cs="Segoe UI"/>
          <w:sz w:val="18"/>
          <w:szCs w:val="18"/>
        </w:rPr>
      </w:pPr>
      <w:r w:rsidRPr="00FC4E54">
        <w:rPr>
          <w:rFonts w:cs="Segoe UI"/>
          <w:sz w:val="18"/>
          <w:szCs w:val="18"/>
        </w:rPr>
        <w:t>He mea whakawhanake te New Zealand Health Survey e te rōpū Health Surveys i roto i te tari o Evidence, Research and Analytics ki te Manatū Hauora. He mea whakahaere nā Reach Aotearoa (arā, ko CBG Health Research Ltd te ingoa o mua), he kaiwhakarato rangahau hauora tūmatanui motuhake ki Tāmaki Makaurau.</w:t>
      </w:r>
    </w:p>
    <w:p w14:paraId="33B3F047" w14:textId="77777777" w:rsidR="00FC4E54" w:rsidRPr="00FC4E54" w:rsidRDefault="00FC4E54" w:rsidP="00FC4E54">
      <w:pPr>
        <w:spacing w:before="120"/>
        <w:rPr>
          <w:rFonts w:cs="Segoe UI"/>
          <w:sz w:val="18"/>
          <w:szCs w:val="18"/>
        </w:rPr>
      </w:pPr>
      <w:r w:rsidRPr="00FC4E54">
        <w:rPr>
          <w:rFonts w:cs="Segoe UI"/>
          <w:sz w:val="18"/>
          <w:szCs w:val="18"/>
        </w:rPr>
        <w:t>He mea whakarite tēnei pūrongo nā te rōpū o Evidence, Research and Analytics i runga i te tautoko o Te Pou Hauora Māori me te rōpū o Pacific Health ki te Manatū Hauora.</w:t>
      </w:r>
    </w:p>
    <w:p w14:paraId="19159954" w14:textId="77777777" w:rsidR="00FC4E54" w:rsidRPr="00FC4E54" w:rsidRDefault="00FC4E54" w:rsidP="00FC4E54">
      <w:pPr>
        <w:spacing w:before="120"/>
        <w:rPr>
          <w:rFonts w:cs="Segoe UI"/>
          <w:sz w:val="18"/>
          <w:szCs w:val="18"/>
        </w:rPr>
      </w:pPr>
      <w:r w:rsidRPr="00FC4E54">
        <w:rPr>
          <w:rFonts w:cs="Segoe UI"/>
          <w:sz w:val="18"/>
          <w:szCs w:val="18"/>
        </w:rPr>
        <w:t>Kei te mihi mātou ki Te Whare Wānanga o Otāgo mō ngā tāpaenga kōrero e pā ana ki tō rātou tātaringa o ngā tatauranga mō ngā mahi kaikiri.</w:t>
      </w:r>
    </w:p>
    <w:p w14:paraId="1FEE7A5D" w14:textId="5254E8A6" w:rsidR="00FC4E54" w:rsidRPr="00FC4E54" w:rsidRDefault="00FC4E54" w:rsidP="00FC4E54">
      <w:pPr>
        <w:spacing w:before="120"/>
        <w:rPr>
          <w:rFonts w:cs="Segoe UI"/>
          <w:sz w:val="18"/>
          <w:szCs w:val="18"/>
        </w:rPr>
      </w:pPr>
      <w:r w:rsidRPr="00FC4E54">
        <w:rPr>
          <w:rFonts w:cs="Segoe UI"/>
          <w:sz w:val="18"/>
          <w:szCs w:val="18"/>
        </w:rPr>
        <w:t xml:space="preserve">He mihi anō ki ngā tāngata katoa i whāngai, i arotake hoki i te pūrongo nei. </w:t>
      </w:r>
    </w:p>
    <w:p w14:paraId="08F3BC00" w14:textId="77777777" w:rsidR="00FC4E54" w:rsidRDefault="00FC4E54" w:rsidP="00C05132">
      <w:pPr>
        <w:rPr>
          <w:rFonts w:asciiTheme="minorHAnsi" w:hAnsiTheme="minorHAnsi" w:cstheme="minorHAnsi"/>
          <w:b/>
          <w:spacing w:val="10"/>
          <w:sz w:val="36"/>
          <w:szCs w:val="36"/>
        </w:rPr>
      </w:pPr>
    </w:p>
    <w:p w14:paraId="32A4C763" w14:textId="38329E68" w:rsidR="009A42D5" w:rsidRPr="00A63DFF" w:rsidRDefault="009A42D5" w:rsidP="00C05132">
      <w:pPr>
        <w:rPr>
          <w:rFonts w:asciiTheme="minorHAnsi" w:hAnsiTheme="minorHAnsi" w:cstheme="minorHAnsi"/>
          <w:b/>
          <w:spacing w:val="10"/>
          <w:sz w:val="36"/>
          <w:szCs w:val="36"/>
        </w:rPr>
      </w:pPr>
      <w:r w:rsidRPr="00A63DFF">
        <w:rPr>
          <w:rFonts w:asciiTheme="minorHAnsi" w:hAnsiTheme="minorHAnsi" w:cstheme="minorHAnsi"/>
          <w:b/>
          <w:spacing w:val="10"/>
          <w:sz w:val="36"/>
          <w:szCs w:val="36"/>
        </w:rPr>
        <w:t>Acknowledgements</w:t>
      </w:r>
    </w:p>
    <w:p w14:paraId="167B36F5" w14:textId="77777777" w:rsidR="00FC4E54" w:rsidRPr="00FC4E54" w:rsidRDefault="00FC4E54" w:rsidP="00FC4E54">
      <w:pPr>
        <w:spacing w:before="120"/>
        <w:rPr>
          <w:rFonts w:cs="Segoe UI"/>
          <w:sz w:val="18"/>
          <w:szCs w:val="18"/>
        </w:rPr>
      </w:pPr>
      <w:r w:rsidRPr="00FC4E54">
        <w:rPr>
          <w:rFonts w:cs="Segoe UI"/>
          <w:sz w:val="18"/>
          <w:szCs w:val="18"/>
        </w:rPr>
        <w:t xml:space="preserve">The New Zealand Health Survey relies on the support and enthusiasm of many individuals, including the survey participants and the surveyors who worked so diligently to collect the data. Thank you to all. </w:t>
      </w:r>
    </w:p>
    <w:p w14:paraId="0FF80C01" w14:textId="77777777" w:rsidR="00FC4E54" w:rsidRPr="00FC4E54" w:rsidRDefault="00FC4E54" w:rsidP="00FC4E54">
      <w:pPr>
        <w:spacing w:before="120"/>
        <w:rPr>
          <w:rFonts w:cs="Segoe UI"/>
          <w:sz w:val="18"/>
          <w:szCs w:val="18"/>
        </w:rPr>
      </w:pPr>
      <w:r w:rsidRPr="00FC4E54">
        <w:rPr>
          <w:rFonts w:cs="Segoe UI"/>
          <w:sz w:val="18"/>
          <w:szCs w:val="18"/>
        </w:rPr>
        <w:t>The New Zealand Health Survey is developed by the Health Surveys team in the Evidence, Research and Analytics group, Manatū Hauora — Ministry of Health. It is conducted by Reach Aotearoa (formerly known as CBG Health Research Ltd), an Auckland-based independent public health research provider.</w:t>
      </w:r>
    </w:p>
    <w:p w14:paraId="39F14247" w14:textId="77777777" w:rsidR="00FC4E54" w:rsidRPr="00FC4E54" w:rsidRDefault="00FC4E54" w:rsidP="00FC4E54">
      <w:pPr>
        <w:spacing w:before="120"/>
        <w:rPr>
          <w:rFonts w:cs="Segoe UI"/>
          <w:sz w:val="18"/>
          <w:szCs w:val="18"/>
        </w:rPr>
      </w:pPr>
      <w:r w:rsidRPr="00FC4E54">
        <w:rPr>
          <w:rFonts w:cs="Segoe UI"/>
          <w:sz w:val="18"/>
          <w:szCs w:val="18"/>
        </w:rPr>
        <w:t>This report was prepared by the Evidence, Research and Analytics group with support from the Māori Health Directorate and Pacific Health team within Manatū Hauora.</w:t>
      </w:r>
    </w:p>
    <w:p w14:paraId="7788754E" w14:textId="77777777" w:rsidR="00FC4E54" w:rsidRPr="00FC4E54" w:rsidRDefault="00FC4E54" w:rsidP="00FC4E54">
      <w:pPr>
        <w:spacing w:before="120"/>
        <w:rPr>
          <w:rFonts w:cs="Segoe UI"/>
          <w:sz w:val="18"/>
          <w:szCs w:val="18"/>
        </w:rPr>
      </w:pPr>
      <w:r w:rsidRPr="00FC4E54">
        <w:rPr>
          <w:rFonts w:cs="Segoe UI"/>
          <w:sz w:val="18"/>
          <w:szCs w:val="18"/>
        </w:rPr>
        <w:t xml:space="preserve">We would like to thank the University of Otago for providing advice based on its previous analysis of the racial discrimination data. </w:t>
      </w:r>
    </w:p>
    <w:p w14:paraId="6F7D50AD" w14:textId="4AC3D755" w:rsidR="009A42D5" w:rsidRPr="00FC4E54" w:rsidRDefault="00FC4E54" w:rsidP="00FC4E54">
      <w:pPr>
        <w:spacing w:before="120"/>
        <w:rPr>
          <w:rFonts w:cs="Segoe UI"/>
          <w:sz w:val="18"/>
          <w:szCs w:val="18"/>
        </w:rPr>
      </w:pPr>
      <w:r w:rsidRPr="00FC4E54">
        <w:rPr>
          <w:rFonts w:cs="Segoe UI"/>
          <w:sz w:val="18"/>
          <w:szCs w:val="18"/>
        </w:rPr>
        <w:t xml:space="preserve">Thank you to all who provided input and review. </w:t>
      </w:r>
    </w:p>
    <w:p w14:paraId="358CE3BA" w14:textId="274797D4" w:rsidR="00A80363" w:rsidRPr="00C05132" w:rsidRDefault="00A80363" w:rsidP="00FC4E54">
      <w:pPr>
        <w:pStyle w:val="Imprint"/>
        <w:spacing w:before="600"/>
        <w:rPr>
          <w:rFonts w:cs="Segoe UI"/>
        </w:rPr>
      </w:pPr>
      <w:r w:rsidRPr="00C05132">
        <w:rPr>
          <w:rFonts w:cs="Segoe UI"/>
        </w:rPr>
        <w:t xml:space="preserve">Citation: </w:t>
      </w:r>
      <w:r w:rsidR="00442C1C" w:rsidRPr="00C05132">
        <w:rPr>
          <w:rFonts w:cs="Segoe UI"/>
        </w:rPr>
        <w:t xml:space="preserve">Ministry of Health. </w:t>
      </w:r>
      <w:r w:rsidR="00FC4E54" w:rsidRPr="003E1386">
        <w:t>2023.</w:t>
      </w:r>
      <w:r w:rsidR="00FC4E54" w:rsidRPr="00336A6E">
        <w:rPr>
          <w:rFonts w:cs="Segoe UI"/>
          <w:i/>
        </w:rPr>
        <w:t xml:space="preserve"> Racial </w:t>
      </w:r>
      <w:r w:rsidR="00FC4E54">
        <w:rPr>
          <w:rFonts w:cs="Segoe UI"/>
          <w:i/>
        </w:rPr>
        <w:t>D</w:t>
      </w:r>
      <w:r w:rsidR="00FC4E54" w:rsidRPr="00336A6E">
        <w:rPr>
          <w:rFonts w:cs="Segoe UI"/>
          <w:i/>
        </w:rPr>
        <w:t>iscrimination 2011/12</w:t>
      </w:r>
      <w:r w:rsidR="00FC4E54">
        <w:rPr>
          <w:rFonts w:cs="Segoe UI"/>
          <w:i/>
        </w:rPr>
        <w:t>, 2016/17 and</w:t>
      </w:r>
      <w:r w:rsidR="00FC4E54" w:rsidRPr="00336A6E">
        <w:rPr>
          <w:rFonts w:cs="Segoe UI"/>
          <w:i/>
        </w:rPr>
        <w:t xml:space="preserve"> 2020/21</w:t>
      </w:r>
      <w:r w:rsidR="00FC4E54">
        <w:rPr>
          <w:rFonts w:cs="Segoe UI"/>
          <w:i/>
        </w:rPr>
        <w:t xml:space="preserve">: New Zealand Health Survey. </w:t>
      </w:r>
      <w:r w:rsidR="00442C1C" w:rsidRPr="00C05132">
        <w:rPr>
          <w:rFonts w:cs="Segoe UI"/>
        </w:rPr>
        <w:t>Wellington: Ministry of Health.</w:t>
      </w:r>
    </w:p>
    <w:p w14:paraId="7909192E" w14:textId="2DE7A0CE" w:rsidR="00C86248" w:rsidRDefault="00FC4E54">
      <w:pPr>
        <w:pStyle w:val="Imprint"/>
      </w:pPr>
      <w:r>
        <w:t xml:space="preserve">Published in June 2023 </w:t>
      </w:r>
      <w:r w:rsidR="00C86248">
        <w:t>by the</w:t>
      </w:r>
      <w:r w:rsidR="00442C1C">
        <w:t xml:space="preserve"> </w:t>
      </w:r>
      <w:r w:rsidR="00C86248">
        <w:t>Ministry of Health</w:t>
      </w:r>
      <w:r w:rsidR="00C86248">
        <w:br/>
        <w:t>PO Box 5013, Wellington</w:t>
      </w:r>
      <w:r w:rsidR="00A80363">
        <w:t xml:space="preserve"> 614</w:t>
      </w:r>
      <w:r w:rsidR="006041F0">
        <w:t>0</w:t>
      </w:r>
      <w:r w:rsidR="00C86248">
        <w:t xml:space="preserve">, </w:t>
      </w:r>
      <w:r w:rsidR="00571223">
        <w:t>New Zealand</w:t>
      </w:r>
    </w:p>
    <w:p w14:paraId="10765051" w14:textId="1FAD81EE" w:rsidR="00FC4E54" w:rsidRPr="009C0F2D" w:rsidRDefault="00FC4E54" w:rsidP="00FC4E54">
      <w:pPr>
        <w:pStyle w:val="Imprint"/>
      </w:pPr>
      <w:r w:rsidRPr="003D1820">
        <w:t xml:space="preserve">ISBN </w:t>
      </w:r>
      <w:r w:rsidR="003D1820" w:rsidRPr="003D1820">
        <w:t>978-1-991075-30-7</w:t>
      </w:r>
      <w:r w:rsidRPr="003D1820">
        <w:t xml:space="preserve"> (online)</w:t>
      </w:r>
      <w:r w:rsidRPr="003D1820">
        <w:br/>
        <w:t xml:space="preserve">HP </w:t>
      </w:r>
      <w:r w:rsidR="008634FC">
        <w:t>8787</w:t>
      </w:r>
    </w:p>
    <w:p w14:paraId="48DBDA36" w14:textId="77777777" w:rsidR="00C86248" w:rsidRDefault="008C64C4" w:rsidP="00A63DFF">
      <w:r>
        <w:rPr>
          <w:noProof/>
          <w:lang w:eastAsia="en-NZ"/>
        </w:rPr>
        <w:drawing>
          <wp:inline distT="0" distB="0" distL="0" distR="0" wp14:anchorId="6EF4539D" wp14:editId="24E7FF0C">
            <wp:extent cx="1216825" cy="576270"/>
            <wp:effectExtent l="0" t="0" r="2540" b="0"/>
            <wp:docPr id="2" name="Picture 2"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Health logo"/>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16825" cy="576270"/>
                    </a:xfrm>
                    <a:prstGeom prst="rect">
                      <a:avLst/>
                    </a:prstGeom>
                    <a:noFill/>
                    <a:ln>
                      <a:noFill/>
                    </a:ln>
                  </pic:spPr>
                </pic:pic>
              </a:graphicData>
            </a:graphic>
          </wp:inline>
        </w:drawing>
      </w:r>
    </w:p>
    <w:p w14:paraId="354F16DF" w14:textId="77777777" w:rsidR="00A63DFF" w:rsidRDefault="00A63DFF" w:rsidP="00A63DFF">
      <w:pPr>
        <w:pStyle w:val="Imprint"/>
        <w:spacing w:before="240" w:after="480"/>
      </w:pPr>
      <w:r>
        <w:t>This document is available at health.govt.nz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6061"/>
      </w:tblGrid>
      <w:tr w:rsidR="00A63DFF" w:rsidRPr="00A63DFF" w14:paraId="3FC6B2D2" w14:textId="77777777" w:rsidTr="00A63DFF">
        <w:trPr>
          <w:cantSplit/>
        </w:trPr>
        <w:tc>
          <w:tcPr>
            <w:tcW w:w="1526" w:type="dxa"/>
          </w:tcPr>
          <w:p w14:paraId="362D26E7" w14:textId="77777777" w:rsidR="00A63DFF" w:rsidRPr="00A63DFF" w:rsidRDefault="00A63DFF" w:rsidP="00A63DFF">
            <w:pPr>
              <w:rPr>
                <w:rFonts w:cs="Segoe UI"/>
                <w:sz w:val="15"/>
                <w:szCs w:val="15"/>
              </w:rPr>
            </w:pPr>
            <w:r w:rsidRPr="00A63DFF">
              <w:rPr>
                <w:rFonts w:cs="Segoe UI"/>
                <w:b/>
                <w:noProof/>
                <w:sz w:val="15"/>
                <w:szCs w:val="15"/>
                <w:lang w:eastAsia="en-NZ"/>
              </w:rPr>
              <w:drawing>
                <wp:inline distT="0" distB="0" distL="0" distR="0" wp14:anchorId="4BFD7476" wp14:editId="5569ABBB">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7D3A471A" w14:textId="77777777" w:rsidR="00A63DFF" w:rsidRPr="00A63DFF" w:rsidRDefault="00A63DFF" w:rsidP="00A63DFF">
            <w:pPr>
              <w:rPr>
                <w:rFonts w:cs="Segoe UI"/>
                <w:sz w:val="15"/>
                <w:szCs w:val="15"/>
              </w:rPr>
            </w:pPr>
            <w:r w:rsidRPr="00A63DFF">
              <w:rPr>
                <w:rFonts w:cs="Segoe UI"/>
                <w:sz w:val="15"/>
                <w:szCs w:val="15"/>
              </w:rPr>
              <w:t xml:space="preserve">This work is licensed under the Creative Commons Attribution 4.0 International licence. In essence, </w:t>
            </w:r>
            <w:r w:rsidRPr="00A63DFF">
              <w:rPr>
                <w:rFonts w:cs="Segoe UI"/>
                <w:bCs/>
                <w:sz w:val="15"/>
                <w:szCs w:val="15"/>
              </w:rPr>
              <w:t xml:space="preserve">you are free to: </w:t>
            </w:r>
            <w:r w:rsidRPr="00A63DFF">
              <w:rPr>
                <w:rFonts w:cs="Segoe UI"/>
                <w:sz w:val="15"/>
                <w:szCs w:val="15"/>
              </w:rPr>
              <w:t xml:space="preserve">share ie, copy and redistribute the material in any medium or format; adapt ie, remix, transform and build upon the material. </w:t>
            </w:r>
            <w:r w:rsidRPr="00A63DFF">
              <w:rPr>
                <w:rFonts w:cs="Segoe UI"/>
                <w:bCs/>
                <w:sz w:val="15"/>
                <w:szCs w:val="15"/>
              </w:rPr>
              <w:t>You must give appropriate credit, provide a link to the licence and indicate if changes were made.</w:t>
            </w:r>
          </w:p>
        </w:tc>
      </w:tr>
    </w:tbl>
    <w:p w14:paraId="44C6FE3A" w14:textId="77777777" w:rsidR="007E74F1" w:rsidRPr="001F45A7" w:rsidRDefault="007E74F1" w:rsidP="00A63DFF"/>
    <w:p w14:paraId="2113CC0B" w14:textId="77777777" w:rsidR="00C86248" w:rsidRDefault="00C86248">
      <w:pPr>
        <w:jc w:val="center"/>
        <w:sectPr w:rsidR="00C86248" w:rsidSect="00FC4E54">
          <w:footerReference w:type="even" r:id="rId16"/>
          <w:footerReference w:type="default" r:id="rId17"/>
          <w:pgSz w:w="11907" w:h="16834" w:code="9"/>
          <w:pgMar w:top="1134" w:right="2268" w:bottom="1134" w:left="2268" w:header="0" w:footer="0" w:gutter="0"/>
          <w:cols w:space="720"/>
          <w:vAlign w:val="bottom"/>
        </w:sectPr>
      </w:pPr>
    </w:p>
    <w:p w14:paraId="648D4F84" w14:textId="4D2D574E" w:rsidR="00C86248" w:rsidRDefault="001B0EDB" w:rsidP="00025A6F">
      <w:pPr>
        <w:pStyle w:val="IntroHead"/>
      </w:pPr>
      <w:bookmarkStart w:id="1" w:name="_Toc405792991"/>
      <w:bookmarkStart w:id="2" w:name="_Toc405793224"/>
      <w:r w:rsidRPr="004056DA">
        <w:rPr>
          <w:b w:val="0"/>
          <w:bCs/>
        </w:rPr>
        <w:lastRenderedPageBreak/>
        <w:t>Ngā kōrero o roto</w:t>
      </w:r>
      <w:r w:rsidR="001A2554">
        <w:rPr>
          <w:b w:val="0"/>
          <w:bCs/>
        </w:rPr>
        <w:t xml:space="preserve"> </w:t>
      </w:r>
      <w:r w:rsidR="001A2554" w:rsidRPr="001A2554">
        <w:rPr>
          <w:b w:val="0"/>
          <w:bCs/>
        </w:rPr>
        <w:t>|</w:t>
      </w:r>
      <w:r w:rsidRPr="001B0EDB">
        <w:t xml:space="preserve"> </w:t>
      </w:r>
      <w:r w:rsidR="00C86248">
        <w:t>Contents</w:t>
      </w:r>
      <w:bookmarkEnd w:id="1"/>
      <w:bookmarkEnd w:id="2"/>
    </w:p>
    <w:p w14:paraId="03BD9732" w14:textId="3C87C5C2" w:rsidR="005E1833" w:rsidRDefault="005E1833">
      <w:pPr>
        <w:pStyle w:val="TOC1"/>
        <w:rPr>
          <w:rFonts w:asciiTheme="minorHAnsi" w:eastAsiaTheme="minorEastAsia" w:hAnsiTheme="minorHAnsi" w:cstheme="minorBidi"/>
          <w:noProof/>
          <w:sz w:val="22"/>
          <w:szCs w:val="22"/>
          <w:lang w:eastAsia="en-NZ"/>
        </w:rPr>
      </w:pPr>
      <w:r>
        <w:rPr>
          <w:b/>
        </w:rPr>
        <w:fldChar w:fldCharType="begin"/>
      </w:r>
      <w:r>
        <w:rPr>
          <w:b/>
        </w:rPr>
        <w:instrText xml:space="preserve"> TOC \o "1-2" \h \z </w:instrText>
      </w:r>
      <w:r>
        <w:rPr>
          <w:b/>
        </w:rPr>
        <w:fldChar w:fldCharType="separate"/>
      </w:r>
      <w:hyperlink w:anchor="_Toc136943195" w:history="1">
        <w:r w:rsidRPr="003F2BD1">
          <w:rPr>
            <w:rStyle w:val="Hyperlink"/>
            <w:bCs/>
            <w:noProof/>
          </w:rPr>
          <w:t>Ngā kitenga matua |</w:t>
        </w:r>
        <w:r w:rsidRPr="003F2BD1">
          <w:rPr>
            <w:rStyle w:val="Hyperlink"/>
            <w:noProof/>
          </w:rPr>
          <w:t xml:space="preserve"> Key points</w:t>
        </w:r>
        <w:r>
          <w:rPr>
            <w:noProof/>
            <w:webHidden/>
          </w:rPr>
          <w:tab/>
        </w:r>
        <w:r>
          <w:rPr>
            <w:noProof/>
            <w:webHidden/>
          </w:rPr>
          <w:fldChar w:fldCharType="begin"/>
        </w:r>
        <w:r>
          <w:rPr>
            <w:noProof/>
            <w:webHidden/>
          </w:rPr>
          <w:instrText xml:space="preserve"> PAGEREF _Toc136943195 \h </w:instrText>
        </w:r>
        <w:r>
          <w:rPr>
            <w:noProof/>
            <w:webHidden/>
          </w:rPr>
        </w:r>
        <w:r>
          <w:rPr>
            <w:noProof/>
            <w:webHidden/>
          </w:rPr>
          <w:fldChar w:fldCharType="separate"/>
        </w:r>
        <w:r>
          <w:rPr>
            <w:noProof/>
            <w:webHidden/>
          </w:rPr>
          <w:t>1</w:t>
        </w:r>
        <w:r>
          <w:rPr>
            <w:noProof/>
            <w:webHidden/>
          </w:rPr>
          <w:fldChar w:fldCharType="end"/>
        </w:r>
      </w:hyperlink>
    </w:p>
    <w:p w14:paraId="1B5E19DD" w14:textId="01510448" w:rsidR="005E1833" w:rsidRDefault="003B12C7">
      <w:pPr>
        <w:pStyle w:val="TOC1"/>
        <w:rPr>
          <w:rFonts w:asciiTheme="minorHAnsi" w:eastAsiaTheme="minorEastAsia" w:hAnsiTheme="minorHAnsi" w:cstheme="minorBidi"/>
          <w:noProof/>
          <w:sz w:val="22"/>
          <w:szCs w:val="22"/>
          <w:lang w:eastAsia="en-NZ"/>
        </w:rPr>
      </w:pPr>
      <w:hyperlink w:anchor="_Toc136943196" w:history="1">
        <w:r w:rsidR="005E1833" w:rsidRPr="003F2BD1">
          <w:rPr>
            <w:rStyle w:val="Hyperlink"/>
            <w:bCs/>
            <w:noProof/>
          </w:rPr>
          <w:t>Te Kaupapa |</w:t>
        </w:r>
        <w:r w:rsidR="005E1833" w:rsidRPr="003F2BD1">
          <w:rPr>
            <w:rStyle w:val="Hyperlink"/>
            <w:noProof/>
          </w:rPr>
          <w:t xml:space="preserve"> Purpose</w:t>
        </w:r>
        <w:r w:rsidR="005E1833">
          <w:rPr>
            <w:noProof/>
            <w:webHidden/>
          </w:rPr>
          <w:tab/>
        </w:r>
        <w:r w:rsidR="005E1833">
          <w:rPr>
            <w:noProof/>
            <w:webHidden/>
          </w:rPr>
          <w:fldChar w:fldCharType="begin"/>
        </w:r>
        <w:r w:rsidR="005E1833">
          <w:rPr>
            <w:noProof/>
            <w:webHidden/>
          </w:rPr>
          <w:instrText xml:space="preserve"> PAGEREF _Toc136943196 \h </w:instrText>
        </w:r>
        <w:r w:rsidR="005E1833">
          <w:rPr>
            <w:noProof/>
            <w:webHidden/>
          </w:rPr>
        </w:r>
        <w:r w:rsidR="005E1833">
          <w:rPr>
            <w:noProof/>
            <w:webHidden/>
          </w:rPr>
          <w:fldChar w:fldCharType="separate"/>
        </w:r>
        <w:r w:rsidR="005E1833">
          <w:rPr>
            <w:noProof/>
            <w:webHidden/>
          </w:rPr>
          <w:t>2</w:t>
        </w:r>
        <w:r w:rsidR="005E1833">
          <w:rPr>
            <w:noProof/>
            <w:webHidden/>
          </w:rPr>
          <w:fldChar w:fldCharType="end"/>
        </w:r>
      </w:hyperlink>
    </w:p>
    <w:p w14:paraId="0413064E" w14:textId="0BDC059C" w:rsidR="005E1833" w:rsidRDefault="003B12C7">
      <w:pPr>
        <w:pStyle w:val="TOC1"/>
        <w:rPr>
          <w:rFonts w:asciiTheme="minorHAnsi" w:eastAsiaTheme="minorEastAsia" w:hAnsiTheme="minorHAnsi" w:cstheme="minorBidi"/>
          <w:noProof/>
          <w:sz w:val="22"/>
          <w:szCs w:val="22"/>
          <w:lang w:eastAsia="en-NZ"/>
        </w:rPr>
      </w:pPr>
      <w:hyperlink w:anchor="_Toc136943197" w:history="1">
        <w:r w:rsidR="005E1833" w:rsidRPr="003F2BD1">
          <w:rPr>
            <w:rStyle w:val="Hyperlink"/>
            <w:bCs/>
            <w:noProof/>
          </w:rPr>
          <w:t>He kupu whakataki |</w:t>
        </w:r>
        <w:r w:rsidR="005E1833" w:rsidRPr="003F2BD1">
          <w:rPr>
            <w:rStyle w:val="Hyperlink"/>
            <w:noProof/>
          </w:rPr>
          <w:t xml:space="preserve"> Introduction</w:t>
        </w:r>
        <w:r w:rsidR="005E1833">
          <w:rPr>
            <w:noProof/>
            <w:webHidden/>
          </w:rPr>
          <w:tab/>
        </w:r>
        <w:r w:rsidR="005E1833">
          <w:rPr>
            <w:noProof/>
            <w:webHidden/>
          </w:rPr>
          <w:fldChar w:fldCharType="begin"/>
        </w:r>
        <w:r w:rsidR="005E1833">
          <w:rPr>
            <w:noProof/>
            <w:webHidden/>
          </w:rPr>
          <w:instrText xml:space="preserve"> PAGEREF _Toc136943197 \h </w:instrText>
        </w:r>
        <w:r w:rsidR="005E1833">
          <w:rPr>
            <w:noProof/>
            <w:webHidden/>
          </w:rPr>
        </w:r>
        <w:r w:rsidR="005E1833">
          <w:rPr>
            <w:noProof/>
            <w:webHidden/>
          </w:rPr>
          <w:fldChar w:fldCharType="separate"/>
        </w:r>
        <w:r w:rsidR="005E1833">
          <w:rPr>
            <w:noProof/>
            <w:webHidden/>
          </w:rPr>
          <w:t>3</w:t>
        </w:r>
        <w:r w:rsidR="005E1833">
          <w:rPr>
            <w:noProof/>
            <w:webHidden/>
          </w:rPr>
          <w:fldChar w:fldCharType="end"/>
        </w:r>
      </w:hyperlink>
    </w:p>
    <w:p w14:paraId="68E5940F" w14:textId="3F2B9C85" w:rsidR="005E1833" w:rsidRDefault="003B12C7">
      <w:pPr>
        <w:pStyle w:val="TOC2"/>
        <w:rPr>
          <w:rFonts w:asciiTheme="minorHAnsi" w:eastAsiaTheme="minorEastAsia" w:hAnsiTheme="minorHAnsi" w:cstheme="minorBidi"/>
          <w:noProof/>
          <w:szCs w:val="22"/>
          <w:lang w:eastAsia="en-NZ"/>
        </w:rPr>
      </w:pPr>
      <w:hyperlink w:anchor="_Toc136943198" w:history="1">
        <w:r w:rsidR="005E1833" w:rsidRPr="003F2BD1">
          <w:rPr>
            <w:rStyle w:val="Hyperlink"/>
            <w:noProof/>
          </w:rPr>
          <w:t>Things to consider when interpreting the results</w:t>
        </w:r>
        <w:r w:rsidR="005E1833">
          <w:rPr>
            <w:noProof/>
            <w:webHidden/>
          </w:rPr>
          <w:tab/>
        </w:r>
        <w:r w:rsidR="005E1833">
          <w:rPr>
            <w:noProof/>
            <w:webHidden/>
          </w:rPr>
          <w:fldChar w:fldCharType="begin"/>
        </w:r>
        <w:r w:rsidR="005E1833">
          <w:rPr>
            <w:noProof/>
            <w:webHidden/>
          </w:rPr>
          <w:instrText xml:space="preserve"> PAGEREF _Toc136943198 \h </w:instrText>
        </w:r>
        <w:r w:rsidR="005E1833">
          <w:rPr>
            <w:noProof/>
            <w:webHidden/>
          </w:rPr>
        </w:r>
        <w:r w:rsidR="005E1833">
          <w:rPr>
            <w:noProof/>
            <w:webHidden/>
          </w:rPr>
          <w:fldChar w:fldCharType="separate"/>
        </w:r>
        <w:r w:rsidR="005E1833">
          <w:rPr>
            <w:noProof/>
            <w:webHidden/>
          </w:rPr>
          <w:t>4</w:t>
        </w:r>
        <w:r w:rsidR="005E1833">
          <w:rPr>
            <w:noProof/>
            <w:webHidden/>
          </w:rPr>
          <w:fldChar w:fldCharType="end"/>
        </w:r>
      </w:hyperlink>
    </w:p>
    <w:p w14:paraId="4A6DE65B" w14:textId="4AFB35E8" w:rsidR="005E1833" w:rsidRDefault="003B12C7">
      <w:pPr>
        <w:pStyle w:val="TOC1"/>
        <w:rPr>
          <w:rFonts w:asciiTheme="minorHAnsi" w:eastAsiaTheme="minorEastAsia" w:hAnsiTheme="minorHAnsi" w:cstheme="minorBidi"/>
          <w:noProof/>
          <w:sz w:val="22"/>
          <w:szCs w:val="22"/>
          <w:lang w:eastAsia="en-NZ"/>
        </w:rPr>
      </w:pPr>
      <w:hyperlink w:anchor="_Toc136943199" w:history="1">
        <w:r w:rsidR="005E1833" w:rsidRPr="003F2BD1">
          <w:rPr>
            <w:rStyle w:val="Hyperlink"/>
            <w:bCs/>
            <w:noProof/>
          </w:rPr>
          <w:t>He whakarāpopoto o ngā kitenge |</w:t>
        </w:r>
        <w:r w:rsidR="005E1833" w:rsidRPr="003F2BD1">
          <w:rPr>
            <w:rStyle w:val="Hyperlink"/>
            <w:noProof/>
          </w:rPr>
          <w:t xml:space="preserve"> Summary of findings</w:t>
        </w:r>
        <w:r w:rsidR="005E1833">
          <w:rPr>
            <w:noProof/>
            <w:webHidden/>
          </w:rPr>
          <w:tab/>
        </w:r>
        <w:r w:rsidR="005E1833">
          <w:rPr>
            <w:noProof/>
            <w:webHidden/>
          </w:rPr>
          <w:fldChar w:fldCharType="begin"/>
        </w:r>
        <w:r w:rsidR="005E1833">
          <w:rPr>
            <w:noProof/>
            <w:webHidden/>
          </w:rPr>
          <w:instrText xml:space="preserve"> PAGEREF _Toc136943199 \h </w:instrText>
        </w:r>
        <w:r w:rsidR="005E1833">
          <w:rPr>
            <w:noProof/>
            <w:webHidden/>
          </w:rPr>
        </w:r>
        <w:r w:rsidR="005E1833">
          <w:rPr>
            <w:noProof/>
            <w:webHidden/>
          </w:rPr>
          <w:fldChar w:fldCharType="separate"/>
        </w:r>
        <w:r w:rsidR="005E1833">
          <w:rPr>
            <w:noProof/>
            <w:webHidden/>
          </w:rPr>
          <w:t>7</w:t>
        </w:r>
        <w:r w:rsidR="005E1833">
          <w:rPr>
            <w:noProof/>
            <w:webHidden/>
          </w:rPr>
          <w:fldChar w:fldCharType="end"/>
        </w:r>
      </w:hyperlink>
    </w:p>
    <w:p w14:paraId="752B01E7" w14:textId="0C7381E2" w:rsidR="005E1833" w:rsidRDefault="003B12C7">
      <w:pPr>
        <w:pStyle w:val="TOC2"/>
        <w:rPr>
          <w:rFonts w:asciiTheme="minorHAnsi" w:eastAsiaTheme="minorEastAsia" w:hAnsiTheme="minorHAnsi" w:cstheme="minorBidi"/>
          <w:noProof/>
          <w:szCs w:val="22"/>
          <w:lang w:eastAsia="en-NZ"/>
        </w:rPr>
      </w:pPr>
      <w:hyperlink w:anchor="_Toc136943200" w:history="1">
        <w:r w:rsidR="005E1833" w:rsidRPr="003F2BD1">
          <w:rPr>
            <w:rStyle w:val="Hyperlink"/>
            <w:noProof/>
          </w:rPr>
          <w:t>Māori, Pacific and Asian adults had the highest rates of racial discrimination</w:t>
        </w:r>
        <w:r w:rsidR="005E1833">
          <w:rPr>
            <w:noProof/>
            <w:webHidden/>
          </w:rPr>
          <w:tab/>
        </w:r>
        <w:r w:rsidR="005E1833">
          <w:rPr>
            <w:noProof/>
            <w:webHidden/>
          </w:rPr>
          <w:fldChar w:fldCharType="begin"/>
        </w:r>
        <w:r w:rsidR="005E1833">
          <w:rPr>
            <w:noProof/>
            <w:webHidden/>
          </w:rPr>
          <w:instrText xml:space="preserve"> PAGEREF _Toc136943200 \h </w:instrText>
        </w:r>
        <w:r w:rsidR="005E1833">
          <w:rPr>
            <w:noProof/>
            <w:webHidden/>
          </w:rPr>
        </w:r>
        <w:r w:rsidR="005E1833">
          <w:rPr>
            <w:noProof/>
            <w:webHidden/>
          </w:rPr>
          <w:fldChar w:fldCharType="separate"/>
        </w:r>
        <w:r w:rsidR="005E1833">
          <w:rPr>
            <w:noProof/>
            <w:webHidden/>
          </w:rPr>
          <w:t>7</w:t>
        </w:r>
        <w:r w:rsidR="005E1833">
          <w:rPr>
            <w:noProof/>
            <w:webHidden/>
          </w:rPr>
          <w:fldChar w:fldCharType="end"/>
        </w:r>
      </w:hyperlink>
    </w:p>
    <w:p w14:paraId="0DF4FAC0" w14:textId="278DA7E2" w:rsidR="005E1833" w:rsidRDefault="003B12C7">
      <w:pPr>
        <w:pStyle w:val="TOC2"/>
        <w:rPr>
          <w:rFonts w:asciiTheme="minorHAnsi" w:eastAsiaTheme="minorEastAsia" w:hAnsiTheme="minorHAnsi" w:cstheme="minorBidi"/>
          <w:noProof/>
          <w:szCs w:val="22"/>
          <w:lang w:eastAsia="en-NZ"/>
        </w:rPr>
      </w:pPr>
      <w:hyperlink w:anchor="_Toc136943201" w:history="1">
        <w:r w:rsidR="005E1833" w:rsidRPr="003F2BD1">
          <w:rPr>
            <w:rStyle w:val="Hyperlink"/>
            <w:noProof/>
          </w:rPr>
          <w:t>Some groups experienced increases in racial discrimination over time</w:t>
        </w:r>
        <w:r w:rsidR="005E1833">
          <w:rPr>
            <w:noProof/>
            <w:webHidden/>
          </w:rPr>
          <w:tab/>
        </w:r>
        <w:r w:rsidR="005E1833">
          <w:rPr>
            <w:noProof/>
            <w:webHidden/>
          </w:rPr>
          <w:fldChar w:fldCharType="begin"/>
        </w:r>
        <w:r w:rsidR="005E1833">
          <w:rPr>
            <w:noProof/>
            <w:webHidden/>
          </w:rPr>
          <w:instrText xml:space="preserve"> PAGEREF _Toc136943201 \h </w:instrText>
        </w:r>
        <w:r w:rsidR="005E1833">
          <w:rPr>
            <w:noProof/>
            <w:webHidden/>
          </w:rPr>
        </w:r>
        <w:r w:rsidR="005E1833">
          <w:rPr>
            <w:noProof/>
            <w:webHidden/>
          </w:rPr>
          <w:fldChar w:fldCharType="separate"/>
        </w:r>
        <w:r w:rsidR="005E1833">
          <w:rPr>
            <w:noProof/>
            <w:webHidden/>
          </w:rPr>
          <w:t>8</w:t>
        </w:r>
        <w:r w:rsidR="005E1833">
          <w:rPr>
            <w:noProof/>
            <w:webHidden/>
          </w:rPr>
          <w:fldChar w:fldCharType="end"/>
        </w:r>
      </w:hyperlink>
    </w:p>
    <w:p w14:paraId="0A4446BC" w14:textId="15DE2695" w:rsidR="005E1833" w:rsidRDefault="003B12C7">
      <w:pPr>
        <w:pStyle w:val="TOC2"/>
        <w:rPr>
          <w:rFonts w:asciiTheme="minorHAnsi" w:eastAsiaTheme="minorEastAsia" w:hAnsiTheme="minorHAnsi" w:cstheme="minorBidi"/>
          <w:noProof/>
          <w:szCs w:val="22"/>
          <w:lang w:eastAsia="en-NZ"/>
        </w:rPr>
      </w:pPr>
      <w:hyperlink w:anchor="_Toc136943202" w:history="1">
        <w:r w:rsidR="005E1833" w:rsidRPr="003F2BD1">
          <w:rPr>
            <w:rStyle w:val="Hyperlink"/>
            <w:noProof/>
          </w:rPr>
          <w:t>Verbal abuse was the most common type of racial discrimination experienced</w:t>
        </w:r>
        <w:r w:rsidR="005E1833">
          <w:rPr>
            <w:noProof/>
            <w:webHidden/>
          </w:rPr>
          <w:tab/>
        </w:r>
        <w:r w:rsidR="005E1833">
          <w:rPr>
            <w:noProof/>
            <w:webHidden/>
          </w:rPr>
          <w:fldChar w:fldCharType="begin"/>
        </w:r>
        <w:r w:rsidR="005E1833">
          <w:rPr>
            <w:noProof/>
            <w:webHidden/>
          </w:rPr>
          <w:instrText xml:space="preserve"> PAGEREF _Toc136943202 \h </w:instrText>
        </w:r>
        <w:r w:rsidR="005E1833">
          <w:rPr>
            <w:noProof/>
            <w:webHidden/>
          </w:rPr>
        </w:r>
        <w:r w:rsidR="005E1833">
          <w:rPr>
            <w:noProof/>
            <w:webHidden/>
          </w:rPr>
          <w:fldChar w:fldCharType="separate"/>
        </w:r>
        <w:r w:rsidR="005E1833">
          <w:rPr>
            <w:noProof/>
            <w:webHidden/>
          </w:rPr>
          <w:t>10</w:t>
        </w:r>
        <w:r w:rsidR="005E1833">
          <w:rPr>
            <w:noProof/>
            <w:webHidden/>
          </w:rPr>
          <w:fldChar w:fldCharType="end"/>
        </w:r>
      </w:hyperlink>
    </w:p>
    <w:p w14:paraId="785A4980" w14:textId="2518DF21" w:rsidR="005E1833" w:rsidRDefault="003B12C7">
      <w:pPr>
        <w:pStyle w:val="TOC2"/>
        <w:rPr>
          <w:rFonts w:asciiTheme="minorHAnsi" w:eastAsiaTheme="minorEastAsia" w:hAnsiTheme="minorHAnsi" w:cstheme="minorBidi"/>
          <w:noProof/>
          <w:szCs w:val="22"/>
          <w:lang w:eastAsia="en-NZ"/>
        </w:rPr>
      </w:pPr>
      <w:hyperlink w:anchor="_Toc136943203" w:history="1">
        <w:r w:rsidR="005E1833" w:rsidRPr="003F2BD1">
          <w:rPr>
            <w:rStyle w:val="Hyperlink"/>
            <w:noProof/>
          </w:rPr>
          <w:t>Racial discrimination is associated with poor health outcomes and unmet need</w:t>
        </w:r>
        <w:r w:rsidR="005E1833">
          <w:rPr>
            <w:noProof/>
            <w:webHidden/>
          </w:rPr>
          <w:tab/>
        </w:r>
        <w:r w:rsidR="005E1833">
          <w:rPr>
            <w:noProof/>
            <w:webHidden/>
          </w:rPr>
          <w:fldChar w:fldCharType="begin"/>
        </w:r>
        <w:r w:rsidR="005E1833">
          <w:rPr>
            <w:noProof/>
            <w:webHidden/>
          </w:rPr>
          <w:instrText xml:space="preserve"> PAGEREF _Toc136943203 \h </w:instrText>
        </w:r>
        <w:r w:rsidR="005E1833">
          <w:rPr>
            <w:noProof/>
            <w:webHidden/>
          </w:rPr>
        </w:r>
        <w:r w:rsidR="005E1833">
          <w:rPr>
            <w:noProof/>
            <w:webHidden/>
          </w:rPr>
          <w:fldChar w:fldCharType="separate"/>
        </w:r>
        <w:r w:rsidR="005E1833">
          <w:rPr>
            <w:noProof/>
            <w:webHidden/>
          </w:rPr>
          <w:t>13</w:t>
        </w:r>
        <w:r w:rsidR="005E1833">
          <w:rPr>
            <w:noProof/>
            <w:webHidden/>
          </w:rPr>
          <w:fldChar w:fldCharType="end"/>
        </w:r>
      </w:hyperlink>
    </w:p>
    <w:p w14:paraId="3AC29DF9" w14:textId="488353AC" w:rsidR="005E1833" w:rsidRDefault="003B12C7">
      <w:pPr>
        <w:pStyle w:val="TOC1"/>
        <w:rPr>
          <w:rFonts w:asciiTheme="minorHAnsi" w:eastAsiaTheme="minorEastAsia" w:hAnsiTheme="minorHAnsi" w:cstheme="minorBidi"/>
          <w:noProof/>
          <w:sz w:val="22"/>
          <w:szCs w:val="22"/>
          <w:lang w:eastAsia="en-NZ"/>
        </w:rPr>
      </w:pPr>
      <w:hyperlink w:anchor="_Toc136943204" w:history="1">
        <w:r w:rsidR="005E1833" w:rsidRPr="003F2BD1">
          <w:rPr>
            <w:rStyle w:val="Hyperlink"/>
            <w:bCs/>
            <w:noProof/>
          </w:rPr>
          <w:t>Ngā tikanga rangahau |</w:t>
        </w:r>
        <w:r w:rsidR="005E1833" w:rsidRPr="003F2BD1">
          <w:rPr>
            <w:rStyle w:val="Hyperlink"/>
            <w:noProof/>
          </w:rPr>
          <w:t xml:space="preserve"> Methodology</w:t>
        </w:r>
        <w:r w:rsidR="005E1833">
          <w:rPr>
            <w:noProof/>
            <w:webHidden/>
          </w:rPr>
          <w:tab/>
        </w:r>
        <w:r w:rsidR="005E1833">
          <w:rPr>
            <w:noProof/>
            <w:webHidden/>
          </w:rPr>
          <w:fldChar w:fldCharType="begin"/>
        </w:r>
        <w:r w:rsidR="005E1833">
          <w:rPr>
            <w:noProof/>
            <w:webHidden/>
          </w:rPr>
          <w:instrText xml:space="preserve"> PAGEREF _Toc136943204 \h </w:instrText>
        </w:r>
        <w:r w:rsidR="005E1833">
          <w:rPr>
            <w:noProof/>
            <w:webHidden/>
          </w:rPr>
        </w:r>
        <w:r w:rsidR="005E1833">
          <w:rPr>
            <w:noProof/>
            <w:webHidden/>
          </w:rPr>
          <w:fldChar w:fldCharType="separate"/>
        </w:r>
        <w:r w:rsidR="005E1833">
          <w:rPr>
            <w:noProof/>
            <w:webHidden/>
          </w:rPr>
          <w:t>16</w:t>
        </w:r>
        <w:r w:rsidR="005E1833">
          <w:rPr>
            <w:noProof/>
            <w:webHidden/>
          </w:rPr>
          <w:fldChar w:fldCharType="end"/>
        </w:r>
      </w:hyperlink>
    </w:p>
    <w:p w14:paraId="573337A4" w14:textId="45B83685" w:rsidR="005E1833" w:rsidRDefault="003B12C7">
      <w:pPr>
        <w:pStyle w:val="TOC2"/>
        <w:rPr>
          <w:rFonts w:asciiTheme="minorHAnsi" w:eastAsiaTheme="minorEastAsia" w:hAnsiTheme="minorHAnsi" w:cstheme="minorBidi"/>
          <w:noProof/>
          <w:szCs w:val="22"/>
          <w:lang w:eastAsia="en-NZ"/>
        </w:rPr>
      </w:pPr>
      <w:hyperlink w:anchor="_Toc136943205" w:history="1">
        <w:r w:rsidR="005E1833" w:rsidRPr="003F2BD1">
          <w:rPr>
            <w:rStyle w:val="Hyperlink"/>
            <w:noProof/>
          </w:rPr>
          <w:t>Source data</w:t>
        </w:r>
        <w:r w:rsidR="005E1833">
          <w:rPr>
            <w:noProof/>
            <w:webHidden/>
          </w:rPr>
          <w:tab/>
        </w:r>
        <w:r w:rsidR="005E1833">
          <w:rPr>
            <w:noProof/>
            <w:webHidden/>
          </w:rPr>
          <w:fldChar w:fldCharType="begin"/>
        </w:r>
        <w:r w:rsidR="005E1833">
          <w:rPr>
            <w:noProof/>
            <w:webHidden/>
          </w:rPr>
          <w:instrText xml:space="preserve"> PAGEREF _Toc136943205 \h </w:instrText>
        </w:r>
        <w:r w:rsidR="005E1833">
          <w:rPr>
            <w:noProof/>
            <w:webHidden/>
          </w:rPr>
        </w:r>
        <w:r w:rsidR="005E1833">
          <w:rPr>
            <w:noProof/>
            <w:webHidden/>
          </w:rPr>
          <w:fldChar w:fldCharType="separate"/>
        </w:r>
        <w:r w:rsidR="005E1833">
          <w:rPr>
            <w:noProof/>
            <w:webHidden/>
          </w:rPr>
          <w:t>16</w:t>
        </w:r>
        <w:r w:rsidR="005E1833">
          <w:rPr>
            <w:noProof/>
            <w:webHidden/>
          </w:rPr>
          <w:fldChar w:fldCharType="end"/>
        </w:r>
      </w:hyperlink>
    </w:p>
    <w:p w14:paraId="62EA74C7" w14:textId="0ECA232D" w:rsidR="005E1833" w:rsidRDefault="003B12C7">
      <w:pPr>
        <w:pStyle w:val="TOC2"/>
        <w:rPr>
          <w:rFonts w:asciiTheme="minorHAnsi" w:eastAsiaTheme="minorEastAsia" w:hAnsiTheme="minorHAnsi" w:cstheme="minorBidi"/>
          <w:noProof/>
          <w:szCs w:val="22"/>
          <w:lang w:eastAsia="en-NZ"/>
        </w:rPr>
      </w:pPr>
      <w:hyperlink w:anchor="_Toc136943206" w:history="1">
        <w:r w:rsidR="005E1833" w:rsidRPr="003F2BD1">
          <w:rPr>
            <w:rStyle w:val="Hyperlink"/>
            <w:noProof/>
          </w:rPr>
          <w:t>Sample sizes</w:t>
        </w:r>
        <w:r w:rsidR="005E1833">
          <w:rPr>
            <w:noProof/>
            <w:webHidden/>
          </w:rPr>
          <w:tab/>
        </w:r>
        <w:r w:rsidR="005E1833">
          <w:rPr>
            <w:noProof/>
            <w:webHidden/>
          </w:rPr>
          <w:fldChar w:fldCharType="begin"/>
        </w:r>
        <w:r w:rsidR="005E1833">
          <w:rPr>
            <w:noProof/>
            <w:webHidden/>
          </w:rPr>
          <w:instrText xml:space="preserve"> PAGEREF _Toc136943206 \h </w:instrText>
        </w:r>
        <w:r w:rsidR="005E1833">
          <w:rPr>
            <w:noProof/>
            <w:webHidden/>
          </w:rPr>
        </w:r>
        <w:r w:rsidR="005E1833">
          <w:rPr>
            <w:noProof/>
            <w:webHidden/>
          </w:rPr>
          <w:fldChar w:fldCharType="separate"/>
        </w:r>
        <w:r w:rsidR="005E1833">
          <w:rPr>
            <w:noProof/>
            <w:webHidden/>
          </w:rPr>
          <w:t>16</w:t>
        </w:r>
        <w:r w:rsidR="005E1833">
          <w:rPr>
            <w:noProof/>
            <w:webHidden/>
          </w:rPr>
          <w:fldChar w:fldCharType="end"/>
        </w:r>
      </w:hyperlink>
    </w:p>
    <w:p w14:paraId="578EED34" w14:textId="0BADEE8E" w:rsidR="005E1833" w:rsidRDefault="003B12C7">
      <w:pPr>
        <w:pStyle w:val="TOC2"/>
        <w:rPr>
          <w:rFonts w:asciiTheme="minorHAnsi" w:eastAsiaTheme="minorEastAsia" w:hAnsiTheme="minorHAnsi" w:cstheme="minorBidi"/>
          <w:noProof/>
          <w:szCs w:val="22"/>
          <w:lang w:eastAsia="en-NZ"/>
        </w:rPr>
      </w:pPr>
      <w:hyperlink w:anchor="_Toc136943207" w:history="1">
        <w:r w:rsidR="005E1833" w:rsidRPr="003F2BD1">
          <w:rPr>
            <w:rStyle w:val="Hyperlink"/>
            <w:noProof/>
          </w:rPr>
          <w:t>Impact of COVID-19 on the 2020/21 survey collection</w:t>
        </w:r>
        <w:r w:rsidR="005E1833">
          <w:rPr>
            <w:noProof/>
            <w:webHidden/>
          </w:rPr>
          <w:tab/>
        </w:r>
        <w:r w:rsidR="005E1833">
          <w:rPr>
            <w:noProof/>
            <w:webHidden/>
          </w:rPr>
          <w:fldChar w:fldCharType="begin"/>
        </w:r>
        <w:r w:rsidR="005E1833">
          <w:rPr>
            <w:noProof/>
            <w:webHidden/>
          </w:rPr>
          <w:instrText xml:space="preserve"> PAGEREF _Toc136943207 \h </w:instrText>
        </w:r>
        <w:r w:rsidR="005E1833">
          <w:rPr>
            <w:noProof/>
            <w:webHidden/>
          </w:rPr>
        </w:r>
        <w:r w:rsidR="005E1833">
          <w:rPr>
            <w:noProof/>
            <w:webHidden/>
          </w:rPr>
          <w:fldChar w:fldCharType="separate"/>
        </w:r>
        <w:r w:rsidR="005E1833">
          <w:rPr>
            <w:noProof/>
            <w:webHidden/>
          </w:rPr>
          <w:t>16</w:t>
        </w:r>
        <w:r w:rsidR="005E1833">
          <w:rPr>
            <w:noProof/>
            <w:webHidden/>
          </w:rPr>
          <w:fldChar w:fldCharType="end"/>
        </w:r>
      </w:hyperlink>
    </w:p>
    <w:p w14:paraId="212EC7D9" w14:textId="019D3129" w:rsidR="005E1833" w:rsidRDefault="003B12C7">
      <w:pPr>
        <w:pStyle w:val="TOC2"/>
        <w:rPr>
          <w:rFonts w:asciiTheme="minorHAnsi" w:eastAsiaTheme="minorEastAsia" w:hAnsiTheme="minorHAnsi" w:cstheme="minorBidi"/>
          <w:noProof/>
          <w:szCs w:val="22"/>
          <w:lang w:eastAsia="en-NZ"/>
        </w:rPr>
      </w:pPr>
      <w:hyperlink w:anchor="_Toc136943208" w:history="1">
        <w:r w:rsidR="005E1833" w:rsidRPr="003F2BD1">
          <w:rPr>
            <w:rStyle w:val="Hyperlink"/>
            <w:noProof/>
          </w:rPr>
          <w:t>Comparisons by ethnic group</w:t>
        </w:r>
        <w:r w:rsidR="005E1833">
          <w:rPr>
            <w:noProof/>
            <w:webHidden/>
          </w:rPr>
          <w:tab/>
        </w:r>
        <w:r w:rsidR="005E1833">
          <w:rPr>
            <w:noProof/>
            <w:webHidden/>
          </w:rPr>
          <w:fldChar w:fldCharType="begin"/>
        </w:r>
        <w:r w:rsidR="005E1833">
          <w:rPr>
            <w:noProof/>
            <w:webHidden/>
          </w:rPr>
          <w:instrText xml:space="preserve"> PAGEREF _Toc136943208 \h </w:instrText>
        </w:r>
        <w:r w:rsidR="005E1833">
          <w:rPr>
            <w:noProof/>
            <w:webHidden/>
          </w:rPr>
        </w:r>
        <w:r w:rsidR="005E1833">
          <w:rPr>
            <w:noProof/>
            <w:webHidden/>
          </w:rPr>
          <w:fldChar w:fldCharType="separate"/>
        </w:r>
        <w:r w:rsidR="005E1833">
          <w:rPr>
            <w:noProof/>
            <w:webHidden/>
          </w:rPr>
          <w:t>17</w:t>
        </w:r>
        <w:r w:rsidR="005E1833">
          <w:rPr>
            <w:noProof/>
            <w:webHidden/>
          </w:rPr>
          <w:fldChar w:fldCharType="end"/>
        </w:r>
      </w:hyperlink>
    </w:p>
    <w:p w14:paraId="1AB58F26" w14:textId="3E68A5AE" w:rsidR="005E1833" w:rsidRDefault="003B12C7">
      <w:pPr>
        <w:pStyle w:val="TOC2"/>
        <w:rPr>
          <w:rFonts w:asciiTheme="minorHAnsi" w:eastAsiaTheme="minorEastAsia" w:hAnsiTheme="minorHAnsi" w:cstheme="minorBidi"/>
          <w:noProof/>
          <w:szCs w:val="22"/>
          <w:lang w:eastAsia="en-NZ"/>
        </w:rPr>
      </w:pPr>
      <w:hyperlink w:anchor="_Toc136943209" w:history="1">
        <w:r w:rsidR="005E1833" w:rsidRPr="003F2BD1">
          <w:rPr>
            <w:rStyle w:val="Hyperlink"/>
            <w:noProof/>
          </w:rPr>
          <w:t>Comparability with previously published data</w:t>
        </w:r>
        <w:r w:rsidR="005E1833">
          <w:rPr>
            <w:noProof/>
            <w:webHidden/>
          </w:rPr>
          <w:tab/>
        </w:r>
        <w:r w:rsidR="005E1833">
          <w:rPr>
            <w:noProof/>
            <w:webHidden/>
          </w:rPr>
          <w:fldChar w:fldCharType="begin"/>
        </w:r>
        <w:r w:rsidR="005E1833">
          <w:rPr>
            <w:noProof/>
            <w:webHidden/>
          </w:rPr>
          <w:instrText xml:space="preserve"> PAGEREF _Toc136943209 \h </w:instrText>
        </w:r>
        <w:r w:rsidR="005E1833">
          <w:rPr>
            <w:noProof/>
            <w:webHidden/>
          </w:rPr>
        </w:r>
        <w:r w:rsidR="005E1833">
          <w:rPr>
            <w:noProof/>
            <w:webHidden/>
          </w:rPr>
          <w:fldChar w:fldCharType="separate"/>
        </w:r>
        <w:r w:rsidR="005E1833">
          <w:rPr>
            <w:noProof/>
            <w:webHidden/>
          </w:rPr>
          <w:t>17</w:t>
        </w:r>
        <w:r w:rsidR="005E1833">
          <w:rPr>
            <w:noProof/>
            <w:webHidden/>
          </w:rPr>
          <w:fldChar w:fldCharType="end"/>
        </w:r>
      </w:hyperlink>
    </w:p>
    <w:p w14:paraId="42416AF0" w14:textId="77E564E0" w:rsidR="005E1833" w:rsidRDefault="003B12C7">
      <w:pPr>
        <w:pStyle w:val="TOC2"/>
        <w:rPr>
          <w:rFonts w:asciiTheme="minorHAnsi" w:eastAsiaTheme="minorEastAsia" w:hAnsiTheme="minorHAnsi" w:cstheme="minorBidi"/>
          <w:noProof/>
          <w:szCs w:val="22"/>
          <w:lang w:eastAsia="en-NZ"/>
        </w:rPr>
      </w:pPr>
      <w:hyperlink w:anchor="_Toc136943210" w:history="1">
        <w:r w:rsidR="005E1833" w:rsidRPr="003F2BD1">
          <w:rPr>
            <w:rStyle w:val="Hyperlink"/>
            <w:noProof/>
          </w:rPr>
          <w:t>How we treated non-response</w:t>
        </w:r>
        <w:r w:rsidR="005E1833">
          <w:rPr>
            <w:noProof/>
            <w:webHidden/>
          </w:rPr>
          <w:tab/>
        </w:r>
        <w:r w:rsidR="005E1833">
          <w:rPr>
            <w:noProof/>
            <w:webHidden/>
          </w:rPr>
          <w:fldChar w:fldCharType="begin"/>
        </w:r>
        <w:r w:rsidR="005E1833">
          <w:rPr>
            <w:noProof/>
            <w:webHidden/>
          </w:rPr>
          <w:instrText xml:space="preserve"> PAGEREF _Toc136943210 \h </w:instrText>
        </w:r>
        <w:r w:rsidR="005E1833">
          <w:rPr>
            <w:noProof/>
            <w:webHidden/>
          </w:rPr>
        </w:r>
        <w:r w:rsidR="005E1833">
          <w:rPr>
            <w:noProof/>
            <w:webHidden/>
          </w:rPr>
          <w:fldChar w:fldCharType="separate"/>
        </w:r>
        <w:r w:rsidR="005E1833">
          <w:rPr>
            <w:noProof/>
            <w:webHidden/>
          </w:rPr>
          <w:t>18</w:t>
        </w:r>
        <w:r w:rsidR="005E1833">
          <w:rPr>
            <w:noProof/>
            <w:webHidden/>
          </w:rPr>
          <w:fldChar w:fldCharType="end"/>
        </w:r>
      </w:hyperlink>
    </w:p>
    <w:p w14:paraId="62B053A0" w14:textId="6D295B66" w:rsidR="005E1833" w:rsidRDefault="003B12C7">
      <w:pPr>
        <w:pStyle w:val="TOC2"/>
        <w:rPr>
          <w:rFonts w:asciiTheme="minorHAnsi" w:eastAsiaTheme="minorEastAsia" w:hAnsiTheme="minorHAnsi" w:cstheme="minorBidi"/>
          <w:noProof/>
          <w:szCs w:val="22"/>
          <w:lang w:eastAsia="en-NZ"/>
        </w:rPr>
      </w:pPr>
      <w:hyperlink w:anchor="_Toc136943211" w:history="1">
        <w:r w:rsidR="005E1833" w:rsidRPr="003F2BD1">
          <w:rPr>
            <w:rStyle w:val="Hyperlink"/>
            <w:noProof/>
          </w:rPr>
          <w:t>How we treated ‘not applicable’ responses</w:t>
        </w:r>
        <w:r w:rsidR="005E1833">
          <w:rPr>
            <w:noProof/>
            <w:webHidden/>
          </w:rPr>
          <w:tab/>
        </w:r>
        <w:r w:rsidR="005E1833">
          <w:rPr>
            <w:noProof/>
            <w:webHidden/>
          </w:rPr>
          <w:fldChar w:fldCharType="begin"/>
        </w:r>
        <w:r w:rsidR="005E1833">
          <w:rPr>
            <w:noProof/>
            <w:webHidden/>
          </w:rPr>
          <w:instrText xml:space="preserve"> PAGEREF _Toc136943211 \h </w:instrText>
        </w:r>
        <w:r w:rsidR="005E1833">
          <w:rPr>
            <w:noProof/>
            <w:webHidden/>
          </w:rPr>
        </w:r>
        <w:r w:rsidR="005E1833">
          <w:rPr>
            <w:noProof/>
            <w:webHidden/>
          </w:rPr>
          <w:fldChar w:fldCharType="separate"/>
        </w:r>
        <w:r w:rsidR="005E1833">
          <w:rPr>
            <w:noProof/>
            <w:webHidden/>
          </w:rPr>
          <w:t>18</w:t>
        </w:r>
        <w:r w:rsidR="005E1833">
          <w:rPr>
            <w:noProof/>
            <w:webHidden/>
          </w:rPr>
          <w:fldChar w:fldCharType="end"/>
        </w:r>
      </w:hyperlink>
    </w:p>
    <w:p w14:paraId="2185042F" w14:textId="1F8204B5" w:rsidR="005E1833" w:rsidRDefault="003B12C7">
      <w:pPr>
        <w:pStyle w:val="TOC2"/>
        <w:rPr>
          <w:rFonts w:asciiTheme="minorHAnsi" w:eastAsiaTheme="minorEastAsia" w:hAnsiTheme="minorHAnsi" w:cstheme="minorBidi"/>
          <w:noProof/>
          <w:szCs w:val="22"/>
          <w:lang w:eastAsia="en-NZ"/>
        </w:rPr>
      </w:pPr>
      <w:hyperlink w:anchor="_Toc136943212" w:history="1">
        <w:r w:rsidR="005E1833" w:rsidRPr="003F2BD1">
          <w:rPr>
            <w:rStyle w:val="Hyperlink"/>
            <w:noProof/>
          </w:rPr>
          <w:t>Confidentiality and reliability of estimates</w:t>
        </w:r>
        <w:r w:rsidR="005E1833">
          <w:rPr>
            <w:noProof/>
            <w:webHidden/>
          </w:rPr>
          <w:tab/>
        </w:r>
        <w:r w:rsidR="005E1833">
          <w:rPr>
            <w:noProof/>
            <w:webHidden/>
          </w:rPr>
          <w:fldChar w:fldCharType="begin"/>
        </w:r>
        <w:r w:rsidR="005E1833">
          <w:rPr>
            <w:noProof/>
            <w:webHidden/>
          </w:rPr>
          <w:instrText xml:space="preserve"> PAGEREF _Toc136943212 \h </w:instrText>
        </w:r>
        <w:r w:rsidR="005E1833">
          <w:rPr>
            <w:noProof/>
            <w:webHidden/>
          </w:rPr>
        </w:r>
        <w:r w:rsidR="005E1833">
          <w:rPr>
            <w:noProof/>
            <w:webHidden/>
          </w:rPr>
          <w:fldChar w:fldCharType="separate"/>
        </w:r>
        <w:r w:rsidR="005E1833">
          <w:rPr>
            <w:noProof/>
            <w:webHidden/>
          </w:rPr>
          <w:t>18</w:t>
        </w:r>
        <w:r w:rsidR="005E1833">
          <w:rPr>
            <w:noProof/>
            <w:webHidden/>
          </w:rPr>
          <w:fldChar w:fldCharType="end"/>
        </w:r>
      </w:hyperlink>
    </w:p>
    <w:p w14:paraId="06FE3780" w14:textId="54B7EA91" w:rsidR="005E1833" w:rsidRDefault="003B12C7">
      <w:pPr>
        <w:pStyle w:val="TOC2"/>
        <w:rPr>
          <w:rFonts w:asciiTheme="minorHAnsi" w:eastAsiaTheme="minorEastAsia" w:hAnsiTheme="minorHAnsi" w:cstheme="minorBidi"/>
          <w:noProof/>
          <w:szCs w:val="22"/>
          <w:lang w:eastAsia="en-NZ"/>
        </w:rPr>
      </w:pPr>
      <w:hyperlink w:anchor="_Toc136943213" w:history="1">
        <w:r w:rsidR="005E1833" w:rsidRPr="003F2BD1">
          <w:rPr>
            <w:rStyle w:val="Hyperlink"/>
            <w:noProof/>
          </w:rPr>
          <w:t>Confidence intervals</w:t>
        </w:r>
        <w:r w:rsidR="005E1833">
          <w:rPr>
            <w:noProof/>
            <w:webHidden/>
          </w:rPr>
          <w:tab/>
        </w:r>
        <w:r w:rsidR="005E1833">
          <w:rPr>
            <w:noProof/>
            <w:webHidden/>
          </w:rPr>
          <w:fldChar w:fldCharType="begin"/>
        </w:r>
        <w:r w:rsidR="005E1833">
          <w:rPr>
            <w:noProof/>
            <w:webHidden/>
          </w:rPr>
          <w:instrText xml:space="preserve"> PAGEREF _Toc136943213 \h </w:instrText>
        </w:r>
        <w:r w:rsidR="005E1833">
          <w:rPr>
            <w:noProof/>
            <w:webHidden/>
          </w:rPr>
        </w:r>
        <w:r w:rsidR="005E1833">
          <w:rPr>
            <w:noProof/>
            <w:webHidden/>
          </w:rPr>
          <w:fldChar w:fldCharType="separate"/>
        </w:r>
        <w:r w:rsidR="005E1833">
          <w:rPr>
            <w:noProof/>
            <w:webHidden/>
          </w:rPr>
          <w:t>18</w:t>
        </w:r>
        <w:r w:rsidR="005E1833">
          <w:rPr>
            <w:noProof/>
            <w:webHidden/>
          </w:rPr>
          <w:fldChar w:fldCharType="end"/>
        </w:r>
      </w:hyperlink>
    </w:p>
    <w:p w14:paraId="61A3D45B" w14:textId="3058AB2D" w:rsidR="005E1833" w:rsidRDefault="003B12C7">
      <w:pPr>
        <w:pStyle w:val="TOC1"/>
        <w:rPr>
          <w:rFonts w:asciiTheme="minorHAnsi" w:eastAsiaTheme="minorEastAsia" w:hAnsiTheme="minorHAnsi" w:cstheme="minorBidi"/>
          <w:noProof/>
          <w:sz w:val="22"/>
          <w:szCs w:val="22"/>
          <w:lang w:eastAsia="en-NZ"/>
        </w:rPr>
      </w:pPr>
      <w:hyperlink w:anchor="_Toc136943214" w:history="1">
        <w:r w:rsidR="005E1833" w:rsidRPr="003F2BD1">
          <w:rPr>
            <w:rStyle w:val="Hyperlink"/>
            <w:bCs/>
            <w:noProof/>
          </w:rPr>
          <w:t>Ngā tohutoro |</w:t>
        </w:r>
        <w:r w:rsidR="005E1833" w:rsidRPr="003F2BD1">
          <w:rPr>
            <w:rStyle w:val="Hyperlink"/>
            <w:noProof/>
          </w:rPr>
          <w:t xml:space="preserve"> References</w:t>
        </w:r>
        <w:r w:rsidR="005E1833">
          <w:rPr>
            <w:noProof/>
            <w:webHidden/>
          </w:rPr>
          <w:tab/>
        </w:r>
        <w:r w:rsidR="005E1833">
          <w:rPr>
            <w:noProof/>
            <w:webHidden/>
          </w:rPr>
          <w:fldChar w:fldCharType="begin"/>
        </w:r>
        <w:r w:rsidR="005E1833">
          <w:rPr>
            <w:noProof/>
            <w:webHidden/>
          </w:rPr>
          <w:instrText xml:space="preserve"> PAGEREF _Toc136943214 \h </w:instrText>
        </w:r>
        <w:r w:rsidR="005E1833">
          <w:rPr>
            <w:noProof/>
            <w:webHidden/>
          </w:rPr>
        </w:r>
        <w:r w:rsidR="005E1833">
          <w:rPr>
            <w:noProof/>
            <w:webHidden/>
          </w:rPr>
          <w:fldChar w:fldCharType="separate"/>
        </w:r>
        <w:r w:rsidR="005E1833">
          <w:rPr>
            <w:noProof/>
            <w:webHidden/>
          </w:rPr>
          <w:t>20</w:t>
        </w:r>
        <w:r w:rsidR="005E1833">
          <w:rPr>
            <w:noProof/>
            <w:webHidden/>
          </w:rPr>
          <w:fldChar w:fldCharType="end"/>
        </w:r>
      </w:hyperlink>
    </w:p>
    <w:p w14:paraId="6516A35D" w14:textId="688D03B0" w:rsidR="005E1833" w:rsidRDefault="003B12C7">
      <w:pPr>
        <w:pStyle w:val="TOC1"/>
        <w:rPr>
          <w:rFonts w:asciiTheme="minorHAnsi" w:eastAsiaTheme="minorEastAsia" w:hAnsiTheme="minorHAnsi" w:cstheme="minorBidi"/>
          <w:noProof/>
          <w:sz w:val="22"/>
          <w:szCs w:val="22"/>
          <w:lang w:eastAsia="en-NZ"/>
        </w:rPr>
      </w:pPr>
      <w:hyperlink w:anchor="_Toc136943215" w:history="1">
        <w:r w:rsidR="005E1833" w:rsidRPr="003F2BD1">
          <w:rPr>
            <w:rStyle w:val="Hyperlink"/>
            <w:bCs/>
            <w:noProof/>
          </w:rPr>
          <w:t xml:space="preserve">Āpitihanga A: Ngā pātai a te wāhanga o te Rangahau Hauora o Aotearoa 2020/21 e pā ana ki ngā mahi kaikiri | </w:t>
        </w:r>
        <w:r w:rsidR="005E1833" w:rsidRPr="003F2BD1">
          <w:rPr>
            <w:rStyle w:val="Hyperlink"/>
            <w:noProof/>
          </w:rPr>
          <w:t>Appendix A: Racial discrimination module questions, New Zealand Health Survey 2020/21</w:t>
        </w:r>
        <w:r w:rsidR="005E1833">
          <w:rPr>
            <w:noProof/>
            <w:webHidden/>
          </w:rPr>
          <w:tab/>
        </w:r>
        <w:r w:rsidR="005E1833">
          <w:rPr>
            <w:noProof/>
            <w:webHidden/>
          </w:rPr>
          <w:fldChar w:fldCharType="begin"/>
        </w:r>
        <w:r w:rsidR="005E1833">
          <w:rPr>
            <w:noProof/>
            <w:webHidden/>
          </w:rPr>
          <w:instrText xml:space="preserve"> PAGEREF _Toc136943215 \h </w:instrText>
        </w:r>
        <w:r w:rsidR="005E1833">
          <w:rPr>
            <w:noProof/>
            <w:webHidden/>
          </w:rPr>
        </w:r>
        <w:r w:rsidR="005E1833">
          <w:rPr>
            <w:noProof/>
            <w:webHidden/>
          </w:rPr>
          <w:fldChar w:fldCharType="separate"/>
        </w:r>
        <w:r w:rsidR="005E1833">
          <w:rPr>
            <w:noProof/>
            <w:webHidden/>
          </w:rPr>
          <w:t>22</w:t>
        </w:r>
        <w:r w:rsidR="005E1833">
          <w:rPr>
            <w:noProof/>
            <w:webHidden/>
          </w:rPr>
          <w:fldChar w:fldCharType="end"/>
        </w:r>
      </w:hyperlink>
    </w:p>
    <w:p w14:paraId="133A9219" w14:textId="30860DBD" w:rsidR="00C86248" w:rsidRDefault="005E1833">
      <w:r>
        <w:rPr>
          <w:rFonts w:ascii="Segoe UI Semibold" w:hAnsi="Segoe UI Semibold"/>
          <w:b/>
          <w:sz w:val="24"/>
        </w:rPr>
        <w:fldChar w:fldCharType="end"/>
      </w:r>
    </w:p>
    <w:p w14:paraId="685C29A8" w14:textId="77777777" w:rsidR="00C82A5F" w:rsidRDefault="00C82A5F" w:rsidP="001D3E4E">
      <w:pPr>
        <w:pStyle w:val="TOC1"/>
        <w:keepNext/>
        <w:sectPr w:rsidR="00C82A5F" w:rsidSect="0078658E">
          <w:headerReference w:type="even" r:id="rId18"/>
          <w:headerReference w:type="default" r:id="rId19"/>
          <w:footerReference w:type="even" r:id="rId20"/>
          <w:footerReference w:type="default" r:id="rId21"/>
          <w:pgSz w:w="11907" w:h="16840" w:code="9"/>
          <w:pgMar w:top="1418" w:right="1701" w:bottom="1134" w:left="1843" w:header="284" w:footer="425" w:gutter="284"/>
          <w:pgNumType w:fmt="lowerRoman"/>
          <w:cols w:space="720"/>
        </w:sectPr>
      </w:pPr>
    </w:p>
    <w:p w14:paraId="49038387" w14:textId="71F73E34" w:rsidR="003A5FEA" w:rsidRPr="001B0EDB" w:rsidRDefault="001B0EDB" w:rsidP="001D3E4E">
      <w:pPr>
        <w:pStyle w:val="TOC1"/>
        <w:keepNext/>
      </w:pPr>
      <w:r w:rsidRPr="001B0EDB">
        <w:lastRenderedPageBreak/>
        <w:t xml:space="preserve">Ngā tatau </w:t>
      </w:r>
      <w:r w:rsidR="00DB68CC">
        <w:t xml:space="preserve">| </w:t>
      </w:r>
      <w:r w:rsidR="003A5FEA" w:rsidRPr="001B0EDB">
        <w:t>List of Figures</w:t>
      </w:r>
    </w:p>
    <w:p w14:paraId="227240FE" w14:textId="266729CB" w:rsidR="00BB2424" w:rsidRDefault="00BB2424">
      <w:pPr>
        <w:pStyle w:val="TOC3"/>
        <w:rPr>
          <w:rFonts w:asciiTheme="minorHAnsi" w:eastAsiaTheme="minorEastAsia" w:hAnsiTheme="minorHAnsi" w:cstheme="minorBidi"/>
          <w:noProof/>
          <w:sz w:val="22"/>
          <w:szCs w:val="22"/>
          <w:lang w:eastAsia="en-NZ"/>
        </w:rPr>
      </w:pPr>
      <w:r>
        <w:fldChar w:fldCharType="begin"/>
      </w:r>
      <w:r>
        <w:instrText xml:space="preserve"> TOC \h \z \t "Figure,3" </w:instrText>
      </w:r>
      <w:r>
        <w:fldChar w:fldCharType="separate"/>
      </w:r>
      <w:hyperlink w:anchor="_Toc137137324" w:history="1">
        <w:r w:rsidRPr="0052436E">
          <w:rPr>
            <w:rStyle w:val="Hyperlink"/>
            <w:noProof/>
          </w:rPr>
          <w:t>Figure 1: Racial discrimination indicators from the NZHS</w:t>
        </w:r>
        <w:r>
          <w:rPr>
            <w:noProof/>
            <w:webHidden/>
          </w:rPr>
          <w:tab/>
        </w:r>
        <w:r>
          <w:rPr>
            <w:noProof/>
            <w:webHidden/>
          </w:rPr>
          <w:fldChar w:fldCharType="begin"/>
        </w:r>
        <w:r>
          <w:rPr>
            <w:noProof/>
            <w:webHidden/>
          </w:rPr>
          <w:instrText xml:space="preserve"> PAGEREF _Toc137137324 \h </w:instrText>
        </w:r>
        <w:r>
          <w:rPr>
            <w:noProof/>
            <w:webHidden/>
          </w:rPr>
        </w:r>
        <w:r>
          <w:rPr>
            <w:noProof/>
            <w:webHidden/>
          </w:rPr>
          <w:fldChar w:fldCharType="separate"/>
        </w:r>
        <w:r>
          <w:rPr>
            <w:noProof/>
            <w:webHidden/>
          </w:rPr>
          <w:t>4</w:t>
        </w:r>
        <w:r>
          <w:rPr>
            <w:noProof/>
            <w:webHidden/>
          </w:rPr>
          <w:fldChar w:fldCharType="end"/>
        </w:r>
      </w:hyperlink>
    </w:p>
    <w:p w14:paraId="1434131D" w14:textId="10557069" w:rsidR="00BB2424" w:rsidRDefault="003B12C7">
      <w:pPr>
        <w:pStyle w:val="TOC3"/>
        <w:rPr>
          <w:rFonts w:asciiTheme="minorHAnsi" w:eastAsiaTheme="minorEastAsia" w:hAnsiTheme="minorHAnsi" w:cstheme="minorBidi"/>
          <w:noProof/>
          <w:sz w:val="22"/>
          <w:szCs w:val="22"/>
          <w:lang w:eastAsia="en-NZ"/>
        </w:rPr>
      </w:pPr>
      <w:hyperlink w:anchor="_Toc137137325" w:history="1">
        <w:r w:rsidR="00BB2424" w:rsidRPr="0052436E">
          <w:rPr>
            <w:rStyle w:val="Hyperlink"/>
            <w:noProof/>
          </w:rPr>
          <w:t>Figure 2: Experience of racial discrimination in the past 12 months, by ethnic group and gender, 2020/21 (percentages)</w:t>
        </w:r>
        <w:r w:rsidR="00BB2424">
          <w:rPr>
            <w:noProof/>
            <w:webHidden/>
          </w:rPr>
          <w:tab/>
        </w:r>
        <w:r w:rsidR="00BB2424">
          <w:rPr>
            <w:noProof/>
            <w:webHidden/>
          </w:rPr>
          <w:fldChar w:fldCharType="begin"/>
        </w:r>
        <w:r w:rsidR="00BB2424">
          <w:rPr>
            <w:noProof/>
            <w:webHidden/>
          </w:rPr>
          <w:instrText xml:space="preserve"> PAGEREF _Toc137137325 \h </w:instrText>
        </w:r>
        <w:r w:rsidR="00BB2424">
          <w:rPr>
            <w:noProof/>
            <w:webHidden/>
          </w:rPr>
        </w:r>
        <w:r w:rsidR="00BB2424">
          <w:rPr>
            <w:noProof/>
            <w:webHidden/>
          </w:rPr>
          <w:fldChar w:fldCharType="separate"/>
        </w:r>
        <w:r w:rsidR="00BB2424">
          <w:rPr>
            <w:noProof/>
            <w:webHidden/>
          </w:rPr>
          <w:t>8</w:t>
        </w:r>
        <w:r w:rsidR="00BB2424">
          <w:rPr>
            <w:noProof/>
            <w:webHidden/>
          </w:rPr>
          <w:fldChar w:fldCharType="end"/>
        </w:r>
      </w:hyperlink>
    </w:p>
    <w:p w14:paraId="2CCDF3E9" w14:textId="19270D09" w:rsidR="00BB2424" w:rsidRDefault="003B12C7">
      <w:pPr>
        <w:pStyle w:val="TOC3"/>
        <w:rPr>
          <w:rFonts w:asciiTheme="minorHAnsi" w:eastAsiaTheme="minorEastAsia" w:hAnsiTheme="minorHAnsi" w:cstheme="minorBidi"/>
          <w:noProof/>
          <w:sz w:val="22"/>
          <w:szCs w:val="22"/>
          <w:lang w:eastAsia="en-NZ"/>
        </w:rPr>
      </w:pPr>
      <w:hyperlink w:anchor="_Toc137137326" w:history="1">
        <w:r w:rsidR="00BB2424" w:rsidRPr="0052436E">
          <w:rPr>
            <w:rStyle w:val="Hyperlink"/>
            <w:noProof/>
          </w:rPr>
          <w:t>Figure 3: Experience of racial discrimination in the past 12 months, by ethnic group, 2011/12, 2016/17 and 2020/21 (percentages)</w:t>
        </w:r>
        <w:r w:rsidR="00BB2424">
          <w:rPr>
            <w:noProof/>
            <w:webHidden/>
          </w:rPr>
          <w:tab/>
        </w:r>
        <w:r w:rsidR="00BB2424">
          <w:rPr>
            <w:noProof/>
            <w:webHidden/>
          </w:rPr>
          <w:fldChar w:fldCharType="begin"/>
        </w:r>
        <w:r w:rsidR="00BB2424">
          <w:rPr>
            <w:noProof/>
            <w:webHidden/>
          </w:rPr>
          <w:instrText xml:space="preserve"> PAGEREF _Toc137137326 \h </w:instrText>
        </w:r>
        <w:r w:rsidR="00BB2424">
          <w:rPr>
            <w:noProof/>
            <w:webHidden/>
          </w:rPr>
        </w:r>
        <w:r w:rsidR="00BB2424">
          <w:rPr>
            <w:noProof/>
            <w:webHidden/>
          </w:rPr>
          <w:fldChar w:fldCharType="separate"/>
        </w:r>
        <w:r w:rsidR="00BB2424">
          <w:rPr>
            <w:noProof/>
            <w:webHidden/>
          </w:rPr>
          <w:t>9</w:t>
        </w:r>
        <w:r w:rsidR="00BB2424">
          <w:rPr>
            <w:noProof/>
            <w:webHidden/>
          </w:rPr>
          <w:fldChar w:fldCharType="end"/>
        </w:r>
      </w:hyperlink>
    </w:p>
    <w:p w14:paraId="74130A35" w14:textId="25D65851" w:rsidR="00BB2424" w:rsidRDefault="003B12C7">
      <w:pPr>
        <w:pStyle w:val="TOC3"/>
        <w:rPr>
          <w:rFonts w:asciiTheme="minorHAnsi" w:eastAsiaTheme="minorEastAsia" w:hAnsiTheme="minorHAnsi" w:cstheme="minorBidi"/>
          <w:noProof/>
          <w:sz w:val="22"/>
          <w:szCs w:val="22"/>
          <w:lang w:eastAsia="en-NZ"/>
        </w:rPr>
      </w:pPr>
      <w:hyperlink w:anchor="_Toc137137327" w:history="1">
        <w:r w:rsidR="00BB2424" w:rsidRPr="0052436E">
          <w:rPr>
            <w:rStyle w:val="Hyperlink"/>
            <w:noProof/>
          </w:rPr>
          <w:t>Figure 4: Experience of ethnically motivated unfair treatment in the past 12 months, 2011/12, 2016/17 and 2020/21 (percentages)</w:t>
        </w:r>
        <w:r w:rsidR="00BB2424">
          <w:rPr>
            <w:noProof/>
            <w:webHidden/>
          </w:rPr>
          <w:tab/>
        </w:r>
        <w:r w:rsidR="00BB2424">
          <w:rPr>
            <w:noProof/>
            <w:webHidden/>
          </w:rPr>
          <w:fldChar w:fldCharType="begin"/>
        </w:r>
        <w:r w:rsidR="00BB2424">
          <w:rPr>
            <w:noProof/>
            <w:webHidden/>
          </w:rPr>
          <w:instrText xml:space="preserve"> PAGEREF _Toc137137327 \h </w:instrText>
        </w:r>
        <w:r w:rsidR="00BB2424">
          <w:rPr>
            <w:noProof/>
            <w:webHidden/>
          </w:rPr>
        </w:r>
        <w:r w:rsidR="00BB2424">
          <w:rPr>
            <w:noProof/>
            <w:webHidden/>
          </w:rPr>
          <w:fldChar w:fldCharType="separate"/>
        </w:r>
        <w:r w:rsidR="00BB2424">
          <w:rPr>
            <w:noProof/>
            <w:webHidden/>
          </w:rPr>
          <w:t>12</w:t>
        </w:r>
        <w:r w:rsidR="00BB2424">
          <w:rPr>
            <w:noProof/>
            <w:webHidden/>
          </w:rPr>
          <w:fldChar w:fldCharType="end"/>
        </w:r>
      </w:hyperlink>
    </w:p>
    <w:p w14:paraId="197B87EC" w14:textId="6DD14EED" w:rsidR="00BB2424" w:rsidRDefault="003B12C7">
      <w:pPr>
        <w:pStyle w:val="TOC3"/>
        <w:rPr>
          <w:rFonts w:asciiTheme="minorHAnsi" w:eastAsiaTheme="minorEastAsia" w:hAnsiTheme="minorHAnsi" w:cstheme="minorBidi"/>
          <w:noProof/>
          <w:sz w:val="22"/>
          <w:szCs w:val="22"/>
          <w:lang w:eastAsia="en-NZ"/>
        </w:rPr>
      </w:pPr>
      <w:hyperlink w:anchor="_Toc137137328" w:history="1">
        <w:r w:rsidR="00BB2424" w:rsidRPr="0052436E">
          <w:rPr>
            <w:rStyle w:val="Hyperlink"/>
            <w:noProof/>
          </w:rPr>
          <w:t>Figure 5: Experience of ethnically motivated personal attack in the past 12 months, 2011/12, 2016/17 and 2020/21 (percentages)</w:t>
        </w:r>
        <w:r w:rsidR="00BB2424">
          <w:rPr>
            <w:noProof/>
            <w:webHidden/>
          </w:rPr>
          <w:tab/>
        </w:r>
        <w:r w:rsidR="00BB2424">
          <w:rPr>
            <w:noProof/>
            <w:webHidden/>
          </w:rPr>
          <w:fldChar w:fldCharType="begin"/>
        </w:r>
        <w:r w:rsidR="00BB2424">
          <w:rPr>
            <w:noProof/>
            <w:webHidden/>
          </w:rPr>
          <w:instrText xml:space="preserve"> PAGEREF _Toc137137328 \h </w:instrText>
        </w:r>
        <w:r w:rsidR="00BB2424">
          <w:rPr>
            <w:noProof/>
            <w:webHidden/>
          </w:rPr>
        </w:r>
        <w:r w:rsidR="00BB2424">
          <w:rPr>
            <w:noProof/>
            <w:webHidden/>
          </w:rPr>
          <w:fldChar w:fldCharType="separate"/>
        </w:r>
        <w:r w:rsidR="00BB2424">
          <w:rPr>
            <w:noProof/>
            <w:webHidden/>
          </w:rPr>
          <w:t>12</w:t>
        </w:r>
        <w:r w:rsidR="00BB2424">
          <w:rPr>
            <w:noProof/>
            <w:webHidden/>
          </w:rPr>
          <w:fldChar w:fldCharType="end"/>
        </w:r>
      </w:hyperlink>
    </w:p>
    <w:p w14:paraId="05CC63FD" w14:textId="331A152B" w:rsidR="003A5FEA" w:rsidRDefault="00BB2424" w:rsidP="003A5FEA">
      <w:r>
        <w:fldChar w:fldCharType="end"/>
      </w:r>
    </w:p>
    <w:p w14:paraId="0D248541" w14:textId="556A8182" w:rsidR="002B76A7" w:rsidRDefault="001B0EDB" w:rsidP="002B76A7">
      <w:pPr>
        <w:pStyle w:val="TOC1"/>
        <w:keepNext/>
      </w:pPr>
      <w:r w:rsidRPr="001B0EDB">
        <w:t xml:space="preserve">Ngā tūtohi </w:t>
      </w:r>
      <w:r w:rsidR="00DB68CC">
        <w:t xml:space="preserve">| </w:t>
      </w:r>
      <w:r w:rsidR="002B76A7">
        <w:t>List of Tables</w:t>
      </w:r>
    </w:p>
    <w:p w14:paraId="46CD9AAC" w14:textId="23A0B0EF" w:rsidR="001B0EDB" w:rsidRDefault="002B76A7">
      <w:pPr>
        <w:pStyle w:val="TOC3"/>
        <w:rPr>
          <w:rFonts w:asciiTheme="minorHAnsi" w:eastAsiaTheme="minorEastAsia" w:hAnsiTheme="minorHAnsi" w:cstheme="minorBidi"/>
          <w:noProof/>
          <w:sz w:val="22"/>
          <w:szCs w:val="22"/>
          <w:lang w:val="en-AU" w:eastAsia="en-AU"/>
        </w:rPr>
      </w:pPr>
      <w:r>
        <w:rPr>
          <w:sz w:val="20"/>
        </w:rPr>
        <w:fldChar w:fldCharType="begin"/>
      </w:r>
      <w:r>
        <w:instrText xml:space="preserve"> TOC \t "Table,3" </w:instrText>
      </w:r>
      <w:r>
        <w:rPr>
          <w:sz w:val="20"/>
        </w:rPr>
        <w:fldChar w:fldCharType="separate"/>
      </w:r>
      <w:r w:rsidR="001B0EDB">
        <w:rPr>
          <w:noProof/>
        </w:rPr>
        <w:t>Table 1: Experience of racial discrimination in the past 12 months and in lifetime, by ethnic group, 2020/21 (percentages)</w:t>
      </w:r>
      <w:r w:rsidR="001B0EDB">
        <w:rPr>
          <w:noProof/>
        </w:rPr>
        <w:tab/>
      </w:r>
      <w:r w:rsidR="001B0EDB">
        <w:rPr>
          <w:noProof/>
        </w:rPr>
        <w:fldChar w:fldCharType="begin"/>
      </w:r>
      <w:r w:rsidR="001B0EDB">
        <w:rPr>
          <w:noProof/>
        </w:rPr>
        <w:instrText xml:space="preserve"> PAGEREF _Toc136584045 \h </w:instrText>
      </w:r>
      <w:r w:rsidR="001B0EDB">
        <w:rPr>
          <w:noProof/>
        </w:rPr>
      </w:r>
      <w:r w:rsidR="001B0EDB">
        <w:rPr>
          <w:noProof/>
        </w:rPr>
        <w:fldChar w:fldCharType="separate"/>
      </w:r>
      <w:r w:rsidR="001B0EDB">
        <w:rPr>
          <w:noProof/>
        </w:rPr>
        <w:t>7</w:t>
      </w:r>
      <w:r w:rsidR="001B0EDB">
        <w:rPr>
          <w:noProof/>
        </w:rPr>
        <w:fldChar w:fldCharType="end"/>
      </w:r>
    </w:p>
    <w:p w14:paraId="58B38D87" w14:textId="1FD2A4D3" w:rsidR="001B0EDB" w:rsidRDefault="001B0EDB">
      <w:pPr>
        <w:pStyle w:val="TOC3"/>
        <w:rPr>
          <w:rFonts w:asciiTheme="minorHAnsi" w:eastAsiaTheme="minorEastAsia" w:hAnsiTheme="minorHAnsi" w:cstheme="minorBidi"/>
          <w:noProof/>
          <w:sz w:val="22"/>
          <w:szCs w:val="22"/>
          <w:lang w:val="en-AU" w:eastAsia="en-AU"/>
        </w:rPr>
      </w:pPr>
      <w:r>
        <w:rPr>
          <w:noProof/>
        </w:rPr>
        <w:t xml:space="preserve">Table 2: Experience of racial discrimination </w:t>
      </w:r>
      <w:r w:rsidRPr="005D0EC8">
        <w:rPr>
          <w:bCs/>
          <w:noProof/>
        </w:rPr>
        <w:t>in the past 12 months</w:t>
      </w:r>
      <w:r>
        <w:rPr>
          <w:noProof/>
        </w:rPr>
        <w:t>, by type of discrimination and ethnic group, 2020/21 (percentages)</w:t>
      </w:r>
      <w:r>
        <w:rPr>
          <w:noProof/>
        </w:rPr>
        <w:tab/>
      </w:r>
      <w:r>
        <w:rPr>
          <w:noProof/>
        </w:rPr>
        <w:fldChar w:fldCharType="begin"/>
      </w:r>
      <w:r>
        <w:rPr>
          <w:noProof/>
        </w:rPr>
        <w:instrText xml:space="preserve"> PAGEREF _Toc136584046 \h </w:instrText>
      </w:r>
      <w:r>
        <w:rPr>
          <w:noProof/>
        </w:rPr>
      </w:r>
      <w:r>
        <w:rPr>
          <w:noProof/>
        </w:rPr>
        <w:fldChar w:fldCharType="separate"/>
      </w:r>
      <w:r>
        <w:rPr>
          <w:noProof/>
        </w:rPr>
        <w:t>10</w:t>
      </w:r>
      <w:r>
        <w:rPr>
          <w:noProof/>
        </w:rPr>
        <w:fldChar w:fldCharType="end"/>
      </w:r>
    </w:p>
    <w:p w14:paraId="7B495419" w14:textId="6B585D52" w:rsidR="001B0EDB" w:rsidRDefault="001B0EDB">
      <w:pPr>
        <w:pStyle w:val="TOC3"/>
        <w:rPr>
          <w:rFonts w:asciiTheme="minorHAnsi" w:eastAsiaTheme="minorEastAsia" w:hAnsiTheme="minorHAnsi" w:cstheme="minorBidi"/>
          <w:noProof/>
          <w:sz w:val="22"/>
          <w:szCs w:val="22"/>
          <w:lang w:val="en-AU" w:eastAsia="en-AU"/>
        </w:rPr>
      </w:pPr>
      <w:r>
        <w:rPr>
          <w:noProof/>
        </w:rPr>
        <w:t xml:space="preserve">Table 3: Experience of racial discrimination </w:t>
      </w:r>
      <w:r w:rsidRPr="005D0EC8">
        <w:rPr>
          <w:bCs/>
          <w:noProof/>
        </w:rPr>
        <w:t>in lifetime</w:t>
      </w:r>
      <w:r>
        <w:rPr>
          <w:noProof/>
        </w:rPr>
        <w:t>, by type of discrimination and ethnic group, 2020/21 (percentages)</w:t>
      </w:r>
      <w:r>
        <w:rPr>
          <w:noProof/>
        </w:rPr>
        <w:tab/>
      </w:r>
      <w:r>
        <w:rPr>
          <w:noProof/>
        </w:rPr>
        <w:fldChar w:fldCharType="begin"/>
      </w:r>
      <w:r>
        <w:rPr>
          <w:noProof/>
        </w:rPr>
        <w:instrText xml:space="preserve"> PAGEREF _Toc136584047 \h </w:instrText>
      </w:r>
      <w:r>
        <w:rPr>
          <w:noProof/>
        </w:rPr>
      </w:r>
      <w:r>
        <w:rPr>
          <w:noProof/>
        </w:rPr>
        <w:fldChar w:fldCharType="separate"/>
      </w:r>
      <w:r>
        <w:rPr>
          <w:noProof/>
        </w:rPr>
        <w:t>11</w:t>
      </w:r>
      <w:r>
        <w:rPr>
          <w:noProof/>
        </w:rPr>
        <w:fldChar w:fldCharType="end"/>
      </w:r>
    </w:p>
    <w:p w14:paraId="472C3E0A" w14:textId="11D0C98E" w:rsidR="001B0EDB" w:rsidRDefault="001B0EDB">
      <w:pPr>
        <w:pStyle w:val="TOC3"/>
        <w:rPr>
          <w:rFonts w:asciiTheme="minorHAnsi" w:eastAsiaTheme="minorEastAsia" w:hAnsiTheme="minorHAnsi" w:cstheme="minorBidi"/>
          <w:noProof/>
          <w:sz w:val="22"/>
          <w:szCs w:val="22"/>
          <w:lang w:val="en-AU" w:eastAsia="en-AU"/>
        </w:rPr>
      </w:pPr>
      <w:r>
        <w:rPr>
          <w:noProof/>
        </w:rPr>
        <w:t>Table 4: Experience of psychological distress, by ethnic group, and experience of racial discrimination in past 12 months, 2020/21 (percentages)</w:t>
      </w:r>
      <w:r>
        <w:rPr>
          <w:noProof/>
        </w:rPr>
        <w:tab/>
      </w:r>
      <w:r>
        <w:rPr>
          <w:noProof/>
        </w:rPr>
        <w:fldChar w:fldCharType="begin"/>
      </w:r>
      <w:r>
        <w:rPr>
          <w:noProof/>
        </w:rPr>
        <w:instrText xml:space="preserve"> PAGEREF _Toc136584048 \h </w:instrText>
      </w:r>
      <w:r>
        <w:rPr>
          <w:noProof/>
        </w:rPr>
      </w:r>
      <w:r>
        <w:rPr>
          <w:noProof/>
        </w:rPr>
        <w:fldChar w:fldCharType="separate"/>
      </w:r>
      <w:r>
        <w:rPr>
          <w:noProof/>
        </w:rPr>
        <w:t>14</w:t>
      </w:r>
      <w:r>
        <w:rPr>
          <w:noProof/>
        </w:rPr>
        <w:fldChar w:fldCharType="end"/>
      </w:r>
    </w:p>
    <w:p w14:paraId="0754E253" w14:textId="37282F47" w:rsidR="001B0EDB" w:rsidRDefault="001B0EDB">
      <w:pPr>
        <w:pStyle w:val="TOC3"/>
        <w:rPr>
          <w:rFonts w:asciiTheme="minorHAnsi" w:eastAsiaTheme="minorEastAsia" w:hAnsiTheme="minorHAnsi" w:cstheme="minorBidi"/>
          <w:noProof/>
          <w:sz w:val="22"/>
          <w:szCs w:val="22"/>
          <w:lang w:val="en-AU" w:eastAsia="en-AU"/>
        </w:rPr>
      </w:pPr>
      <w:r>
        <w:rPr>
          <w:noProof/>
        </w:rPr>
        <w:t>Table 5: Good, very good or excellent self-rated health, by ethnic group and experience of racial discrimination in past 12 months, 2020/21 (percentages)</w:t>
      </w:r>
      <w:r>
        <w:rPr>
          <w:noProof/>
        </w:rPr>
        <w:tab/>
      </w:r>
      <w:r>
        <w:rPr>
          <w:noProof/>
        </w:rPr>
        <w:fldChar w:fldCharType="begin"/>
      </w:r>
      <w:r>
        <w:rPr>
          <w:noProof/>
        </w:rPr>
        <w:instrText xml:space="preserve"> PAGEREF _Toc136584049 \h </w:instrText>
      </w:r>
      <w:r>
        <w:rPr>
          <w:noProof/>
        </w:rPr>
      </w:r>
      <w:r>
        <w:rPr>
          <w:noProof/>
        </w:rPr>
        <w:fldChar w:fldCharType="separate"/>
      </w:r>
      <w:r>
        <w:rPr>
          <w:noProof/>
        </w:rPr>
        <w:t>14</w:t>
      </w:r>
      <w:r>
        <w:rPr>
          <w:noProof/>
        </w:rPr>
        <w:fldChar w:fldCharType="end"/>
      </w:r>
    </w:p>
    <w:p w14:paraId="5E7B31B7" w14:textId="7ED13E3C" w:rsidR="001B0EDB" w:rsidRDefault="001B0EDB">
      <w:pPr>
        <w:pStyle w:val="TOC3"/>
        <w:rPr>
          <w:rFonts w:asciiTheme="minorHAnsi" w:eastAsiaTheme="minorEastAsia" w:hAnsiTheme="minorHAnsi" w:cstheme="minorBidi"/>
          <w:noProof/>
          <w:sz w:val="22"/>
          <w:szCs w:val="22"/>
          <w:lang w:val="en-AU" w:eastAsia="en-AU"/>
        </w:rPr>
      </w:pPr>
      <w:r>
        <w:rPr>
          <w:noProof/>
        </w:rPr>
        <w:t>Table 6: Unmet need for primary health care, by ethnic group, and experience of racial discrimination in past 12 months, 2020/21 (percentages)</w:t>
      </w:r>
      <w:r>
        <w:rPr>
          <w:noProof/>
        </w:rPr>
        <w:tab/>
      </w:r>
      <w:r>
        <w:rPr>
          <w:noProof/>
        </w:rPr>
        <w:fldChar w:fldCharType="begin"/>
      </w:r>
      <w:r>
        <w:rPr>
          <w:noProof/>
        </w:rPr>
        <w:instrText xml:space="preserve"> PAGEREF _Toc136584050 \h </w:instrText>
      </w:r>
      <w:r>
        <w:rPr>
          <w:noProof/>
        </w:rPr>
      </w:r>
      <w:r>
        <w:rPr>
          <w:noProof/>
        </w:rPr>
        <w:fldChar w:fldCharType="separate"/>
      </w:r>
      <w:r>
        <w:rPr>
          <w:noProof/>
        </w:rPr>
        <w:t>15</w:t>
      </w:r>
      <w:r>
        <w:rPr>
          <w:noProof/>
        </w:rPr>
        <w:fldChar w:fldCharType="end"/>
      </w:r>
    </w:p>
    <w:p w14:paraId="372F0FB9" w14:textId="5F73648D" w:rsidR="001B0EDB" w:rsidRDefault="001B0EDB">
      <w:pPr>
        <w:pStyle w:val="TOC3"/>
        <w:rPr>
          <w:rFonts w:asciiTheme="minorHAnsi" w:eastAsiaTheme="minorEastAsia" w:hAnsiTheme="minorHAnsi" w:cstheme="minorBidi"/>
          <w:noProof/>
          <w:sz w:val="22"/>
          <w:szCs w:val="22"/>
          <w:lang w:val="en-AU" w:eastAsia="en-AU"/>
        </w:rPr>
      </w:pPr>
      <w:r>
        <w:rPr>
          <w:noProof/>
        </w:rPr>
        <w:t>Table 7: Sample sizes for NZHS in 2011/12, 2016/17 and 2020/21, by ethnic group</w:t>
      </w:r>
      <w:r>
        <w:rPr>
          <w:noProof/>
        </w:rPr>
        <w:tab/>
      </w:r>
      <w:r>
        <w:rPr>
          <w:noProof/>
        </w:rPr>
        <w:fldChar w:fldCharType="begin"/>
      </w:r>
      <w:r>
        <w:rPr>
          <w:noProof/>
        </w:rPr>
        <w:instrText xml:space="preserve"> PAGEREF _Toc136584051 \h </w:instrText>
      </w:r>
      <w:r>
        <w:rPr>
          <w:noProof/>
        </w:rPr>
      </w:r>
      <w:r>
        <w:rPr>
          <w:noProof/>
        </w:rPr>
        <w:fldChar w:fldCharType="separate"/>
      </w:r>
      <w:r>
        <w:rPr>
          <w:noProof/>
        </w:rPr>
        <w:t>16</w:t>
      </w:r>
      <w:r>
        <w:rPr>
          <w:noProof/>
        </w:rPr>
        <w:fldChar w:fldCharType="end"/>
      </w:r>
    </w:p>
    <w:p w14:paraId="4A6797B1" w14:textId="7F9F3063" w:rsidR="002B76A7" w:rsidRDefault="002B76A7" w:rsidP="003A5FEA">
      <w:r>
        <w:fldChar w:fldCharType="end"/>
      </w:r>
    </w:p>
    <w:p w14:paraId="03333094" w14:textId="77777777" w:rsidR="001D3E4E" w:rsidRDefault="001D3E4E" w:rsidP="003A5FEA">
      <w:pPr>
        <w:sectPr w:rsidR="001D3E4E" w:rsidSect="0078658E">
          <w:pgSz w:w="11907" w:h="16840" w:code="9"/>
          <w:pgMar w:top="1418" w:right="1701" w:bottom="1134" w:left="1843" w:header="284" w:footer="425" w:gutter="284"/>
          <w:pgNumType w:fmt="lowerRoman"/>
          <w:cols w:space="720"/>
        </w:sectPr>
      </w:pPr>
    </w:p>
    <w:p w14:paraId="5DDB57FC" w14:textId="77777777" w:rsidR="001D3E4E" w:rsidRDefault="001D3E4E" w:rsidP="003A5FEA"/>
    <w:p w14:paraId="0A056DB8" w14:textId="1CEDE5F1" w:rsidR="009A42D5" w:rsidRDefault="00FC4E54" w:rsidP="00FC4E54">
      <w:pPr>
        <w:pStyle w:val="Heading1"/>
        <w:spacing w:before="0"/>
      </w:pPr>
      <w:bookmarkStart w:id="3" w:name="_Toc136943100"/>
      <w:bookmarkStart w:id="4" w:name="_Toc136943195"/>
      <w:r w:rsidRPr="00FC4E54">
        <w:rPr>
          <w:b w:val="0"/>
          <w:bCs/>
        </w:rPr>
        <w:t>Ngā kitenga matua</w:t>
      </w:r>
      <w:r w:rsidR="001A2554">
        <w:rPr>
          <w:b w:val="0"/>
          <w:bCs/>
        </w:rPr>
        <w:t xml:space="preserve"> </w:t>
      </w:r>
      <w:r w:rsidR="001A2554" w:rsidRPr="001A2554">
        <w:rPr>
          <w:b w:val="0"/>
          <w:bCs/>
        </w:rPr>
        <w:t>|</w:t>
      </w:r>
      <w:r>
        <w:br/>
        <w:t>Key points</w:t>
      </w:r>
      <w:bookmarkEnd w:id="3"/>
      <w:bookmarkEnd w:id="4"/>
      <w:r w:rsidR="009A42D5">
        <w:t xml:space="preserve"> </w:t>
      </w:r>
    </w:p>
    <w:p w14:paraId="5907A720" w14:textId="77777777" w:rsidR="00FC4E54" w:rsidRPr="00FC4E54" w:rsidRDefault="00FC4E54" w:rsidP="00FC4E54">
      <w:pPr>
        <w:pStyle w:val="Bullet"/>
        <w:rPr>
          <w:rFonts w:eastAsia="Arial Unicode MS"/>
        </w:rPr>
      </w:pPr>
      <w:r w:rsidRPr="00FC4E54">
        <w:t>The New Zealand Health Survey included questions on racial discrimination in 2011/12, 2016/17 and 2020/21.</w:t>
      </w:r>
    </w:p>
    <w:p w14:paraId="15A35B2F" w14:textId="77777777" w:rsidR="00FC4E54" w:rsidRPr="00FC4E54" w:rsidRDefault="00FC4E54" w:rsidP="00FC4E54">
      <w:pPr>
        <w:pStyle w:val="Bullet"/>
        <w:rPr>
          <w:rFonts w:eastAsia="Arial Unicode MS"/>
        </w:rPr>
      </w:pPr>
      <w:r w:rsidRPr="00FC4E54">
        <w:rPr>
          <w:rFonts w:eastAsia="Arial Unicode MS"/>
        </w:rPr>
        <w:t xml:space="preserve">Māori, Pacific and Asian adults are more likely than </w:t>
      </w:r>
      <w:bookmarkStart w:id="5" w:name="_Hlk132978420"/>
      <w:r w:rsidRPr="00FC4E54">
        <w:rPr>
          <w:rFonts w:eastAsia="Arial Unicode MS"/>
        </w:rPr>
        <w:t xml:space="preserve">non-Māori, non-Pacific, non-Asian </w:t>
      </w:r>
      <w:bookmarkEnd w:id="5"/>
      <w:r w:rsidRPr="00FC4E54">
        <w:rPr>
          <w:rFonts w:eastAsia="Arial Unicode MS"/>
        </w:rPr>
        <w:t>(non-MPA) adults to experience racial discrimination.</w:t>
      </w:r>
      <w:r w:rsidRPr="004056DA">
        <w:rPr>
          <w:rStyle w:val="FootnoteReference"/>
          <w:rFonts w:eastAsia="Arial Unicode MS"/>
        </w:rPr>
        <w:footnoteReference w:id="1"/>
      </w:r>
      <w:r w:rsidRPr="00FC4E54">
        <w:rPr>
          <w:rFonts w:eastAsia="Arial Unicode MS"/>
        </w:rPr>
        <w:t xml:space="preserve"> In the 12 months before the 2020/21 survey, 13.8% of Māori, 9.5% of Pacific, 12.3% of Asian and 4.8% of non-MPA adults experienced racial discrimination.</w:t>
      </w:r>
    </w:p>
    <w:p w14:paraId="36EDC469" w14:textId="77777777" w:rsidR="00FC4E54" w:rsidRPr="00FC4E54" w:rsidRDefault="00FC4E54" w:rsidP="00FC4E54">
      <w:pPr>
        <w:pStyle w:val="Bullet"/>
        <w:rPr>
          <w:rFonts w:eastAsia="Arial Unicode MS"/>
        </w:rPr>
      </w:pPr>
      <w:r w:rsidRPr="00FC4E54">
        <w:t>The proportion of Māori who experienced racial discrimination in the past 12 months increased from 10.8% in 2011/12 to 13.8% in 2020/21. In particular, the proportion of Māori women who experienced racial discrimination in the past 12 months increased, from 9.7% in 2011/12 to 16.8% in 2020/21.</w:t>
      </w:r>
    </w:p>
    <w:p w14:paraId="5A94BBAC" w14:textId="77777777" w:rsidR="00FC4E54" w:rsidRPr="00FC4E54" w:rsidRDefault="00FC4E54" w:rsidP="00FC4E54">
      <w:pPr>
        <w:pStyle w:val="Bullet"/>
        <w:rPr>
          <w:rFonts w:eastAsia="Arial Unicode MS"/>
        </w:rPr>
      </w:pPr>
      <w:r w:rsidRPr="00FC4E54">
        <w:rPr>
          <w:rFonts w:eastAsia="Arial Unicode MS"/>
        </w:rPr>
        <w:t>Verbal abuse was the most common type of racial discrimination that all ethnic groups experienced in the 12 months before the 2020/21 survey (9.0% of Māori, 6.4% of Pacific, 9.9% of Asian and 3.6% of non-MPA adults).</w:t>
      </w:r>
    </w:p>
    <w:p w14:paraId="16F092EC" w14:textId="77777777" w:rsidR="00FC4E54" w:rsidRPr="00FC4E54" w:rsidRDefault="00FC4E54" w:rsidP="00FC4E54">
      <w:pPr>
        <w:pStyle w:val="Bullet"/>
      </w:pPr>
      <w:r w:rsidRPr="00FC4E54">
        <w:t xml:space="preserve">Unfair treatment by a health professional was the second-most common type of discrimination experienced in the past 12 months for both Māori (3.8%) and Pacific (2.6%) adults. </w:t>
      </w:r>
    </w:p>
    <w:p w14:paraId="26412E9E" w14:textId="77777777" w:rsidR="00FC4E54" w:rsidRPr="00FC4E54" w:rsidRDefault="00FC4E54" w:rsidP="00FC4E54">
      <w:pPr>
        <w:pStyle w:val="Bullet"/>
      </w:pPr>
      <w:r w:rsidRPr="00FC4E54">
        <w:t>Unfair treatment at work or refusal of a job was the second-most common type of discrimination experienced in the past 12 months for Asian (2.4%) and non-MPA (1.0%) adults.</w:t>
      </w:r>
    </w:p>
    <w:p w14:paraId="2DA636CC" w14:textId="77777777" w:rsidR="00FC4E54" w:rsidRPr="00FC4E54" w:rsidRDefault="00FC4E54" w:rsidP="00FC4E54">
      <w:pPr>
        <w:pStyle w:val="Bullet"/>
      </w:pPr>
      <w:r w:rsidRPr="00FC4E54">
        <w:t>Racial discrimination is associated with higher rates of psychological distress, lower rates of good/very good/excellent self-rated health, and higher rates of unmet need for primary health care.</w:t>
      </w:r>
    </w:p>
    <w:p w14:paraId="27CE47F6" w14:textId="77777777" w:rsidR="009A42D5" w:rsidRDefault="009A42D5" w:rsidP="00571223">
      <w:pPr>
        <w:rPr>
          <w:rFonts w:eastAsia="Arial Unicode MS"/>
        </w:rPr>
      </w:pPr>
    </w:p>
    <w:p w14:paraId="0EDA88D2" w14:textId="77777777" w:rsidR="00D662F8" w:rsidRPr="00E53A9F" w:rsidRDefault="00D662F8" w:rsidP="0043478F">
      <w:pPr>
        <w:rPr>
          <w:rStyle w:val="Hyperlink"/>
        </w:rPr>
      </w:pPr>
    </w:p>
    <w:p w14:paraId="2A9240AD" w14:textId="77777777" w:rsidR="00FC4E54" w:rsidRDefault="00FC4E54" w:rsidP="00FC4E54">
      <w:pPr>
        <w:pStyle w:val="Heading1"/>
        <w:sectPr w:rsidR="00FC4E54" w:rsidSect="00FC4E54">
          <w:footerReference w:type="even" r:id="rId22"/>
          <w:footerReference w:type="default" r:id="rId23"/>
          <w:pgSz w:w="11907" w:h="16840" w:code="9"/>
          <w:pgMar w:top="1418" w:right="1701" w:bottom="1134" w:left="1843" w:header="284" w:footer="425" w:gutter="284"/>
          <w:pgNumType w:start="1"/>
          <w:cols w:space="720"/>
        </w:sectPr>
      </w:pPr>
      <w:bookmarkStart w:id="6" w:name="_bookmark4"/>
      <w:bookmarkEnd w:id="6"/>
    </w:p>
    <w:p w14:paraId="7F838428" w14:textId="75310B7E" w:rsidR="009A42D5" w:rsidRPr="0043478F" w:rsidRDefault="00FC4E54" w:rsidP="00FC4E54">
      <w:pPr>
        <w:pStyle w:val="Heading1"/>
        <w:spacing w:before="0"/>
      </w:pPr>
      <w:bookmarkStart w:id="7" w:name="_Toc136943101"/>
      <w:bookmarkStart w:id="8" w:name="_Toc136943196"/>
      <w:r w:rsidRPr="00FC4E54">
        <w:rPr>
          <w:b w:val="0"/>
          <w:bCs/>
        </w:rPr>
        <w:lastRenderedPageBreak/>
        <w:t xml:space="preserve">Te </w:t>
      </w:r>
      <w:r w:rsidR="003E12A6">
        <w:rPr>
          <w:b w:val="0"/>
          <w:bCs/>
        </w:rPr>
        <w:t>k</w:t>
      </w:r>
      <w:r w:rsidR="000922E7">
        <w:rPr>
          <w:b w:val="0"/>
          <w:bCs/>
        </w:rPr>
        <w:t>aupapa |</w:t>
      </w:r>
      <w:r>
        <w:br/>
        <w:t>Purpose</w:t>
      </w:r>
      <w:bookmarkEnd w:id="7"/>
      <w:bookmarkEnd w:id="8"/>
    </w:p>
    <w:p w14:paraId="1B57D34D" w14:textId="77777777" w:rsidR="00FC4E54" w:rsidRPr="00B52477" w:rsidRDefault="00FC4E54" w:rsidP="00FC4E54">
      <w:r w:rsidRPr="00B52477">
        <w:t xml:space="preserve">This report has been prepared to </w:t>
      </w:r>
      <w:r>
        <w:t>present</w:t>
      </w:r>
      <w:r w:rsidRPr="00B52477">
        <w:t xml:space="preserve"> the key results from a racial discrimination module that </w:t>
      </w:r>
      <w:r>
        <w:t xml:space="preserve">has been included in </w:t>
      </w:r>
      <w:r w:rsidRPr="00B52477">
        <w:t>the New Zealand Health Survey</w:t>
      </w:r>
      <w:r>
        <w:t xml:space="preserve"> (NZHS) in some years</w:t>
      </w:r>
      <w:r w:rsidRPr="00B52477">
        <w:t xml:space="preserve">. </w:t>
      </w:r>
    </w:p>
    <w:p w14:paraId="1352020C" w14:textId="77777777" w:rsidR="00FC4E54" w:rsidRPr="00B52477" w:rsidRDefault="00FC4E54" w:rsidP="00FC4E54"/>
    <w:p w14:paraId="4C254E5D" w14:textId="77777777" w:rsidR="00FC4E54" w:rsidRPr="00B52477" w:rsidRDefault="00FC4E54" w:rsidP="00FC4E54">
      <w:r w:rsidRPr="00B52477">
        <w:rPr>
          <w:rFonts w:cs="Segoe UI"/>
        </w:rPr>
        <w:t>Addressing racial discrimination is critical to uphold</w:t>
      </w:r>
      <w:r>
        <w:rPr>
          <w:rFonts w:cs="Segoe UI"/>
        </w:rPr>
        <w:t>ing</w:t>
      </w:r>
      <w:r w:rsidRPr="00B52477">
        <w:rPr>
          <w:rFonts w:cs="Segoe UI"/>
        </w:rPr>
        <w:t xml:space="preserve"> our obligations under Te Tiriti o Waitangi, a</w:t>
      </w:r>
      <w:r w:rsidRPr="00B52477">
        <w:t>nd essential to achieving health equity. As kaitiaki of the system, Manatū Hauora</w:t>
      </w:r>
      <w:r>
        <w:t xml:space="preserve"> — </w:t>
      </w:r>
      <w:r w:rsidRPr="00B52477">
        <w:t xml:space="preserve">Ministry of Health (the Ministry) has an important role to play in creating an environment where all people can access the health care they need without fear of racial discrimination. The Ministry has outlined a commitment to addressing racism and discrimination. </w:t>
      </w:r>
      <w:r w:rsidRPr="002C10FD">
        <w:t>Ao Mai te Rā: The Anti-Racism Kaupapa</w:t>
      </w:r>
      <w:r w:rsidRPr="00B52477">
        <w:t xml:space="preserve"> (Ministry of Health 2022a) is a Ministry initiative </w:t>
      </w:r>
      <w:r>
        <w:t>that</w:t>
      </w:r>
      <w:r w:rsidRPr="00B52477">
        <w:t xml:space="preserve"> aims to support the health sector to understand and respond to racism in health. The Ministry’s commitment to addressing racism and discrimination is reflected as outcomes in </w:t>
      </w:r>
      <w:bookmarkStart w:id="9" w:name="_Hlk135388198"/>
      <w:r w:rsidRPr="002C10FD">
        <w:t xml:space="preserve">Whakamaua: Māori Health Action Plan </w:t>
      </w:r>
      <w:r w:rsidRPr="00B52477">
        <w:t xml:space="preserve">(Ministry of Health 2020b), </w:t>
      </w:r>
      <w:r w:rsidRPr="002C10FD">
        <w:t>Ola Manuia: Pacific Health and Wellbeing Action Plan</w:t>
      </w:r>
      <w:r w:rsidRPr="00B52477">
        <w:t xml:space="preserve"> (Ministry of Health 2020a), </w:t>
      </w:r>
      <w:r w:rsidRPr="002C10FD">
        <w:t>New Zealand Cancer Action Plan</w:t>
      </w:r>
      <w:r w:rsidRPr="00B52477">
        <w:t xml:space="preserve"> (Ministry of Health 2019) and </w:t>
      </w:r>
      <w:r w:rsidRPr="002C10FD">
        <w:t>Kia Manawanui Aotearoa</w:t>
      </w:r>
      <w:r w:rsidRPr="00B52477">
        <w:t xml:space="preserve"> (Ministry of Health 2021a).</w:t>
      </w:r>
    </w:p>
    <w:bookmarkEnd w:id="9"/>
    <w:p w14:paraId="4E3C34FA" w14:textId="77777777" w:rsidR="00FC4E54" w:rsidRPr="00B52477" w:rsidRDefault="00FC4E54" w:rsidP="00FC4E54"/>
    <w:p w14:paraId="76C949F0" w14:textId="77777777" w:rsidR="00FC4E54" w:rsidRPr="00B52477" w:rsidRDefault="00FC4E54" w:rsidP="00FC4E54">
      <w:r w:rsidRPr="00B52477">
        <w:rPr>
          <w:rFonts w:cs="Segoe UI"/>
          <w:szCs w:val="21"/>
        </w:rPr>
        <w:t xml:space="preserve">Eliminating all forms of racism is critical to achieving health equity and the vision of pae ora </w:t>
      </w:r>
      <w:r>
        <w:rPr>
          <w:rFonts w:cs="Segoe UI"/>
          <w:szCs w:val="21"/>
        </w:rPr>
        <w:t>—</w:t>
      </w:r>
      <w:r w:rsidRPr="00B52477">
        <w:rPr>
          <w:rFonts w:cs="Segoe UI"/>
          <w:szCs w:val="21"/>
        </w:rPr>
        <w:t xml:space="preserve"> healthy futures for all New Zealanders (Ministry of Health 2022b). This report includes high-level information about different forms of racial discrimination, including </w:t>
      </w:r>
      <w:r>
        <w:rPr>
          <w:rFonts w:cs="Segoe UI"/>
          <w:szCs w:val="21"/>
        </w:rPr>
        <w:t xml:space="preserve">the </w:t>
      </w:r>
      <w:r w:rsidRPr="00B52477">
        <w:rPr>
          <w:rFonts w:cs="Segoe UI"/>
          <w:szCs w:val="21"/>
        </w:rPr>
        <w:t>experience of ethnically motivated unfair treatment by a health professional.</w:t>
      </w:r>
    </w:p>
    <w:p w14:paraId="43102967" w14:textId="77777777" w:rsidR="00FC4E54" w:rsidRDefault="00FC4E54" w:rsidP="00BB4198">
      <w:pPr>
        <w:rPr>
          <w:rFonts w:eastAsia="Arial Unicode MS"/>
        </w:rPr>
        <w:sectPr w:rsidR="00FC4E54" w:rsidSect="00FC4E54">
          <w:pgSz w:w="11907" w:h="16840" w:code="9"/>
          <w:pgMar w:top="1418" w:right="1701" w:bottom="1134" w:left="1843" w:header="284" w:footer="425" w:gutter="284"/>
          <w:cols w:space="720"/>
        </w:sectPr>
      </w:pPr>
    </w:p>
    <w:p w14:paraId="5ACFE555" w14:textId="7173FFB8" w:rsidR="00FC4E54" w:rsidRPr="00FC4E54" w:rsidRDefault="00FC4E54" w:rsidP="00FC4E54">
      <w:pPr>
        <w:pStyle w:val="Heading1"/>
        <w:spacing w:before="0"/>
      </w:pPr>
      <w:bookmarkStart w:id="10" w:name="_Toc135915410"/>
      <w:bookmarkStart w:id="11" w:name="_Toc136943102"/>
      <w:bookmarkStart w:id="12" w:name="_Toc136943197"/>
      <w:r w:rsidRPr="00FC4E54">
        <w:rPr>
          <w:b w:val="0"/>
          <w:bCs/>
        </w:rPr>
        <w:lastRenderedPageBreak/>
        <w:t>He kupu whakataki</w:t>
      </w:r>
      <w:bookmarkStart w:id="13" w:name="_Toc135915411"/>
      <w:bookmarkEnd w:id="10"/>
      <w:r w:rsidR="009F4A6E">
        <w:rPr>
          <w:b w:val="0"/>
          <w:bCs/>
        </w:rPr>
        <w:t xml:space="preserve"> </w:t>
      </w:r>
      <w:r w:rsidR="001A2554" w:rsidRPr="001A2554">
        <w:rPr>
          <w:b w:val="0"/>
          <w:bCs/>
        </w:rPr>
        <w:t>|</w:t>
      </w:r>
      <w:r>
        <w:br/>
      </w:r>
      <w:r w:rsidRPr="00FC4E54">
        <w:t>Introduction</w:t>
      </w:r>
      <w:bookmarkEnd w:id="11"/>
      <w:bookmarkEnd w:id="12"/>
      <w:bookmarkEnd w:id="13"/>
    </w:p>
    <w:p w14:paraId="749DCB76" w14:textId="77777777" w:rsidR="00FC4E54" w:rsidRPr="008A3E66" w:rsidRDefault="00FC4E54" w:rsidP="00FC4E54">
      <w:pPr>
        <w:rPr>
          <w:strike/>
        </w:rPr>
      </w:pPr>
      <w:r w:rsidRPr="008A3E66">
        <w:t xml:space="preserve">Racism is an important determinant of health that contributes to health </w:t>
      </w:r>
      <w:r w:rsidRPr="008A3E66">
        <w:rPr>
          <w:rFonts w:cs="Segoe UI"/>
        </w:rPr>
        <w:t>inequities (Harris</w:t>
      </w:r>
      <w:r>
        <w:rPr>
          <w:rFonts w:cs="Segoe UI"/>
        </w:rPr>
        <w:t xml:space="preserve"> et al</w:t>
      </w:r>
      <w:r w:rsidRPr="008A3E66">
        <w:rPr>
          <w:rFonts w:cs="Segoe UI"/>
        </w:rPr>
        <w:t xml:space="preserve"> 2018)</w:t>
      </w:r>
      <w:r w:rsidRPr="008A3E66">
        <w:rPr>
          <w:rFonts w:cs="Segoe UI"/>
          <w:sz w:val="20"/>
          <w:shd w:val="clear" w:color="auto" w:fill="FFFFFF"/>
        </w:rPr>
        <w:t xml:space="preserve">. </w:t>
      </w:r>
    </w:p>
    <w:p w14:paraId="6493690C" w14:textId="77777777" w:rsidR="00FC4E54" w:rsidRPr="008A3E66" w:rsidRDefault="00FC4E54" w:rsidP="00FC4E54"/>
    <w:p w14:paraId="0631E2E1" w14:textId="4723B73E" w:rsidR="00FC4E54" w:rsidRDefault="00FC4E54" w:rsidP="00FC4E54">
      <w:bookmarkStart w:id="14" w:name="_Hlk132906679"/>
      <w:r w:rsidRPr="002C10FD">
        <w:t>Ao Mai te Rā</w:t>
      </w:r>
      <w:r w:rsidRPr="007D5697">
        <w:rPr>
          <w:i/>
          <w:iCs/>
        </w:rPr>
        <w:t xml:space="preserve"> </w:t>
      </w:r>
      <w:r w:rsidRPr="008A3E66">
        <w:t xml:space="preserve">uses the following working definition of racism: </w:t>
      </w:r>
    </w:p>
    <w:p w14:paraId="4039A2CF" w14:textId="77777777" w:rsidR="00FC4E54" w:rsidRPr="008A3E66" w:rsidRDefault="00FC4E54" w:rsidP="00FC4E54"/>
    <w:p w14:paraId="42D98C55" w14:textId="77777777" w:rsidR="00FC4E54" w:rsidRPr="00510226" w:rsidRDefault="00FC4E54" w:rsidP="00FC4E54">
      <w:pPr>
        <w:pStyle w:val="NormalIndent"/>
      </w:pPr>
      <w:r w:rsidRPr="008A3E66">
        <w:t xml:space="preserve">Racism comprises </w:t>
      </w:r>
      <w:r w:rsidRPr="00510226">
        <w:t>racial prejudice and societal power and manifests in different ways. It results in the unequal distribution of power, privilege, resources and opportunity to produce outcomes that chronically favour, privilege and benefit one group over another. All forms of racism are harmful, and its effects are distinct and not felt equally.</w:t>
      </w:r>
      <w:r w:rsidRPr="008A3E66">
        <w:t xml:space="preserve"> (Ministry of Health 2022b, p3)</w:t>
      </w:r>
    </w:p>
    <w:p w14:paraId="2EE9745E" w14:textId="77777777" w:rsidR="00FC4E54" w:rsidRPr="00156360" w:rsidRDefault="00FC4E54" w:rsidP="00FC4E54">
      <w:pPr>
        <w:rPr>
          <w:rFonts w:cs="Segoe UI"/>
          <w:color w:val="FF0000"/>
          <w:szCs w:val="21"/>
        </w:rPr>
      </w:pPr>
    </w:p>
    <w:p w14:paraId="4D220BAC" w14:textId="77777777" w:rsidR="00FC4E54" w:rsidRPr="00156360" w:rsidRDefault="00FC4E54" w:rsidP="00FC4E54">
      <w:pPr>
        <w:rPr>
          <w:rFonts w:cs="Segoe UI"/>
          <w:szCs w:val="21"/>
        </w:rPr>
      </w:pPr>
      <w:r w:rsidRPr="00156360">
        <w:rPr>
          <w:rFonts w:cs="Segoe UI"/>
          <w:szCs w:val="21"/>
        </w:rPr>
        <w:t xml:space="preserve">Racism </w:t>
      </w:r>
      <w:r>
        <w:rPr>
          <w:rFonts w:cs="Segoe UI"/>
          <w:szCs w:val="21"/>
        </w:rPr>
        <w:t>appears</w:t>
      </w:r>
      <w:r w:rsidRPr="00156360">
        <w:rPr>
          <w:rFonts w:cs="Segoe UI"/>
          <w:szCs w:val="21"/>
        </w:rPr>
        <w:t xml:space="preserve"> in different </w:t>
      </w:r>
      <w:r>
        <w:rPr>
          <w:rFonts w:cs="Segoe UI"/>
          <w:szCs w:val="21"/>
        </w:rPr>
        <w:t>forms</w:t>
      </w:r>
      <w:r w:rsidRPr="00156360">
        <w:rPr>
          <w:rFonts w:cs="Segoe UI"/>
          <w:szCs w:val="21"/>
        </w:rPr>
        <w:t xml:space="preserve"> (Jones 2000; Talamaivao et al 2020)</w:t>
      </w:r>
      <w:r>
        <w:rPr>
          <w:rFonts w:cs="Segoe UI"/>
          <w:szCs w:val="21"/>
        </w:rPr>
        <w:t>, including the following</w:t>
      </w:r>
      <w:r w:rsidRPr="00156360">
        <w:rPr>
          <w:rFonts w:cs="Segoe UI"/>
          <w:szCs w:val="21"/>
        </w:rPr>
        <w:t xml:space="preserve">. </w:t>
      </w:r>
    </w:p>
    <w:p w14:paraId="2E2690F0" w14:textId="77777777" w:rsidR="00FC4E54" w:rsidRPr="00156360" w:rsidRDefault="00FC4E54" w:rsidP="00FC4E54">
      <w:pPr>
        <w:pStyle w:val="Bullet"/>
        <w:tabs>
          <w:tab w:val="num" w:pos="284"/>
        </w:tabs>
      </w:pPr>
      <w:r w:rsidRPr="00156360">
        <w:rPr>
          <w:b/>
          <w:bCs/>
        </w:rPr>
        <w:t>Internalised racism</w:t>
      </w:r>
      <w:r w:rsidRPr="00156360">
        <w:t xml:space="preserve">: The acceptance and internalisation of oppressive or dominant values, beliefs, attitudes and stereotypes about one’s own race (Jones 2000; Pheterson 1986; Pyke 2010; Watts-Jones 2002). It occurs within an individual. </w:t>
      </w:r>
    </w:p>
    <w:p w14:paraId="18931DA8" w14:textId="77777777" w:rsidR="00FC4E54" w:rsidRPr="00156360" w:rsidRDefault="00FC4E54" w:rsidP="00FC4E54">
      <w:pPr>
        <w:pStyle w:val="Bullet"/>
        <w:tabs>
          <w:tab w:val="num" w:pos="284"/>
        </w:tabs>
      </w:pPr>
      <w:r w:rsidRPr="00156360">
        <w:rPr>
          <w:b/>
          <w:bCs/>
        </w:rPr>
        <w:t>Interpersonal racism</w:t>
      </w:r>
      <w:r w:rsidRPr="00156360">
        <w:t>: When individuals interact with others and their personal racial prejudice affects how they act and behave (overtly, covertly, conscious, unconscious, implicit, explicit) towards racialised ‘others’. It occurs between individuals (Watts-Jones 2002).</w:t>
      </w:r>
    </w:p>
    <w:p w14:paraId="5EE58108" w14:textId="77777777" w:rsidR="00FC4E54" w:rsidRPr="00156360" w:rsidRDefault="00FC4E54" w:rsidP="00FC4E54">
      <w:pPr>
        <w:pStyle w:val="Bullet"/>
        <w:tabs>
          <w:tab w:val="num" w:pos="284"/>
        </w:tabs>
      </w:pPr>
      <w:r w:rsidRPr="00156360">
        <w:rPr>
          <w:b/>
          <w:bCs/>
        </w:rPr>
        <w:t>Institutional racism</w:t>
      </w:r>
      <w:r w:rsidRPr="00156360">
        <w:t xml:space="preserve">: Policies, practices and laws that, intentionally or not, exclude and foster the unequal distribution of power and privilege. It determines differential access to goods, services and the opportunities of society based on race. It occurs within an institution or system (Watts-Jones 2002). </w:t>
      </w:r>
    </w:p>
    <w:p w14:paraId="2594094B" w14:textId="77777777" w:rsidR="00FC4E54" w:rsidRDefault="00FC4E54" w:rsidP="00FC4E54">
      <w:pPr>
        <w:pStyle w:val="Bullet"/>
        <w:tabs>
          <w:tab w:val="num" w:pos="284"/>
        </w:tabs>
        <w:rPr>
          <w:color w:val="000000" w:themeColor="text1"/>
        </w:rPr>
      </w:pPr>
      <w:r w:rsidRPr="00156360">
        <w:rPr>
          <w:b/>
          <w:bCs/>
        </w:rPr>
        <w:t>Structural racism</w:t>
      </w:r>
      <w:r w:rsidRPr="00156360">
        <w:t xml:space="preserve">: The cumulative impact of multiple institutions that fosters racial inequity through mutually reinforcing policies, practices, and laws (that is, housing, employment, education, etc). It </w:t>
      </w:r>
      <w:r w:rsidRPr="00156360">
        <w:rPr>
          <w:color w:val="000000" w:themeColor="text1"/>
        </w:rPr>
        <w:t>occurs among institutions or systems and is a feature of the social, economic and political systems in which we all exist (Watts-Jones 2002).</w:t>
      </w:r>
    </w:p>
    <w:p w14:paraId="3B353F9D" w14:textId="77777777" w:rsidR="00FC4E54" w:rsidRPr="00156360" w:rsidRDefault="00FC4E54" w:rsidP="00FC4E54"/>
    <w:bookmarkEnd w:id="14"/>
    <w:p w14:paraId="04D63AD0" w14:textId="77777777" w:rsidR="00FC4E54" w:rsidRDefault="00FC4E54" w:rsidP="00FC4E54">
      <w:r w:rsidRPr="003E3C22">
        <w:rPr>
          <w:color w:val="000000" w:themeColor="text1"/>
        </w:rPr>
        <w:t>Data is a necessary lever for change and helps to uncover the visible, tangible impacts and consequences of racism on health outcomes and the achievement of health equity (McMeeking et al 2022</w:t>
      </w:r>
      <w:r>
        <w:rPr>
          <w:color w:val="000000" w:themeColor="text1"/>
        </w:rPr>
        <w:t xml:space="preserve">; </w:t>
      </w:r>
      <w:r w:rsidRPr="003E3C22">
        <w:rPr>
          <w:color w:val="000000" w:themeColor="text1"/>
        </w:rPr>
        <w:t xml:space="preserve">Williams </w:t>
      </w:r>
      <w:r>
        <w:rPr>
          <w:color w:val="000000" w:themeColor="text1"/>
        </w:rPr>
        <w:t>and</w:t>
      </w:r>
      <w:r w:rsidRPr="003E3C22">
        <w:rPr>
          <w:color w:val="000000" w:themeColor="text1"/>
        </w:rPr>
        <w:t xml:space="preserve"> McMeeking 2022). </w:t>
      </w:r>
      <w:r w:rsidRPr="003E3C22">
        <w:rPr>
          <w:color w:val="000000" w:themeColor="text1"/>
          <w:szCs w:val="21"/>
        </w:rPr>
        <w:t xml:space="preserve">This report presents information on </w:t>
      </w:r>
      <w:r>
        <w:rPr>
          <w:color w:val="000000" w:themeColor="text1"/>
          <w:szCs w:val="21"/>
        </w:rPr>
        <w:t>how adults in New Zealand</w:t>
      </w:r>
      <w:r w:rsidRPr="003E3C22">
        <w:rPr>
          <w:color w:val="000000" w:themeColor="text1"/>
          <w:szCs w:val="21"/>
        </w:rPr>
        <w:t xml:space="preserve"> experience racial discrimination, including </w:t>
      </w:r>
      <w:r>
        <w:rPr>
          <w:color w:val="000000" w:themeColor="text1"/>
          <w:szCs w:val="21"/>
        </w:rPr>
        <w:t xml:space="preserve">through </w:t>
      </w:r>
      <w:r w:rsidRPr="003E3C22">
        <w:rPr>
          <w:color w:val="000000" w:themeColor="text1"/>
          <w:szCs w:val="21"/>
        </w:rPr>
        <w:t xml:space="preserve">ethnically motivated personal attack (physical </w:t>
      </w:r>
      <w:r w:rsidRPr="00E50BFE">
        <w:rPr>
          <w:szCs w:val="21"/>
        </w:rPr>
        <w:t>or verbal), and unfair treatment in health</w:t>
      </w:r>
      <w:r>
        <w:rPr>
          <w:szCs w:val="21"/>
        </w:rPr>
        <w:t xml:space="preserve"> </w:t>
      </w:r>
      <w:r w:rsidRPr="00E50BFE">
        <w:rPr>
          <w:szCs w:val="21"/>
        </w:rPr>
        <w:t>care, employment or housing</w:t>
      </w:r>
      <w:r>
        <w:rPr>
          <w:szCs w:val="21"/>
        </w:rPr>
        <w:t>. Figure 1 presents the full list of indicators available</w:t>
      </w:r>
      <w:r w:rsidRPr="00E50BFE">
        <w:rPr>
          <w:szCs w:val="21"/>
        </w:rPr>
        <w:t>.</w:t>
      </w:r>
      <w:r>
        <w:rPr>
          <w:szCs w:val="21"/>
        </w:rPr>
        <w:t xml:space="preserve"> Data is available on </w:t>
      </w:r>
      <w:r w:rsidRPr="00E50BFE">
        <w:rPr>
          <w:szCs w:val="21"/>
        </w:rPr>
        <w:t xml:space="preserve">people’s experience of racial discrimination </w:t>
      </w:r>
      <w:r>
        <w:rPr>
          <w:szCs w:val="21"/>
        </w:rPr>
        <w:t xml:space="preserve">over 2 time periods: </w:t>
      </w:r>
      <w:r w:rsidRPr="00E50BFE">
        <w:rPr>
          <w:szCs w:val="21"/>
        </w:rPr>
        <w:t>in the 12 months</w:t>
      </w:r>
      <w:r>
        <w:rPr>
          <w:szCs w:val="21"/>
        </w:rPr>
        <w:t xml:space="preserve"> before the survey</w:t>
      </w:r>
      <w:r w:rsidRPr="00E50BFE">
        <w:rPr>
          <w:szCs w:val="21"/>
        </w:rPr>
        <w:t xml:space="preserve"> and over their lifetime. </w:t>
      </w:r>
      <w:r>
        <w:t>See the methodology section for information about the survey questions used to create these indicators.</w:t>
      </w:r>
    </w:p>
    <w:p w14:paraId="299AE9B2" w14:textId="77777777" w:rsidR="00FC4E54" w:rsidRDefault="00FC4E54" w:rsidP="00FC4E54"/>
    <w:p w14:paraId="37042AFB" w14:textId="77777777" w:rsidR="00FC4E54" w:rsidRDefault="00FC4E54" w:rsidP="00FC4E54">
      <w:pPr>
        <w:rPr>
          <w:szCs w:val="21"/>
        </w:rPr>
      </w:pPr>
      <w:r w:rsidRPr="00E50BFE">
        <w:rPr>
          <w:szCs w:val="21"/>
        </w:rPr>
        <w:lastRenderedPageBreak/>
        <w:t xml:space="preserve">Data </w:t>
      </w:r>
      <w:r>
        <w:rPr>
          <w:szCs w:val="21"/>
        </w:rPr>
        <w:t>comes</w:t>
      </w:r>
      <w:r w:rsidRPr="00E50BFE">
        <w:rPr>
          <w:szCs w:val="21"/>
        </w:rPr>
        <w:t xml:space="preserve"> from the </w:t>
      </w:r>
      <w:r>
        <w:rPr>
          <w:szCs w:val="21"/>
        </w:rPr>
        <w:t xml:space="preserve">NZHS </w:t>
      </w:r>
      <w:r w:rsidRPr="00E50BFE">
        <w:rPr>
          <w:szCs w:val="21"/>
        </w:rPr>
        <w:t xml:space="preserve">racial discrimination modules from 2011/12, 2016/17 and 2020/21. </w:t>
      </w:r>
      <w:r>
        <w:rPr>
          <w:szCs w:val="21"/>
        </w:rPr>
        <w:t>A</w:t>
      </w:r>
      <w:r w:rsidRPr="00E50BFE">
        <w:rPr>
          <w:szCs w:val="21"/>
        </w:rPr>
        <w:t>dults aged 15 years and over</w:t>
      </w:r>
      <w:r w:rsidRPr="00B9664C">
        <w:rPr>
          <w:szCs w:val="21"/>
        </w:rPr>
        <w:t xml:space="preserve"> </w:t>
      </w:r>
      <w:r w:rsidRPr="00E50BFE">
        <w:rPr>
          <w:szCs w:val="21"/>
        </w:rPr>
        <w:t>completed</w:t>
      </w:r>
      <w:r w:rsidRPr="00B9664C">
        <w:rPr>
          <w:szCs w:val="21"/>
        </w:rPr>
        <w:t xml:space="preserve"> </w:t>
      </w:r>
      <w:r>
        <w:rPr>
          <w:szCs w:val="21"/>
        </w:rPr>
        <w:t>t</w:t>
      </w:r>
      <w:r w:rsidRPr="00E50BFE">
        <w:rPr>
          <w:szCs w:val="21"/>
        </w:rPr>
        <w:t>hese modules.</w:t>
      </w:r>
    </w:p>
    <w:p w14:paraId="35F1A671" w14:textId="77777777" w:rsidR="00FC4E54" w:rsidRDefault="00FC4E54" w:rsidP="00FC4E54">
      <w:pPr>
        <w:rPr>
          <w:i/>
          <w:iCs/>
          <w:color w:val="1F497D" w:themeColor="text2"/>
          <w:sz w:val="18"/>
          <w:szCs w:val="18"/>
        </w:rPr>
      </w:pPr>
    </w:p>
    <w:p w14:paraId="55C45CDD" w14:textId="4EF11740" w:rsidR="00FC4E54" w:rsidRPr="00FC4E54" w:rsidRDefault="00FC4E54" w:rsidP="00FC4E54">
      <w:pPr>
        <w:pStyle w:val="Figure"/>
      </w:pPr>
      <w:bookmarkStart w:id="15" w:name="_Toc135391566"/>
      <w:bookmarkStart w:id="16" w:name="_Toc137137324"/>
      <w:r>
        <w:t xml:space="preserve">Figure </w:t>
      </w:r>
      <w:fldSimple w:instr=" SEQ Figure \* ARABIC ">
        <w:r>
          <w:rPr>
            <w:noProof/>
          </w:rPr>
          <w:t>1</w:t>
        </w:r>
      </w:fldSimple>
      <w:r>
        <w:t>: Racial discrimination indicators from the NZHS</w:t>
      </w:r>
      <w:bookmarkEnd w:id="15"/>
      <w:bookmarkEnd w:id="16"/>
    </w:p>
    <w:p w14:paraId="59B25058" w14:textId="77777777" w:rsidR="00FC4E54" w:rsidRDefault="00FC4E54" w:rsidP="00FC4E54">
      <w:pPr>
        <w:rPr>
          <w:rFonts w:eastAsia="Arial Unicode MS"/>
        </w:rPr>
      </w:pPr>
      <w:r>
        <w:rPr>
          <w:rFonts w:eastAsia="Arial Unicode MS"/>
          <w:noProof/>
        </w:rPr>
        <w:drawing>
          <wp:inline distT="0" distB="0" distL="0" distR="0" wp14:anchorId="39401CDB" wp14:editId="6BF43F84">
            <wp:extent cx="5114925" cy="3335020"/>
            <wp:effectExtent l="0" t="0" r="0" b="0"/>
            <wp:docPr id="2062" name="Picture 2062" descr="Experiences of racial discrimination  from experience of ethnically motivated personal attack to experience of ethnically motivated unfair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 name="Picture 2062" descr="Experiences of racial discrimination  from experience of ethnically motivated personal attack to experience of ethnically motivated unfair treatmen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14925" cy="3335020"/>
                    </a:xfrm>
                    <a:prstGeom prst="rect">
                      <a:avLst/>
                    </a:prstGeom>
                    <a:noFill/>
                  </pic:spPr>
                </pic:pic>
              </a:graphicData>
            </a:graphic>
          </wp:inline>
        </w:drawing>
      </w:r>
    </w:p>
    <w:p w14:paraId="12F0ECE9" w14:textId="77777777" w:rsidR="00FC4E54" w:rsidRDefault="00FC4E54" w:rsidP="00FC4E54">
      <w:pPr>
        <w:rPr>
          <w:rFonts w:eastAsia="Arial Unicode MS"/>
        </w:rPr>
      </w:pPr>
    </w:p>
    <w:p w14:paraId="5D56F305" w14:textId="77777777" w:rsidR="00FC4E54" w:rsidRDefault="00FC4E54" w:rsidP="00FC4E54">
      <w:pPr>
        <w:rPr>
          <w:rFonts w:eastAsia="Arial Unicode MS"/>
        </w:rPr>
      </w:pPr>
    </w:p>
    <w:p w14:paraId="3A4B790C" w14:textId="77777777" w:rsidR="00FC4E54" w:rsidRPr="00D46117" w:rsidRDefault="00FC4E54" w:rsidP="00FC4E54">
      <w:pPr>
        <w:rPr>
          <w:color w:val="000000" w:themeColor="text1"/>
          <w:szCs w:val="21"/>
        </w:rPr>
      </w:pPr>
      <w:r>
        <w:rPr>
          <w:szCs w:val="21"/>
        </w:rPr>
        <w:t>This report presents r</w:t>
      </w:r>
      <w:r w:rsidRPr="00E50BFE">
        <w:rPr>
          <w:szCs w:val="21"/>
        </w:rPr>
        <w:t>acial discrimination indicators by ethnic group, including Māori, Pacific, Asian and non-Māori</w:t>
      </w:r>
      <w:r>
        <w:rPr>
          <w:szCs w:val="21"/>
        </w:rPr>
        <w:t>, non-</w:t>
      </w:r>
      <w:r w:rsidRPr="00E50BFE">
        <w:rPr>
          <w:szCs w:val="21"/>
        </w:rPr>
        <w:t>Pacific</w:t>
      </w:r>
      <w:r>
        <w:rPr>
          <w:szCs w:val="21"/>
        </w:rPr>
        <w:t>, non-</w:t>
      </w:r>
      <w:r w:rsidRPr="00E50BFE">
        <w:rPr>
          <w:szCs w:val="21"/>
        </w:rPr>
        <w:t>Asian (non-MPA)</w:t>
      </w:r>
      <w:r>
        <w:rPr>
          <w:szCs w:val="21"/>
        </w:rPr>
        <w:t xml:space="preserve"> adults</w:t>
      </w:r>
      <w:r w:rsidRPr="00E50BFE">
        <w:rPr>
          <w:szCs w:val="21"/>
        </w:rPr>
        <w:t xml:space="preserve">. People belonging to the Māori, Pacific and Asian ethnic groups have been counted in each ethnic group they identify with. The group ‘non-MPA’ represents people belonging to the European, Middle Eastern/Latin American/African (MELAA) and/or Other ethnic groups who don’t also identify as Māori, Pacific or Asian (ie, </w:t>
      </w:r>
      <w:r>
        <w:rPr>
          <w:szCs w:val="21"/>
        </w:rPr>
        <w:t xml:space="preserve">people who are </w:t>
      </w:r>
      <w:r w:rsidRPr="00E50BFE">
        <w:rPr>
          <w:szCs w:val="21"/>
        </w:rPr>
        <w:t>non-Māori</w:t>
      </w:r>
      <w:r>
        <w:rPr>
          <w:szCs w:val="21"/>
        </w:rPr>
        <w:t xml:space="preserve"> and </w:t>
      </w:r>
      <w:r w:rsidRPr="00E50BFE">
        <w:rPr>
          <w:szCs w:val="21"/>
        </w:rPr>
        <w:t>non-Pacific</w:t>
      </w:r>
      <w:r>
        <w:rPr>
          <w:szCs w:val="21"/>
        </w:rPr>
        <w:t xml:space="preserve"> and </w:t>
      </w:r>
      <w:r w:rsidRPr="00E50BFE">
        <w:rPr>
          <w:szCs w:val="21"/>
        </w:rPr>
        <w:t>non-Asian).</w:t>
      </w:r>
      <w:r>
        <w:rPr>
          <w:szCs w:val="21"/>
        </w:rPr>
        <w:t xml:space="preserve"> </w:t>
      </w:r>
    </w:p>
    <w:p w14:paraId="7C6FA6CF" w14:textId="77777777" w:rsidR="00FC4E54" w:rsidRDefault="00FC4E54" w:rsidP="00FC4E54">
      <w:pPr>
        <w:pStyle w:val="Heading2"/>
      </w:pPr>
      <w:bookmarkStart w:id="17" w:name="_Toc135915412"/>
      <w:bookmarkStart w:id="18" w:name="_Toc136943103"/>
      <w:bookmarkStart w:id="19" w:name="_Toc136943198"/>
      <w:r w:rsidRPr="00FD0909">
        <w:t xml:space="preserve">Things to </w:t>
      </w:r>
      <w:r>
        <w:t>consider</w:t>
      </w:r>
      <w:r w:rsidRPr="00FD0909">
        <w:t xml:space="preserve"> when interpreting the </w:t>
      </w:r>
      <w:r>
        <w:t>results</w:t>
      </w:r>
      <w:bookmarkEnd w:id="17"/>
      <w:bookmarkEnd w:id="18"/>
      <w:bookmarkEnd w:id="19"/>
    </w:p>
    <w:p w14:paraId="625F5127" w14:textId="77777777" w:rsidR="00FC4E54" w:rsidRPr="00AF4771" w:rsidRDefault="00FC4E54" w:rsidP="00FC4E54">
      <w:pPr>
        <w:rPr>
          <w:rFonts w:cs="Segoe UI"/>
          <w:color w:val="000000" w:themeColor="text1"/>
          <w:szCs w:val="21"/>
        </w:rPr>
      </w:pPr>
      <w:r w:rsidRPr="00AF4771">
        <w:rPr>
          <w:rFonts w:cs="Segoe UI"/>
          <w:color w:val="000000" w:themeColor="text1"/>
          <w:szCs w:val="21"/>
        </w:rPr>
        <w:t xml:space="preserve">There are a number of things to be aware of when interpreting the findings in this report. </w:t>
      </w:r>
    </w:p>
    <w:p w14:paraId="7DB92C0B" w14:textId="77777777" w:rsidR="00FC4E54" w:rsidRPr="00AF4771" w:rsidRDefault="00FC4E54" w:rsidP="00FC4E54">
      <w:pPr>
        <w:pStyle w:val="Heading3"/>
      </w:pPr>
      <w:r w:rsidRPr="00AF4771">
        <w:t>Possible under</w:t>
      </w:r>
      <w:r>
        <w:t>-</w:t>
      </w:r>
      <w:r w:rsidRPr="00AF4771">
        <w:t>reporting of racial discrimination</w:t>
      </w:r>
    </w:p>
    <w:p w14:paraId="43DB8AE5" w14:textId="77777777" w:rsidR="00FC4E54" w:rsidRPr="00AF4771" w:rsidRDefault="00FC4E54" w:rsidP="00FC4E54">
      <w:pPr>
        <w:jc w:val="both"/>
        <w:rPr>
          <w:rFonts w:cs="Segoe UI"/>
          <w:color w:val="000000" w:themeColor="text1"/>
          <w:szCs w:val="21"/>
        </w:rPr>
      </w:pPr>
      <w:r w:rsidRPr="00AF4771">
        <w:rPr>
          <w:rFonts w:cs="Segoe UI"/>
          <w:color w:val="000000" w:themeColor="text1"/>
          <w:szCs w:val="21"/>
        </w:rPr>
        <w:t xml:space="preserve">The data in this report </w:t>
      </w:r>
      <w:r>
        <w:rPr>
          <w:rFonts w:cs="Segoe UI"/>
          <w:color w:val="000000" w:themeColor="text1"/>
          <w:szCs w:val="21"/>
        </w:rPr>
        <w:t>comes from</w:t>
      </w:r>
      <w:r w:rsidRPr="00AF4771">
        <w:rPr>
          <w:rFonts w:cs="Segoe UI"/>
          <w:color w:val="000000" w:themeColor="text1"/>
          <w:szCs w:val="21"/>
        </w:rPr>
        <w:t xml:space="preserve"> self-reported experiences of racial discrimination</w:t>
      </w:r>
      <w:r>
        <w:rPr>
          <w:rFonts w:cs="Segoe UI"/>
          <w:color w:val="000000" w:themeColor="text1"/>
          <w:szCs w:val="21"/>
        </w:rPr>
        <w:t>. This</w:t>
      </w:r>
      <w:r w:rsidRPr="00AF4771">
        <w:rPr>
          <w:rFonts w:cs="Segoe UI"/>
          <w:color w:val="000000" w:themeColor="text1"/>
          <w:szCs w:val="21"/>
        </w:rPr>
        <w:t xml:space="preserve"> may underestimate experience of racial discrimination, particularly for Māori, Pacific and Asian</w:t>
      </w:r>
      <w:r>
        <w:rPr>
          <w:rFonts w:cs="Segoe UI"/>
          <w:color w:val="000000" w:themeColor="text1"/>
          <w:szCs w:val="21"/>
        </w:rPr>
        <w:t xml:space="preserve"> adults</w:t>
      </w:r>
      <w:r w:rsidRPr="00AF4771">
        <w:rPr>
          <w:rFonts w:cs="Segoe UI"/>
          <w:color w:val="000000" w:themeColor="text1"/>
          <w:szCs w:val="21"/>
        </w:rPr>
        <w:t xml:space="preserve"> (Harris</w:t>
      </w:r>
      <w:r>
        <w:rPr>
          <w:rFonts w:cs="Segoe UI"/>
          <w:color w:val="000000" w:themeColor="text1"/>
          <w:szCs w:val="21"/>
        </w:rPr>
        <w:t xml:space="preserve"> et al</w:t>
      </w:r>
      <w:r w:rsidRPr="00AF4771">
        <w:rPr>
          <w:rFonts w:cs="Segoe UI"/>
          <w:color w:val="000000" w:themeColor="text1"/>
          <w:szCs w:val="21"/>
        </w:rPr>
        <w:t xml:space="preserve"> 2019).</w:t>
      </w:r>
    </w:p>
    <w:p w14:paraId="586C586B" w14:textId="77777777" w:rsidR="00FC4E54" w:rsidRDefault="00FC4E54" w:rsidP="00FC4E54">
      <w:pPr>
        <w:rPr>
          <w:rFonts w:cs="Segoe UI"/>
          <w:color w:val="000000" w:themeColor="text1"/>
          <w:szCs w:val="21"/>
        </w:rPr>
      </w:pPr>
    </w:p>
    <w:p w14:paraId="0AD24E4A" w14:textId="77777777" w:rsidR="001F643B" w:rsidRPr="00AF4771" w:rsidRDefault="001F643B" w:rsidP="00FC4E54">
      <w:pPr>
        <w:rPr>
          <w:rFonts w:cs="Segoe UI"/>
          <w:color w:val="000000" w:themeColor="text1"/>
          <w:szCs w:val="21"/>
        </w:rPr>
      </w:pPr>
    </w:p>
    <w:p w14:paraId="4F88E9EC" w14:textId="77777777" w:rsidR="00FC4E54" w:rsidRPr="00AF4771" w:rsidRDefault="00FC4E54" w:rsidP="00FC4E54">
      <w:pPr>
        <w:rPr>
          <w:rFonts w:cs="Segoe UI"/>
          <w:color w:val="000000" w:themeColor="text1"/>
          <w:szCs w:val="21"/>
        </w:rPr>
      </w:pPr>
      <w:r>
        <w:rPr>
          <w:rFonts w:cs="Segoe UI"/>
          <w:color w:val="000000" w:themeColor="text1"/>
          <w:szCs w:val="21"/>
        </w:rPr>
        <w:lastRenderedPageBreak/>
        <w:t>The survey results may under-report e</w:t>
      </w:r>
      <w:r w:rsidRPr="00AF4771">
        <w:rPr>
          <w:rFonts w:cs="Segoe UI"/>
          <w:color w:val="000000" w:themeColor="text1"/>
          <w:szCs w:val="21"/>
        </w:rPr>
        <w:t xml:space="preserve">xperiences of racial discrimination for </w:t>
      </w:r>
      <w:r>
        <w:rPr>
          <w:rFonts w:cs="Segoe UI"/>
          <w:color w:val="000000" w:themeColor="text1"/>
          <w:szCs w:val="21"/>
        </w:rPr>
        <w:t>the following</w:t>
      </w:r>
      <w:r w:rsidRPr="00AF4771">
        <w:rPr>
          <w:rFonts w:cs="Segoe UI"/>
          <w:color w:val="000000" w:themeColor="text1"/>
          <w:szCs w:val="21"/>
        </w:rPr>
        <w:t xml:space="preserve"> reasons</w:t>
      </w:r>
      <w:r>
        <w:rPr>
          <w:rFonts w:cs="Segoe UI"/>
          <w:color w:val="000000" w:themeColor="text1"/>
          <w:szCs w:val="21"/>
        </w:rPr>
        <w:t>.</w:t>
      </w:r>
    </w:p>
    <w:p w14:paraId="5282CF89" w14:textId="77777777" w:rsidR="00FC4E54" w:rsidRPr="00AF4771" w:rsidRDefault="00FC4E54" w:rsidP="00FC4E54">
      <w:pPr>
        <w:pStyle w:val="Bullet"/>
        <w:tabs>
          <w:tab w:val="num" w:pos="284"/>
        </w:tabs>
      </w:pPr>
      <w:r w:rsidRPr="00AF4771">
        <w:t>The data covers</w:t>
      </w:r>
      <w:r w:rsidRPr="00A45E76">
        <w:t xml:space="preserve"> </w:t>
      </w:r>
      <w:r w:rsidRPr="00AF4771">
        <w:t xml:space="preserve">experiences of only some </w:t>
      </w:r>
      <w:r>
        <w:t>forms</w:t>
      </w:r>
      <w:r w:rsidRPr="00AF4771">
        <w:t xml:space="preserve"> of racial discrimination, and it mostly reflects experiences of interpersonal discrimination (Harris et al 2006).</w:t>
      </w:r>
    </w:p>
    <w:p w14:paraId="7F609B93" w14:textId="77777777" w:rsidR="00FC4E54" w:rsidRPr="00AF4771" w:rsidRDefault="00FC4E54" w:rsidP="00FC4E54">
      <w:pPr>
        <w:pStyle w:val="Bullet"/>
        <w:tabs>
          <w:tab w:val="num" w:pos="284"/>
        </w:tabs>
      </w:pPr>
      <w:r w:rsidRPr="00AF4771">
        <w:t>The questions ask about unfair treatment in some settings (health</w:t>
      </w:r>
      <w:r>
        <w:t xml:space="preserve"> </w:t>
      </w:r>
      <w:r w:rsidRPr="00AF4771">
        <w:t>care, employment and housing), but not other</w:t>
      </w:r>
      <w:r>
        <w:t>s</w:t>
      </w:r>
      <w:r w:rsidRPr="00AF4771">
        <w:t xml:space="preserve"> such as education </w:t>
      </w:r>
      <w:r>
        <w:t xml:space="preserve">and </w:t>
      </w:r>
      <w:r w:rsidRPr="00AF4771">
        <w:t xml:space="preserve">shops (Harris et al 2006). The questions also don’t </w:t>
      </w:r>
      <w:r>
        <w:t>cover</w:t>
      </w:r>
      <w:r w:rsidRPr="00AF4771">
        <w:t xml:space="preserve"> racial discrimination experienced through digital communication such as social media. </w:t>
      </w:r>
    </w:p>
    <w:p w14:paraId="383D4A51" w14:textId="77777777" w:rsidR="00FC4E54" w:rsidRPr="00AF4771" w:rsidRDefault="00FC4E54" w:rsidP="00FC4E54">
      <w:pPr>
        <w:pStyle w:val="Bullet"/>
        <w:tabs>
          <w:tab w:val="num" w:pos="284"/>
        </w:tabs>
      </w:pPr>
      <w:r w:rsidRPr="00AF4771">
        <w:t>People may be reluctant to disclose their experiences of racial discrimination and may provide socially acceptable responses (Gee et al 2007</w:t>
      </w:r>
      <w:r>
        <w:t xml:space="preserve">; </w:t>
      </w:r>
      <w:r w:rsidRPr="00AF4771">
        <w:rPr>
          <w:shd w:val="clear" w:color="auto" w:fill="FFFFFF"/>
        </w:rPr>
        <w:t xml:space="preserve">Harris et al 2012; </w:t>
      </w:r>
      <w:r w:rsidRPr="00AF4771">
        <w:t>Lewis</w:t>
      </w:r>
      <w:r>
        <w:t xml:space="preserve"> et al</w:t>
      </w:r>
      <w:r w:rsidRPr="00AF4771">
        <w:t xml:space="preserve"> 2015).</w:t>
      </w:r>
    </w:p>
    <w:p w14:paraId="2258DF44" w14:textId="77777777" w:rsidR="00FC4E54" w:rsidRPr="00AF4771" w:rsidRDefault="00FC4E54" w:rsidP="00FC4E54">
      <w:pPr>
        <w:pStyle w:val="Bullet"/>
        <w:tabs>
          <w:tab w:val="num" w:pos="284"/>
        </w:tabs>
      </w:pPr>
      <w:r w:rsidRPr="00AF4771">
        <w:t>People</w:t>
      </w:r>
      <w:r>
        <w:t xml:space="preserve"> may</w:t>
      </w:r>
      <w:r w:rsidRPr="00AF4771">
        <w:t xml:space="preserve"> interpret </w:t>
      </w:r>
      <w:r>
        <w:t xml:space="preserve">similar </w:t>
      </w:r>
      <w:r w:rsidRPr="00AF4771">
        <w:t xml:space="preserve">experiences </w:t>
      </w:r>
      <w:r>
        <w:t xml:space="preserve">in different ways </w:t>
      </w:r>
      <w:r w:rsidRPr="00AF4771">
        <w:t xml:space="preserve">(Karlsen </w:t>
      </w:r>
      <w:r>
        <w:t>and</w:t>
      </w:r>
      <w:r w:rsidRPr="00AF4771">
        <w:t xml:space="preserve"> Nazroo 2002)</w:t>
      </w:r>
      <w:r>
        <w:t>. They also</w:t>
      </w:r>
      <w:r w:rsidRPr="00AF4771">
        <w:t xml:space="preserve"> may not consciously recognise that they have experienced racial discrimination (Harris et al 2012; Krieger et al 2010)</w:t>
      </w:r>
      <w:r>
        <w:t>.</w:t>
      </w:r>
    </w:p>
    <w:p w14:paraId="467A0560" w14:textId="77777777" w:rsidR="00FC4E54" w:rsidRPr="00AF4771" w:rsidRDefault="00FC4E54" w:rsidP="00FC4E54">
      <w:pPr>
        <w:pStyle w:val="Bullet"/>
        <w:tabs>
          <w:tab w:val="num" w:pos="284"/>
        </w:tabs>
      </w:pPr>
      <w:r>
        <w:t>Recall bias</w:t>
      </w:r>
      <w:r w:rsidRPr="00AF4771">
        <w:t xml:space="preserve"> may affect</w:t>
      </w:r>
      <w:r>
        <w:t xml:space="preserve"> the data</w:t>
      </w:r>
      <w:r w:rsidRPr="00AF4771">
        <w:t xml:space="preserve">, particularly </w:t>
      </w:r>
      <w:r>
        <w:t>where respondents report on their</w:t>
      </w:r>
      <w:r w:rsidRPr="00AF4771">
        <w:t xml:space="preserve"> lifetime experience of racial discrimination (Harris et al 2012).</w:t>
      </w:r>
    </w:p>
    <w:p w14:paraId="522D0D43" w14:textId="77777777" w:rsidR="00FC4E54" w:rsidRPr="00AF4771" w:rsidRDefault="00FC4E54" w:rsidP="00FC4E54">
      <w:pPr>
        <w:pStyle w:val="Bullet"/>
        <w:tabs>
          <w:tab w:val="num" w:pos="284"/>
        </w:tabs>
      </w:pPr>
      <w:r w:rsidRPr="00AF4771">
        <w:t xml:space="preserve">The questions only </w:t>
      </w:r>
      <w:r>
        <w:t>cover</w:t>
      </w:r>
      <w:r w:rsidRPr="00AF4771">
        <w:t xml:space="preserve"> racial discrimination that people experienced in New Zealand. </w:t>
      </w:r>
    </w:p>
    <w:p w14:paraId="2562B7EE" w14:textId="77777777" w:rsidR="00FC4E54" w:rsidRPr="00AF4771" w:rsidRDefault="00FC4E54" w:rsidP="00FC4E54"/>
    <w:p w14:paraId="5736F136" w14:textId="77777777" w:rsidR="00FC4E54" w:rsidRPr="00AF4771" w:rsidRDefault="00FC4E54" w:rsidP="00FC4E54">
      <w:pPr>
        <w:rPr>
          <w:rFonts w:cs="Segoe UI"/>
          <w:color w:val="000000" w:themeColor="text1"/>
          <w:szCs w:val="21"/>
        </w:rPr>
      </w:pPr>
      <w:r w:rsidRPr="00AF4771">
        <w:rPr>
          <w:rFonts w:cs="Segoe UI"/>
          <w:color w:val="000000" w:themeColor="text1"/>
          <w:szCs w:val="21"/>
        </w:rPr>
        <w:t>The questions do not ask about other forms of discrimination that people may have experienced</w:t>
      </w:r>
      <w:r>
        <w:rPr>
          <w:rFonts w:cs="Segoe UI"/>
          <w:color w:val="000000" w:themeColor="text1"/>
          <w:szCs w:val="21"/>
        </w:rPr>
        <w:t>.</w:t>
      </w:r>
      <w:r w:rsidRPr="00AF4771">
        <w:rPr>
          <w:rFonts w:cs="Segoe UI"/>
          <w:color w:val="000000" w:themeColor="text1"/>
          <w:szCs w:val="21"/>
        </w:rPr>
        <w:t xml:space="preserve"> </w:t>
      </w:r>
      <w:r>
        <w:rPr>
          <w:rFonts w:cs="Segoe UI"/>
          <w:color w:val="000000" w:themeColor="text1"/>
          <w:szCs w:val="21"/>
        </w:rPr>
        <w:t>T</w:t>
      </w:r>
      <w:r w:rsidRPr="00AF4771">
        <w:rPr>
          <w:rFonts w:cs="Segoe UI"/>
          <w:color w:val="000000" w:themeColor="text1"/>
          <w:szCs w:val="21"/>
        </w:rPr>
        <w:t>hey do not capture information on experience of discrimination for multiple social markers of difference (eg, disability, gender, sexuality, religion).</w:t>
      </w:r>
    </w:p>
    <w:p w14:paraId="71D096F4" w14:textId="77777777" w:rsidR="00FC4E54" w:rsidRPr="00AF4771" w:rsidRDefault="00FC4E54" w:rsidP="00FC4E54">
      <w:pPr>
        <w:rPr>
          <w:rFonts w:cs="Segoe UI"/>
          <w:color w:val="000000" w:themeColor="text1"/>
          <w:szCs w:val="21"/>
        </w:rPr>
      </w:pPr>
    </w:p>
    <w:p w14:paraId="6A3C15E2" w14:textId="77777777" w:rsidR="00FC4E54" w:rsidRPr="00AF4771" w:rsidRDefault="00FC4E54" w:rsidP="00FC4E54">
      <w:pPr>
        <w:rPr>
          <w:rFonts w:cs="Segoe UI"/>
          <w:color w:val="000000" w:themeColor="text1"/>
          <w:szCs w:val="21"/>
        </w:rPr>
      </w:pPr>
      <w:r w:rsidRPr="00AF4771">
        <w:rPr>
          <w:rFonts w:cs="Segoe UI"/>
          <w:color w:val="000000" w:themeColor="text1"/>
          <w:szCs w:val="21"/>
        </w:rPr>
        <w:t>The questions don’t measure the intensity of the experience</w:t>
      </w:r>
      <w:r>
        <w:rPr>
          <w:rFonts w:cs="Segoe UI"/>
          <w:color w:val="000000" w:themeColor="text1"/>
          <w:szCs w:val="21"/>
        </w:rPr>
        <w:t>. They</w:t>
      </w:r>
      <w:r w:rsidRPr="00AF4771">
        <w:rPr>
          <w:rFonts w:cs="Segoe UI"/>
          <w:color w:val="000000" w:themeColor="text1"/>
          <w:szCs w:val="21"/>
        </w:rPr>
        <w:t xml:space="preserve"> provide limited information on </w:t>
      </w:r>
      <w:r>
        <w:rPr>
          <w:rFonts w:cs="Segoe UI"/>
          <w:color w:val="000000" w:themeColor="text1"/>
          <w:szCs w:val="21"/>
        </w:rPr>
        <w:t>how</w:t>
      </w:r>
      <w:r w:rsidRPr="00AF4771">
        <w:rPr>
          <w:rFonts w:cs="Segoe UI"/>
          <w:color w:val="000000" w:themeColor="text1"/>
          <w:szCs w:val="21"/>
        </w:rPr>
        <w:t xml:space="preserve"> frequen</w:t>
      </w:r>
      <w:r>
        <w:rPr>
          <w:rFonts w:cs="Segoe UI"/>
          <w:color w:val="000000" w:themeColor="text1"/>
          <w:szCs w:val="21"/>
        </w:rPr>
        <w:t>tly people experienced racial discrimination</w:t>
      </w:r>
      <w:r w:rsidRPr="00AF4771">
        <w:rPr>
          <w:rFonts w:cs="Segoe UI"/>
          <w:color w:val="000000" w:themeColor="text1"/>
          <w:szCs w:val="21"/>
        </w:rPr>
        <w:t xml:space="preserve"> over time (Harris et al 2006). </w:t>
      </w:r>
    </w:p>
    <w:p w14:paraId="1E207A10" w14:textId="77777777" w:rsidR="00FC4E54" w:rsidRPr="00AF4771" w:rsidRDefault="00FC4E54" w:rsidP="00FC4E54">
      <w:pPr>
        <w:rPr>
          <w:rFonts w:cs="Segoe UI"/>
          <w:color w:val="000000" w:themeColor="text1"/>
          <w:szCs w:val="21"/>
        </w:rPr>
      </w:pPr>
    </w:p>
    <w:p w14:paraId="5EF76E0F" w14:textId="77777777" w:rsidR="00FC4E54" w:rsidRPr="00AF4771" w:rsidRDefault="00FC4E54" w:rsidP="00FC4E54">
      <w:pPr>
        <w:rPr>
          <w:rFonts w:cs="Segoe UI"/>
          <w:color w:val="000000" w:themeColor="text1"/>
          <w:szCs w:val="21"/>
        </w:rPr>
      </w:pPr>
      <w:r w:rsidRPr="00AF4771">
        <w:rPr>
          <w:rFonts w:cs="Segoe UI"/>
          <w:color w:val="000000" w:themeColor="text1"/>
          <w:szCs w:val="21"/>
        </w:rPr>
        <w:t xml:space="preserve">The </w:t>
      </w:r>
      <w:r>
        <w:rPr>
          <w:rFonts w:cs="Segoe UI"/>
          <w:color w:val="000000" w:themeColor="text1"/>
          <w:szCs w:val="21"/>
        </w:rPr>
        <w:t>NZHS</w:t>
      </w:r>
      <w:r w:rsidRPr="00AF4771">
        <w:rPr>
          <w:rFonts w:cs="Segoe UI"/>
          <w:color w:val="000000" w:themeColor="text1"/>
          <w:szCs w:val="21"/>
        </w:rPr>
        <w:t xml:space="preserve"> data is cross-sectional</w:t>
      </w:r>
      <w:r>
        <w:rPr>
          <w:rFonts w:cs="Segoe UI"/>
          <w:color w:val="000000" w:themeColor="text1"/>
          <w:szCs w:val="21"/>
        </w:rPr>
        <w:t xml:space="preserve"> (ie, taken at one period in time). This</w:t>
      </w:r>
      <w:r w:rsidRPr="00AF4771">
        <w:rPr>
          <w:rFonts w:cs="Segoe UI"/>
          <w:color w:val="000000" w:themeColor="text1"/>
          <w:szCs w:val="21"/>
        </w:rPr>
        <w:t xml:space="preserve"> limits our ability to comment on causality (Harris</w:t>
      </w:r>
      <w:r>
        <w:rPr>
          <w:rFonts w:cs="Segoe UI"/>
          <w:color w:val="000000" w:themeColor="text1"/>
          <w:szCs w:val="21"/>
        </w:rPr>
        <w:t xml:space="preserve"> et al</w:t>
      </w:r>
      <w:r w:rsidRPr="00AF4771">
        <w:rPr>
          <w:rFonts w:cs="Segoe UI"/>
          <w:color w:val="000000" w:themeColor="text1"/>
          <w:szCs w:val="21"/>
        </w:rPr>
        <w:t xml:space="preserve"> 2019).</w:t>
      </w:r>
    </w:p>
    <w:p w14:paraId="3A2C4E4D" w14:textId="77777777" w:rsidR="00FC4E54" w:rsidRPr="008E1912" w:rsidRDefault="00FC4E54" w:rsidP="00FC4E54">
      <w:pPr>
        <w:pStyle w:val="Heading3"/>
      </w:pPr>
      <w:r w:rsidRPr="008E1912">
        <w:t xml:space="preserve">Other </w:t>
      </w:r>
      <w:r>
        <w:t>things to be aware of when interpreting</w:t>
      </w:r>
      <w:r w:rsidRPr="008E1912">
        <w:t xml:space="preserve"> the data</w:t>
      </w:r>
    </w:p>
    <w:p w14:paraId="50C4AF3F" w14:textId="77777777" w:rsidR="00FC4E54" w:rsidRPr="00AF4771" w:rsidRDefault="00FC4E54" w:rsidP="00FC4E54">
      <w:pPr>
        <w:rPr>
          <w:rFonts w:cs="Segoe UI"/>
          <w:color w:val="000000" w:themeColor="text1"/>
          <w:szCs w:val="21"/>
        </w:rPr>
      </w:pPr>
      <w:r>
        <w:rPr>
          <w:rFonts w:cs="Segoe UI"/>
          <w:color w:val="000000" w:themeColor="text1"/>
          <w:szCs w:val="21"/>
        </w:rPr>
        <w:t>Be careful</w:t>
      </w:r>
      <w:r w:rsidRPr="00AF4771">
        <w:rPr>
          <w:rFonts w:cs="Segoe UI"/>
          <w:color w:val="000000" w:themeColor="text1"/>
          <w:szCs w:val="21"/>
        </w:rPr>
        <w:t xml:space="preserve"> when comparing results from this report with reports that use a different data source </w:t>
      </w:r>
      <w:r>
        <w:rPr>
          <w:rFonts w:cs="Segoe UI"/>
          <w:color w:val="000000" w:themeColor="text1"/>
          <w:szCs w:val="21"/>
        </w:rPr>
        <w:t xml:space="preserve">because </w:t>
      </w:r>
      <w:r w:rsidRPr="00AF4771">
        <w:rPr>
          <w:rFonts w:cs="Segoe UI"/>
          <w:color w:val="000000" w:themeColor="text1"/>
          <w:szCs w:val="21"/>
        </w:rPr>
        <w:t xml:space="preserve">definitions and methods may differ. </w:t>
      </w:r>
      <w:r w:rsidRPr="00AF4771">
        <w:rPr>
          <w:color w:val="000000" w:themeColor="text1"/>
        </w:rPr>
        <w:t>The data presented in this report may also differ from previous publications that used NZHS data. See the methodology section for more information.</w:t>
      </w:r>
    </w:p>
    <w:p w14:paraId="2483E479" w14:textId="77777777" w:rsidR="00FC4E54" w:rsidRPr="00AF4771" w:rsidRDefault="00FC4E54" w:rsidP="00FC4E54">
      <w:pPr>
        <w:rPr>
          <w:color w:val="000000" w:themeColor="text1"/>
        </w:rPr>
      </w:pPr>
    </w:p>
    <w:p w14:paraId="72E0AE9A" w14:textId="77777777" w:rsidR="00FC4E54" w:rsidRPr="00AF4771" w:rsidRDefault="00FC4E54" w:rsidP="00FC4E54">
      <w:pPr>
        <w:rPr>
          <w:color w:val="000000" w:themeColor="text1"/>
        </w:rPr>
      </w:pPr>
      <w:r w:rsidRPr="00AF4771">
        <w:rPr>
          <w:color w:val="000000" w:themeColor="text1"/>
        </w:rPr>
        <w:t xml:space="preserve">Ethnicity data is presented at an aggregated level for the groups Māori, Pacific, Asian and </w:t>
      </w:r>
      <w:r>
        <w:rPr>
          <w:color w:val="000000" w:themeColor="text1"/>
        </w:rPr>
        <w:t>non-MPA</w:t>
      </w:r>
      <w:r w:rsidRPr="00AF4771">
        <w:rPr>
          <w:color w:val="000000" w:themeColor="text1"/>
        </w:rPr>
        <w:t xml:space="preserve">. There is considerable diversity within </w:t>
      </w:r>
      <w:r>
        <w:rPr>
          <w:color w:val="000000" w:themeColor="text1"/>
        </w:rPr>
        <w:t xml:space="preserve">each of </w:t>
      </w:r>
      <w:r w:rsidRPr="00AF4771">
        <w:rPr>
          <w:color w:val="000000" w:themeColor="text1"/>
        </w:rPr>
        <w:t xml:space="preserve">these groups, and </w:t>
      </w:r>
      <w:r>
        <w:rPr>
          <w:color w:val="000000" w:themeColor="text1"/>
        </w:rPr>
        <w:t xml:space="preserve">people may have </w:t>
      </w:r>
      <w:r w:rsidRPr="00AF4771">
        <w:rPr>
          <w:color w:val="000000" w:themeColor="text1"/>
        </w:rPr>
        <w:t xml:space="preserve">different contexts such as </w:t>
      </w:r>
      <w:r>
        <w:rPr>
          <w:color w:val="000000" w:themeColor="text1"/>
        </w:rPr>
        <w:t xml:space="preserve">their place of birth, how </w:t>
      </w:r>
      <w:r w:rsidRPr="00AF4771">
        <w:rPr>
          <w:color w:val="000000" w:themeColor="text1"/>
        </w:rPr>
        <w:t>recen</w:t>
      </w:r>
      <w:r>
        <w:rPr>
          <w:color w:val="000000" w:themeColor="text1"/>
        </w:rPr>
        <w:t>tly they</w:t>
      </w:r>
      <w:r w:rsidRPr="00AF4771">
        <w:rPr>
          <w:color w:val="000000" w:themeColor="text1"/>
        </w:rPr>
        <w:t xml:space="preserve"> immigrat</w:t>
      </w:r>
      <w:r>
        <w:rPr>
          <w:color w:val="000000" w:themeColor="text1"/>
        </w:rPr>
        <w:t>ed</w:t>
      </w:r>
      <w:r w:rsidRPr="00AF4771">
        <w:rPr>
          <w:color w:val="000000" w:themeColor="text1"/>
        </w:rPr>
        <w:t xml:space="preserve">, </w:t>
      </w:r>
      <w:r>
        <w:rPr>
          <w:color w:val="000000" w:themeColor="text1"/>
        </w:rPr>
        <w:t xml:space="preserve">what </w:t>
      </w:r>
      <w:r w:rsidRPr="00AF4771">
        <w:rPr>
          <w:color w:val="000000" w:themeColor="text1"/>
        </w:rPr>
        <w:t xml:space="preserve">languages </w:t>
      </w:r>
      <w:r>
        <w:rPr>
          <w:color w:val="000000" w:themeColor="text1"/>
        </w:rPr>
        <w:t xml:space="preserve">they speak </w:t>
      </w:r>
      <w:r w:rsidRPr="00AF4771">
        <w:rPr>
          <w:color w:val="000000" w:themeColor="text1"/>
        </w:rPr>
        <w:t>and</w:t>
      </w:r>
      <w:r>
        <w:rPr>
          <w:color w:val="000000" w:themeColor="text1"/>
        </w:rPr>
        <w:t xml:space="preserve"> the</w:t>
      </w:r>
      <w:r w:rsidRPr="00AF4771">
        <w:rPr>
          <w:color w:val="000000" w:themeColor="text1"/>
        </w:rPr>
        <w:t xml:space="preserve"> strength of </w:t>
      </w:r>
      <w:r>
        <w:rPr>
          <w:color w:val="000000" w:themeColor="text1"/>
        </w:rPr>
        <w:t xml:space="preserve">their </w:t>
      </w:r>
      <w:r w:rsidRPr="00AF4771">
        <w:rPr>
          <w:color w:val="000000" w:themeColor="text1"/>
        </w:rPr>
        <w:t>accent.</w:t>
      </w:r>
    </w:p>
    <w:p w14:paraId="30973013" w14:textId="77777777" w:rsidR="00FC4E54" w:rsidRPr="00AF4771" w:rsidRDefault="00FC4E54" w:rsidP="00FC4E54">
      <w:pPr>
        <w:rPr>
          <w:color w:val="000000" w:themeColor="text1"/>
        </w:rPr>
      </w:pPr>
    </w:p>
    <w:p w14:paraId="331C128F" w14:textId="77777777" w:rsidR="00FC4E54" w:rsidRPr="00AF4771" w:rsidRDefault="00FC4E54" w:rsidP="00FC4E54">
      <w:pPr>
        <w:rPr>
          <w:color w:val="000000" w:themeColor="text1"/>
        </w:rPr>
      </w:pPr>
      <w:r w:rsidRPr="00AF4771">
        <w:rPr>
          <w:color w:val="000000" w:themeColor="text1"/>
        </w:rPr>
        <w:t>The non-M</w:t>
      </w:r>
      <w:r>
        <w:rPr>
          <w:color w:val="000000" w:themeColor="text1"/>
        </w:rPr>
        <w:t>PA</w:t>
      </w:r>
      <w:r w:rsidRPr="00AF4771">
        <w:rPr>
          <w:color w:val="000000" w:themeColor="text1"/>
        </w:rPr>
        <w:t xml:space="preserve"> group includes people belong</w:t>
      </w:r>
      <w:r>
        <w:rPr>
          <w:color w:val="000000" w:themeColor="text1"/>
        </w:rPr>
        <w:t>ing</w:t>
      </w:r>
      <w:r w:rsidRPr="00AF4771">
        <w:rPr>
          <w:color w:val="000000" w:themeColor="text1"/>
        </w:rPr>
        <w:t xml:space="preserve"> to the MELAA and Other ethnic groups who do not also belong to</w:t>
      </w:r>
      <w:r>
        <w:rPr>
          <w:color w:val="000000" w:themeColor="text1"/>
        </w:rPr>
        <w:t xml:space="preserve"> one or more of</w:t>
      </w:r>
      <w:r w:rsidRPr="00AF4771">
        <w:rPr>
          <w:color w:val="000000" w:themeColor="text1"/>
        </w:rPr>
        <w:t xml:space="preserve"> the Māori, Pacific </w:t>
      </w:r>
      <w:r>
        <w:rPr>
          <w:color w:val="000000" w:themeColor="text1"/>
        </w:rPr>
        <w:t>and</w:t>
      </w:r>
      <w:r w:rsidRPr="00AF4771">
        <w:rPr>
          <w:color w:val="000000" w:themeColor="text1"/>
        </w:rPr>
        <w:t xml:space="preserve"> Asian ethnic groups. </w:t>
      </w:r>
      <w:r>
        <w:rPr>
          <w:color w:val="000000" w:themeColor="text1"/>
        </w:rPr>
        <w:t>People within the non-MPA</w:t>
      </w:r>
      <w:r w:rsidRPr="00AF4771">
        <w:rPr>
          <w:color w:val="000000" w:themeColor="text1"/>
        </w:rPr>
        <w:t xml:space="preserve"> group </w:t>
      </w:r>
      <w:r>
        <w:rPr>
          <w:color w:val="000000" w:themeColor="text1"/>
        </w:rPr>
        <w:t>are</w:t>
      </w:r>
      <w:r w:rsidRPr="00AF4771">
        <w:rPr>
          <w:color w:val="000000" w:themeColor="text1"/>
        </w:rPr>
        <w:t xml:space="preserve"> likely to have diverse experiences of racial discrimination. Small sample sizes for the MELAA group and changes to the</w:t>
      </w:r>
      <w:r>
        <w:rPr>
          <w:color w:val="000000" w:themeColor="text1"/>
        </w:rPr>
        <w:t xml:space="preserve"> method of</w:t>
      </w:r>
      <w:r w:rsidRPr="00AF4771">
        <w:rPr>
          <w:color w:val="000000" w:themeColor="text1"/>
        </w:rPr>
        <w:t xml:space="preserve"> </w:t>
      </w:r>
      <w:r w:rsidRPr="00AF4771">
        <w:rPr>
          <w:color w:val="000000" w:themeColor="text1"/>
        </w:rPr>
        <w:lastRenderedPageBreak/>
        <w:t xml:space="preserve">data </w:t>
      </w:r>
      <w:r>
        <w:rPr>
          <w:color w:val="000000" w:themeColor="text1"/>
        </w:rPr>
        <w:t xml:space="preserve">collection </w:t>
      </w:r>
      <w:r w:rsidRPr="00AF4771">
        <w:rPr>
          <w:color w:val="000000" w:themeColor="text1"/>
        </w:rPr>
        <w:t>over time limit the information that we can provide for this group. The report includes a small amount of information for the MELAA group for 2020/21, but this data has wide confidence intervals and should be used with caution.</w:t>
      </w:r>
    </w:p>
    <w:p w14:paraId="5700C0A1" w14:textId="77777777" w:rsidR="00FC4E54" w:rsidRPr="00AF4771" w:rsidRDefault="00FC4E54" w:rsidP="00FC4E54">
      <w:pPr>
        <w:rPr>
          <w:color w:val="000000" w:themeColor="text1"/>
        </w:rPr>
      </w:pPr>
    </w:p>
    <w:p w14:paraId="52EAC1AB" w14:textId="77777777" w:rsidR="00FC4E54" w:rsidRPr="00AF4771" w:rsidRDefault="00FC4E54" w:rsidP="00FC4E54">
      <w:pPr>
        <w:rPr>
          <w:color w:val="000000" w:themeColor="text1"/>
        </w:rPr>
      </w:pPr>
      <w:r w:rsidRPr="00AF4771">
        <w:rPr>
          <w:color w:val="000000" w:themeColor="text1"/>
        </w:rPr>
        <w:t xml:space="preserve">Data for the 2020/21 NZHS was </w:t>
      </w:r>
      <w:r>
        <w:rPr>
          <w:color w:val="000000" w:themeColor="text1"/>
        </w:rPr>
        <w:t xml:space="preserve">collected </w:t>
      </w:r>
      <w:r w:rsidRPr="00AF4771">
        <w:rPr>
          <w:color w:val="000000" w:themeColor="text1"/>
        </w:rPr>
        <w:t xml:space="preserve">between September 2020 and August 2021. COVID-19 restrictions </w:t>
      </w:r>
      <w:r>
        <w:rPr>
          <w:color w:val="000000" w:themeColor="text1"/>
        </w:rPr>
        <w:t>affected this</w:t>
      </w:r>
      <w:r w:rsidRPr="00AF4771">
        <w:rPr>
          <w:color w:val="000000" w:themeColor="text1"/>
        </w:rPr>
        <w:t xml:space="preserve"> data collection. The main impact is that </w:t>
      </w:r>
      <w:r>
        <w:rPr>
          <w:color w:val="000000" w:themeColor="text1"/>
        </w:rPr>
        <w:t>the sample size</w:t>
      </w:r>
      <w:r w:rsidRPr="00AF4771">
        <w:rPr>
          <w:color w:val="000000" w:themeColor="text1"/>
        </w:rPr>
        <w:t xml:space="preserve"> for 2020/21 </w:t>
      </w:r>
      <w:r>
        <w:rPr>
          <w:color w:val="000000" w:themeColor="text1"/>
        </w:rPr>
        <w:t xml:space="preserve">was </w:t>
      </w:r>
      <w:r w:rsidRPr="00AF4771">
        <w:rPr>
          <w:color w:val="000000" w:themeColor="text1"/>
        </w:rPr>
        <w:t xml:space="preserve">smaller than usual. As a result of the smaller sample sizes, the confidence intervals around point estimates are wider than usual. See the methodology section for more information. </w:t>
      </w:r>
    </w:p>
    <w:p w14:paraId="1314AD84" w14:textId="77777777" w:rsidR="00FC4E54" w:rsidRPr="00AF4771" w:rsidRDefault="00FC4E54" w:rsidP="00FC4E54">
      <w:pPr>
        <w:rPr>
          <w:color w:val="000000" w:themeColor="text1"/>
        </w:rPr>
      </w:pPr>
    </w:p>
    <w:p w14:paraId="1B51661D" w14:textId="77777777" w:rsidR="00FC4E54" w:rsidRPr="00AF4771" w:rsidRDefault="00FC4E54" w:rsidP="00FC4E54">
      <w:pPr>
        <w:rPr>
          <w:color w:val="000000" w:themeColor="text1"/>
        </w:rPr>
      </w:pPr>
      <w:r>
        <w:rPr>
          <w:color w:val="000000" w:themeColor="text1"/>
        </w:rPr>
        <w:t>Take c</w:t>
      </w:r>
      <w:r w:rsidRPr="00AF4771">
        <w:rPr>
          <w:color w:val="000000" w:themeColor="text1"/>
        </w:rPr>
        <w:t>are when interpreting estimates with wide confidence intervals. In particular</w:t>
      </w:r>
      <w:r>
        <w:rPr>
          <w:color w:val="000000" w:themeColor="text1"/>
        </w:rPr>
        <w:t>,</w:t>
      </w:r>
      <w:r w:rsidRPr="00AF4771">
        <w:rPr>
          <w:color w:val="000000" w:themeColor="text1"/>
        </w:rPr>
        <w:t xml:space="preserve"> the small sample size for the Pacific and Asian ethnic groups and wide confidence intervals limit conclusions that can be drawn from the data.</w:t>
      </w:r>
    </w:p>
    <w:p w14:paraId="57B90996" w14:textId="77777777" w:rsidR="00FC4E54" w:rsidRDefault="00FC4E54" w:rsidP="00FC4E54">
      <w:pPr>
        <w:rPr>
          <w:rFonts w:eastAsia="Arial Unicode MS"/>
        </w:rPr>
        <w:sectPr w:rsidR="00FC4E54" w:rsidSect="00FC4E54">
          <w:pgSz w:w="11907" w:h="16840" w:code="9"/>
          <w:pgMar w:top="1418" w:right="1701" w:bottom="1134" w:left="1843" w:header="284" w:footer="425" w:gutter="284"/>
          <w:cols w:space="720"/>
        </w:sectPr>
      </w:pPr>
    </w:p>
    <w:p w14:paraId="2755AD8B" w14:textId="0A263B72" w:rsidR="00FC4E54" w:rsidRPr="00FC4E54" w:rsidRDefault="00FC4E54" w:rsidP="00FC4E54">
      <w:pPr>
        <w:pStyle w:val="Heading1"/>
        <w:spacing w:before="0"/>
      </w:pPr>
      <w:bookmarkStart w:id="20" w:name="_Toc135915413"/>
      <w:bookmarkStart w:id="21" w:name="_Toc136943104"/>
      <w:bookmarkStart w:id="22" w:name="_Toc136943199"/>
      <w:r w:rsidRPr="00FC4E54">
        <w:rPr>
          <w:b w:val="0"/>
          <w:bCs/>
        </w:rPr>
        <w:lastRenderedPageBreak/>
        <w:t>He whakarāpopoto o ngā kitenge</w:t>
      </w:r>
      <w:bookmarkStart w:id="23" w:name="_Toc135915414"/>
      <w:bookmarkEnd w:id="20"/>
      <w:r w:rsidR="001A2554">
        <w:rPr>
          <w:b w:val="0"/>
          <w:bCs/>
        </w:rPr>
        <w:t xml:space="preserve"> </w:t>
      </w:r>
      <w:r w:rsidR="001A2554" w:rsidRPr="001A2554">
        <w:rPr>
          <w:b w:val="0"/>
          <w:bCs/>
        </w:rPr>
        <w:t>|</w:t>
      </w:r>
      <w:r>
        <w:br/>
      </w:r>
      <w:r w:rsidRPr="00FC4E54">
        <w:t>Summary of findings</w:t>
      </w:r>
      <w:bookmarkEnd w:id="21"/>
      <w:bookmarkEnd w:id="22"/>
      <w:bookmarkEnd w:id="23"/>
    </w:p>
    <w:p w14:paraId="1CEF83F7" w14:textId="77777777" w:rsidR="00FC4E54" w:rsidRDefault="00FC4E54" w:rsidP="00FC4E54">
      <w:pPr>
        <w:pStyle w:val="Heading2"/>
      </w:pPr>
      <w:bookmarkStart w:id="24" w:name="_Toc135915415"/>
      <w:bookmarkStart w:id="25" w:name="_Toc136943105"/>
      <w:bookmarkStart w:id="26" w:name="_Toc136943200"/>
      <w:r>
        <w:t>Māori, Pacific and Asian adults had the highest rates of racial discrimination</w:t>
      </w:r>
      <w:bookmarkEnd w:id="24"/>
      <w:bookmarkEnd w:id="25"/>
      <w:bookmarkEnd w:id="26"/>
    </w:p>
    <w:p w14:paraId="2BA665BC" w14:textId="77777777" w:rsidR="00FC4E54" w:rsidRDefault="00FC4E54" w:rsidP="00FC4E54">
      <w:r>
        <w:t>Around one in 14 adults (7.4%) experienced racial discrimination</w:t>
      </w:r>
      <w:r>
        <w:rPr>
          <w:rStyle w:val="FootnoteReference"/>
        </w:rPr>
        <w:footnoteReference w:id="2"/>
      </w:r>
      <w:r>
        <w:t xml:space="preserve"> in the past 12 months, according to the 2020/21 NZHS. This equates to around 305,000 </w:t>
      </w:r>
      <w:r w:rsidRPr="00536EAB">
        <w:t>people</w:t>
      </w:r>
      <w:r>
        <w:t xml:space="preserve">. More than one in 5 adults (22.6%), or around </w:t>
      </w:r>
      <w:r w:rsidRPr="00536EAB">
        <w:t>935</w:t>
      </w:r>
      <w:r>
        <w:t>,</w:t>
      </w:r>
      <w:r w:rsidRPr="00536EAB">
        <w:t>000</w:t>
      </w:r>
      <w:r>
        <w:t xml:space="preserve"> people, have experienced racial discrimination in their lifetime.</w:t>
      </w:r>
    </w:p>
    <w:p w14:paraId="2999B052" w14:textId="77777777" w:rsidR="00FC4E54" w:rsidRDefault="00FC4E54" w:rsidP="00FC4E54"/>
    <w:p w14:paraId="080DF729" w14:textId="77777777" w:rsidR="00FC4E54" w:rsidRPr="009960BC" w:rsidRDefault="00FC4E54" w:rsidP="00FC4E54">
      <w:r>
        <w:t>Māori, Pacific and Asian adults had higher rates of racial discrimination than non-MPA adults in 2011/12, 2016/17 and 2020/21. In 2020/21, Māori had the highest rate of racial discrimination in the past 12 months (13.8%), followed by Asian (12.3%), Pacific (9.5%) and non-MPA (4.8%) adults (Table 1). More than one in 3 Māori (37.6%) and Asian (35.3%) adults experienced racial discrimination over their lifetime, compared with more than one in 4 Pacific (28.7%) and nearly one in 6 non-MPA (16.2%)</w:t>
      </w:r>
      <w:r w:rsidRPr="00E45710">
        <w:t xml:space="preserve"> </w:t>
      </w:r>
      <w:r>
        <w:t>adults.</w:t>
      </w:r>
    </w:p>
    <w:p w14:paraId="1ACF8A4E" w14:textId="77777777" w:rsidR="00FC4E54" w:rsidRDefault="00FC4E54" w:rsidP="00FC4E54"/>
    <w:p w14:paraId="26F9A4D5" w14:textId="77777777" w:rsidR="00FC4E54" w:rsidRDefault="00FC4E54" w:rsidP="00FC4E54">
      <w:pPr>
        <w:pStyle w:val="Table"/>
      </w:pPr>
      <w:bookmarkStart w:id="27" w:name="_Toc135391576"/>
      <w:bookmarkStart w:id="28" w:name="_Toc136584045"/>
      <w:r>
        <w:t xml:space="preserve">Table </w:t>
      </w:r>
      <w:fldSimple w:instr=" SEQ Table \* ARABIC ">
        <w:r>
          <w:rPr>
            <w:noProof/>
          </w:rPr>
          <w:t>1</w:t>
        </w:r>
      </w:fldSimple>
      <w:r>
        <w:t>: Experience of racial discrimination in the past 12 months and in lifetime, by ethnic group, 2020/21 (percentages)</w:t>
      </w:r>
      <w:bookmarkEnd w:id="27"/>
      <w:bookmarkEnd w:id="28"/>
    </w:p>
    <w:tbl>
      <w:tblPr>
        <w:tblStyle w:val="TableGrid"/>
        <w:tblW w:w="7938"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1587"/>
        <w:gridCol w:w="1532"/>
        <w:gridCol w:w="1559"/>
        <w:gridCol w:w="1559"/>
        <w:gridCol w:w="1701"/>
      </w:tblGrid>
      <w:tr w:rsidR="00FC4E54" w:rsidRPr="00F149FB" w14:paraId="0788D982" w14:textId="77777777" w:rsidTr="001212B8">
        <w:trPr>
          <w:trHeight w:val="300"/>
        </w:trPr>
        <w:tc>
          <w:tcPr>
            <w:tcW w:w="1587" w:type="dxa"/>
            <w:tcBorders>
              <w:top w:val="nil"/>
              <w:bottom w:val="nil"/>
            </w:tcBorders>
            <w:shd w:val="clear" w:color="auto" w:fill="D9D9D9" w:themeFill="background1" w:themeFillShade="D9"/>
            <w:noWrap/>
            <w:hideMark/>
          </w:tcPr>
          <w:p w14:paraId="523558B1" w14:textId="77777777" w:rsidR="00FC4E54" w:rsidRPr="001212B8" w:rsidRDefault="00FC4E54" w:rsidP="001212B8">
            <w:pPr>
              <w:pStyle w:val="TableText"/>
              <w:spacing w:after="0"/>
              <w:rPr>
                <w:b/>
                <w:bCs/>
              </w:rPr>
            </w:pPr>
          </w:p>
        </w:tc>
        <w:tc>
          <w:tcPr>
            <w:tcW w:w="1532" w:type="dxa"/>
            <w:tcBorders>
              <w:top w:val="nil"/>
              <w:bottom w:val="nil"/>
            </w:tcBorders>
            <w:shd w:val="clear" w:color="auto" w:fill="D9D9D9" w:themeFill="background1" w:themeFillShade="D9"/>
            <w:noWrap/>
            <w:hideMark/>
          </w:tcPr>
          <w:p w14:paraId="63986BEB" w14:textId="77777777" w:rsidR="00FC4E54" w:rsidRPr="001212B8" w:rsidRDefault="00FC4E54" w:rsidP="001212B8">
            <w:pPr>
              <w:pStyle w:val="TableText"/>
              <w:spacing w:after="0"/>
              <w:jc w:val="center"/>
              <w:rPr>
                <w:b/>
                <w:bCs/>
              </w:rPr>
            </w:pPr>
            <w:r w:rsidRPr="001212B8">
              <w:rPr>
                <w:b/>
                <w:bCs/>
              </w:rPr>
              <w:t>Māori</w:t>
            </w:r>
          </w:p>
        </w:tc>
        <w:tc>
          <w:tcPr>
            <w:tcW w:w="1559" w:type="dxa"/>
            <w:tcBorders>
              <w:top w:val="nil"/>
              <w:bottom w:val="nil"/>
            </w:tcBorders>
            <w:shd w:val="clear" w:color="auto" w:fill="D9D9D9" w:themeFill="background1" w:themeFillShade="D9"/>
            <w:noWrap/>
            <w:hideMark/>
          </w:tcPr>
          <w:p w14:paraId="69710C9B" w14:textId="77777777" w:rsidR="00FC4E54" w:rsidRPr="001212B8" w:rsidRDefault="00FC4E54" w:rsidP="001212B8">
            <w:pPr>
              <w:pStyle w:val="TableText"/>
              <w:spacing w:after="0"/>
              <w:jc w:val="center"/>
              <w:rPr>
                <w:b/>
                <w:bCs/>
              </w:rPr>
            </w:pPr>
            <w:r w:rsidRPr="001212B8">
              <w:rPr>
                <w:b/>
                <w:bCs/>
              </w:rPr>
              <w:t>Pacific</w:t>
            </w:r>
          </w:p>
        </w:tc>
        <w:tc>
          <w:tcPr>
            <w:tcW w:w="1559" w:type="dxa"/>
            <w:tcBorders>
              <w:top w:val="nil"/>
              <w:bottom w:val="nil"/>
            </w:tcBorders>
            <w:shd w:val="clear" w:color="auto" w:fill="D9D9D9" w:themeFill="background1" w:themeFillShade="D9"/>
            <w:noWrap/>
            <w:hideMark/>
          </w:tcPr>
          <w:p w14:paraId="30FD8847" w14:textId="77777777" w:rsidR="00FC4E54" w:rsidRPr="001212B8" w:rsidRDefault="00FC4E54" w:rsidP="001212B8">
            <w:pPr>
              <w:pStyle w:val="TableText"/>
              <w:spacing w:after="0"/>
              <w:jc w:val="center"/>
              <w:rPr>
                <w:b/>
                <w:bCs/>
              </w:rPr>
            </w:pPr>
            <w:r w:rsidRPr="001212B8">
              <w:rPr>
                <w:b/>
                <w:bCs/>
              </w:rPr>
              <w:t>Asian</w:t>
            </w:r>
          </w:p>
        </w:tc>
        <w:tc>
          <w:tcPr>
            <w:tcW w:w="1701" w:type="dxa"/>
            <w:tcBorders>
              <w:top w:val="nil"/>
              <w:bottom w:val="nil"/>
            </w:tcBorders>
            <w:shd w:val="clear" w:color="auto" w:fill="D9D9D9" w:themeFill="background1" w:themeFillShade="D9"/>
            <w:noWrap/>
            <w:hideMark/>
          </w:tcPr>
          <w:p w14:paraId="0961C9D6" w14:textId="77777777" w:rsidR="00FC4E54" w:rsidRPr="001212B8" w:rsidRDefault="00FC4E54" w:rsidP="001212B8">
            <w:pPr>
              <w:pStyle w:val="TableText"/>
              <w:spacing w:after="0"/>
              <w:jc w:val="center"/>
              <w:rPr>
                <w:b/>
                <w:bCs/>
              </w:rPr>
            </w:pPr>
            <w:r w:rsidRPr="001212B8">
              <w:rPr>
                <w:b/>
                <w:bCs/>
              </w:rPr>
              <w:t>Non-MPA</w:t>
            </w:r>
          </w:p>
        </w:tc>
      </w:tr>
      <w:tr w:rsidR="00FC4E54" w:rsidRPr="00F149FB" w14:paraId="501D6739" w14:textId="77777777" w:rsidTr="001212B8">
        <w:trPr>
          <w:trHeight w:val="300"/>
        </w:trPr>
        <w:tc>
          <w:tcPr>
            <w:tcW w:w="1587" w:type="dxa"/>
            <w:tcBorders>
              <w:top w:val="nil"/>
              <w:bottom w:val="nil"/>
            </w:tcBorders>
            <w:shd w:val="clear" w:color="auto" w:fill="D9D9D9" w:themeFill="background1" w:themeFillShade="D9"/>
            <w:noWrap/>
            <w:hideMark/>
          </w:tcPr>
          <w:p w14:paraId="280CFDA3" w14:textId="77777777" w:rsidR="00FC4E54" w:rsidRPr="001212B8" w:rsidRDefault="00FC4E54" w:rsidP="001212B8">
            <w:pPr>
              <w:pStyle w:val="TableText"/>
              <w:rPr>
                <w:b/>
                <w:bCs/>
              </w:rPr>
            </w:pPr>
            <w:r w:rsidRPr="001212B8">
              <w:rPr>
                <w:b/>
                <w:bCs/>
              </w:rPr>
              <w:t>Time period</w:t>
            </w:r>
          </w:p>
        </w:tc>
        <w:tc>
          <w:tcPr>
            <w:tcW w:w="1532" w:type="dxa"/>
            <w:tcBorders>
              <w:top w:val="nil"/>
              <w:bottom w:val="nil"/>
            </w:tcBorders>
            <w:shd w:val="clear" w:color="auto" w:fill="D9D9D9" w:themeFill="background1" w:themeFillShade="D9"/>
            <w:noWrap/>
            <w:hideMark/>
          </w:tcPr>
          <w:p w14:paraId="156B0C8A" w14:textId="77777777" w:rsidR="00FC4E54" w:rsidRPr="001212B8" w:rsidRDefault="00FC4E54" w:rsidP="001212B8">
            <w:pPr>
              <w:pStyle w:val="TableText"/>
              <w:jc w:val="center"/>
              <w:rPr>
                <w:b/>
                <w:bCs/>
              </w:rPr>
            </w:pPr>
            <w:r w:rsidRPr="001212B8">
              <w:rPr>
                <w:b/>
                <w:bCs/>
              </w:rPr>
              <w:t>% (95% CI)</w:t>
            </w:r>
          </w:p>
        </w:tc>
        <w:tc>
          <w:tcPr>
            <w:tcW w:w="1559" w:type="dxa"/>
            <w:tcBorders>
              <w:top w:val="nil"/>
              <w:bottom w:val="nil"/>
            </w:tcBorders>
            <w:shd w:val="clear" w:color="auto" w:fill="D9D9D9" w:themeFill="background1" w:themeFillShade="D9"/>
            <w:noWrap/>
            <w:hideMark/>
          </w:tcPr>
          <w:p w14:paraId="46CCD80F" w14:textId="77777777" w:rsidR="00FC4E54" w:rsidRPr="001212B8" w:rsidRDefault="00FC4E54" w:rsidP="001212B8">
            <w:pPr>
              <w:pStyle w:val="TableText"/>
              <w:jc w:val="center"/>
              <w:rPr>
                <w:b/>
                <w:bCs/>
              </w:rPr>
            </w:pPr>
            <w:r w:rsidRPr="001212B8">
              <w:rPr>
                <w:b/>
                <w:bCs/>
              </w:rPr>
              <w:t>% (95% CI)</w:t>
            </w:r>
          </w:p>
        </w:tc>
        <w:tc>
          <w:tcPr>
            <w:tcW w:w="1559" w:type="dxa"/>
            <w:tcBorders>
              <w:top w:val="nil"/>
              <w:bottom w:val="nil"/>
            </w:tcBorders>
            <w:shd w:val="clear" w:color="auto" w:fill="D9D9D9" w:themeFill="background1" w:themeFillShade="D9"/>
            <w:noWrap/>
            <w:hideMark/>
          </w:tcPr>
          <w:p w14:paraId="3B898DB1" w14:textId="77777777" w:rsidR="00FC4E54" w:rsidRPr="001212B8" w:rsidRDefault="00FC4E54" w:rsidP="001212B8">
            <w:pPr>
              <w:pStyle w:val="TableText"/>
              <w:jc w:val="center"/>
              <w:rPr>
                <w:b/>
                <w:bCs/>
              </w:rPr>
            </w:pPr>
            <w:r w:rsidRPr="001212B8">
              <w:rPr>
                <w:b/>
                <w:bCs/>
              </w:rPr>
              <w:t>% (95% CI)</w:t>
            </w:r>
          </w:p>
        </w:tc>
        <w:tc>
          <w:tcPr>
            <w:tcW w:w="1701" w:type="dxa"/>
            <w:tcBorders>
              <w:top w:val="nil"/>
              <w:bottom w:val="nil"/>
            </w:tcBorders>
            <w:shd w:val="clear" w:color="auto" w:fill="D9D9D9" w:themeFill="background1" w:themeFillShade="D9"/>
            <w:noWrap/>
            <w:hideMark/>
          </w:tcPr>
          <w:p w14:paraId="270D9BC4" w14:textId="77777777" w:rsidR="00FC4E54" w:rsidRPr="001212B8" w:rsidRDefault="00FC4E54" w:rsidP="001212B8">
            <w:pPr>
              <w:pStyle w:val="TableText"/>
              <w:jc w:val="center"/>
              <w:rPr>
                <w:b/>
                <w:bCs/>
              </w:rPr>
            </w:pPr>
            <w:r w:rsidRPr="001212B8">
              <w:rPr>
                <w:b/>
                <w:bCs/>
              </w:rPr>
              <w:t>% (95% CI)</w:t>
            </w:r>
          </w:p>
        </w:tc>
      </w:tr>
      <w:tr w:rsidR="00FC4E54" w:rsidRPr="00F149FB" w14:paraId="59775D89" w14:textId="77777777" w:rsidTr="001212B8">
        <w:trPr>
          <w:trHeight w:val="300"/>
        </w:trPr>
        <w:tc>
          <w:tcPr>
            <w:tcW w:w="1587" w:type="dxa"/>
            <w:tcBorders>
              <w:top w:val="nil"/>
            </w:tcBorders>
            <w:noWrap/>
            <w:hideMark/>
          </w:tcPr>
          <w:p w14:paraId="130DD851" w14:textId="77777777" w:rsidR="00FC4E54" w:rsidRPr="004E0ED2" w:rsidRDefault="00FC4E54" w:rsidP="001212B8">
            <w:pPr>
              <w:pStyle w:val="TableText"/>
            </w:pPr>
            <w:r w:rsidRPr="004E0ED2">
              <w:t>Past 12 months</w:t>
            </w:r>
          </w:p>
        </w:tc>
        <w:tc>
          <w:tcPr>
            <w:tcW w:w="1532" w:type="dxa"/>
            <w:tcBorders>
              <w:top w:val="nil"/>
            </w:tcBorders>
            <w:noWrap/>
            <w:hideMark/>
          </w:tcPr>
          <w:p w14:paraId="15305067" w14:textId="77777777" w:rsidR="00FC4E54" w:rsidRPr="004E0ED2" w:rsidRDefault="00FC4E54" w:rsidP="001212B8">
            <w:pPr>
              <w:pStyle w:val="TableText"/>
              <w:jc w:val="center"/>
            </w:pPr>
            <w:r w:rsidRPr="004E0ED2">
              <w:t>13.8</w:t>
            </w:r>
            <w:r>
              <w:t xml:space="preserve"> </w:t>
            </w:r>
            <w:r w:rsidRPr="004E0ED2">
              <w:t>(11.8–16.0)</w:t>
            </w:r>
          </w:p>
        </w:tc>
        <w:tc>
          <w:tcPr>
            <w:tcW w:w="1559" w:type="dxa"/>
            <w:tcBorders>
              <w:top w:val="nil"/>
            </w:tcBorders>
            <w:noWrap/>
            <w:hideMark/>
          </w:tcPr>
          <w:p w14:paraId="79894300" w14:textId="77777777" w:rsidR="00FC4E54" w:rsidRPr="004E0ED2" w:rsidRDefault="00FC4E54" w:rsidP="001212B8">
            <w:pPr>
              <w:pStyle w:val="TableText"/>
              <w:jc w:val="center"/>
            </w:pPr>
            <w:r w:rsidRPr="004E0ED2">
              <w:t>9.5</w:t>
            </w:r>
            <w:r>
              <w:t xml:space="preserve"> </w:t>
            </w:r>
            <w:r w:rsidRPr="004E0ED2">
              <w:t>(6.9–12.6)</w:t>
            </w:r>
          </w:p>
        </w:tc>
        <w:tc>
          <w:tcPr>
            <w:tcW w:w="1559" w:type="dxa"/>
            <w:tcBorders>
              <w:top w:val="nil"/>
            </w:tcBorders>
            <w:noWrap/>
            <w:hideMark/>
          </w:tcPr>
          <w:p w14:paraId="21DC510F" w14:textId="77777777" w:rsidR="00FC4E54" w:rsidRPr="004E0ED2" w:rsidRDefault="00FC4E54" w:rsidP="001212B8">
            <w:pPr>
              <w:pStyle w:val="TableText"/>
              <w:jc w:val="center"/>
            </w:pPr>
            <w:r w:rsidRPr="004E0ED2">
              <w:t>12.3</w:t>
            </w:r>
            <w:r>
              <w:t xml:space="preserve"> </w:t>
            </w:r>
            <w:r w:rsidRPr="004E0ED2">
              <w:t>(10.0–15.0)</w:t>
            </w:r>
          </w:p>
        </w:tc>
        <w:tc>
          <w:tcPr>
            <w:tcW w:w="1701" w:type="dxa"/>
            <w:tcBorders>
              <w:top w:val="nil"/>
            </w:tcBorders>
            <w:noWrap/>
            <w:hideMark/>
          </w:tcPr>
          <w:p w14:paraId="1C1E823F" w14:textId="77777777" w:rsidR="00FC4E54" w:rsidRPr="004E0ED2" w:rsidRDefault="00FC4E54" w:rsidP="001212B8">
            <w:pPr>
              <w:pStyle w:val="TableText"/>
              <w:jc w:val="center"/>
            </w:pPr>
            <w:r w:rsidRPr="004E0ED2">
              <w:t>4.8</w:t>
            </w:r>
            <w:r>
              <w:t xml:space="preserve"> </w:t>
            </w:r>
            <w:r w:rsidRPr="004E0ED2">
              <w:t>(4.1–5.6)</w:t>
            </w:r>
          </w:p>
        </w:tc>
      </w:tr>
      <w:tr w:rsidR="00FC4E54" w:rsidRPr="00F149FB" w14:paraId="3D938DA1" w14:textId="77777777" w:rsidTr="001212B8">
        <w:trPr>
          <w:trHeight w:val="300"/>
        </w:trPr>
        <w:tc>
          <w:tcPr>
            <w:tcW w:w="1587" w:type="dxa"/>
            <w:noWrap/>
            <w:vAlign w:val="bottom"/>
          </w:tcPr>
          <w:p w14:paraId="534C48E1" w14:textId="77777777" w:rsidR="00FC4E54" w:rsidRPr="004E0ED2" w:rsidRDefault="00FC4E54" w:rsidP="001212B8">
            <w:pPr>
              <w:pStyle w:val="TableText"/>
            </w:pPr>
            <w:r w:rsidRPr="004E0ED2">
              <w:t>Lifetime</w:t>
            </w:r>
          </w:p>
        </w:tc>
        <w:tc>
          <w:tcPr>
            <w:tcW w:w="1532" w:type="dxa"/>
            <w:noWrap/>
            <w:vAlign w:val="bottom"/>
          </w:tcPr>
          <w:p w14:paraId="3094C019" w14:textId="77777777" w:rsidR="00FC4E54" w:rsidRPr="004E0ED2" w:rsidRDefault="00FC4E54" w:rsidP="001212B8">
            <w:pPr>
              <w:pStyle w:val="TableText"/>
              <w:jc w:val="center"/>
            </w:pPr>
            <w:r w:rsidRPr="004E0ED2">
              <w:t>37.6</w:t>
            </w:r>
            <w:r>
              <w:t xml:space="preserve"> </w:t>
            </w:r>
            <w:r w:rsidRPr="004E0ED2">
              <w:t>(34.2–41.0)</w:t>
            </w:r>
          </w:p>
        </w:tc>
        <w:tc>
          <w:tcPr>
            <w:tcW w:w="1559" w:type="dxa"/>
            <w:noWrap/>
            <w:vAlign w:val="bottom"/>
          </w:tcPr>
          <w:p w14:paraId="559A492F" w14:textId="77777777" w:rsidR="00FC4E54" w:rsidRPr="004E0ED2" w:rsidRDefault="00FC4E54" w:rsidP="001212B8">
            <w:pPr>
              <w:pStyle w:val="TableText"/>
              <w:jc w:val="center"/>
            </w:pPr>
            <w:r w:rsidRPr="004E0ED2">
              <w:t>28.7</w:t>
            </w:r>
            <w:r>
              <w:t xml:space="preserve"> </w:t>
            </w:r>
            <w:r w:rsidRPr="004E0ED2">
              <w:t>(23.9–33.8)</w:t>
            </w:r>
          </w:p>
        </w:tc>
        <w:tc>
          <w:tcPr>
            <w:tcW w:w="1559" w:type="dxa"/>
            <w:noWrap/>
            <w:vAlign w:val="bottom"/>
          </w:tcPr>
          <w:p w14:paraId="1AF68291" w14:textId="77777777" w:rsidR="00FC4E54" w:rsidRPr="004E0ED2" w:rsidRDefault="00FC4E54" w:rsidP="001212B8">
            <w:pPr>
              <w:pStyle w:val="TableText"/>
              <w:jc w:val="center"/>
            </w:pPr>
            <w:r w:rsidRPr="004E0ED2">
              <w:t>35.3</w:t>
            </w:r>
            <w:r>
              <w:t xml:space="preserve"> </w:t>
            </w:r>
            <w:r w:rsidRPr="004E0ED2">
              <w:t>(31.2–39.5)</w:t>
            </w:r>
          </w:p>
        </w:tc>
        <w:tc>
          <w:tcPr>
            <w:tcW w:w="1701" w:type="dxa"/>
            <w:noWrap/>
            <w:vAlign w:val="bottom"/>
          </w:tcPr>
          <w:p w14:paraId="7DFBBD21" w14:textId="77777777" w:rsidR="00FC4E54" w:rsidRPr="004E0ED2" w:rsidRDefault="00FC4E54" w:rsidP="001212B8">
            <w:pPr>
              <w:pStyle w:val="TableText"/>
              <w:jc w:val="center"/>
            </w:pPr>
            <w:r w:rsidRPr="004E0ED2">
              <w:t>16.2</w:t>
            </w:r>
            <w:r>
              <w:t xml:space="preserve"> </w:t>
            </w:r>
            <w:r w:rsidRPr="004E0ED2">
              <w:t>(14.9–17.4)</w:t>
            </w:r>
          </w:p>
        </w:tc>
      </w:tr>
    </w:tbl>
    <w:p w14:paraId="60AD3007" w14:textId="77777777" w:rsidR="00FC4E54" w:rsidRPr="00792274" w:rsidRDefault="00FC4E54" w:rsidP="001212B8">
      <w:pPr>
        <w:pStyle w:val="Note"/>
      </w:pPr>
      <w:r w:rsidRPr="004E0ED2">
        <w:t>Note</w:t>
      </w:r>
      <w:r>
        <w:t>: CI = confidence interval.</w:t>
      </w:r>
    </w:p>
    <w:p w14:paraId="6F1874E0" w14:textId="77777777" w:rsidR="00FC4E54" w:rsidRDefault="00FC4E54" w:rsidP="00FC4E54"/>
    <w:p w14:paraId="1848AAA4" w14:textId="77777777" w:rsidR="00FC4E54" w:rsidRPr="00A64AB6" w:rsidRDefault="00FC4E54" w:rsidP="00FC4E54">
      <w:pPr>
        <w:rPr>
          <w:color w:val="000000" w:themeColor="text1"/>
        </w:rPr>
      </w:pPr>
      <w:r>
        <w:rPr>
          <w:color w:val="000000" w:themeColor="text1"/>
        </w:rPr>
        <w:t xml:space="preserve">In 2020/21, </w:t>
      </w:r>
      <w:r w:rsidRPr="00341342">
        <w:rPr>
          <w:color w:val="000000" w:themeColor="text1"/>
        </w:rPr>
        <w:t>Māori, Pacific and Asian adults were more likely than non-MPA</w:t>
      </w:r>
      <w:r>
        <w:rPr>
          <w:color w:val="000000" w:themeColor="text1"/>
        </w:rPr>
        <w:t xml:space="preserve"> adults</w:t>
      </w:r>
      <w:r w:rsidRPr="00341342">
        <w:rPr>
          <w:color w:val="000000" w:themeColor="text1"/>
        </w:rPr>
        <w:t xml:space="preserve"> to experience racial discrimination in the past 12 months.</w:t>
      </w:r>
      <w:r>
        <w:rPr>
          <w:color w:val="000000" w:themeColor="text1"/>
        </w:rPr>
        <w:t xml:space="preserve"> Māori adults were </w:t>
      </w:r>
      <w:r w:rsidRPr="005F61A2">
        <w:rPr>
          <w:rFonts w:eastAsia="Arial Unicode MS"/>
        </w:rPr>
        <w:t>2.5 times</w:t>
      </w:r>
      <w:r>
        <w:rPr>
          <w:rFonts w:eastAsia="Arial Unicode MS"/>
        </w:rPr>
        <w:t xml:space="preserve">, </w:t>
      </w:r>
      <w:r>
        <w:rPr>
          <w:color w:val="000000" w:themeColor="text1"/>
        </w:rPr>
        <w:t xml:space="preserve">Pacific adults </w:t>
      </w:r>
      <w:r w:rsidRPr="005F61A2">
        <w:rPr>
          <w:rFonts w:eastAsia="Arial Unicode MS"/>
        </w:rPr>
        <w:t xml:space="preserve">1.7 times </w:t>
      </w:r>
      <w:r>
        <w:rPr>
          <w:rFonts w:eastAsia="Arial Unicode MS"/>
        </w:rPr>
        <w:t xml:space="preserve">and Asian adults </w:t>
      </w:r>
      <w:r w:rsidRPr="0004744D">
        <w:rPr>
          <w:rFonts w:eastAsia="Arial Unicode MS"/>
        </w:rPr>
        <w:t xml:space="preserve">2.3 </w:t>
      </w:r>
      <w:r>
        <w:rPr>
          <w:rFonts w:eastAsia="Arial Unicode MS"/>
        </w:rPr>
        <w:t>times</w:t>
      </w:r>
      <w:r w:rsidRPr="0004744D">
        <w:rPr>
          <w:rFonts w:eastAsia="Arial Unicode MS"/>
        </w:rPr>
        <w:t xml:space="preserve"> as likely </w:t>
      </w:r>
      <w:r>
        <w:rPr>
          <w:rFonts w:eastAsia="Arial Unicode MS"/>
        </w:rPr>
        <w:t xml:space="preserve">as </w:t>
      </w:r>
      <w:r w:rsidRPr="0004744D">
        <w:rPr>
          <w:rFonts w:eastAsia="Arial Unicode MS"/>
        </w:rPr>
        <w:t>non-M</w:t>
      </w:r>
      <w:r w:rsidRPr="00F63CBD">
        <w:rPr>
          <w:rFonts w:eastAsia="Arial Unicode MS"/>
          <w:color w:val="000000" w:themeColor="text1"/>
        </w:rPr>
        <w:t>PA</w:t>
      </w:r>
      <w:r>
        <w:rPr>
          <w:rFonts w:eastAsia="Arial Unicode MS"/>
          <w:color w:val="000000" w:themeColor="text1"/>
        </w:rPr>
        <w:t xml:space="preserve"> adults to experience racial discrimination in the past 12 months, </w:t>
      </w:r>
      <w:r w:rsidRPr="00F63CBD">
        <w:rPr>
          <w:rFonts w:eastAsia="Arial Unicode MS"/>
          <w:color w:val="000000" w:themeColor="text1"/>
        </w:rPr>
        <w:t>a</w:t>
      </w:r>
      <w:r w:rsidRPr="00F63CBD">
        <w:rPr>
          <w:color w:val="000000" w:themeColor="text1"/>
        </w:rPr>
        <w:t>fter adjusting for differences in age and gender.</w:t>
      </w:r>
    </w:p>
    <w:p w14:paraId="36C71365" w14:textId="77777777" w:rsidR="00FC4E54" w:rsidRDefault="00FC4E54" w:rsidP="00FC4E54">
      <w:pPr>
        <w:pStyle w:val="Heading3"/>
      </w:pPr>
      <w:r>
        <w:t>Māori women had high rates of racial discrimination</w:t>
      </w:r>
    </w:p>
    <w:p w14:paraId="04473CE5" w14:textId="09A43E1F" w:rsidR="001212B8" w:rsidRPr="00AF4771" w:rsidRDefault="00FC4E54" w:rsidP="001212B8">
      <w:pPr>
        <w:rPr>
          <w:color w:val="000000" w:themeColor="text1"/>
        </w:rPr>
      </w:pPr>
      <w:r w:rsidRPr="00AF4771">
        <w:rPr>
          <w:color w:val="000000" w:themeColor="text1"/>
        </w:rPr>
        <w:t xml:space="preserve">Māori women </w:t>
      </w:r>
      <w:r>
        <w:rPr>
          <w:color w:val="000000" w:themeColor="text1"/>
        </w:rPr>
        <w:t xml:space="preserve">had a high </w:t>
      </w:r>
      <w:r w:rsidRPr="00AF4771">
        <w:rPr>
          <w:color w:val="000000" w:themeColor="text1"/>
        </w:rPr>
        <w:t>rate of racial discrimination in 2020/21</w:t>
      </w:r>
      <w:r>
        <w:rPr>
          <w:color w:val="000000" w:themeColor="text1"/>
        </w:rPr>
        <w:t xml:space="preserve"> compared with Māori </w:t>
      </w:r>
      <w:r w:rsidRPr="00AF4771">
        <w:rPr>
          <w:color w:val="000000" w:themeColor="text1"/>
        </w:rPr>
        <w:t>men and women from other ethnic groups (Figure 2). More</w:t>
      </w:r>
      <w:bookmarkStart w:id="29" w:name="_Hlk134871299"/>
      <w:r w:rsidRPr="00AF4771">
        <w:rPr>
          <w:color w:val="000000" w:themeColor="text1"/>
        </w:rPr>
        <w:t xml:space="preserve"> than one i</w:t>
      </w:r>
      <w:bookmarkEnd w:id="29"/>
      <w:r w:rsidRPr="00AF4771">
        <w:rPr>
          <w:color w:val="000000" w:themeColor="text1"/>
        </w:rPr>
        <w:t xml:space="preserve">n </w:t>
      </w:r>
      <w:r>
        <w:rPr>
          <w:color w:val="000000" w:themeColor="text1"/>
        </w:rPr>
        <w:t>6</w:t>
      </w:r>
      <w:r w:rsidRPr="00AF4771">
        <w:rPr>
          <w:color w:val="000000" w:themeColor="text1"/>
        </w:rPr>
        <w:t xml:space="preserve"> Māori women (16.8%) experienced racial discrimination in the 12 months </w:t>
      </w:r>
      <w:r>
        <w:rPr>
          <w:color w:val="000000" w:themeColor="text1"/>
        </w:rPr>
        <w:t>before</w:t>
      </w:r>
      <w:r w:rsidRPr="00AF4771">
        <w:rPr>
          <w:color w:val="000000" w:themeColor="text1"/>
        </w:rPr>
        <w:t xml:space="preserve"> the 2020/21 survey, compared </w:t>
      </w:r>
      <w:r>
        <w:rPr>
          <w:color w:val="000000" w:themeColor="text1"/>
        </w:rPr>
        <w:t>with</w:t>
      </w:r>
      <w:r w:rsidR="001212B8">
        <w:rPr>
          <w:color w:val="000000" w:themeColor="text1"/>
        </w:rPr>
        <w:t xml:space="preserve"> </w:t>
      </w:r>
      <w:r w:rsidR="001212B8" w:rsidRPr="00AF4771">
        <w:rPr>
          <w:color w:val="000000" w:themeColor="text1"/>
        </w:rPr>
        <w:t xml:space="preserve">10.9% of Pacific women, 13.3% of Asian women and 4.7% of non-MPA women. Māori women </w:t>
      </w:r>
      <w:r w:rsidR="001212B8">
        <w:rPr>
          <w:color w:val="000000" w:themeColor="text1"/>
        </w:rPr>
        <w:t>had</w:t>
      </w:r>
      <w:r w:rsidR="001212B8" w:rsidRPr="00AF4771">
        <w:rPr>
          <w:color w:val="000000" w:themeColor="text1"/>
        </w:rPr>
        <w:t xml:space="preserve"> a higher rate of racial discrimination</w:t>
      </w:r>
      <w:r w:rsidR="001212B8">
        <w:rPr>
          <w:color w:val="000000" w:themeColor="text1"/>
        </w:rPr>
        <w:t xml:space="preserve"> </w:t>
      </w:r>
      <w:r w:rsidR="001212B8" w:rsidRPr="00AF4771">
        <w:rPr>
          <w:color w:val="000000" w:themeColor="text1"/>
        </w:rPr>
        <w:t xml:space="preserve">than Māori men. </w:t>
      </w:r>
      <w:r w:rsidR="001212B8">
        <w:rPr>
          <w:color w:val="000000" w:themeColor="text1"/>
        </w:rPr>
        <w:t>Among</w:t>
      </w:r>
      <w:r w:rsidR="001212B8" w:rsidRPr="00AF4771">
        <w:rPr>
          <w:color w:val="000000" w:themeColor="text1"/>
        </w:rPr>
        <w:t xml:space="preserve"> Māori men, 10.7% experienced racial discrimination in the past 12 months, compared </w:t>
      </w:r>
      <w:r w:rsidR="001212B8">
        <w:rPr>
          <w:color w:val="000000" w:themeColor="text1"/>
        </w:rPr>
        <w:t>with</w:t>
      </w:r>
      <w:r w:rsidR="001212B8" w:rsidRPr="00AF4771">
        <w:rPr>
          <w:color w:val="000000" w:themeColor="text1"/>
        </w:rPr>
        <w:t xml:space="preserve"> 7.7% of Pacific men, 11.5% of Asian men and 4.9% of non-MPA men. </w:t>
      </w:r>
    </w:p>
    <w:p w14:paraId="3BF7C62E" w14:textId="77777777" w:rsidR="001212B8" w:rsidRPr="00AF4771" w:rsidRDefault="001212B8" w:rsidP="001212B8">
      <w:pPr>
        <w:rPr>
          <w:color w:val="000000" w:themeColor="text1"/>
        </w:rPr>
      </w:pPr>
    </w:p>
    <w:p w14:paraId="2B7A93E6" w14:textId="77777777" w:rsidR="001212B8" w:rsidRPr="00AF4771" w:rsidRDefault="001212B8" w:rsidP="001212B8">
      <w:pPr>
        <w:rPr>
          <w:color w:val="000000" w:themeColor="text1"/>
        </w:rPr>
      </w:pPr>
      <w:r w:rsidRPr="00AF4771">
        <w:rPr>
          <w:color w:val="000000" w:themeColor="text1"/>
        </w:rPr>
        <w:t xml:space="preserve">After adjusting for differences in age, Māori women were 3.1 times as likely, Pacific women 2.0 times as likely and Asian women 2.4 times as likely as non-MPA women to experience racial discrimination in the past 12 months. Māori men were 2.0 times as likely, Pacific men 1.4 times as likely and Asian men 2.1 times as likely as non-MPA men to experience racial discrimination in the past 12 months. </w:t>
      </w:r>
    </w:p>
    <w:p w14:paraId="1888B972" w14:textId="77777777" w:rsidR="001212B8" w:rsidRDefault="001212B8" w:rsidP="001212B8"/>
    <w:p w14:paraId="503F0A8D" w14:textId="77777777" w:rsidR="001212B8" w:rsidRDefault="001212B8" w:rsidP="001212B8">
      <w:pPr>
        <w:pStyle w:val="Figure"/>
      </w:pPr>
      <w:bookmarkStart w:id="30" w:name="_Toc135391567"/>
      <w:bookmarkStart w:id="31" w:name="_Toc137137325"/>
      <w:r>
        <w:t xml:space="preserve">Figure </w:t>
      </w:r>
      <w:fldSimple w:instr=" SEQ Figure \* ARABIC ">
        <w:r>
          <w:rPr>
            <w:noProof/>
          </w:rPr>
          <w:t>2</w:t>
        </w:r>
      </w:fldSimple>
      <w:r w:rsidRPr="00C5120C">
        <w:t xml:space="preserve">: </w:t>
      </w:r>
      <w:r w:rsidRPr="00A36AD5">
        <w:t>Experience of racial discrimination in the past 12 months, by ethnic group and gender, 2020/21 (percent</w:t>
      </w:r>
      <w:r>
        <w:t>ages</w:t>
      </w:r>
      <w:r w:rsidRPr="00A36AD5">
        <w:t>)</w:t>
      </w:r>
      <w:bookmarkEnd w:id="30"/>
      <w:bookmarkEnd w:id="31"/>
      <w:r w:rsidRPr="00A36AD5">
        <w:t xml:space="preserve"> </w:t>
      </w:r>
    </w:p>
    <w:p w14:paraId="1D84AFA5" w14:textId="77777777" w:rsidR="001212B8" w:rsidRDefault="001212B8" w:rsidP="001212B8">
      <w:pPr>
        <w:pStyle w:val="Caption"/>
        <w:keepNext/>
        <w:keepLines/>
      </w:pPr>
      <w:r>
        <w:rPr>
          <w:noProof/>
        </w:rPr>
        <w:drawing>
          <wp:inline distT="0" distB="0" distL="0" distR="0" wp14:anchorId="2A9A9C46" wp14:editId="6276C045">
            <wp:extent cx="5130165" cy="2536190"/>
            <wp:effectExtent l="0" t="0" r="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30165" cy="2536190"/>
                    </a:xfrm>
                    <a:prstGeom prst="rect">
                      <a:avLst/>
                    </a:prstGeom>
                    <a:noFill/>
                    <a:ln>
                      <a:noFill/>
                    </a:ln>
                  </pic:spPr>
                </pic:pic>
              </a:graphicData>
            </a:graphic>
          </wp:inline>
        </w:drawing>
      </w:r>
    </w:p>
    <w:p w14:paraId="0653206A" w14:textId="77777777" w:rsidR="001212B8" w:rsidRDefault="001212B8" w:rsidP="001212B8">
      <w:pPr>
        <w:pStyle w:val="Heading2"/>
        <w:keepLines/>
      </w:pPr>
      <w:bookmarkStart w:id="32" w:name="_Toc135915416"/>
      <w:bookmarkStart w:id="33" w:name="_Toc136943106"/>
      <w:bookmarkStart w:id="34" w:name="_Toc136943201"/>
      <w:r>
        <w:t>Some groups experienced increases in racial discrimination over time</w:t>
      </w:r>
      <w:bookmarkEnd w:id="32"/>
      <w:bookmarkEnd w:id="33"/>
      <w:bookmarkEnd w:id="34"/>
    </w:p>
    <w:p w14:paraId="3E0F4352" w14:textId="77777777" w:rsidR="001212B8" w:rsidRDefault="001212B8" w:rsidP="001212B8">
      <w:pPr>
        <w:keepNext/>
        <w:keepLines/>
      </w:pPr>
      <w:r>
        <w:t>The proportion of adults who experienced racial discrimination increased from 2011/12 to 2020/</w:t>
      </w:r>
      <w:r w:rsidRPr="00A56A6A">
        <w:t>21.</w:t>
      </w:r>
      <w:r>
        <w:t xml:space="preserve"> Experience of racial discrimination in the past 12 months increased from 5.9% in 2011/12 to 7.4% in 2020/21. Lifetime experience of racial discrimination increased from 16.1% to 22.6% over the same period. </w:t>
      </w:r>
    </w:p>
    <w:p w14:paraId="0E137CB2" w14:textId="77777777" w:rsidR="00FC4E54" w:rsidRDefault="00FC4E54" w:rsidP="00FC4E54">
      <w:pPr>
        <w:rPr>
          <w:rFonts w:eastAsia="Arial Unicode MS"/>
        </w:rPr>
      </w:pPr>
    </w:p>
    <w:p w14:paraId="43647F2A" w14:textId="77777777" w:rsidR="001212B8" w:rsidRDefault="001212B8" w:rsidP="00FC4E54">
      <w:pPr>
        <w:rPr>
          <w:rFonts w:eastAsia="Arial Unicode MS"/>
        </w:rPr>
      </w:pPr>
    </w:p>
    <w:p w14:paraId="4578FA15" w14:textId="77777777" w:rsidR="001212B8" w:rsidRDefault="001212B8" w:rsidP="001212B8">
      <w:pPr>
        <w:pStyle w:val="Figure"/>
      </w:pPr>
      <w:bookmarkStart w:id="35" w:name="_Toc135391568"/>
      <w:bookmarkStart w:id="36" w:name="_Toc137137326"/>
      <w:r>
        <w:t xml:space="preserve">Figure </w:t>
      </w:r>
      <w:fldSimple w:instr=" SEQ Figure \* ARABIC ">
        <w:r>
          <w:rPr>
            <w:noProof/>
          </w:rPr>
          <w:t>3</w:t>
        </w:r>
      </w:fldSimple>
      <w:r>
        <w:t>: Experience of racial discrimination in the past 12 months, by ethnic group, 2011/12, 2016/17 and 2020/21 (percentages)</w:t>
      </w:r>
      <w:bookmarkEnd w:id="35"/>
      <w:bookmarkEnd w:id="36"/>
    </w:p>
    <w:p w14:paraId="4D1EE493" w14:textId="77777777" w:rsidR="001212B8" w:rsidRDefault="001212B8" w:rsidP="001212B8">
      <w:pPr>
        <w:pStyle w:val="Caption"/>
        <w:keepNext/>
        <w:keepLines/>
      </w:pPr>
      <w:r>
        <w:rPr>
          <w:noProof/>
        </w:rPr>
        <w:drawing>
          <wp:inline distT="0" distB="0" distL="0" distR="0" wp14:anchorId="150347BF" wp14:editId="4068C439">
            <wp:extent cx="5205600" cy="2574000"/>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205600" cy="2574000"/>
                    </a:xfrm>
                    <a:prstGeom prst="rect">
                      <a:avLst/>
                    </a:prstGeom>
                    <a:noFill/>
                    <a:ln>
                      <a:noFill/>
                    </a:ln>
                  </pic:spPr>
                </pic:pic>
              </a:graphicData>
            </a:graphic>
          </wp:inline>
        </w:drawing>
      </w:r>
    </w:p>
    <w:p w14:paraId="3533B94A" w14:textId="77777777" w:rsidR="001212B8" w:rsidRDefault="001212B8" w:rsidP="001212B8">
      <w:r>
        <w:t>The proportion of Māori who experienced racial discrimination in the past 12 months increased from 10.8% in 2011/12 to 13.8% in 2020/21 (Figure 3).</w:t>
      </w:r>
      <w:r>
        <w:rPr>
          <w:rStyle w:val="FootnoteReference"/>
        </w:rPr>
        <w:footnoteReference w:id="3"/>
      </w:r>
      <w:r>
        <w:t xml:space="preserve"> In particular, the proportion of </w:t>
      </w:r>
      <w:r w:rsidRPr="00B62351">
        <w:t xml:space="preserve">Māori women </w:t>
      </w:r>
      <w:r>
        <w:t xml:space="preserve">who </w:t>
      </w:r>
      <w:r w:rsidRPr="00B62351">
        <w:t xml:space="preserve">experienced racial discrimination in the </w:t>
      </w:r>
      <w:r>
        <w:t>p</w:t>
      </w:r>
      <w:r w:rsidRPr="00B62351">
        <w:t xml:space="preserve">ast 12 months </w:t>
      </w:r>
      <w:r>
        <w:t>increased from</w:t>
      </w:r>
      <w:r w:rsidRPr="00B62351">
        <w:t xml:space="preserve"> </w:t>
      </w:r>
      <w:r>
        <w:t>9.7</w:t>
      </w:r>
      <w:r w:rsidRPr="00B62351">
        <w:t>%</w:t>
      </w:r>
      <w:r>
        <w:t xml:space="preserve"> in </w:t>
      </w:r>
      <w:r w:rsidRPr="00B62351">
        <w:t xml:space="preserve">2011/12 </w:t>
      </w:r>
      <w:r>
        <w:t xml:space="preserve">to </w:t>
      </w:r>
      <w:r w:rsidRPr="00B62351">
        <w:t>16.8%</w:t>
      </w:r>
      <w:r>
        <w:t xml:space="preserve"> in </w:t>
      </w:r>
      <w:r w:rsidRPr="00B62351">
        <w:t xml:space="preserve">2020/21. </w:t>
      </w:r>
      <w:r>
        <w:t>The lifetime prevalence of racial discrimination also increased for</w:t>
      </w:r>
      <w:r w:rsidRPr="0098348A">
        <w:t xml:space="preserve"> </w:t>
      </w:r>
      <w:r>
        <w:t>Māori, rising from 27.4% in 2011/12 to 37.6% in 2020/21.</w:t>
      </w:r>
    </w:p>
    <w:p w14:paraId="1C581637" w14:textId="77777777" w:rsidR="001212B8" w:rsidRDefault="001212B8" w:rsidP="001212B8"/>
    <w:p w14:paraId="7A58F6A5" w14:textId="77777777" w:rsidR="001212B8" w:rsidRDefault="001212B8" w:rsidP="001212B8">
      <w:r>
        <w:t>Pacific experiences of racial discrimination in the past 12 months did not change significantly from 201</w:t>
      </w:r>
      <w:r w:rsidRPr="000274C5">
        <w:t xml:space="preserve">1/12 (9.9%) </w:t>
      </w:r>
      <w:r>
        <w:t>to</w:t>
      </w:r>
      <w:r w:rsidRPr="000274C5">
        <w:t xml:space="preserve"> 2020/21 (9.5%)</w:t>
      </w:r>
      <w:r>
        <w:t>. However</w:t>
      </w:r>
      <w:r w:rsidRPr="000274C5">
        <w:t xml:space="preserve">, lifetime </w:t>
      </w:r>
      <w:r>
        <w:t xml:space="preserve">prevalence of racial discrimination increased from </w:t>
      </w:r>
      <w:r w:rsidRPr="007933DA">
        <w:t>21.5% in 2011/12 to 28.7%</w:t>
      </w:r>
      <w:r>
        <w:t xml:space="preserve"> in 2020/21. </w:t>
      </w:r>
    </w:p>
    <w:p w14:paraId="41FB20C3" w14:textId="77777777" w:rsidR="001212B8" w:rsidRDefault="001212B8" w:rsidP="001212B8"/>
    <w:p w14:paraId="5A24A664" w14:textId="77777777" w:rsidR="001212B8" w:rsidRPr="00C83AED" w:rsidRDefault="001212B8" w:rsidP="001212B8">
      <w:pPr>
        <w:rPr>
          <w:color w:val="FF0000"/>
        </w:rPr>
      </w:pPr>
      <w:r>
        <w:t xml:space="preserve">Asian adults experienced a small decrease in racial discrimination in the past 12 </w:t>
      </w:r>
      <w:r w:rsidRPr="00367878">
        <w:t>months</w:t>
      </w:r>
      <w:r>
        <w:t>,</w:t>
      </w:r>
      <w:r w:rsidRPr="00367878">
        <w:t xml:space="preserve"> from 14.4% </w:t>
      </w:r>
      <w:r w:rsidRPr="00D02C0B">
        <w:t xml:space="preserve">in 2011/12 to 12.3% in 2020/21, but the </w:t>
      </w:r>
      <w:r>
        <w:t>change</w:t>
      </w:r>
      <w:r w:rsidRPr="00D02C0B">
        <w:t xml:space="preserve"> was not statistically significant. Lifetime prevalence of racial discrimination increased from 31.9% to 35.3% over this time for Asian adults</w:t>
      </w:r>
      <w:r>
        <w:t>, but again this difference was not statistically significant.</w:t>
      </w:r>
    </w:p>
    <w:p w14:paraId="4B102418" w14:textId="77777777" w:rsidR="001212B8" w:rsidRDefault="001212B8" w:rsidP="001212B8"/>
    <w:p w14:paraId="4545776C" w14:textId="77777777" w:rsidR="001212B8" w:rsidRPr="00AF4771" w:rsidRDefault="001212B8" w:rsidP="001212B8">
      <w:pPr>
        <w:rPr>
          <w:color w:val="000000" w:themeColor="text1"/>
        </w:rPr>
      </w:pPr>
      <w:r>
        <w:t>For non-MPA adults, experiences of</w:t>
      </w:r>
      <w:r w:rsidRPr="00AF4771">
        <w:rPr>
          <w:color w:val="000000" w:themeColor="text1"/>
        </w:rPr>
        <w:t xml:space="preserve"> racial discrimination</w:t>
      </w:r>
      <w:r>
        <w:rPr>
          <w:color w:val="000000" w:themeColor="text1"/>
        </w:rPr>
        <w:t xml:space="preserve"> increased</w:t>
      </w:r>
      <w:r w:rsidRPr="00AF4771">
        <w:rPr>
          <w:color w:val="000000" w:themeColor="text1"/>
        </w:rPr>
        <w:t xml:space="preserve"> from 2011/12 to 2020/21</w:t>
      </w:r>
      <w:r>
        <w:rPr>
          <w:color w:val="000000" w:themeColor="text1"/>
        </w:rPr>
        <w:t>.</w:t>
      </w:r>
      <w:r w:rsidRPr="00AF4771">
        <w:rPr>
          <w:color w:val="000000" w:themeColor="text1"/>
        </w:rPr>
        <w:t xml:space="preserve"> </w:t>
      </w:r>
      <w:r>
        <w:rPr>
          <w:color w:val="000000" w:themeColor="text1"/>
        </w:rPr>
        <w:t xml:space="preserve">Over this time, </w:t>
      </w:r>
      <w:r w:rsidRPr="00AF4771">
        <w:rPr>
          <w:color w:val="000000" w:themeColor="text1"/>
        </w:rPr>
        <w:t>12-month prevalence increas</w:t>
      </w:r>
      <w:r>
        <w:rPr>
          <w:color w:val="000000" w:themeColor="text1"/>
        </w:rPr>
        <w:t>ed</w:t>
      </w:r>
      <w:r w:rsidRPr="00AF4771">
        <w:rPr>
          <w:color w:val="000000" w:themeColor="text1"/>
        </w:rPr>
        <w:t xml:space="preserve"> from 3.5% to 4.8% and lifetime prevalence from 11.3% to 16.2%. </w:t>
      </w:r>
      <w:r>
        <w:rPr>
          <w:color w:val="000000" w:themeColor="text1"/>
        </w:rPr>
        <w:t>Within t</w:t>
      </w:r>
      <w:r w:rsidRPr="00AF4771">
        <w:rPr>
          <w:color w:val="000000" w:themeColor="text1"/>
        </w:rPr>
        <w:t>he non-MPA group</w:t>
      </w:r>
      <w:r>
        <w:rPr>
          <w:color w:val="000000" w:themeColor="text1"/>
        </w:rPr>
        <w:t>,</w:t>
      </w:r>
      <w:r w:rsidRPr="00AF4771">
        <w:rPr>
          <w:color w:val="000000" w:themeColor="text1"/>
        </w:rPr>
        <w:t xml:space="preserve"> adults belonging to MELAA ethnic groups had a 12-month prevalence of racial discrimination of 21.9% (95% confidence interval of 13.8%</w:t>
      </w:r>
      <w:r>
        <w:rPr>
          <w:color w:val="000000" w:themeColor="text1"/>
        </w:rPr>
        <w:t>–</w:t>
      </w:r>
      <w:r w:rsidRPr="00AF4771">
        <w:rPr>
          <w:color w:val="000000" w:themeColor="text1"/>
        </w:rPr>
        <w:t>31.8%) and a lifetime prevalence of 33.9% (95% confidence interval of 24.6%</w:t>
      </w:r>
      <w:r>
        <w:rPr>
          <w:color w:val="000000" w:themeColor="text1"/>
        </w:rPr>
        <w:t>–</w:t>
      </w:r>
      <w:r w:rsidRPr="00AF4771">
        <w:rPr>
          <w:color w:val="000000" w:themeColor="text1"/>
        </w:rPr>
        <w:t>44.3%)</w:t>
      </w:r>
      <w:r>
        <w:rPr>
          <w:color w:val="000000" w:themeColor="text1"/>
        </w:rPr>
        <w:t xml:space="preserve"> in 2020/21</w:t>
      </w:r>
      <w:r w:rsidRPr="00AF4771">
        <w:rPr>
          <w:color w:val="000000" w:themeColor="text1"/>
        </w:rPr>
        <w:t xml:space="preserve">. </w:t>
      </w:r>
      <w:r>
        <w:rPr>
          <w:color w:val="000000" w:themeColor="text1"/>
        </w:rPr>
        <w:t>Take c</w:t>
      </w:r>
      <w:r w:rsidRPr="00AF4771">
        <w:rPr>
          <w:color w:val="000000" w:themeColor="text1"/>
        </w:rPr>
        <w:t xml:space="preserve">are when interpreting these statistics </w:t>
      </w:r>
      <w:r>
        <w:rPr>
          <w:color w:val="000000" w:themeColor="text1"/>
        </w:rPr>
        <w:t>because they have</w:t>
      </w:r>
      <w:r w:rsidRPr="00AF4771">
        <w:rPr>
          <w:color w:val="000000" w:themeColor="text1"/>
        </w:rPr>
        <w:t xml:space="preserve"> wide confidence intervals.</w:t>
      </w:r>
      <w:r>
        <w:rPr>
          <w:color w:val="000000" w:themeColor="text1"/>
        </w:rPr>
        <w:t xml:space="preserve"> We cannot compare rates of racial discrimination for MELAA groups over time because</w:t>
      </w:r>
      <w:r w:rsidRPr="00AF4771">
        <w:rPr>
          <w:color w:val="000000" w:themeColor="text1"/>
        </w:rPr>
        <w:t xml:space="preserve"> </w:t>
      </w:r>
      <w:r>
        <w:rPr>
          <w:color w:val="000000" w:themeColor="text1"/>
        </w:rPr>
        <w:t>the sample size</w:t>
      </w:r>
      <w:r w:rsidRPr="00AF4771">
        <w:rPr>
          <w:color w:val="000000" w:themeColor="text1"/>
        </w:rPr>
        <w:t xml:space="preserve"> </w:t>
      </w:r>
      <w:r>
        <w:rPr>
          <w:color w:val="000000" w:themeColor="text1"/>
        </w:rPr>
        <w:t xml:space="preserve">is small </w:t>
      </w:r>
      <w:r w:rsidRPr="00AF4771">
        <w:rPr>
          <w:color w:val="000000" w:themeColor="text1"/>
        </w:rPr>
        <w:t xml:space="preserve">and the </w:t>
      </w:r>
      <w:r>
        <w:rPr>
          <w:color w:val="000000" w:themeColor="text1"/>
        </w:rPr>
        <w:t xml:space="preserve">method of </w:t>
      </w:r>
      <w:r w:rsidRPr="00AF4771">
        <w:rPr>
          <w:color w:val="000000" w:themeColor="text1"/>
        </w:rPr>
        <w:t xml:space="preserve">data </w:t>
      </w:r>
      <w:r>
        <w:rPr>
          <w:color w:val="000000" w:themeColor="text1"/>
        </w:rPr>
        <w:t>collection has changed</w:t>
      </w:r>
      <w:r w:rsidRPr="00AF4771">
        <w:rPr>
          <w:color w:val="000000" w:themeColor="text1"/>
        </w:rPr>
        <w:t>.</w:t>
      </w:r>
    </w:p>
    <w:p w14:paraId="4D839DAE" w14:textId="77777777" w:rsidR="001212B8" w:rsidRDefault="001212B8" w:rsidP="00FC4E54">
      <w:pPr>
        <w:rPr>
          <w:rFonts w:eastAsia="Arial Unicode MS"/>
        </w:rPr>
      </w:pPr>
    </w:p>
    <w:p w14:paraId="69B7215C" w14:textId="77777777" w:rsidR="00A803E6" w:rsidRDefault="00A803E6" w:rsidP="00FC4E54">
      <w:pPr>
        <w:rPr>
          <w:rFonts w:eastAsia="Arial Unicode MS"/>
        </w:rPr>
      </w:pPr>
    </w:p>
    <w:p w14:paraId="3BD9B37A" w14:textId="77777777" w:rsidR="00A803E6" w:rsidRDefault="00A803E6" w:rsidP="00FC4E54">
      <w:pPr>
        <w:rPr>
          <w:rFonts w:eastAsia="Arial Unicode MS"/>
        </w:rPr>
      </w:pPr>
    </w:p>
    <w:p w14:paraId="57ED624A" w14:textId="77777777" w:rsidR="00A803E6" w:rsidRDefault="00A803E6" w:rsidP="00FC4E54">
      <w:pPr>
        <w:rPr>
          <w:rFonts w:eastAsia="Arial Unicode MS"/>
        </w:rPr>
      </w:pPr>
    </w:p>
    <w:p w14:paraId="48E0A0C0" w14:textId="77777777" w:rsidR="00A803E6" w:rsidRDefault="00A803E6" w:rsidP="00A803E6">
      <w:pPr>
        <w:pStyle w:val="Heading2"/>
        <w:spacing w:before="0"/>
      </w:pPr>
      <w:bookmarkStart w:id="37" w:name="_Toc135915417"/>
      <w:bookmarkStart w:id="38" w:name="_Toc136943107"/>
      <w:bookmarkStart w:id="39" w:name="_Toc136943202"/>
      <w:r>
        <w:t>Verbal abuse was the most common type of racial discrimination experienced</w:t>
      </w:r>
      <w:bookmarkEnd w:id="37"/>
      <w:bookmarkEnd w:id="38"/>
      <w:bookmarkEnd w:id="39"/>
    </w:p>
    <w:p w14:paraId="6C83C6DB" w14:textId="77777777" w:rsidR="00A803E6" w:rsidRPr="00DC5C69" w:rsidRDefault="00A803E6" w:rsidP="00A803E6">
      <w:r>
        <w:t>Table 2 shows experiences of racial discrimination in the past 12 months, while Table 3 shows experiences over the lifetime. Ethnically motivated verbal abuse was the most common type of racial discrimination that adults in all ethnic groups</w:t>
      </w:r>
      <w:r w:rsidRPr="00F91EBB">
        <w:t xml:space="preserve"> </w:t>
      </w:r>
      <w:r>
        <w:t xml:space="preserve">experienced in 2020/21, both in the past 12 months and </w:t>
      </w:r>
      <w:r w:rsidRPr="00DC5C69">
        <w:t>over the</w:t>
      </w:r>
      <w:r>
        <w:t>ir</w:t>
      </w:r>
      <w:r w:rsidRPr="00DC5C69">
        <w:t xml:space="preserve"> lifetime. </w:t>
      </w:r>
    </w:p>
    <w:p w14:paraId="1670A8FC" w14:textId="77777777" w:rsidR="00A803E6" w:rsidRPr="00DC5C69" w:rsidRDefault="00A803E6" w:rsidP="00A803E6"/>
    <w:p w14:paraId="7B0F94E6" w14:textId="77777777" w:rsidR="00A803E6" w:rsidRPr="00DC5C69" w:rsidRDefault="00A803E6" w:rsidP="00A803E6">
      <w:bookmarkStart w:id="40" w:name="_Hlk133931112"/>
      <w:r w:rsidRPr="00DC5C69">
        <w:t>Unfair treatment by a health professional was the second</w:t>
      </w:r>
      <w:r>
        <w:t>-</w:t>
      </w:r>
      <w:r w:rsidRPr="00DC5C69">
        <w:t>most common type of racial discrimination</w:t>
      </w:r>
      <w:r>
        <w:t xml:space="preserve"> experienced</w:t>
      </w:r>
      <w:r w:rsidRPr="00DC5C69">
        <w:t xml:space="preserve"> in the past 12 months for both Māori (3.8%) and Pacific (2.6%)</w:t>
      </w:r>
      <w:r w:rsidRPr="00901641">
        <w:t xml:space="preserve"> </w:t>
      </w:r>
      <w:r w:rsidRPr="00DC5C69">
        <w:t xml:space="preserve">adults. Unfair treatment at work or refusal of a job was the second-most common type of discrimination </w:t>
      </w:r>
      <w:r>
        <w:t xml:space="preserve">experienced </w:t>
      </w:r>
      <w:r w:rsidRPr="00DC5C69">
        <w:t>in the past 12 months for Asian (2.4%) and non-MPA (1.0%)</w:t>
      </w:r>
      <w:r w:rsidRPr="00901641">
        <w:t xml:space="preserve"> </w:t>
      </w:r>
      <w:r w:rsidRPr="00DC5C69">
        <w:t>adults.</w:t>
      </w:r>
    </w:p>
    <w:bookmarkEnd w:id="40"/>
    <w:p w14:paraId="1FD03517" w14:textId="77777777" w:rsidR="00A803E6" w:rsidRDefault="00A803E6" w:rsidP="00A803E6"/>
    <w:p w14:paraId="11917ED0" w14:textId="77777777" w:rsidR="00A803E6" w:rsidRDefault="00A803E6" w:rsidP="00A803E6">
      <w:pPr>
        <w:pStyle w:val="Table"/>
      </w:pPr>
      <w:bookmarkStart w:id="41" w:name="_Toc135391577"/>
      <w:bookmarkStart w:id="42" w:name="_Toc136584046"/>
      <w:r>
        <w:t xml:space="preserve">Table </w:t>
      </w:r>
      <w:fldSimple w:instr=" SEQ Table \* ARABIC ">
        <w:r>
          <w:rPr>
            <w:noProof/>
          </w:rPr>
          <w:t>2</w:t>
        </w:r>
      </w:fldSimple>
      <w:r>
        <w:t xml:space="preserve">: Experience of racial discrimination </w:t>
      </w:r>
      <w:r w:rsidRPr="004056DA">
        <w:rPr>
          <w:bCs/>
        </w:rPr>
        <w:t>in the past 12 months</w:t>
      </w:r>
      <w:r>
        <w:t>, by type of discrimination and ethnic group, 2020/21 (percentages)</w:t>
      </w:r>
      <w:bookmarkEnd w:id="41"/>
      <w:bookmarkEnd w:id="42"/>
    </w:p>
    <w:tbl>
      <w:tblPr>
        <w:tblStyle w:val="TableGrid"/>
        <w:tblW w:w="8222"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6" w:space="0" w:color="A6A6A6" w:themeColor="background1" w:themeShade="A6"/>
          <w:insideV w:val="none" w:sz="0" w:space="0" w:color="auto"/>
        </w:tblBorders>
        <w:tblLayout w:type="fixed"/>
        <w:tblLook w:val="04A0" w:firstRow="1" w:lastRow="0" w:firstColumn="1" w:lastColumn="0" w:noHBand="0" w:noVBand="1"/>
      </w:tblPr>
      <w:tblGrid>
        <w:gridCol w:w="2127"/>
        <w:gridCol w:w="1523"/>
        <w:gridCol w:w="1524"/>
        <w:gridCol w:w="1524"/>
        <w:gridCol w:w="1524"/>
      </w:tblGrid>
      <w:tr w:rsidR="00A803E6" w:rsidRPr="00A803E6" w14:paraId="092C54A0" w14:textId="77777777" w:rsidTr="00A803E6">
        <w:trPr>
          <w:trHeight w:val="300"/>
        </w:trPr>
        <w:tc>
          <w:tcPr>
            <w:tcW w:w="2127" w:type="dxa"/>
            <w:tcBorders>
              <w:top w:val="nil"/>
              <w:bottom w:val="nil"/>
            </w:tcBorders>
            <w:shd w:val="clear" w:color="auto" w:fill="D9D9D9" w:themeFill="background1" w:themeFillShade="D9"/>
            <w:noWrap/>
            <w:hideMark/>
          </w:tcPr>
          <w:p w14:paraId="15BAA1AB" w14:textId="77777777" w:rsidR="00A803E6" w:rsidRPr="00A803E6" w:rsidRDefault="00A803E6" w:rsidP="00A803E6">
            <w:pPr>
              <w:pStyle w:val="TableText"/>
              <w:rPr>
                <w:b/>
                <w:bCs/>
              </w:rPr>
            </w:pPr>
          </w:p>
        </w:tc>
        <w:tc>
          <w:tcPr>
            <w:tcW w:w="1523" w:type="dxa"/>
            <w:tcBorders>
              <w:top w:val="nil"/>
              <w:bottom w:val="nil"/>
            </w:tcBorders>
            <w:shd w:val="clear" w:color="auto" w:fill="D9D9D9" w:themeFill="background1" w:themeFillShade="D9"/>
            <w:noWrap/>
            <w:hideMark/>
          </w:tcPr>
          <w:p w14:paraId="33D8E820" w14:textId="77777777" w:rsidR="00A803E6" w:rsidRPr="00A803E6" w:rsidRDefault="00A803E6" w:rsidP="001B1775">
            <w:pPr>
              <w:pStyle w:val="TableText"/>
              <w:jc w:val="center"/>
              <w:rPr>
                <w:b/>
                <w:bCs/>
              </w:rPr>
            </w:pPr>
            <w:r w:rsidRPr="00A803E6">
              <w:rPr>
                <w:b/>
                <w:bCs/>
              </w:rPr>
              <w:t>Māori</w:t>
            </w:r>
          </w:p>
        </w:tc>
        <w:tc>
          <w:tcPr>
            <w:tcW w:w="1524" w:type="dxa"/>
            <w:tcBorders>
              <w:top w:val="nil"/>
              <w:bottom w:val="nil"/>
            </w:tcBorders>
            <w:shd w:val="clear" w:color="auto" w:fill="D9D9D9" w:themeFill="background1" w:themeFillShade="D9"/>
            <w:noWrap/>
            <w:hideMark/>
          </w:tcPr>
          <w:p w14:paraId="234DE6A6" w14:textId="77777777" w:rsidR="00A803E6" w:rsidRPr="00A803E6" w:rsidRDefault="00A803E6" w:rsidP="001B1775">
            <w:pPr>
              <w:pStyle w:val="TableText"/>
              <w:jc w:val="center"/>
              <w:rPr>
                <w:b/>
                <w:bCs/>
              </w:rPr>
            </w:pPr>
            <w:r w:rsidRPr="00A803E6">
              <w:rPr>
                <w:b/>
                <w:bCs/>
              </w:rPr>
              <w:t>Pacific</w:t>
            </w:r>
          </w:p>
        </w:tc>
        <w:tc>
          <w:tcPr>
            <w:tcW w:w="1524" w:type="dxa"/>
            <w:tcBorders>
              <w:top w:val="nil"/>
              <w:bottom w:val="nil"/>
            </w:tcBorders>
            <w:shd w:val="clear" w:color="auto" w:fill="D9D9D9" w:themeFill="background1" w:themeFillShade="D9"/>
            <w:noWrap/>
            <w:hideMark/>
          </w:tcPr>
          <w:p w14:paraId="7E962BAB" w14:textId="77777777" w:rsidR="00A803E6" w:rsidRPr="00A803E6" w:rsidRDefault="00A803E6" w:rsidP="001B1775">
            <w:pPr>
              <w:pStyle w:val="TableText"/>
              <w:jc w:val="center"/>
              <w:rPr>
                <w:b/>
                <w:bCs/>
              </w:rPr>
            </w:pPr>
            <w:r w:rsidRPr="00A803E6">
              <w:rPr>
                <w:b/>
                <w:bCs/>
              </w:rPr>
              <w:t>Asian</w:t>
            </w:r>
          </w:p>
        </w:tc>
        <w:tc>
          <w:tcPr>
            <w:tcW w:w="1524" w:type="dxa"/>
            <w:tcBorders>
              <w:top w:val="nil"/>
              <w:bottom w:val="nil"/>
            </w:tcBorders>
            <w:shd w:val="clear" w:color="auto" w:fill="D9D9D9" w:themeFill="background1" w:themeFillShade="D9"/>
            <w:noWrap/>
            <w:hideMark/>
          </w:tcPr>
          <w:p w14:paraId="62163641" w14:textId="77777777" w:rsidR="00A803E6" w:rsidRPr="00A803E6" w:rsidRDefault="00A803E6" w:rsidP="001B1775">
            <w:pPr>
              <w:pStyle w:val="TableText"/>
              <w:jc w:val="center"/>
              <w:rPr>
                <w:b/>
                <w:bCs/>
              </w:rPr>
            </w:pPr>
            <w:r w:rsidRPr="00A803E6">
              <w:rPr>
                <w:b/>
                <w:bCs/>
              </w:rPr>
              <w:t>Non-MPA</w:t>
            </w:r>
          </w:p>
        </w:tc>
      </w:tr>
      <w:tr w:rsidR="00A803E6" w:rsidRPr="00A803E6" w14:paraId="338EC0FB" w14:textId="77777777" w:rsidTr="00A803E6">
        <w:trPr>
          <w:trHeight w:val="300"/>
        </w:trPr>
        <w:tc>
          <w:tcPr>
            <w:tcW w:w="2127" w:type="dxa"/>
            <w:tcBorders>
              <w:top w:val="nil"/>
              <w:bottom w:val="nil"/>
            </w:tcBorders>
            <w:shd w:val="clear" w:color="auto" w:fill="D9D9D9" w:themeFill="background1" w:themeFillShade="D9"/>
            <w:noWrap/>
            <w:hideMark/>
          </w:tcPr>
          <w:p w14:paraId="04B73F04" w14:textId="77777777" w:rsidR="00A803E6" w:rsidRPr="00A803E6" w:rsidRDefault="00A803E6" w:rsidP="00A803E6">
            <w:pPr>
              <w:pStyle w:val="TableText"/>
              <w:rPr>
                <w:rFonts w:cs="Segoe UI"/>
                <w:b/>
                <w:bCs/>
              </w:rPr>
            </w:pPr>
            <w:r w:rsidRPr="00A803E6">
              <w:rPr>
                <w:rFonts w:cs="Segoe UI"/>
                <w:b/>
                <w:bCs/>
              </w:rPr>
              <w:t>Type of racial discrimination*</w:t>
            </w:r>
          </w:p>
        </w:tc>
        <w:tc>
          <w:tcPr>
            <w:tcW w:w="1523" w:type="dxa"/>
            <w:tcBorders>
              <w:top w:val="nil"/>
              <w:bottom w:val="nil"/>
            </w:tcBorders>
            <w:shd w:val="clear" w:color="auto" w:fill="D9D9D9" w:themeFill="background1" w:themeFillShade="D9"/>
            <w:noWrap/>
            <w:hideMark/>
          </w:tcPr>
          <w:p w14:paraId="04F93B79" w14:textId="77777777" w:rsidR="00A803E6" w:rsidRPr="00A803E6" w:rsidRDefault="00A803E6" w:rsidP="001B1775">
            <w:pPr>
              <w:pStyle w:val="TableText"/>
              <w:jc w:val="center"/>
              <w:rPr>
                <w:rFonts w:cs="Segoe UI"/>
                <w:b/>
                <w:bCs/>
              </w:rPr>
            </w:pPr>
            <w:r w:rsidRPr="00A803E6">
              <w:rPr>
                <w:rFonts w:cs="Segoe UI"/>
                <w:b/>
                <w:bCs/>
              </w:rPr>
              <w:t>% (95% CI)</w:t>
            </w:r>
          </w:p>
        </w:tc>
        <w:tc>
          <w:tcPr>
            <w:tcW w:w="1524" w:type="dxa"/>
            <w:tcBorders>
              <w:top w:val="nil"/>
              <w:bottom w:val="nil"/>
            </w:tcBorders>
            <w:shd w:val="clear" w:color="auto" w:fill="D9D9D9" w:themeFill="background1" w:themeFillShade="D9"/>
            <w:noWrap/>
            <w:hideMark/>
          </w:tcPr>
          <w:p w14:paraId="686B3B37" w14:textId="77777777" w:rsidR="00A803E6" w:rsidRPr="00A803E6" w:rsidRDefault="00A803E6" w:rsidP="001B1775">
            <w:pPr>
              <w:pStyle w:val="TableText"/>
              <w:jc w:val="center"/>
              <w:rPr>
                <w:rFonts w:cs="Segoe UI"/>
                <w:b/>
                <w:bCs/>
              </w:rPr>
            </w:pPr>
            <w:r w:rsidRPr="00A803E6">
              <w:rPr>
                <w:rFonts w:cs="Segoe UI"/>
                <w:b/>
                <w:bCs/>
              </w:rPr>
              <w:t>% (95% CI)</w:t>
            </w:r>
          </w:p>
        </w:tc>
        <w:tc>
          <w:tcPr>
            <w:tcW w:w="1524" w:type="dxa"/>
            <w:tcBorders>
              <w:top w:val="nil"/>
              <w:bottom w:val="nil"/>
            </w:tcBorders>
            <w:shd w:val="clear" w:color="auto" w:fill="D9D9D9" w:themeFill="background1" w:themeFillShade="D9"/>
            <w:noWrap/>
            <w:hideMark/>
          </w:tcPr>
          <w:p w14:paraId="74CB97E6" w14:textId="77777777" w:rsidR="00A803E6" w:rsidRPr="00A803E6" w:rsidRDefault="00A803E6" w:rsidP="001B1775">
            <w:pPr>
              <w:pStyle w:val="TableText"/>
              <w:jc w:val="center"/>
              <w:rPr>
                <w:rFonts w:cs="Segoe UI"/>
                <w:b/>
                <w:bCs/>
              </w:rPr>
            </w:pPr>
            <w:r w:rsidRPr="00A803E6">
              <w:rPr>
                <w:rFonts w:cs="Segoe UI"/>
                <w:b/>
                <w:bCs/>
              </w:rPr>
              <w:t>% (95% CI)</w:t>
            </w:r>
          </w:p>
        </w:tc>
        <w:tc>
          <w:tcPr>
            <w:tcW w:w="1524" w:type="dxa"/>
            <w:tcBorders>
              <w:top w:val="nil"/>
              <w:bottom w:val="nil"/>
            </w:tcBorders>
            <w:shd w:val="clear" w:color="auto" w:fill="D9D9D9" w:themeFill="background1" w:themeFillShade="D9"/>
            <w:noWrap/>
            <w:hideMark/>
          </w:tcPr>
          <w:p w14:paraId="418F5A7A" w14:textId="77777777" w:rsidR="00A803E6" w:rsidRPr="00A803E6" w:rsidRDefault="00A803E6" w:rsidP="001B1775">
            <w:pPr>
              <w:pStyle w:val="TableText"/>
              <w:jc w:val="center"/>
              <w:rPr>
                <w:rFonts w:cs="Segoe UI"/>
                <w:b/>
                <w:bCs/>
              </w:rPr>
            </w:pPr>
            <w:r w:rsidRPr="00A803E6">
              <w:rPr>
                <w:rFonts w:cs="Segoe UI"/>
                <w:b/>
                <w:bCs/>
              </w:rPr>
              <w:t>% (95% CI)</w:t>
            </w:r>
          </w:p>
        </w:tc>
      </w:tr>
      <w:tr w:rsidR="00A803E6" w:rsidRPr="00BF4D80" w14:paraId="11B6C895" w14:textId="77777777" w:rsidTr="00A803E6">
        <w:trPr>
          <w:trHeight w:val="300"/>
        </w:trPr>
        <w:tc>
          <w:tcPr>
            <w:tcW w:w="2127" w:type="dxa"/>
            <w:tcBorders>
              <w:top w:val="nil"/>
            </w:tcBorders>
            <w:noWrap/>
            <w:hideMark/>
          </w:tcPr>
          <w:p w14:paraId="068E1BAD" w14:textId="77777777" w:rsidR="00A803E6" w:rsidRPr="00AB5342" w:rsidRDefault="00A803E6" w:rsidP="00A803E6">
            <w:pPr>
              <w:pStyle w:val="TableText"/>
              <w:rPr>
                <w:rFonts w:cs="Segoe UI"/>
                <w:b/>
                <w:bCs/>
              </w:rPr>
            </w:pPr>
            <w:r w:rsidRPr="00AB5342">
              <w:rPr>
                <w:rFonts w:cs="Segoe UI"/>
                <w:b/>
                <w:bCs/>
              </w:rPr>
              <w:t>Experience of personal attack</w:t>
            </w:r>
          </w:p>
        </w:tc>
        <w:tc>
          <w:tcPr>
            <w:tcW w:w="1523" w:type="dxa"/>
            <w:tcBorders>
              <w:top w:val="nil"/>
            </w:tcBorders>
            <w:noWrap/>
            <w:hideMark/>
          </w:tcPr>
          <w:p w14:paraId="14C8820F" w14:textId="77777777" w:rsidR="00A803E6" w:rsidRPr="00AB5342" w:rsidRDefault="00A803E6" w:rsidP="00A803E6">
            <w:pPr>
              <w:pStyle w:val="TableText"/>
              <w:rPr>
                <w:rFonts w:cs="Segoe UI"/>
                <w:b/>
                <w:bCs/>
              </w:rPr>
            </w:pPr>
            <w:r w:rsidRPr="00AB5342">
              <w:rPr>
                <w:rFonts w:cs="Segoe UI"/>
                <w:b/>
                <w:bCs/>
              </w:rPr>
              <w:t>9.2 (7.4–11.3)</w:t>
            </w:r>
          </w:p>
        </w:tc>
        <w:tc>
          <w:tcPr>
            <w:tcW w:w="1524" w:type="dxa"/>
            <w:tcBorders>
              <w:top w:val="nil"/>
            </w:tcBorders>
            <w:noWrap/>
            <w:hideMark/>
          </w:tcPr>
          <w:p w14:paraId="6B32347E" w14:textId="77777777" w:rsidR="00A803E6" w:rsidRPr="00AB5342" w:rsidRDefault="00A803E6" w:rsidP="00A803E6">
            <w:pPr>
              <w:pStyle w:val="TableText"/>
              <w:rPr>
                <w:rFonts w:cs="Segoe UI"/>
                <w:b/>
                <w:bCs/>
              </w:rPr>
            </w:pPr>
            <w:r w:rsidRPr="00AB5342">
              <w:rPr>
                <w:rFonts w:cs="Segoe UI"/>
                <w:b/>
                <w:bCs/>
              </w:rPr>
              <w:t>6.4 (4.3–9.1)</w:t>
            </w:r>
          </w:p>
        </w:tc>
        <w:tc>
          <w:tcPr>
            <w:tcW w:w="1524" w:type="dxa"/>
            <w:tcBorders>
              <w:top w:val="nil"/>
            </w:tcBorders>
            <w:noWrap/>
            <w:hideMark/>
          </w:tcPr>
          <w:p w14:paraId="0014A4B6" w14:textId="77777777" w:rsidR="00A803E6" w:rsidRPr="00AB5342" w:rsidRDefault="00A803E6" w:rsidP="00A803E6">
            <w:pPr>
              <w:pStyle w:val="TableText"/>
              <w:rPr>
                <w:rFonts w:cs="Segoe UI"/>
                <w:b/>
                <w:bCs/>
              </w:rPr>
            </w:pPr>
            <w:r w:rsidRPr="00AB5342">
              <w:rPr>
                <w:rFonts w:cs="Segoe UI"/>
                <w:b/>
                <w:bCs/>
              </w:rPr>
              <w:t>9.9 (7.7–12.6)</w:t>
            </w:r>
          </w:p>
        </w:tc>
        <w:tc>
          <w:tcPr>
            <w:tcW w:w="1524" w:type="dxa"/>
            <w:tcBorders>
              <w:top w:val="nil"/>
            </w:tcBorders>
            <w:noWrap/>
            <w:hideMark/>
          </w:tcPr>
          <w:p w14:paraId="32FF92FD" w14:textId="77777777" w:rsidR="00A803E6" w:rsidRPr="00AB5342" w:rsidRDefault="00A803E6" w:rsidP="00A803E6">
            <w:pPr>
              <w:pStyle w:val="TableText"/>
              <w:rPr>
                <w:rFonts w:cs="Segoe UI"/>
                <w:b/>
                <w:bCs/>
              </w:rPr>
            </w:pPr>
            <w:r w:rsidRPr="00AB5342">
              <w:rPr>
                <w:rFonts w:cs="Segoe UI"/>
                <w:b/>
                <w:bCs/>
              </w:rPr>
              <w:t>3.7 (3.0–4.4)</w:t>
            </w:r>
          </w:p>
        </w:tc>
      </w:tr>
      <w:tr w:rsidR="00A803E6" w:rsidRPr="00BF4D80" w14:paraId="1EB4E650" w14:textId="77777777" w:rsidTr="00A803E6">
        <w:trPr>
          <w:trHeight w:val="300"/>
        </w:trPr>
        <w:tc>
          <w:tcPr>
            <w:tcW w:w="2127" w:type="dxa"/>
            <w:noWrap/>
            <w:hideMark/>
          </w:tcPr>
          <w:p w14:paraId="2C39C6FC" w14:textId="77777777" w:rsidR="00A803E6" w:rsidRPr="00AB5342" w:rsidRDefault="00A803E6" w:rsidP="00A803E6">
            <w:pPr>
              <w:pStyle w:val="TableText"/>
              <w:rPr>
                <w:rFonts w:cs="Segoe UI"/>
              </w:rPr>
            </w:pPr>
            <w:r>
              <w:rPr>
                <w:rFonts w:cs="Segoe UI"/>
              </w:rPr>
              <w:t>P</w:t>
            </w:r>
            <w:r w:rsidRPr="00AB5342">
              <w:rPr>
                <w:rFonts w:cs="Segoe UI"/>
              </w:rPr>
              <w:t>hysical abuse</w:t>
            </w:r>
          </w:p>
        </w:tc>
        <w:tc>
          <w:tcPr>
            <w:tcW w:w="1523" w:type="dxa"/>
            <w:noWrap/>
            <w:hideMark/>
          </w:tcPr>
          <w:p w14:paraId="3F9376A2" w14:textId="77777777" w:rsidR="00A803E6" w:rsidRPr="00AB5342" w:rsidRDefault="00A803E6" w:rsidP="00A803E6">
            <w:pPr>
              <w:pStyle w:val="TableText"/>
              <w:rPr>
                <w:rFonts w:cs="Segoe UI"/>
              </w:rPr>
            </w:pPr>
            <w:r w:rsidRPr="00AB5342">
              <w:rPr>
                <w:rFonts w:cs="Segoe UI"/>
              </w:rPr>
              <w:t>1.7 (1.0–2.6)</w:t>
            </w:r>
          </w:p>
        </w:tc>
        <w:tc>
          <w:tcPr>
            <w:tcW w:w="1524" w:type="dxa"/>
            <w:noWrap/>
            <w:hideMark/>
          </w:tcPr>
          <w:p w14:paraId="173AEA76" w14:textId="77777777" w:rsidR="00A803E6" w:rsidRPr="00AB5342" w:rsidRDefault="00A803E6" w:rsidP="00A803E6">
            <w:pPr>
              <w:pStyle w:val="TableText"/>
              <w:rPr>
                <w:rFonts w:cs="Segoe UI"/>
              </w:rPr>
            </w:pPr>
            <w:r w:rsidRPr="00AB5342">
              <w:rPr>
                <w:rFonts w:cs="Segoe UI"/>
              </w:rPr>
              <w:t>0.7† (0.2–1.7)</w:t>
            </w:r>
          </w:p>
        </w:tc>
        <w:tc>
          <w:tcPr>
            <w:tcW w:w="1524" w:type="dxa"/>
            <w:noWrap/>
          </w:tcPr>
          <w:p w14:paraId="4A4180E4" w14:textId="77777777" w:rsidR="00A803E6" w:rsidRPr="00AB5342" w:rsidRDefault="00A803E6" w:rsidP="00A803E6">
            <w:pPr>
              <w:pStyle w:val="TableText"/>
              <w:rPr>
                <w:rFonts w:cs="Segoe UI"/>
              </w:rPr>
            </w:pPr>
            <w:r w:rsidRPr="00AB5342">
              <w:rPr>
                <w:rFonts w:cs="Segoe UI"/>
              </w:rPr>
              <w:t>0.5† (0.1–1.8)</w:t>
            </w:r>
          </w:p>
        </w:tc>
        <w:tc>
          <w:tcPr>
            <w:tcW w:w="1524" w:type="dxa"/>
            <w:noWrap/>
            <w:hideMark/>
          </w:tcPr>
          <w:p w14:paraId="4DFA845E" w14:textId="77777777" w:rsidR="00A803E6" w:rsidRPr="00AB5342" w:rsidRDefault="00A803E6" w:rsidP="00A803E6">
            <w:pPr>
              <w:pStyle w:val="TableText"/>
              <w:rPr>
                <w:rFonts w:cs="Segoe UI"/>
              </w:rPr>
            </w:pPr>
            <w:r w:rsidRPr="00AB5342">
              <w:rPr>
                <w:rFonts w:cs="Segoe UI"/>
              </w:rPr>
              <w:t>0.3† (0.2–0.6)</w:t>
            </w:r>
          </w:p>
        </w:tc>
      </w:tr>
      <w:tr w:rsidR="00A803E6" w:rsidRPr="00BF4D80" w14:paraId="1AB4E08F" w14:textId="77777777" w:rsidTr="00A803E6">
        <w:trPr>
          <w:trHeight w:val="300"/>
        </w:trPr>
        <w:tc>
          <w:tcPr>
            <w:tcW w:w="2127" w:type="dxa"/>
            <w:noWrap/>
            <w:hideMark/>
          </w:tcPr>
          <w:p w14:paraId="1CF44E93" w14:textId="77777777" w:rsidR="00A803E6" w:rsidRPr="00AB5342" w:rsidRDefault="00A803E6" w:rsidP="00A803E6">
            <w:pPr>
              <w:pStyle w:val="TableText"/>
              <w:rPr>
                <w:rFonts w:cs="Segoe UI"/>
              </w:rPr>
            </w:pPr>
            <w:r>
              <w:rPr>
                <w:rFonts w:cs="Segoe UI"/>
              </w:rPr>
              <w:t>V</w:t>
            </w:r>
            <w:r w:rsidRPr="00AB5342">
              <w:rPr>
                <w:rFonts w:cs="Segoe UI"/>
              </w:rPr>
              <w:t>erbal abuse</w:t>
            </w:r>
          </w:p>
        </w:tc>
        <w:tc>
          <w:tcPr>
            <w:tcW w:w="1523" w:type="dxa"/>
            <w:noWrap/>
            <w:hideMark/>
          </w:tcPr>
          <w:p w14:paraId="63772A21" w14:textId="77777777" w:rsidR="00A803E6" w:rsidRPr="00AB5342" w:rsidRDefault="00A803E6" w:rsidP="00A803E6">
            <w:pPr>
              <w:pStyle w:val="TableText"/>
              <w:rPr>
                <w:rFonts w:cs="Segoe UI"/>
              </w:rPr>
            </w:pPr>
            <w:r w:rsidRPr="00AB5342">
              <w:rPr>
                <w:rFonts w:cs="Segoe UI"/>
              </w:rPr>
              <w:t>9.0 (7.2–11.1)</w:t>
            </w:r>
          </w:p>
        </w:tc>
        <w:tc>
          <w:tcPr>
            <w:tcW w:w="1524" w:type="dxa"/>
            <w:noWrap/>
            <w:hideMark/>
          </w:tcPr>
          <w:p w14:paraId="6D980DD3" w14:textId="77777777" w:rsidR="00A803E6" w:rsidRPr="00AB5342" w:rsidRDefault="00A803E6" w:rsidP="00A803E6">
            <w:pPr>
              <w:pStyle w:val="TableText"/>
              <w:rPr>
                <w:rFonts w:cs="Segoe UI"/>
              </w:rPr>
            </w:pPr>
            <w:r w:rsidRPr="00AB5342">
              <w:rPr>
                <w:rFonts w:cs="Segoe UI"/>
              </w:rPr>
              <w:t>6.4 (4.3–9.1)</w:t>
            </w:r>
          </w:p>
        </w:tc>
        <w:tc>
          <w:tcPr>
            <w:tcW w:w="1524" w:type="dxa"/>
            <w:noWrap/>
            <w:hideMark/>
          </w:tcPr>
          <w:p w14:paraId="7D574FAF" w14:textId="77777777" w:rsidR="00A803E6" w:rsidRPr="00AB5342" w:rsidRDefault="00A803E6" w:rsidP="00A803E6">
            <w:pPr>
              <w:pStyle w:val="TableText"/>
              <w:rPr>
                <w:rFonts w:cs="Segoe UI"/>
              </w:rPr>
            </w:pPr>
            <w:r w:rsidRPr="00AB5342">
              <w:rPr>
                <w:rFonts w:cs="Segoe UI"/>
              </w:rPr>
              <w:t>9.9 (7.6–12.6)</w:t>
            </w:r>
          </w:p>
        </w:tc>
        <w:tc>
          <w:tcPr>
            <w:tcW w:w="1524" w:type="dxa"/>
            <w:noWrap/>
            <w:hideMark/>
          </w:tcPr>
          <w:p w14:paraId="1998EC7B" w14:textId="77777777" w:rsidR="00A803E6" w:rsidRPr="00AB5342" w:rsidRDefault="00A803E6" w:rsidP="00A803E6">
            <w:pPr>
              <w:pStyle w:val="TableText"/>
              <w:rPr>
                <w:rFonts w:cs="Segoe UI"/>
              </w:rPr>
            </w:pPr>
            <w:r w:rsidRPr="00AB5342">
              <w:rPr>
                <w:rFonts w:cs="Segoe UI"/>
              </w:rPr>
              <w:t>3.6 (3.0–4.3)</w:t>
            </w:r>
          </w:p>
        </w:tc>
      </w:tr>
      <w:tr w:rsidR="00A803E6" w:rsidRPr="00BF4D80" w14:paraId="35E30F31" w14:textId="77777777" w:rsidTr="00A803E6">
        <w:trPr>
          <w:trHeight w:val="300"/>
        </w:trPr>
        <w:tc>
          <w:tcPr>
            <w:tcW w:w="2127" w:type="dxa"/>
            <w:noWrap/>
            <w:hideMark/>
          </w:tcPr>
          <w:p w14:paraId="2817986E" w14:textId="77777777" w:rsidR="00A803E6" w:rsidRPr="00AB5342" w:rsidRDefault="00A803E6" w:rsidP="00A803E6">
            <w:pPr>
              <w:pStyle w:val="TableText"/>
              <w:rPr>
                <w:rFonts w:cs="Segoe UI"/>
                <w:b/>
                <w:bCs/>
              </w:rPr>
            </w:pPr>
            <w:r w:rsidRPr="00AB5342">
              <w:rPr>
                <w:rFonts w:cs="Segoe UI"/>
                <w:b/>
                <w:bCs/>
              </w:rPr>
              <w:t>Experience of unfair treatment</w:t>
            </w:r>
          </w:p>
        </w:tc>
        <w:tc>
          <w:tcPr>
            <w:tcW w:w="1523" w:type="dxa"/>
            <w:noWrap/>
            <w:hideMark/>
          </w:tcPr>
          <w:p w14:paraId="2C3F7C91" w14:textId="77777777" w:rsidR="00A803E6" w:rsidRPr="00AB5342" w:rsidRDefault="00A803E6" w:rsidP="00A803E6">
            <w:pPr>
              <w:pStyle w:val="TableText"/>
              <w:rPr>
                <w:rFonts w:cs="Segoe UI"/>
                <w:b/>
                <w:bCs/>
              </w:rPr>
            </w:pPr>
            <w:r w:rsidRPr="00AB5342">
              <w:rPr>
                <w:rFonts w:cs="Segoe UI"/>
                <w:b/>
                <w:bCs/>
              </w:rPr>
              <w:t>7.0 (5.5–8.7)</w:t>
            </w:r>
          </w:p>
        </w:tc>
        <w:tc>
          <w:tcPr>
            <w:tcW w:w="1524" w:type="dxa"/>
            <w:noWrap/>
            <w:hideMark/>
          </w:tcPr>
          <w:p w14:paraId="1A9AA0E4" w14:textId="77777777" w:rsidR="00A803E6" w:rsidRPr="00AB5342" w:rsidRDefault="00A803E6" w:rsidP="00A803E6">
            <w:pPr>
              <w:pStyle w:val="TableText"/>
              <w:rPr>
                <w:rFonts w:cs="Segoe UI"/>
                <w:b/>
                <w:bCs/>
              </w:rPr>
            </w:pPr>
            <w:r w:rsidRPr="00AB5342">
              <w:rPr>
                <w:rFonts w:cs="Segoe UI"/>
                <w:b/>
                <w:bCs/>
              </w:rPr>
              <w:t>4.4 (2.8–6.6)</w:t>
            </w:r>
          </w:p>
        </w:tc>
        <w:tc>
          <w:tcPr>
            <w:tcW w:w="1524" w:type="dxa"/>
            <w:noWrap/>
            <w:hideMark/>
          </w:tcPr>
          <w:p w14:paraId="391B18FB" w14:textId="77777777" w:rsidR="00A803E6" w:rsidRPr="00AB5342" w:rsidRDefault="00A803E6" w:rsidP="00A803E6">
            <w:pPr>
              <w:pStyle w:val="TableText"/>
              <w:rPr>
                <w:rFonts w:cs="Segoe UI"/>
                <w:b/>
                <w:bCs/>
              </w:rPr>
            </w:pPr>
            <w:r w:rsidRPr="00AB5342">
              <w:rPr>
                <w:rFonts w:cs="Segoe UI"/>
                <w:b/>
                <w:bCs/>
              </w:rPr>
              <w:t>4.2 (2.8–6.1)</w:t>
            </w:r>
          </w:p>
        </w:tc>
        <w:tc>
          <w:tcPr>
            <w:tcW w:w="1524" w:type="dxa"/>
            <w:noWrap/>
            <w:hideMark/>
          </w:tcPr>
          <w:p w14:paraId="5F9A19F7" w14:textId="77777777" w:rsidR="00A803E6" w:rsidRPr="00AB5342" w:rsidRDefault="00A803E6" w:rsidP="00A803E6">
            <w:pPr>
              <w:pStyle w:val="TableText"/>
              <w:rPr>
                <w:rFonts w:cs="Segoe UI"/>
                <w:b/>
                <w:bCs/>
              </w:rPr>
            </w:pPr>
            <w:r w:rsidRPr="00AB5342">
              <w:rPr>
                <w:rFonts w:cs="Segoe UI"/>
                <w:b/>
                <w:bCs/>
              </w:rPr>
              <w:t>1.7 (1.3–2.2)</w:t>
            </w:r>
          </w:p>
        </w:tc>
      </w:tr>
      <w:tr w:rsidR="00A803E6" w:rsidRPr="00BF4D80" w14:paraId="5AE41381" w14:textId="77777777" w:rsidTr="00A803E6">
        <w:trPr>
          <w:trHeight w:val="300"/>
        </w:trPr>
        <w:tc>
          <w:tcPr>
            <w:tcW w:w="2127" w:type="dxa"/>
            <w:noWrap/>
            <w:hideMark/>
          </w:tcPr>
          <w:p w14:paraId="62CAAB4E" w14:textId="77777777" w:rsidR="00A803E6" w:rsidRPr="00AB5342" w:rsidRDefault="00A803E6" w:rsidP="00A803E6">
            <w:pPr>
              <w:pStyle w:val="TableText"/>
              <w:rPr>
                <w:rFonts w:cs="Segoe UI"/>
              </w:rPr>
            </w:pPr>
            <w:r>
              <w:rPr>
                <w:rFonts w:cs="Segoe UI"/>
              </w:rPr>
              <w:t>U</w:t>
            </w:r>
            <w:r w:rsidRPr="00AB5342">
              <w:rPr>
                <w:rFonts w:cs="Segoe UI"/>
              </w:rPr>
              <w:t>nfair treatment by a health professional</w:t>
            </w:r>
          </w:p>
        </w:tc>
        <w:tc>
          <w:tcPr>
            <w:tcW w:w="1523" w:type="dxa"/>
            <w:noWrap/>
            <w:hideMark/>
          </w:tcPr>
          <w:p w14:paraId="141ACDBE" w14:textId="77777777" w:rsidR="00A803E6" w:rsidRPr="00AB5342" w:rsidRDefault="00A803E6" w:rsidP="00A803E6">
            <w:pPr>
              <w:pStyle w:val="TableText"/>
              <w:rPr>
                <w:rFonts w:cs="Segoe UI"/>
              </w:rPr>
            </w:pPr>
            <w:r w:rsidRPr="00AB5342">
              <w:rPr>
                <w:rFonts w:cs="Segoe UI"/>
              </w:rPr>
              <w:t>3.8 (2.5–5.4)</w:t>
            </w:r>
          </w:p>
        </w:tc>
        <w:tc>
          <w:tcPr>
            <w:tcW w:w="1524" w:type="dxa"/>
            <w:noWrap/>
            <w:hideMark/>
          </w:tcPr>
          <w:p w14:paraId="6353B5E8" w14:textId="77777777" w:rsidR="00A803E6" w:rsidRPr="00AB5342" w:rsidRDefault="00A803E6" w:rsidP="00A803E6">
            <w:pPr>
              <w:pStyle w:val="TableText"/>
              <w:rPr>
                <w:rFonts w:cs="Segoe UI"/>
              </w:rPr>
            </w:pPr>
            <w:r w:rsidRPr="00AB5342">
              <w:rPr>
                <w:rFonts w:cs="Segoe UI"/>
              </w:rPr>
              <w:t>2.6 (1.4–4.5)</w:t>
            </w:r>
          </w:p>
        </w:tc>
        <w:tc>
          <w:tcPr>
            <w:tcW w:w="1524" w:type="dxa"/>
            <w:noWrap/>
            <w:hideMark/>
          </w:tcPr>
          <w:p w14:paraId="1D7674DA" w14:textId="77777777" w:rsidR="00A803E6" w:rsidRPr="00AB5342" w:rsidRDefault="00A803E6" w:rsidP="00A803E6">
            <w:pPr>
              <w:pStyle w:val="TableText"/>
              <w:rPr>
                <w:rFonts w:cs="Segoe UI"/>
              </w:rPr>
            </w:pPr>
            <w:r w:rsidRPr="00AB5342">
              <w:rPr>
                <w:rFonts w:cs="Segoe UI"/>
              </w:rPr>
              <w:t>1.3† (0.5–2.7)</w:t>
            </w:r>
          </w:p>
        </w:tc>
        <w:tc>
          <w:tcPr>
            <w:tcW w:w="1524" w:type="dxa"/>
            <w:noWrap/>
            <w:hideMark/>
          </w:tcPr>
          <w:p w14:paraId="646D946D" w14:textId="77777777" w:rsidR="00A803E6" w:rsidRPr="00AB5342" w:rsidRDefault="00A803E6" w:rsidP="00A803E6">
            <w:pPr>
              <w:pStyle w:val="TableText"/>
              <w:rPr>
                <w:rFonts w:cs="Segoe UI"/>
              </w:rPr>
            </w:pPr>
            <w:r w:rsidRPr="00AB5342">
              <w:rPr>
                <w:rFonts w:cs="Segoe UI"/>
              </w:rPr>
              <w:t>0.6 (0.4–0.9)</w:t>
            </w:r>
          </w:p>
        </w:tc>
      </w:tr>
      <w:tr w:rsidR="00A803E6" w:rsidRPr="00BF4D80" w14:paraId="450E607E" w14:textId="77777777" w:rsidTr="00A803E6">
        <w:trPr>
          <w:trHeight w:val="300"/>
        </w:trPr>
        <w:tc>
          <w:tcPr>
            <w:tcW w:w="2127" w:type="dxa"/>
            <w:noWrap/>
            <w:hideMark/>
          </w:tcPr>
          <w:p w14:paraId="7ACD2A01" w14:textId="77777777" w:rsidR="00A803E6" w:rsidRPr="00AB5342" w:rsidRDefault="00A803E6" w:rsidP="00A803E6">
            <w:pPr>
              <w:pStyle w:val="TableText"/>
              <w:rPr>
                <w:rFonts w:cs="Segoe UI"/>
              </w:rPr>
            </w:pPr>
            <w:r>
              <w:rPr>
                <w:rFonts w:cs="Segoe UI"/>
              </w:rPr>
              <w:t>U</w:t>
            </w:r>
            <w:r w:rsidRPr="00AB5342">
              <w:rPr>
                <w:rFonts w:cs="Segoe UI"/>
              </w:rPr>
              <w:t>nfair treatment at work or refusal of a job</w:t>
            </w:r>
          </w:p>
        </w:tc>
        <w:tc>
          <w:tcPr>
            <w:tcW w:w="1523" w:type="dxa"/>
            <w:noWrap/>
            <w:hideMark/>
          </w:tcPr>
          <w:p w14:paraId="2BD16904" w14:textId="77777777" w:rsidR="00A803E6" w:rsidRPr="00AB5342" w:rsidRDefault="00A803E6" w:rsidP="00A803E6">
            <w:pPr>
              <w:pStyle w:val="TableText"/>
              <w:rPr>
                <w:rFonts w:cs="Segoe UI"/>
              </w:rPr>
            </w:pPr>
            <w:r w:rsidRPr="00AB5342">
              <w:rPr>
                <w:rFonts w:cs="Segoe UI"/>
              </w:rPr>
              <w:t>2.8 (1.9–3.9)</w:t>
            </w:r>
          </w:p>
        </w:tc>
        <w:tc>
          <w:tcPr>
            <w:tcW w:w="1524" w:type="dxa"/>
            <w:noWrap/>
            <w:hideMark/>
          </w:tcPr>
          <w:p w14:paraId="1BB693A6" w14:textId="77777777" w:rsidR="00A803E6" w:rsidRPr="00AB5342" w:rsidRDefault="00A803E6" w:rsidP="00A803E6">
            <w:pPr>
              <w:pStyle w:val="TableText"/>
              <w:rPr>
                <w:rFonts w:cs="Segoe UI"/>
              </w:rPr>
            </w:pPr>
            <w:r w:rsidRPr="00AB5342">
              <w:rPr>
                <w:rFonts w:cs="Segoe UI"/>
              </w:rPr>
              <w:t>1.5† (0.7–2.7)</w:t>
            </w:r>
          </w:p>
        </w:tc>
        <w:tc>
          <w:tcPr>
            <w:tcW w:w="1524" w:type="dxa"/>
            <w:noWrap/>
            <w:hideMark/>
          </w:tcPr>
          <w:p w14:paraId="464B0EF0" w14:textId="77777777" w:rsidR="00A803E6" w:rsidRPr="00AB5342" w:rsidRDefault="00A803E6" w:rsidP="00A803E6">
            <w:pPr>
              <w:pStyle w:val="TableText"/>
              <w:rPr>
                <w:rFonts w:cs="Segoe UI"/>
              </w:rPr>
            </w:pPr>
            <w:r w:rsidRPr="00AB5342">
              <w:rPr>
                <w:rFonts w:cs="Segoe UI"/>
              </w:rPr>
              <w:t>2.4 (1.5–3.7)</w:t>
            </w:r>
          </w:p>
        </w:tc>
        <w:tc>
          <w:tcPr>
            <w:tcW w:w="1524" w:type="dxa"/>
            <w:noWrap/>
            <w:hideMark/>
          </w:tcPr>
          <w:p w14:paraId="4888D98A" w14:textId="77777777" w:rsidR="00A803E6" w:rsidRPr="00AB5342" w:rsidRDefault="00A803E6" w:rsidP="00A803E6">
            <w:pPr>
              <w:pStyle w:val="TableText"/>
              <w:rPr>
                <w:rFonts w:cs="Segoe UI"/>
              </w:rPr>
            </w:pPr>
            <w:r w:rsidRPr="00AB5342">
              <w:rPr>
                <w:rFonts w:cs="Segoe UI"/>
              </w:rPr>
              <w:t>1.0 (0.7–1.4)</w:t>
            </w:r>
          </w:p>
        </w:tc>
      </w:tr>
      <w:tr w:rsidR="00A803E6" w:rsidRPr="00BF4D80" w14:paraId="67F0B3E5" w14:textId="77777777" w:rsidTr="00A803E6">
        <w:trPr>
          <w:trHeight w:val="300"/>
        </w:trPr>
        <w:tc>
          <w:tcPr>
            <w:tcW w:w="2127" w:type="dxa"/>
            <w:noWrap/>
            <w:hideMark/>
          </w:tcPr>
          <w:p w14:paraId="5398A80D" w14:textId="77777777" w:rsidR="00A803E6" w:rsidRPr="00AB5342" w:rsidRDefault="00A803E6" w:rsidP="00A803E6">
            <w:pPr>
              <w:pStyle w:val="TableText"/>
              <w:rPr>
                <w:rFonts w:cs="Segoe UI"/>
              </w:rPr>
            </w:pPr>
            <w:r>
              <w:rPr>
                <w:rFonts w:cs="Segoe UI"/>
              </w:rPr>
              <w:t>U</w:t>
            </w:r>
            <w:r w:rsidRPr="00AB5342">
              <w:rPr>
                <w:rFonts w:cs="Segoe UI"/>
              </w:rPr>
              <w:t>nfair treatment when renting or buying housing</w:t>
            </w:r>
          </w:p>
        </w:tc>
        <w:tc>
          <w:tcPr>
            <w:tcW w:w="1523" w:type="dxa"/>
            <w:noWrap/>
            <w:hideMark/>
          </w:tcPr>
          <w:p w14:paraId="2273D23E" w14:textId="77777777" w:rsidR="00A803E6" w:rsidRPr="00AB5342" w:rsidRDefault="00A803E6" w:rsidP="00A803E6">
            <w:pPr>
              <w:pStyle w:val="TableText"/>
              <w:rPr>
                <w:rFonts w:cs="Segoe UI"/>
              </w:rPr>
            </w:pPr>
            <w:r w:rsidRPr="00AB5342">
              <w:rPr>
                <w:rFonts w:cs="Segoe UI"/>
              </w:rPr>
              <w:t>1.9 (1.3–2.8)</w:t>
            </w:r>
          </w:p>
        </w:tc>
        <w:tc>
          <w:tcPr>
            <w:tcW w:w="1524" w:type="dxa"/>
            <w:noWrap/>
            <w:hideMark/>
          </w:tcPr>
          <w:p w14:paraId="50554DFE" w14:textId="77777777" w:rsidR="00A803E6" w:rsidRPr="00AB5342" w:rsidRDefault="00A803E6" w:rsidP="00A803E6">
            <w:pPr>
              <w:pStyle w:val="TableText"/>
              <w:rPr>
                <w:rFonts w:cs="Segoe UI"/>
              </w:rPr>
            </w:pPr>
            <w:r w:rsidRPr="00AB5342">
              <w:rPr>
                <w:rFonts w:cs="Segoe UI"/>
              </w:rPr>
              <w:t>1.7† (0.7–3.5)</w:t>
            </w:r>
          </w:p>
        </w:tc>
        <w:tc>
          <w:tcPr>
            <w:tcW w:w="1524" w:type="dxa"/>
            <w:noWrap/>
            <w:hideMark/>
          </w:tcPr>
          <w:p w14:paraId="739DEF53" w14:textId="77777777" w:rsidR="00A803E6" w:rsidRPr="00AB5342" w:rsidRDefault="00A803E6" w:rsidP="00A803E6">
            <w:pPr>
              <w:pStyle w:val="TableText"/>
              <w:rPr>
                <w:rFonts w:cs="Segoe UI"/>
              </w:rPr>
            </w:pPr>
            <w:r w:rsidRPr="00AB5342">
              <w:rPr>
                <w:rFonts w:cs="Segoe UI"/>
              </w:rPr>
              <w:t>1.7† (0.7–3.2)</w:t>
            </w:r>
          </w:p>
        </w:tc>
        <w:tc>
          <w:tcPr>
            <w:tcW w:w="1524" w:type="dxa"/>
            <w:noWrap/>
            <w:hideMark/>
          </w:tcPr>
          <w:p w14:paraId="0CF32C21" w14:textId="77777777" w:rsidR="00A803E6" w:rsidRPr="00AB5342" w:rsidRDefault="00A803E6" w:rsidP="00A803E6">
            <w:pPr>
              <w:pStyle w:val="TableText"/>
              <w:rPr>
                <w:rFonts w:cs="Segoe UI"/>
              </w:rPr>
            </w:pPr>
            <w:r w:rsidRPr="00AB5342">
              <w:rPr>
                <w:rFonts w:cs="Segoe UI"/>
              </w:rPr>
              <w:t>0.2† (0.1–0.5)</w:t>
            </w:r>
          </w:p>
        </w:tc>
      </w:tr>
    </w:tbl>
    <w:p w14:paraId="18324417" w14:textId="77777777" w:rsidR="00A803E6" w:rsidRPr="00AB5342" w:rsidRDefault="00A803E6" w:rsidP="00A803E6">
      <w:pPr>
        <w:pStyle w:val="Note"/>
        <w:rPr>
          <w:color w:val="000000" w:themeColor="text1"/>
        </w:rPr>
      </w:pPr>
      <w:r w:rsidRPr="00AB5342">
        <w:rPr>
          <w:color w:val="000000" w:themeColor="text1"/>
        </w:rPr>
        <w:t>Notes:</w:t>
      </w:r>
      <w:r w:rsidRPr="003A734E">
        <w:t xml:space="preserve"> </w:t>
      </w:r>
      <w:r>
        <w:t>CI = confidence interval.</w:t>
      </w:r>
    </w:p>
    <w:p w14:paraId="5B6AEF69" w14:textId="77777777" w:rsidR="00A803E6" w:rsidRPr="00AB5342" w:rsidRDefault="00A803E6" w:rsidP="00A803E6">
      <w:pPr>
        <w:pStyle w:val="Note"/>
      </w:pPr>
      <w:r w:rsidRPr="00AB5342">
        <w:rPr>
          <w:color w:val="000000" w:themeColor="text1"/>
        </w:rPr>
        <w:t>* People may experience more than one type of racial discrimination so percentages for specific types of racial discrimination combined do not sum to the total in each category.</w:t>
      </w:r>
    </w:p>
    <w:p w14:paraId="306F6CCE" w14:textId="77777777" w:rsidR="00A803E6" w:rsidRDefault="00A803E6" w:rsidP="00A803E6">
      <w:pPr>
        <w:pStyle w:val="Note"/>
        <w:rPr>
          <w:color w:val="000000" w:themeColor="text1"/>
        </w:rPr>
      </w:pPr>
      <w:r w:rsidRPr="00AB5342">
        <w:rPr>
          <w:rFonts w:cs="Segoe UI"/>
        </w:rPr>
        <w:t>†</w:t>
      </w:r>
      <w:r w:rsidRPr="00AB5342">
        <w:t xml:space="preserve"> </w:t>
      </w:r>
      <w:r w:rsidRPr="00AB5342">
        <w:rPr>
          <w:color w:val="000000" w:themeColor="text1"/>
        </w:rPr>
        <w:t>Interpret with caution as the relative standard error (the size of the standard error relative to the result) is over 30%.</w:t>
      </w:r>
    </w:p>
    <w:p w14:paraId="3D0B34A1" w14:textId="77777777" w:rsidR="00A803E6" w:rsidRDefault="00A803E6" w:rsidP="00FC4E54">
      <w:pPr>
        <w:rPr>
          <w:rFonts w:eastAsia="Arial Unicode MS"/>
        </w:rPr>
        <w:sectPr w:rsidR="00A803E6" w:rsidSect="00FC4E54">
          <w:pgSz w:w="11907" w:h="16840" w:code="9"/>
          <w:pgMar w:top="1418" w:right="1701" w:bottom="1134" w:left="1843" w:header="284" w:footer="425" w:gutter="284"/>
          <w:cols w:space="720"/>
        </w:sectPr>
      </w:pPr>
    </w:p>
    <w:p w14:paraId="755093F9" w14:textId="77777777" w:rsidR="00A803E6" w:rsidRDefault="00A803E6" w:rsidP="00A803E6">
      <w:pPr>
        <w:pStyle w:val="Table"/>
      </w:pPr>
      <w:bookmarkStart w:id="43" w:name="_Toc135391578"/>
      <w:bookmarkStart w:id="44" w:name="_Toc136584047"/>
      <w:r>
        <w:t xml:space="preserve">Table </w:t>
      </w:r>
      <w:fldSimple w:instr=" SEQ Table \* ARABIC ">
        <w:r>
          <w:rPr>
            <w:noProof/>
          </w:rPr>
          <w:t>3</w:t>
        </w:r>
      </w:fldSimple>
      <w:r>
        <w:t xml:space="preserve">: Experience of racial discrimination </w:t>
      </w:r>
      <w:r w:rsidRPr="005E4EB5">
        <w:rPr>
          <w:bCs/>
        </w:rPr>
        <w:t>in lifetime</w:t>
      </w:r>
      <w:r>
        <w:t>, by type of discrimination and ethnic group, 2020/21 (percentages)</w:t>
      </w:r>
      <w:bookmarkEnd w:id="43"/>
      <w:bookmarkEnd w:id="44"/>
    </w:p>
    <w:tbl>
      <w:tblPr>
        <w:tblW w:w="8931" w:type="dxa"/>
        <w:tblBorders>
          <w:top w:val="single" w:sz="4" w:space="0" w:color="A6A6A6" w:themeColor="background1" w:themeShade="A6"/>
          <w:bottom w:val="single" w:sz="4" w:space="0" w:color="A6A6A6" w:themeColor="background1" w:themeShade="A6"/>
          <w:insideH w:val="single" w:sz="6" w:space="0" w:color="A6A6A6" w:themeColor="background1" w:themeShade="A6"/>
        </w:tblBorders>
        <w:tblLayout w:type="fixed"/>
        <w:tblLook w:val="04A0" w:firstRow="1" w:lastRow="0" w:firstColumn="1" w:lastColumn="0" w:noHBand="0" w:noVBand="1"/>
      </w:tblPr>
      <w:tblGrid>
        <w:gridCol w:w="2127"/>
        <w:gridCol w:w="1701"/>
        <w:gridCol w:w="1701"/>
        <w:gridCol w:w="1701"/>
        <w:gridCol w:w="1701"/>
      </w:tblGrid>
      <w:tr w:rsidR="00A803E6" w:rsidRPr="00A803E6" w14:paraId="48BCBF1F" w14:textId="77777777" w:rsidTr="00A803E6">
        <w:trPr>
          <w:trHeight w:val="300"/>
        </w:trPr>
        <w:tc>
          <w:tcPr>
            <w:tcW w:w="2127" w:type="dxa"/>
            <w:vMerge w:val="restart"/>
            <w:tcBorders>
              <w:top w:val="nil"/>
              <w:bottom w:val="nil"/>
            </w:tcBorders>
            <w:shd w:val="clear" w:color="auto" w:fill="D9D9D9" w:themeFill="background1" w:themeFillShade="D9"/>
            <w:noWrap/>
            <w:vAlign w:val="bottom"/>
            <w:hideMark/>
          </w:tcPr>
          <w:p w14:paraId="2F49A54E" w14:textId="77777777" w:rsidR="00A803E6" w:rsidRPr="00A803E6" w:rsidRDefault="00A803E6" w:rsidP="00A803E6">
            <w:pPr>
              <w:pStyle w:val="TableText"/>
              <w:rPr>
                <w:b/>
                <w:bCs/>
                <w:lang w:eastAsia="en-NZ"/>
              </w:rPr>
            </w:pPr>
            <w:r w:rsidRPr="00A803E6">
              <w:rPr>
                <w:b/>
                <w:bCs/>
                <w:lang w:eastAsia="en-NZ"/>
              </w:rPr>
              <w:t>Type of racial discrimination*</w:t>
            </w:r>
          </w:p>
        </w:tc>
        <w:tc>
          <w:tcPr>
            <w:tcW w:w="1701" w:type="dxa"/>
            <w:tcBorders>
              <w:top w:val="nil"/>
              <w:bottom w:val="nil"/>
            </w:tcBorders>
            <w:shd w:val="clear" w:color="auto" w:fill="D9D9D9" w:themeFill="background1" w:themeFillShade="D9"/>
            <w:noWrap/>
            <w:vAlign w:val="bottom"/>
            <w:hideMark/>
          </w:tcPr>
          <w:p w14:paraId="37575FE7" w14:textId="77777777" w:rsidR="00A803E6" w:rsidRPr="00A803E6" w:rsidRDefault="00A803E6" w:rsidP="00CF1299">
            <w:pPr>
              <w:pStyle w:val="TableText"/>
              <w:jc w:val="center"/>
              <w:rPr>
                <w:b/>
                <w:bCs/>
                <w:lang w:eastAsia="en-NZ"/>
              </w:rPr>
            </w:pPr>
            <w:r w:rsidRPr="00A803E6">
              <w:rPr>
                <w:b/>
                <w:bCs/>
                <w:lang w:eastAsia="en-NZ"/>
              </w:rPr>
              <w:t>Māori</w:t>
            </w:r>
          </w:p>
        </w:tc>
        <w:tc>
          <w:tcPr>
            <w:tcW w:w="1701" w:type="dxa"/>
            <w:tcBorders>
              <w:top w:val="nil"/>
              <w:bottom w:val="nil"/>
            </w:tcBorders>
            <w:shd w:val="clear" w:color="auto" w:fill="D9D9D9" w:themeFill="background1" w:themeFillShade="D9"/>
            <w:noWrap/>
            <w:vAlign w:val="bottom"/>
            <w:hideMark/>
          </w:tcPr>
          <w:p w14:paraId="2E06EE18" w14:textId="77777777" w:rsidR="00A803E6" w:rsidRPr="00A803E6" w:rsidRDefault="00A803E6" w:rsidP="00CF1299">
            <w:pPr>
              <w:pStyle w:val="TableText"/>
              <w:jc w:val="center"/>
              <w:rPr>
                <w:b/>
                <w:bCs/>
                <w:lang w:eastAsia="en-NZ"/>
              </w:rPr>
            </w:pPr>
            <w:r w:rsidRPr="00A803E6">
              <w:rPr>
                <w:b/>
                <w:bCs/>
                <w:lang w:eastAsia="en-NZ"/>
              </w:rPr>
              <w:t>Pacific</w:t>
            </w:r>
          </w:p>
        </w:tc>
        <w:tc>
          <w:tcPr>
            <w:tcW w:w="1701" w:type="dxa"/>
            <w:tcBorders>
              <w:top w:val="nil"/>
              <w:bottom w:val="nil"/>
            </w:tcBorders>
            <w:shd w:val="clear" w:color="auto" w:fill="D9D9D9" w:themeFill="background1" w:themeFillShade="D9"/>
            <w:noWrap/>
            <w:vAlign w:val="bottom"/>
            <w:hideMark/>
          </w:tcPr>
          <w:p w14:paraId="5AE8EC01" w14:textId="77777777" w:rsidR="00A803E6" w:rsidRPr="00A803E6" w:rsidRDefault="00A803E6" w:rsidP="00CF1299">
            <w:pPr>
              <w:pStyle w:val="TableText"/>
              <w:jc w:val="center"/>
              <w:rPr>
                <w:b/>
                <w:bCs/>
                <w:lang w:eastAsia="en-NZ"/>
              </w:rPr>
            </w:pPr>
            <w:r w:rsidRPr="00A803E6">
              <w:rPr>
                <w:b/>
                <w:bCs/>
                <w:lang w:eastAsia="en-NZ"/>
              </w:rPr>
              <w:t>Asian</w:t>
            </w:r>
          </w:p>
        </w:tc>
        <w:tc>
          <w:tcPr>
            <w:tcW w:w="1701" w:type="dxa"/>
            <w:tcBorders>
              <w:top w:val="nil"/>
              <w:bottom w:val="nil"/>
            </w:tcBorders>
            <w:shd w:val="clear" w:color="auto" w:fill="D9D9D9" w:themeFill="background1" w:themeFillShade="D9"/>
            <w:noWrap/>
            <w:vAlign w:val="bottom"/>
            <w:hideMark/>
          </w:tcPr>
          <w:p w14:paraId="34B2C1AC" w14:textId="77777777" w:rsidR="00A803E6" w:rsidRPr="00A803E6" w:rsidRDefault="00A803E6" w:rsidP="00CF1299">
            <w:pPr>
              <w:pStyle w:val="TableText"/>
              <w:jc w:val="center"/>
              <w:rPr>
                <w:b/>
                <w:bCs/>
                <w:lang w:eastAsia="en-NZ"/>
              </w:rPr>
            </w:pPr>
            <w:r w:rsidRPr="00A803E6">
              <w:rPr>
                <w:b/>
                <w:bCs/>
                <w:lang w:eastAsia="en-NZ"/>
              </w:rPr>
              <w:t>Non-MPA</w:t>
            </w:r>
          </w:p>
        </w:tc>
      </w:tr>
      <w:tr w:rsidR="00A803E6" w:rsidRPr="00A803E6" w14:paraId="2C50C01A" w14:textId="77777777" w:rsidTr="00A803E6">
        <w:trPr>
          <w:trHeight w:val="300"/>
        </w:trPr>
        <w:tc>
          <w:tcPr>
            <w:tcW w:w="2127" w:type="dxa"/>
            <w:vMerge/>
            <w:tcBorders>
              <w:top w:val="nil"/>
              <w:bottom w:val="nil"/>
            </w:tcBorders>
            <w:shd w:val="clear" w:color="auto" w:fill="D9D9D9" w:themeFill="background1" w:themeFillShade="D9"/>
            <w:vAlign w:val="center"/>
            <w:hideMark/>
          </w:tcPr>
          <w:p w14:paraId="0BFCE7B9" w14:textId="77777777" w:rsidR="00A803E6" w:rsidRPr="00A803E6" w:rsidRDefault="00A803E6" w:rsidP="00A803E6">
            <w:pPr>
              <w:pStyle w:val="TableText"/>
              <w:rPr>
                <w:b/>
                <w:bCs/>
                <w:lang w:eastAsia="en-NZ"/>
              </w:rPr>
            </w:pPr>
          </w:p>
        </w:tc>
        <w:tc>
          <w:tcPr>
            <w:tcW w:w="1701" w:type="dxa"/>
            <w:tcBorders>
              <w:top w:val="nil"/>
              <w:bottom w:val="nil"/>
            </w:tcBorders>
            <w:shd w:val="clear" w:color="auto" w:fill="D9D9D9" w:themeFill="background1" w:themeFillShade="D9"/>
            <w:noWrap/>
            <w:vAlign w:val="bottom"/>
            <w:hideMark/>
          </w:tcPr>
          <w:p w14:paraId="0052676C" w14:textId="77777777" w:rsidR="00A803E6" w:rsidRPr="00A803E6" w:rsidRDefault="00A803E6" w:rsidP="00CF1299">
            <w:pPr>
              <w:pStyle w:val="TableText"/>
              <w:jc w:val="center"/>
              <w:rPr>
                <w:b/>
                <w:bCs/>
                <w:lang w:eastAsia="en-NZ"/>
              </w:rPr>
            </w:pPr>
            <w:r w:rsidRPr="00A803E6">
              <w:rPr>
                <w:b/>
                <w:bCs/>
                <w:lang w:eastAsia="en-NZ"/>
              </w:rPr>
              <w:t>% (95% CI)</w:t>
            </w:r>
          </w:p>
        </w:tc>
        <w:tc>
          <w:tcPr>
            <w:tcW w:w="1701" w:type="dxa"/>
            <w:tcBorders>
              <w:top w:val="nil"/>
              <w:bottom w:val="nil"/>
            </w:tcBorders>
            <w:shd w:val="clear" w:color="auto" w:fill="D9D9D9" w:themeFill="background1" w:themeFillShade="D9"/>
            <w:noWrap/>
            <w:vAlign w:val="bottom"/>
            <w:hideMark/>
          </w:tcPr>
          <w:p w14:paraId="74564B16" w14:textId="77777777" w:rsidR="00A803E6" w:rsidRPr="00A803E6" w:rsidRDefault="00A803E6" w:rsidP="00CF1299">
            <w:pPr>
              <w:pStyle w:val="TableText"/>
              <w:jc w:val="center"/>
              <w:rPr>
                <w:b/>
                <w:bCs/>
                <w:lang w:eastAsia="en-NZ"/>
              </w:rPr>
            </w:pPr>
            <w:r w:rsidRPr="00A803E6">
              <w:rPr>
                <w:b/>
                <w:bCs/>
                <w:lang w:eastAsia="en-NZ"/>
              </w:rPr>
              <w:t>% (95% CI)</w:t>
            </w:r>
          </w:p>
        </w:tc>
        <w:tc>
          <w:tcPr>
            <w:tcW w:w="1701" w:type="dxa"/>
            <w:tcBorders>
              <w:top w:val="nil"/>
              <w:bottom w:val="nil"/>
            </w:tcBorders>
            <w:shd w:val="clear" w:color="auto" w:fill="D9D9D9" w:themeFill="background1" w:themeFillShade="D9"/>
            <w:noWrap/>
            <w:vAlign w:val="bottom"/>
            <w:hideMark/>
          </w:tcPr>
          <w:p w14:paraId="2D8B7551" w14:textId="77777777" w:rsidR="00A803E6" w:rsidRPr="00A803E6" w:rsidRDefault="00A803E6" w:rsidP="00CF1299">
            <w:pPr>
              <w:pStyle w:val="TableText"/>
              <w:jc w:val="center"/>
              <w:rPr>
                <w:b/>
                <w:bCs/>
                <w:lang w:eastAsia="en-NZ"/>
              </w:rPr>
            </w:pPr>
            <w:r w:rsidRPr="00A803E6">
              <w:rPr>
                <w:b/>
                <w:bCs/>
                <w:lang w:eastAsia="en-NZ"/>
              </w:rPr>
              <w:t>% (95% CI)</w:t>
            </w:r>
          </w:p>
        </w:tc>
        <w:tc>
          <w:tcPr>
            <w:tcW w:w="1701" w:type="dxa"/>
            <w:tcBorders>
              <w:top w:val="nil"/>
              <w:bottom w:val="nil"/>
            </w:tcBorders>
            <w:shd w:val="clear" w:color="auto" w:fill="D9D9D9" w:themeFill="background1" w:themeFillShade="D9"/>
            <w:noWrap/>
            <w:vAlign w:val="bottom"/>
            <w:hideMark/>
          </w:tcPr>
          <w:p w14:paraId="5A20830F" w14:textId="77777777" w:rsidR="00A803E6" w:rsidRPr="00A803E6" w:rsidRDefault="00A803E6" w:rsidP="00CF1299">
            <w:pPr>
              <w:pStyle w:val="TableText"/>
              <w:jc w:val="center"/>
              <w:rPr>
                <w:b/>
                <w:bCs/>
                <w:lang w:eastAsia="en-NZ"/>
              </w:rPr>
            </w:pPr>
            <w:r w:rsidRPr="00A803E6">
              <w:rPr>
                <w:b/>
                <w:bCs/>
                <w:lang w:eastAsia="en-NZ"/>
              </w:rPr>
              <w:t>% (95% CI)</w:t>
            </w:r>
          </w:p>
        </w:tc>
      </w:tr>
      <w:tr w:rsidR="00A803E6" w:rsidRPr="00CE55CC" w14:paraId="0F7CC011" w14:textId="77777777" w:rsidTr="00A803E6">
        <w:trPr>
          <w:trHeight w:val="300"/>
        </w:trPr>
        <w:tc>
          <w:tcPr>
            <w:tcW w:w="2127" w:type="dxa"/>
            <w:tcBorders>
              <w:top w:val="nil"/>
            </w:tcBorders>
            <w:shd w:val="clear" w:color="auto" w:fill="auto"/>
            <w:noWrap/>
            <w:vAlign w:val="bottom"/>
            <w:hideMark/>
          </w:tcPr>
          <w:p w14:paraId="30E65D45" w14:textId="77777777" w:rsidR="00A803E6" w:rsidRPr="00AB5342" w:rsidRDefault="00A803E6" w:rsidP="00A803E6">
            <w:pPr>
              <w:pStyle w:val="TableText"/>
              <w:rPr>
                <w:b/>
                <w:bCs/>
                <w:lang w:eastAsia="en-NZ"/>
              </w:rPr>
            </w:pPr>
            <w:r w:rsidRPr="00AB5342">
              <w:rPr>
                <w:b/>
                <w:bCs/>
                <w:lang w:eastAsia="en-NZ"/>
              </w:rPr>
              <w:t>Experience of personal attack</w:t>
            </w:r>
          </w:p>
        </w:tc>
        <w:tc>
          <w:tcPr>
            <w:tcW w:w="1701" w:type="dxa"/>
            <w:tcBorders>
              <w:top w:val="nil"/>
            </w:tcBorders>
            <w:shd w:val="clear" w:color="auto" w:fill="auto"/>
            <w:noWrap/>
            <w:hideMark/>
          </w:tcPr>
          <w:p w14:paraId="1094DFE9" w14:textId="77777777" w:rsidR="00A803E6" w:rsidRPr="00AB5342" w:rsidRDefault="00A803E6" w:rsidP="00A803E6">
            <w:pPr>
              <w:pStyle w:val="TableText"/>
              <w:jc w:val="center"/>
              <w:rPr>
                <w:b/>
                <w:bCs/>
                <w:lang w:eastAsia="en-NZ"/>
              </w:rPr>
            </w:pPr>
            <w:r w:rsidRPr="00AB5342">
              <w:rPr>
                <w:b/>
                <w:bCs/>
                <w:lang w:eastAsia="en-NZ"/>
              </w:rPr>
              <w:t>29.9</w:t>
            </w:r>
            <w:r>
              <w:rPr>
                <w:b/>
                <w:bCs/>
                <w:lang w:eastAsia="en-NZ"/>
              </w:rPr>
              <w:t xml:space="preserve"> </w:t>
            </w:r>
            <w:r w:rsidRPr="00AB5342">
              <w:rPr>
                <w:b/>
                <w:bCs/>
                <w:lang w:eastAsia="en-NZ"/>
              </w:rPr>
              <w:t>(26.9–33.1)</w:t>
            </w:r>
          </w:p>
        </w:tc>
        <w:tc>
          <w:tcPr>
            <w:tcW w:w="1701" w:type="dxa"/>
            <w:tcBorders>
              <w:top w:val="nil"/>
            </w:tcBorders>
            <w:shd w:val="clear" w:color="auto" w:fill="auto"/>
            <w:noWrap/>
            <w:hideMark/>
          </w:tcPr>
          <w:p w14:paraId="3A5E97D4" w14:textId="77777777" w:rsidR="00A803E6" w:rsidRPr="00AB5342" w:rsidRDefault="00A803E6" w:rsidP="00A803E6">
            <w:pPr>
              <w:pStyle w:val="TableText"/>
              <w:jc w:val="center"/>
              <w:rPr>
                <w:b/>
                <w:bCs/>
                <w:lang w:eastAsia="en-NZ"/>
              </w:rPr>
            </w:pPr>
            <w:r w:rsidRPr="00AB5342">
              <w:rPr>
                <w:b/>
                <w:bCs/>
                <w:lang w:eastAsia="en-NZ"/>
              </w:rPr>
              <w:t>19.8</w:t>
            </w:r>
            <w:r>
              <w:rPr>
                <w:b/>
                <w:bCs/>
                <w:lang w:eastAsia="en-NZ"/>
              </w:rPr>
              <w:t xml:space="preserve"> </w:t>
            </w:r>
            <w:r w:rsidRPr="00AB5342">
              <w:rPr>
                <w:b/>
                <w:bCs/>
                <w:lang w:eastAsia="en-NZ"/>
              </w:rPr>
              <w:t>(15.6–24.6)</w:t>
            </w:r>
          </w:p>
        </w:tc>
        <w:tc>
          <w:tcPr>
            <w:tcW w:w="1701" w:type="dxa"/>
            <w:tcBorders>
              <w:top w:val="nil"/>
            </w:tcBorders>
            <w:shd w:val="clear" w:color="auto" w:fill="auto"/>
            <w:noWrap/>
            <w:hideMark/>
          </w:tcPr>
          <w:p w14:paraId="59F383F8" w14:textId="77777777" w:rsidR="00A803E6" w:rsidRPr="00AB5342" w:rsidRDefault="00A803E6" w:rsidP="00A803E6">
            <w:pPr>
              <w:pStyle w:val="TableText"/>
              <w:jc w:val="center"/>
              <w:rPr>
                <w:b/>
                <w:bCs/>
                <w:lang w:eastAsia="en-NZ"/>
              </w:rPr>
            </w:pPr>
            <w:r w:rsidRPr="00AB5342">
              <w:rPr>
                <w:b/>
                <w:bCs/>
                <w:lang w:eastAsia="en-NZ"/>
              </w:rPr>
              <w:t>29.2</w:t>
            </w:r>
            <w:r>
              <w:rPr>
                <w:b/>
                <w:bCs/>
                <w:lang w:eastAsia="en-NZ"/>
              </w:rPr>
              <w:t xml:space="preserve"> </w:t>
            </w:r>
            <w:r w:rsidRPr="00AB5342">
              <w:rPr>
                <w:b/>
                <w:bCs/>
                <w:lang w:eastAsia="en-NZ"/>
              </w:rPr>
              <w:t>(25.1–33.5)</w:t>
            </w:r>
          </w:p>
        </w:tc>
        <w:tc>
          <w:tcPr>
            <w:tcW w:w="1701" w:type="dxa"/>
            <w:tcBorders>
              <w:top w:val="nil"/>
            </w:tcBorders>
            <w:shd w:val="clear" w:color="auto" w:fill="auto"/>
            <w:noWrap/>
            <w:hideMark/>
          </w:tcPr>
          <w:p w14:paraId="6E1AA6C5" w14:textId="77777777" w:rsidR="00A803E6" w:rsidRPr="00AB5342" w:rsidRDefault="00A803E6" w:rsidP="00A803E6">
            <w:pPr>
              <w:pStyle w:val="TableText"/>
              <w:jc w:val="center"/>
              <w:rPr>
                <w:b/>
                <w:bCs/>
                <w:lang w:eastAsia="en-NZ"/>
              </w:rPr>
            </w:pPr>
            <w:r w:rsidRPr="00AB5342">
              <w:rPr>
                <w:b/>
                <w:bCs/>
                <w:lang w:eastAsia="en-NZ"/>
              </w:rPr>
              <w:t>13.9</w:t>
            </w:r>
            <w:r>
              <w:rPr>
                <w:b/>
                <w:bCs/>
                <w:lang w:eastAsia="en-NZ"/>
              </w:rPr>
              <w:t xml:space="preserve"> </w:t>
            </w:r>
            <w:r w:rsidRPr="00AB5342">
              <w:rPr>
                <w:b/>
                <w:bCs/>
                <w:lang w:eastAsia="en-NZ"/>
              </w:rPr>
              <w:t>(12.7–15.1)</w:t>
            </w:r>
          </w:p>
        </w:tc>
      </w:tr>
      <w:tr w:rsidR="00A803E6" w:rsidRPr="00CE55CC" w14:paraId="2A1B5DDE" w14:textId="77777777" w:rsidTr="00A803E6">
        <w:trPr>
          <w:trHeight w:val="300"/>
        </w:trPr>
        <w:tc>
          <w:tcPr>
            <w:tcW w:w="2127" w:type="dxa"/>
            <w:shd w:val="clear" w:color="auto" w:fill="auto"/>
            <w:noWrap/>
            <w:vAlign w:val="bottom"/>
            <w:hideMark/>
          </w:tcPr>
          <w:p w14:paraId="3FE10040" w14:textId="77777777" w:rsidR="00A803E6" w:rsidRPr="00AB5342" w:rsidRDefault="00A803E6" w:rsidP="00A803E6">
            <w:pPr>
              <w:pStyle w:val="TableText"/>
              <w:rPr>
                <w:lang w:eastAsia="en-NZ"/>
              </w:rPr>
            </w:pPr>
            <w:r>
              <w:rPr>
                <w:lang w:eastAsia="en-NZ"/>
              </w:rPr>
              <w:t>P</w:t>
            </w:r>
            <w:r w:rsidRPr="00AB5342">
              <w:rPr>
                <w:lang w:eastAsia="en-NZ"/>
              </w:rPr>
              <w:t>hysical abuse</w:t>
            </w:r>
          </w:p>
        </w:tc>
        <w:tc>
          <w:tcPr>
            <w:tcW w:w="1701" w:type="dxa"/>
            <w:shd w:val="clear" w:color="auto" w:fill="auto"/>
            <w:noWrap/>
            <w:hideMark/>
          </w:tcPr>
          <w:p w14:paraId="35D37A4E" w14:textId="77777777" w:rsidR="00A803E6" w:rsidRPr="00AB5342" w:rsidRDefault="00A803E6" w:rsidP="00A803E6">
            <w:pPr>
              <w:pStyle w:val="TableText"/>
              <w:jc w:val="center"/>
              <w:rPr>
                <w:lang w:eastAsia="en-NZ"/>
              </w:rPr>
            </w:pPr>
            <w:r w:rsidRPr="00AB5342">
              <w:rPr>
                <w:lang w:eastAsia="en-NZ"/>
              </w:rPr>
              <w:t>7.2</w:t>
            </w:r>
            <w:r>
              <w:rPr>
                <w:lang w:eastAsia="en-NZ"/>
              </w:rPr>
              <w:t xml:space="preserve"> </w:t>
            </w:r>
            <w:r w:rsidRPr="00AB5342">
              <w:rPr>
                <w:lang w:eastAsia="en-NZ"/>
              </w:rPr>
              <w:t>(5.9–8.7)</w:t>
            </w:r>
          </w:p>
        </w:tc>
        <w:tc>
          <w:tcPr>
            <w:tcW w:w="1701" w:type="dxa"/>
            <w:shd w:val="clear" w:color="auto" w:fill="auto"/>
            <w:noWrap/>
            <w:hideMark/>
          </w:tcPr>
          <w:p w14:paraId="0D07E120" w14:textId="77777777" w:rsidR="00A803E6" w:rsidRPr="00AB5342" w:rsidRDefault="00A803E6" w:rsidP="00A803E6">
            <w:pPr>
              <w:pStyle w:val="TableText"/>
              <w:jc w:val="center"/>
              <w:rPr>
                <w:lang w:eastAsia="en-NZ"/>
              </w:rPr>
            </w:pPr>
            <w:r w:rsidRPr="00AB5342">
              <w:rPr>
                <w:lang w:eastAsia="en-NZ"/>
              </w:rPr>
              <w:t>4.5</w:t>
            </w:r>
            <w:r>
              <w:rPr>
                <w:lang w:eastAsia="en-NZ"/>
              </w:rPr>
              <w:t xml:space="preserve"> </w:t>
            </w:r>
            <w:r w:rsidRPr="00AB5342">
              <w:rPr>
                <w:lang w:eastAsia="en-NZ"/>
              </w:rPr>
              <w:t>(2.5–7.3)</w:t>
            </w:r>
          </w:p>
        </w:tc>
        <w:tc>
          <w:tcPr>
            <w:tcW w:w="1701" w:type="dxa"/>
            <w:shd w:val="clear" w:color="auto" w:fill="auto"/>
            <w:noWrap/>
            <w:hideMark/>
          </w:tcPr>
          <w:p w14:paraId="0254337D" w14:textId="77777777" w:rsidR="00A803E6" w:rsidRPr="00AB5342" w:rsidRDefault="00A803E6" w:rsidP="00A803E6">
            <w:pPr>
              <w:pStyle w:val="TableText"/>
              <w:jc w:val="center"/>
              <w:rPr>
                <w:lang w:eastAsia="en-NZ"/>
              </w:rPr>
            </w:pPr>
            <w:r w:rsidRPr="00AB5342">
              <w:rPr>
                <w:lang w:eastAsia="en-NZ"/>
              </w:rPr>
              <w:t>3.7</w:t>
            </w:r>
            <w:r>
              <w:rPr>
                <w:lang w:eastAsia="en-NZ"/>
              </w:rPr>
              <w:t xml:space="preserve"> </w:t>
            </w:r>
            <w:r w:rsidRPr="00AB5342">
              <w:rPr>
                <w:lang w:eastAsia="en-NZ"/>
              </w:rPr>
              <w:t>(2.3–5.7)</w:t>
            </w:r>
          </w:p>
        </w:tc>
        <w:tc>
          <w:tcPr>
            <w:tcW w:w="1701" w:type="dxa"/>
            <w:shd w:val="clear" w:color="auto" w:fill="auto"/>
            <w:noWrap/>
            <w:hideMark/>
          </w:tcPr>
          <w:p w14:paraId="7347F1FD" w14:textId="77777777" w:rsidR="00A803E6" w:rsidRPr="00AB5342" w:rsidRDefault="00A803E6" w:rsidP="00A803E6">
            <w:pPr>
              <w:pStyle w:val="TableText"/>
              <w:jc w:val="center"/>
              <w:rPr>
                <w:lang w:eastAsia="en-NZ"/>
              </w:rPr>
            </w:pPr>
            <w:r w:rsidRPr="00AB5342">
              <w:rPr>
                <w:lang w:eastAsia="en-NZ"/>
              </w:rPr>
              <w:t>2.6</w:t>
            </w:r>
            <w:r>
              <w:rPr>
                <w:lang w:eastAsia="en-NZ"/>
              </w:rPr>
              <w:t xml:space="preserve"> </w:t>
            </w:r>
            <w:r w:rsidRPr="00AB5342">
              <w:rPr>
                <w:lang w:eastAsia="en-NZ"/>
              </w:rPr>
              <w:t>(2.1–3.2)</w:t>
            </w:r>
          </w:p>
        </w:tc>
      </w:tr>
      <w:tr w:rsidR="00A803E6" w:rsidRPr="00CE55CC" w14:paraId="1A5B0F0C" w14:textId="77777777" w:rsidTr="00A803E6">
        <w:trPr>
          <w:trHeight w:val="300"/>
        </w:trPr>
        <w:tc>
          <w:tcPr>
            <w:tcW w:w="2127" w:type="dxa"/>
            <w:shd w:val="clear" w:color="auto" w:fill="auto"/>
            <w:noWrap/>
            <w:vAlign w:val="bottom"/>
            <w:hideMark/>
          </w:tcPr>
          <w:p w14:paraId="76ECC7DD" w14:textId="77777777" w:rsidR="00A803E6" w:rsidRPr="00AB5342" w:rsidRDefault="00A803E6" w:rsidP="00A803E6">
            <w:pPr>
              <w:pStyle w:val="TableText"/>
              <w:rPr>
                <w:lang w:eastAsia="en-NZ"/>
              </w:rPr>
            </w:pPr>
            <w:r>
              <w:rPr>
                <w:lang w:eastAsia="en-NZ"/>
              </w:rPr>
              <w:t>V</w:t>
            </w:r>
            <w:r w:rsidRPr="00AB5342">
              <w:rPr>
                <w:lang w:eastAsia="en-NZ"/>
              </w:rPr>
              <w:t>erbal abuse</w:t>
            </w:r>
          </w:p>
        </w:tc>
        <w:tc>
          <w:tcPr>
            <w:tcW w:w="1701" w:type="dxa"/>
            <w:shd w:val="clear" w:color="auto" w:fill="auto"/>
            <w:noWrap/>
            <w:hideMark/>
          </w:tcPr>
          <w:p w14:paraId="74BC6EA8" w14:textId="77777777" w:rsidR="00A803E6" w:rsidRPr="00AB5342" w:rsidRDefault="00A803E6" w:rsidP="00A803E6">
            <w:pPr>
              <w:pStyle w:val="TableText"/>
              <w:jc w:val="center"/>
              <w:rPr>
                <w:lang w:eastAsia="en-NZ"/>
              </w:rPr>
            </w:pPr>
            <w:r w:rsidRPr="00AB5342">
              <w:rPr>
                <w:lang w:eastAsia="en-NZ"/>
              </w:rPr>
              <w:t>29.1</w:t>
            </w:r>
            <w:r>
              <w:rPr>
                <w:lang w:eastAsia="en-NZ"/>
              </w:rPr>
              <w:t xml:space="preserve"> </w:t>
            </w:r>
            <w:r w:rsidRPr="00AB5342">
              <w:rPr>
                <w:lang w:eastAsia="en-NZ"/>
              </w:rPr>
              <w:t>(26.0–32.2)</w:t>
            </w:r>
          </w:p>
        </w:tc>
        <w:tc>
          <w:tcPr>
            <w:tcW w:w="1701" w:type="dxa"/>
            <w:shd w:val="clear" w:color="auto" w:fill="auto"/>
            <w:noWrap/>
            <w:hideMark/>
          </w:tcPr>
          <w:p w14:paraId="7BEE0928" w14:textId="77777777" w:rsidR="00A803E6" w:rsidRPr="00AB5342" w:rsidRDefault="00A803E6" w:rsidP="00A803E6">
            <w:pPr>
              <w:pStyle w:val="TableText"/>
              <w:jc w:val="center"/>
              <w:rPr>
                <w:lang w:eastAsia="en-NZ"/>
              </w:rPr>
            </w:pPr>
            <w:r w:rsidRPr="00AB5342">
              <w:rPr>
                <w:lang w:eastAsia="en-NZ"/>
              </w:rPr>
              <w:t>19.5</w:t>
            </w:r>
            <w:r>
              <w:rPr>
                <w:lang w:eastAsia="en-NZ"/>
              </w:rPr>
              <w:t xml:space="preserve"> </w:t>
            </w:r>
            <w:r w:rsidRPr="00AB5342">
              <w:rPr>
                <w:lang w:eastAsia="en-NZ"/>
              </w:rPr>
              <w:t>(15.3–24.2)</w:t>
            </w:r>
          </w:p>
        </w:tc>
        <w:tc>
          <w:tcPr>
            <w:tcW w:w="1701" w:type="dxa"/>
            <w:shd w:val="clear" w:color="auto" w:fill="auto"/>
            <w:noWrap/>
            <w:hideMark/>
          </w:tcPr>
          <w:p w14:paraId="75E2338C" w14:textId="77777777" w:rsidR="00A803E6" w:rsidRPr="00AB5342" w:rsidRDefault="00A803E6" w:rsidP="00A803E6">
            <w:pPr>
              <w:pStyle w:val="TableText"/>
              <w:jc w:val="center"/>
              <w:rPr>
                <w:lang w:eastAsia="en-NZ"/>
              </w:rPr>
            </w:pPr>
            <w:r w:rsidRPr="00AB5342">
              <w:rPr>
                <w:lang w:eastAsia="en-NZ"/>
              </w:rPr>
              <w:t>28.8</w:t>
            </w:r>
            <w:r>
              <w:rPr>
                <w:lang w:eastAsia="en-NZ"/>
              </w:rPr>
              <w:t xml:space="preserve"> </w:t>
            </w:r>
            <w:r w:rsidRPr="00AB5342">
              <w:rPr>
                <w:lang w:eastAsia="en-NZ"/>
              </w:rPr>
              <w:t>(24.7–33.2)</w:t>
            </w:r>
          </w:p>
        </w:tc>
        <w:tc>
          <w:tcPr>
            <w:tcW w:w="1701" w:type="dxa"/>
            <w:shd w:val="clear" w:color="auto" w:fill="auto"/>
            <w:noWrap/>
            <w:hideMark/>
          </w:tcPr>
          <w:p w14:paraId="01E070FB" w14:textId="77777777" w:rsidR="00A803E6" w:rsidRPr="00AB5342" w:rsidRDefault="00A803E6" w:rsidP="00A803E6">
            <w:pPr>
              <w:pStyle w:val="TableText"/>
              <w:jc w:val="center"/>
              <w:rPr>
                <w:lang w:eastAsia="en-NZ"/>
              </w:rPr>
            </w:pPr>
            <w:r w:rsidRPr="00AB5342">
              <w:rPr>
                <w:lang w:eastAsia="en-NZ"/>
              </w:rPr>
              <w:t>13.2</w:t>
            </w:r>
            <w:r>
              <w:rPr>
                <w:lang w:eastAsia="en-NZ"/>
              </w:rPr>
              <w:t xml:space="preserve"> </w:t>
            </w:r>
            <w:r w:rsidRPr="00AB5342">
              <w:rPr>
                <w:lang w:eastAsia="en-NZ"/>
              </w:rPr>
              <w:t>(12</w:t>
            </w:r>
            <w:r>
              <w:rPr>
                <w:lang w:eastAsia="en-NZ"/>
              </w:rPr>
              <w:t>.0</w:t>
            </w:r>
            <w:r w:rsidRPr="00AB5342">
              <w:rPr>
                <w:lang w:eastAsia="en-NZ"/>
              </w:rPr>
              <w:t>–14.5)</w:t>
            </w:r>
          </w:p>
        </w:tc>
      </w:tr>
      <w:tr w:rsidR="00A803E6" w:rsidRPr="00CE55CC" w14:paraId="757ECCAF" w14:textId="77777777" w:rsidTr="00A803E6">
        <w:trPr>
          <w:trHeight w:val="300"/>
        </w:trPr>
        <w:tc>
          <w:tcPr>
            <w:tcW w:w="2127" w:type="dxa"/>
            <w:shd w:val="clear" w:color="auto" w:fill="auto"/>
            <w:noWrap/>
            <w:vAlign w:val="bottom"/>
            <w:hideMark/>
          </w:tcPr>
          <w:p w14:paraId="325D0C3D" w14:textId="77777777" w:rsidR="00A803E6" w:rsidRPr="00AB5342" w:rsidRDefault="00A803E6" w:rsidP="00A803E6">
            <w:pPr>
              <w:pStyle w:val="TableText"/>
              <w:rPr>
                <w:b/>
                <w:bCs/>
                <w:lang w:eastAsia="en-NZ"/>
              </w:rPr>
            </w:pPr>
            <w:r w:rsidRPr="00AB5342">
              <w:rPr>
                <w:b/>
                <w:bCs/>
                <w:lang w:eastAsia="en-NZ"/>
              </w:rPr>
              <w:t>Experience of unfair treatment</w:t>
            </w:r>
          </w:p>
        </w:tc>
        <w:tc>
          <w:tcPr>
            <w:tcW w:w="1701" w:type="dxa"/>
            <w:shd w:val="clear" w:color="auto" w:fill="auto"/>
            <w:noWrap/>
            <w:hideMark/>
          </w:tcPr>
          <w:p w14:paraId="36AB5894" w14:textId="77777777" w:rsidR="00A803E6" w:rsidRPr="00AB5342" w:rsidRDefault="00A803E6" w:rsidP="00A803E6">
            <w:pPr>
              <w:pStyle w:val="TableText"/>
              <w:jc w:val="center"/>
              <w:rPr>
                <w:b/>
                <w:bCs/>
                <w:lang w:eastAsia="en-NZ"/>
              </w:rPr>
            </w:pPr>
            <w:r w:rsidRPr="00AB5342">
              <w:rPr>
                <w:b/>
                <w:bCs/>
                <w:lang w:eastAsia="en-NZ"/>
              </w:rPr>
              <w:t>18.6</w:t>
            </w:r>
            <w:r>
              <w:rPr>
                <w:b/>
                <w:bCs/>
                <w:lang w:eastAsia="en-NZ"/>
              </w:rPr>
              <w:t xml:space="preserve"> </w:t>
            </w:r>
            <w:r w:rsidRPr="00AB5342">
              <w:rPr>
                <w:b/>
                <w:bCs/>
                <w:lang w:eastAsia="en-NZ"/>
              </w:rPr>
              <w:t>(16.3–21.0)</w:t>
            </w:r>
          </w:p>
        </w:tc>
        <w:tc>
          <w:tcPr>
            <w:tcW w:w="1701" w:type="dxa"/>
            <w:shd w:val="clear" w:color="auto" w:fill="auto"/>
            <w:noWrap/>
            <w:hideMark/>
          </w:tcPr>
          <w:p w14:paraId="6671E621" w14:textId="77777777" w:rsidR="00A803E6" w:rsidRPr="00AB5342" w:rsidRDefault="00A803E6" w:rsidP="00A803E6">
            <w:pPr>
              <w:pStyle w:val="TableText"/>
              <w:jc w:val="center"/>
              <w:rPr>
                <w:b/>
                <w:bCs/>
                <w:lang w:eastAsia="en-NZ"/>
              </w:rPr>
            </w:pPr>
            <w:r w:rsidRPr="00AB5342">
              <w:rPr>
                <w:b/>
                <w:bCs/>
                <w:lang w:eastAsia="en-NZ"/>
              </w:rPr>
              <w:t>15.0</w:t>
            </w:r>
            <w:r>
              <w:rPr>
                <w:b/>
                <w:bCs/>
                <w:lang w:eastAsia="en-NZ"/>
              </w:rPr>
              <w:t xml:space="preserve"> </w:t>
            </w:r>
            <w:r w:rsidRPr="00AB5342">
              <w:rPr>
                <w:b/>
                <w:bCs/>
                <w:lang w:eastAsia="en-NZ"/>
              </w:rPr>
              <w:t>(11.6–19</w:t>
            </w:r>
            <w:r>
              <w:rPr>
                <w:b/>
                <w:bCs/>
                <w:lang w:eastAsia="en-NZ"/>
              </w:rPr>
              <w:t>.0</w:t>
            </w:r>
            <w:r w:rsidRPr="00AB5342">
              <w:rPr>
                <w:b/>
                <w:bCs/>
                <w:lang w:eastAsia="en-NZ"/>
              </w:rPr>
              <w:t>)</w:t>
            </w:r>
          </w:p>
        </w:tc>
        <w:tc>
          <w:tcPr>
            <w:tcW w:w="1701" w:type="dxa"/>
            <w:shd w:val="clear" w:color="auto" w:fill="auto"/>
            <w:noWrap/>
            <w:hideMark/>
          </w:tcPr>
          <w:p w14:paraId="3A965AF4" w14:textId="77777777" w:rsidR="00A803E6" w:rsidRPr="00AB5342" w:rsidRDefault="00A803E6" w:rsidP="00A803E6">
            <w:pPr>
              <w:pStyle w:val="TableText"/>
              <w:jc w:val="center"/>
              <w:rPr>
                <w:b/>
                <w:bCs/>
                <w:lang w:eastAsia="en-NZ"/>
              </w:rPr>
            </w:pPr>
            <w:r w:rsidRPr="00AB5342">
              <w:rPr>
                <w:b/>
                <w:bCs/>
                <w:lang w:eastAsia="en-NZ"/>
              </w:rPr>
              <w:t>14.1</w:t>
            </w:r>
            <w:r>
              <w:rPr>
                <w:b/>
                <w:bCs/>
                <w:lang w:eastAsia="en-NZ"/>
              </w:rPr>
              <w:t xml:space="preserve"> </w:t>
            </w:r>
            <w:r w:rsidRPr="00AB5342">
              <w:rPr>
                <w:b/>
                <w:bCs/>
                <w:lang w:eastAsia="en-NZ"/>
              </w:rPr>
              <w:t>(11.5–16.9)</w:t>
            </w:r>
          </w:p>
        </w:tc>
        <w:tc>
          <w:tcPr>
            <w:tcW w:w="1701" w:type="dxa"/>
            <w:shd w:val="clear" w:color="auto" w:fill="auto"/>
            <w:noWrap/>
            <w:hideMark/>
          </w:tcPr>
          <w:p w14:paraId="352C09C0" w14:textId="77777777" w:rsidR="00A803E6" w:rsidRPr="00AB5342" w:rsidRDefault="00A803E6" w:rsidP="00A803E6">
            <w:pPr>
              <w:pStyle w:val="TableText"/>
              <w:jc w:val="center"/>
              <w:rPr>
                <w:b/>
                <w:bCs/>
                <w:lang w:eastAsia="en-NZ"/>
              </w:rPr>
            </w:pPr>
            <w:r w:rsidRPr="00AB5342">
              <w:rPr>
                <w:b/>
                <w:bCs/>
                <w:lang w:eastAsia="en-NZ"/>
              </w:rPr>
              <w:t>5.2</w:t>
            </w:r>
            <w:r>
              <w:rPr>
                <w:b/>
                <w:bCs/>
                <w:lang w:eastAsia="en-NZ"/>
              </w:rPr>
              <w:t xml:space="preserve"> </w:t>
            </w:r>
            <w:r w:rsidRPr="00AB5342">
              <w:rPr>
                <w:b/>
                <w:bCs/>
                <w:lang w:eastAsia="en-NZ"/>
              </w:rPr>
              <w:t>(4.5–5.9)</w:t>
            </w:r>
          </w:p>
        </w:tc>
      </w:tr>
      <w:tr w:rsidR="00A803E6" w:rsidRPr="00CE55CC" w14:paraId="7D2A7116" w14:textId="77777777" w:rsidTr="00A803E6">
        <w:trPr>
          <w:trHeight w:val="300"/>
        </w:trPr>
        <w:tc>
          <w:tcPr>
            <w:tcW w:w="2127" w:type="dxa"/>
            <w:shd w:val="clear" w:color="auto" w:fill="auto"/>
            <w:noWrap/>
            <w:vAlign w:val="bottom"/>
            <w:hideMark/>
          </w:tcPr>
          <w:p w14:paraId="1C7F4FC9" w14:textId="77777777" w:rsidR="00A803E6" w:rsidRPr="00AB5342" w:rsidRDefault="00A803E6" w:rsidP="00A803E6">
            <w:pPr>
              <w:pStyle w:val="TableText"/>
              <w:rPr>
                <w:lang w:eastAsia="en-NZ"/>
              </w:rPr>
            </w:pPr>
            <w:r>
              <w:rPr>
                <w:lang w:eastAsia="en-NZ"/>
              </w:rPr>
              <w:t>U</w:t>
            </w:r>
            <w:r w:rsidRPr="00AB5342">
              <w:rPr>
                <w:lang w:eastAsia="en-NZ"/>
              </w:rPr>
              <w:t>nfair treatment by a health professional</w:t>
            </w:r>
          </w:p>
        </w:tc>
        <w:tc>
          <w:tcPr>
            <w:tcW w:w="1701" w:type="dxa"/>
            <w:shd w:val="clear" w:color="auto" w:fill="auto"/>
            <w:noWrap/>
            <w:hideMark/>
          </w:tcPr>
          <w:p w14:paraId="5B248F62" w14:textId="77777777" w:rsidR="00A803E6" w:rsidRPr="00AB5342" w:rsidRDefault="00A803E6" w:rsidP="00A803E6">
            <w:pPr>
              <w:pStyle w:val="TableText"/>
              <w:jc w:val="center"/>
              <w:rPr>
                <w:lang w:eastAsia="en-NZ"/>
              </w:rPr>
            </w:pPr>
            <w:r w:rsidRPr="00AB5342">
              <w:rPr>
                <w:lang w:eastAsia="en-NZ"/>
              </w:rPr>
              <w:t>8.3</w:t>
            </w:r>
            <w:r>
              <w:rPr>
                <w:lang w:eastAsia="en-NZ"/>
              </w:rPr>
              <w:t xml:space="preserve"> </w:t>
            </w:r>
            <w:r w:rsidRPr="00AB5342">
              <w:rPr>
                <w:lang w:eastAsia="en-NZ"/>
              </w:rPr>
              <w:t>(6.7–10.3)</w:t>
            </w:r>
          </w:p>
        </w:tc>
        <w:tc>
          <w:tcPr>
            <w:tcW w:w="1701" w:type="dxa"/>
            <w:shd w:val="clear" w:color="auto" w:fill="auto"/>
            <w:noWrap/>
            <w:hideMark/>
          </w:tcPr>
          <w:p w14:paraId="249D99BD" w14:textId="77777777" w:rsidR="00A803E6" w:rsidRPr="00AB5342" w:rsidRDefault="00A803E6" w:rsidP="00A803E6">
            <w:pPr>
              <w:pStyle w:val="TableText"/>
              <w:jc w:val="center"/>
              <w:rPr>
                <w:lang w:eastAsia="en-NZ"/>
              </w:rPr>
            </w:pPr>
            <w:r w:rsidRPr="00AB5342">
              <w:rPr>
                <w:lang w:eastAsia="en-NZ"/>
              </w:rPr>
              <w:t>6.4</w:t>
            </w:r>
            <w:r>
              <w:rPr>
                <w:lang w:eastAsia="en-NZ"/>
              </w:rPr>
              <w:t xml:space="preserve"> </w:t>
            </w:r>
            <w:r w:rsidRPr="00AB5342">
              <w:rPr>
                <w:lang w:eastAsia="en-NZ"/>
              </w:rPr>
              <w:t>(4.2–9.4)</w:t>
            </w:r>
          </w:p>
        </w:tc>
        <w:tc>
          <w:tcPr>
            <w:tcW w:w="1701" w:type="dxa"/>
            <w:shd w:val="clear" w:color="auto" w:fill="auto"/>
            <w:noWrap/>
            <w:hideMark/>
          </w:tcPr>
          <w:p w14:paraId="4D1FBA28" w14:textId="77777777" w:rsidR="00A803E6" w:rsidRPr="00AB5342" w:rsidRDefault="00A803E6" w:rsidP="00A803E6">
            <w:pPr>
              <w:pStyle w:val="TableText"/>
              <w:jc w:val="center"/>
              <w:rPr>
                <w:lang w:eastAsia="en-NZ"/>
              </w:rPr>
            </w:pPr>
            <w:r w:rsidRPr="00AB5342">
              <w:rPr>
                <w:lang w:eastAsia="en-NZ"/>
              </w:rPr>
              <w:t>2.7</w:t>
            </w:r>
            <w:r>
              <w:rPr>
                <w:lang w:eastAsia="en-NZ"/>
              </w:rPr>
              <w:t xml:space="preserve"> </w:t>
            </w:r>
            <w:r w:rsidRPr="00AB5342">
              <w:rPr>
                <w:lang w:eastAsia="en-NZ"/>
              </w:rPr>
              <w:t>(1.5–4.4)</w:t>
            </w:r>
          </w:p>
        </w:tc>
        <w:tc>
          <w:tcPr>
            <w:tcW w:w="1701" w:type="dxa"/>
            <w:shd w:val="clear" w:color="auto" w:fill="auto"/>
            <w:noWrap/>
            <w:hideMark/>
          </w:tcPr>
          <w:p w14:paraId="553569D8" w14:textId="77777777" w:rsidR="00A803E6" w:rsidRPr="00AB5342" w:rsidRDefault="00A803E6" w:rsidP="00A803E6">
            <w:pPr>
              <w:pStyle w:val="TableText"/>
              <w:jc w:val="center"/>
              <w:rPr>
                <w:lang w:eastAsia="en-NZ"/>
              </w:rPr>
            </w:pPr>
            <w:r w:rsidRPr="00AB5342">
              <w:rPr>
                <w:lang w:eastAsia="en-NZ"/>
              </w:rPr>
              <w:t>1.8</w:t>
            </w:r>
            <w:r>
              <w:rPr>
                <w:lang w:eastAsia="en-NZ"/>
              </w:rPr>
              <w:t xml:space="preserve"> </w:t>
            </w:r>
            <w:r w:rsidRPr="00AB5342">
              <w:rPr>
                <w:lang w:eastAsia="en-NZ"/>
              </w:rPr>
              <w:t>(1.4–2.3)</w:t>
            </w:r>
          </w:p>
        </w:tc>
      </w:tr>
      <w:tr w:rsidR="00A803E6" w:rsidRPr="00CE55CC" w14:paraId="39792C7A" w14:textId="77777777" w:rsidTr="00A803E6">
        <w:trPr>
          <w:trHeight w:val="300"/>
        </w:trPr>
        <w:tc>
          <w:tcPr>
            <w:tcW w:w="2127" w:type="dxa"/>
            <w:shd w:val="clear" w:color="auto" w:fill="auto"/>
            <w:noWrap/>
            <w:vAlign w:val="bottom"/>
            <w:hideMark/>
          </w:tcPr>
          <w:p w14:paraId="60414F3A" w14:textId="77777777" w:rsidR="00A803E6" w:rsidRPr="00AB5342" w:rsidRDefault="00A803E6" w:rsidP="00A803E6">
            <w:pPr>
              <w:pStyle w:val="TableText"/>
              <w:rPr>
                <w:lang w:eastAsia="en-NZ"/>
              </w:rPr>
            </w:pPr>
            <w:r>
              <w:rPr>
                <w:lang w:eastAsia="en-NZ"/>
              </w:rPr>
              <w:t>U</w:t>
            </w:r>
            <w:r w:rsidRPr="00AB5342">
              <w:rPr>
                <w:lang w:eastAsia="en-NZ"/>
              </w:rPr>
              <w:t>nfair treatment at work or refusal of a job</w:t>
            </w:r>
          </w:p>
        </w:tc>
        <w:tc>
          <w:tcPr>
            <w:tcW w:w="1701" w:type="dxa"/>
            <w:shd w:val="clear" w:color="auto" w:fill="auto"/>
            <w:noWrap/>
            <w:hideMark/>
          </w:tcPr>
          <w:p w14:paraId="44895630" w14:textId="77777777" w:rsidR="00A803E6" w:rsidRPr="00AB5342" w:rsidRDefault="00A803E6" w:rsidP="00A803E6">
            <w:pPr>
              <w:pStyle w:val="TableText"/>
              <w:jc w:val="center"/>
              <w:rPr>
                <w:lang w:eastAsia="en-NZ"/>
              </w:rPr>
            </w:pPr>
            <w:r w:rsidRPr="00AB5342">
              <w:rPr>
                <w:lang w:eastAsia="en-NZ"/>
              </w:rPr>
              <w:t>8.1</w:t>
            </w:r>
            <w:r>
              <w:rPr>
                <w:lang w:eastAsia="en-NZ"/>
              </w:rPr>
              <w:t xml:space="preserve"> </w:t>
            </w:r>
            <w:r w:rsidRPr="00AB5342">
              <w:rPr>
                <w:lang w:eastAsia="en-NZ"/>
              </w:rPr>
              <w:t>(6.6–9.8)</w:t>
            </w:r>
          </w:p>
        </w:tc>
        <w:tc>
          <w:tcPr>
            <w:tcW w:w="1701" w:type="dxa"/>
            <w:shd w:val="clear" w:color="auto" w:fill="auto"/>
            <w:noWrap/>
            <w:hideMark/>
          </w:tcPr>
          <w:p w14:paraId="63BC3B6A" w14:textId="77777777" w:rsidR="00A803E6" w:rsidRPr="00AB5342" w:rsidRDefault="00A803E6" w:rsidP="00A803E6">
            <w:pPr>
              <w:pStyle w:val="TableText"/>
              <w:jc w:val="center"/>
              <w:rPr>
                <w:lang w:eastAsia="en-NZ"/>
              </w:rPr>
            </w:pPr>
            <w:r w:rsidRPr="00AB5342">
              <w:rPr>
                <w:lang w:eastAsia="en-NZ"/>
              </w:rPr>
              <w:t>8.6</w:t>
            </w:r>
            <w:r>
              <w:rPr>
                <w:lang w:eastAsia="en-NZ"/>
              </w:rPr>
              <w:t xml:space="preserve"> </w:t>
            </w:r>
            <w:r w:rsidRPr="00AB5342">
              <w:rPr>
                <w:lang w:eastAsia="en-NZ"/>
              </w:rPr>
              <w:t>(6.0–11.9)</w:t>
            </w:r>
          </w:p>
        </w:tc>
        <w:tc>
          <w:tcPr>
            <w:tcW w:w="1701" w:type="dxa"/>
            <w:shd w:val="clear" w:color="auto" w:fill="auto"/>
            <w:noWrap/>
            <w:hideMark/>
          </w:tcPr>
          <w:p w14:paraId="47403264" w14:textId="77777777" w:rsidR="00A803E6" w:rsidRPr="00AB5342" w:rsidRDefault="00A803E6" w:rsidP="00A803E6">
            <w:pPr>
              <w:pStyle w:val="TableText"/>
              <w:jc w:val="center"/>
              <w:rPr>
                <w:lang w:eastAsia="en-NZ"/>
              </w:rPr>
            </w:pPr>
            <w:r w:rsidRPr="00AB5342">
              <w:rPr>
                <w:lang w:eastAsia="en-NZ"/>
              </w:rPr>
              <w:t>10.3</w:t>
            </w:r>
            <w:r>
              <w:rPr>
                <w:lang w:eastAsia="en-NZ"/>
              </w:rPr>
              <w:t xml:space="preserve"> </w:t>
            </w:r>
            <w:r w:rsidRPr="00AB5342">
              <w:rPr>
                <w:lang w:eastAsia="en-NZ"/>
              </w:rPr>
              <w:t>(8.3–12.7)</w:t>
            </w:r>
          </w:p>
        </w:tc>
        <w:tc>
          <w:tcPr>
            <w:tcW w:w="1701" w:type="dxa"/>
            <w:shd w:val="clear" w:color="auto" w:fill="auto"/>
            <w:noWrap/>
            <w:hideMark/>
          </w:tcPr>
          <w:p w14:paraId="04D9FADA" w14:textId="77777777" w:rsidR="00A803E6" w:rsidRPr="00AB5342" w:rsidRDefault="00A803E6" w:rsidP="00A803E6">
            <w:pPr>
              <w:pStyle w:val="TableText"/>
              <w:jc w:val="center"/>
              <w:rPr>
                <w:lang w:eastAsia="en-NZ"/>
              </w:rPr>
            </w:pPr>
            <w:r w:rsidRPr="00AB5342">
              <w:rPr>
                <w:lang w:eastAsia="en-NZ"/>
              </w:rPr>
              <w:t>3.1</w:t>
            </w:r>
            <w:r>
              <w:rPr>
                <w:lang w:eastAsia="en-NZ"/>
              </w:rPr>
              <w:t xml:space="preserve"> </w:t>
            </w:r>
            <w:r w:rsidRPr="00AB5342">
              <w:rPr>
                <w:lang w:eastAsia="en-NZ"/>
              </w:rPr>
              <w:t>(2.6–3.7)</w:t>
            </w:r>
          </w:p>
        </w:tc>
      </w:tr>
      <w:tr w:rsidR="00A803E6" w:rsidRPr="00CE55CC" w14:paraId="1E993A7D" w14:textId="77777777" w:rsidTr="00A803E6">
        <w:trPr>
          <w:trHeight w:val="300"/>
        </w:trPr>
        <w:tc>
          <w:tcPr>
            <w:tcW w:w="2127" w:type="dxa"/>
            <w:shd w:val="clear" w:color="auto" w:fill="auto"/>
            <w:noWrap/>
            <w:vAlign w:val="bottom"/>
            <w:hideMark/>
          </w:tcPr>
          <w:p w14:paraId="78AC0F65" w14:textId="77777777" w:rsidR="00A803E6" w:rsidRPr="00AB5342" w:rsidRDefault="00A803E6" w:rsidP="00A803E6">
            <w:pPr>
              <w:pStyle w:val="TableText"/>
              <w:rPr>
                <w:lang w:eastAsia="en-NZ"/>
              </w:rPr>
            </w:pPr>
            <w:r>
              <w:rPr>
                <w:lang w:eastAsia="en-NZ"/>
              </w:rPr>
              <w:t>U</w:t>
            </w:r>
            <w:r w:rsidRPr="00AB5342">
              <w:rPr>
                <w:lang w:eastAsia="en-NZ"/>
              </w:rPr>
              <w:t>nfair treatment when renting or buying housing</w:t>
            </w:r>
          </w:p>
        </w:tc>
        <w:tc>
          <w:tcPr>
            <w:tcW w:w="1701" w:type="dxa"/>
            <w:shd w:val="clear" w:color="auto" w:fill="auto"/>
            <w:noWrap/>
            <w:hideMark/>
          </w:tcPr>
          <w:p w14:paraId="7BD7960A" w14:textId="77777777" w:rsidR="00A803E6" w:rsidRPr="00AB5342" w:rsidRDefault="00A803E6" w:rsidP="00A803E6">
            <w:pPr>
              <w:pStyle w:val="TableText"/>
              <w:jc w:val="center"/>
              <w:rPr>
                <w:lang w:eastAsia="en-NZ"/>
              </w:rPr>
            </w:pPr>
            <w:r w:rsidRPr="00AB5342">
              <w:rPr>
                <w:lang w:eastAsia="en-NZ"/>
              </w:rPr>
              <w:t>8.8</w:t>
            </w:r>
            <w:r>
              <w:rPr>
                <w:lang w:eastAsia="en-NZ"/>
              </w:rPr>
              <w:t xml:space="preserve"> </w:t>
            </w:r>
            <w:r w:rsidRPr="00AB5342">
              <w:rPr>
                <w:lang w:eastAsia="en-NZ"/>
              </w:rPr>
              <w:t>(7.2–10.5)</w:t>
            </w:r>
          </w:p>
        </w:tc>
        <w:tc>
          <w:tcPr>
            <w:tcW w:w="1701" w:type="dxa"/>
            <w:shd w:val="clear" w:color="auto" w:fill="auto"/>
            <w:noWrap/>
            <w:hideMark/>
          </w:tcPr>
          <w:p w14:paraId="18A403AF" w14:textId="77777777" w:rsidR="00A803E6" w:rsidRPr="00AB5342" w:rsidRDefault="00A803E6" w:rsidP="00A803E6">
            <w:pPr>
              <w:pStyle w:val="TableText"/>
              <w:jc w:val="center"/>
              <w:rPr>
                <w:lang w:eastAsia="en-NZ"/>
              </w:rPr>
            </w:pPr>
            <w:r w:rsidRPr="00AB5342">
              <w:rPr>
                <w:lang w:eastAsia="en-NZ"/>
              </w:rPr>
              <w:t>5.8</w:t>
            </w:r>
            <w:r>
              <w:rPr>
                <w:lang w:eastAsia="en-NZ"/>
              </w:rPr>
              <w:t xml:space="preserve"> </w:t>
            </w:r>
            <w:r w:rsidRPr="00AB5342">
              <w:rPr>
                <w:lang w:eastAsia="en-NZ"/>
              </w:rPr>
              <w:t>(3.8–8.6)</w:t>
            </w:r>
          </w:p>
        </w:tc>
        <w:tc>
          <w:tcPr>
            <w:tcW w:w="1701" w:type="dxa"/>
            <w:shd w:val="clear" w:color="auto" w:fill="auto"/>
            <w:noWrap/>
            <w:hideMark/>
          </w:tcPr>
          <w:p w14:paraId="672E0266" w14:textId="77777777" w:rsidR="00A803E6" w:rsidRPr="00AB5342" w:rsidRDefault="00A803E6" w:rsidP="00A803E6">
            <w:pPr>
              <w:pStyle w:val="TableText"/>
              <w:jc w:val="center"/>
              <w:rPr>
                <w:lang w:eastAsia="en-NZ"/>
              </w:rPr>
            </w:pPr>
            <w:r w:rsidRPr="00AB5342">
              <w:rPr>
                <w:lang w:eastAsia="en-NZ"/>
              </w:rPr>
              <w:t>4.9</w:t>
            </w:r>
            <w:r>
              <w:rPr>
                <w:lang w:eastAsia="en-NZ"/>
              </w:rPr>
              <w:t xml:space="preserve"> </w:t>
            </w:r>
            <w:r w:rsidRPr="00AB5342">
              <w:rPr>
                <w:lang w:eastAsia="en-NZ"/>
              </w:rPr>
              <w:t>(3.3–6.9)</w:t>
            </w:r>
          </w:p>
        </w:tc>
        <w:tc>
          <w:tcPr>
            <w:tcW w:w="1701" w:type="dxa"/>
            <w:shd w:val="clear" w:color="auto" w:fill="auto"/>
            <w:noWrap/>
            <w:hideMark/>
          </w:tcPr>
          <w:p w14:paraId="6B1EFB3D" w14:textId="77777777" w:rsidR="00A803E6" w:rsidRPr="00AB5342" w:rsidRDefault="00A803E6" w:rsidP="00A803E6">
            <w:pPr>
              <w:pStyle w:val="TableText"/>
              <w:jc w:val="center"/>
              <w:rPr>
                <w:lang w:eastAsia="en-NZ"/>
              </w:rPr>
            </w:pPr>
            <w:r w:rsidRPr="00AB5342">
              <w:rPr>
                <w:lang w:eastAsia="en-NZ"/>
              </w:rPr>
              <w:t>1.0</w:t>
            </w:r>
            <w:r>
              <w:rPr>
                <w:lang w:eastAsia="en-NZ"/>
              </w:rPr>
              <w:t xml:space="preserve"> </w:t>
            </w:r>
            <w:r w:rsidRPr="00AB5342">
              <w:rPr>
                <w:lang w:eastAsia="en-NZ"/>
              </w:rPr>
              <w:t>(0.6–1.4)</w:t>
            </w:r>
          </w:p>
        </w:tc>
      </w:tr>
    </w:tbl>
    <w:p w14:paraId="77659377" w14:textId="77777777" w:rsidR="00A803E6" w:rsidRDefault="00A803E6" w:rsidP="00A803E6">
      <w:pPr>
        <w:pStyle w:val="Note"/>
      </w:pPr>
      <w:r w:rsidRPr="00AB5342">
        <w:rPr>
          <w:color w:val="000000" w:themeColor="text1"/>
        </w:rPr>
        <w:t xml:space="preserve">Notes: </w:t>
      </w:r>
      <w:r>
        <w:t>CI = confidence interval.</w:t>
      </w:r>
    </w:p>
    <w:p w14:paraId="0ED73611" w14:textId="77777777" w:rsidR="00A803E6" w:rsidRPr="00AB5342" w:rsidRDefault="00A803E6" w:rsidP="00A803E6">
      <w:pPr>
        <w:pStyle w:val="Note"/>
      </w:pPr>
      <w:r w:rsidRPr="00AB5342">
        <w:rPr>
          <w:color w:val="000000" w:themeColor="text1"/>
        </w:rPr>
        <w:t>* People may experience more than one type of racial discrimination so percentages for specific types of racial discrimination do not sum to the total in each category.</w:t>
      </w:r>
    </w:p>
    <w:p w14:paraId="7141EB23" w14:textId="77777777" w:rsidR="00A803E6" w:rsidRDefault="00A803E6" w:rsidP="00A803E6">
      <w:pPr>
        <w:pStyle w:val="Heading3"/>
      </w:pPr>
      <w:bookmarkStart w:id="45" w:name="_Toc114057313"/>
      <w:r>
        <w:t>Ethnically motivated unfair treatment</w:t>
      </w:r>
      <w:bookmarkEnd w:id="45"/>
    </w:p>
    <w:p w14:paraId="08E68A11" w14:textId="77777777" w:rsidR="00A803E6" w:rsidRDefault="00A803E6" w:rsidP="00A803E6">
      <w:pPr>
        <w:rPr>
          <w:color w:val="000000" w:themeColor="text1"/>
        </w:rPr>
      </w:pPr>
      <w:r>
        <w:rPr>
          <w:color w:val="000000" w:themeColor="text1"/>
        </w:rPr>
        <w:t xml:space="preserve">In this report, ethnically motivated unfair treatment includes </w:t>
      </w:r>
      <w:r w:rsidRPr="007556C7">
        <w:rPr>
          <w:color w:val="000000" w:themeColor="text1"/>
        </w:rPr>
        <w:t xml:space="preserve">unfair treatment by a health professional, </w:t>
      </w:r>
      <w:r>
        <w:rPr>
          <w:color w:val="000000" w:themeColor="text1"/>
        </w:rPr>
        <w:t xml:space="preserve">unfair </w:t>
      </w:r>
      <w:r w:rsidRPr="007556C7">
        <w:rPr>
          <w:color w:val="000000" w:themeColor="text1"/>
        </w:rPr>
        <w:t>treatment at work or refusal of a job, and unfair treatment when renting or buying housing.</w:t>
      </w:r>
      <w:r>
        <w:rPr>
          <w:color w:val="000000" w:themeColor="text1"/>
        </w:rPr>
        <w:t xml:space="preserve"> In </w:t>
      </w:r>
      <w:r w:rsidRPr="006D6E84">
        <w:rPr>
          <w:color w:val="000000" w:themeColor="text1"/>
        </w:rPr>
        <w:t>2020/21, 7.0</w:t>
      </w:r>
      <w:r>
        <w:rPr>
          <w:color w:val="000000" w:themeColor="text1"/>
        </w:rPr>
        <w:t>%</w:t>
      </w:r>
      <w:r w:rsidRPr="006D6E84">
        <w:rPr>
          <w:color w:val="000000" w:themeColor="text1"/>
        </w:rPr>
        <w:t xml:space="preserve"> of Māori, 4.4</w:t>
      </w:r>
      <w:r>
        <w:rPr>
          <w:color w:val="000000" w:themeColor="text1"/>
        </w:rPr>
        <w:t>%</w:t>
      </w:r>
      <w:r w:rsidRPr="006D6E84">
        <w:rPr>
          <w:color w:val="000000" w:themeColor="text1"/>
        </w:rPr>
        <w:t xml:space="preserve"> of Pacific, 4.2</w:t>
      </w:r>
      <w:r>
        <w:rPr>
          <w:color w:val="000000" w:themeColor="text1"/>
        </w:rPr>
        <w:t>%</w:t>
      </w:r>
      <w:r w:rsidRPr="006D6E84">
        <w:rPr>
          <w:color w:val="000000" w:themeColor="text1"/>
        </w:rPr>
        <w:t xml:space="preserve"> of Asian and 1.7</w:t>
      </w:r>
      <w:r>
        <w:rPr>
          <w:color w:val="000000" w:themeColor="text1"/>
        </w:rPr>
        <w:t>%</w:t>
      </w:r>
      <w:r w:rsidRPr="006D6E84">
        <w:rPr>
          <w:color w:val="000000" w:themeColor="text1"/>
        </w:rPr>
        <w:t xml:space="preserve"> of </w:t>
      </w:r>
      <w:r>
        <w:rPr>
          <w:color w:val="000000" w:themeColor="text1"/>
        </w:rPr>
        <w:t>non-MPA</w:t>
      </w:r>
      <w:r w:rsidRPr="006D6E84">
        <w:rPr>
          <w:color w:val="000000" w:themeColor="text1"/>
        </w:rPr>
        <w:t xml:space="preserve"> </w:t>
      </w:r>
      <w:r>
        <w:rPr>
          <w:color w:val="000000" w:themeColor="text1"/>
        </w:rPr>
        <w:t xml:space="preserve">adults </w:t>
      </w:r>
      <w:r w:rsidRPr="006D6E84">
        <w:rPr>
          <w:color w:val="000000" w:themeColor="text1"/>
        </w:rPr>
        <w:t>experienced unfair treatment on the basis of ethnicity in the past 12 months</w:t>
      </w:r>
      <w:r>
        <w:rPr>
          <w:color w:val="000000" w:themeColor="text1"/>
        </w:rPr>
        <w:t xml:space="preserve"> (Figure 4)</w:t>
      </w:r>
      <w:r w:rsidRPr="006D6E84">
        <w:rPr>
          <w:color w:val="000000" w:themeColor="text1"/>
        </w:rPr>
        <w:t xml:space="preserve">. This represents an increase in the rate of unfair treatment for Māori and for </w:t>
      </w:r>
      <w:r>
        <w:rPr>
          <w:color w:val="000000" w:themeColor="text1"/>
        </w:rPr>
        <w:t>non-MPA since 2011/12</w:t>
      </w:r>
      <w:r w:rsidRPr="006D6E84">
        <w:rPr>
          <w:color w:val="000000" w:themeColor="text1"/>
        </w:rPr>
        <w:t>.</w:t>
      </w:r>
    </w:p>
    <w:p w14:paraId="0F4B5478" w14:textId="77777777" w:rsidR="00A803E6" w:rsidRDefault="00A803E6" w:rsidP="00A803E6">
      <w:pPr>
        <w:rPr>
          <w:color w:val="000000" w:themeColor="text1"/>
        </w:rPr>
      </w:pPr>
    </w:p>
    <w:p w14:paraId="57F42C1A" w14:textId="77777777" w:rsidR="00A803E6" w:rsidRDefault="00A803E6" w:rsidP="00A803E6">
      <w:pPr>
        <w:rPr>
          <w:color w:val="000000" w:themeColor="text1"/>
        </w:rPr>
      </w:pPr>
      <w:r>
        <w:rPr>
          <w:color w:val="000000" w:themeColor="text1"/>
        </w:rPr>
        <w:t>A</w:t>
      </w:r>
      <w:r w:rsidRPr="00911F4B">
        <w:rPr>
          <w:color w:val="000000" w:themeColor="text1"/>
        </w:rPr>
        <w:t>fter adjusting for differences in age and gender</w:t>
      </w:r>
      <w:r>
        <w:rPr>
          <w:color w:val="000000" w:themeColor="text1"/>
        </w:rPr>
        <w:t xml:space="preserve">, </w:t>
      </w:r>
      <w:r w:rsidRPr="00911F4B">
        <w:rPr>
          <w:color w:val="000000" w:themeColor="text1"/>
        </w:rPr>
        <w:t xml:space="preserve">Māori were 3.5 times as likely, </w:t>
      </w:r>
      <w:r>
        <w:rPr>
          <w:color w:val="000000" w:themeColor="text1"/>
        </w:rPr>
        <w:t xml:space="preserve">and </w:t>
      </w:r>
      <w:r w:rsidRPr="00911F4B">
        <w:rPr>
          <w:color w:val="000000" w:themeColor="text1"/>
        </w:rPr>
        <w:t xml:space="preserve">Pacific and Asian </w:t>
      </w:r>
      <w:r>
        <w:rPr>
          <w:color w:val="000000" w:themeColor="text1"/>
        </w:rPr>
        <w:t xml:space="preserve">adults </w:t>
      </w:r>
      <w:r w:rsidRPr="00911F4B">
        <w:rPr>
          <w:color w:val="000000" w:themeColor="text1"/>
        </w:rPr>
        <w:t xml:space="preserve">2.2 times as likely as non-MPA </w:t>
      </w:r>
      <w:r>
        <w:rPr>
          <w:color w:val="000000" w:themeColor="text1"/>
        </w:rPr>
        <w:t xml:space="preserve">adults </w:t>
      </w:r>
      <w:r w:rsidRPr="00911F4B">
        <w:rPr>
          <w:color w:val="000000" w:themeColor="text1"/>
        </w:rPr>
        <w:t xml:space="preserve">to experience unfair treatment </w:t>
      </w:r>
      <w:r>
        <w:rPr>
          <w:color w:val="000000" w:themeColor="text1"/>
        </w:rPr>
        <w:t xml:space="preserve">in the past 12 months </w:t>
      </w:r>
      <w:r w:rsidRPr="00911F4B">
        <w:rPr>
          <w:color w:val="000000" w:themeColor="text1"/>
        </w:rPr>
        <w:t>on the basis of ethnicity</w:t>
      </w:r>
      <w:r>
        <w:rPr>
          <w:color w:val="000000" w:themeColor="text1"/>
        </w:rPr>
        <w:t>.</w:t>
      </w:r>
    </w:p>
    <w:p w14:paraId="7D691E12" w14:textId="77777777" w:rsidR="00A803E6" w:rsidRDefault="00A803E6" w:rsidP="00FC4E54">
      <w:pPr>
        <w:rPr>
          <w:rFonts w:eastAsia="Arial Unicode MS"/>
        </w:rPr>
      </w:pPr>
    </w:p>
    <w:p w14:paraId="1BAFB7E2" w14:textId="77777777" w:rsidR="005C4132" w:rsidRDefault="005C4132" w:rsidP="00FC4E54">
      <w:pPr>
        <w:rPr>
          <w:rFonts w:eastAsia="Arial Unicode MS"/>
        </w:rPr>
      </w:pPr>
    </w:p>
    <w:p w14:paraId="3F2E0AB4" w14:textId="77777777" w:rsidR="005C4132" w:rsidRDefault="005C4132" w:rsidP="005C4132">
      <w:pPr>
        <w:pStyle w:val="Figure"/>
      </w:pPr>
      <w:bookmarkStart w:id="46" w:name="_Toc135391569"/>
      <w:bookmarkStart w:id="47" w:name="_Toc137137327"/>
      <w:r>
        <w:t xml:space="preserve">Figure </w:t>
      </w:r>
      <w:fldSimple w:instr=" SEQ Figure \* ARABIC ">
        <w:r>
          <w:rPr>
            <w:noProof/>
          </w:rPr>
          <w:t>4</w:t>
        </w:r>
      </w:fldSimple>
      <w:r>
        <w:t>: E</w:t>
      </w:r>
      <w:r w:rsidRPr="00B572FB">
        <w:t xml:space="preserve">xperience of ethnically motivated </w:t>
      </w:r>
      <w:r>
        <w:t xml:space="preserve">unfair treatment </w:t>
      </w:r>
      <w:r w:rsidRPr="00B572FB">
        <w:t>in the past 12 months</w:t>
      </w:r>
      <w:r>
        <w:t>, 2011/12, 2016/17 and 2020/21 (percentages)</w:t>
      </w:r>
      <w:bookmarkEnd w:id="46"/>
      <w:bookmarkEnd w:id="47"/>
    </w:p>
    <w:p w14:paraId="645D7EAB" w14:textId="77777777" w:rsidR="005C4132" w:rsidRPr="00FB29EB" w:rsidRDefault="005C4132" w:rsidP="005C4132">
      <w:pPr>
        <w:keepNext/>
        <w:keepLines/>
      </w:pPr>
      <w:r>
        <w:rPr>
          <w:noProof/>
        </w:rPr>
        <w:drawing>
          <wp:inline distT="0" distB="0" distL="0" distR="0" wp14:anchorId="759FF3EC" wp14:editId="0E3C8D93">
            <wp:extent cx="5205600" cy="2574000"/>
            <wp:effectExtent l="0"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05600" cy="2574000"/>
                    </a:xfrm>
                    <a:prstGeom prst="rect">
                      <a:avLst/>
                    </a:prstGeom>
                    <a:noFill/>
                    <a:ln>
                      <a:noFill/>
                    </a:ln>
                  </pic:spPr>
                </pic:pic>
              </a:graphicData>
            </a:graphic>
          </wp:inline>
        </w:drawing>
      </w:r>
    </w:p>
    <w:p w14:paraId="71D159CF" w14:textId="77777777" w:rsidR="005C4132" w:rsidRDefault="005C4132" w:rsidP="005C4132">
      <w:pPr>
        <w:pStyle w:val="Heading3"/>
      </w:pPr>
      <w:bookmarkStart w:id="48" w:name="_Toc114057314"/>
      <w:r>
        <w:t xml:space="preserve">Ethnically motivated </w:t>
      </w:r>
      <w:bookmarkEnd w:id="48"/>
      <w:r>
        <w:t>personal attack</w:t>
      </w:r>
    </w:p>
    <w:p w14:paraId="076F456D" w14:textId="77777777" w:rsidR="005C4132" w:rsidRDefault="005C4132" w:rsidP="005C4132">
      <w:r>
        <w:rPr>
          <w:color w:val="000000" w:themeColor="text1"/>
        </w:rPr>
        <w:t>In the</w:t>
      </w:r>
      <w:r w:rsidRPr="0093133E">
        <w:rPr>
          <w:color w:val="000000" w:themeColor="text1"/>
        </w:rPr>
        <w:t xml:space="preserve"> 12 months</w:t>
      </w:r>
      <w:r>
        <w:rPr>
          <w:color w:val="000000" w:themeColor="text1"/>
        </w:rPr>
        <w:t xml:space="preserve"> before the </w:t>
      </w:r>
      <w:r w:rsidRPr="0093133E">
        <w:rPr>
          <w:color w:val="000000" w:themeColor="text1"/>
        </w:rPr>
        <w:t>2020/21</w:t>
      </w:r>
      <w:r>
        <w:rPr>
          <w:color w:val="000000" w:themeColor="text1"/>
        </w:rPr>
        <w:t xml:space="preserve"> survey,</w:t>
      </w:r>
      <w:r w:rsidRPr="0093133E">
        <w:rPr>
          <w:color w:val="000000" w:themeColor="text1"/>
        </w:rPr>
        <w:t xml:space="preserve"> 9.2</w:t>
      </w:r>
      <w:r>
        <w:rPr>
          <w:color w:val="000000" w:themeColor="text1"/>
        </w:rPr>
        <w:t>%</w:t>
      </w:r>
      <w:r w:rsidRPr="0093133E">
        <w:rPr>
          <w:color w:val="000000" w:themeColor="text1"/>
        </w:rPr>
        <w:t xml:space="preserve"> of Māori, 6.4</w:t>
      </w:r>
      <w:r>
        <w:rPr>
          <w:color w:val="000000" w:themeColor="text1"/>
        </w:rPr>
        <w:t>%</w:t>
      </w:r>
      <w:r w:rsidRPr="0093133E">
        <w:rPr>
          <w:color w:val="000000" w:themeColor="text1"/>
        </w:rPr>
        <w:t xml:space="preserve"> of Pacific, 9.9</w:t>
      </w:r>
      <w:r>
        <w:rPr>
          <w:color w:val="000000" w:themeColor="text1"/>
        </w:rPr>
        <w:t>%</w:t>
      </w:r>
      <w:r w:rsidRPr="0093133E">
        <w:rPr>
          <w:color w:val="000000" w:themeColor="text1"/>
        </w:rPr>
        <w:t xml:space="preserve"> of Asian and 3.7</w:t>
      </w:r>
      <w:r>
        <w:rPr>
          <w:color w:val="000000" w:themeColor="text1"/>
        </w:rPr>
        <w:t>%</w:t>
      </w:r>
      <w:r w:rsidRPr="0093133E">
        <w:rPr>
          <w:color w:val="000000" w:themeColor="text1"/>
        </w:rPr>
        <w:t xml:space="preserve"> of </w:t>
      </w:r>
      <w:r>
        <w:rPr>
          <w:color w:val="000000" w:themeColor="text1"/>
        </w:rPr>
        <w:t>non-MPA adults experienced</w:t>
      </w:r>
      <w:r w:rsidRPr="00836FE6">
        <w:rPr>
          <w:color w:val="000000" w:themeColor="text1"/>
        </w:rPr>
        <w:t xml:space="preserve"> </w:t>
      </w:r>
      <w:r>
        <w:rPr>
          <w:color w:val="000000" w:themeColor="text1"/>
        </w:rPr>
        <w:t xml:space="preserve">ethnically motivated </w:t>
      </w:r>
      <w:r w:rsidRPr="0093133E">
        <w:rPr>
          <w:color w:val="000000" w:themeColor="text1"/>
        </w:rPr>
        <w:t xml:space="preserve">personal attacks (including verbal </w:t>
      </w:r>
      <w:r>
        <w:rPr>
          <w:color w:val="000000" w:themeColor="text1"/>
        </w:rPr>
        <w:t xml:space="preserve">or </w:t>
      </w:r>
      <w:r w:rsidRPr="0093133E">
        <w:rPr>
          <w:color w:val="000000" w:themeColor="text1"/>
        </w:rPr>
        <w:t xml:space="preserve">physical </w:t>
      </w:r>
      <w:r>
        <w:rPr>
          <w:color w:val="000000" w:themeColor="text1"/>
        </w:rPr>
        <w:t>abuse)</w:t>
      </w:r>
      <w:r w:rsidRPr="0093133E">
        <w:rPr>
          <w:color w:val="000000" w:themeColor="text1"/>
        </w:rPr>
        <w:t xml:space="preserve"> </w:t>
      </w:r>
      <w:r>
        <w:rPr>
          <w:color w:val="000000" w:themeColor="text1"/>
        </w:rPr>
        <w:t>(Figure 5)</w:t>
      </w:r>
      <w:r w:rsidRPr="0093133E">
        <w:rPr>
          <w:color w:val="000000" w:themeColor="text1"/>
        </w:rPr>
        <w:t xml:space="preserve">. </w:t>
      </w:r>
      <w:r>
        <w:t>Verbal abuse was the most common type of ethnically motivated personal attack experienced by all ethnic groups. Over this period, 9.0% of Māori, 6.4% of Pacific, 9.9% of Asian and 3.6% of non-MPA adults experienced ethnically motivated verbal abuse.</w:t>
      </w:r>
    </w:p>
    <w:p w14:paraId="52C71760" w14:textId="77777777" w:rsidR="005C4132" w:rsidRDefault="005C4132" w:rsidP="005C4132"/>
    <w:p w14:paraId="3AD8A13B" w14:textId="77777777" w:rsidR="005C4132" w:rsidRDefault="005C4132" w:rsidP="005C4132">
      <w:pPr>
        <w:pStyle w:val="Figure"/>
      </w:pPr>
      <w:bookmarkStart w:id="49" w:name="_Toc135391570"/>
      <w:bookmarkStart w:id="50" w:name="_Toc137137328"/>
      <w:r>
        <w:t xml:space="preserve">Figure </w:t>
      </w:r>
      <w:fldSimple w:instr=" SEQ Figure \* ARABIC ">
        <w:r>
          <w:rPr>
            <w:noProof/>
          </w:rPr>
          <w:t>5</w:t>
        </w:r>
      </w:fldSimple>
      <w:r>
        <w:t>: E</w:t>
      </w:r>
      <w:r w:rsidRPr="00B572FB">
        <w:t>xperience of ethnically motivated personal attack in the past 12 months</w:t>
      </w:r>
      <w:r>
        <w:t>, 2011/12, 2016/17 and 2020/21 (percentages)</w:t>
      </w:r>
      <w:bookmarkEnd w:id="49"/>
      <w:bookmarkEnd w:id="50"/>
    </w:p>
    <w:p w14:paraId="331864BD" w14:textId="171B75E8" w:rsidR="005C4132" w:rsidRDefault="005C4132" w:rsidP="005C4132">
      <w:r>
        <w:rPr>
          <w:noProof/>
        </w:rPr>
        <w:drawing>
          <wp:inline distT="0" distB="0" distL="0" distR="0" wp14:anchorId="676ADE7C" wp14:editId="440FE784">
            <wp:extent cx="5205600" cy="2574000"/>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05600" cy="2574000"/>
                    </a:xfrm>
                    <a:prstGeom prst="rect">
                      <a:avLst/>
                    </a:prstGeom>
                    <a:noFill/>
                    <a:ln>
                      <a:noFill/>
                    </a:ln>
                  </pic:spPr>
                </pic:pic>
              </a:graphicData>
            </a:graphic>
          </wp:inline>
        </w:drawing>
      </w:r>
    </w:p>
    <w:p w14:paraId="6B5D4EAB" w14:textId="2A239BAF" w:rsidR="005C4132" w:rsidRPr="00D947CE" w:rsidRDefault="005C4132" w:rsidP="005C4132">
      <w:r w:rsidRPr="00104529">
        <w:t xml:space="preserve">Māori and Asian </w:t>
      </w:r>
      <w:r>
        <w:t xml:space="preserve">adults </w:t>
      </w:r>
      <w:r w:rsidRPr="00104529">
        <w:t xml:space="preserve">were more likely than non-MPA </w:t>
      </w:r>
      <w:r>
        <w:t xml:space="preserve">adults </w:t>
      </w:r>
      <w:r w:rsidRPr="00104529">
        <w:t>to experience</w:t>
      </w:r>
      <w:r>
        <w:t xml:space="preserve"> an</w:t>
      </w:r>
      <w:r w:rsidRPr="00104529">
        <w:t xml:space="preserve"> </w:t>
      </w:r>
      <w:r>
        <w:t>ethnically motivated personal attack</w:t>
      </w:r>
      <w:r w:rsidRPr="00104529">
        <w:t xml:space="preserve"> in the 12 months </w:t>
      </w:r>
      <w:r>
        <w:t>before</w:t>
      </w:r>
      <w:r w:rsidRPr="00104529">
        <w:t xml:space="preserve"> </w:t>
      </w:r>
      <w:r>
        <w:t xml:space="preserve">the </w:t>
      </w:r>
      <w:r w:rsidRPr="00104529">
        <w:t>2020/21</w:t>
      </w:r>
      <w:r>
        <w:t xml:space="preserve"> survey</w:t>
      </w:r>
      <w:r w:rsidRPr="00104529">
        <w:t xml:space="preserve">, after adjusting for age and gender differences between the groups. </w:t>
      </w:r>
      <w:r w:rsidRPr="00355371">
        <w:rPr>
          <w:color w:val="000000" w:themeColor="text1"/>
        </w:rPr>
        <w:t xml:space="preserve">Māori </w:t>
      </w:r>
      <w:r>
        <w:rPr>
          <w:color w:val="000000" w:themeColor="text1"/>
        </w:rPr>
        <w:t xml:space="preserve">adults </w:t>
      </w:r>
      <w:r w:rsidRPr="00355371">
        <w:rPr>
          <w:color w:val="000000" w:themeColor="text1"/>
        </w:rPr>
        <w:t>were 2.2 times and Asian</w:t>
      </w:r>
      <w:r>
        <w:rPr>
          <w:color w:val="000000" w:themeColor="text1"/>
        </w:rPr>
        <w:t xml:space="preserve"> adults</w:t>
      </w:r>
      <w:r w:rsidRPr="00355371">
        <w:rPr>
          <w:color w:val="000000" w:themeColor="text1"/>
        </w:rPr>
        <w:t xml:space="preserve"> 2.3 times as likely as non-MPA </w:t>
      </w:r>
      <w:r>
        <w:rPr>
          <w:color w:val="000000" w:themeColor="text1"/>
        </w:rPr>
        <w:t xml:space="preserve">adults </w:t>
      </w:r>
      <w:r w:rsidRPr="00355371">
        <w:rPr>
          <w:color w:val="000000" w:themeColor="text1"/>
        </w:rPr>
        <w:t xml:space="preserve">to experience </w:t>
      </w:r>
      <w:r>
        <w:rPr>
          <w:color w:val="000000" w:themeColor="text1"/>
        </w:rPr>
        <w:t xml:space="preserve">an </w:t>
      </w:r>
      <w:r w:rsidRPr="00355371">
        <w:rPr>
          <w:color w:val="000000" w:themeColor="text1"/>
        </w:rPr>
        <w:t>ethnically motivated personal attack</w:t>
      </w:r>
      <w:r>
        <w:rPr>
          <w:color w:val="000000" w:themeColor="text1"/>
        </w:rPr>
        <w:t xml:space="preserve">. Pacific adults were </w:t>
      </w:r>
      <w:r w:rsidRPr="00355371">
        <w:rPr>
          <w:color w:val="000000" w:themeColor="text1"/>
        </w:rPr>
        <w:t>1.5 times as likely</w:t>
      </w:r>
      <w:r>
        <w:rPr>
          <w:color w:val="000000" w:themeColor="text1"/>
        </w:rPr>
        <w:t xml:space="preserve"> as non-MPA adults to </w:t>
      </w:r>
      <w:r w:rsidRPr="00355371">
        <w:rPr>
          <w:color w:val="000000" w:themeColor="text1"/>
        </w:rPr>
        <w:t xml:space="preserve">experience </w:t>
      </w:r>
      <w:r>
        <w:rPr>
          <w:color w:val="000000" w:themeColor="text1"/>
        </w:rPr>
        <w:t xml:space="preserve">an </w:t>
      </w:r>
      <w:r w:rsidRPr="00355371">
        <w:rPr>
          <w:color w:val="000000" w:themeColor="text1"/>
        </w:rPr>
        <w:t>ethnically motivated personal attack</w:t>
      </w:r>
      <w:r>
        <w:rPr>
          <w:color w:val="000000" w:themeColor="text1"/>
        </w:rPr>
        <w:t>, but the difference was not statistically significant.</w:t>
      </w:r>
    </w:p>
    <w:p w14:paraId="1AA930A3" w14:textId="77777777" w:rsidR="005C4132" w:rsidRPr="00FA7068" w:rsidRDefault="005C4132" w:rsidP="005C4132">
      <w:pPr>
        <w:pStyle w:val="Heading2"/>
      </w:pPr>
      <w:bookmarkStart w:id="51" w:name="_Toc135915418"/>
      <w:bookmarkStart w:id="52" w:name="_Toc136943108"/>
      <w:bookmarkStart w:id="53" w:name="_Toc136943203"/>
      <w:r w:rsidRPr="00FA7068">
        <w:t>Racial discrimination is associated with poor health outcomes and unmet need</w:t>
      </w:r>
      <w:bookmarkEnd w:id="51"/>
      <w:bookmarkEnd w:id="52"/>
      <w:bookmarkEnd w:id="53"/>
    </w:p>
    <w:p w14:paraId="67BBAC30" w14:textId="77777777" w:rsidR="005C4132" w:rsidRPr="003E196A" w:rsidRDefault="005C4132" w:rsidP="005C4132">
      <w:pPr>
        <w:pStyle w:val="Shadedboxheading"/>
        <w:rPr>
          <w:b w:val="0"/>
          <w:bCs/>
        </w:rPr>
      </w:pPr>
      <w:r>
        <w:rPr>
          <w:b w:val="0"/>
          <w:bCs/>
        </w:rPr>
        <w:t xml:space="preserve">Note: </w:t>
      </w:r>
      <w:r w:rsidRPr="003E196A">
        <w:rPr>
          <w:b w:val="0"/>
          <w:bCs/>
        </w:rPr>
        <w:t>T</w:t>
      </w:r>
      <w:r>
        <w:rPr>
          <w:b w:val="0"/>
          <w:bCs/>
        </w:rPr>
        <w:t>his section</w:t>
      </w:r>
      <w:r w:rsidRPr="003E196A">
        <w:rPr>
          <w:b w:val="0"/>
          <w:bCs/>
        </w:rPr>
        <w:t xml:space="preserve"> show</w:t>
      </w:r>
      <w:r>
        <w:rPr>
          <w:b w:val="0"/>
          <w:bCs/>
        </w:rPr>
        <w:t>s</w:t>
      </w:r>
      <w:r w:rsidRPr="003E196A">
        <w:rPr>
          <w:b w:val="0"/>
          <w:bCs/>
        </w:rPr>
        <w:t xml:space="preserve"> associations</w:t>
      </w:r>
      <w:r>
        <w:rPr>
          <w:b w:val="0"/>
          <w:bCs/>
        </w:rPr>
        <w:t xml:space="preserve"> between racial discrimination and health outcomes. It does not show that one causes the other</w:t>
      </w:r>
      <w:r w:rsidRPr="003E196A">
        <w:rPr>
          <w:b w:val="0"/>
          <w:bCs/>
        </w:rPr>
        <w:t>.</w:t>
      </w:r>
    </w:p>
    <w:p w14:paraId="25C99883" w14:textId="77777777" w:rsidR="005C4132" w:rsidRDefault="005C4132" w:rsidP="005C4132"/>
    <w:p w14:paraId="41ECA2B8" w14:textId="77777777" w:rsidR="005C4132" w:rsidRDefault="005C4132" w:rsidP="005C4132">
      <w:r>
        <w:t xml:space="preserve">The results in this section show key health outcomes and barriers to accessing health services for people who had experienced racial discrimination in the past 12 months. These figures only show </w:t>
      </w:r>
      <w:r w:rsidRPr="003E196A">
        <w:t>associations</w:t>
      </w:r>
      <w:r>
        <w:t xml:space="preserve"> between health outcomes and discrimination rather than c</w:t>
      </w:r>
      <w:r w:rsidRPr="003E196A">
        <w:t>ause-and-effect relationships</w:t>
      </w:r>
      <w:r>
        <w:t>, and other factors may contribute to the differences. For example, we don’t know from the data whether people experienced psychological distress as a result of experiencing racial discrimination. Note that in some cases below, the differences are not statistically significant.</w:t>
      </w:r>
    </w:p>
    <w:p w14:paraId="2E2B5179" w14:textId="77777777" w:rsidR="005C4132" w:rsidRPr="00BA252B" w:rsidRDefault="005C4132" w:rsidP="005C4132">
      <w:pPr>
        <w:pStyle w:val="Heading3"/>
      </w:pPr>
      <w:r w:rsidRPr="00BA252B">
        <w:t>Psychological distress</w:t>
      </w:r>
    </w:p>
    <w:p w14:paraId="4EE1669F" w14:textId="77777777" w:rsidR="005C4132" w:rsidRPr="00AF4771" w:rsidRDefault="005C4132" w:rsidP="005C4132">
      <w:pPr>
        <w:rPr>
          <w:color w:val="000000" w:themeColor="text1"/>
        </w:rPr>
      </w:pPr>
      <w:r>
        <w:t>People who experienced racial discrimination in the past 12 months had a higher rate of psychological distress</w:t>
      </w:r>
      <w:r>
        <w:rPr>
          <w:rStyle w:val="FootnoteReference"/>
        </w:rPr>
        <w:footnoteReference w:id="4"/>
      </w:r>
      <w:r>
        <w:t xml:space="preserve"> (17.1%) than people who had not experienced racial discrimination (</w:t>
      </w:r>
      <w:r w:rsidRPr="00B514BF">
        <w:rPr>
          <w:color w:val="000000" w:themeColor="text1"/>
        </w:rPr>
        <w:t>8.9%</w:t>
      </w:r>
      <w:r>
        <w:rPr>
          <w:color w:val="000000" w:themeColor="text1"/>
        </w:rPr>
        <w:t>)</w:t>
      </w:r>
      <w:r w:rsidRPr="00B514BF">
        <w:rPr>
          <w:color w:val="000000" w:themeColor="text1"/>
        </w:rPr>
        <w:t xml:space="preserve">. </w:t>
      </w:r>
      <w:r w:rsidRPr="008F446A">
        <w:rPr>
          <w:color w:val="000000" w:themeColor="text1"/>
        </w:rPr>
        <w:t xml:space="preserve">After </w:t>
      </w:r>
      <w:r w:rsidRPr="00AF4771">
        <w:rPr>
          <w:color w:val="000000" w:themeColor="text1"/>
        </w:rPr>
        <w:t>adjusting for differences in age and gender, people who experienced discrimination in the past 12 months were 1.7 times as likely as people who hadn’t experienced discrimination to experience psychological distress.</w:t>
      </w:r>
    </w:p>
    <w:p w14:paraId="382ACF88" w14:textId="77777777" w:rsidR="005C4132" w:rsidRPr="00AF4771" w:rsidRDefault="005C4132" w:rsidP="005C4132">
      <w:pPr>
        <w:rPr>
          <w:color w:val="000000" w:themeColor="text1"/>
        </w:rPr>
      </w:pPr>
    </w:p>
    <w:p w14:paraId="5D687237" w14:textId="77777777" w:rsidR="005C4132" w:rsidRPr="00AF4771" w:rsidRDefault="005C4132" w:rsidP="005C4132">
      <w:pPr>
        <w:rPr>
          <w:color w:val="000000" w:themeColor="text1"/>
        </w:rPr>
      </w:pPr>
      <w:r w:rsidRPr="00AF4771">
        <w:rPr>
          <w:color w:val="000000" w:themeColor="text1"/>
        </w:rPr>
        <w:t xml:space="preserve">Table 4 shows the rate of psychological distress for people who experienced racial discrimination in the past 12 months, compared </w:t>
      </w:r>
      <w:r>
        <w:rPr>
          <w:color w:val="000000" w:themeColor="text1"/>
        </w:rPr>
        <w:t>with</w:t>
      </w:r>
      <w:r w:rsidRPr="00AF4771">
        <w:rPr>
          <w:color w:val="000000" w:themeColor="text1"/>
        </w:rPr>
        <w:t xml:space="preserve"> those who did not experience racial discrimination. Māori, Pacific and non-MPA adults who experienced racial discrimination had a higher rate of psychological distress than people who did not experience racial discrimination.</w:t>
      </w:r>
    </w:p>
    <w:p w14:paraId="0AF291B5" w14:textId="77777777" w:rsidR="005C4132" w:rsidRPr="00AF4771" w:rsidRDefault="005C4132" w:rsidP="005C4132">
      <w:pPr>
        <w:rPr>
          <w:color w:val="000000" w:themeColor="text1"/>
        </w:rPr>
      </w:pPr>
    </w:p>
    <w:p w14:paraId="31E84561" w14:textId="77777777" w:rsidR="005C4132" w:rsidRDefault="005C4132" w:rsidP="005C4132">
      <w:pPr>
        <w:pStyle w:val="Table"/>
        <w:sectPr w:rsidR="005C4132" w:rsidSect="00FC4E54">
          <w:pgSz w:w="11907" w:h="16840" w:code="9"/>
          <w:pgMar w:top="1418" w:right="1701" w:bottom="1134" w:left="1843" w:header="284" w:footer="425" w:gutter="284"/>
          <w:cols w:space="720"/>
        </w:sectPr>
      </w:pPr>
      <w:bookmarkStart w:id="54" w:name="_Toc135391579"/>
    </w:p>
    <w:p w14:paraId="16CC8B8C" w14:textId="36FA0D98" w:rsidR="005C4132" w:rsidRPr="00EA46DE" w:rsidRDefault="005C4132" w:rsidP="005C4132">
      <w:pPr>
        <w:pStyle w:val="Table"/>
      </w:pPr>
      <w:bookmarkStart w:id="55" w:name="_Toc136584048"/>
      <w:r>
        <w:t xml:space="preserve">Table </w:t>
      </w:r>
      <w:fldSimple w:instr=" SEQ Table \* ARABIC ">
        <w:r>
          <w:rPr>
            <w:noProof/>
          </w:rPr>
          <w:t>4</w:t>
        </w:r>
      </w:fldSimple>
      <w:r>
        <w:t>: Experience of psychological distress, by ethnic group, and experience of racial discrimination in past 12 months, 2020/21 (percentages)</w:t>
      </w:r>
      <w:bookmarkEnd w:id="54"/>
      <w:bookmarkEnd w:id="55"/>
    </w:p>
    <w:tbl>
      <w:tblPr>
        <w:tblW w:w="9072"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ook w:val="04A0" w:firstRow="1" w:lastRow="0" w:firstColumn="1" w:lastColumn="0" w:noHBand="0" w:noVBand="1"/>
      </w:tblPr>
      <w:tblGrid>
        <w:gridCol w:w="1701"/>
        <w:gridCol w:w="1687"/>
        <w:gridCol w:w="1928"/>
        <w:gridCol w:w="1928"/>
        <w:gridCol w:w="1828"/>
      </w:tblGrid>
      <w:tr w:rsidR="005C4132" w:rsidRPr="00942F0F" w14:paraId="72FE235E" w14:textId="77777777" w:rsidTr="00942F0F">
        <w:trPr>
          <w:trHeight w:val="300"/>
        </w:trPr>
        <w:tc>
          <w:tcPr>
            <w:tcW w:w="1701" w:type="dxa"/>
            <w:vMerge w:val="restart"/>
            <w:tcBorders>
              <w:top w:val="nil"/>
              <w:bottom w:val="nil"/>
            </w:tcBorders>
            <w:shd w:val="clear" w:color="auto" w:fill="D9D9D9" w:themeFill="background1" w:themeFillShade="D9"/>
            <w:hideMark/>
          </w:tcPr>
          <w:p w14:paraId="40123594" w14:textId="77777777" w:rsidR="005C4132" w:rsidRPr="00942F0F" w:rsidRDefault="005C4132" w:rsidP="005C4132">
            <w:pPr>
              <w:pStyle w:val="TableText"/>
              <w:rPr>
                <w:b/>
                <w:bCs/>
                <w:lang w:eastAsia="en-NZ"/>
              </w:rPr>
            </w:pPr>
            <w:r w:rsidRPr="00942F0F">
              <w:rPr>
                <w:b/>
                <w:bCs/>
                <w:lang w:eastAsia="en-NZ"/>
              </w:rPr>
              <w:t>Experienced racial discrimination in past 12 months</w:t>
            </w:r>
          </w:p>
        </w:tc>
        <w:tc>
          <w:tcPr>
            <w:tcW w:w="7371" w:type="dxa"/>
            <w:gridSpan w:val="4"/>
            <w:tcBorders>
              <w:top w:val="nil"/>
              <w:bottom w:val="nil"/>
            </w:tcBorders>
            <w:shd w:val="clear" w:color="auto" w:fill="D9D9D9" w:themeFill="background1" w:themeFillShade="D9"/>
            <w:noWrap/>
            <w:hideMark/>
          </w:tcPr>
          <w:p w14:paraId="159E3FB1" w14:textId="77777777" w:rsidR="005C4132" w:rsidRPr="00942F0F" w:rsidRDefault="005C4132" w:rsidP="00942F0F">
            <w:pPr>
              <w:pStyle w:val="TableText"/>
              <w:jc w:val="center"/>
              <w:rPr>
                <w:b/>
                <w:bCs/>
                <w:lang w:eastAsia="en-NZ"/>
              </w:rPr>
            </w:pPr>
            <w:r w:rsidRPr="00942F0F">
              <w:rPr>
                <w:b/>
                <w:bCs/>
                <w:lang w:eastAsia="en-NZ"/>
              </w:rPr>
              <w:t>Percentage experiencing psychological distress</w:t>
            </w:r>
          </w:p>
        </w:tc>
      </w:tr>
      <w:tr w:rsidR="005C4132" w:rsidRPr="00581E97" w14:paraId="1E5917CB" w14:textId="77777777" w:rsidTr="00942F0F">
        <w:trPr>
          <w:trHeight w:val="300"/>
        </w:trPr>
        <w:tc>
          <w:tcPr>
            <w:tcW w:w="1701" w:type="dxa"/>
            <w:vMerge/>
            <w:tcBorders>
              <w:top w:val="nil"/>
              <w:bottom w:val="nil"/>
            </w:tcBorders>
            <w:shd w:val="clear" w:color="auto" w:fill="D9D9D9" w:themeFill="background1" w:themeFillShade="D9"/>
            <w:vAlign w:val="center"/>
            <w:hideMark/>
          </w:tcPr>
          <w:p w14:paraId="1A9FC496" w14:textId="77777777" w:rsidR="005C4132" w:rsidRPr="00942F0F" w:rsidRDefault="005C4132" w:rsidP="005C4132">
            <w:pPr>
              <w:pStyle w:val="TableText"/>
              <w:rPr>
                <w:b/>
                <w:bCs/>
                <w:lang w:eastAsia="en-NZ"/>
              </w:rPr>
            </w:pPr>
          </w:p>
        </w:tc>
        <w:tc>
          <w:tcPr>
            <w:tcW w:w="1687" w:type="dxa"/>
            <w:tcBorders>
              <w:top w:val="nil"/>
              <w:bottom w:val="nil"/>
            </w:tcBorders>
            <w:shd w:val="clear" w:color="auto" w:fill="D9D9D9" w:themeFill="background1" w:themeFillShade="D9"/>
            <w:noWrap/>
            <w:hideMark/>
          </w:tcPr>
          <w:p w14:paraId="7E4576A5" w14:textId="77777777" w:rsidR="005C4132" w:rsidRPr="00942F0F" w:rsidRDefault="005C4132" w:rsidP="00942F0F">
            <w:pPr>
              <w:pStyle w:val="TableText"/>
              <w:jc w:val="center"/>
              <w:rPr>
                <w:b/>
                <w:bCs/>
                <w:lang w:eastAsia="en-NZ"/>
              </w:rPr>
            </w:pPr>
            <w:r w:rsidRPr="00942F0F">
              <w:rPr>
                <w:b/>
                <w:bCs/>
                <w:lang w:eastAsia="en-NZ"/>
              </w:rPr>
              <w:t>Māori</w:t>
            </w:r>
          </w:p>
        </w:tc>
        <w:tc>
          <w:tcPr>
            <w:tcW w:w="1928" w:type="dxa"/>
            <w:tcBorders>
              <w:top w:val="nil"/>
              <w:bottom w:val="nil"/>
            </w:tcBorders>
            <w:shd w:val="clear" w:color="auto" w:fill="D9D9D9" w:themeFill="background1" w:themeFillShade="D9"/>
            <w:noWrap/>
            <w:hideMark/>
          </w:tcPr>
          <w:p w14:paraId="49E59512" w14:textId="77777777" w:rsidR="005C4132" w:rsidRPr="00942F0F" w:rsidRDefault="005C4132" w:rsidP="00942F0F">
            <w:pPr>
              <w:pStyle w:val="TableText"/>
              <w:jc w:val="center"/>
              <w:rPr>
                <w:b/>
                <w:bCs/>
                <w:lang w:eastAsia="en-NZ"/>
              </w:rPr>
            </w:pPr>
            <w:r w:rsidRPr="00942F0F">
              <w:rPr>
                <w:b/>
                <w:bCs/>
                <w:lang w:eastAsia="en-NZ"/>
              </w:rPr>
              <w:t>Pacific</w:t>
            </w:r>
          </w:p>
        </w:tc>
        <w:tc>
          <w:tcPr>
            <w:tcW w:w="1928" w:type="dxa"/>
            <w:tcBorders>
              <w:top w:val="nil"/>
              <w:bottom w:val="nil"/>
            </w:tcBorders>
            <w:shd w:val="clear" w:color="auto" w:fill="D9D9D9" w:themeFill="background1" w:themeFillShade="D9"/>
            <w:noWrap/>
            <w:hideMark/>
          </w:tcPr>
          <w:p w14:paraId="0794BA92" w14:textId="77777777" w:rsidR="005C4132" w:rsidRPr="00942F0F" w:rsidRDefault="005C4132" w:rsidP="00942F0F">
            <w:pPr>
              <w:pStyle w:val="TableText"/>
              <w:jc w:val="center"/>
              <w:rPr>
                <w:b/>
                <w:bCs/>
                <w:lang w:eastAsia="en-NZ"/>
              </w:rPr>
            </w:pPr>
            <w:r w:rsidRPr="00942F0F">
              <w:rPr>
                <w:b/>
                <w:bCs/>
                <w:lang w:eastAsia="en-NZ"/>
              </w:rPr>
              <w:t>Asian</w:t>
            </w:r>
          </w:p>
        </w:tc>
        <w:tc>
          <w:tcPr>
            <w:tcW w:w="1828" w:type="dxa"/>
            <w:tcBorders>
              <w:top w:val="nil"/>
              <w:bottom w:val="nil"/>
            </w:tcBorders>
            <w:shd w:val="clear" w:color="auto" w:fill="D9D9D9" w:themeFill="background1" w:themeFillShade="D9"/>
            <w:noWrap/>
            <w:hideMark/>
          </w:tcPr>
          <w:p w14:paraId="6FC61D25" w14:textId="77777777" w:rsidR="005C4132" w:rsidRPr="00942F0F" w:rsidRDefault="005C4132" w:rsidP="00942F0F">
            <w:pPr>
              <w:pStyle w:val="TableText"/>
              <w:jc w:val="center"/>
              <w:rPr>
                <w:b/>
                <w:bCs/>
                <w:lang w:eastAsia="en-NZ"/>
              </w:rPr>
            </w:pPr>
            <w:r w:rsidRPr="00942F0F">
              <w:rPr>
                <w:b/>
                <w:bCs/>
                <w:lang w:eastAsia="en-NZ"/>
              </w:rPr>
              <w:t>Non-MPA</w:t>
            </w:r>
          </w:p>
        </w:tc>
      </w:tr>
      <w:tr w:rsidR="005C4132" w:rsidRPr="00581E97" w14:paraId="32D2E5C1" w14:textId="77777777" w:rsidTr="00942F0F">
        <w:trPr>
          <w:trHeight w:val="300"/>
        </w:trPr>
        <w:tc>
          <w:tcPr>
            <w:tcW w:w="1701" w:type="dxa"/>
            <w:vMerge/>
            <w:tcBorders>
              <w:top w:val="nil"/>
              <w:bottom w:val="nil"/>
            </w:tcBorders>
            <w:shd w:val="clear" w:color="auto" w:fill="D9D9D9" w:themeFill="background1" w:themeFillShade="D9"/>
            <w:vAlign w:val="center"/>
            <w:hideMark/>
          </w:tcPr>
          <w:p w14:paraId="5AF28A41" w14:textId="77777777" w:rsidR="005C4132" w:rsidRPr="00942F0F" w:rsidRDefault="005C4132" w:rsidP="005C4132">
            <w:pPr>
              <w:pStyle w:val="TableText"/>
              <w:rPr>
                <w:b/>
                <w:bCs/>
                <w:lang w:eastAsia="en-NZ"/>
              </w:rPr>
            </w:pPr>
          </w:p>
        </w:tc>
        <w:tc>
          <w:tcPr>
            <w:tcW w:w="1687" w:type="dxa"/>
            <w:tcBorders>
              <w:top w:val="nil"/>
              <w:bottom w:val="nil"/>
            </w:tcBorders>
            <w:shd w:val="clear" w:color="auto" w:fill="D9D9D9" w:themeFill="background1" w:themeFillShade="D9"/>
            <w:noWrap/>
            <w:hideMark/>
          </w:tcPr>
          <w:p w14:paraId="25AED2B4" w14:textId="77777777" w:rsidR="005C4132" w:rsidRPr="00942F0F" w:rsidRDefault="005C4132" w:rsidP="00942F0F">
            <w:pPr>
              <w:pStyle w:val="TableText"/>
              <w:jc w:val="center"/>
              <w:rPr>
                <w:b/>
                <w:bCs/>
                <w:lang w:eastAsia="en-NZ"/>
              </w:rPr>
            </w:pPr>
            <w:r w:rsidRPr="00942F0F">
              <w:rPr>
                <w:b/>
                <w:bCs/>
                <w:lang w:eastAsia="en-NZ"/>
              </w:rPr>
              <w:t>% (95% CI)</w:t>
            </w:r>
          </w:p>
        </w:tc>
        <w:tc>
          <w:tcPr>
            <w:tcW w:w="1928" w:type="dxa"/>
            <w:tcBorders>
              <w:top w:val="nil"/>
              <w:bottom w:val="nil"/>
            </w:tcBorders>
            <w:shd w:val="clear" w:color="auto" w:fill="D9D9D9" w:themeFill="background1" w:themeFillShade="D9"/>
            <w:noWrap/>
            <w:hideMark/>
          </w:tcPr>
          <w:p w14:paraId="3ED61D3B" w14:textId="77777777" w:rsidR="005C4132" w:rsidRPr="00942F0F" w:rsidRDefault="005C4132" w:rsidP="00942F0F">
            <w:pPr>
              <w:pStyle w:val="TableText"/>
              <w:jc w:val="center"/>
              <w:rPr>
                <w:b/>
                <w:bCs/>
                <w:lang w:eastAsia="en-NZ"/>
              </w:rPr>
            </w:pPr>
            <w:r w:rsidRPr="00942F0F">
              <w:rPr>
                <w:b/>
                <w:bCs/>
                <w:lang w:eastAsia="en-NZ"/>
              </w:rPr>
              <w:t>% (95% CI)</w:t>
            </w:r>
          </w:p>
        </w:tc>
        <w:tc>
          <w:tcPr>
            <w:tcW w:w="1928" w:type="dxa"/>
            <w:tcBorders>
              <w:top w:val="nil"/>
              <w:bottom w:val="nil"/>
            </w:tcBorders>
            <w:shd w:val="clear" w:color="auto" w:fill="D9D9D9" w:themeFill="background1" w:themeFillShade="D9"/>
            <w:noWrap/>
            <w:hideMark/>
          </w:tcPr>
          <w:p w14:paraId="372C321B" w14:textId="77777777" w:rsidR="005C4132" w:rsidRPr="00942F0F" w:rsidRDefault="005C4132" w:rsidP="00942F0F">
            <w:pPr>
              <w:pStyle w:val="TableText"/>
              <w:jc w:val="center"/>
              <w:rPr>
                <w:b/>
                <w:bCs/>
                <w:lang w:eastAsia="en-NZ"/>
              </w:rPr>
            </w:pPr>
            <w:r w:rsidRPr="00942F0F">
              <w:rPr>
                <w:b/>
                <w:bCs/>
                <w:lang w:eastAsia="en-NZ"/>
              </w:rPr>
              <w:t>% (95% CI)</w:t>
            </w:r>
          </w:p>
        </w:tc>
        <w:tc>
          <w:tcPr>
            <w:tcW w:w="1828" w:type="dxa"/>
            <w:tcBorders>
              <w:top w:val="nil"/>
              <w:bottom w:val="nil"/>
            </w:tcBorders>
            <w:shd w:val="clear" w:color="auto" w:fill="D9D9D9" w:themeFill="background1" w:themeFillShade="D9"/>
            <w:noWrap/>
            <w:hideMark/>
          </w:tcPr>
          <w:p w14:paraId="358B0F33" w14:textId="77777777" w:rsidR="005C4132" w:rsidRPr="00942F0F" w:rsidRDefault="005C4132" w:rsidP="00942F0F">
            <w:pPr>
              <w:pStyle w:val="TableText"/>
              <w:jc w:val="center"/>
              <w:rPr>
                <w:b/>
                <w:bCs/>
                <w:lang w:eastAsia="en-NZ"/>
              </w:rPr>
            </w:pPr>
            <w:r w:rsidRPr="00942F0F">
              <w:rPr>
                <w:b/>
                <w:bCs/>
                <w:lang w:eastAsia="en-NZ"/>
              </w:rPr>
              <w:t>% (95% CI)</w:t>
            </w:r>
          </w:p>
        </w:tc>
      </w:tr>
      <w:tr w:rsidR="005C4132" w:rsidRPr="00581E97" w14:paraId="4ECEA27C" w14:textId="77777777" w:rsidTr="00942F0F">
        <w:trPr>
          <w:trHeight w:val="300"/>
        </w:trPr>
        <w:tc>
          <w:tcPr>
            <w:tcW w:w="1701" w:type="dxa"/>
            <w:tcBorders>
              <w:top w:val="nil"/>
            </w:tcBorders>
            <w:shd w:val="clear" w:color="auto" w:fill="auto"/>
            <w:noWrap/>
            <w:vAlign w:val="center"/>
            <w:hideMark/>
          </w:tcPr>
          <w:p w14:paraId="5FC4E8DD" w14:textId="77777777" w:rsidR="005C4132" w:rsidRPr="00AE6C74" w:rsidRDefault="005C4132" w:rsidP="005C4132">
            <w:pPr>
              <w:pStyle w:val="TableText"/>
              <w:rPr>
                <w:lang w:eastAsia="en-NZ"/>
              </w:rPr>
            </w:pPr>
            <w:r w:rsidRPr="00AE6C74">
              <w:rPr>
                <w:lang w:eastAsia="en-NZ"/>
              </w:rPr>
              <w:t>Yes</w:t>
            </w:r>
          </w:p>
        </w:tc>
        <w:tc>
          <w:tcPr>
            <w:tcW w:w="1687" w:type="dxa"/>
            <w:tcBorders>
              <w:top w:val="nil"/>
            </w:tcBorders>
            <w:shd w:val="clear" w:color="auto" w:fill="auto"/>
            <w:noWrap/>
            <w:hideMark/>
          </w:tcPr>
          <w:p w14:paraId="202658A1" w14:textId="77777777" w:rsidR="005C4132" w:rsidRPr="00AE6C74" w:rsidRDefault="005C4132" w:rsidP="00942F0F">
            <w:pPr>
              <w:pStyle w:val="TableText"/>
              <w:jc w:val="center"/>
              <w:rPr>
                <w:lang w:eastAsia="en-NZ"/>
              </w:rPr>
            </w:pPr>
            <w:r w:rsidRPr="00AE6C74">
              <w:rPr>
                <w:lang w:eastAsia="en-NZ"/>
              </w:rPr>
              <w:t>23.9% (17.1–31.9)</w:t>
            </w:r>
          </w:p>
        </w:tc>
        <w:tc>
          <w:tcPr>
            <w:tcW w:w="1928" w:type="dxa"/>
            <w:tcBorders>
              <w:top w:val="nil"/>
            </w:tcBorders>
            <w:shd w:val="clear" w:color="auto" w:fill="auto"/>
            <w:noWrap/>
            <w:hideMark/>
          </w:tcPr>
          <w:p w14:paraId="7A22D301" w14:textId="77777777" w:rsidR="005C4132" w:rsidRPr="00AE6C74" w:rsidRDefault="005C4132" w:rsidP="00942F0F">
            <w:pPr>
              <w:pStyle w:val="TableText"/>
              <w:jc w:val="center"/>
              <w:rPr>
                <w:lang w:eastAsia="en-NZ"/>
              </w:rPr>
            </w:pPr>
            <w:r w:rsidRPr="00AE6C74">
              <w:rPr>
                <w:lang w:eastAsia="en-NZ"/>
              </w:rPr>
              <w:t>35.9% (19.9–54.6)</w:t>
            </w:r>
          </w:p>
        </w:tc>
        <w:tc>
          <w:tcPr>
            <w:tcW w:w="1928" w:type="dxa"/>
            <w:tcBorders>
              <w:top w:val="nil"/>
            </w:tcBorders>
            <w:shd w:val="clear" w:color="auto" w:fill="auto"/>
            <w:noWrap/>
            <w:hideMark/>
          </w:tcPr>
          <w:p w14:paraId="2505C83F" w14:textId="77777777" w:rsidR="005C4132" w:rsidRPr="00AE6C74" w:rsidRDefault="005C4132" w:rsidP="00942F0F">
            <w:pPr>
              <w:pStyle w:val="TableText"/>
              <w:jc w:val="center"/>
              <w:rPr>
                <w:lang w:eastAsia="en-NZ"/>
              </w:rPr>
            </w:pPr>
            <w:r w:rsidRPr="00AE6C74">
              <w:rPr>
                <w:lang w:eastAsia="en-NZ"/>
              </w:rPr>
              <w:t>6.7%† (2.9–13.0)</w:t>
            </w:r>
          </w:p>
        </w:tc>
        <w:tc>
          <w:tcPr>
            <w:tcW w:w="1828" w:type="dxa"/>
            <w:tcBorders>
              <w:top w:val="nil"/>
            </w:tcBorders>
            <w:shd w:val="clear" w:color="auto" w:fill="auto"/>
            <w:noWrap/>
            <w:hideMark/>
          </w:tcPr>
          <w:p w14:paraId="69DFEE87" w14:textId="77777777" w:rsidR="005C4132" w:rsidRPr="00AE6C74" w:rsidRDefault="005C4132" w:rsidP="00942F0F">
            <w:pPr>
              <w:pStyle w:val="TableText"/>
              <w:jc w:val="center"/>
              <w:rPr>
                <w:lang w:eastAsia="en-NZ"/>
              </w:rPr>
            </w:pPr>
            <w:r w:rsidRPr="00AE6C74">
              <w:rPr>
                <w:lang w:eastAsia="en-NZ"/>
              </w:rPr>
              <w:t>17.5% (12.8–23.1)</w:t>
            </w:r>
          </w:p>
        </w:tc>
      </w:tr>
      <w:tr w:rsidR="005C4132" w:rsidRPr="00581E97" w14:paraId="4F0F12DC" w14:textId="77777777" w:rsidTr="00942F0F">
        <w:trPr>
          <w:trHeight w:val="300"/>
        </w:trPr>
        <w:tc>
          <w:tcPr>
            <w:tcW w:w="1701" w:type="dxa"/>
            <w:shd w:val="clear" w:color="auto" w:fill="auto"/>
            <w:noWrap/>
            <w:vAlign w:val="center"/>
            <w:hideMark/>
          </w:tcPr>
          <w:p w14:paraId="683C4909" w14:textId="77777777" w:rsidR="005C4132" w:rsidRPr="00AE6C74" w:rsidRDefault="005C4132" w:rsidP="005C4132">
            <w:pPr>
              <w:pStyle w:val="TableText"/>
              <w:rPr>
                <w:lang w:eastAsia="en-NZ"/>
              </w:rPr>
            </w:pPr>
            <w:r w:rsidRPr="00AE6C74">
              <w:rPr>
                <w:lang w:eastAsia="en-NZ"/>
              </w:rPr>
              <w:t>No</w:t>
            </w:r>
          </w:p>
        </w:tc>
        <w:tc>
          <w:tcPr>
            <w:tcW w:w="1687" w:type="dxa"/>
            <w:shd w:val="clear" w:color="auto" w:fill="auto"/>
            <w:noWrap/>
            <w:hideMark/>
          </w:tcPr>
          <w:p w14:paraId="6BCABDE0" w14:textId="77777777" w:rsidR="005C4132" w:rsidRPr="00AE6C74" w:rsidRDefault="005C4132" w:rsidP="00942F0F">
            <w:pPr>
              <w:pStyle w:val="TableText"/>
              <w:jc w:val="center"/>
              <w:rPr>
                <w:lang w:eastAsia="en-NZ"/>
              </w:rPr>
            </w:pPr>
            <w:r w:rsidRPr="00AE6C74">
              <w:rPr>
                <w:lang w:eastAsia="en-NZ"/>
              </w:rPr>
              <w:t>14.6% (12.0–17.5)</w:t>
            </w:r>
          </w:p>
        </w:tc>
        <w:tc>
          <w:tcPr>
            <w:tcW w:w="1928" w:type="dxa"/>
            <w:shd w:val="clear" w:color="auto" w:fill="auto"/>
            <w:noWrap/>
            <w:hideMark/>
          </w:tcPr>
          <w:p w14:paraId="5BE331E2" w14:textId="77777777" w:rsidR="005C4132" w:rsidRPr="00AE6C74" w:rsidRDefault="005C4132" w:rsidP="00942F0F">
            <w:pPr>
              <w:pStyle w:val="TableText"/>
              <w:jc w:val="center"/>
              <w:rPr>
                <w:lang w:eastAsia="en-NZ"/>
              </w:rPr>
            </w:pPr>
            <w:r w:rsidRPr="00AE6C74">
              <w:rPr>
                <w:lang w:eastAsia="en-NZ"/>
              </w:rPr>
              <w:t>14.0% (10.1–18.5)</w:t>
            </w:r>
          </w:p>
        </w:tc>
        <w:tc>
          <w:tcPr>
            <w:tcW w:w="1928" w:type="dxa"/>
            <w:shd w:val="clear" w:color="auto" w:fill="auto"/>
            <w:noWrap/>
            <w:hideMark/>
          </w:tcPr>
          <w:p w14:paraId="35FDA084" w14:textId="77777777" w:rsidR="005C4132" w:rsidRPr="00AE6C74" w:rsidRDefault="005C4132" w:rsidP="00942F0F">
            <w:pPr>
              <w:pStyle w:val="TableText"/>
              <w:jc w:val="center"/>
              <w:rPr>
                <w:lang w:eastAsia="en-NZ"/>
              </w:rPr>
            </w:pPr>
            <w:r w:rsidRPr="00AE6C74">
              <w:rPr>
                <w:lang w:eastAsia="en-NZ"/>
              </w:rPr>
              <w:t>6.9% (4.9–9.5)</w:t>
            </w:r>
          </w:p>
        </w:tc>
        <w:tc>
          <w:tcPr>
            <w:tcW w:w="1828" w:type="dxa"/>
            <w:shd w:val="clear" w:color="auto" w:fill="auto"/>
            <w:noWrap/>
            <w:hideMark/>
          </w:tcPr>
          <w:p w14:paraId="5E03B3A1" w14:textId="77777777" w:rsidR="005C4132" w:rsidRPr="00AE6C74" w:rsidRDefault="005C4132" w:rsidP="00942F0F">
            <w:pPr>
              <w:pStyle w:val="TableText"/>
              <w:jc w:val="center"/>
              <w:rPr>
                <w:lang w:eastAsia="en-NZ"/>
              </w:rPr>
            </w:pPr>
            <w:r w:rsidRPr="00AE6C74">
              <w:rPr>
                <w:lang w:eastAsia="en-NZ"/>
              </w:rPr>
              <w:t>7.9% (6.9–9.0)</w:t>
            </w:r>
          </w:p>
        </w:tc>
      </w:tr>
    </w:tbl>
    <w:p w14:paraId="105366EE" w14:textId="77777777" w:rsidR="005C4132" w:rsidRDefault="005C4132" w:rsidP="00942F0F">
      <w:pPr>
        <w:pStyle w:val="Note"/>
      </w:pPr>
      <w:r w:rsidRPr="00AE6C74">
        <w:t>Note</w:t>
      </w:r>
      <w:r>
        <w:t>s</w:t>
      </w:r>
      <w:r w:rsidRPr="00AE6C74">
        <w:t>:</w:t>
      </w:r>
      <w:r>
        <w:t xml:space="preserve"> CI = confidence interval.</w:t>
      </w:r>
    </w:p>
    <w:p w14:paraId="6AA0663D" w14:textId="77777777" w:rsidR="005C4132" w:rsidRPr="00AE6C74" w:rsidRDefault="005C4132" w:rsidP="00942F0F">
      <w:pPr>
        <w:pStyle w:val="Note"/>
        <w:rPr>
          <w:color w:val="000000" w:themeColor="text1"/>
        </w:rPr>
      </w:pPr>
      <w:r w:rsidRPr="00AE6C74">
        <w:t>† I</w:t>
      </w:r>
      <w:r w:rsidRPr="00AE6C74">
        <w:rPr>
          <w:color w:val="000000" w:themeColor="text1"/>
        </w:rPr>
        <w:t>nterpret with caution as the relative standard error (the size of the standard error relative to the result) is over 30%.</w:t>
      </w:r>
    </w:p>
    <w:p w14:paraId="140E8109" w14:textId="77777777" w:rsidR="00942F0F" w:rsidRPr="00BA252B" w:rsidRDefault="00942F0F" w:rsidP="00942F0F">
      <w:pPr>
        <w:pStyle w:val="Heading3"/>
      </w:pPr>
      <w:r w:rsidRPr="00BA252B">
        <w:t>Self-rated health</w:t>
      </w:r>
    </w:p>
    <w:p w14:paraId="0B78F8CF" w14:textId="77777777" w:rsidR="00942F0F" w:rsidRPr="00AF4771" w:rsidRDefault="00942F0F" w:rsidP="00942F0F">
      <w:pPr>
        <w:rPr>
          <w:color w:val="000000" w:themeColor="text1"/>
        </w:rPr>
      </w:pPr>
      <w:r>
        <w:t>People who experienced racial discrimination in the past 12 months had a lower rate of good, very good or excellent self-rated health (</w:t>
      </w:r>
      <w:r w:rsidRPr="00480B18">
        <w:rPr>
          <w:color w:val="000000" w:themeColor="text1"/>
        </w:rPr>
        <w:t>79.5%</w:t>
      </w:r>
      <w:r>
        <w:rPr>
          <w:color w:val="000000" w:themeColor="text1"/>
        </w:rPr>
        <w:t>)</w:t>
      </w:r>
      <w:r>
        <w:t xml:space="preserve"> than people who did not experience </w:t>
      </w:r>
      <w:r w:rsidRPr="00480B18">
        <w:rPr>
          <w:color w:val="000000" w:themeColor="text1"/>
        </w:rPr>
        <w:t>racial discrimination</w:t>
      </w:r>
      <w:r>
        <w:rPr>
          <w:color w:val="000000" w:themeColor="text1"/>
        </w:rPr>
        <w:t xml:space="preserve"> (</w:t>
      </w:r>
      <w:r w:rsidRPr="00480B18">
        <w:rPr>
          <w:color w:val="000000" w:themeColor="text1"/>
        </w:rPr>
        <w:t>88.8%</w:t>
      </w:r>
      <w:r>
        <w:rPr>
          <w:color w:val="000000" w:themeColor="text1"/>
        </w:rPr>
        <w:t>)</w:t>
      </w:r>
      <w:r w:rsidRPr="00480B18">
        <w:rPr>
          <w:color w:val="000000" w:themeColor="text1"/>
        </w:rPr>
        <w:t>.</w:t>
      </w:r>
      <w:r>
        <w:rPr>
          <w:color w:val="000000" w:themeColor="text1"/>
        </w:rPr>
        <w:t xml:space="preserve"> </w:t>
      </w:r>
      <w:r w:rsidRPr="008F446A">
        <w:rPr>
          <w:color w:val="000000" w:themeColor="text1"/>
        </w:rPr>
        <w:t>After adjusting for differences in age and gender, people who experienced discrimination in the past 12 months were</w:t>
      </w:r>
      <w:r>
        <w:rPr>
          <w:color w:val="000000" w:themeColor="text1"/>
        </w:rPr>
        <w:t xml:space="preserve"> </w:t>
      </w:r>
      <w:r w:rsidRPr="007408B5">
        <w:rPr>
          <w:color w:val="000000" w:themeColor="text1"/>
        </w:rPr>
        <w:t>0.9</w:t>
      </w:r>
      <w:r w:rsidRPr="008F446A">
        <w:rPr>
          <w:color w:val="000000" w:themeColor="text1"/>
        </w:rPr>
        <w:t xml:space="preserve"> times as likely</w:t>
      </w:r>
      <w:r>
        <w:rPr>
          <w:color w:val="000000" w:themeColor="text1"/>
        </w:rPr>
        <w:t xml:space="preserve"> as </w:t>
      </w:r>
      <w:r w:rsidRPr="008F446A">
        <w:rPr>
          <w:color w:val="000000" w:themeColor="text1"/>
        </w:rPr>
        <w:t xml:space="preserve">people who hadn’t experienced </w:t>
      </w:r>
      <w:r w:rsidRPr="00AF4771">
        <w:rPr>
          <w:color w:val="000000" w:themeColor="text1"/>
        </w:rPr>
        <w:t>discrimination to have good, very good or excellent self-rated health.</w:t>
      </w:r>
    </w:p>
    <w:p w14:paraId="3AEDDC11" w14:textId="77777777" w:rsidR="00942F0F" w:rsidRPr="00AF4771" w:rsidRDefault="00942F0F" w:rsidP="00942F0F">
      <w:pPr>
        <w:rPr>
          <w:color w:val="000000" w:themeColor="text1"/>
        </w:rPr>
      </w:pPr>
    </w:p>
    <w:p w14:paraId="52203ADC" w14:textId="77777777" w:rsidR="00942F0F" w:rsidRPr="00AF4771" w:rsidRDefault="00942F0F" w:rsidP="00942F0F">
      <w:pPr>
        <w:rPr>
          <w:color w:val="000000" w:themeColor="text1"/>
        </w:rPr>
      </w:pPr>
      <w:r w:rsidRPr="00AF4771">
        <w:rPr>
          <w:color w:val="000000" w:themeColor="text1"/>
        </w:rPr>
        <w:t>Table 5 shows the rate of good, very good or excellent self-rated health for people who experienced racial discrimination and those who did not experience racial discrimination in the past 12 months. Māori, Pacific and non-MPA adults who experienced racial discrimination had a lower rate of good, very good or excellent self-rated health than people who did not experience racial discrimination. For the Asian ethnic group, the rate of good, very good or excellent self-rated health was similar for people who experienced racial discrimination and those who did</w:t>
      </w:r>
      <w:r>
        <w:rPr>
          <w:color w:val="000000" w:themeColor="text1"/>
        </w:rPr>
        <w:t xml:space="preserve"> not</w:t>
      </w:r>
      <w:r w:rsidRPr="00AF4771">
        <w:rPr>
          <w:color w:val="000000" w:themeColor="text1"/>
        </w:rPr>
        <w:t xml:space="preserve">. </w:t>
      </w:r>
    </w:p>
    <w:p w14:paraId="397EFD16" w14:textId="77777777" w:rsidR="00942F0F" w:rsidRPr="00AF4771" w:rsidRDefault="00942F0F" w:rsidP="00942F0F">
      <w:pPr>
        <w:rPr>
          <w:color w:val="000000" w:themeColor="text1"/>
        </w:rPr>
      </w:pPr>
    </w:p>
    <w:p w14:paraId="57C015CC" w14:textId="2D063C21" w:rsidR="00942F0F" w:rsidRDefault="00942F0F" w:rsidP="00942F0F">
      <w:pPr>
        <w:pStyle w:val="Table"/>
      </w:pPr>
      <w:bookmarkStart w:id="56" w:name="_Toc135391580"/>
      <w:bookmarkStart w:id="57" w:name="_Toc136584049"/>
      <w:r>
        <w:t xml:space="preserve">Table </w:t>
      </w:r>
      <w:fldSimple w:instr=" SEQ Table \* ARABIC ">
        <w:r>
          <w:rPr>
            <w:noProof/>
          </w:rPr>
          <w:t>5</w:t>
        </w:r>
      </w:fldSimple>
      <w:r>
        <w:t>: Good, very good or excellent self-rated health, by ethnic group and experience of racial discrimination in past 12 months, 2020/21 (percentages)</w:t>
      </w:r>
      <w:bookmarkEnd w:id="56"/>
      <w:bookmarkEnd w:id="57"/>
    </w:p>
    <w:tbl>
      <w:tblPr>
        <w:tblW w:w="9072"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ook w:val="04A0" w:firstRow="1" w:lastRow="0" w:firstColumn="1" w:lastColumn="0" w:noHBand="0" w:noVBand="1"/>
      </w:tblPr>
      <w:tblGrid>
        <w:gridCol w:w="1701"/>
        <w:gridCol w:w="1687"/>
        <w:gridCol w:w="1928"/>
        <w:gridCol w:w="1928"/>
        <w:gridCol w:w="1828"/>
      </w:tblGrid>
      <w:tr w:rsidR="00942F0F" w:rsidRPr="00942F0F" w14:paraId="0F929161" w14:textId="77777777" w:rsidTr="006A45B8">
        <w:trPr>
          <w:trHeight w:val="300"/>
        </w:trPr>
        <w:tc>
          <w:tcPr>
            <w:tcW w:w="1701" w:type="dxa"/>
            <w:vMerge w:val="restart"/>
            <w:tcBorders>
              <w:top w:val="nil"/>
              <w:bottom w:val="nil"/>
            </w:tcBorders>
            <w:shd w:val="clear" w:color="auto" w:fill="D9D9D9" w:themeFill="background1" w:themeFillShade="D9"/>
            <w:hideMark/>
          </w:tcPr>
          <w:p w14:paraId="2F128C32" w14:textId="77777777" w:rsidR="00942F0F" w:rsidRPr="00942F0F" w:rsidRDefault="00942F0F" w:rsidP="006A45B8">
            <w:pPr>
              <w:pStyle w:val="TableText"/>
              <w:rPr>
                <w:b/>
                <w:bCs/>
                <w:lang w:eastAsia="en-NZ"/>
              </w:rPr>
            </w:pPr>
            <w:r w:rsidRPr="00942F0F">
              <w:rPr>
                <w:b/>
                <w:bCs/>
                <w:lang w:eastAsia="en-NZ"/>
              </w:rPr>
              <w:t>Experienced racial discrimination in past 12 months</w:t>
            </w:r>
          </w:p>
        </w:tc>
        <w:tc>
          <w:tcPr>
            <w:tcW w:w="7371" w:type="dxa"/>
            <w:gridSpan w:val="4"/>
            <w:tcBorders>
              <w:top w:val="nil"/>
              <w:bottom w:val="nil"/>
            </w:tcBorders>
            <w:shd w:val="clear" w:color="auto" w:fill="D9D9D9" w:themeFill="background1" w:themeFillShade="D9"/>
            <w:noWrap/>
            <w:hideMark/>
          </w:tcPr>
          <w:p w14:paraId="759927A3" w14:textId="49966688" w:rsidR="00942F0F" w:rsidRPr="00942F0F" w:rsidRDefault="00942F0F" w:rsidP="006A45B8">
            <w:pPr>
              <w:pStyle w:val="TableText"/>
              <w:jc w:val="center"/>
              <w:rPr>
                <w:b/>
                <w:bCs/>
                <w:lang w:eastAsia="en-NZ"/>
              </w:rPr>
            </w:pPr>
            <w:r w:rsidRPr="00942F0F">
              <w:rPr>
                <w:b/>
                <w:bCs/>
                <w:lang w:eastAsia="en-NZ"/>
              </w:rPr>
              <w:t>Percentage with good, very good or excellent self-rated health</w:t>
            </w:r>
          </w:p>
        </w:tc>
      </w:tr>
      <w:tr w:rsidR="00942F0F" w:rsidRPr="00581E97" w14:paraId="57598F15" w14:textId="77777777" w:rsidTr="006A45B8">
        <w:trPr>
          <w:trHeight w:val="300"/>
        </w:trPr>
        <w:tc>
          <w:tcPr>
            <w:tcW w:w="1701" w:type="dxa"/>
            <w:vMerge/>
            <w:tcBorders>
              <w:top w:val="nil"/>
              <w:bottom w:val="nil"/>
            </w:tcBorders>
            <w:shd w:val="clear" w:color="auto" w:fill="D9D9D9" w:themeFill="background1" w:themeFillShade="D9"/>
            <w:vAlign w:val="center"/>
            <w:hideMark/>
          </w:tcPr>
          <w:p w14:paraId="04DFDEC7" w14:textId="77777777" w:rsidR="00942F0F" w:rsidRPr="00942F0F" w:rsidRDefault="00942F0F" w:rsidP="006A45B8">
            <w:pPr>
              <w:pStyle w:val="TableText"/>
              <w:rPr>
                <w:b/>
                <w:bCs/>
                <w:lang w:eastAsia="en-NZ"/>
              </w:rPr>
            </w:pPr>
          </w:p>
        </w:tc>
        <w:tc>
          <w:tcPr>
            <w:tcW w:w="1687" w:type="dxa"/>
            <w:tcBorders>
              <w:top w:val="nil"/>
              <w:bottom w:val="nil"/>
            </w:tcBorders>
            <w:shd w:val="clear" w:color="auto" w:fill="D9D9D9" w:themeFill="background1" w:themeFillShade="D9"/>
            <w:noWrap/>
            <w:hideMark/>
          </w:tcPr>
          <w:p w14:paraId="1B723609" w14:textId="77777777" w:rsidR="00942F0F" w:rsidRPr="00942F0F" w:rsidRDefault="00942F0F" w:rsidP="006A45B8">
            <w:pPr>
              <w:pStyle w:val="TableText"/>
              <w:jc w:val="center"/>
              <w:rPr>
                <w:b/>
                <w:bCs/>
                <w:lang w:eastAsia="en-NZ"/>
              </w:rPr>
            </w:pPr>
            <w:r w:rsidRPr="00942F0F">
              <w:rPr>
                <w:b/>
                <w:bCs/>
                <w:lang w:eastAsia="en-NZ"/>
              </w:rPr>
              <w:t>Māori</w:t>
            </w:r>
          </w:p>
        </w:tc>
        <w:tc>
          <w:tcPr>
            <w:tcW w:w="1928" w:type="dxa"/>
            <w:tcBorders>
              <w:top w:val="nil"/>
              <w:bottom w:val="nil"/>
            </w:tcBorders>
            <w:shd w:val="clear" w:color="auto" w:fill="D9D9D9" w:themeFill="background1" w:themeFillShade="D9"/>
            <w:noWrap/>
            <w:hideMark/>
          </w:tcPr>
          <w:p w14:paraId="078FC486" w14:textId="77777777" w:rsidR="00942F0F" w:rsidRPr="00942F0F" w:rsidRDefault="00942F0F" w:rsidP="006A45B8">
            <w:pPr>
              <w:pStyle w:val="TableText"/>
              <w:jc w:val="center"/>
              <w:rPr>
                <w:b/>
                <w:bCs/>
                <w:lang w:eastAsia="en-NZ"/>
              </w:rPr>
            </w:pPr>
            <w:r w:rsidRPr="00942F0F">
              <w:rPr>
                <w:b/>
                <w:bCs/>
                <w:lang w:eastAsia="en-NZ"/>
              </w:rPr>
              <w:t>Pacific</w:t>
            </w:r>
          </w:p>
        </w:tc>
        <w:tc>
          <w:tcPr>
            <w:tcW w:w="1928" w:type="dxa"/>
            <w:tcBorders>
              <w:top w:val="nil"/>
              <w:bottom w:val="nil"/>
            </w:tcBorders>
            <w:shd w:val="clear" w:color="auto" w:fill="D9D9D9" w:themeFill="background1" w:themeFillShade="D9"/>
            <w:noWrap/>
            <w:hideMark/>
          </w:tcPr>
          <w:p w14:paraId="31730692" w14:textId="77777777" w:rsidR="00942F0F" w:rsidRPr="00942F0F" w:rsidRDefault="00942F0F" w:rsidP="006A45B8">
            <w:pPr>
              <w:pStyle w:val="TableText"/>
              <w:jc w:val="center"/>
              <w:rPr>
                <w:b/>
                <w:bCs/>
                <w:lang w:eastAsia="en-NZ"/>
              </w:rPr>
            </w:pPr>
            <w:r w:rsidRPr="00942F0F">
              <w:rPr>
                <w:b/>
                <w:bCs/>
                <w:lang w:eastAsia="en-NZ"/>
              </w:rPr>
              <w:t>Asian</w:t>
            </w:r>
          </w:p>
        </w:tc>
        <w:tc>
          <w:tcPr>
            <w:tcW w:w="1828" w:type="dxa"/>
            <w:tcBorders>
              <w:top w:val="nil"/>
              <w:bottom w:val="nil"/>
            </w:tcBorders>
            <w:shd w:val="clear" w:color="auto" w:fill="D9D9D9" w:themeFill="background1" w:themeFillShade="D9"/>
            <w:noWrap/>
            <w:hideMark/>
          </w:tcPr>
          <w:p w14:paraId="24CFEA3B" w14:textId="77777777" w:rsidR="00942F0F" w:rsidRPr="00942F0F" w:rsidRDefault="00942F0F" w:rsidP="006A45B8">
            <w:pPr>
              <w:pStyle w:val="TableText"/>
              <w:jc w:val="center"/>
              <w:rPr>
                <w:b/>
                <w:bCs/>
                <w:lang w:eastAsia="en-NZ"/>
              </w:rPr>
            </w:pPr>
            <w:r w:rsidRPr="00942F0F">
              <w:rPr>
                <w:b/>
                <w:bCs/>
                <w:lang w:eastAsia="en-NZ"/>
              </w:rPr>
              <w:t>Non-MPA</w:t>
            </w:r>
          </w:p>
        </w:tc>
      </w:tr>
      <w:tr w:rsidR="00942F0F" w:rsidRPr="00581E97" w14:paraId="4875DF7B" w14:textId="77777777" w:rsidTr="006A45B8">
        <w:trPr>
          <w:trHeight w:val="300"/>
        </w:trPr>
        <w:tc>
          <w:tcPr>
            <w:tcW w:w="1701" w:type="dxa"/>
            <w:vMerge/>
            <w:tcBorders>
              <w:top w:val="nil"/>
              <w:bottom w:val="nil"/>
            </w:tcBorders>
            <w:shd w:val="clear" w:color="auto" w:fill="D9D9D9" w:themeFill="background1" w:themeFillShade="D9"/>
            <w:vAlign w:val="center"/>
            <w:hideMark/>
          </w:tcPr>
          <w:p w14:paraId="21D2F491" w14:textId="77777777" w:rsidR="00942F0F" w:rsidRPr="00942F0F" w:rsidRDefault="00942F0F" w:rsidP="006A45B8">
            <w:pPr>
              <w:pStyle w:val="TableText"/>
              <w:rPr>
                <w:b/>
                <w:bCs/>
                <w:lang w:eastAsia="en-NZ"/>
              </w:rPr>
            </w:pPr>
          </w:p>
        </w:tc>
        <w:tc>
          <w:tcPr>
            <w:tcW w:w="1687" w:type="dxa"/>
            <w:tcBorders>
              <w:top w:val="nil"/>
              <w:bottom w:val="nil"/>
            </w:tcBorders>
            <w:shd w:val="clear" w:color="auto" w:fill="D9D9D9" w:themeFill="background1" w:themeFillShade="D9"/>
            <w:noWrap/>
            <w:hideMark/>
          </w:tcPr>
          <w:p w14:paraId="34FD33A5" w14:textId="77777777" w:rsidR="00942F0F" w:rsidRPr="00942F0F" w:rsidRDefault="00942F0F" w:rsidP="006A45B8">
            <w:pPr>
              <w:pStyle w:val="TableText"/>
              <w:jc w:val="center"/>
              <w:rPr>
                <w:b/>
                <w:bCs/>
                <w:lang w:eastAsia="en-NZ"/>
              </w:rPr>
            </w:pPr>
            <w:r w:rsidRPr="00942F0F">
              <w:rPr>
                <w:b/>
                <w:bCs/>
                <w:lang w:eastAsia="en-NZ"/>
              </w:rPr>
              <w:t>% (95% CI)</w:t>
            </w:r>
          </w:p>
        </w:tc>
        <w:tc>
          <w:tcPr>
            <w:tcW w:w="1928" w:type="dxa"/>
            <w:tcBorders>
              <w:top w:val="nil"/>
              <w:bottom w:val="nil"/>
            </w:tcBorders>
            <w:shd w:val="clear" w:color="auto" w:fill="D9D9D9" w:themeFill="background1" w:themeFillShade="D9"/>
            <w:noWrap/>
            <w:hideMark/>
          </w:tcPr>
          <w:p w14:paraId="70B31A07" w14:textId="77777777" w:rsidR="00942F0F" w:rsidRPr="00942F0F" w:rsidRDefault="00942F0F" w:rsidP="006A45B8">
            <w:pPr>
              <w:pStyle w:val="TableText"/>
              <w:jc w:val="center"/>
              <w:rPr>
                <w:b/>
                <w:bCs/>
                <w:lang w:eastAsia="en-NZ"/>
              </w:rPr>
            </w:pPr>
            <w:r w:rsidRPr="00942F0F">
              <w:rPr>
                <w:b/>
                <w:bCs/>
                <w:lang w:eastAsia="en-NZ"/>
              </w:rPr>
              <w:t>% (95% CI)</w:t>
            </w:r>
          </w:p>
        </w:tc>
        <w:tc>
          <w:tcPr>
            <w:tcW w:w="1928" w:type="dxa"/>
            <w:tcBorders>
              <w:top w:val="nil"/>
              <w:bottom w:val="nil"/>
            </w:tcBorders>
            <w:shd w:val="clear" w:color="auto" w:fill="D9D9D9" w:themeFill="background1" w:themeFillShade="D9"/>
            <w:noWrap/>
            <w:hideMark/>
          </w:tcPr>
          <w:p w14:paraId="21FA7DA0" w14:textId="77777777" w:rsidR="00942F0F" w:rsidRPr="00942F0F" w:rsidRDefault="00942F0F" w:rsidP="006A45B8">
            <w:pPr>
              <w:pStyle w:val="TableText"/>
              <w:jc w:val="center"/>
              <w:rPr>
                <w:b/>
                <w:bCs/>
                <w:lang w:eastAsia="en-NZ"/>
              </w:rPr>
            </w:pPr>
            <w:r w:rsidRPr="00942F0F">
              <w:rPr>
                <w:b/>
                <w:bCs/>
                <w:lang w:eastAsia="en-NZ"/>
              </w:rPr>
              <w:t>% (95% CI)</w:t>
            </w:r>
          </w:p>
        </w:tc>
        <w:tc>
          <w:tcPr>
            <w:tcW w:w="1828" w:type="dxa"/>
            <w:tcBorders>
              <w:top w:val="nil"/>
              <w:bottom w:val="nil"/>
            </w:tcBorders>
            <w:shd w:val="clear" w:color="auto" w:fill="D9D9D9" w:themeFill="background1" w:themeFillShade="D9"/>
            <w:noWrap/>
            <w:hideMark/>
          </w:tcPr>
          <w:p w14:paraId="21B21900" w14:textId="77777777" w:rsidR="00942F0F" w:rsidRPr="00942F0F" w:rsidRDefault="00942F0F" w:rsidP="006A45B8">
            <w:pPr>
              <w:pStyle w:val="TableText"/>
              <w:jc w:val="center"/>
              <w:rPr>
                <w:b/>
                <w:bCs/>
                <w:lang w:eastAsia="en-NZ"/>
              </w:rPr>
            </w:pPr>
            <w:r w:rsidRPr="00942F0F">
              <w:rPr>
                <w:b/>
                <w:bCs/>
                <w:lang w:eastAsia="en-NZ"/>
              </w:rPr>
              <w:t>% (95% CI)</w:t>
            </w:r>
          </w:p>
        </w:tc>
      </w:tr>
      <w:tr w:rsidR="00942F0F" w:rsidRPr="00581E97" w14:paraId="6B7B2B93" w14:textId="77777777" w:rsidTr="007A161E">
        <w:trPr>
          <w:trHeight w:val="300"/>
        </w:trPr>
        <w:tc>
          <w:tcPr>
            <w:tcW w:w="1701" w:type="dxa"/>
            <w:tcBorders>
              <w:top w:val="nil"/>
            </w:tcBorders>
            <w:shd w:val="clear" w:color="auto" w:fill="auto"/>
            <w:noWrap/>
            <w:vAlign w:val="center"/>
            <w:hideMark/>
          </w:tcPr>
          <w:p w14:paraId="6D0B3A49" w14:textId="77777777" w:rsidR="00942F0F" w:rsidRPr="00AE6C74" w:rsidRDefault="00942F0F" w:rsidP="00942F0F">
            <w:pPr>
              <w:pStyle w:val="TableText"/>
              <w:rPr>
                <w:lang w:eastAsia="en-NZ"/>
              </w:rPr>
            </w:pPr>
            <w:r w:rsidRPr="00AE6C74">
              <w:rPr>
                <w:lang w:eastAsia="en-NZ"/>
              </w:rPr>
              <w:t>Yes</w:t>
            </w:r>
          </w:p>
        </w:tc>
        <w:tc>
          <w:tcPr>
            <w:tcW w:w="1687" w:type="dxa"/>
            <w:tcBorders>
              <w:top w:val="nil"/>
            </w:tcBorders>
            <w:shd w:val="clear" w:color="auto" w:fill="auto"/>
            <w:noWrap/>
            <w:vAlign w:val="center"/>
            <w:hideMark/>
          </w:tcPr>
          <w:p w14:paraId="62C80318" w14:textId="401A585B" w:rsidR="00942F0F" w:rsidRPr="00942F0F" w:rsidRDefault="00942F0F" w:rsidP="00942F0F">
            <w:pPr>
              <w:pStyle w:val="TableText"/>
            </w:pPr>
            <w:r w:rsidRPr="00942F0F">
              <w:t>68.4% (60.7–75.5)</w:t>
            </w:r>
          </w:p>
        </w:tc>
        <w:tc>
          <w:tcPr>
            <w:tcW w:w="1928" w:type="dxa"/>
            <w:tcBorders>
              <w:top w:val="nil"/>
            </w:tcBorders>
            <w:shd w:val="clear" w:color="auto" w:fill="auto"/>
            <w:noWrap/>
            <w:vAlign w:val="center"/>
            <w:hideMark/>
          </w:tcPr>
          <w:p w14:paraId="2E2BA43C" w14:textId="4EDB0FE3" w:rsidR="00942F0F" w:rsidRPr="00942F0F" w:rsidRDefault="00942F0F" w:rsidP="00942F0F">
            <w:pPr>
              <w:pStyle w:val="TableText"/>
            </w:pPr>
            <w:r w:rsidRPr="00942F0F">
              <w:t>63.5% (48.9–76.5)</w:t>
            </w:r>
          </w:p>
        </w:tc>
        <w:tc>
          <w:tcPr>
            <w:tcW w:w="1928" w:type="dxa"/>
            <w:tcBorders>
              <w:top w:val="nil"/>
            </w:tcBorders>
            <w:shd w:val="clear" w:color="auto" w:fill="auto"/>
            <w:noWrap/>
            <w:vAlign w:val="center"/>
            <w:hideMark/>
          </w:tcPr>
          <w:p w14:paraId="5B485694" w14:textId="43DD3DC0" w:rsidR="00942F0F" w:rsidRPr="00942F0F" w:rsidRDefault="00942F0F" w:rsidP="00942F0F">
            <w:pPr>
              <w:pStyle w:val="TableText"/>
            </w:pPr>
            <w:r w:rsidRPr="00942F0F">
              <w:t>89.5% (82.1–94.6)</w:t>
            </w:r>
          </w:p>
        </w:tc>
        <w:tc>
          <w:tcPr>
            <w:tcW w:w="1828" w:type="dxa"/>
            <w:tcBorders>
              <w:top w:val="nil"/>
            </w:tcBorders>
            <w:shd w:val="clear" w:color="auto" w:fill="auto"/>
            <w:noWrap/>
            <w:vAlign w:val="center"/>
            <w:hideMark/>
          </w:tcPr>
          <w:p w14:paraId="012E623B" w14:textId="49F30B02" w:rsidR="00942F0F" w:rsidRPr="00942F0F" w:rsidRDefault="00942F0F" w:rsidP="00942F0F">
            <w:pPr>
              <w:pStyle w:val="TableText"/>
            </w:pPr>
            <w:r w:rsidRPr="00942F0F">
              <w:t>81.8% (74.1–88.0)</w:t>
            </w:r>
          </w:p>
        </w:tc>
      </w:tr>
      <w:tr w:rsidR="00942F0F" w:rsidRPr="00581E97" w14:paraId="62C97724" w14:textId="77777777" w:rsidTr="007A161E">
        <w:trPr>
          <w:trHeight w:val="300"/>
        </w:trPr>
        <w:tc>
          <w:tcPr>
            <w:tcW w:w="1701" w:type="dxa"/>
            <w:shd w:val="clear" w:color="auto" w:fill="auto"/>
            <w:noWrap/>
            <w:vAlign w:val="center"/>
            <w:hideMark/>
          </w:tcPr>
          <w:p w14:paraId="6F43A4CE" w14:textId="77777777" w:rsidR="00942F0F" w:rsidRPr="00AE6C74" w:rsidRDefault="00942F0F" w:rsidP="00942F0F">
            <w:pPr>
              <w:pStyle w:val="TableText"/>
              <w:rPr>
                <w:lang w:eastAsia="en-NZ"/>
              </w:rPr>
            </w:pPr>
            <w:r w:rsidRPr="00AE6C74">
              <w:rPr>
                <w:lang w:eastAsia="en-NZ"/>
              </w:rPr>
              <w:t>No</w:t>
            </w:r>
          </w:p>
        </w:tc>
        <w:tc>
          <w:tcPr>
            <w:tcW w:w="1687" w:type="dxa"/>
            <w:shd w:val="clear" w:color="auto" w:fill="auto"/>
            <w:noWrap/>
            <w:vAlign w:val="center"/>
            <w:hideMark/>
          </w:tcPr>
          <w:p w14:paraId="111668B4" w14:textId="170FB6E2" w:rsidR="00942F0F" w:rsidRPr="00942F0F" w:rsidRDefault="00942F0F" w:rsidP="00942F0F">
            <w:pPr>
              <w:pStyle w:val="TableText"/>
            </w:pPr>
            <w:r w:rsidRPr="00942F0F">
              <w:t>84.3% (82.0–86.4)</w:t>
            </w:r>
          </w:p>
        </w:tc>
        <w:tc>
          <w:tcPr>
            <w:tcW w:w="1928" w:type="dxa"/>
            <w:shd w:val="clear" w:color="auto" w:fill="auto"/>
            <w:noWrap/>
            <w:vAlign w:val="center"/>
            <w:hideMark/>
          </w:tcPr>
          <w:p w14:paraId="23BB6A3B" w14:textId="66D3E992" w:rsidR="00942F0F" w:rsidRPr="00942F0F" w:rsidRDefault="00942F0F" w:rsidP="00942F0F">
            <w:pPr>
              <w:pStyle w:val="TableText"/>
            </w:pPr>
            <w:r w:rsidRPr="00942F0F">
              <w:t>83.8% (79.2–87.8)</w:t>
            </w:r>
          </w:p>
        </w:tc>
        <w:tc>
          <w:tcPr>
            <w:tcW w:w="1928" w:type="dxa"/>
            <w:shd w:val="clear" w:color="auto" w:fill="auto"/>
            <w:noWrap/>
            <w:vAlign w:val="center"/>
            <w:hideMark/>
          </w:tcPr>
          <w:p w14:paraId="67E70CAF" w14:textId="250E4991" w:rsidR="00942F0F" w:rsidRPr="00942F0F" w:rsidRDefault="00942F0F" w:rsidP="00942F0F">
            <w:pPr>
              <w:pStyle w:val="TableText"/>
            </w:pPr>
            <w:r w:rsidRPr="00942F0F">
              <w:t>90.4% (87.6–92.7)</w:t>
            </w:r>
          </w:p>
        </w:tc>
        <w:tc>
          <w:tcPr>
            <w:tcW w:w="1828" w:type="dxa"/>
            <w:shd w:val="clear" w:color="auto" w:fill="auto"/>
            <w:noWrap/>
            <w:vAlign w:val="center"/>
            <w:hideMark/>
          </w:tcPr>
          <w:p w14:paraId="25DE78B5" w14:textId="319CC775" w:rsidR="00942F0F" w:rsidRPr="00942F0F" w:rsidRDefault="00942F0F" w:rsidP="00942F0F">
            <w:pPr>
              <w:pStyle w:val="TableText"/>
            </w:pPr>
            <w:r w:rsidRPr="00942F0F">
              <w:t>89.9% (89.1–90.6)</w:t>
            </w:r>
          </w:p>
        </w:tc>
      </w:tr>
    </w:tbl>
    <w:p w14:paraId="436260C0" w14:textId="77777777" w:rsidR="00942F0F" w:rsidRPr="00AE6C74" w:rsidRDefault="00942F0F" w:rsidP="00942F0F">
      <w:pPr>
        <w:pStyle w:val="Note"/>
      </w:pPr>
      <w:r w:rsidRPr="006B5108">
        <w:t>Note</w:t>
      </w:r>
      <w:r>
        <w:t>: CI = confidence interval.</w:t>
      </w:r>
    </w:p>
    <w:p w14:paraId="3026813D" w14:textId="77777777" w:rsidR="00942F0F" w:rsidRPr="00BA252B" w:rsidRDefault="00942F0F" w:rsidP="00942F0F">
      <w:pPr>
        <w:pStyle w:val="Heading3"/>
      </w:pPr>
      <w:r w:rsidRPr="00BA252B">
        <w:t>Unmet need for primary health care</w:t>
      </w:r>
    </w:p>
    <w:p w14:paraId="5038D2AE" w14:textId="77777777" w:rsidR="00942F0F" w:rsidRDefault="00942F0F" w:rsidP="00942F0F">
      <w:pPr>
        <w:rPr>
          <w:color w:val="000000" w:themeColor="text1"/>
        </w:rPr>
      </w:pPr>
      <w:r>
        <w:rPr>
          <w:color w:val="000000" w:themeColor="text1"/>
        </w:rPr>
        <w:t xml:space="preserve">Racial discrimination may act as a barrier to accessing health care (Harris et al 2019). </w:t>
      </w:r>
      <w:r w:rsidRPr="008F641E">
        <w:rPr>
          <w:color w:val="000000" w:themeColor="text1"/>
        </w:rPr>
        <w:t xml:space="preserve">People who had experienced racial discrimination in the past 12 months had a higher rate of unmet need for </w:t>
      </w:r>
      <w:r w:rsidRPr="00672F2A">
        <w:rPr>
          <w:color w:val="000000" w:themeColor="text1"/>
        </w:rPr>
        <w:t>primary health care</w:t>
      </w:r>
      <w:r w:rsidRPr="00672F2A">
        <w:rPr>
          <w:color w:val="000000" w:themeColor="text1"/>
          <w:vertAlign w:val="superscript"/>
        </w:rPr>
        <w:footnoteReference w:id="5"/>
      </w:r>
      <w:r w:rsidRPr="00672F2A">
        <w:rPr>
          <w:color w:val="000000" w:themeColor="text1"/>
        </w:rPr>
        <w:t xml:space="preserve"> in the past 12 months</w:t>
      </w:r>
      <w:r>
        <w:rPr>
          <w:color w:val="000000" w:themeColor="text1"/>
        </w:rPr>
        <w:t xml:space="preserve"> (</w:t>
      </w:r>
      <w:r w:rsidRPr="00672F2A">
        <w:rPr>
          <w:color w:val="000000" w:themeColor="text1"/>
        </w:rPr>
        <w:t>41.9%</w:t>
      </w:r>
      <w:r>
        <w:rPr>
          <w:color w:val="000000" w:themeColor="text1"/>
        </w:rPr>
        <w:t>)</w:t>
      </w:r>
      <w:r w:rsidRPr="00672F2A">
        <w:rPr>
          <w:color w:val="000000" w:themeColor="text1"/>
        </w:rPr>
        <w:t xml:space="preserve"> than people who did</w:t>
      </w:r>
      <w:r>
        <w:rPr>
          <w:color w:val="000000" w:themeColor="text1"/>
        </w:rPr>
        <w:t xml:space="preserve"> not</w:t>
      </w:r>
      <w:r w:rsidRPr="00672F2A">
        <w:rPr>
          <w:color w:val="000000" w:themeColor="text1"/>
        </w:rPr>
        <w:t xml:space="preserve"> experience racial discrimination </w:t>
      </w:r>
      <w:r>
        <w:rPr>
          <w:color w:val="000000" w:themeColor="text1"/>
        </w:rPr>
        <w:t>(</w:t>
      </w:r>
      <w:r w:rsidRPr="00672F2A">
        <w:rPr>
          <w:color w:val="000000" w:themeColor="text1"/>
        </w:rPr>
        <w:t>26.7%</w:t>
      </w:r>
      <w:r>
        <w:rPr>
          <w:color w:val="000000" w:themeColor="text1"/>
        </w:rPr>
        <w:t>)</w:t>
      </w:r>
      <w:r w:rsidRPr="00672F2A">
        <w:rPr>
          <w:color w:val="000000" w:themeColor="text1"/>
        </w:rPr>
        <w:t>.</w:t>
      </w:r>
      <w:r>
        <w:rPr>
          <w:color w:val="000000" w:themeColor="text1"/>
        </w:rPr>
        <w:t xml:space="preserve"> </w:t>
      </w:r>
      <w:r w:rsidRPr="008F446A">
        <w:rPr>
          <w:color w:val="000000" w:themeColor="text1"/>
        </w:rPr>
        <w:t xml:space="preserve">After adjusting for differences in age and gender, people who experienced discrimination in the past 12 months </w:t>
      </w:r>
      <w:r>
        <w:rPr>
          <w:color w:val="000000" w:themeColor="text1"/>
        </w:rPr>
        <w:t xml:space="preserve">were </w:t>
      </w:r>
      <w:r w:rsidRPr="007408B5">
        <w:rPr>
          <w:color w:val="000000" w:themeColor="text1"/>
        </w:rPr>
        <w:t>1.5</w:t>
      </w:r>
      <w:r w:rsidRPr="008F446A">
        <w:rPr>
          <w:color w:val="000000" w:themeColor="text1"/>
        </w:rPr>
        <w:t xml:space="preserve"> times as likely </w:t>
      </w:r>
      <w:r>
        <w:rPr>
          <w:color w:val="000000" w:themeColor="text1"/>
        </w:rPr>
        <w:t xml:space="preserve">as </w:t>
      </w:r>
      <w:r w:rsidRPr="008F446A">
        <w:rPr>
          <w:color w:val="000000" w:themeColor="text1"/>
        </w:rPr>
        <w:t>people who hadn’t experienced discrimination</w:t>
      </w:r>
      <w:r>
        <w:rPr>
          <w:color w:val="000000" w:themeColor="text1"/>
        </w:rPr>
        <w:t xml:space="preserve"> </w:t>
      </w:r>
      <w:r w:rsidRPr="008F446A">
        <w:rPr>
          <w:color w:val="000000" w:themeColor="text1"/>
        </w:rPr>
        <w:t>to have an unmet need for primary health</w:t>
      </w:r>
      <w:r>
        <w:rPr>
          <w:color w:val="000000" w:themeColor="text1"/>
        </w:rPr>
        <w:t xml:space="preserve"> </w:t>
      </w:r>
      <w:r w:rsidRPr="008F446A">
        <w:rPr>
          <w:color w:val="000000" w:themeColor="text1"/>
        </w:rPr>
        <w:t>care</w:t>
      </w:r>
      <w:r>
        <w:rPr>
          <w:color w:val="000000" w:themeColor="text1"/>
        </w:rPr>
        <w:t>.</w:t>
      </w:r>
    </w:p>
    <w:p w14:paraId="2EF74F07" w14:textId="77777777" w:rsidR="00942F0F" w:rsidRPr="00AF4771" w:rsidRDefault="00942F0F" w:rsidP="00942F0F">
      <w:pPr>
        <w:rPr>
          <w:color w:val="000000" w:themeColor="text1"/>
        </w:rPr>
      </w:pPr>
    </w:p>
    <w:p w14:paraId="609F9602" w14:textId="77777777" w:rsidR="00942F0F" w:rsidRPr="00AF4771" w:rsidRDefault="00942F0F" w:rsidP="00942F0F">
      <w:pPr>
        <w:rPr>
          <w:color w:val="000000" w:themeColor="text1"/>
        </w:rPr>
      </w:pPr>
      <w:r w:rsidRPr="00AF4771">
        <w:rPr>
          <w:color w:val="000000" w:themeColor="text1"/>
        </w:rPr>
        <w:t xml:space="preserve">Table 6 shows the rate of unmet need for primary health care for people who experienced racial discrimination in the past 12 months, compared </w:t>
      </w:r>
      <w:r>
        <w:rPr>
          <w:color w:val="000000" w:themeColor="text1"/>
        </w:rPr>
        <w:t>with</w:t>
      </w:r>
      <w:r w:rsidRPr="00AF4771">
        <w:rPr>
          <w:color w:val="000000" w:themeColor="text1"/>
        </w:rPr>
        <w:t xml:space="preserve"> those who did not experience racial discrimination. </w:t>
      </w:r>
      <w:r>
        <w:rPr>
          <w:color w:val="000000" w:themeColor="text1"/>
        </w:rPr>
        <w:t>Adults in all ethnic groups</w:t>
      </w:r>
      <w:r w:rsidRPr="00AF4771">
        <w:rPr>
          <w:color w:val="000000" w:themeColor="text1"/>
        </w:rPr>
        <w:t xml:space="preserve"> who experienced racial discrimination had a higher rate of unmet need for primary health care than people who did not experience racial discrimination. </w:t>
      </w:r>
    </w:p>
    <w:p w14:paraId="0B3D4BC2" w14:textId="77777777" w:rsidR="00942F0F" w:rsidRDefault="00942F0F" w:rsidP="00942F0F">
      <w:pPr>
        <w:rPr>
          <w:rFonts w:eastAsia="Arial Unicode MS"/>
        </w:rPr>
      </w:pPr>
    </w:p>
    <w:p w14:paraId="49900E51" w14:textId="6F7BC358" w:rsidR="00942F0F" w:rsidRDefault="00942F0F" w:rsidP="00942F0F">
      <w:pPr>
        <w:pStyle w:val="Table"/>
      </w:pPr>
      <w:bookmarkStart w:id="58" w:name="_Toc135391581"/>
      <w:bookmarkStart w:id="59" w:name="_Toc136584050"/>
      <w:r>
        <w:t xml:space="preserve">Table </w:t>
      </w:r>
      <w:fldSimple w:instr=" SEQ Table \* ARABIC ">
        <w:r>
          <w:rPr>
            <w:noProof/>
          </w:rPr>
          <w:t>6</w:t>
        </w:r>
      </w:fldSimple>
      <w:r>
        <w:t>: Unmet need for primary health care, by ethnic group, and experience of racial discrimination in past 12 months, 2020/21 (percentages)</w:t>
      </w:r>
      <w:bookmarkEnd w:id="58"/>
      <w:bookmarkEnd w:id="59"/>
    </w:p>
    <w:tbl>
      <w:tblPr>
        <w:tblW w:w="9072"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ook w:val="04A0" w:firstRow="1" w:lastRow="0" w:firstColumn="1" w:lastColumn="0" w:noHBand="0" w:noVBand="1"/>
      </w:tblPr>
      <w:tblGrid>
        <w:gridCol w:w="1701"/>
        <w:gridCol w:w="1687"/>
        <w:gridCol w:w="1928"/>
        <w:gridCol w:w="1928"/>
        <w:gridCol w:w="1828"/>
      </w:tblGrid>
      <w:tr w:rsidR="00942F0F" w:rsidRPr="00942F0F" w14:paraId="26581125" w14:textId="77777777" w:rsidTr="006A45B8">
        <w:trPr>
          <w:trHeight w:val="300"/>
        </w:trPr>
        <w:tc>
          <w:tcPr>
            <w:tcW w:w="1701" w:type="dxa"/>
            <w:vMerge w:val="restart"/>
            <w:tcBorders>
              <w:top w:val="nil"/>
              <w:bottom w:val="nil"/>
            </w:tcBorders>
            <w:shd w:val="clear" w:color="auto" w:fill="D9D9D9" w:themeFill="background1" w:themeFillShade="D9"/>
            <w:hideMark/>
          </w:tcPr>
          <w:p w14:paraId="391B49AC" w14:textId="77777777" w:rsidR="00942F0F" w:rsidRPr="00942F0F" w:rsidRDefault="00942F0F" w:rsidP="006A45B8">
            <w:pPr>
              <w:pStyle w:val="TableText"/>
              <w:rPr>
                <w:b/>
                <w:bCs/>
                <w:lang w:eastAsia="en-NZ"/>
              </w:rPr>
            </w:pPr>
            <w:r w:rsidRPr="00942F0F">
              <w:rPr>
                <w:b/>
                <w:bCs/>
                <w:lang w:eastAsia="en-NZ"/>
              </w:rPr>
              <w:t>Experienced racial discrimination in past 12 months</w:t>
            </w:r>
          </w:p>
        </w:tc>
        <w:tc>
          <w:tcPr>
            <w:tcW w:w="7371" w:type="dxa"/>
            <w:gridSpan w:val="4"/>
            <w:tcBorders>
              <w:top w:val="nil"/>
              <w:bottom w:val="nil"/>
            </w:tcBorders>
            <w:shd w:val="clear" w:color="auto" w:fill="D9D9D9" w:themeFill="background1" w:themeFillShade="D9"/>
            <w:noWrap/>
            <w:hideMark/>
          </w:tcPr>
          <w:p w14:paraId="66E6264C" w14:textId="4260FDDC" w:rsidR="00942F0F" w:rsidRPr="00942F0F" w:rsidRDefault="00942F0F" w:rsidP="006A45B8">
            <w:pPr>
              <w:pStyle w:val="TableText"/>
              <w:jc w:val="center"/>
              <w:rPr>
                <w:b/>
                <w:bCs/>
                <w:lang w:eastAsia="en-NZ"/>
              </w:rPr>
            </w:pPr>
            <w:r w:rsidRPr="00942F0F">
              <w:rPr>
                <w:b/>
                <w:bCs/>
                <w:lang w:eastAsia="en-NZ"/>
              </w:rPr>
              <w:t>Percentage with unmet need for primary health care</w:t>
            </w:r>
          </w:p>
        </w:tc>
      </w:tr>
      <w:tr w:rsidR="00942F0F" w:rsidRPr="00581E97" w14:paraId="14A1A238" w14:textId="77777777" w:rsidTr="006A45B8">
        <w:trPr>
          <w:trHeight w:val="300"/>
        </w:trPr>
        <w:tc>
          <w:tcPr>
            <w:tcW w:w="1701" w:type="dxa"/>
            <w:vMerge/>
            <w:tcBorders>
              <w:top w:val="nil"/>
              <w:bottom w:val="nil"/>
            </w:tcBorders>
            <w:shd w:val="clear" w:color="auto" w:fill="D9D9D9" w:themeFill="background1" w:themeFillShade="D9"/>
            <w:vAlign w:val="center"/>
            <w:hideMark/>
          </w:tcPr>
          <w:p w14:paraId="1B96829F" w14:textId="77777777" w:rsidR="00942F0F" w:rsidRPr="00942F0F" w:rsidRDefault="00942F0F" w:rsidP="006A45B8">
            <w:pPr>
              <w:pStyle w:val="TableText"/>
              <w:rPr>
                <w:b/>
                <w:bCs/>
                <w:lang w:eastAsia="en-NZ"/>
              </w:rPr>
            </w:pPr>
          </w:p>
        </w:tc>
        <w:tc>
          <w:tcPr>
            <w:tcW w:w="1687" w:type="dxa"/>
            <w:tcBorders>
              <w:top w:val="nil"/>
              <w:bottom w:val="nil"/>
            </w:tcBorders>
            <w:shd w:val="clear" w:color="auto" w:fill="D9D9D9" w:themeFill="background1" w:themeFillShade="D9"/>
            <w:noWrap/>
            <w:hideMark/>
          </w:tcPr>
          <w:p w14:paraId="781DE0DB" w14:textId="77777777" w:rsidR="00942F0F" w:rsidRPr="00942F0F" w:rsidRDefault="00942F0F" w:rsidP="006A45B8">
            <w:pPr>
              <w:pStyle w:val="TableText"/>
              <w:jc w:val="center"/>
              <w:rPr>
                <w:b/>
                <w:bCs/>
                <w:lang w:eastAsia="en-NZ"/>
              </w:rPr>
            </w:pPr>
            <w:r w:rsidRPr="00942F0F">
              <w:rPr>
                <w:b/>
                <w:bCs/>
                <w:lang w:eastAsia="en-NZ"/>
              </w:rPr>
              <w:t>Māori</w:t>
            </w:r>
          </w:p>
        </w:tc>
        <w:tc>
          <w:tcPr>
            <w:tcW w:w="1928" w:type="dxa"/>
            <w:tcBorders>
              <w:top w:val="nil"/>
              <w:bottom w:val="nil"/>
            </w:tcBorders>
            <w:shd w:val="clear" w:color="auto" w:fill="D9D9D9" w:themeFill="background1" w:themeFillShade="D9"/>
            <w:noWrap/>
            <w:hideMark/>
          </w:tcPr>
          <w:p w14:paraId="2D481C42" w14:textId="77777777" w:rsidR="00942F0F" w:rsidRPr="00942F0F" w:rsidRDefault="00942F0F" w:rsidP="006A45B8">
            <w:pPr>
              <w:pStyle w:val="TableText"/>
              <w:jc w:val="center"/>
              <w:rPr>
                <w:b/>
                <w:bCs/>
                <w:lang w:eastAsia="en-NZ"/>
              </w:rPr>
            </w:pPr>
            <w:r w:rsidRPr="00942F0F">
              <w:rPr>
                <w:b/>
                <w:bCs/>
                <w:lang w:eastAsia="en-NZ"/>
              </w:rPr>
              <w:t>Pacific</w:t>
            </w:r>
          </w:p>
        </w:tc>
        <w:tc>
          <w:tcPr>
            <w:tcW w:w="1928" w:type="dxa"/>
            <w:tcBorders>
              <w:top w:val="nil"/>
              <w:bottom w:val="nil"/>
            </w:tcBorders>
            <w:shd w:val="clear" w:color="auto" w:fill="D9D9D9" w:themeFill="background1" w:themeFillShade="D9"/>
            <w:noWrap/>
            <w:hideMark/>
          </w:tcPr>
          <w:p w14:paraId="4270DCA1" w14:textId="77777777" w:rsidR="00942F0F" w:rsidRPr="00942F0F" w:rsidRDefault="00942F0F" w:rsidP="006A45B8">
            <w:pPr>
              <w:pStyle w:val="TableText"/>
              <w:jc w:val="center"/>
              <w:rPr>
                <w:b/>
                <w:bCs/>
                <w:lang w:eastAsia="en-NZ"/>
              </w:rPr>
            </w:pPr>
            <w:r w:rsidRPr="00942F0F">
              <w:rPr>
                <w:b/>
                <w:bCs/>
                <w:lang w:eastAsia="en-NZ"/>
              </w:rPr>
              <w:t>Asian</w:t>
            </w:r>
          </w:p>
        </w:tc>
        <w:tc>
          <w:tcPr>
            <w:tcW w:w="1828" w:type="dxa"/>
            <w:tcBorders>
              <w:top w:val="nil"/>
              <w:bottom w:val="nil"/>
            </w:tcBorders>
            <w:shd w:val="clear" w:color="auto" w:fill="D9D9D9" w:themeFill="background1" w:themeFillShade="D9"/>
            <w:noWrap/>
            <w:hideMark/>
          </w:tcPr>
          <w:p w14:paraId="7ECCDF5B" w14:textId="77777777" w:rsidR="00942F0F" w:rsidRPr="00942F0F" w:rsidRDefault="00942F0F" w:rsidP="006A45B8">
            <w:pPr>
              <w:pStyle w:val="TableText"/>
              <w:jc w:val="center"/>
              <w:rPr>
                <w:b/>
                <w:bCs/>
                <w:lang w:eastAsia="en-NZ"/>
              </w:rPr>
            </w:pPr>
            <w:r w:rsidRPr="00942F0F">
              <w:rPr>
                <w:b/>
                <w:bCs/>
                <w:lang w:eastAsia="en-NZ"/>
              </w:rPr>
              <w:t>Non-MPA</w:t>
            </w:r>
          </w:p>
        </w:tc>
      </w:tr>
      <w:tr w:rsidR="00942F0F" w:rsidRPr="00581E97" w14:paraId="0BD0B91F" w14:textId="77777777" w:rsidTr="006A45B8">
        <w:trPr>
          <w:trHeight w:val="300"/>
        </w:trPr>
        <w:tc>
          <w:tcPr>
            <w:tcW w:w="1701" w:type="dxa"/>
            <w:vMerge/>
            <w:tcBorders>
              <w:top w:val="nil"/>
              <w:bottom w:val="nil"/>
            </w:tcBorders>
            <w:shd w:val="clear" w:color="auto" w:fill="D9D9D9" w:themeFill="background1" w:themeFillShade="D9"/>
            <w:vAlign w:val="center"/>
            <w:hideMark/>
          </w:tcPr>
          <w:p w14:paraId="17D8F113" w14:textId="77777777" w:rsidR="00942F0F" w:rsidRPr="00942F0F" w:rsidRDefault="00942F0F" w:rsidP="006A45B8">
            <w:pPr>
              <w:pStyle w:val="TableText"/>
              <w:rPr>
                <w:b/>
                <w:bCs/>
                <w:lang w:eastAsia="en-NZ"/>
              </w:rPr>
            </w:pPr>
          </w:p>
        </w:tc>
        <w:tc>
          <w:tcPr>
            <w:tcW w:w="1687" w:type="dxa"/>
            <w:tcBorders>
              <w:top w:val="nil"/>
              <w:bottom w:val="nil"/>
            </w:tcBorders>
            <w:shd w:val="clear" w:color="auto" w:fill="D9D9D9" w:themeFill="background1" w:themeFillShade="D9"/>
            <w:noWrap/>
            <w:hideMark/>
          </w:tcPr>
          <w:p w14:paraId="78A51840" w14:textId="77777777" w:rsidR="00942F0F" w:rsidRPr="00942F0F" w:rsidRDefault="00942F0F" w:rsidP="006A45B8">
            <w:pPr>
              <w:pStyle w:val="TableText"/>
              <w:jc w:val="center"/>
              <w:rPr>
                <w:b/>
                <w:bCs/>
                <w:lang w:eastAsia="en-NZ"/>
              </w:rPr>
            </w:pPr>
            <w:r w:rsidRPr="00942F0F">
              <w:rPr>
                <w:b/>
                <w:bCs/>
                <w:lang w:eastAsia="en-NZ"/>
              </w:rPr>
              <w:t>% (95% CI)</w:t>
            </w:r>
          </w:p>
        </w:tc>
        <w:tc>
          <w:tcPr>
            <w:tcW w:w="1928" w:type="dxa"/>
            <w:tcBorders>
              <w:top w:val="nil"/>
              <w:bottom w:val="nil"/>
            </w:tcBorders>
            <w:shd w:val="clear" w:color="auto" w:fill="D9D9D9" w:themeFill="background1" w:themeFillShade="D9"/>
            <w:noWrap/>
            <w:hideMark/>
          </w:tcPr>
          <w:p w14:paraId="70A051D9" w14:textId="77777777" w:rsidR="00942F0F" w:rsidRPr="00942F0F" w:rsidRDefault="00942F0F" w:rsidP="006A45B8">
            <w:pPr>
              <w:pStyle w:val="TableText"/>
              <w:jc w:val="center"/>
              <w:rPr>
                <w:b/>
                <w:bCs/>
                <w:lang w:eastAsia="en-NZ"/>
              </w:rPr>
            </w:pPr>
            <w:r w:rsidRPr="00942F0F">
              <w:rPr>
                <w:b/>
                <w:bCs/>
                <w:lang w:eastAsia="en-NZ"/>
              </w:rPr>
              <w:t>% (95% CI)</w:t>
            </w:r>
          </w:p>
        </w:tc>
        <w:tc>
          <w:tcPr>
            <w:tcW w:w="1928" w:type="dxa"/>
            <w:tcBorders>
              <w:top w:val="nil"/>
              <w:bottom w:val="nil"/>
            </w:tcBorders>
            <w:shd w:val="clear" w:color="auto" w:fill="D9D9D9" w:themeFill="background1" w:themeFillShade="D9"/>
            <w:noWrap/>
            <w:hideMark/>
          </w:tcPr>
          <w:p w14:paraId="5170E2C0" w14:textId="77777777" w:rsidR="00942F0F" w:rsidRPr="00942F0F" w:rsidRDefault="00942F0F" w:rsidP="006A45B8">
            <w:pPr>
              <w:pStyle w:val="TableText"/>
              <w:jc w:val="center"/>
              <w:rPr>
                <w:b/>
                <w:bCs/>
                <w:lang w:eastAsia="en-NZ"/>
              </w:rPr>
            </w:pPr>
            <w:r w:rsidRPr="00942F0F">
              <w:rPr>
                <w:b/>
                <w:bCs/>
                <w:lang w:eastAsia="en-NZ"/>
              </w:rPr>
              <w:t>% (95% CI)</w:t>
            </w:r>
          </w:p>
        </w:tc>
        <w:tc>
          <w:tcPr>
            <w:tcW w:w="1828" w:type="dxa"/>
            <w:tcBorders>
              <w:top w:val="nil"/>
              <w:bottom w:val="nil"/>
            </w:tcBorders>
            <w:shd w:val="clear" w:color="auto" w:fill="D9D9D9" w:themeFill="background1" w:themeFillShade="D9"/>
            <w:noWrap/>
            <w:hideMark/>
          </w:tcPr>
          <w:p w14:paraId="72B7AF65" w14:textId="77777777" w:rsidR="00942F0F" w:rsidRPr="00942F0F" w:rsidRDefault="00942F0F" w:rsidP="006A45B8">
            <w:pPr>
              <w:pStyle w:val="TableText"/>
              <w:jc w:val="center"/>
              <w:rPr>
                <w:b/>
                <w:bCs/>
                <w:lang w:eastAsia="en-NZ"/>
              </w:rPr>
            </w:pPr>
            <w:r w:rsidRPr="00942F0F">
              <w:rPr>
                <w:b/>
                <w:bCs/>
                <w:lang w:eastAsia="en-NZ"/>
              </w:rPr>
              <w:t>% (95% CI)</w:t>
            </w:r>
          </w:p>
        </w:tc>
      </w:tr>
      <w:tr w:rsidR="00942F0F" w:rsidRPr="00581E97" w14:paraId="2040A811" w14:textId="77777777" w:rsidTr="007C44B6">
        <w:trPr>
          <w:trHeight w:val="300"/>
        </w:trPr>
        <w:tc>
          <w:tcPr>
            <w:tcW w:w="1701" w:type="dxa"/>
            <w:tcBorders>
              <w:top w:val="nil"/>
            </w:tcBorders>
            <w:shd w:val="clear" w:color="auto" w:fill="auto"/>
            <w:noWrap/>
            <w:vAlign w:val="center"/>
            <w:hideMark/>
          </w:tcPr>
          <w:p w14:paraId="615A7E73" w14:textId="77777777" w:rsidR="00942F0F" w:rsidRPr="00AE6C74" w:rsidRDefault="00942F0F" w:rsidP="00942F0F">
            <w:pPr>
              <w:pStyle w:val="TableText"/>
              <w:rPr>
                <w:lang w:eastAsia="en-NZ"/>
              </w:rPr>
            </w:pPr>
            <w:r w:rsidRPr="00AE6C74">
              <w:rPr>
                <w:lang w:eastAsia="en-NZ"/>
              </w:rPr>
              <w:t>Yes</w:t>
            </w:r>
          </w:p>
        </w:tc>
        <w:tc>
          <w:tcPr>
            <w:tcW w:w="1687" w:type="dxa"/>
            <w:tcBorders>
              <w:top w:val="nil"/>
            </w:tcBorders>
            <w:shd w:val="clear" w:color="auto" w:fill="auto"/>
            <w:noWrap/>
            <w:hideMark/>
          </w:tcPr>
          <w:p w14:paraId="67B1F7B6" w14:textId="31946B66" w:rsidR="00942F0F" w:rsidRPr="00942F0F" w:rsidRDefault="00942F0F" w:rsidP="00942F0F">
            <w:pPr>
              <w:pStyle w:val="TableText"/>
            </w:pPr>
            <w:r w:rsidRPr="00ED6885">
              <w:t>52.7% (42.9–62.3)</w:t>
            </w:r>
          </w:p>
        </w:tc>
        <w:tc>
          <w:tcPr>
            <w:tcW w:w="1928" w:type="dxa"/>
            <w:tcBorders>
              <w:top w:val="nil"/>
            </w:tcBorders>
            <w:shd w:val="clear" w:color="auto" w:fill="auto"/>
            <w:noWrap/>
            <w:hideMark/>
          </w:tcPr>
          <w:p w14:paraId="3178FD93" w14:textId="74262073" w:rsidR="00942F0F" w:rsidRPr="00942F0F" w:rsidRDefault="00942F0F" w:rsidP="00942F0F">
            <w:pPr>
              <w:pStyle w:val="TableText"/>
            </w:pPr>
            <w:r w:rsidRPr="00ED6885">
              <w:t>51.4% (33.6–68.9)</w:t>
            </w:r>
          </w:p>
        </w:tc>
        <w:tc>
          <w:tcPr>
            <w:tcW w:w="1928" w:type="dxa"/>
            <w:tcBorders>
              <w:top w:val="nil"/>
            </w:tcBorders>
            <w:shd w:val="clear" w:color="auto" w:fill="auto"/>
            <w:noWrap/>
            <w:hideMark/>
          </w:tcPr>
          <w:p w14:paraId="09A4BEEE" w14:textId="29D53A0D" w:rsidR="00942F0F" w:rsidRPr="00942F0F" w:rsidRDefault="00942F0F" w:rsidP="00942F0F">
            <w:pPr>
              <w:pStyle w:val="TableText"/>
            </w:pPr>
            <w:r w:rsidRPr="00ED6885">
              <w:t>30.7% (20.2–42.9)</w:t>
            </w:r>
          </w:p>
        </w:tc>
        <w:tc>
          <w:tcPr>
            <w:tcW w:w="1828" w:type="dxa"/>
            <w:tcBorders>
              <w:top w:val="nil"/>
            </w:tcBorders>
            <w:shd w:val="clear" w:color="auto" w:fill="auto"/>
            <w:noWrap/>
            <w:hideMark/>
          </w:tcPr>
          <w:p w14:paraId="103D71BA" w14:textId="2BBC4F59" w:rsidR="00942F0F" w:rsidRPr="00942F0F" w:rsidRDefault="00942F0F" w:rsidP="00942F0F">
            <w:pPr>
              <w:pStyle w:val="TableText"/>
            </w:pPr>
            <w:r w:rsidRPr="00ED6885">
              <w:t>40.9% (32.8–49.3)</w:t>
            </w:r>
          </w:p>
        </w:tc>
      </w:tr>
      <w:tr w:rsidR="00942F0F" w:rsidRPr="00581E97" w14:paraId="7C14B9F1" w14:textId="77777777" w:rsidTr="007C44B6">
        <w:trPr>
          <w:trHeight w:val="300"/>
        </w:trPr>
        <w:tc>
          <w:tcPr>
            <w:tcW w:w="1701" w:type="dxa"/>
            <w:shd w:val="clear" w:color="auto" w:fill="auto"/>
            <w:noWrap/>
            <w:vAlign w:val="center"/>
            <w:hideMark/>
          </w:tcPr>
          <w:p w14:paraId="6B7C5031" w14:textId="77777777" w:rsidR="00942F0F" w:rsidRPr="00AE6C74" w:rsidRDefault="00942F0F" w:rsidP="00942F0F">
            <w:pPr>
              <w:pStyle w:val="TableText"/>
              <w:rPr>
                <w:lang w:eastAsia="en-NZ"/>
              </w:rPr>
            </w:pPr>
            <w:r w:rsidRPr="00AE6C74">
              <w:rPr>
                <w:lang w:eastAsia="en-NZ"/>
              </w:rPr>
              <w:t>No</w:t>
            </w:r>
          </w:p>
        </w:tc>
        <w:tc>
          <w:tcPr>
            <w:tcW w:w="1687" w:type="dxa"/>
            <w:shd w:val="clear" w:color="auto" w:fill="auto"/>
            <w:noWrap/>
            <w:hideMark/>
          </w:tcPr>
          <w:p w14:paraId="1B1D5499" w14:textId="23A1EF25" w:rsidR="00942F0F" w:rsidRPr="00942F0F" w:rsidRDefault="00942F0F" w:rsidP="00942F0F">
            <w:pPr>
              <w:pStyle w:val="TableText"/>
            </w:pPr>
            <w:r w:rsidRPr="00ED6885">
              <w:t>32.0% (29.2–35.0)</w:t>
            </w:r>
          </w:p>
        </w:tc>
        <w:tc>
          <w:tcPr>
            <w:tcW w:w="1928" w:type="dxa"/>
            <w:shd w:val="clear" w:color="auto" w:fill="auto"/>
            <w:noWrap/>
            <w:hideMark/>
          </w:tcPr>
          <w:p w14:paraId="4F434188" w14:textId="7EBEB47D" w:rsidR="00942F0F" w:rsidRPr="00942F0F" w:rsidRDefault="00942F0F" w:rsidP="00942F0F">
            <w:pPr>
              <w:pStyle w:val="TableText"/>
            </w:pPr>
            <w:r w:rsidRPr="00ED6885">
              <w:t>30.1% (25.8–34.7)</w:t>
            </w:r>
          </w:p>
        </w:tc>
        <w:tc>
          <w:tcPr>
            <w:tcW w:w="1928" w:type="dxa"/>
            <w:shd w:val="clear" w:color="auto" w:fill="auto"/>
            <w:noWrap/>
            <w:hideMark/>
          </w:tcPr>
          <w:p w14:paraId="6235D0FA" w14:textId="4451EFB3" w:rsidR="00942F0F" w:rsidRPr="00942F0F" w:rsidRDefault="00942F0F" w:rsidP="00942F0F">
            <w:pPr>
              <w:pStyle w:val="TableText"/>
            </w:pPr>
            <w:r w:rsidRPr="00ED6885">
              <w:t>19.9% (16.9–23.1)</w:t>
            </w:r>
          </w:p>
        </w:tc>
        <w:tc>
          <w:tcPr>
            <w:tcW w:w="1828" w:type="dxa"/>
            <w:shd w:val="clear" w:color="auto" w:fill="auto"/>
            <w:noWrap/>
            <w:hideMark/>
          </w:tcPr>
          <w:p w14:paraId="459EE71A" w14:textId="4D438C34" w:rsidR="00942F0F" w:rsidRPr="00942F0F" w:rsidRDefault="00942F0F" w:rsidP="00942F0F">
            <w:pPr>
              <w:pStyle w:val="TableText"/>
            </w:pPr>
            <w:r w:rsidRPr="00ED6885">
              <w:t>26.7% (25.0–28.5)</w:t>
            </w:r>
          </w:p>
        </w:tc>
      </w:tr>
    </w:tbl>
    <w:p w14:paraId="2BC358E2" w14:textId="77777777" w:rsidR="00942F0F" w:rsidRPr="00AF4771" w:rsidRDefault="00942F0F" w:rsidP="00942F0F">
      <w:pPr>
        <w:pStyle w:val="Note"/>
        <w:rPr>
          <w:color w:val="000000" w:themeColor="text1"/>
        </w:rPr>
      </w:pPr>
      <w:r w:rsidRPr="006B5108">
        <w:t>Note</w:t>
      </w:r>
      <w:r>
        <w:t>: CI = confidence interval.</w:t>
      </w:r>
    </w:p>
    <w:p w14:paraId="7C826D54" w14:textId="77777777" w:rsidR="00942F0F" w:rsidRDefault="00942F0F" w:rsidP="00942F0F">
      <w:pPr>
        <w:pStyle w:val="Note"/>
        <w:rPr>
          <w:rFonts w:eastAsia="Arial Unicode MS"/>
        </w:rPr>
      </w:pPr>
    </w:p>
    <w:p w14:paraId="1FCC3544" w14:textId="77777777" w:rsidR="00942F0F" w:rsidRDefault="00942F0F" w:rsidP="00942F0F">
      <w:pPr>
        <w:rPr>
          <w:rFonts w:eastAsia="Arial Unicode MS"/>
        </w:rPr>
      </w:pPr>
    </w:p>
    <w:p w14:paraId="1F0EF7BD" w14:textId="77777777" w:rsidR="00942F0F" w:rsidRDefault="00942F0F" w:rsidP="00942F0F">
      <w:pPr>
        <w:rPr>
          <w:rFonts w:eastAsia="Arial Unicode MS"/>
        </w:rPr>
        <w:sectPr w:rsidR="00942F0F" w:rsidSect="00FC4E54">
          <w:pgSz w:w="11907" w:h="16840" w:code="9"/>
          <w:pgMar w:top="1418" w:right="1701" w:bottom="1134" w:left="1843" w:header="284" w:footer="425" w:gutter="284"/>
          <w:cols w:space="720"/>
        </w:sectPr>
      </w:pPr>
    </w:p>
    <w:p w14:paraId="054C7F9F" w14:textId="77C332CB" w:rsidR="00942F0F" w:rsidRPr="00942F0F" w:rsidRDefault="00942F0F" w:rsidP="00942F0F">
      <w:pPr>
        <w:pStyle w:val="Heading1"/>
        <w:spacing w:before="0"/>
      </w:pPr>
      <w:bookmarkStart w:id="60" w:name="_Toc135915419"/>
      <w:bookmarkStart w:id="61" w:name="_Toc114057316"/>
      <w:bookmarkStart w:id="62" w:name="_Toc136943109"/>
      <w:bookmarkStart w:id="63" w:name="_Toc136943204"/>
      <w:r w:rsidRPr="00942F0F">
        <w:rPr>
          <w:b w:val="0"/>
          <w:bCs/>
        </w:rPr>
        <w:t>Ngā tikanga rangahau</w:t>
      </w:r>
      <w:bookmarkStart w:id="64" w:name="_Toc135915420"/>
      <w:bookmarkEnd w:id="60"/>
      <w:r w:rsidR="001A2554">
        <w:rPr>
          <w:b w:val="0"/>
          <w:bCs/>
        </w:rPr>
        <w:t xml:space="preserve"> </w:t>
      </w:r>
      <w:r w:rsidR="001A2554" w:rsidRPr="001A2554">
        <w:rPr>
          <w:b w:val="0"/>
          <w:bCs/>
        </w:rPr>
        <w:t>|</w:t>
      </w:r>
      <w:r>
        <w:br/>
      </w:r>
      <w:r w:rsidRPr="00942F0F">
        <w:t>Methodology</w:t>
      </w:r>
      <w:bookmarkEnd w:id="61"/>
      <w:bookmarkEnd w:id="62"/>
      <w:bookmarkEnd w:id="63"/>
      <w:bookmarkEnd w:id="64"/>
    </w:p>
    <w:p w14:paraId="62C8BD31" w14:textId="77777777" w:rsidR="00942F0F" w:rsidRPr="00577589" w:rsidRDefault="00942F0F" w:rsidP="00942F0F">
      <w:pPr>
        <w:pStyle w:val="Heading2"/>
      </w:pPr>
      <w:bookmarkStart w:id="65" w:name="_Toc114057317"/>
      <w:bookmarkStart w:id="66" w:name="_Toc136943110"/>
      <w:bookmarkStart w:id="67" w:name="_Toc136943205"/>
      <w:r w:rsidRPr="00577589">
        <w:t>Source data</w:t>
      </w:r>
      <w:bookmarkEnd w:id="65"/>
      <w:bookmarkEnd w:id="66"/>
      <w:bookmarkEnd w:id="67"/>
    </w:p>
    <w:p w14:paraId="4A0EF71D" w14:textId="77777777" w:rsidR="00942F0F" w:rsidRDefault="00942F0F" w:rsidP="00942F0F">
      <w:r>
        <w:t>The data in this report was collected as part of the NZHS racial discrimination module. This module was attached to the adult questionnaire in 2011/12, 2016/17 and 2020/21. The questions are shown in Appendix A. See the NZHS questionnaire and content guide for more information about survey modules and questions.</w:t>
      </w:r>
      <w:r>
        <w:rPr>
          <w:rStyle w:val="FootnoteReference"/>
        </w:rPr>
        <w:footnoteReference w:id="6"/>
      </w:r>
    </w:p>
    <w:p w14:paraId="77CA7A17" w14:textId="77777777" w:rsidR="00942F0F" w:rsidRDefault="00942F0F" w:rsidP="004056DA">
      <w:pPr>
        <w:pStyle w:val="Heading2"/>
      </w:pPr>
      <w:bookmarkStart w:id="68" w:name="_Toc136943111"/>
      <w:bookmarkStart w:id="69" w:name="_Toc136943206"/>
      <w:r>
        <w:t>Sample sizes</w:t>
      </w:r>
      <w:bookmarkEnd w:id="68"/>
      <w:bookmarkEnd w:id="69"/>
    </w:p>
    <w:p w14:paraId="2DBAADDB" w14:textId="77777777" w:rsidR="00942F0F" w:rsidRDefault="00942F0F" w:rsidP="00942F0F">
      <w:r>
        <w:t xml:space="preserve">Table 7 shows the sample sizes for the NZHS in 2011/12, 2016/17 and 2020/21 by the ethnic group categories used in this report. </w:t>
      </w:r>
    </w:p>
    <w:p w14:paraId="6DAC7ACE" w14:textId="77777777" w:rsidR="00942F0F" w:rsidRDefault="00942F0F" w:rsidP="00942F0F"/>
    <w:p w14:paraId="0CF01F49" w14:textId="77777777" w:rsidR="00942F0F" w:rsidRDefault="00942F0F" w:rsidP="00942F0F">
      <w:pPr>
        <w:pStyle w:val="Table"/>
      </w:pPr>
      <w:bookmarkStart w:id="70" w:name="_Toc135391582"/>
      <w:bookmarkStart w:id="71" w:name="_Toc136584051"/>
      <w:r>
        <w:t xml:space="preserve">Table </w:t>
      </w:r>
      <w:fldSimple w:instr=" SEQ Table \* ARABIC ">
        <w:r>
          <w:rPr>
            <w:noProof/>
          </w:rPr>
          <w:t>7</w:t>
        </w:r>
      </w:fldSimple>
      <w:r>
        <w:t>: Sample sizes for</w:t>
      </w:r>
      <w:r w:rsidRPr="00486868">
        <w:t xml:space="preserve"> </w:t>
      </w:r>
      <w:r>
        <w:t>NZHS in 2011/12, 2016/17 and 2020/21, by ethnic group</w:t>
      </w:r>
      <w:bookmarkEnd w:id="70"/>
      <w:bookmarkEnd w:id="71"/>
    </w:p>
    <w:tbl>
      <w:tblPr>
        <w:tblW w:w="8222"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ayout w:type="fixed"/>
        <w:tblLook w:val="04A0" w:firstRow="1" w:lastRow="0" w:firstColumn="1" w:lastColumn="0" w:noHBand="0" w:noVBand="1"/>
      </w:tblPr>
      <w:tblGrid>
        <w:gridCol w:w="2055"/>
        <w:gridCol w:w="2056"/>
        <w:gridCol w:w="2055"/>
        <w:gridCol w:w="2056"/>
      </w:tblGrid>
      <w:tr w:rsidR="00942F0F" w:rsidRPr="00EF3431" w14:paraId="7DAB451A" w14:textId="77777777" w:rsidTr="00942F0F">
        <w:trPr>
          <w:trHeight w:val="300"/>
        </w:trPr>
        <w:tc>
          <w:tcPr>
            <w:tcW w:w="2055" w:type="dxa"/>
            <w:tcBorders>
              <w:top w:val="nil"/>
              <w:bottom w:val="nil"/>
            </w:tcBorders>
            <w:shd w:val="clear" w:color="auto" w:fill="D9D9D9" w:themeFill="background1" w:themeFillShade="D9"/>
            <w:noWrap/>
            <w:vAlign w:val="bottom"/>
          </w:tcPr>
          <w:p w14:paraId="72ECDD1A" w14:textId="77777777" w:rsidR="00942F0F" w:rsidRPr="00942F0F" w:rsidRDefault="00942F0F" w:rsidP="00942F0F">
            <w:pPr>
              <w:pStyle w:val="TableText"/>
              <w:rPr>
                <w:b/>
                <w:bCs/>
                <w:lang w:eastAsia="en-NZ"/>
              </w:rPr>
            </w:pPr>
            <w:bookmarkStart w:id="72" w:name="_Toc114057318"/>
            <w:bookmarkStart w:id="73" w:name="_Hlk128140842"/>
          </w:p>
        </w:tc>
        <w:tc>
          <w:tcPr>
            <w:tcW w:w="2056" w:type="dxa"/>
            <w:tcBorders>
              <w:top w:val="nil"/>
              <w:bottom w:val="nil"/>
            </w:tcBorders>
            <w:shd w:val="clear" w:color="auto" w:fill="D9D9D9" w:themeFill="background1" w:themeFillShade="D9"/>
            <w:noWrap/>
            <w:vAlign w:val="bottom"/>
          </w:tcPr>
          <w:p w14:paraId="03EB2762" w14:textId="77777777" w:rsidR="00942F0F" w:rsidRPr="00942F0F" w:rsidRDefault="00942F0F" w:rsidP="00942F0F">
            <w:pPr>
              <w:pStyle w:val="TableText"/>
              <w:rPr>
                <w:b/>
                <w:bCs/>
                <w:lang w:eastAsia="en-NZ"/>
              </w:rPr>
            </w:pPr>
          </w:p>
        </w:tc>
        <w:tc>
          <w:tcPr>
            <w:tcW w:w="2055" w:type="dxa"/>
            <w:tcBorders>
              <w:top w:val="nil"/>
              <w:bottom w:val="nil"/>
            </w:tcBorders>
            <w:shd w:val="clear" w:color="auto" w:fill="D9D9D9" w:themeFill="background1" w:themeFillShade="D9"/>
            <w:noWrap/>
            <w:vAlign w:val="bottom"/>
          </w:tcPr>
          <w:p w14:paraId="6F5294AB" w14:textId="77777777" w:rsidR="00942F0F" w:rsidRPr="00942F0F" w:rsidRDefault="00942F0F" w:rsidP="001A2554">
            <w:pPr>
              <w:pStyle w:val="TableText"/>
              <w:jc w:val="center"/>
              <w:rPr>
                <w:b/>
                <w:bCs/>
                <w:lang w:eastAsia="en-NZ"/>
              </w:rPr>
            </w:pPr>
            <w:r w:rsidRPr="00942F0F">
              <w:rPr>
                <w:b/>
                <w:bCs/>
                <w:lang w:eastAsia="en-NZ"/>
              </w:rPr>
              <w:t>Year</w:t>
            </w:r>
          </w:p>
        </w:tc>
        <w:tc>
          <w:tcPr>
            <w:tcW w:w="2056" w:type="dxa"/>
            <w:tcBorders>
              <w:top w:val="nil"/>
              <w:bottom w:val="nil"/>
            </w:tcBorders>
            <w:shd w:val="clear" w:color="auto" w:fill="D9D9D9" w:themeFill="background1" w:themeFillShade="D9"/>
            <w:noWrap/>
            <w:vAlign w:val="bottom"/>
          </w:tcPr>
          <w:p w14:paraId="4E1E5B8E" w14:textId="77777777" w:rsidR="00942F0F" w:rsidRPr="00942F0F" w:rsidRDefault="00942F0F" w:rsidP="00942F0F">
            <w:pPr>
              <w:pStyle w:val="TableText"/>
              <w:rPr>
                <w:b/>
                <w:bCs/>
                <w:lang w:eastAsia="en-NZ"/>
              </w:rPr>
            </w:pPr>
          </w:p>
        </w:tc>
      </w:tr>
      <w:tr w:rsidR="00942F0F" w:rsidRPr="00EF3431" w14:paraId="18569880" w14:textId="77777777" w:rsidTr="00942F0F">
        <w:trPr>
          <w:trHeight w:val="300"/>
        </w:trPr>
        <w:tc>
          <w:tcPr>
            <w:tcW w:w="2055" w:type="dxa"/>
            <w:tcBorders>
              <w:top w:val="nil"/>
              <w:bottom w:val="nil"/>
            </w:tcBorders>
            <w:shd w:val="clear" w:color="auto" w:fill="D9D9D9" w:themeFill="background1" w:themeFillShade="D9"/>
            <w:noWrap/>
            <w:vAlign w:val="bottom"/>
            <w:hideMark/>
          </w:tcPr>
          <w:p w14:paraId="2E86F394" w14:textId="77777777" w:rsidR="00942F0F" w:rsidRPr="00942F0F" w:rsidRDefault="00942F0F" w:rsidP="00942F0F">
            <w:pPr>
              <w:pStyle w:val="TableText"/>
              <w:rPr>
                <w:b/>
                <w:bCs/>
                <w:lang w:eastAsia="en-NZ"/>
              </w:rPr>
            </w:pPr>
            <w:r w:rsidRPr="00942F0F">
              <w:rPr>
                <w:b/>
                <w:bCs/>
                <w:lang w:eastAsia="en-NZ"/>
              </w:rPr>
              <w:t>Ethnic group</w:t>
            </w:r>
          </w:p>
        </w:tc>
        <w:tc>
          <w:tcPr>
            <w:tcW w:w="2056" w:type="dxa"/>
            <w:tcBorders>
              <w:top w:val="nil"/>
              <w:bottom w:val="nil"/>
            </w:tcBorders>
            <w:shd w:val="clear" w:color="auto" w:fill="D9D9D9" w:themeFill="background1" w:themeFillShade="D9"/>
            <w:noWrap/>
            <w:vAlign w:val="bottom"/>
            <w:hideMark/>
          </w:tcPr>
          <w:p w14:paraId="0A3B356F" w14:textId="77777777" w:rsidR="00942F0F" w:rsidRPr="00942F0F" w:rsidRDefault="00942F0F" w:rsidP="00942F0F">
            <w:pPr>
              <w:pStyle w:val="TableText"/>
              <w:jc w:val="right"/>
              <w:rPr>
                <w:b/>
                <w:bCs/>
                <w:lang w:eastAsia="en-NZ"/>
              </w:rPr>
            </w:pPr>
            <w:r w:rsidRPr="00942F0F">
              <w:rPr>
                <w:b/>
                <w:bCs/>
                <w:lang w:eastAsia="en-NZ"/>
              </w:rPr>
              <w:t>2011/12</w:t>
            </w:r>
          </w:p>
        </w:tc>
        <w:tc>
          <w:tcPr>
            <w:tcW w:w="2055" w:type="dxa"/>
            <w:tcBorders>
              <w:top w:val="nil"/>
              <w:bottom w:val="nil"/>
            </w:tcBorders>
            <w:shd w:val="clear" w:color="auto" w:fill="D9D9D9" w:themeFill="background1" w:themeFillShade="D9"/>
            <w:noWrap/>
            <w:vAlign w:val="bottom"/>
            <w:hideMark/>
          </w:tcPr>
          <w:p w14:paraId="1C7D8D70" w14:textId="77777777" w:rsidR="00942F0F" w:rsidRPr="00942F0F" w:rsidRDefault="00942F0F" w:rsidP="00942F0F">
            <w:pPr>
              <w:pStyle w:val="TableText"/>
              <w:jc w:val="right"/>
              <w:rPr>
                <w:b/>
                <w:bCs/>
                <w:lang w:eastAsia="en-NZ"/>
              </w:rPr>
            </w:pPr>
            <w:r w:rsidRPr="00942F0F">
              <w:rPr>
                <w:b/>
                <w:bCs/>
                <w:lang w:eastAsia="en-NZ"/>
              </w:rPr>
              <w:t>2016/17</w:t>
            </w:r>
          </w:p>
        </w:tc>
        <w:tc>
          <w:tcPr>
            <w:tcW w:w="2056" w:type="dxa"/>
            <w:tcBorders>
              <w:top w:val="nil"/>
              <w:bottom w:val="nil"/>
            </w:tcBorders>
            <w:shd w:val="clear" w:color="auto" w:fill="D9D9D9" w:themeFill="background1" w:themeFillShade="D9"/>
            <w:noWrap/>
            <w:vAlign w:val="bottom"/>
            <w:hideMark/>
          </w:tcPr>
          <w:p w14:paraId="17A7B850" w14:textId="77777777" w:rsidR="00942F0F" w:rsidRPr="00942F0F" w:rsidRDefault="00942F0F" w:rsidP="00942F0F">
            <w:pPr>
              <w:pStyle w:val="TableText"/>
              <w:jc w:val="right"/>
              <w:rPr>
                <w:b/>
                <w:bCs/>
                <w:lang w:eastAsia="en-NZ"/>
              </w:rPr>
            </w:pPr>
            <w:r w:rsidRPr="00942F0F">
              <w:rPr>
                <w:b/>
                <w:bCs/>
                <w:lang w:eastAsia="en-NZ"/>
              </w:rPr>
              <w:t>2020/21</w:t>
            </w:r>
          </w:p>
        </w:tc>
      </w:tr>
      <w:tr w:rsidR="00942F0F" w:rsidRPr="00EF3431" w14:paraId="069F5FD7" w14:textId="77777777" w:rsidTr="00942F0F">
        <w:trPr>
          <w:trHeight w:val="300"/>
        </w:trPr>
        <w:tc>
          <w:tcPr>
            <w:tcW w:w="2055" w:type="dxa"/>
            <w:tcBorders>
              <w:top w:val="nil"/>
            </w:tcBorders>
            <w:shd w:val="clear" w:color="auto" w:fill="auto"/>
            <w:noWrap/>
            <w:vAlign w:val="bottom"/>
            <w:hideMark/>
          </w:tcPr>
          <w:p w14:paraId="4D252C42" w14:textId="77777777" w:rsidR="00942F0F" w:rsidRPr="0006641A" w:rsidRDefault="00942F0F" w:rsidP="00942F0F">
            <w:pPr>
              <w:pStyle w:val="TableText"/>
              <w:rPr>
                <w:lang w:eastAsia="en-NZ"/>
              </w:rPr>
            </w:pPr>
            <w:r w:rsidRPr="0006641A">
              <w:rPr>
                <w:lang w:eastAsia="en-NZ"/>
              </w:rPr>
              <w:t>Māori</w:t>
            </w:r>
          </w:p>
        </w:tc>
        <w:tc>
          <w:tcPr>
            <w:tcW w:w="2056" w:type="dxa"/>
            <w:tcBorders>
              <w:top w:val="nil"/>
            </w:tcBorders>
            <w:shd w:val="clear" w:color="auto" w:fill="auto"/>
            <w:noWrap/>
            <w:vAlign w:val="bottom"/>
            <w:hideMark/>
          </w:tcPr>
          <w:p w14:paraId="261FBDF0" w14:textId="77777777" w:rsidR="00942F0F" w:rsidRPr="0006641A" w:rsidRDefault="00942F0F" w:rsidP="00942F0F">
            <w:pPr>
              <w:pStyle w:val="TableText"/>
              <w:jc w:val="right"/>
              <w:rPr>
                <w:lang w:eastAsia="en-NZ"/>
              </w:rPr>
            </w:pPr>
            <w:r w:rsidRPr="0006641A">
              <w:rPr>
                <w:lang w:eastAsia="en-NZ"/>
              </w:rPr>
              <w:t>2,586</w:t>
            </w:r>
          </w:p>
        </w:tc>
        <w:tc>
          <w:tcPr>
            <w:tcW w:w="2055" w:type="dxa"/>
            <w:tcBorders>
              <w:top w:val="nil"/>
            </w:tcBorders>
            <w:shd w:val="clear" w:color="auto" w:fill="auto"/>
            <w:noWrap/>
            <w:vAlign w:val="bottom"/>
            <w:hideMark/>
          </w:tcPr>
          <w:p w14:paraId="2AC6717C" w14:textId="77777777" w:rsidR="00942F0F" w:rsidRPr="0006641A" w:rsidRDefault="00942F0F" w:rsidP="00942F0F">
            <w:pPr>
              <w:pStyle w:val="TableText"/>
              <w:jc w:val="right"/>
              <w:rPr>
                <w:lang w:eastAsia="en-NZ"/>
              </w:rPr>
            </w:pPr>
            <w:r w:rsidRPr="0006641A">
              <w:rPr>
                <w:lang w:eastAsia="en-NZ"/>
              </w:rPr>
              <w:t>2,747</w:t>
            </w:r>
          </w:p>
        </w:tc>
        <w:tc>
          <w:tcPr>
            <w:tcW w:w="2056" w:type="dxa"/>
            <w:tcBorders>
              <w:top w:val="nil"/>
            </w:tcBorders>
            <w:shd w:val="clear" w:color="auto" w:fill="auto"/>
            <w:noWrap/>
            <w:vAlign w:val="bottom"/>
            <w:hideMark/>
          </w:tcPr>
          <w:p w14:paraId="19FC7EF6" w14:textId="77777777" w:rsidR="00942F0F" w:rsidRPr="0006641A" w:rsidRDefault="00942F0F" w:rsidP="00942F0F">
            <w:pPr>
              <w:pStyle w:val="TableText"/>
              <w:jc w:val="right"/>
              <w:rPr>
                <w:lang w:eastAsia="en-NZ"/>
              </w:rPr>
            </w:pPr>
            <w:r w:rsidRPr="0006641A">
              <w:rPr>
                <w:lang w:eastAsia="en-NZ"/>
              </w:rPr>
              <w:t>1,927</w:t>
            </w:r>
          </w:p>
        </w:tc>
      </w:tr>
      <w:tr w:rsidR="00942F0F" w:rsidRPr="00EF3431" w14:paraId="516557BF" w14:textId="77777777" w:rsidTr="00942F0F">
        <w:trPr>
          <w:trHeight w:val="300"/>
        </w:trPr>
        <w:tc>
          <w:tcPr>
            <w:tcW w:w="2055" w:type="dxa"/>
            <w:shd w:val="clear" w:color="auto" w:fill="auto"/>
            <w:noWrap/>
            <w:vAlign w:val="bottom"/>
            <w:hideMark/>
          </w:tcPr>
          <w:p w14:paraId="2B2C5EA0" w14:textId="77777777" w:rsidR="00942F0F" w:rsidRPr="0006641A" w:rsidRDefault="00942F0F" w:rsidP="00942F0F">
            <w:pPr>
              <w:pStyle w:val="TableText"/>
              <w:rPr>
                <w:lang w:eastAsia="en-NZ"/>
              </w:rPr>
            </w:pPr>
            <w:r w:rsidRPr="0006641A">
              <w:rPr>
                <w:lang w:eastAsia="en-NZ"/>
              </w:rPr>
              <w:t>Pacific</w:t>
            </w:r>
          </w:p>
        </w:tc>
        <w:tc>
          <w:tcPr>
            <w:tcW w:w="2056" w:type="dxa"/>
            <w:shd w:val="clear" w:color="auto" w:fill="auto"/>
            <w:noWrap/>
            <w:vAlign w:val="bottom"/>
            <w:hideMark/>
          </w:tcPr>
          <w:p w14:paraId="6036D758" w14:textId="77777777" w:rsidR="00942F0F" w:rsidRPr="0006641A" w:rsidRDefault="00942F0F" w:rsidP="00942F0F">
            <w:pPr>
              <w:pStyle w:val="TableText"/>
              <w:jc w:val="right"/>
              <w:rPr>
                <w:lang w:eastAsia="en-NZ"/>
              </w:rPr>
            </w:pPr>
            <w:r w:rsidRPr="0006641A">
              <w:rPr>
                <w:lang w:eastAsia="en-NZ"/>
              </w:rPr>
              <w:t>960</w:t>
            </w:r>
          </w:p>
        </w:tc>
        <w:tc>
          <w:tcPr>
            <w:tcW w:w="2055" w:type="dxa"/>
            <w:shd w:val="clear" w:color="auto" w:fill="auto"/>
            <w:noWrap/>
            <w:vAlign w:val="bottom"/>
            <w:hideMark/>
          </w:tcPr>
          <w:p w14:paraId="32F04627" w14:textId="77777777" w:rsidR="00942F0F" w:rsidRPr="0006641A" w:rsidRDefault="00942F0F" w:rsidP="00942F0F">
            <w:pPr>
              <w:pStyle w:val="TableText"/>
              <w:jc w:val="right"/>
              <w:rPr>
                <w:lang w:eastAsia="en-NZ"/>
              </w:rPr>
            </w:pPr>
            <w:r w:rsidRPr="0006641A">
              <w:rPr>
                <w:lang w:eastAsia="en-NZ"/>
              </w:rPr>
              <w:t>843</w:t>
            </w:r>
          </w:p>
        </w:tc>
        <w:tc>
          <w:tcPr>
            <w:tcW w:w="2056" w:type="dxa"/>
            <w:shd w:val="clear" w:color="auto" w:fill="auto"/>
            <w:noWrap/>
            <w:vAlign w:val="bottom"/>
            <w:hideMark/>
          </w:tcPr>
          <w:p w14:paraId="46C01152" w14:textId="77777777" w:rsidR="00942F0F" w:rsidRPr="0006641A" w:rsidRDefault="00942F0F" w:rsidP="00942F0F">
            <w:pPr>
              <w:pStyle w:val="TableText"/>
              <w:jc w:val="right"/>
              <w:rPr>
                <w:lang w:eastAsia="en-NZ"/>
              </w:rPr>
            </w:pPr>
            <w:r w:rsidRPr="0006641A">
              <w:rPr>
                <w:lang w:eastAsia="en-NZ"/>
              </w:rPr>
              <w:t>606</w:t>
            </w:r>
          </w:p>
        </w:tc>
      </w:tr>
      <w:tr w:rsidR="00942F0F" w:rsidRPr="00EF3431" w14:paraId="2BBEAA2B" w14:textId="77777777" w:rsidTr="00942F0F">
        <w:trPr>
          <w:trHeight w:val="300"/>
        </w:trPr>
        <w:tc>
          <w:tcPr>
            <w:tcW w:w="2055" w:type="dxa"/>
            <w:shd w:val="clear" w:color="auto" w:fill="auto"/>
            <w:noWrap/>
            <w:vAlign w:val="bottom"/>
            <w:hideMark/>
          </w:tcPr>
          <w:p w14:paraId="37E415E0" w14:textId="77777777" w:rsidR="00942F0F" w:rsidRPr="0006641A" w:rsidRDefault="00942F0F" w:rsidP="00942F0F">
            <w:pPr>
              <w:pStyle w:val="TableText"/>
              <w:rPr>
                <w:lang w:eastAsia="en-NZ"/>
              </w:rPr>
            </w:pPr>
            <w:r w:rsidRPr="0006641A">
              <w:rPr>
                <w:lang w:eastAsia="en-NZ"/>
              </w:rPr>
              <w:t>Asian</w:t>
            </w:r>
          </w:p>
        </w:tc>
        <w:tc>
          <w:tcPr>
            <w:tcW w:w="2056" w:type="dxa"/>
            <w:shd w:val="clear" w:color="auto" w:fill="auto"/>
            <w:noWrap/>
            <w:vAlign w:val="bottom"/>
            <w:hideMark/>
          </w:tcPr>
          <w:p w14:paraId="442803E6" w14:textId="77777777" w:rsidR="00942F0F" w:rsidRPr="0006641A" w:rsidRDefault="00942F0F" w:rsidP="00942F0F">
            <w:pPr>
              <w:pStyle w:val="TableText"/>
              <w:jc w:val="right"/>
              <w:rPr>
                <w:lang w:eastAsia="en-NZ"/>
              </w:rPr>
            </w:pPr>
            <w:r w:rsidRPr="0006641A">
              <w:rPr>
                <w:lang w:eastAsia="en-NZ"/>
              </w:rPr>
              <w:t>931</w:t>
            </w:r>
          </w:p>
        </w:tc>
        <w:tc>
          <w:tcPr>
            <w:tcW w:w="2055" w:type="dxa"/>
            <w:shd w:val="clear" w:color="auto" w:fill="auto"/>
            <w:noWrap/>
            <w:vAlign w:val="bottom"/>
            <w:hideMark/>
          </w:tcPr>
          <w:p w14:paraId="4E2A5A02" w14:textId="77777777" w:rsidR="00942F0F" w:rsidRPr="0006641A" w:rsidRDefault="00942F0F" w:rsidP="00942F0F">
            <w:pPr>
              <w:pStyle w:val="TableText"/>
              <w:jc w:val="right"/>
              <w:rPr>
                <w:lang w:eastAsia="en-NZ"/>
              </w:rPr>
            </w:pPr>
            <w:r w:rsidRPr="0006641A">
              <w:rPr>
                <w:lang w:eastAsia="en-NZ"/>
              </w:rPr>
              <w:t>1,318</w:t>
            </w:r>
          </w:p>
        </w:tc>
        <w:tc>
          <w:tcPr>
            <w:tcW w:w="2056" w:type="dxa"/>
            <w:shd w:val="clear" w:color="auto" w:fill="auto"/>
            <w:noWrap/>
            <w:vAlign w:val="bottom"/>
            <w:hideMark/>
          </w:tcPr>
          <w:p w14:paraId="49CBD532" w14:textId="77777777" w:rsidR="00942F0F" w:rsidRPr="0006641A" w:rsidRDefault="00942F0F" w:rsidP="00942F0F">
            <w:pPr>
              <w:pStyle w:val="TableText"/>
              <w:jc w:val="right"/>
              <w:rPr>
                <w:lang w:eastAsia="en-NZ"/>
              </w:rPr>
            </w:pPr>
            <w:r w:rsidRPr="0006641A">
              <w:rPr>
                <w:lang w:eastAsia="en-NZ"/>
              </w:rPr>
              <w:t>1,068</w:t>
            </w:r>
          </w:p>
        </w:tc>
      </w:tr>
      <w:tr w:rsidR="00942F0F" w:rsidRPr="00EF3431" w14:paraId="6D603774" w14:textId="77777777" w:rsidTr="00942F0F">
        <w:trPr>
          <w:trHeight w:val="300"/>
        </w:trPr>
        <w:tc>
          <w:tcPr>
            <w:tcW w:w="2055" w:type="dxa"/>
            <w:shd w:val="clear" w:color="auto" w:fill="auto"/>
            <w:noWrap/>
            <w:vAlign w:val="bottom"/>
            <w:hideMark/>
          </w:tcPr>
          <w:p w14:paraId="4C9306A4" w14:textId="77777777" w:rsidR="00942F0F" w:rsidRPr="0006641A" w:rsidRDefault="00942F0F" w:rsidP="00942F0F">
            <w:pPr>
              <w:pStyle w:val="TableText"/>
              <w:rPr>
                <w:lang w:eastAsia="en-NZ"/>
              </w:rPr>
            </w:pPr>
            <w:r w:rsidRPr="0006641A">
              <w:rPr>
                <w:lang w:eastAsia="en-NZ"/>
              </w:rPr>
              <w:t>Non-MPA</w:t>
            </w:r>
          </w:p>
        </w:tc>
        <w:tc>
          <w:tcPr>
            <w:tcW w:w="2056" w:type="dxa"/>
            <w:shd w:val="clear" w:color="auto" w:fill="auto"/>
            <w:noWrap/>
            <w:vAlign w:val="bottom"/>
            <w:hideMark/>
          </w:tcPr>
          <w:p w14:paraId="3F72A54F" w14:textId="77777777" w:rsidR="00942F0F" w:rsidRPr="0006641A" w:rsidRDefault="00942F0F" w:rsidP="00942F0F">
            <w:pPr>
              <w:pStyle w:val="TableText"/>
              <w:jc w:val="right"/>
              <w:rPr>
                <w:lang w:eastAsia="en-NZ"/>
              </w:rPr>
            </w:pPr>
            <w:r w:rsidRPr="0006641A">
              <w:rPr>
                <w:lang w:eastAsia="en-NZ"/>
              </w:rPr>
              <w:t>8,256</w:t>
            </w:r>
          </w:p>
        </w:tc>
        <w:tc>
          <w:tcPr>
            <w:tcW w:w="2055" w:type="dxa"/>
            <w:shd w:val="clear" w:color="auto" w:fill="auto"/>
            <w:noWrap/>
            <w:vAlign w:val="bottom"/>
            <w:hideMark/>
          </w:tcPr>
          <w:p w14:paraId="2C3C9879" w14:textId="77777777" w:rsidR="00942F0F" w:rsidRPr="0006641A" w:rsidRDefault="00942F0F" w:rsidP="00942F0F">
            <w:pPr>
              <w:pStyle w:val="TableText"/>
              <w:jc w:val="right"/>
              <w:rPr>
                <w:lang w:eastAsia="en-NZ"/>
              </w:rPr>
            </w:pPr>
            <w:r w:rsidRPr="0006641A">
              <w:rPr>
                <w:lang w:eastAsia="en-NZ"/>
              </w:rPr>
              <w:t>8,851</w:t>
            </w:r>
          </w:p>
        </w:tc>
        <w:tc>
          <w:tcPr>
            <w:tcW w:w="2056" w:type="dxa"/>
            <w:shd w:val="clear" w:color="auto" w:fill="auto"/>
            <w:noWrap/>
            <w:vAlign w:val="bottom"/>
            <w:hideMark/>
          </w:tcPr>
          <w:p w14:paraId="2BB22C74" w14:textId="77777777" w:rsidR="00942F0F" w:rsidRPr="0006641A" w:rsidRDefault="00942F0F" w:rsidP="00942F0F">
            <w:pPr>
              <w:pStyle w:val="TableText"/>
              <w:jc w:val="right"/>
              <w:rPr>
                <w:lang w:eastAsia="en-NZ"/>
              </w:rPr>
            </w:pPr>
            <w:r w:rsidRPr="0006641A">
              <w:rPr>
                <w:lang w:eastAsia="en-NZ"/>
              </w:rPr>
              <w:t>6,246</w:t>
            </w:r>
          </w:p>
        </w:tc>
      </w:tr>
    </w:tbl>
    <w:p w14:paraId="670CEAC9" w14:textId="77777777" w:rsidR="00942F0F" w:rsidRDefault="00942F0F" w:rsidP="004056DA">
      <w:pPr>
        <w:pStyle w:val="Heading2"/>
      </w:pPr>
      <w:bookmarkStart w:id="74" w:name="_Toc136943112"/>
      <w:bookmarkStart w:id="75" w:name="_Toc136943207"/>
      <w:r>
        <w:t>Impact of COVID-19 on the 2020/21 survey collection</w:t>
      </w:r>
      <w:bookmarkEnd w:id="72"/>
      <w:bookmarkEnd w:id="74"/>
      <w:bookmarkEnd w:id="75"/>
    </w:p>
    <w:p w14:paraId="759819F3" w14:textId="77777777" w:rsidR="00942F0F" w:rsidRDefault="00942F0F" w:rsidP="00942F0F">
      <w:pPr>
        <w:rPr>
          <w:color w:val="000000" w:themeColor="text1"/>
        </w:rPr>
      </w:pPr>
      <w:r>
        <w:rPr>
          <w:color w:val="000000" w:themeColor="text1"/>
        </w:rPr>
        <w:t xml:space="preserve">Interviews for the 2020/21 NZHS took place </w:t>
      </w:r>
      <w:r>
        <w:t xml:space="preserve">between </w:t>
      </w:r>
      <w:r w:rsidRPr="005223FE">
        <w:t xml:space="preserve">September 2020 </w:t>
      </w:r>
      <w:r>
        <w:t>and</w:t>
      </w:r>
      <w:r w:rsidRPr="005223FE">
        <w:t xml:space="preserve"> August </w:t>
      </w:r>
      <w:r w:rsidRPr="00F5560D">
        <w:rPr>
          <w:color w:val="000000" w:themeColor="text1"/>
        </w:rPr>
        <w:t>2021</w:t>
      </w:r>
      <w:r>
        <w:rPr>
          <w:color w:val="000000" w:themeColor="text1"/>
        </w:rPr>
        <w:t xml:space="preserve">. </w:t>
      </w:r>
      <w:r w:rsidRPr="00F5560D">
        <w:rPr>
          <w:color w:val="000000" w:themeColor="text1"/>
        </w:rPr>
        <w:t>COVID-19 had a significant impact on the data collection</w:t>
      </w:r>
      <w:r>
        <w:rPr>
          <w:color w:val="000000" w:themeColor="text1"/>
        </w:rPr>
        <w:t xml:space="preserve"> for this survey</w:t>
      </w:r>
      <w:r w:rsidRPr="00F5560D">
        <w:rPr>
          <w:color w:val="000000" w:themeColor="text1"/>
        </w:rPr>
        <w:t xml:space="preserve">. </w:t>
      </w:r>
      <w:r w:rsidRPr="00CA113D">
        <w:rPr>
          <w:color w:val="000000" w:themeColor="text1"/>
        </w:rPr>
        <w:t xml:space="preserve">Data was not collected during COVID-19 </w:t>
      </w:r>
      <w:r>
        <w:rPr>
          <w:color w:val="000000" w:themeColor="text1"/>
        </w:rPr>
        <w:t>A</w:t>
      </w:r>
      <w:r w:rsidRPr="00CA113D">
        <w:rPr>
          <w:color w:val="000000" w:themeColor="text1"/>
        </w:rPr>
        <w:t xml:space="preserve">lert </w:t>
      </w:r>
      <w:r>
        <w:rPr>
          <w:color w:val="000000" w:themeColor="text1"/>
        </w:rPr>
        <w:t>L</w:t>
      </w:r>
      <w:r w:rsidRPr="00CA113D">
        <w:rPr>
          <w:color w:val="000000" w:themeColor="text1"/>
        </w:rPr>
        <w:t>evels 3 or 4, or when there was uncertainty about potential community outbreaks. Data collection was most disrupted in Auckland.</w:t>
      </w:r>
      <w:r>
        <w:rPr>
          <w:color w:val="000000" w:themeColor="text1"/>
        </w:rPr>
        <w:t xml:space="preserve"> </w:t>
      </w:r>
    </w:p>
    <w:p w14:paraId="672885EC" w14:textId="77777777" w:rsidR="00942F0F" w:rsidRDefault="00942F0F" w:rsidP="00942F0F">
      <w:pPr>
        <w:rPr>
          <w:color w:val="000000" w:themeColor="text1"/>
        </w:rPr>
      </w:pPr>
    </w:p>
    <w:p w14:paraId="18A69850" w14:textId="77777777" w:rsidR="00942F0F" w:rsidRDefault="00942F0F" w:rsidP="00942F0F">
      <w:r>
        <w:t>The main impact of COVID-19 disruptions for the 2020/21 survey year is that the sample size is smaller than usual. The adult sample for 2020/21 is about 69% of the size of the usual sample (compared with pre-COVID-19 years from 2011/12 to 2018/19). As a result of the smaller sample sizes, the confidence intervals around point estimates are wider than usual. The smaller sample size may also mean that more subgroup statistics are suppressed. See the NZHS</w:t>
      </w:r>
      <w:r w:rsidRPr="0006641A">
        <w:rPr>
          <w:i/>
          <w:iCs/>
        </w:rPr>
        <w:t xml:space="preserve"> Methodology Report 2020/21</w:t>
      </w:r>
      <w:r>
        <w:t xml:space="preserve"> for more information (Ministry of Health 2021b).</w:t>
      </w:r>
    </w:p>
    <w:p w14:paraId="5DDA2C54" w14:textId="77777777" w:rsidR="00942F0F" w:rsidRPr="00942F0F" w:rsidRDefault="00942F0F" w:rsidP="004056DA">
      <w:pPr>
        <w:pStyle w:val="Heading2"/>
      </w:pPr>
      <w:bookmarkStart w:id="76" w:name="_Toc114057319"/>
      <w:bookmarkStart w:id="77" w:name="_Toc136943113"/>
      <w:bookmarkStart w:id="78" w:name="_Toc136943208"/>
      <w:bookmarkEnd w:id="73"/>
      <w:r w:rsidRPr="00942F0F">
        <w:t>Comparisons by ethnic group</w:t>
      </w:r>
      <w:bookmarkEnd w:id="76"/>
      <w:bookmarkEnd w:id="77"/>
      <w:bookmarkEnd w:id="78"/>
    </w:p>
    <w:p w14:paraId="15E3890E" w14:textId="77777777" w:rsidR="00942F0F" w:rsidRDefault="00942F0F" w:rsidP="00942F0F">
      <w:r>
        <w:t>Ethnicity data in this analysis represents the ethnic group or groups the respondent self-identifies with. Data is classified according to the Ethnicity New Zealand Standard Classification 2005.</w:t>
      </w:r>
      <w:r>
        <w:rPr>
          <w:rStyle w:val="FootnoteReference"/>
        </w:rPr>
        <w:footnoteReference w:id="7"/>
      </w:r>
      <w:r>
        <w:t xml:space="preserve"> Data for Māori, Pacific and Asian groups is shown at ‘level 1’ of the ethnicity classification, while the non-MPA group is an aggregation of level 1 ethnic groups.</w:t>
      </w:r>
    </w:p>
    <w:p w14:paraId="550D9F33" w14:textId="77777777" w:rsidR="00942F0F" w:rsidRDefault="00942F0F" w:rsidP="00942F0F"/>
    <w:p w14:paraId="06A13B73" w14:textId="77777777" w:rsidR="00942F0F" w:rsidRDefault="00942F0F" w:rsidP="00942F0F">
      <w:r>
        <w:t>This analysis is based on the total response method of classifying ethnicity, except for the non-MPA group. People belonging to the Māori, Pacific or Asian ethnic groups have been counted in each ethnic group they identify with. The non-MPA group includes people who belong to the European, Middle Eastern/Latin American/African (MELAA) and/or Other ethnic groups, excluding people who also belong to the Māori, Pacific and/or Asian ethnic groups. In other words the non-MPA group represents the non-Māori, non-Pacific and non-Asian group. For example, someone who belongs to the Māori and Pacific ethnic groups would be included in the results for both ethnic groups. Someone who belongs to the Māori and European ethnic group would only be included in the results for the Māori ethnic group. This differs from the regular NZHS outputs where people are counted in each ethnic group they belong to, including the European/Other group.</w:t>
      </w:r>
      <w:r>
        <w:rPr>
          <w:rStyle w:val="FootnoteReference"/>
        </w:rPr>
        <w:footnoteReference w:id="8"/>
      </w:r>
    </w:p>
    <w:p w14:paraId="72726F09" w14:textId="77777777" w:rsidR="00942F0F" w:rsidRDefault="00942F0F" w:rsidP="00942F0F">
      <w:pPr>
        <w:pStyle w:val="Heading2"/>
      </w:pPr>
      <w:bookmarkStart w:id="79" w:name="_Toc114057320"/>
      <w:bookmarkStart w:id="80" w:name="_Toc135915421"/>
      <w:bookmarkStart w:id="81" w:name="_Toc136943114"/>
      <w:bookmarkStart w:id="82" w:name="_Toc136943209"/>
      <w:r>
        <w:t>Comparability with previously published data</w:t>
      </w:r>
      <w:bookmarkEnd w:id="79"/>
      <w:bookmarkEnd w:id="80"/>
      <w:bookmarkEnd w:id="81"/>
      <w:bookmarkEnd w:id="82"/>
    </w:p>
    <w:p w14:paraId="2B1A9851" w14:textId="77777777" w:rsidR="00942F0F" w:rsidRDefault="00942F0F" w:rsidP="00942F0F">
      <w:r>
        <w:t xml:space="preserve">These results may differ from previously published results. Updated population data has been used to recalculate NZHS results from 2011/12 to 2019/20. See the NZHS </w:t>
      </w:r>
      <w:r w:rsidRPr="00723BBE">
        <w:rPr>
          <w:i/>
          <w:iCs/>
        </w:rPr>
        <w:t>Methodology Report 2020/21</w:t>
      </w:r>
      <w:r>
        <w:t xml:space="preserve"> for more information (Ministry of Health 2021b). The way we treated partial non-response and adjusted for non-response may differ from previous releases (see the next section for more information). In addition, comparison with the non-MPA group differs from previous publications on this topic.</w:t>
      </w:r>
    </w:p>
    <w:p w14:paraId="590DF341" w14:textId="77777777" w:rsidR="00C82A5F" w:rsidRDefault="00C82A5F" w:rsidP="00942F0F">
      <w:pPr>
        <w:pStyle w:val="Heading2"/>
        <w:sectPr w:rsidR="00C82A5F" w:rsidSect="00FC4E54">
          <w:pgSz w:w="11907" w:h="16840" w:code="9"/>
          <w:pgMar w:top="1418" w:right="1701" w:bottom="1134" w:left="1843" w:header="284" w:footer="425" w:gutter="284"/>
          <w:cols w:space="720"/>
        </w:sectPr>
      </w:pPr>
      <w:bookmarkStart w:id="83" w:name="_Toc114057321"/>
      <w:bookmarkStart w:id="84" w:name="_Toc135915422"/>
    </w:p>
    <w:p w14:paraId="36523291" w14:textId="068FE341" w:rsidR="00942F0F" w:rsidRPr="00577589" w:rsidRDefault="00942F0F" w:rsidP="00C82A5F">
      <w:pPr>
        <w:pStyle w:val="Heading2"/>
        <w:spacing w:before="0"/>
      </w:pPr>
      <w:bookmarkStart w:id="85" w:name="_Toc136943115"/>
      <w:bookmarkStart w:id="86" w:name="_Toc136943210"/>
      <w:r>
        <w:t>How we t</w:t>
      </w:r>
      <w:r w:rsidRPr="00577589">
        <w:t>reat</w:t>
      </w:r>
      <w:r>
        <w:t>ed</w:t>
      </w:r>
      <w:r w:rsidRPr="00577589">
        <w:t xml:space="preserve"> non-response</w:t>
      </w:r>
      <w:bookmarkEnd w:id="83"/>
      <w:bookmarkEnd w:id="84"/>
      <w:bookmarkEnd w:id="85"/>
      <w:bookmarkEnd w:id="86"/>
    </w:p>
    <w:p w14:paraId="0A6AC809" w14:textId="77777777" w:rsidR="00942F0F" w:rsidRDefault="00942F0F" w:rsidP="00942F0F">
      <w:r>
        <w:t>In this analysis, we have treated partial non-response to the questions in the following ways.</w:t>
      </w:r>
    </w:p>
    <w:p w14:paraId="3D88AF33" w14:textId="77777777" w:rsidR="00942F0F" w:rsidRPr="00E214FD" w:rsidRDefault="00942F0F" w:rsidP="00942F0F">
      <w:pPr>
        <w:pStyle w:val="Bullet"/>
        <w:rPr>
          <w:rFonts w:eastAsia="Arial Unicode MS"/>
        </w:rPr>
      </w:pPr>
      <w:r w:rsidRPr="00E214FD">
        <w:rPr>
          <w:rFonts w:eastAsia="Arial Unicode MS"/>
        </w:rPr>
        <w:t xml:space="preserve">Where the respondent has indicated they have experienced racial discrimination, </w:t>
      </w:r>
      <w:r>
        <w:rPr>
          <w:rFonts w:eastAsia="Arial Unicode MS"/>
        </w:rPr>
        <w:t>we</w:t>
      </w:r>
      <w:r w:rsidRPr="00E214FD">
        <w:rPr>
          <w:rFonts w:eastAsia="Arial Unicode MS"/>
        </w:rPr>
        <w:t xml:space="preserve"> have categorised </w:t>
      </w:r>
      <w:r>
        <w:rPr>
          <w:rFonts w:eastAsia="Arial Unicode MS"/>
        </w:rPr>
        <w:t xml:space="preserve">them </w:t>
      </w:r>
      <w:r w:rsidRPr="00E214FD">
        <w:rPr>
          <w:rFonts w:eastAsia="Arial Unicode MS"/>
        </w:rPr>
        <w:t>as experiencing discrimination even if they haven’t responded to other questions. For example</w:t>
      </w:r>
      <w:r>
        <w:rPr>
          <w:rFonts w:eastAsia="Arial Unicode MS"/>
        </w:rPr>
        <w:t>,</w:t>
      </w:r>
      <w:r w:rsidRPr="00E214FD">
        <w:rPr>
          <w:rFonts w:eastAsia="Arial Unicode MS"/>
        </w:rPr>
        <w:t xml:space="preserve"> if someone indicated they had experienced verbal abuse but they didn’t answer the questions about unfair treatment, </w:t>
      </w:r>
      <w:r>
        <w:rPr>
          <w:rFonts w:eastAsia="Arial Unicode MS"/>
        </w:rPr>
        <w:t>we</w:t>
      </w:r>
      <w:r w:rsidRPr="00E214FD">
        <w:rPr>
          <w:rFonts w:eastAsia="Arial Unicode MS"/>
        </w:rPr>
        <w:t xml:space="preserve"> have categorised </w:t>
      </w:r>
      <w:r>
        <w:rPr>
          <w:rFonts w:eastAsia="Arial Unicode MS"/>
        </w:rPr>
        <w:t xml:space="preserve">them </w:t>
      </w:r>
      <w:r w:rsidRPr="00E214FD">
        <w:rPr>
          <w:rFonts w:eastAsia="Arial Unicode MS"/>
        </w:rPr>
        <w:t xml:space="preserve">as having experienced discrimination. </w:t>
      </w:r>
    </w:p>
    <w:p w14:paraId="3FB61EA1" w14:textId="77777777" w:rsidR="00942F0F" w:rsidRPr="00E214FD" w:rsidRDefault="00942F0F" w:rsidP="00942F0F">
      <w:pPr>
        <w:pStyle w:val="Bullet"/>
        <w:rPr>
          <w:rFonts w:eastAsia="Arial Unicode MS"/>
        </w:rPr>
      </w:pPr>
      <w:r w:rsidRPr="00E214FD">
        <w:rPr>
          <w:rFonts w:eastAsia="Arial Unicode MS"/>
        </w:rPr>
        <w:t xml:space="preserve">Where the respondent answered ‘no’ to all questions about experience of personal attacks and unfair treatment, </w:t>
      </w:r>
      <w:r>
        <w:rPr>
          <w:rFonts w:eastAsia="Arial Unicode MS"/>
        </w:rPr>
        <w:t>we</w:t>
      </w:r>
      <w:r w:rsidRPr="00E214FD">
        <w:rPr>
          <w:rFonts w:eastAsia="Arial Unicode MS"/>
        </w:rPr>
        <w:t xml:space="preserve"> have categorised </w:t>
      </w:r>
      <w:r>
        <w:rPr>
          <w:rFonts w:eastAsia="Arial Unicode MS"/>
        </w:rPr>
        <w:t xml:space="preserve">them </w:t>
      </w:r>
      <w:r w:rsidRPr="00E214FD">
        <w:rPr>
          <w:rFonts w:eastAsia="Arial Unicode MS"/>
        </w:rPr>
        <w:t xml:space="preserve">as not having experienced racial discrimination in the specified time-period. </w:t>
      </w:r>
    </w:p>
    <w:p w14:paraId="48C1DDEE" w14:textId="77777777" w:rsidR="00942F0F" w:rsidRPr="00E214FD" w:rsidRDefault="00942F0F" w:rsidP="00942F0F">
      <w:pPr>
        <w:pStyle w:val="Bullet"/>
        <w:rPr>
          <w:rFonts w:eastAsia="Arial Unicode MS"/>
        </w:rPr>
      </w:pPr>
      <w:r w:rsidRPr="00E214FD">
        <w:rPr>
          <w:rFonts w:eastAsia="Arial Unicode MS"/>
        </w:rPr>
        <w:t xml:space="preserve">Where the respondent has answered ‘no’ to some questions and hasn’t answered others, </w:t>
      </w:r>
      <w:r>
        <w:rPr>
          <w:rFonts w:eastAsia="Arial Unicode MS"/>
        </w:rPr>
        <w:t xml:space="preserve">we have </w:t>
      </w:r>
      <w:r w:rsidRPr="00E214FD">
        <w:rPr>
          <w:rFonts w:eastAsia="Arial Unicode MS"/>
        </w:rPr>
        <w:t xml:space="preserve">treated </w:t>
      </w:r>
      <w:r>
        <w:rPr>
          <w:rFonts w:eastAsia="Arial Unicode MS"/>
        </w:rPr>
        <w:t xml:space="preserve">this </w:t>
      </w:r>
      <w:r w:rsidRPr="00E214FD">
        <w:rPr>
          <w:rFonts w:eastAsia="Arial Unicode MS"/>
        </w:rPr>
        <w:t>as non-response.</w:t>
      </w:r>
    </w:p>
    <w:p w14:paraId="506BCC53" w14:textId="77777777" w:rsidR="00942F0F" w:rsidRDefault="00942F0F" w:rsidP="00942F0F"/>
    <w:p w14:paraId="528A7653" w14:textId="77777777" w:rsidR="00942F0F" w:rsidRDefault="00942F0F" w:rsidP="00942F0F">
      <w:r>
        <w:t xml:space="preserve">We made an adjustment to account for non-response to the discrimination questions using the standard NZHS method of adjusting for item non-response. See the NZHS </w:t>
      </w:r>
      <w:r w:rsidRPr="00036C6C">
        <w:rPr>
          <w:i/>
          <w:iCs/>
        </w:rPr>
        <w:t>Methodology Report 2020/21</w:t>
      </w:r>
      <w:r>
        <w:t xml:space="preserve"> for more information (Ministry of Health 2021b). The way we treated non-response in this analysis may differ from previously published analyses.</w:t>
      </w:r>
    </w:p>
    <w:p w14:paraId="24EA36C1" w14:textId="77777777" w:rsidR="00942F0F" w:rsidRPr="00577589" w:rsidRDefault="00942F0F" w:rsidP="00942F0F">
      <w:pPr>
        <w:pStyle w:val="Heading2"/>
      </w:pPr>
      <w:bookmarkStart w:id="87" w:name="_Toc114057322"/>
      <w:bookmarkStart w:id="88" w:name="_Toc135915423"/>
      <w:bookmarkStart w:id="89" w:name="_Toc136943116"/>
      <w:bookmarkStart w:id="90" w:name="_Toc136943211"/>
      <w:r>
        <w:t>How we t</w:t>
      </w:r>
      <w:r w:rsidRPr="00577589">
        <w:t>reat</w:t>
      </w:r>
      <w:r>
        <w:t>ed</w:t>
      </w:r>
      <w:r w:rsidRPr="00577589">
        <w:t xml:space="preserve"> </w:t>
      </w:r>
      <w:r>
        <w:t>‘not applicable’ responses</w:t>
      </w:r>
      <w:bookmarkEnd w:id="87"/>
      <w:bookmarkEnd w:id="88"/>
      <w:bookmarkEnd w:id="89"/>
      <w:bookmarkEnd w:id="90"/>
    </w:p>
    <w:p w14:paraId="48435378" w14:textId="77777777" w:rsidR="00942F0F" w:rsidRDefault="00942F0F" w:rsidP="00942F0F">
      <w:r>
        <w:t xml:space="preserve">In 2016/17 and 2020/21, the questions about unfair treatment included a response option of ‘not applicable’. The 2011/12 survey did not include this response option. To carry out time-series analyses, we combined the ‘not applicable’ responses with responses of ‘no’. </w:t>
      </w:r>
    </w:p>
    <w:p w14:paraId="59E5F5C3" w14:textId="77777777" w:rsidR="00942F0F" w:rsidRDefault="00942F0F" w:rsidP="00942F0F">
      <w:pPr>
        <w:pStyle w:val="Heading2"/>
      </w:pPr>
      <w:bookmarkStart w:id="91" w:name="_Toc114057323"/>
      <w:bookmarkStart w:id="92" w:name="_Toc135915424"/>
      <w:bookmarkStart w:id="93" w:name="_Toc136943117"/>
      <w:bookmarkStart w:id="94" w:name="_Toc136943212"/>
      <w:r>
        <w:t>Confidentiality and reliability of estimates</w:t>
      </w:r>
      <w:bookmarkEnd w:id="91"/>
      <w:bookmarkEnd w:id="92"/>
      <w:bookmarkEnd w:id="93"/>
      <w:bookmarkEnd w:id="94"/>
    </w:p>
    <w:p w14:paraId="66122B81" w14:textId="77777777" w:rsidR="00942F0F" w:rsidRPr="007F3BDA" w:rsidRDefault="00942F0F" w:rsidP="00942F0F">
      <w:pPr>
        <w:rPr>
          <w:color w:val="FF0000"/>
        </w:rPr>
      </w:pPr>
      <w:r>
        <w:t>To ensure the survey data presented is reliable and to protect the respondents’ confidentiality, this report presents data only when at least 30 people are in the denominator (the population group being analysed)</w:t>
      </w:r>
      <w:r w:rsidRPr="002045FE">
        <w:rPr>
          <w:color w:val="000000" w:themeColor="text1"/>
        </w:rPr>
        <w:t>.</w:t>
      </w:r>
    </w:p>
    <w:p w14:paraId="621BE2C1" w14:textId="77777777" w:rsidR="00942F0F" w:rsidRDefault="00942F0F" w:rsidP="00942F0F">
      <w:pPr>
        <w:pStyle w:val="Heading2"/>
      </w:pPr>
      <w:bookmarkStart w:id="95" w:name="_Toc114057324"/>
      <w:bookmarkStart w:id="96" w:name="_Toc135915425"/>
      <w:bookmarkStart w:id="97" w:name="_Toc136943118"/>
      <w:bookmarkStart w:id="98" w:name="_Toc136943213"/>
      <w:r>
        <w:t>Confidence intervals</w:t>
      </w:r>
      <w:bookmarkEnd w:id="95"/>
      <w:bookmarkEnd w:id="96"/>
      <w:bookmarkEnd w:id="97"/>
      <w:bookmarkEnd w:id="98"/>
    </w:p>
    <w:p w14:paraId="62D6FFB8" w14:textId="77777777" w:rsidR="00942F0F" w:rsidRPr="00AF4771" w:rsidRDefault="00942F0F" w:rsidP="00942F0F">
      <w:pPr>
        <w:rPr>
          <w:color w:val="000000" w:themeColor="text1"/>
        </w:rPr>
      </w:pPr>
      <w:r w:rsidRPr="007F3BDA">
        <w:rPr>
          <w:color w:val="000000" w:themeColor="text1"/>
        </w:rPr>
        <w:t>These results include 95</w:t>
      </w:r>
      <w:r>
        <w:rPr>
          <w:color w:val="000000" w:themeColor="text1"/>
        </w:rPr>
        <w:t>%</w:t>
      </w:r>
      <w:r w:rsidRPr="007F3BDA">
        <w:rPr>
          <w:color w:val="000000" w:themeColor="text1"/>
        </w:rPr>
        <w:t xml:space="preserve"> confidence intervals</w:t>
      </w:r>
      <w:r>
        <w:rPr>
          <w:color w:val="000000" w:themeColor="text1"/>
        </w:rPr>
        <w:t xml:space="preserve"> to represent the uncertainty due to selecting a sample to estimate values for the entire population</w:t>
      </w:r>
      <w:r w:rsidRPr="007F3BDA">
        <w:rPr>
          <w:color w:val="000000" w:themeColor="text1"/>
        </w:rPr>
        <w:t xml:space="preserve">. </w:t>
      </w:r>
      <w:r>
        <w:t xml:space="preserve">When confidence intervals do not overlap, it can be concluded that the estimates differ significantly. However, when they do overlap, it is still possible that there is a significant difference. See the NZHS </w:t>
      </w:r>
      <w:r w:rsidRPr="007D62DC">
        <w:rPr>
          <w:i/>
          <w:iCs/>
        </w:rPr>
        <w:t>Methodology Report 2020/21</w:t>
      </w:r>
      <w:r>
        <w:t xml:space="preserve"> for more </w:t>
      </w:r>
      <w:r w:rsidRPr="00AF4771">
        <w:rPr>
          <w:color w:val="000000" w:themeColor="text1"/>
        </w:rPr>
        <w:t>information (</w:t>
      </w:r>
      <w:r w:rsidRPr="00AF4771">
        <w:rPr>
          <w:rFonts w:cs="Segoe UI"/>
          <w:color w:val="000000" w:themeColor="text1"/>
          <w:szCs w:val="21"/>
        </w:rPr>
        <w:t>Ministry of Health 2021b)</w:t>
      </w:r>
      <w:r w:rsidRPr="00AF4771">
        <w:rPr>
          <w:color w:val="000000" w:themeColor="text1"/>
        </w:rPr>
        <w:t xml:space="preserve">. </w:t>
      </w:r>
    </w:p>
    <w:p w14:paraId="6D1D2E7A" w14:textId="77777777" w:rsidR="00942F0F" w:rsidRPr="00C15E86" w:rsidRDefault="00942F0F" w:rsidP="00942F0F">
      <w:pPr>
        <w:rPr>
          <w:color w:val="000000" w:themeColor="text1"/>
        </w:rPr>
      </w:pPr>
    </w:p>
    <w:p w14:paraId="138CE919" w14:textId="77777777" w:rsidR="00942F0F" w:rsidRDefault="00942F0F" w:rsidP="00942F0F">
      <w:pPr>
        <w:rPr>
          <w:color w:val="000000" w:themeColor="text1"/>
        </w:rPr>
      </w:pPr>
      <w:r w:rsidRPr="00C15E86">
        <w:rPr>
          <w:color w:val="000000" w:themeColor="text1"/>
        </w:rPr>
        <w:t>Care should be taken when interpreting estimates with wide confidence intervals</w:t>
      </w:r>
      <w:r>
        <w:rPr>
          <w:color w:val="000000" w:themeColor="text1"/>
        </w:rPr>
        <w:t xml:space="preserve">. </w:t>
      </w:r>
      <w:r w:rsidRPr="00202BB2">
        <w:rPr>
          <w:color w:val="000000" w:themeColor="text1"/>
        </w:rPr>
        <w:t>Wider confidence intervals indicate less precise estimates than narrow intervals, caused by higher variation with a sample and/or smaller numbers in a sample.</w:t>
      </w:r>
      <w:r w:rsidRPr="00C15E86">
        <w:rPr>
          <w:color w:val="000000" w:themeColor="text1"/>
        </w:rPr>
        <w:t xml:space="preserve"> </w:t>
      </w:r>
    </w:p>
    <w:p w14:paraId="3968DD54" w14:textId="77777777" w:rsidR="00942F0F" w:rsidRDefault="00942F0F" w:rsidP="00942F0F">
      <w:pPr>
        <w:rPr>
          <w:rFonts w:eastAsia="Arial Unicode MS"/>
        </w:rPr>
        <w:sectPr w:rsidR="00942F0F" w:rsidSect="00FC4E54">
          <w:pgSz w:w="11907" w:h="16840" w:code="9"/>
          <w:pgMar w:top="1418" w:right="1701" w:bottom="1134" w:left="1843" w:header="284" w:footer="425" w:gutter="284"/>
          <w:cols w:space="720"/>
        </w:sectPr>
      </w:pPr>
    </w:p>
    <w:p w14:paraId="1FE219FE" w14:textId="1680804C" w:rsidR="00942F0F" w:rsidRPr="00942F0F" w:rsidRDefault="00942F0F" w:rsidP="00942F0F">
      <w:pPr>
        <w:pStyle w:val="Heading1"/>
        <w:spacing w:before="0"/>
      </w:pPr>
      <w:bookmarkStart w:id="99" w:name="_Toc135915426"/>
      <w:bookmarkStart w:id="100" w:name="_Toc136943119"/>
      <w:bookmarkStart w:id="101" w:name="_Toc136943214"/>
      <w:r w:rsidRPr="00942F0F">
        <w:rPr>
          <w:b w:val="0"/>
          <w:bCs/>
        </w:rPr>
        <w:t>Ngā tohutoro</w:t>
      </w:r>
      <w:bookmarkStart w:id="102" w:name="_Toc135915427"/>
      <w:bookmarkEnd w:id="99"/>
      <w:r w:rsidR="000741DA">
        <w:rPr>
          <w:b w:val="0"/>
          <w:bCs/>
        </w:rPr>
        <w:t xml:space="preserve"> </w:t>
      </w:r>
      <w:r w:rsidR="000741DA" w:rsidRPr="001A2554">
        <w:rPr>
          <w:b w:val="0"/>
          <w:bCs/>
        </w:rPr>
        <w:t>|</w:t>
      </w:r>
      <w:r>
        <w:br/>
      </w:r>
      <w:r w:rsidRPr="00942F0F">
        <w:t>References</w:t>
      </w:r>
      <w:bookmarkEnd w:id="100"/>
      <w:bookmarkEnd w:id="101"/>
      <w:bookmarkEnd w:id="102"/>
    </w:p>
    <w:p w14:paraId="400BD59A" w14:textId="77777777" w:rsidR="00942F0F" w:rsidRPr="00FE1303" w:rsidRDefault="00942F0F" w:rsidP="00942F0F">
      <w:pPr>
        <w:rPr>
          <w:rFonts w:cs="Segoe UI"/>
          <w:color w:val="000000" w:themeColor="text1"/>
          <w:szCs w:val="21"/>
        </w:rPr>
      </w:pPr>
      <w:r w:rsidRPr="00FE1303">
        <w:rPr>
          <w:rFonts w:cs="Segoe UI"/>
          <w:color w:val="000000" w:themeColor="text1"/>
          <w:szCs w:val="21"/>
        </w:rPr>
        <w:t>Gee GC, Spencer MS, Chen J</w:t>
      </w:r>
      <w:r>
        <w:rPr>
          <w:rFonts w:cs="Segoe UI"/>
          <w:color w:val="000000" w:themeColor="text1"/>
          <w:szCs w:val="21"/>
        </w:rPr>
        <w:t>, et al</w:t>
      </w:r>
      <w:r w:rsidRPr="00FE1303">
        <w:rPr>
          <w:rFonts w:cs="Segoe UI"/>
          <w:color w:val="000000" w:themeColor="text1"/>
          <w:szCs w:val="21"/>
        </w:rPr>
        <w:t xml:space="preserve">. 2007. A </w:t>
      </w:r>
      <w:r>
        <w:rPr>
          <w:rFonts w:cs="Segoe UI"/>
          <w:color w:val="000000" w:themeColor="text1"/>
          <w:szCs w:val="21"/>
        </w:rPr>
        <w:t>n</w:t>
      </w:r>
      <w:r w:rsidRPr="00FE1303">
        <w:rPr>
          <w:rFonts w:cs="Segoe UI"/>
          <w:color w:val="000000" w:themeColor="text1"/>
          <w:szCs w:val="21"/>
        </w:rPr>
        <w:t xml:space="preserve">ationwide </w:t>
      </w:r>
      <w:r>
        <w:rPr>
          <w:rFonts w:cs="Segoe UI"/>
          <w:color w:val="000000" w:themeColor="text1"/>
          <w:szCs w:val="21"/>
        </w:rPr>
        <w:t>s</w:t>
      </w:r>
      <w:r w:rsidRPr="00FE1303">
        <w:rPr>
          <w:rFonts w:cs="Segoe UI"/>
          <w:color w:val="000000" w:themeColor="text1"/>
          <w:szCs w:val="21"/>
        </w:rPr>
        <w:t xml:space="preserve">tudy of </w:t>
      </w:r>
      <w:r>
        <w:rPr>
          <w:rFonts w:cs="Segoe UI"/>
          <w:color w:val="000000" w:themeColor="text1"/>
          <w:szCs w:val="21"/>
        </w:rPr>
        <w:t>d</w:t>
      </w:r>
      <w:r w:rsidRPr="00FE1303">
        <w:rPr>
          <w:rFonts w:cs="Segoe UI"/>
          <w:color w:val="000000" w:themeColor="text1"/>
          <w:szCs w:val="21"/>
        </w:rPr>
        <w:t xml:space="preserve">iscrimination and </w:t>
      </w:r>
      <w:r>
        <w:rPr>
          <w:rFonts w:cs="Segoe UI"/>
          <w:color w:val="000000" w:themeColor="text1"/>
          <w:szCs w:val="21"/>
        </w:rPr>
        <w:t>c</w:t>
      </w:r>
      <w:r w:rsidRPr="00FE1303">
        <w:rPr>
          <w:rFonts w:cs="Segoe UI"/>
          <w:color w:val="000000" w:themeColor="text1"/>
          <w:szCs w:val="21"/>
        </w:rPr>
        <w:t xml:space="preserve">hronic </w:t>
      </w:r>
      <w:r>
        <w:rPr>
          <w:rFonts w:cs="Segoe UI"/>
          <w:color w:val="000000" w:themeColor="text1"/>
          <w:szCs w:val="21"/>
        </w:rPr>
        <w:t>h</w:t>
      </w:r>
      <w:r w:rsidRPr="00FE1303">
        <w:rPr>
          <w:rFonts w:cs="Segoe UI"/>
          <w:color w:val="000000" w:themeColor="text1"/>
          <w:szCs w:val="21"/>
        </w:rPr>
        <w:t xml:space="preserve">ealth </w:t>
      </w:r>
      <w:r>
        <w:rPr>
          <w:rFonts w:cs="Segoe UI"/>
          <w:color w:val="000000" w:themeColor="text1"/>
          <w:szCs w:val="21"/>
        </w:rPr>
        <w:t>c</w:t>
      </w:r>
      <w:r w:rsidRPr="00FE1303">
        <w:rPr>
          <w:rFonts w:cs="Segoe UI"/>
          <w:color w:val="000000" w:themeColor="text1"/>
          <w:szCs w:val="21"/>
        </w:rPr>
        <w:t xml:space="preserve">onditions </w:t>
      </w:r>
      <w:r>
        <w:rPr>
          <w:rFonts w:cs="Segoe UI"/>
          <w:color w:val="000000" w:themeColor="text1"/>
          <w:szCs w:val="21"/>
        </w:rPr>
        <w:t>a</w:t>
      </w:r>
      <w:r w:rsidRPr="00FE1303">
        <w:rPr>
          <w:rFonts w:cs="Segoe UI"/>
          <w:color w:val="000000" w:themeColor="text1"/>
          <w:szCs w:val="21"/>
        </w:rPr>
        <w:t>mong Asian Americans</w:t>
      </w:r>
      <w:r>
        <w:rPr>
          <w:rFonts w:cs="Segoe UI"/>
          <w:color w:val="000000" w:themeColor="text1"/>
          <w:szCs w:val="21"/>
        </w:rPr>
        <w:t xml:space="preserve">. </w:t>
      </w:r>
      <w:r w:rsidRPr="00FE1303">
        <w:rPr>
          <w:rStyle w:val="HTMLCite"/>
          <w:rFonts w:cs="Segoe UI"/>
          <w:color w:val="000000" w:themeColor="text1"/>
          <w:szCs w:val="21"/>
        </w:rPr>
        <w:t>American Journal of Public Health</w:t>
      </w:r>
      <w:r w:rsidRPr="00FE1303">
        <w:rPr>
          <w:rFonts w:cs="Segoe UI"/>
          <w:color w:val="000000" w:themeColor="text1"/>
          <w:szCs w:val="21"/>
        </w:rPr>
        <w:t> 97</w:t>
      </w:r>
      <w:r>
        <w:rPr>
          <w:rFonts w:cs="Segoe UI"/>
          <w:color w:val="000000" w:themeColor="text1"/>
          <w:szCs w:val="21"/>
        </w:rPr>
        <w:t>(</w:t>
      </w:r>
      <w:r w:rsidRPr="00FE1303">
        <w:rPr>
          <w:rFonts w:cs="Segoe UI"/>
          <w:color w:val="000000" w:themeColor="text1"/>
          <w:szCs w:val="21"/>
        </w:rPr>
        <w:t>7): 1275</w:t>
      </w:r>
      <w:r>
        <w:rPr>
          <w:rFonts w:cs="Segoe UI"/>
          <w:color w:val="000000" w:themeColor="text1"/>
          <w:szCs w:val="21"/>
        </w:rPr>
        <w:t>–</w:t>
      </w:r>
      <w:r w:rsidRPr="00FE1303">
        <w:rPr>
          <w:rFonts w:cs="Segoe UI"/>
          <w:color w:val="000000" w:themeColor="text1"/>
          <w:szCs w:val="21"/>
        </w:rPr>
        <w:t xml:space="preserve">82. </w:t>
      </w:r>
    </w:p>
    <w:p w14:paraId="210E54DB" w14:textId="77777777" w:rsidR="00942F0F" w:rsidRDefault="00942F0F" w:rsidP="00942F0F">
      <w:pPr>
        <w:rPr>
          <w:rFonts w:cs="Segoe UI"/>
          <w:szCs w:val="21"/>
        </w:rPr>
      </w:pPr>
    </w:p>
    <w:p w14:paraId="3DDA1C37" w14:textId="77777777" w:rsidR="00942F0F" w:rsidRPr="00C321A9" w:rsidRDefault="00942F0F" w:rsidP="00942F0F">
      <w:pPr>
        <w:rPr>
          <w:rFonts w:cs="Segoe UI"/>
          <w:szCs w:val="21"/>
        </w:rPr>
      </w:pPr>
      <w:r>
        <w:rPr>
          <w:rFonts w:cs="Segoe UI"/>
          <w:szCs w:val="21"/>
        </w:rPr>
        <w:t xml:space="preserve">Harris R, Tobias M, Jeffreys M, et al. 2006. </w:t>
      </w:r>
      <w:r w:rsidRPr="00C321A9">
        <w:rPr>
          <w:rFonts w:cs="Segoe UI"/>
          <w:szCs w:val="21"/>
        </w:rPr>
        <w:t xml:space="preserve">Racism and health: </w:t>
      </w:r>
      <w:r>
        <w:rPr>
          <w:rFonts w:cs="Segoe UI"/>
          <w:szCs w:val="21"/>
        </w:rPr>
        <w:t>t</w:t>
      </w:r>
      <w:r w:rsidRPr="00C321A9">
        <w:rPr>
          <w:rFonts w:cs="Segoe UI"/>
          <w:szCs w:val="21"/>
        </w:rPr>
        <w:t>he relationship between experience of racial discrimination and health in New Zealand</w:t>
      </w:r>
      <w:r>
        <w:rPr>
          <w:rFonts w:cs="Segoe UI"/>
          <w:szCs w:val="21"/>
        </w:rPr>
        <w:t xml:space="preserve">. </w:t>
      </w:r>
      <w:r w:rsidRPr="00C321A9">
        <w:rPr>
          <w:i/>
          <w:iCs/>
        </w:rPr>
        <w:t>Social Science &amp; Medicine</w:t>
      </w:r>
      <w:r>
        <w:t xml:space="preserve"> 63(6): 1428–41. </w:t>
      </w:r>
    </w:p>
    <w:p w14:paraId="73794ED5" w14:textId="77777777" w:rsidR="00942F0F" w:rsidRDefault="00942F0F" w:rsidP="00942F0F">
      <w:pPr>
        <w:rPr>
          <w:rFonts w:cs="Segoe UI"/>
          <w:szCs w:val="21"/>
        </w:rPr>
      </w:pPr>
    </w:p>
    <w:p w14:paraId="0FD22DF4" w14:textId="77777777" w:rsidR="00942F0F" w:rsidRDefault="00942F0F" w:rsidP="00942F0F">
      <w:pPr>
        <w:autoSpaceDE w:val="0"/>
        <w:autoSpaceDN w:val="0"/>
        <w:adjustRightInd w:val="0"/>
        <w:rPr>
          <w:rFonts w:cs="Segoe UI"/>
          <w:szCs w:val="21"/>
        </w:rPr>
      </w:pPr>
      <w:r w:rsidRPr="00F315B1">
        <w:rPr>
          <w:rFonts w:cs="Segoe UI"/>
          <w:szCs w:val="21"/>
        </w:rPr>
        <w:t xml:space="preserve">Harris R, Cormack D, Tobias M, </w:t>
      </w:r>
      <w:r>
        <w:rPr>
          <w:rFonts w:cs="Segoe UI"/>
          <w:szCs w:val="21"/>
        </w:rPr>
        <w:t>et al</w:t>
      </w:r>
      <w:r w:rsidRPr="00F315B1">
        <w:rPr>
          <w:rFonts w:cs="Segoe UI"/>
          <w:szCs w:val="21"/>
        </w:rPr>
        <w:t xml:space="preserve">. 2012. The pervasive effects of racism: </w:t>
      </w:r>
      <w:r>
        <w:rPr>
          <w:rFonts w:cs="Segoe UI"/>
          <w:szCs w:val="21"/>
        </w:rPr>
        <w:t>e</w:t>
      </w:r>
      <w:r w:rsidRPr="00F315B1">
        <w:rPr>
          <w:rFonts w:cs="Segoe UI"/>
          <w:szCs w:val="21"/>
        </w:rPr>
        <w:t xml:space="preserve">xperiences of racial discrimination in New Zealand over time and associations with multiple health domains. </w:t>
      </w:r>
      <w:r w:rsidRPr="00F315B1">
        <w:rPr>
          <w:rFonts w:cs="Segoe UI"/>
          <w:i/>
          <w:iCs/>
          <w:szCs w:val="21"/>
        </w:rPr>
        <w:t>Social Science &amp; Medicine</w:t>
      </w:r>
      <w:r w:rsidRPr="00F315B1">
        <w:rPr>
          <w:rFonts w:cs="Segoe UI"/>
          <w:szCs w:val="21"/>
        </w:rPr>
        <w:t xml:space="preserve"> 74(</w:t>
      </w:r>
      <w:r>
        <w:rPr>
          <w:rFonts w:cs="Segoe UI"/>
          <w:szCs w:val="21"/>
        </w:rPr>
        <w:t>3</w:t>
      </w:r>
      <w:r w:rsidRPr="00F315B1">
        <w:rPr>
          <w:rFonts w:cs="Segoe UI"/>
          <w:szCs w:val="21"/>
        </w:rPr>
        <w:t>)</w:t>
      </w:r>
      <w:r>
        <w:rPr>
          <w:rFonts w:cs="Segoe UI"/>
          <w:szCs w:val="21"/>
        </w:rPr>
        <w:t>:</w:t>
      </w:r>
      <w:r w:rsidRPr="00F315B1">
        <w:rPr>
          <w:rFonts w:cs="Segoe UI"/>
          <w:szCs w:val="21"/>
        </w:rPr>
        <w:t xml:space="preserve"> 408</w:t>
      </w:r>
      <w:r>
        <w:rPr>
          <w:rFonts w:cs="Segoe UI"/>
          <w:szCs w:val="21"/>
        </w:rPr>
        <w:t>–</w:t>
      </w:r>
      <w:r w:rsidRPr="00F315B1">
        <w:rPr>
          <w:rFonts w:cs="Segoe UI"/>
          <w:szCs w:val="21"/>
        </w:rPr>
        <w:t>15</w:t>
      </w:r>
      <w:r>
        <w:rPr>
          <w:rFonts w:cs="Segoe UI"/>
          <w:szCs w:val="21"/>
        </w:rPr>
        <w:t>.</w:t>
      </w:r>
    </w:p>
    <w:p w14:paraId="0D39A4C3" w14:textId="77777777" w:rsidR="00942F0F" w:rsidRDefault="00942F0F" w:rsidP="00942F0F">
      <w:pPr>
        <w:rPr>
          <w:rFonts w:cs="Segoe UI"/>
          <w:szCs w:val="21"/>
        </w:rPr>
      </w:pPr>
    </w:p>
    <w:p w14:paraId="77728C60" w14:textId="77777777" w:rsidR="00942F0F" w:rsidRPr="007436C3" w:rsidRDefault="00942F0F" w:rsidP="00942F0F">
      <w:pPr>
        <w:autoSpaceDE w:val="0"/>
        <w:autoSpaceDN w:val="0"/>
        <w:adjustRightInd w:val="0"/>
        <w:rPr>
          <w:rFonts w:cs="Segoe UI"/>
          <w:szCs w:val="21"/>
        </w:rPr>
      </w:pPr>
      <w:r w:rsidRPr="007436C3">
        <w:rPr>
          <w:rFonts w:cs="Segoe UI"/>
          <w:szCs w:val="21"/>
        </w:rPr>
        <w:t xml:space="preserve">Harris RB, </w:t>
      </w:r>
      <w:r>
        <w:rPr>
          <w:rFonts w:cs="Segoe UI"/>
          <w:szCs w:val="21"/>
        </w:rPr>
        <w:t>Cormack DM, Stanley J.</w:t>
      </w:r>
      <w:r w:rsidRPr="007436C3">
        <w:rPr>
          <w:rFonts w:cs="Segoe UI"/>
          <w:szCs w:val="21"/>
        </w:rPr>
        <w:t xml:space="preserve"> 2019. Experience of racism and associations with unmet need and healthcare satisfaction: the 2011/12 adult New Zealand Health Survey. </w:t>
      </w:r>
      <w:r w:rsidRPr="007436C3">
        <w:rPr>
          <w:rFonts w:cs="Segoe UI"/>
          <w:i/>
          <w:szCs w:val="21"/>
        </w:rPr>
        <w:t xml:space="preserve">Australian </w:t>
      </w:r>
      <w:r>
        <w:rPr>
          <w:rFonts w:cs="Segoe UI"/>
          <w:i/>
          <w:szCs w:val="21"/>
        </w:rPr>
        <w:t>and</w:t>
      </w:r>
      <w:r w:rsidRPr="007436C3">
        <w:rPr>
          <w:rFonts w:cs="Segoe UI"/>
          <w:i/>
          <w:szCs w:val="21"/>
        </w:rPr>
        <w:t xml:space="preserve"> New Zealand Journal of Public Health</w:t>
      </w:r>
      <w:r w:rsidRPr="007436C3">
        <w:rPr>
          <w:rFonts w:cs="Segoe UI"/>
          <w:szCs w:val="21"/>
        </w:rPr>
        <w:t xml:space="preserve"> 43(1): 75</w:t>
      </w:r>
      <w:r>
        <w:rPr>
          <w:rFonts w:cs="Segoe UI"/>
          <w:szCs w:val="21"/>
        </w:rPr>
        <w:t>–</w:t>
      </w:r>
      <w:r w:rsidRPr="007436C3">
        <w:rPr>
          <w:rFonts w:cs="Segoe UI"/>
          <w:szCs w:val="21"/>
        </w:rPr>
        <w:t xml:space="preserve">80. </w:t>
      </w:r>
    </w:p>
    <w:p w14:paraId="00804048" w14:textId="77777777" w:rsidR="00942F0F" w:rsidRDefault="00942F0F" w:rsidP="00942F0F">
      <w:pPr>
        <w:rPr>
          <w:rFonts w:cs="Segoe UI"/>
          <w:szCs w:val="21"/>
        </w:rPr>
      </w:pPr>
    </w:p>
    <w:p w14:paraId="532EB1F1" w14:textId="77777777" w:rsidR="00942F0F" w:rsidRPr="007436C3" w:rsidRDefault="00942F0F" w:rsidP="00942F0F">
      <w:pPr>
        <w:rPr>
          <w:rFonts w:cs="Segoe UI"/>
          <w:szCs w:val="21"/>
        </w:rPr>
      </w:pPr>
      <w:r w:rsidRPr="007436C3">
        <w:rPr>
          <w:rFonts w:cs="Segoe UI"/>
          <w:szCs w:val="21"/>
        </w:rPr>
        <w:t>Harris RB, Stanley J</w:t>
      </w:r>
      <w:r>
        <w:rPr>
          <w:rFonts w:cs="Segoe UI"/>
          <w:szCs w:val="21"/>
        </w:rPr>
        <w:t>,</w:t>
      </w:r>
      <w:r w:rsidRPr="007436C3">
        <w:rPr>
          <w:rFonts w:cs="Segoe UI"/>
          <w:szCs w:val="21"/>
        </w:rPr>
        <w:t xml:space="preserve"> Cormack DM. 2018. Racism and health in New Zealand: </w:t>
      </w:r>
      <w:r>
        <w:rPr>
          <w:rFonts w:cs="Segoe UI"/>
          <w:szCs w:val="21"/>
        </w:rPr>
        <w:t>p</w:t>
      </w:r>
      <w:r w:rsidRPr="007436C3">
        <w:rPr>
          <w:rFonts w:cs="Segoe UI"/>
          <w:szCs w:val="21"/>
        </w:rPr>
        <w:t xml:space="preserve">revalence over time and associations between recent experience of racism and health and wellbeing measures using national survey data. </w:t>
      </w:r>
      <w:r w:rsidRPr="007436C3">
        <w:rPr>
          <w:rFonts w:cs="Segoe UI"/>
          <w:i/>
          <w:szCs w:val="21"/>
        </w:rPr>
        <w:t xml:space="preserve">PLoS One </w:t>
      </w:r>
      <w:r w:rsidRPr="007436C3">
        <w:rPr>
          <w:rFonts w:cs="Segoe UI"/>
          <w:szCs w:val="21"/>
        </w:rPr>
        <w:t>13(5): e0196476.</w:t>
      </w:r>
    </w:p>
    <w:p w14:paraId="416D55B3" w14:textId="77777777" w:rsidR="00942F0F" w:rsidRPr="007436C3" w:rsidRDefault="00942F0F" w:rsidP="00942F0F">
      <w:pPr>
        <w:rPr>
          <w:rFonts w:cs="Segoe UI"/>
          <w:szCs w:val="21"/>
        </w:rPr>
      </w:pPr>
    </w:p>
    <w:p w14:paraId="1A7D8F98" w14:textId="77777777" w:rsidR="00942F0F" w:rsidRDefault="00942F0F" w:rsidP="00942F0F">
      <w:pPr>
        <w:pStyle w:val="References"/>
        <w:spacing w:after="0"/>
        <w:rPr>
          <w:rFonts w:cs="Segoe UI"/>
          <w:szCs w:val="21"/>
        </w:rPr>
      </w:pPr>
      <w:r w:rsidRPr="007436C3">
        <w:rPr>
          <w:rFonts w:cs="Segoe UI"/>
          <w:szCs w:val="21"/>
        </w:rPr>
        <w:t xml:space="preserve">Jones CP. 2000. Levels of racism: a theoretic framework and a gardener’s tale. </w:t>
      </w:r>
      <w:r w:rsidRPr="007436C3">
        <w:rPr>
          <w:rFonts w:cs="Segoe UI"/>
          <w:i/>
          <w:szCs w:val="21"/>
        </w:rPr>
        <w:t>Am</w:t>
      </w:r>
      <w:r>
        <w:rPr>
          <w:rFonts w:cs="Segoe UI"/>
          <w:i/>
          <w:szCs w:val="21"/>
        </w:rPr>
        <w:t>erican</w:t>
      </w:r>
      <w:r w:rsidRPr="007436C3">
        <w:rPr>
          <w:rFonts w:cs="Segoe UI"/>
          <w:i/>
          <w:szCs w:val="21"/>
        </w:rPr>
        <w:t xml:space="preserve"> J</w:t>
      </w:r>
      <w:r>
        <w:rPr>
          <w:rFonts w:cs="Segoe UI"/>
          <w:i/>
          <w:szCs w:val="21"/>
        </w:rPr>
        <w:t xml:space="preserve">ournal of </w:t>
      </w:r>
      <w:r w:rsidRPr="007436C3">
        <w:rPr>
          <w:rFonts w:cs="Segoe UI"/>
          <w:i/>
          <w:szCs w:val="21"/>
        </w:rPr>
        <w:t>Public Health</w:t>
      </w:r>
      <w:r w:rsidRPr="007436C3">
        <w:rPr>
          <w:rFonts w:cs="Segoe UI"/>
          <w:szCs w:val="21"/>
        </w:rPr>
        <w:t xml:space="preserve"> 90(8): 1212–5.</w:t>
      </w:r>
    </w:p>
    <w:p w14:paraId="5DFA6C58" w14:textId="77777777" w:rsidR="00942F0F" w:rsidRDefault="00942F0F" w:rsidP="00942F0F">
      <w:pPr>
        <w:pStyle w:val="References"/>
        <w:spacing w:after="0"/>
        <w:rPr>
          <w:rFonts w:cs="Segoe UI"/>
          <w:szCs w:val="21"/>
        </w:rPr>
      </w:pPr>
    </w:p>
    <w:p w14:paraId="6B1B59A9" w14:textId="77777777" w:rsidR="00942F0F" w:rsidRDefault="00942F0F" w:rsidP="00942F0F">
      <w:pPr>
        <w:pStyle w:val="References"/>
        <w:spacing w:after="0"/>
        <w:rPr>
          <w:rFonts w:cs="Segoe UI"/>
          <w:szCs w:val="21"/>
        </w:rPr>
      </w:pPr>
      <w:r w:rsidRPr="00587126">
        <w:rPr>
          <w:rFonts w:cs="Segoe UI"/>
          <w:szCs w:val="21"/>
        </w:rPr>
        <w:t>Karlsen S</w:t>
      </w:r>
      <w:r>
        <w:rPr>
          <w:rFonts w:cs="Segoe UI"/>
          <w:szCs w:val="21"/>
        </w:rPr>
        <w:t>,</w:t>
      </w:r>
      <w:r w:rsidRPr="00587126">
        <w:rPr>
          <w:rFonts w:cs="Segoe UI"/>
          <w:szCs w:val="21"/>
        </w:rPr>
        <w:t xml:space="preserve"> Nazroo J. 2002. Relation between racial discrimination, social class, and health among ethnic minority groups. </w:t>
      </w:r>
      <w:r w:rsidRPr="006E778E">
        <w:rPr>
          <w:rFonts w:cs="Segoe UI"/>
          <w:i/>
          <w:iCs/>
          <w:szCs w:val="21"/>
        </w:rPr>
        <w:t>American Journal of Public Health</w:t>
      </w:r>
      <w:r w:rsidRPr="00587126">
        <w:rPr>
          <w:rFonts w:cs="Segoe UI"/>
          <w:szCs w:val="21"/>
        </w:rPr>
        <w:t xml:space="preserve"> 92(4)</w:t>
      </w:r>
      <w:r>
        <w:rPr>
          <w:rFonts w:cs="Segoe UI"/>
          <w:szCs w:val="21"/>
        </w:rPr>
        <w:t>:</w:t>
      </w:r>
      <w:r w:rsidRPr="00587126">
        <w:rPr>
          <w:rFonts w:cs="Segoe UI"/>
          <w:szCs w:val="21"/>
        </w:rPr>
        <w:t xml:space="preserve"> 624</w:t>
      </w:r>
      <w:r>
        <w:rPr>
          <w:rFonts w:cs="Segoe UI"/>
          <w:szCs w:val="21"/>
        </w:rPr>
        <w:t>–</w:t>
      </w:r>
      <w:r w:rsidRPr="00587126">
        <w:rPr>
          <w:rFonts w:cs="Segoe UI"/>
          <w:szCs w:val="21"/>
        </w:rPr>
        <w:t>30.</w:t>
      </w:r>
    </w:p>
    <w:p w14:paraId="134BA59A" w14:textId="77777777" w:rsidR="00942F0F" w:rsidRPr="00587126" w:rsidRDefault="00942F0F" w:rsidP="00942F0F">
      <w:pPr>
        <w:pStyle w:val="References"/>
        <w:spacing w:after="0"/>
        <w:rPr>
          <w:rFonts w:cs="Segoe UI"/>
          <w:szCs w:val="21"/>
        </w:rPr>
      </w:pPr>
    </w:p>
    <w:p w14:paraId="581CCC80" w14:textId="77777777" w:rsidR="00942F0F" w:rsidRDefault="00942F0F" w:rsidP="00942F0F">
      <w:pPr>
        <w:pStyle w:val="References"/>
        <w:spacing w:after="0"/>
        <w:rPr>
          <w:rFonts w:cs="Segoe UI"/>
          <w:color w:val="000000" w:themeColor="text1"/>
          <w:szCs w:val="21"/>
        </w:rPr>
      </w:pPr>
      <w:r w:rsidRPr="00587126">
        <w:rPr>
          <w:rFonts w:cs="Segoe UI"/>
          <w:szCs w:val="21"/>
        </w:rPr>
        <w:t xml:space="preserve">Krieger N, Carney D, Lancaster K, </w:t>
      </w:r>
      <w:r>
        <w:rPr>
          <w:rFonts w:cs="Segoe UI"/>
          <w:szCs w:val="21"/>
        </w:rPr>
        <w:t>et al</w:t>
      </w:r>
      <w:r w:rsidRPr="00587126">
        <w:rPr>
          <w:rFonts w:cs="Segoe UI"/>
          <w:szCs w:val="21"/>
        </w:rPr>
        <w:t xml:space="preserve">. </w:t>
      </w:r>
      <w:r>
        <w:rPr>
          <w:rFonts w:cs="Segoe UI"/>
          <w:szCs w:val="21"/>
        </w:rPr>
        <w:t xml:space="preserve">2010. </w:t>
      </w:r>
      <w:r w:rsidRPr="00587126">
        <w:rPr>
          <w:rFonts w:cs="Segoe UI"/>
          <w:szCs w:val="21"/>
        </w:rPr>
        <w:t xml:space="preserve">Combining explicit and implicit measures of racial discrimination in health research. </w:t>
      </w:r>
      <w:r w:rsidRPr="006E778E">
        <w:rPr>
          <w:rFonts w:cs="Segoe UI"/>
          <w:i/>
          <w:iCs/>
          <w:szCs w:val="21"/>
        </w:rPr>
        <w:t>American Journal of Public Health</w:t>
      </w:r>
      <w:r w:rsidRPr="00587126">
        <w:rPr>
          <w:rFonts w:cs="Segoe UI"/>
          <w:szCs w:val="21"/>
        </w:rPr>
        <w:t xml:space="preserve"> 100(8):</w:t>
      </w:r>
      <w:r>
        <w:rPr>
          <w:rFonts w:cs="Segoe UI"/>
          <w:szCs w:val="21"/>
        </w:rPr>
        <w:t xml:space="preserve"> </w:t>
      </w:r>
      <w:r w:rsidRPr="00587126">
        <w:rPr>
          <w:rFonts w:cs="Segoe UI"/>
          <w:szCs w:val="21"/>
        </w:rPr>
        <w:t>1485</w:t>
      </w:r>
      <w:r>
        <w:rPr>
          <w:rFonts w:cs="Segoe UI"/>
          <w:szCs w:val="21"/>
        </w:rPr>
        <w:t>–</w:t>
      </w:r>
      <w:r w:rsidRPr="00587126">
        <w:rPr>
          <w:rFonts w:cs="Segoe UI"/>
          <w:szCs w:val="21"/>
        </w:rPr>
        <w:t>92</w:t>
      </w:r>
      <w:r w:rsidRPr="00587126">
        <w:rPr>
          <w:rFonts w:cs="Segoe UI"/>
          <w:color w:val="000000" w:themeColor="text1"/>
          <w:szCs w:val="21"/>
        </w:rPr>
        <w:t xml:space="preserve">. </w:t>
      </w:r>
    </w:p>
    <w:p w14:paraId="63DE363F" w14:textId="77777777" w:rsidR="00942F0F" w:rsidRDefault="00942F0F" w:rsidP="00942F0F">
      <w:pPr>
        <w:pStyle w:val="References"/>
        <w:spacing w:after="0"/>
        <w:rPr>
          <w:rFonts w:cs="Segoe UI"/>
          <w:color w:val="000000" w:themeColor="text1"/>
          <w:szCs w:val="21"/>
        </w:rPr>
      </w:pPr>
    </w:p>
    <w:p w14:paraId="5ED3F05E" w14:textId="77777777" w:rsidR="00942F0F" w:rsidRPr="003359CE" w:rsidRDefault="00942F0F" w:rsidP="00942F0F">
      <w:pPr>
        <w:pStyle w:val="References"/>
        <w:spacing w:after="0"/>
        <w:rPr>
          <w:rFonts w:cs="Segoe UI"/>
          <w:szCs w:val="21"/>
        </w:rPr>
      </w:pPr>
      <w:r w:rsidRPr="003359CE">
        <w:rPr>
          <w:rFonts w:cs="Segoe UI"/>
          <w:szCs w:val="21"/>
        </w:rPr>
        <w:t>Lewis TT, Cogburn CD, Williams DR. 2015</w:t>
      </w:r>
      <w:r>
        <w:rPr>
          <w:rFonts w:cs="Segoe UI"/>
          <w:szCs w:val="21"/>
        </w:rPr>
        <w:t xml:space="preserve">. </w:t>
      </w:r>
      <w:r w:rsidRPr="003359CE">
        <w:rPr>
          <w:rFonts w:cs="Segoe UI"/>
          <w:szCs w:val="21"/>
        </w:rPr>
        <w:t xml:space="preserve">Self-reported experiences of discrimination and health: </w:t>
      </w:r>
      <w:r>
        <w:rPr>
          <w:rFonts w:cs="Segoe UI"/>
          <w:szCs w:val="21"/>
        </w:rPr>
        <w:t>s</w:t>
      </w:r>
      <w:r w:rsidRPr="003359CE">
        <w:rPr>
          <w:rFonts w:cs="Segoe UI"/>
          <w:szCs w:val="21"/>
        </w:rPr>
        <w:t xml:space="preserve">cientific advances, ongoing controversies, and emerging issues. </w:t>
      </w:r>
      <w:r w:rsidRPr="003359CE">
        <w:rPr>
          <w:rFonts w:cs="Segoe UI"/>
          <w:i/>
          <w:iCs/>
          <w:szCs w:val="21"/>
        </w:rPr>
        <w:t>Annu</w:t>
      </w:r>
      <w:r>
        <w:rPr>
          <w:rFonts w:cs="Segoe UI"/>
          <w:i/>
          <w:iCs/>
          <w:szCs w:val="21"/>
        </w:rPr>
        <w:t>al</w:t>
      </w:r>
      <w:r w:rsidRPr="003359CE">
        <w:rPr>
          <w:rFonts w:cs="Segoe UI"/>
          <w:i/>
          <w:iCs/>
          <w:szCs w:val="21"/>
        </w:rPr>
        <w:t xml:space="preserve"> Rev</w:t>
      </w:r>
      <w:r>
        <w:rPr>
          <w:rFonts w:cs="Segoe UI"/>
          <w:i/>
          <w:iCs/>
          <w:szCs w:val="21"/>
        </w:rPr>
        <w:t>iew of</w:t>
      </w:r>
      <w:r w:rsidRPr="003359CE">
        <w:rPr>
          <w:rFonts w:cs="Segoe UI"/>
          <w:i/>
          <w:iCs/>
          <w:szCs w:val="21"/>
        </w:rPr>
        <w:t xml:space="preserve"> Clin</w:t>
      </w:r>
      <w:r>
        <w:rPr>
          <w:rFonts w:cs="Segoe UI"/>
          <w:i/>
          <w:iCs/>
          <w:szCs w:val="21"/>
        </w:rPr>
        <w:t>ical</w:t>
      </w:r>
      <w:r w:rsidRPr="003359CE">
        <w:rPr>
          <w:rFonts w:cs="Segoe UI"/>
          <w:i/>
          <w:iCs/>
          <w:szCs w:val="21"/>
        </w:rPr>
        <w:t xml:space="preserve"> Psychol</w:t>
      </w:r>
      <w:r>
        <w:rPr>
          <w:rFonts w:cs="Segoe UI"/>
          <w:i/>
          <w:iCs/>
          <w:szCs w:val="21"/>
        </w:rPr>
        <w:t>ogy</w:t>
      </w:r>
      <w:r w:rsidRPr="003359CE" w:rsidDel="00CD0FC0">
        <w:rPr>
          <w:rFonts w:cs="Segoe UI"/>
          <w:szCs w:val="21"/>
        </w:rPr>
        <w:t xml:space="preserve"> </w:t>
      </w:r>
      <w:r w:rsidRPr="003359CE">
        <w:rPr>
          <w:rFonts w:cs="Segoe UI"/>
          <w:szCs w:val="21"/>
        </w:rPr>
        <w:t>11:</w:t>
      </w:r>
      <w:r>
        <w:rPr>
          <w:rFonts w:cs="Segoe UI"/>
          <w:szCs w:val="21"/>
        </w:rPr>
        <w:t xml:space="preserve"> </w:t>
      </w:r>
      <w:r w:rsidRPr="003359CE">
        <w:rPr>
          <w:rFonts w:cs="Segoe UI"/>
          <w:szCs w:val="21"/>
        </w:rPr>
        <w:t>407–40.</w:t>
      </w:r>
    </w:p>
    <w:p w14:paraId="03B92C0E" w14:textId="77777777" w:rsidR="00942F0F" w:rsidRPr="00587126" w:rsidRDefault="00942F0F" w:rsidP="00942F0F">
      <w:pPr>
        <w:pStyle w:val="References"/>
        <w:spacing w:after="0"/>
        <w:rPr>
          <w:rFonts w:cs="Segoe UI"/>
          <w:color w:val="000000" w:themeColor="text1"/>
          <w:szCs w:val="21"/>
        </w:rPr>
      </w:pPr>
    </w:p>
    <w:p w14:paraId="71DBC9C2" w14:textId="77777777" w:rsidR="00942F0F" w:rsidRPr="008918A0" w:rsidRDefault="00942F0F" w:rsidP="00942F0F">
      <w:pPr>
        <w:pStyle w:val="References"/>
        <w:spacing w:after="0"/>
        <w:rPr>
          <w:rFonts w:cs="Segoe UI"/>
          <w:szCs w:val="21"/>
        </w:rPr>
      </w:pPr>
      <w:r w:rsidRPr="008918A0">
        <w:rPr>
          <w:rFonts w:cs="Segoe UI"/>
          <w:szCs w:val="21"/>
        </w:rPr>
        <w:t>McMeeking S, Tarena E, Williams M</w:t>
      </w:r>
      <w:r>
        <w:rPr>
          <w:rFonts w:cs="Segoe UI"/>
          <w:szCs w:val="21"/>
        </w:rPr>
        <w:t>,</w:t>
      </w:r>
      <w:r w:rsidRPr="008918A0">
        <w:rPr>
          <w:rFonts w:cs="Segoe UI"/>
          <w:szCs w:val="21"/>
        </w:rPr>
        <w:t xml:space="preserve"> et al. 2022. </w:t>
      </w:r>
      <w:r w:rsidRPr="008918A0">
        <w:rPr>
          <w:rFonts w:cs="Segoe UI"/>
          <w:i/>
          <w:iCs/>
          <w:szCs w:val="21"/>
        </w:rPr>
        <w:t xml:space="preserve">Whiria te Muka Tangata: Anti-Racism Systems Change. A </w:t>
      </w:r>
      <w:r>
        <w:rPr>
          <w:rFonts w:cs="Segoe UI"/>
          <w:i/>
          <w:iCs/>
          <w:szCs w:val="21"/>
        </w:rPr>
        <w:t>p</w:t>
      </w:r>
      <w:r w:rsidRPr="008918A0">
        <w:rPr>
          <w:rFonts w:cs="Segoe UI"/>
          <w:i/>
          <w:iCs/>
          <w:szCs w:val="21"/>
        </w:rPr>
        <w:t xml:space="preserve">reliminary </w:t>
      </w:r>
      <w:r>
        <w:rPr>
          <w:rFonts w:cs="Segoe UI"/>
          <w:i/>
          <w:iCs/>
          <w:szCs w:val="21"/>
        </w:rPr>
        <w:t>m</w:t>
      </w:r>
      <w:r w:rsidRPr="008918A0">
        <w:rPr>
          <w:rFonts w:cs="Segoe UI"/>
          <w:i/>
          <w:iCs/>
          <w:szCs w:val="21"/>
        </w:rPr>
        <w:t xml:space="preserve">odel for the Aotearoa New Zealand </w:t>
      </w:r>
      <w:r>
        <w:rPr>
          <w:rFonts w:cs="Segoe UI"/>
          <w:i/>
          <w:iCs/>
          <w:szCs w:val="21"/>
        </w:rPr>
        <w:t>h</w:t>
      </w:r>
      <w:r w:rsidRPr="008918A0">
        <w:rPr>
          <w:rFonts w:cs="Segoe UI"/>
          <w:i/>
          <w:iCs/>
          <w:szCs w:val="21"/>
        </w:rPr>
        <w:t xml:space="preserve">ealth </w:t>
      </w:r>
      <w:r>
        <w:rPr>
          <w:rFonts w:cs="Segoe UI"/>
          <w:i/>
          <w:iCs/>
          <w:szCs w:val="21"/>
        </w:rPr>
        <w:t>s</w:t>
      </w:r>
      <w:r w:rsidRPr="008918A0">
        <w:rPr>
          <w:rFonts w:cs="Segoe UI"/>
          <w:i/>
          <w:iCs/>
          <w:szCs w:val="21"/>
        </w:rPr>
        <w:t>ystem.</w:t>
      </w:r>
      <w:r w:rsidRPr="008918A0">
        <w:rPr>
          <w:rFonts w:cs="Segoe UI"/>
          <w:szCs w:val="21"/>
        </w:rPr>
        <w:t xml:space="preserve"> Wellington: Ministry of Health.</w:t>
      </w:r>
    </w:p>
    <w:p w14:paraId="17D80BEB" w14:textId="77777777" w:rsidR="00942F0F" w:rsidRPr="008918A0" w:rsidRDefault="00942F0F" w:rsidP="00942F0F">
      <w:pPr>
        <w:rPr>
          <w:rFonts w:cs="Segoe UI"/>
          <w:color w:val="000000" w:themeColor="text1"/>
          <w:szCs w:val="21"/>
        </w:rPr>
      </w:pPr>
    </w:p>
    <w:p w14:paraId="564DF456" w14:textId="77777777" w:rsidR="00942F0F" w:rsidRPr="008918A0" w:rsidRDefault="00942F0F" w:rsidP="00942F0F">
      <w:pPr>
        <w:rPr>
          <w:rFonts w:cs="Segoe UI"/>
          <w:color w:val="000000" w:themeColor="text1"/>
          <w:szCs w:val="21"/>
        </w:rPr>
      </w:pPr>
      <w:r w:rsidRPr="008918A0">
        <w:rPr>
          <w:rFonts w:cs="Segoe UI"/>
          <w:color w:val="000000" w:themeColor="text1"/>
          <w:szCs w:val="21"/>
        </w:rPr>
        <w:t xml:space="preserve">Ministry of Health. 2019. </w:t>
      </w:r>
      <w:r w:rsidRPr="008918A0">
        <w:rPr>
          <w:rFonts w:cs="Segoe UI"/>
          <w:i/>
          <w:iCs/>
          <w:color w:val="000000" w:themeColor="text1"/>
          <w:szCs w:val="21"/>
        </w:rPr>
        <w:t xml:space="preserve">New Zealand Cancer Action Plan 2019–2029 </w:t>
      </w:r>
      <w:r>
        <w:rPr>
          <w:rFonts w:cs="Segoe UI"/>
          <w:i/>
          <w:iCs/>
          <w:color w:val="000000" w:themeColor="text1"/>
          <w:szCs w:val="21"/>
        </w:rPr>
        <w:t>—</w:t>
      </w:r>
      <w:r w:rsidRPr="008918A0">
        <w:rPr>
          <w:rFonts w:cs="Segoe UI"/>
          <w:i/>
          <w:iCs/>
          <w:color w:val="000000" w:themeColor="text1"/>
          <w:szCs w:val="21"/>
        </w:rPr>
        <w:t xml:space="preserve"> Te Mahere mō te Mate Pukupuku o Aotearoa 2019–2029.</w:t>
      </w:r>
      <w:r w:rsidRPr="008918A0">
        <w:rPr>
          <w:rFonts w:cs="Segoe UI"/>
          <w:color w:val="000000" w:themeColor="text1"/>
          <w:szCs w:val="21"/>
        </w:rPr>
        <w:t xml:space="preserve"> Revised January 2020 Wellington: Ministry of Health.</w:t>
      </w:r>
    </w:p>
    <w:p w14:paraId="07A36967" w14:textId="77777777" w:rsidR="00942F0F" w:rsidRPr="008918A0" w:rsidRDefault="00942F0F" w:rsidP="00942F0F">
      <w:pPr>
        <w:pStyle w:val="EndnoteText"/>
        <w:rPr>
          <w:rFonts w:cs="Segoe UI"/>
          <w:sz w:val="21"/>
          <w:szCs w:val="21"/>
        </w:rPr>
      </w:pPr>
    </w:p>
    <w:p w14:paraId="230F45F3" w14:textId="77777777" w:rsidR="00942F0F" w:rsidRPr="008918A0" w:rsidRDefault="00942F0F" w:rsidP="00942F0F">
      <w:pPr>
        <w:rPr>
          <w:rFonts w:cs="Segoe UI"/>
          <w:color w:val="000000" w:themeColor="text1"/>
          <w:szCs w:val="21"/>
        </w:rPr>
      </w:pPr>
      <w:r w:rsidRPr="008918A0">
        <w:rPr>
          <w:rFonts w:cs="Segoe UI"/>
          <w:color w:val="000000" w:themeColor="text1"/>
          <w:szCs w:val="21"/>
        </w:rPr>
        <w:t xml:space="preserve">Ministry of Health. 2020a. </w:t>
      </w:r>
      <w:r w:rsidRPr="008918A0">
        <w:rPr>
          <w:rFonts w:cs="Segoe UI"/>
          <w:i/>
          <w:iCs/>
          <w:color w:val="000000" w:themeColor="text1"/>
          <w:szCs w:val="21"/>
        </w:rPr>
        <w:t>Ola Manuia: Pacific Health and Wellbeing Action Plan 2020</w:t>
      </w:r>
      <w:r>
        <w:rPr>
          <w:rFonts w:cs="Segoe UI"/>
          <w:i/>
          <w:iCs/>
          <w:color w:val="000000" w:themeColor="text1"/>
          <w:szCs w:val="21"/>
        </w:rPr>
        <w:t>–</w:t>
      </w:r>
      <w:r w:rsidRPr="008918A0">
        <w:rPr>
          <w:rFonts w:cs="Segoe UI"/>
          <w:i/>
          <w:iCs/>
          <w:color w:val="000000" w:themeColor="text1"/>
          <w:szCs w:val="21"/>
        </w:rPr>
        <w:t>2025</w:t>
      </w:r>
      <w:r w:rsidRPr="008918A0">
        <w:rPr>
          <w:rFonts w:cs="Segoe UI"/>
          <w:color w:val="000000" w:themeColor="text1"/>
          <w:szCs w:val="21"/>
        </w:rPr>
        <w:t xml:space="preserve">. Wellington: Ministry of Health. URL: </w:t>
      </w:r>
      <w:hyperlink r:id="rId29" w:history="1">
        <w:r w:rsidRPr="005E257D">
          <w:rPr>
            <w:rStyle w:val="Hyperlink"/>
            <w:rFonts w:cs="Segoe UI"/>
            <w:bCs/>
            <w:szCs w:val="21"/>
          </w:rPr>
          <w:t>www.health.govt.nz/publication/ola-manuia-pacific-health-and-wellbeing-action-plan-2020-2025</w:t>
        </w:r>
      </w:hyperlink>
      <w:r>
        <w:t xml:space="preserve"> (accessed 12 May 2023)</w:t>
      </w:r>
      <w:r w:rsidRPr="006E778E">
        <w:t>.</w:t>
      </w:r>
    </w:p>
    <w:p w14:paraId="1BFB313A" w14:textId="77777777" w:rsidR="00942F0F" w:rsidRPr="008918A0" w:rsidRDefault="00942F0F" w:rsidP="00942F0F">
      <w:pPr>
        <w:pStyle w:val="EndnoteText"/>
        <w:rPr>
          <w:rFonts w:cs="Segoe UI"/>
          <w:sz w:val="21"/>
          <w:szCs w:val="21"/>
        </w:rPr>
      </w:pPr>
    </w:p>
    <w:p w14:paraId="0E9C4F85" w14:textId="77777777" w:rsidR="00942F0F" w:rsidRPr="007436C3" w:rsidRDefault="00942F0F" w:rsidP="00942F0F">
      <w:pPr>
        <w:rPr>
          <w:rFonts w:cs="Segoe UI"/>
          <w:szCs w:val="21"/>
        </w:rPr>
      </w:pPr>
      <w:r w:rsidRPr="008918A0">
        <w:rPr>
          <w:rFonts w:cs="Segoe UI"/>
          <w:szCs w:val="21"/>
        </w:rPr>
        <w:t xml:space="preserve">Ministry of Health. 2020b. </w:t>
      </w:r>
      <w:r w:rsidRPr="008918A0">
        <w:rPr>
          <w:rFonts w:cs="Segoe UI"/>
          <w:i/>
          <w:iCs/>
          <w:szCs w:val="21"/>
        </w:rPr>
        <w:t>Whakamaua: Māori Health Action Plan 2020–2025.</w:t>
      </w:r>
      <w:r w:rsidRPr="008918A0">
        <w:rPr>
          <w:rFonts w:cs="Segoe UI"/>
          <w:szCs w:val="21"/>
        </w:rPr>
        <w:t xml:space="preserve"> Wellington: Ministry of Health. UR</w:t>
      </w:r>
      <w:r>
        <w:rPr>
          <w:rFonts w:cs="Segoe UI"/>
          <w:szCs w:val="21"/>
        </w:rPr>
        <w:t>L</w:t>
      </w:r>
      <w:r w:rsidRPr="008918A0">
        <w:rPr>
          <w:rFonts w:cs="Segoe UI"/>
          <w:szCs w:val="21"/>
        </w:rPr>
        <w:t>:</w:t>
      </w:r>
      <w:r>
        <w:rPr>
          <w:rFonts w:cs="Segoe UI"/>
          <w:szCs w:val="21"/>
        </w:rPr>
        <w:t xml:space="preserve"> </w:t>
      </w:r>
      <w:hyperlink r:id="rId30" w:history="1">
        <w:r w:rsidRPr="005A3133">
          <w:rPr>
            <w:rStyle w:val="Hyperlink"/>
            <w:rFonts w:cs="Segoe UI"/>
            <w:bCs/>
            <w:szCs w:val="21"/>
          </w:rPr>
          <w:t>www.health.govt.nz/system/files/documents/publications/whakamaua-maori-health-action-plan-2020-2025-2.pdf</w:t>
        </w:r>
      </w:hyperlink>
      <w:r>
        <w:rPr>
          <w:rFonts w:cs="Segoe UI"/>
          <w:b/>
          <w:bCs/>
          <w:szCs w:val="21"/>
        </w:rPr>
        <w:t xml:space="preserve"> </w:t>
      </w:r>
      <w:r>
        <w:rPr>
          <w:rFonts w:cs="Segoe UI"/>
          <w:szCs w:val="21"/>
        </w:rPr>
        <w:t>(accessed 12 May 2023)</w:t>
      </w:r>
      <w:r w:rsidRPr="006E778E">
        <w:t>.</w:t>
      </w:r>
    </w:p>
    <w:p w14:paraId="1DA365CE" w14:textId="77777777" w:rsidR="00942F0F" w:rsidRPr="007436C3" w:rsidRDefault="00942F0F" w:rsidP="00942F0F">
      <w:pPr>
        <w:rPr>
          <w:rFonts w:cs="Segoe UI"/>
          <w:szCs w:val="21"/>
        </w:rPr>
      </w:pPr>
    </w:p>
    <w:p w14:paraId="20854410" w14:textId="77777777" w:rsidR="00942F0F" w:rsidRPr="007436C3" w:rsidRDefault="00942F0F" w:rsidP="00942F0F">
      <w:pPr>
        <w:rPr>
          <w:rFonts w:cs="Segoe UI"/>
          <w:szCs w:val="21"/>
        </w:rPr>
      </w:pPr>
      <w:r w:rsidRPr="007436C3">
        <w:rPr>
          <w:rFonts w:cs="Segoe UI"/>
          <w:szCs w:val="21"/>
        </w:rPr>
        <w:t xml:space="preserve">Ministry of Health. 2021a. </w:t>
      </w:r>
      <w:r w:rsidRPr="006E778E">
        <w:rPr>
          <w:rFonts w:cs="Segoe UI"/>
          <w:i/>
          <w:iCs/>
          <w:szCs w:val="21"/>
        </w:rPr>
        <w:t>Kia Manawanui Aotearoa: Long-term pathway to mental wellbeing.</w:t>
      </w:r>
      <w:r w:rsidRPr="007436C3">
        <w:rPr>
          <w:rFonts w:cs="Segoe UI"/>
          <w:szCs w:val="21"/>
        </w:rPr>
        <w:t xml:space="preserve"> Wellington: Ministry of Health.</w:t>
      </w:r>
    </w:p>
    <w:p w14:paraId="3390E471" w14:textId="77777777" w:rsidR="00942F0F" w:rsidRPr="007436C3" w:rsidRDefault="00942F0F" w:rsidP="00942F0F">
      <w:pPr>
        <w:rPr>
          <w:rFonts w:cs="Segoe UI"/>
          <w:szCs w:val="21"/>
        </w:rPr>
      </w:pPr>
    </w:p>
    <w:p w14:paraId="58989997" w14:textId="77777777" w:rsidR="00942F0F" w:rsidRPr="00482E64" w:rsidRDefault="00942F0F" w:rsidP="00942F0F">
      <w:pPr>
        <w:rPr>
          <w:rFonts w:cs="Segoe UI"/>
          <w:b/>
          <w:bCs/>
          <w:szCs w:val="21"/>
        </w:rPr>
      </w:pPr>
      <w:r w:rsidRPr="007436C3">
        <w:rPr>
          <w:rFonts w:cs="Segoe UI"/>
          <w:szCs w:val="21"/>
        </w:rPr>
        <w:t xml:space="preserve">Ministry of Health. 2021b. </w:t>
      </w:r>
      <w:r w:rsidRPr="00482E64">
        <w:rPr>
          <w:rFonts w:cs="Segoe UI"/>
          <w:i/>
          <w:iCs/>
          <w:szCs w:val="21"/>
        </w:rPr>
        <w:t>Methodology Report 2020/21: New Zealand Health Survey</w:t>
      </w:r>
      <w:r w:rsidRPr="007436C3">
        <w:rPr>
          <w:rFonts w:cs="Segoe UI"/>
          <w:szCs w:val="21"/>
        </w:rPr>
        <w:t xml:space="preserve">. Wellington: Ministry of Health. </w:t>
      </w:r>
      <w:r w:rsidRPr="006E778E">
        <w:rPr>
          <w:rFonts w:cs="Segoe UI"/>
          <w:szCs w:val="21"/>
        </w:rPr>
        <w:t xml:space="preserve">URL: </w:t>
      </w:r>
      <w:hyperlink r:id="rId31" w:history="1">
        <w:r w:rsidRPr="00036B64">
          <w:rPr>
            <w:rStyle w:val="Hyperlink"/>
            <w:rFonts w:cs="Segoe UI"/>
            <w:szCs w:val="21"/>
          </w:rPr>
          <w:t>www.health.govt.nz/system/files/documents/publications/methodology-report-2020-21-new-zealand-health-survey-dec21.pdf</w:t>
        </w:r>
      </w:hyperlink>
      <w:r>
        <w:rPr>
          <w:rFonts w:cs="Segoe UI"/>
          <w:b/>
          <w:bCs/>
          <w:szCs w:val="21"/>
        </w:rPr>
        <w:t xml:space="preserve"> </w:t>
      </w:r>
      <w:r>
        <w:rPr>
          <w:rFonts w:cs="Segoe UI"/>
          <w:szCs w:val="21"/>
        </w:rPr>
        <w:t>(accessed 12 May 2023)</w:t>
      </w:r>
      <w:r w:rsidRPr="006E778E">
        <w:rPr>
          <w:rFonts w:cs="Segoe UI"/>
          <w:szCs w:val="21"/>
        </w:rPr>
        <w:t>.</w:t>
      </w:r>
    </w:p>
    <w:p w14:paraId="71492E30" w14:textId="77777777" w:rsidR="00942F0F" w:rsidRPr="007436C3" w:rsidRDefault="00942F0F" w:rsidP="00942F0F">
      <w:pPr>
        <w:rPr>
          <w:rFonts w:cs="Segoe UI"/>
          <w:szCs w:val="21"/>
        </w:rPr>
      </w:pPr>
    </w:p>
    <w:p w14:paraId="1F7DDCB4" w14:textId="77777777" w:rsidR="00942F0F" w:rsidRPr="007436C3" w:rsidRDefault="00942F0F" w:rsidP="00942F0F">
      <w:pPr>
        <w:pStyle w:val="EndnoteText"/>
        <w:rPr>
          <w:rFonts w:cs="Segoe UI"/>
          <w:sz w:val="21"/>
          <w:szCs w:val="21"/>
        </w:rPr>
      </w:pPr>
      <w:r w:rsidRPr="007436C3">
        <w:rPr>
          <w:rFonts w:cs="Segoe UI"/>
          <w:sz w:val="21"/>
          <w:szCs w:val="21"/>
        </w:rPr>
        <w:t xml:space="preserve">Ministry of Health. 2022a. </w:t>
      </w:r>
      <w:r w:rsidRPr="006E778E">
        <w:rPr>
          <w:rFonts w:cs="Segoe UI"/>
          <w:sz w:val="21"/>
          <w:szCs w:val="21"/>
        </w:rPr>
        <w:t>Ao Mai te Rā | The Anti-Racism Kaupapa</w:t>
      </w:r>
      <w:r w:rsidRPr="00E459EB">
        <w:rPr>
          <w:rFonts w:cs="Segoe UI"/>
          <w:i/>
          <w:iCs/>
          <w:sz w:val="21"/>
          <w:szCs w:val="21"/>
        </w:rPr>
        <w:t>.</w:t>
      </w:r>
      <w:r w:rsidRPr="00E459EB">
        <w:rPr>
          <w:rFonts w:cs="Segoe UI"/>
          <w:b/>
          <w:bCs/>
          <w:sz w:val="21"/>
          <w:szCs w:val="21"/>
        </w:rPr>
        <w:t xml:space="preserve"> </w:t>
      </w:r>
      <w:r w:rsidRPr="006E778E">
        <w:t xml:space="preserve">URL: </w:t>
      </w:r>
      <w:hyperlink r:id="rId32" w:history="1">
        <w:r w:rsidRPr="0061529B">
          <w:rPr>
            <w:rStyle w:val="Hyperlink"/>
            <w:bCs/>
          </w:rPr>
          <w:t>www.health.govt.nz/our-work/populations/maori-health/ao-mai-te-ra-anti-racism-kaupapa</w:t>
        </w:r>
      </w:hyperlink>
      <w:r>
        <w:rPr>
          <w:rFonts w:cs="Segoe UI"/>
          <w:sz w:val="21"/>
          <w:szCs w:val="21"/>
        </w:rPr>
        <w:t xml:space="preserve"> (a</w:t>
      </w:r>
      <w:r w:rsidRPr="007436C3">
        <w:rPr>
          <w:rFonts w:cs="Segoe UI"/>
          <w:sz w:val="21"/>
          <w:szCs w:val="21"/>
        </w:rPr>
        <w:t>ccessed 30 March 2023</w:t>
      </w:r>
      <w:r>
        <w:rPr>
          <w:rFonts w:cs="Segoe UI"/>
          <w:sz w:val="21"/>
          <w:szCs w:val="21"/>
        </w:rPr>
        <w:t>).</w:t>
      </w:r>
    </w:p>
    <w:p w14:paraId="3A88A335" w14:textId="77777777" w:rsidR="00942F0F" w:rsidRPr="007436C3" w:rsidRDefault="00942F0F" w:rsidP="00942F0F">
      <w:pPr>
        <w:rPr>
          <w:rFonts w:cs="Segoe UI"/>
          <w:szCs w:val="21"/>
        </w:rPr>
      </w:pPr>
    </w:p>
    <w:p w14:paraId="26E9FC7A" w14:textId="77777777" w:rsidR="00942F0F" w:rsidRPr="007436C3" w:rsidRDefault="00942F0F" w:rsidP="00942F0F">
      <w:pPr>
        <w:rPr>
          <w:rFonts w:cs="Segoe UI"/>
          <w:szCs w:val="21"/>
        </w:rPr>
      </w:pPr>
      <w:r w:rsidRPr="007436C3">
        <w:rPr>
          <w:rFonts w:cs="Segoe UI"/>
          <w:szCs w:val="21"/>
        </w:rPr>
        <w:t xml:space="preserve">Ministry of Health. 2022b. </w:t>
      </w:r>
      <w:r w:rsidRPr="0031688B">
        <w:rPr>
          <w:rFonts w:cs="Segoe UI"/>
          <w:i/>
          <w:iCs/>
          <w:szCs w:val="21"/>
        </w:rPr>
        <w:t xml:space="preserve">Position </w:t>
      </w:r>
      <w:r>
        <w:rPr>
          <w:rFonts w:cs="Segoe UI"/>
          <w:i/>
          <w:iCs/>
          <w:szCs w:val="21"/>
        </w:rPr>
        <w:t>S</w:t>
      </w:r>
      <w:r w:rsidRPr="0031688B">
        <w:rPr>
          <w:rFonts w:cs="Segoe UI"/>
          <w:i/>
          <w:iCs/>
          <w:szCs w:val="21"/>
        </w:rPr>
        <w:t xml:space="preserve">tatement and </w:t>
      </w:r>
      <w:r>
        <w:rPr>
          <w:rFonts w:cs="Segoe UI"/>
          <w:i/>
          <w:iCs/>
          <w:szCs w:val="21"/>
        </w:rPr>
        <w:t>W</w:t>
      </w:r>
      <w:r w:rsidRPr="0031688B">
        <w:rPr>
          <w:rFonts w:cs="Segoe UI"/>
          <w:i/>
          <w:iCs/>
          <w:szCs w:val="21"/>
        </w:rPr>
        <w:t xml:space="preserve">orking </w:t>
      </w:r>
      <w:r>
        <w:rPr>
          <w:rFonts w:cs="Segoe UI"/>
          <w:i/>
          <w:iCs/>
          <w:szCs w:val="21"/>
        </w:rPr>
        <w:t>D</w:t>
      </w:r>
      <w:r w:rsidRPr="0031688B">
        <w:rPr>
          <w:rFonts w:cs="Segoe UI"/>
          <w:i/>
          <w:iCs/>
          <w:szCs w:val="21"/>
        </w:rPr>
        <w:t xml:space="preserve">efinitions for </w:t>
      </w:r>
      <w:r>
        <w:rPr>
          <w:rFonts w:cs="Segoe UI"/>
          <w:i/>
          <w:iCs/>
          <w:szCs w:val="21"/>
        </w:rPr>
        <w:t>R</w:t>
      </w:r>
      <w:r w:rsidRPr="0031688B">
        <w:rPr>
          <w:rFonts w:cs="Segoe UI"/>
          <w:i/>
          <w:iCs/>
          <w:szCs w:val="21"/>
        </w:rPr>
        <w:t xml:space="preserve">acism and </w:t>
      </w:r>
      <w:r>
        <w:rPr>
          <w:rFonts w:cs="Segoe UI"/>
          <w:i/>
          <w:iCs/>
          <w:szCs w:val="21"/>
        </w:rPr>
        <w:t>A</w:t>
      </w:r>
      <w:r w:rsidRPr="0031688B">
        <w:rPr>
          <w:rFonts w:cs="Segoe UI"/>
          <w:i/>
          <w:iCs/>
          <w:szCs w:val="21"/>
        </w:rPr>
        <w:t xml:space="preserve">nti-racism in the </w:t>
      </w:r>
      <w:r>
        <w:rPr>
          <w:rFonts w:cs="Segoe UI"/>
          <w:i/>
          <w:iCs/>
          <w:szCs w:val="21"/>
        </w:rPr>
        <w:t>H</w:t>
      </w:r>
      <w:r w:rsidRPr="0031688B">
        <w:rPr>
          <w:rFonts w:cs="Segoe UI"/>
          <w:i/>
          <w:iCs/>
          <w:szCs w:val="21"/>
        </w:rPr>
        <w:t xml:space="preserve">ealth </w:t>
      </w:r>
      <w:r>
        <w:rPr>
          <w:rFonts w:cs="Segoe UI"/>
          <w:i/>
          <w:iCs/>
          <w:szCs w:val="21"/>
        </w:rPr>
        <w:t>S</w:t>
      </w:r>
      <w:r w:rsidRPr="0031688B">
        <w:rPr>
          <w:rFonts w:cs="Segoe UI"/>
          <w:i/>
          <w:iCs/>
          <w:szCs w:val="21"/>
        </w:rPr>
        <w:t>ystem in Aotearoa New Zealand.</w:t>
      </w:r>
      <w:r w:rsidRPr="007436C3">
        <w:rPr>
          <w:rFonts w:cs="Segoe UI"/>
          <w:szCs w:val="21"/>
        </w:rPr>
        <w:t xml:space="preserve"> Wellington: Ministry of Health. URL: </w:t>
      </w:r>
      <w:hyperlink r:id="rId33" w:history="1">
        <w:r w:rsidRPr="006E778E">
          <w:rPr>
            <w:rStyle w:val="Hyperlink"/>
            <w:rFonts w:cs="Segoe UI"/>
            <w:szCs w:val="21"/>
          </w:rPr>
          <w:t>www.health.govt.nz/publication/position-statement-and-working-definitions-racism-and-anti-racism-health-system-aotearoa-new-zealand</w:t>
        </w:r>
      </w:hyperlink>
      <w:r>
        <w:rPr>
          <w:rFonts w:cs="Segoe UI"/>
          <w:szCs w:val="21"/>
        </w:rPr>
        <w:t xml:space="preserve"> (a</w:t>
      </w:r>
      <w:r w:rsidRPr="007436C3">
        <w:rPr>
          <w:rFonts w:cs="Segoe UI"/>
          <w:szCs w:val="21"/>
        </w:rPr>
        <w:t>ccessed 30 March 2023</w:t>
      </w:r>
      <w:r>
        <w:rPr>
          <w:rFonts w:cs="Segoe UI"/>
          <w:szCs w:val="21"/>
        </w:rPr>
        <w:t>).</w:t>
      </w:r>
    </w:p>
    <w:p w14:paraId="79878E16" w14:textId="77777777" w:rsidR="00942F0F" w:rsidRDefault="00942F0F" w:rsidP="00942F0F">
      <w:pPr>
        <w:rPr>
          <w:rFonts w:cs="Segoe UI"/>
          <w:szCs w:val="21"/>
        </w:rPr>
      </w:pPr>
    </w:p>
    <w:p w14:paraId="6062E3EB" w14:textId="77777777" w:rsidR="00942F0F" w:rsidRDefault="00942F0F" w:rsidP="00942F0F">
      <w:r>
        <w:t xml:space="preserve">Pheterson G. 1986. Alliances between women: overcoming internalized oppression and internalized domination. </w:t>
      </w:r>
      <w:r w:rsidRPr="007D1D82">
        <w:rPr>
          <w:i/>
          <w:iCs/>
        </w:rPr>
        <w:t>Sign</w:t>
      </w:r>
      <w:r w:rsidRPr="007D1D82">
        <w:t>s 12</w:t>
      </w:r>
      <w:r>
        <w:t>(1): 146–60.</w:t>
      </w:r>
    </w:p>
    <w:p w14:paraId="4CCE8703" w14:textId="77777777" w:rsidR="00942F0F" w:rsidRDefault="00942F0F" w:rsidP="00942F0F">
      <w:pPr>
        <w:rPr>
          <w:rFonts w:cs="Segoe UI"/>
          <w:szCs w:val="21"/>
        </w:rPr>
      </w:pPr>
    </w:p>
    <w:p w14:paraId="2A1E535C" w14:textId="77777777" w:rsidR="00942F0F" w:rsidRDefault="00942F0F" w:rsidP="00942F0F">
      <w:r>
        <w:t xml:space="preserve">Pyke KD. 2010. What is internalized racial oppression and why don’t we study it? Acknowledging racism’s hidden injuries. </w:t>
      </w:r>
      <w:r w:rsidRPr="007D1D82">
        <w:rPr>
          <w:i/>
          <w:iCs/>
        </w:rPr>
        <w:t xml:space="preserve">Sociological Perspectives </w:t>
      </w:r>
      <w:r w:rsidRPr="006E778E">
        <w:t>53</w:t>
      </w:r>
      <w:r>
        <w:t xml:space="preserve">(4): 551–72. DOI: </w:t>
      </w:r>
      <w:hyperlink r:id="rId34" w:history="1">
        <w:r w:rsidRPr="005E257D">
          <w:rPr>
            <w:rStyle w:val="Hyperlink"/>
          </w:rPr>
          <w:t>10.1525/sop.2010.53.4.551</w:t>
        </w:r>
      </w:hyperlink>
      <w:r>
        <w:t xml:space="preserve"> (accessed 12 May 2023).</w:t>
      </w:r>
    </w:p>
    <w:p w14:paraId="6870BF05" w14:textId="77777777" w:rsidR="00942F0F" w:rsidRDefault="00942F0F" w:rsidP="00942F0F">
      <w:pPr>
        <w:rPr>
          <w:rFonts w:cs="Segoe UI"/>
          <w:szCs w:val="21"/>
        </w:rPr>
      </w:pPr>
    </w:p>
    <w:p w14:paraId="485D1169" w14:textId="77777777" w:rsidR="00942F0F" w:rsidRDefault="00942F0F" w:rsidP="00942F0F">
      <w:r>
        <w:t xml:space="preserve">Talamaivao N, Harris R, Cormack D, et al. 2020. Racism and health in Aotearoa New Zealand: a systematic review of quantitative studies. </w:t>
      </w:r>
      <w:r w:rsidRPr="007D1D82">
        <w:rPr>
          <w:i/>
          <w:iCs/>
        </w:rPr>
        <w:t xml:space="preserve">New Zealand Medical Journal (Online) </w:t>
      </w:r>
      <w:r w:rsidRPr="006E778E">
        <w:t>133</w:t>
      </w:r>
      <w:r>
        <w:t>(1,521): 55–65.</w:t>
      </w:r>
    </w:p>
    <w:p w14:paraId="3571C6E1" w14:textId="77777777" w:rsidR="00942F0F" w:rsidRDefault="00942F0F" w:rsidP="00942F0F"/>
    <w:p w14:paraId="68E7887E" w14:textId="77777777" w:rsidR="00942F0F" w:rsidRDefault="00942F0F" w:rsidP="00942F0F">
      <w:pPr>
        <w:rPr>
          <w:rFonts w:cs="Segoe UI"/>
          <w:szCs w:val="21"/>
        </w:rPr>
      </w:pPr>
      <w:r>
        <w:t xml:space="preserve">Watts-Jones D. 2002. Healing internalized racism: the role of a within-group sanctuary among people of African descent. </w:t>
      </w:r>
      <w:r w:rsidRPr="007D1D82">
        <w:rPr>
          <w:i/>
          <w:iCs/>
        </w:rPr>
        <w:t xml:space="preserve">Family Process </w:t>
      </w:r>
      <w:r w:rsidRPr="006E778E">
        <w:t>41</w:t>
      </w:r>
      <w:r>
        <w:t>(4): 591–601.</w:t>
      </w:r>
    </w:p>
    <w:p w14:paraId="156C330D" w14:textId="77777777" w:rsidR="00942F0F" w:rsidRPr="007436C3" w:rsidRDefault="00942F0F" w:rsidP="00942F0F">
      <w:pPr>
        <w:rPr>
          <w:rFonts w:cs="Segoe UI"/>
          <w:szCs w:val="21"/>
        </w:rPr>
      </w:pPr>
    </w:p>
    <w:p w14:paraId="5EE679F8" w14:textId="77777777" w:rsidR="00942F0F" w:rsidRDefault="00942F0F" w:rsidP="00942F0F">
      <w:pPr>
        <w:rPr>
          <w:rFonts w:cs="Segoe UI"/>
          <w:szCs w:val="21"/>
        </w:rPr>
        <w:sectPr w:rsidR="00942F0F" w:rsidSect="00FC4E54">
          <w:pgSz w:w="11907" w:h="16840" w:code="9"/>
          <w:pgMar w:top="1418" w:right="1701" w:bottom="1134" w:left="1843" w:header="284" w:footer="425" w:gutter="284"/>
          <w:cols w:space="720"/>
        </w:sectPr>
      </w:pPr>
      <w:r w:rsidRPr="007436C3">
        <w:rPr>
          <w:rFonts w:cs="Segoe UI"/>
          <w:szCs w:val="21"/>
        </w:rPr>
        <w:t>Williams M</w:t>
      </w:r>
      <w:r>
        <w:rPr>
          <w:rFonts w:cs="Segoe UI"/>
          <w:szCs w:val="21"/>
        </w:rPr>
        <w:t>,</w:t>
      </w:r>
      <w:r w:rsidRPr="007436C3">
        <w:rPr>
          <w:rFonts w:cs="Segoe UI"/>
          <w:szCs w:val="21"/>
        </w:rPr>
        <w:t xml:space="preserve"> McMeeking S. 2022. </w:t>
      </w:r>
      <w:r w:rsidRPr="003F23D9">
        <w:rPr>
          <w:rFonts w:cs="Segoe UI"/>
          <w:i/>
          <w:iCs/>
          <w:szCs w:val="21"/>
        </w:rPr>
        <w:t>Best Practice Approaches to Addressing Racism</w:t>
      </w:r>
      <w:r>
        <w:rPr>
          <w:rFonts w:cs="Segoe UI"/>
          <w:i/>
          <w:iCs/>
          <w:szCs w:val="21"/>
        </w:rPr>
        <w:t>:</w:t>
      </w:r>
      <w:r w:rsidRPr="003F23D9">
        <w:rPr>
          <w:rFonts w:cs="Segoe UI"/>
          <w:i/>
          <w:iCs/>
          <w:szCs w:val="21"/>
        </w:rPr>
        <w:t xml:space="preserve"> Lessons for the Aotearoa New Zealand Health System (Stage Two Literature Review).</w:t>
      </w:r>
      <w:r w:rsidRPr="007436C3">
        <w:rPr>
          <w:rFonts w:cs="Segoe UI"/>
          <w:szCs w:val="21"/>
        </w:rPr>
        <w:t xml:space="preserve"> Wellington: Ministry of Health.</w:t>
      </w:r>
    </w:p>
    <w:p w14:paraId="589674A6" w14:textId="5AC6A279" w:rsidR="00942F0F" w:rsidRDefault="00942F0F" w:rsidP="00946221">
      <w:pPr>
        <w:pStyle w:val="Heading1"/>
        <w:spacing w:before="0"/>
      </w:pPr>
      <w:bookmarkStart w:id="103" w:name="_Toc135915428"/>
      <w:bookmarkStart w:id="104" w:name="_Toc136943120"/>
      <w:bookmarkStart w:id="105" w:name="_Toc136943215"/>
      <w:r w:rsidRPr="00E63F48">
        <w:rPr>
          <w:b w:val="0"/>
          <w:bCs/>
        </w:rPr>
        <w:t>Āpitihanga A: Ngā pātai a te wāhanga o te Rangahau Hauora o Aotearoa 2020/21 e pā ana ki ngā mahi kaikiri</w:t>
      </w:r>
      <w:bookmarkStart w:id="106" w:name="_Toc135915429"/>
      <w:bookmarkEnd w:id="103"/>
      <w:r w:rsidR="000741DA">
        <w:rPr>
          <w:b w:val="0"/>
          <w:bCs/>
        </w:rPr>
        <w:t xml:space="preserve"> </w:t>
      </w:r>
      <w:r w:rsidR="000741DA" w:rsidRPr="001A2554">
        <w:rPr>
          <w:b w:val="0"/>
          <w:bCs/>
        </w:rPr>
        <w:t>|</w:t>
      </w:r>
      <w:r w:rsidR="00C82A5F">
        <w:rPr>
          <w:b w:val="0"/>
          <w:bCs/>
        </w:rPr>
        <w:br/>
      </w:r>
      <w:r w:rsidRPr="00BF0CF5">
        <w:t xml:space="preserve">Appendix A: </w:t>
      </w:r>
      <w:r>
        <w:t>Racial discrimination module questions, New Zealand Health Survey 2020/21</w:t>
      </w:r>
      <w:bookmarkEnd w:id="104"/>
      <w:bookmarkEnd w:id="105"/>
      <w:bookmarkEnd w:id="106"/>
    </w:p>
    <w:p w14:paraId="1F05F992" w14:textId="77777777" w:rsidR="00942F0F" w:rsidRDefault="00942F0F" w:rsidP="00942F0F">
      <w:r>
        <w:t xml:space="preserve">The analysis in this report is based on the following questions from the racial discrimination module of the New Zealand Health Survey (NZHS) adult questionnaire. The questions are copied from the 2020/21 module. The 2016/17 questionnaire had minor differences in response categories for the first 2 questions. For more information, see: </w:t>
      </w:r>
      <w:hyperlink r:id="rId35" w:anchor="2020-21" w:history="1">
        <w:r w:rsidRPr="00413636">
          <w:rPr>
            <w:rStyle w:val="Hyperlink"/>
          </w:rPr>
          <w:t>www.health.govt.nz/nz-health-statistics/national-collections-and-surveys/surveys/new-zealand-health-survey?mega=Health%20statistics&amp;title=NZ%20Health%20Survey#2020-21</w:t>
        </w:r>
      </w:hyperlink>
      <w:r>
        <w:t>.</w:t>
      </w:r>
    </w:p>
    <w:p w14:paraId="434413C8" w14:textId="77777777" w:rsidR="00942F0F" w:rsidRDefault="00942F0F" w:rsidP="00942F0F"/>
    <w:p w14:paraId="2B622C4C" w14:textId="77777777" w:rsidR="00942F0F" w:rsidRDefault="00942F0F" w:rsidP="00942F0F">
      <w:pPr>
        <w:pStyle w:val="BodyText"/>
        <w:keepNext/>
        <w:spacing w:after="0" w:line="240" w:lineRule="auto"/>
        <w:ind w:left="709" w:hanging="709"/>
        <w:rPr>
          <w:rFonts w:cstheme="minorHAnsi"/>
          <w:i/>
          <w:iCs/>
        </w:rPr>
        <w:sectPr w:rsidR="00942F0F" w:rsidSect="00FC4E54">
          <w:pgSz w:w="11907" w:h="16840" w:code="9"/>
          <w:pgMar w:top="1418" w:right="1701" w:bottom="1134" w:left="1843" w:header="284" w:footer="425" w:gutter="284"/>
          <w:cols w:space="720"/>
        </w:sectPr>
      </w:pPr>
    </w:p>
    <w:p w14:paraId="25B7ACE9" w14:textId="662BD118" w:rsidR="00942F0F" w:rsidRPr="00963832" w:rsidRDefault="00942F0F" w:rsidP="00942F0F">
      <w:pPr>
        <w:pStyle w:val="BodyText"/>
        <w:keepNext/>
        <w:spacing w:after="0" w:line="240" w:lineRule="auto"/>
        <w:ind w:left="709" w:hanging="709"/>
        <w:rPr>
          <w:rFonts w:cstheme="minorHAnsi"/>
        </w:rPr>
      </w:pPr>
      <w:r w:rsidRPr="00963832">
        <w:rPr>
          <w:rFonts w:cstheme="minorHAnsi"/>
          <w:i/>
          <w:iCs/>
        </w:rPr>
        <w:t xml:space="preserve">R5.10 </w:t>
      </w:r>
      <w:r>
        <w:rPr>
          <w:rFonts w:cstheme="minorHAnsi"/>
          <w:i/>
          <w:iCs/>
        </w:rPr>
        <w:tab/>
      </w:r>
      <w:r w:rsidRPr="00963832">
        <w:rPr>
          <w:rFonts w:cstheme="minorHAnsi"/>
          <w:i/>
          <w:iCs/>
        </w:rPr>
        <w:t xml:space="preserve">Have you ever been a victim of an ethnically motivated attack (verbal or physical abuse to you or your property) </w:t>
      </w:r>
      <w:r w:rsidRPr="00963832">
        <w:rPr>
          <w:rFonts w:cstheme="minorHAnsi"/>
          <w:b/>
          <w:bCs/>
          <w:i/>
          <w:iCs/>
        </w:rPr>
        <w:t>in New Zealand</w:t>
      </w:r>
      <w:r w:rsidRPr="00963832">
        <w:rPr>
          <w:rFonts w:cstheme="minorHAnsi"/>
          <w:i/>
          <w:iCs/>
        </w:rPr>
        <w:t xml:space="preserve">? </w:t>
      </w:r>
    </w:p>
    <w:p w14:paraId="1271248A" w14:textId="3A01853F" w:rsidR="00942F0F" w:rsidRPr="00963832" w:rsidRDefault="00942F0F" w:rsidP="00942F0F">
      <w:pPr>
        <w:ind w:left="709" w:hanging="709"/>
        <w:rPr>
          <w:rFonts w:cstheme="minorHAnsi"/>
          <w:color w:val="0000FF"/>
        </w:rPr>
      </w:pPr>
      <w:r w:rsidRPr="00963832">
        <w:rPr>
          <w:rFonts w:cstheme="minorHAnsi"/>
          <w:color w:val="0000FF"/>
          <w:sz w:val="10"/>
          <w:szCs w:val="10"/>
        </w:rPr>
        <w:t> </w:t>
      </w:r>
      <w:r>
        <w:rPr>
          <w:rFonts w:cstheme="minorHAnsi"/>
          <w:color w:val="0000FF"/>
          <w:sz w:val="10"/>
          <w:szCs w:val="10"/>
        </w:rPr>
        <w:tab/>
      </w:r>
      <w:r w:rsidRPr="00963832">
        <w:rPr>
          <w:rFonts w:cstheme="minorHAnsi"/>
          <w:color w:val="0000FF"/>
        </w:rPr>
        <w:t>[Select all that apply]</w:t>
      </w:r>
    </w:p>
    <w:p w14:paraId="199376F6" w14:textId="77777777" w:rsidR="00942F0F" w:rsidRPr="00963832" w:rsidRDefault="00942F0F" w:rsidP="00942F0F">
      <w:pPr>
        <w:keepNext/>
        <w:ind w:left="1140" w:hanging="431"/>
        <w:jc w:val="both"/>
        <w:rPr>
          <w:rFonts w:cstheme="minorHAnsi"/>
        </w:rPr>
      </w:pPr>
    </w:p>
    <w:p w14:paraId="49477104" w14:textId="104C6534" w:rsidR="00942F0F" w:rsidRPr="00963832" w:rsidRDefault="00942F0F" w:rsidP="00C82A5F">
      <w:pPr>
        <w:keepNext/>
        <w:ind w:left="1134" w:hanging="425"/>
        <w:jc w:val="both"/>
        <w:rPr>
          <w:rFonts w:cstheme="minorHAnsi"/>
        </w:rPr>
      </w:pPr>
      <w:r w:rsidRPr="00963832">
        <w:rPr>
          <w:rFonts w:cstheme="minorHAnsi"/>
        </w:rPr>
        <w:t>1     Yes, verbal – within the past 12 months</w:t>
      </w:r>
    </w:p>
    <w:p w14:paraId="54C78264" w14:textId="5DD33908" w:rsidR="00942F0F" w:rsidRPr="00963832" w:rsidRDefault="00942F0F" w:rsidP="00C82A5F">
      <w:pPr>
        <w:keepNext/>
        <w:ind w:left="1134" w:hanging="425"/>
        <w:jc w:val="both"/>
        <w:rPr>
          <w:rFonts w:cstheme="minorHAnsi"/>
        </w:rPr>
      </w:pPr>
      <w:r w:rsidRPr="00963832">
        <w:rPr>
          <w:rFonts w:cstheme="minorHAnsi"/>
        </w:rPr>
        <w:t>2     Yes, verbal – more than 12 months ago</w:t>
      </w:r>
    </w:p>
    <w:p w14:paraId="04E20B4D" w14:textId="0B3FCA24" w:rsidR="00942F0F" w:rsidRPr="00963832" w:rsidRDefault="00942F0F" w:rsidP="00C82A5F">
      <w:pPr>
        <w:keepNext/>
        <w:ind w:left="1134" w:hanging="425"/>
        <w:jc w:val="both"/>
        <w:rPr>
          <w:rFonts w:cstheme="minorHAnsi"/>
        </w:rPr>
      </w:pPr>
      <w:r w:rsidRPr="00963832">
        <w:rPr>
          <w:rFonts w:cstheme="minorHAnsi"/>
        </w:rPr>
        <w:t>3     Yes, physical – within the past 12 months</w:t>
      </w:r>
    </w:p>
    <w:p w14:paraId="6ED83BB2" w14:textId="293A7F93" w:rsidR="00942F0F" w:rsidRPr="00963832" w:rsidRDefault="00942F0F" w:rsidP="00C82A5F">
      <w:pPr>
        <w:keepNext/>
        <w:ind w:left="1134" w:hanging="425"/>
        <w:jc w:val="both"/>
        <w:rPr>
          <w:rFonts w:cstheme="minorHAnsi"/>
        </w:rPr>
      </w:pPr>
      <w:r w:rsidRPr="00963832">
        <w:rPr>
          <w:rFonts w:cstheme="minorHAnsi"/>
        </w:rPr>
        <w:t>4     Yes, physical – more than 12 months ago</w:t>
      </w:r>
    </w:p>
    <w:p w14:paraId="78771ABD" w14:textId="443D0298" w:rsidR="00942F0F" w:rsidRPr="00963832" w:rsidRDefault="00942F0F" w:rsidP="00C82A5F">
      <w:pPr>
        <w:keepNext/>
        <w:ind w:left="1134" w:hanging="425"/>
        <w:jc w:val="both"/>
        <w:rPr>
          <w:rFonts w:cstheme="minorHAnsi"/>
        </w:rPr>
      </w:pPr>
      <w:r w:rsidRPr="00963832">
        <w:rPr>
          <w:rFonts w:cstheme="minorHAnsi"/>
        </w:rPr>
        <w:t>5     No</w:t>
      </w:r>
    </w:p>
    <w:p w14:paraId="0C49C743" w14:textId="7399530A" w:rsidR="00942F0F" w:rsidRPr="00AF4771" w:rsidRDefault="00942F0F" w:rsidP="00C82A5F">
      <w:pPr>
        <w:keepNext/>
        <w:ind w:left="1134" w:hanging="425"/>
        <w:jc w:val="both"/>
        <w:rPr>
          <w:rFonts w:cstheme="minorHAnsi"/>
        </w:rPr>
      </w:pPr>
      <w:r w:rsidRPr="00AF4771">
        <w:rPr>
          <w:rFonts w:cstheme="minorHAnsi"/>
        </w:rPr>
        <w:t>.K    Don’t know</w:t>
      </w:r>
    </w:p>
    <w:p w14:paraId="056E1FE6" w14:textId="5C138DF5" w:rsidR="00942F0F" w:rsidRPr="00AF4771" w:rsidRDefault="00942F0F" w:rsidP="00C82A5F">
      <w:pPr>
        <w:keepNext/>
        <w:ind w:left="1134" w:hanging="425"/>
        <w:jc w:val="both"/>
        <w:rPr>
          <w:rFonts w:cstheme="minorHAnsi"/>
        </w:rPr>
      </w:pPr>
      <w:r w:rsidRPr="00AF4771">
        <w:rPr>
          <w:rFonts w:cstheme="minorHAnsi"/>
        </w:rPr>
        <w:t xml:space="preserve">.R    Refused </w:t>
      </w:r>
    </w:p>
    <w:p w14:paraId="31778522" w14:textId="77777777" w:rsidR="00942F0F" w:rsidRDefault="00942F0F" w:rsidP="00942F0F">
      <w:pPr>
        <w:rPr>
          <w:rFonts w:cs="Segoe UI"/>
          <w:szCs w:val="21"/>
        </w:rPr>
      </w:pPr>
    </w:p>
    <w:p w14:paraId="513B29F0" w14:textId="4789E5DC" w:rsidR="00942F0F" w:rsidRPr="00963832" w:rsidRDefault="00942F0F" w:rsidP="00C82A5F">
      <w:pPr>
        <w:pStyle w:val="BodyText"/>
        <w:keepNext/>
        <w:spacing w:after="0" w:line="240" w:lineRule="auto"/>
        <w:ind w:left="714" w:hanging="714"/>
        <w:rPr>
          <w:rFonts w:cstheme="minorHAnsi"/>
        </w:rPr>
      </w:pPr>
      <w:r w:rsidRPr="00963832">
        <w:rPr>
          <w:rFonts w:cstheme="minorHAnsi"/>
          <w:i/>
          <w:iCs/>
        </w:rPr>
        <w:t>R5.11 </w:t>
      </w:r>
      <w:r>
        <w:rPr>
          <w:rFonts w:cstheme="minorHAnsi"/>
          <w:i/>
          <w:iCs/>
        </w:rPr>
        <w:tab/>
      </w:r>
      <w:r w:rsidRPr="00963832">
        <w:rPr>
          <w:rFonts w:cstheme="minorHAnsi"/>
          <w:i/>
          <w:iCs/>
        </w:rPr>
        <w:t xml:space="preserve">Have you ever been treated unfairly (for example, kept waiting or treated differently) by a health professional (that is, a doctor, nurse, dentist etc.) </w:t>
      </w:r>
      <w:r w:rsidRPr="00963832">
        <w:rPr>
          <w:rFonts w:cstheme="minorHAnsi"/>
          <w:b/>
          <w:bCs/>
          <w:i/>
          <w:iCs/>
        </w:rPr>
        <w:t>because of your ethnicity</w:t>
      </w:r>
      <w:r w:rsidRPr="00963832">
        <w:rPr>
          <w:rFonts w:cstheme="minorHAnsi"/>
          <w:i/>
          <w:iCs/>
        </w:rPr>
        <w:t xml:space="preserve"> in New Zealand? </w:t>
      </w:r>
    </w:p>
    <w:p w14:paraId="65C4CC0E" w14:textId="77777777" w:rsidR="00942F0F" w:rsidRPr="00963832" w:rsidRDefault="00942F0F" w:rsidP="00C82A5F">
      <w:pPr>
        <w:ind w:left="714" w:hanging="30"/>
        <w:rPr>
          <w:rFonts w:cstheme="minorHAnsi"/>
          <w:color w:val="0000FF"/>
        </w:rPr>
      </w:pPr>
      <w:r w:rsidRPr="00963832">
        <w:rPr>
          <w:rFonts w:cstheme="minorHAnsi"/>
          <w:color w:val="0000FF"/>
        </w:rPr>
        <w:t>[Select all that apply]</w:t>
      </w:r>
    </w:p>
    <w:p w14:paraId="49D51631" w14:textId="77777777" w:rsidR="00942F0F" w:rsidRPr="00963832" w:rsidRDefault="00942F0F" w:rsidP="00942F0F">
      <w:pPr>
        <w:keepNext/>
        <w:ind w:left="1140" w:hanging="456"/>
        <w:jc w:val="both"/>
        <w:rPr>
          <w:rFonts w:cstheme="minorHAnsi"/>
        </w:rPr>
      </w:pPr>
    </w:p>
    <w:p w14:paraId="0EC13F3A" w14:textId="05A55DA4" w:rsidR="00942F0F" w:rsidRPr="00963832" w:rsidRDefault="00942F0F" w:rsidP="00C82A5F">
      <w:pPr>
        <w:keepNext/>
        <w:ind w:left="1140" w:hanging="431"/>
        <w:jc w:val="both"/>
        <w:rPr>
          <w:rFonts w:cstheme="minorHAnsi"/>
        </w:rPr>
      </w:pPr>
      <w:r w:rsidRPr="00963832">
        <w:rPr>
          <w:rFonts w:cstheme="minorHAnsi"/>
        </w:rPr>
        <w:t xml:space="preserve">1     Yes, within the past 12 months   </w:t>
      </w:r>
    </w:p>
    <w:p w14:paraId="26A35D5A" w14:textId="34060963" w:rsidR="00942F0F" w:rsidRPr="00963832" w:rsidRDefault="00942F0F" w:rsidP="00C82A5F">
      <w:pPr>
        <w:keepNext/>
        <w:ind w:left="1140" w:hanging="431"/>
        <w:jc w:val="both"/>
        <w:rPr>
          <w:rFonts w:cstheme="minorHAnsi"/>
        </w:rPr>
      </w:pPr>
      <w:r w:rsidRPr="00963832">
        <w:rPr>
          <w:rFonts w:cstheme="minorHAnsi"/>
        </w:rPr>
        <w:t>2     Yes, more than 12 months ago</w:t>
      </w:r>
    </w:p>
    <w:p w14:paraId="644111E5" w14:textId="66A2E644" w:rsidR="00942F0F" w:rsidRPr="00963832" w:rsidRDefault="00942F0F" w:rsidP="00C82A5F">
      <w:pPr>
        <w:keepNext/>
        <w:ind w:left="1140" w:hanging="431"/>
        <w:jc w:val="both"/>
        <w:rPr>
          <w:rFonts w:cstheme="minorHAnsi"/>
        </w:rPr>
      </w:pPr>
      <w:r w:rsidRPr="00963832">
        <w:rPr>
          <w:rFonts w:cstheme="minorHAnsi"/>
        </w:rPr>
        <w:t>3     No</w:t>
      </w:r>
    </w:p>
    <w:p w14:paraId="2F5873FB" w14:textId="675010E7" w:rsidR="00942F0F" w:rsidRPr="00963832" w:rsidRDefault="00942F0F" w:rsidP="00C82A5F">
      <w:pPr>
        <w:keepNext/>
        <w:ind w:left="1134" w:hanging="431"/>
        <w:jc w:val="both"/>
        <w:rPr>
          <w:rFonts w:cstheme="minorHAnsi"/>
        </w:rPr>
      </w:pPr>
      <w:r w:rsidRPr="00963832">
        <w:rPr>
          <w:rFonts w:cstheme="minorHAnsi"/>
        </w:rPr>
        <w:t>4     Not applicable – have never tried to visit a health professional in New Zealand</w:t>
      </w:r>
    </w:p>
    <w:p w14:paraId="6F662C56" w14:textId="1268AD9A" w:rsidR="00942F0F" w:rsidRPr="00AF4771" w:rsidRDefault="00942F0F" w:rsidP="00C82A5F">
      <w:pPr>
        <w:keepNext/>
        <w:ind w:left="1140" w:hanging="431"/>
        <w:jc w:val="both"/>
        <w:rPr>
          <w:rFonts w:cstheme="minorHAnsi"/>
        </w:rPr>
      </w:pPr>
      <w:r w:rsidRPr="00AF4771">
        <w:rPr>
          <w:rFonts w:cstheme="minorHAnsi"/>
        </w:rPr>
        <w:t>.K    Don’t know</w:t>
      </w:r>
    </w:p>
    <w:p w14:paraId="3DBFDC5F" w14:textId="54D899D4" w:rsidR="00942F0F" w:rsidRPr="00AF4771" w:rsidRDefault="00942F0F" w:rsidP="00C82A5F">
      <w:pPr>
        <w:keepNext/>
        <w:ind w:left="1140" w:hanging="431"/>
        <w:jc w:val="both"/>
        <w:rPr>
          <w:rFonts w:cstheme="minorHAnsi"/>
        </w:rPr>
      </w:pPr>
      <w:r w:rsidRPr="00AF4771">
        <w:rPr>
          <w:rFonts w:cstheme="minorHAnsi"/>
        </w:rPr>
        <w:t>.R   </w:t>
      </w:r>
      <w:r>
        <w:rPr>
          <w:rFonts w:cstheme="minorHAnsi"/>
        </w:rPr>
        <w:t xml:space="preserve"> </w:t>
      </w:r>
      <w:r w:rsidRPr="00AF4771">
        <w:rPr>
          <w:rFonts w:cstheme="minorHAnsi"/>
        </w:rPr>
        <w:t xml:space="preserve">Refused </w:t>
      </w:r>
    </w:p>
    <w:p w14:paraId="04760F8B" w14:textId="77777777" w:rsidR="00942F0F" w:rsidRPr="00963832" w:rsidRDefault="00942F0F" w:rsidP="00942F0F">
      <w:pPr>
        <w:jc w:val="both"/>
        <w:rPr>
          <w:rFonts w:cstheme="minorHAnsi"/>
          <w:lang w:val="en-US"/>
        </w:rPr>
      </w:pPr>
    </w:p>
    <w:p w14:paraId="403EF19B" w14:textId="47CA1511" w:rsidR="00942F0F" w:rsidRPr="00963832" w:rsidRDefault="00942F0F" w:rsidP="00C82A5F">
      <w:pPr>
        <w:pStyle w:val="BodyText"/>
        <w:keepNext/>
        <w:spacing w:after="0" w:line="240" w:lineRule="auto"/>
        <w:ind w:left="709" w:hanging="709"/>
        <w:rPr>
          <w:rFonts w:cstheme="minorHAnsi"/>
        </w:rPr>
      </w:pPr>
      <w:r w:rsidRPr="00963832">
        <w:rPr>
          <w:rFonts w:cstheme="minorHAnsi"/>
          <w:i/>
          <w:iCs/>
        </w:rPr>
        <w:t xml:space="preserve">R5.12  </w:t>
      </w:r>
      <w:r w:rsidR="00C82A5F">
        <w:rPr>
          <w:rFonts w:cstheme="minorHAnsi"/>
          <w:i/>
          <w:iCs/>
        </w:rPr>
        <w:t xml:space="preserve">  </w:t>
      </w:r>
      <w:r w:rsidRPr="00963832">
        <w:rPr>
          <w:rFonts w:cstheme="minorHAnsi"/>
          <w:i/>
          <w:iCs/>
        </w:rPr>
        <w:t xml:space="preserve">Have you ever been treated unfairly at work or been refused a job </w:t>
      </w:r>
      <w:r w:rsidRPr="00963832">
        <w:rPr>
          <w:rFonts w:cstheme="minorHAnsi"/>
          <w:b/>
          <w:bCs/>
          <w:i/>
          <w:iCs/>
        </w:rPr>
        <w:t>because of your ethnicity</w:t>
      </w:r>
      <w:r w:rsidRPr="00963832">
        <w:rPr>
          <w:rFonts w:cstheme="minorHAnsi"/>
          <w:i/>
          <w:iCs/>
        </w:rPr>
        <w:t xml:space="preserve"> in New Zealand? </w:t>
      </w:r>
    </w:p>
    <w:p w14:paraId="49C7A44B" w14:textId="77777777" w:rsidR="00942F0F" w:rsidRPr="00963832" w:rsidRDefault="00942F0F" w:rsidP="00C82A5F">
      <w:pPr>
        <w:ind w:left="709" w:hanging="25"/>
        <w:rPr>
          <w:rFonts w:cstheme="minorHAnsi"/>
          <w:color w:val="0000FF"/>
        </w:rPr>
      </w:pPr>
      <w:r w:rsidRPr="00963832">
        <w:rPr>
          <w:rFonts w:cstheme="minorHAnsi"/>
          <w:color w:val="0000FF"/>
        </w:rPr>
        <w:t>[Select all that apply]</w:t>
      </w:r>
    </w:p>
    <w:p w14:paraId="0AF6BB0C" w14:textId="77777777" w:rsidR="00942F0F" w:rsidRPr="00963832" w:rsidRDefault="00942F0F" w:rsidP="00942F0F">
      <w:pPr>
        <w:keepNext/>
        <w:ind w:left="1140" w:hanging="456"/>
        <w:jc w:val="both"/>
        <w:rPr>
          <w:rFonts w:cstheme="minorHAnsi"/>
        </w:rPr>
      </w:pPr>
    </w:p>
    <w:p w14:paraId="3672811E" w14:textId="77777777" w:rsidR="00942F0F" w:rsidRPr="00963832" w:rsidRDefault="00942F0F" w:rsidP="00942F0F">
      <w:pPr>
        <w:keepNext/>
        <w:ind w:left="1140" w:hanging="456"/>
        <w:jc w:val="both"/>
        <w:rPr>
          <w:rFonts w:cstheme="minorHAnsi"/>
        </w:rPr>
      </w:pPr>
      <w:r w:rsidRPr="00963832">
        <w:rPr>
          <w:rFonts w:cstheme="minorHAnsi"/>
        </w:rPr>
        <w:t>1      Yes, within the past 12 months</w:t>
      </w:r>
    </w:p>
    <w:p w14:paraId="61D039DB" w14:textId="77777777" w:rsidR="00942F0F" w:rsidRPr="00963832" w:rsidRDefault="00942F0F" w:rsidP="00942F0F">
      <w:pPr>
        <w:keepNext/>
        <w:ind w:left="1140" w:hanging="456"/>
        <w:jc w:val="both"/>
        <w:rPr>
          <w:rFonts w:cstheme="minorHAnsi"/>
        </w:rPr>
      </w:pPr>
      <w:r w:rsidRPr="00963832">
        <w:rPr>
          <w:rFonts w:cstheme="minorHAnsi"/>
        </w:rPr>
        <w:t>2      Yes, more than 12 months ago</w:t>
      </w:r>
    </w:p>
    <w:p w14:paraId="0C487E39" w14:textId="77777777" w:rsidR="00942F0F" w:rsidRPr="00963832" w:rsidRDefault="00942F0F" w:rsidP="00942F0F">
      <w:pPr>
        <w:keepNext/>
        <w:ind w:left="1140" w:hanging="456"/>
        <w:jc w:val="both"/>
        <w:rPr>
          <w:rFonts w:cstheme="minorHAnsi"/>
        </w:rPr>
      </w:pPr>
      <w:r w:rsidRPr="00963832">
        <w:rPr>
          <w:rFonts w:cstheme="minorHAnsi"/>
        </w:rPr>
        <w:t>3      No</w:t>
      </w:r>
    </w:p>
    <w:p w14:paraId="541F0741" w14:textId="77777777" w:rsidR="00942F0F" w:rsidRPr="00963832" w:rsidRDefault="00942F0F" w:rsidP="00942F0F">
      <w:pPr>
        <w:keepNext/>
        <w:ind w:left="1140" w:hanging="456"/>
        <w:jc w:val="both"/>
        <w:rPr>
          <w:rFonts w:cstheme="minorHAnsi"/>
        </w:rPr>
      </w:pPr>
      <w:r w:rsidRPr="00963832">
        <w:rPr>
          <w:rFonts w:cstheme="minorHAnsi"/>
        </w:rPr>
        <w:t>4      Not applicable – have never had a job or tried to find a job in New Zealand</w:t>
      </w:r>
    </w:p>
    <w:p w14:paraId="45662B72" w14:textId="77777777" w:rsidR="00942F0F" w:rsidRPr="00AF4771" w:rsidRDefault="00942F0F" w:rsidP="00942F0F">
      <w:pPr>
        <w:keepNext/>
        <w:ind w:left="1140" w:hanging="456"/>
        <w:jc w:val="both"/>
        <w:rPr>
          <w:rFonts w:cstheme="minorHAnsi"/>
        </w:rPr>
      </w:pPr>
      <w:r w:rsidRPr="00AF4771">
        <w:rPr>
          <w:rFonts w:cstheme="minorHAnsi"/>
        </w:rPr>
        <w:t xml:space="preserve">.K    </w:t>
      </w:r>
      <w:r>
        <w:rPr>
          <w:rFonts w:cstheme="minorHAnsi"/>
        </w:rPr>
        <w:t xml:space="preserve"> </w:t>
      </w:r>
      <w:r w:rsidRPr="00AF4771">
        <w:rPr>
          <w:rFonts w:cstheme="minorHAnsi"/>
        </w:rPr>
        <w:t>Don’t know</w:t>
      </w:r>
    </w:p>
    <w:p w14:paraId="7B9D7E4A" w14:textId="77777777" w:rsidR="00942F0F" w:rsidRPr="00AF4771" w:rsidRDefault="00942F0F" w:rsidP="00942F0F">
      <w:pPr>
        <w:keepNext/>
        <w:ind w:left="1140" w:hanging="456"/>
        <w:jc w:val="both"/>
        <w:rPr>
          <w:rFonts w:cstheme="minorHAnsi"/>
        </w:rPr>
      </w:pPr>
      <w:r w:rsidRPr="00AF4771">
        <w:rPr>
          <w:rFonts w:cstheme="minorHAnsi"/>
        </w:rPr>
        <w:t>.R   </w:t>
      </w:r>
      <w:r>
        <w:rPr>
          <w:rFonts w:cstheme="minorHAnsi"/>
        </w:rPr>
        <w:t xml:space="preserve"> </w:t>
      </w:r>
      <w:r w:rsidRPr="00AF4771">
        <w:rPr>
          <w:rFonts w:cstheme="minorHAnsi"/>
        </w:rPr>
        <w:t xml:space="preserve"> Refused </w:t>
      </w:r>
    </w:p>
    <w:p w14:paraId="6402E0D4" w14:textId="77777777" w:rsidR="00942F0F" w:rsidRPr="00963832" w:rsidRDefault="00942F0F" w:rsidP="00942F0F">
      <w:pPr>
        <w:jc w:val="both"/>
        <w:rPr>
          <w:rFonts w:cstheme="minorHAnsi"/>
          <w:lang w:val="en-US"/>
        </w:rPr>
      </w:pPr>
    </w:p>
    <w:p w14:paraId="5D782045" w14:textId="2E971481" w:rsidR="00942F0F" w:rsidRPr="00963832" w:rsidRDefault="00942F0F" w:rsidP="00C82A5F">
      <w:pPr>
        <w:pStyle w:val="BodyText"/>
        <w:keepNext/>
        <w:spacing w:after="0" w:line="240" w:lineRule="auto"/>
        <w:ind w:left="709" w:hanging="709"/>
        <w:rPr>
          <w:rFonts w:cstheme="minorHAnsi"/>
        </w:rPr>
      </w:pPr>
      <w:r w:rsidRPr="00963832">
        <w:rPr>
          <w:rFonts w:cstheme="minorHAnsi"/>
          <w:i/>
          <w:iCs/>
        </w:rPr>
        <w:t xml:space="preserve">R5.13  </w:t>
      </w:r>
      <w:r w:rsidR="00C82A5F">
        <w:rPr>
          <w:rFonts w:cstheme="minorHAnsi"/>
          <w:i/>
          <w:iCs/>
        </w:rPr>
        <w:tab/>
      </w:r>
      <w:r w:rsidRPr="00963832">
        <w:rPr>
          <w:rFonts w:cstheme="minorHAnsi"/>
          <w:i/>
          <w:iCs/>
        </w:rPr>
        <w:t xml:space="preserve">Have you ever been treated unfairly when renting or buying housing </w:t>
      </w:r>
      <w:r w:rsidRPr="00963832">
        <w:rPr>
          <w:rFonts w:cstheme="minorHAnsi"/>
          <w:b/>
          <w:bCs/>
          <w:i/>
          <w:iCs/>
        </w:rPr>
        <w:t>because of your ethnicity</w:t>
      </w:r>
      <w:r w:rsidRPr="00963832">
        <w:rPr>
          <w:rFonts w:cstheme="minorHAnsi"/>
        </w:rPr>
        <w:t xml:space="preserve"> </w:t>
      </w:r>
      <w:r w:rsidRPr="00963832">
        <w:rPr>
          <w:rFonts w:cstheme="minorHAnsi"/>
          <w:i/>
          <w:iCs/>
        </w:rPr>
        <w:t xml:space="preserve">in New Zealand? </w:t>
      </w:r>
    </w:p>
    <w:p w14:paraId="647AEF8D" w14:textId="77777777" w:rsidR="00942F0F" w:rsidRPr="00963832" w:rsidRDefault="00942F0F" w:rsidP="00C82A5F">
      <w:pPr>
        <w:ind w:left="709"/>
        <w:rPr>
          <w:rFonts w:cstheme="minorHAnsi"/>
          <w:color w:val="0000FF"/>
        </w:rPr>
      </w:pPr>
      <w:r w:rsidRPr="00963832">
        <w:rPr>
          <w:rFonts w:cstheme="minorHAnsi"/>
          <w:color w:val="0000FF"/>
        </w:rPr>
        <w:t>[Select all that apply]</w:t>
      </w:r>
    </w:p>
    <w:p w14:paraId="5B44D10F" w14:textId="77777777" w:rsidR="00942F0F" w:rsidRPr="00963832" w:rsidRDefault="00942F0F" w:rsidP="00942F0F">
      <w:pPr>
        <w:keepNext/>
        <w:ind w:left="1140" w:hanging="456"/>
        <w:rPr>
          <w:rFonts w:cstheme="minorHAnsi"/>
        </w:rPr>
      </w:pPr>
    </w:p>
    <w:p w14:paraId="7A15084F" w14:textId="77777777" w:rsidR="00942F0F" w:rsidRPr="00963832" w:rsidRDefault="00942F0F" w:rsidP="00942F0F">
      <w:pPr>
        <w:keepNext/>
        <w:ind w:left="1140" w:hanging="456"/>
        <w:rPr>
          <w:rFonts w:cstheme="minorHAnsi"/>
        </w:rPr>
      </w:pPr>
      <w:r w:rsidRPr="00963832">
        <w:rPr>
          <w:rFonts w:cstheme="minorHAnsi"/>
        </w:rPr>
        <w:t>1      Yes, within the past 12 months</w:t>
      </w:r>
    </w:p>
    <w:p w14:paraId="13ECB311" w14:textId="77777777" w:rsidR="00942F0F" w:rsidRPr="00963832" w:rsidRDefault="00942F0F" w:rsidP="00942F0F">
      <w:pPr>
        <w:keepNext/>
        <w:ind w:left="1140" w:hanging="456"/>
        <w:rPr>
          <w:rFonts w:cstheme="minorHAnsi"/>
        </w:rPr>
      </w:pPr>
      <w:r w:rsidRPr="00963832">
        <w:rPr>
          <w:rFonts w:cstheme="minorHAnsi"/>
        </w:rPr>
        <w:t>2      Yes, more than 12 months ago</w:t>
      </w:r>
    </w:p>
    <w:p w14:paraId="7A9E4A18" w14:textId="77777777" w:rsidR="00942F0F" w:rsidRPr="00963832" w:rsidRDefault="00942F0F" w:rsidP="00942F0F">
      <w:pPr>
        <w:keepNext/>
        <w:ind w:left="1140" w:hanging="456"/>
        <w:rPr>
          <w:rFonts w:cstheme="minorHAnsi"/>
        </w:rPr>
      </w:pPr>
      <w:r w:rsidRPr="00963832">
        <w:rPr>
          <w:rFonts w:cstheme="minorHAnsi"/>
        </w:rPr>
        <w:t>3      No</w:t>
      </w:r>
    </w:p>
    <w:p w14:paraId="258D8065" w14:textId="77777777" w:rsidR="00942F0F" w:rsidRPr="00963832" w:rsidRDefault="00942F0F" w:rsidP="00942F0F">
      <w:pPr>
        <w:keepNext/>
        <w:ind w:left="1140" w:hanging="456"/>
        <w:jc w:val="both"/>
        <w:rPr>
          <w:rFonts w:cstheme="minorHAnsi"/>
        </w:rPr>
      </w:pPr>
      <w:r w:rsidRPr="00963832">
        <w:rPr>
          <w:rFonts w:cstheme="minorHAnsi"/>
        </w:rPr>
        <w:t>4      Not applicable – have never tried to rent or buy a house in New Zealand</w:t>
      </w:r>
    </w:p>
    <w:p w14:paraId="408357F7" w14:textId="74FA5ED8" w:rsidR="00942F0F" w:rsidRPr="00AF4771" w:rsidRDefault="00942F0F" w:rsidP="00942F0F">
      <w:pPr>
        <w:keepNext/>
        <w:ind w:left="1140" w:hanging="456"/>
        <w:jc w:val="both"/>
        <w:rPr>
          <w:rFonts w:cstheme="minorHAnsi"/>
        </w:rPr>
      </w:pPr>
      <w:r w:rsidRPr="00AF4771">
        <w:rPr>
          <w:rFonts w:cstheme="minorHAnsi"/>
        </w:rPr>
        <w:t xml:space="preserve">.K    </w:t>
      </w:r>
      <w:r w:rsidR="00C82A5F">
        <w:rPr>
          <w:rFonts w:cstheme="minorHAnsi"/>
        </w:rPr>
        <w:t xml:space="preserve"> </w:t>
      </w:r>
      <w:r w:rsidRPr="00AF4771">
        <w:rPr>
          <w:rFonts w:cstheme="minorHAnsi"/>
        </w:rPr>
        <w:t>Don’t know</w:t>
      </w:r>
    </w:p>
    <w:p w14:paraId="09D27E31" w14:textId="44157755" w:rsidR="00942F0F" w:rsidRPr="00AF4771" w:rsidRDefault="00942F0F" w:rsidP="00942F0F">
      <w:pPr>
        <w:keepNext/>
        <w:ind w:left="1140" w:hanging="456"/>
        <w:jc w:val="both"/>
        <w:rPr>
          <w:rFonts w:cstheme="minorHAnsi"/>
        </w:rPr>
      </w:pPr>
      <w:r w:rsidRPr="00AF4771">
        <w:rPr>
          <w:rFonts w:cstheme="minorHAnsi"/>
        </w:rPr>
        <w:t xml:space="preserve">.R    </w:t>
      </w:r>
      <w:r w:rsidR="00C82A5F">
        <w:rPr>
          <w:rFonts w:cstheme="minorHAnsi"/>
        </w:rPr>
        <w:t xml:space="preserve"> </w:t>
      </w:r>
      <w:r w:rsidRPr="00AF4771">
        <w:rPr>
          <w:rFonts w:cstheme="minorHAnsi"/>
        </w:rPr>
        <w:t>Refused</w:t>
      </w:r>
    </w:p>
    <w:sectPr w:rsidR="00942F0F" w:rsidRPr="00AF4771" w:rsidSect="00942F0F">
      <w:headerReference w:type="default" r:id="rId36"/>
      <w:footerReference w:type="even" r:id="rId37"/>
      <w:footerReference w:type="default" r:id="rId38"/>
      <w:pgSz w:w="11907" w:h="16840" w:code="9"/>
      <w:pgMar w:top="1418" w:right="1701" w:bottom="1134" w:left="1843" w:header="284" w:footer="425"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B7359" w14:textId="77777777" w:rsidR="00D61D06" w:rsidRDefault="00D61D06">
      <w:r>
        <w:separator/>
      </w:r>
    </w:p>
    <w:p w14:paraId="1054F514" w14:textId="77777777" w:rsidR="00D61D06" w:rsidRDefault="00D61D06"/>
  </w:endnote>
  <w:endnote w:type="continuationSeparator" w:id="0">
    <w:p w14:paraId="1926857C" w14:textId="77777777" w:rsidR="00D61D06" w:rsidRDefault="00D61D06">
      <w:r>
        <w:continuationSeparator/>
      </w:r>
    </w:p>
    <w:p w14:paraId="75DBA9C7" w14:textId="77777777" w:rsidR="00D61D06" w:rsidRDefault="00D61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Mäori">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18357" w14:textId="1BD27581" w:rsidR="005A79E5" w:rsidRPr="00581136" w:rsidRDefault="005A79E5" w:rsidP="005A79E5">
    <w:pPr>
      <w:pStyle w:val="Footer"/>
      <w:pBdr>
        <w:bottom w:val="single" w:sz="4" w:space="1" w:color="auto"/>
      </w:pBdr>
      <w:tabs>
        <w:tab w:val="right" w:pos="9639"/>
      </w:tabs>
      <w:rPr>
        <w:b/>
      </w:rPr>
    </w:pPr>
    <w:r w:rsidRPr="00581136">
      <w:rPr>
        <w:b/>
      </w:rPr>
      <w:t>Released 20</w:t>
    </w:r>
    <w:r w:rsidR="00651CC6">
      <w:rPr>
        <w:b/>
      </w:rPr>
      <w:t>2</w:t>
    </w:r>
    <w:r w:rsidR="00FC4E54">
      <w:rPr>
        <w:b/>
      </w:rPr>
      <w:t>3</w:t>
    </w:r>
    <w:r w:rsidRPr="00581136">
      <w:rPr>
        <w:b/>
      </w:rPr>
      <w:tab/>
      <w:t>health.govt.nz</w:t>
    </w:r>
  </w:p>
  <w:p w14:paraId="524869F6" w14:textId="77777777" w:rsidR="005A79E5" w:rsidRPr="005A79E5" w:rsidRDefault="005A79E5">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DA70" w14:textId="77777777" w:rsidR="00926083" w:rsidRDefault="00926083" w:rsidP="004D6689">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0E96" w14:textId="77777777" w:rsidR="00926083" w:rsidRDefault="009260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D662F8" w14:paraId="4C3A3BF7" w14:textId="77777777" w:rsidTr="00D662F8">
      <w:trPr>
        <w:cantSplit/>
      </w:trPr>
      <w:tc>
        <w:tcPr>
          <w:tcW w:w="709" w:type="dxa"/>
          <w:vAlign w:val="center"/>
        </w:tcPr>
        <w:p w14:paraId="28F87ED7" w14:textId="77777777" w:rsidR="00D662F8" w:rsidRPr="00931466" w:rsidRDefault="00D662F8"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005BB5">
            <w:rPr>
              <w:rStyle w:val="PageNumber"/>
              <w:noProof/>
            </w:rPr>
            <w:t>vi</w:t>
          </w:r>
          <w:r w:rsidRPr="00931466">
            <w:rPr>
              <w:rStyle w:val="PageNumber"/>
            </w:rPr>
            <w:fldChar w:fldCharType="end"/>
          </w:r>
        </w:p>
      </w:tc>
      <w:tc>
        <w:tcPr>
          <w:tcW w:w="8080" w:type="dxa"/>
          <w:vAlign w:val="center"/>
        </w:tcPr>
        <w:p w14:paraId="6026D159" w14:textId="03BE778C" w:rsidR="00D662F8" w:rsidRDefault="00C82A5F" w:rsidP="00926083">
          <w:pPr>
            <w:pStyle w:val="RectoFooter"/>
            <w:jc w:val="left"/>
          </w:pPr>
          <w:r w:rsidRPr="00C82A5F">
            <w:t>RACIAL DISCRIMINATION 2011/12, 2016/17 AND 2020</w:t>
          </w:r>
          <w:r w:rsidR="001B0EDB">
            <w:t>/</w:t>
          </w:r>
          <w:r w:rsidRPr="00C82A5F">
            <w:t>21</w:t>
          </w:r>
        </w:p>
      </w:tc>
    </w:tr>
  </w:tbl>
  <w:p w14:paraId="711B5D80" w14:textId="77777777" w:rsidR="00926083" w:rsidRPr="00571223" w:rsidRDefault="00926083"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D662F8" w14:paraId="58AAB149" w14:textId="77777777" w:rsidTr="00D662F8">
      <w:trPr>
        <w:cantSplit/>
      </w:trPr>
      <w:tc>
        <w:tcPr>
          <w:tcW w:w="8080" w:type="dxa"/>
          <w:vAlign w:val="center"/>
        </w:tcPr>
        <w:p w14:paraId="20E2F0CC" w14:textId="4BCA2E59" w:rsidR="00D662F8" w:rsidRDefault="00FC4E54" w:rsidP="00926083">
          <w:pPr>
            <w:pStyle w:val="RectoFooter"/>
          </w:pPr>
          <w:r w:rsidRPr="00FC4E54">
            <w:t>RACIAL DISCRIMINATION 2011/12, 2016/17 AND 2020</w:t>
          </w:r>
          <w:r w:rsidR="001B0EDB">
            <w:t>/</w:t>
          </w:r>
          <w:r w:rsidRPr="00FC4E54">
            <w:t>21</w:t>
          </w:r>
        </w:p>
      </w:tc>
      <w:tc>
        <w:tcPr>
          <w:tcW w:w="709" w:type="dxa"/>
          <w:vAlign w:val="center"/>
        </w:tcPr>
        <w:p w14:paraId="3D3C9847" w14:textId="77777777" w:rsidR="00D662F8" w:rsidRPr="00931466" w:rsidRDefault="00D662F8"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v</w:t>
          </w:r>
          <w:r w:rsidRPr="00931466">
            <w:rPr>
              <w:rStyle w:val="PageNumber"/>
            </w:rPr>
            <w:fldChar w:fldCharType="end"/>
          </w:r>
        </w:p>
      </w:tc>
    </w:tr>
  </w:tbl>
  <w:p w14:paraId="27602107" w14:textId="77777777" w:rsidR="00D05D74" w:rsidRPr="00581EB8" w:rsidRDefault="00D05D74"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D662F8" w14:paraId="7DB74E0B" w14:textId="77777777" w:rsidTr="00D662F8">
      <w:trPr>
        <w:cantSplit/>
      </w:trPr>
      <w:tc>
        <w:tcPr>
          <w:tcW w:w="709" w:type="dxa"/>
          <w:vAlign w:val="center"/>
        </w:tcPr>
        <w:p w14:paraId="7FB9EB7B" w14:textId="77777777" w:rsidR="00D662F8" w:rsidRPr="00931466" w:rsidRDefault="00D662F8"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viii</w:t>
          </w:r>
          <w:r w:rsidRPr="00931466">
            <w:rPr>
              <w:rStyle w:val="PageNumber"/>
            </w:rPr>
            <w:fldChar w:fldCharType="end"/>
          </w:r>
        </w:p>
      </w:tc>
      <w:tc>
        <w:tcPr>
          <w:tcW w:w="8080" w:type="dxa"/>
          <w:vAlign w:val="center"/>
        </w:tcPr>
        <w:p w14:paraId="1A8BBBFB" w14:textId="6E317A3E" w:rsidR="00D662F8" w:rsidRDefault="00FC4E54" w:rsidP="00926083">
          <w:pPr>
            <w:pStyle w:val="RectoFooter"/>
            <w:jc w:val="left"/>
          </w:pPr>
          <w:r w:rsidRPr="00FC4E54">
            <w:t>RACIAL DISCRIMINATION 2011/12, 2016/17 AND 2020</w:t>
          </w:r>
          <w:r w:rsidR="001B0EDB">
            <w:t>/</w:t>
          </w:r>
          <w:r w:rsidRPr="00FC4E54">
            <w:t>21</w:t>
          </w:r>
        </w:p>
      </w:tc>
    </w:tr>
  </w:tbl>
  <w:p w14:paraId="7C39EF3C" w14:textId="77777777" w:rsidR="00926083" w:rsidRPr="00571223" w:rsidRDefault="00926083"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D662F8" w14:paraId="423138CB" w14:textId="77777777" w:rsidTr="00D662F8">
      <w:trPr>
        <w:cantSplit/>
      </w:trPr>
      <w:tc>
        <w:tcPr>
          <w:tcW w:w="8080" w:type="dxa"/>
          <w:vAlign w:val="center"/>
        </w:tcPr>
        <w:p w14:paraId="520A68A6" w14:textId="4E31D67B" w:rsidR="00D662F8" w:rsidRDefault="00FC4E54" w:rsidP="00926083">
          <w:pPr>
            <w:pStyle w:val="RectoFooter"/>
          </w:pPr>
          <w:r w:rsidRPr="00FC4E54">
            <w:t>RACIAL DISCRIMINATION 2011/12, 2016/17 AND 2020</w:t>
          </w:r>
          <w:r w:rsidR="001B0EDB">
            <w:t>/</w:t>
          </w:r>
          <w:r w:rsidRPr="00FC4E54">
            <w:t>21</w:t>
          </w:r>
        </w:p>
      </w:tc>
      <w:tc>
        <w:tcPr>
          <w:tcW w:w="709" w:type="dxa"/>
          <w:vAlign w:val="center"/>
        </w:tcPr>
        <w:p w14:paraId="745D812B" w14:textId="77777777" w:rsidR="00D662F8" w:rsidRPr="00931466" w:rsidRDefault="00D662F8"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vii</w:t>
          </w:r>
          <w:r w:rsidRPr="00931466">
            <w:rPr>
              <w:rStyle w:val="PageNumber"/>
            </w:rPr>
            <w:fldChar w:fldCharType="end"/>
          </w:r>
        </w:p>
      </w:tc>
    </w:tr>
  </w:tbl>
  <w:p w14:paraId="755CAC6B" w14:textId="77777777" w:rsidR="00D05D74" w:rsidRPr="00581EB8" w:rsidRDefault="00D05D74" w:rsidP="00581EB8">
    <w:pPr>
      <w:pStyle w:val="Foote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D662F8" w14:paraId="7E34FA6B" w14:textId="77777777" w:rsidTr="00D662F8">
      <w:trPr>
        <w:cantSplit/>
      </w:trPr>
      <w:tc>
        <w:tcPr>
          <w:tcW w:w="675" w:type="dxa"/>
          <w:vAlign w:val="center"/>
        </w:tcPr>
        <w:p w14:paraId="6281C317" w14:textId="77777777" w:rsidR="00D662F8" w:rsidRPr="00931466" w:rsidRDefault="00D662F8"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2</w:t>
          </w:r>
          <w:r w:rsidRPr="00931466">
            <w:rPr>
              <w:rStyle w:val="PageNumber"/>
            </w:rPr>
            <w:fldChar w:fldCharType="end"/>
          </w:r>
        </w:p>
      </w:tc>
      <w:tc>
        <w:tcPr>
          <w:tcW w:w="9072" w:type="dxa"/>
          <w:vAlign w:val="center"/>
        </w:tcPr>
        <w:p w14:paraId="27262A64" w14:textId="77777777" w:rsidR="00D662F8" w:rsidRDefault="00D662F8" w:rsidP="000D58DD">
          <w:pPr>
            <w:pStyle w:val="RectoFooter"/>
            <w:jc w:val="left"/>
          </w:pPr>
          <w:r>
            <w:t>[TITLE]</w:t>
          </w:r>
        </w:p>
      </w:tc>
    </w:tr>
  </w:tbl>
  <w:p w14:paraId="5177CEA2" w14:textId="77777777" w:rsidR="00926083" w:rsidRPr="00571223" w:rsidRDefault="00926083" w:rsidP="00571223">
    <w:pPr>
      <w:pStyle w:val="VersoFoote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D662F8" w14:paraId="47337729" w14:textId="77777777" w:rsidTr="00D662F8">
      <w:trPr>
        <w:cantSplit/>
      </w:trPr>
      <w:tc>
        <w:tcPr>
          <w:tcW w:w="8080" w:type="dxa"/>
          <w:vAlign w:val="center"/>
        </w:tcPr>
        <w:p w14:paraId="1A33CBD1" w14:textId="7BDEADEB" w:rsidR="00D662F8" w:rsidRDefault="00942F0F" w:rsidP="00931466">
          <w:pPr>
            <w:pStyle w:val="RectoFooter"/>
          </w:pPr>
          <w:r w:rsidRPr="00FC4E54">
            <w:t>RACIAL DISCRIMINATION, 2011/12, 2016/17 AND 2020</w:t>
          </w:r>
          <w:r w:rsidR="00715BA2">
            <w:t>/</w:t>
          </w:r>
          <w:r w:rsidRPr="00FC4E54">
            <w:t>21</w:t>
          </w:r>
        </w:p>
      </w:tc>
      <w:tc>
        <w:tcPr>
          <w:tcW w:w="709" w:type="dxa"/>
          <w:vAlign w:val="center"/>
        </w:tcPr>
        <w:p w14:paraId="501EC334" w14:textId="77777777" w:rsidR="00D662F8" w:rsidRPr="00931466" w:rsidRDefault="00D662F8"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1</w:t>
          </w:r>
          <w:r w:rsidRPr="00931466">
            <w:rPr>
              <w:rStyle w:val="PageNumber"/>
            </w:rPr>
            <w:fldChar w:fldCharType="end"/>
          </w:r>
        </w:p>
      </w:tc>
    </w:tr>
  </w:tbl>
  <w:p w14:paraId="1C6F2E7F" w14:textId="77777777" w:rsidR="00926083" w:rsidRPr="00581EB8" w:rsidRDefault="00926083"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BC382" w14:textId="77777777" w:rsidR="00D61D06" w:rsidRPr="00A26E6B" w:rsidRDefault="00D61D06" w:rsidP="00A26E6B"/>
  </w:footnote>
  <w:footnote w:type="continuationSeparator" w:id="0">
    <w:p w14:paraId="07F46D74" w14:textId="77777777" w:rsidR="00D61D06" w:rsidRDefault="00D61D06">
      <w:r>
        <w:continuationSeparator/>
      </w:r>
    </w:p>
    <w:p w14:paraId="4717A8D9" w14:textId="77777777" w:rsidR="00D61D06" w:rsidRDefault="00D61D06"/>
  </w:footnote>
  <w:footnote w:id="1">
    <w:p w14:paraId="5C90E9F4" w14:textId="77777777" w:rsidR="00FC4E54" w:rsidRDefault="00FC4E54" w:rsidP="00FC4E54">
      <w:pPr>
        <w:pStyle w:val="FootnoteText"/>
      </w:pPr>
      <w:r>
        <w:rPr>
          <w:rStyle w:val="FootnoteReference"/>
        </w:rPr>
        <w:footnoteRef/>
      </w:r>
      <w:r>
        <w:t xml:space="preserve"> In this report, ‘racial discrimination’ </w:t>
      </w:r>
      <w:r w:rsidRPr="00E50BFE">
        <w:rPr>
          <w:szCs w:val="21"/>
        </w:rPr>
        <w:t>includes experience of personal attack (physical or verbal), and experience of unfair treatment in health</w:t>
      </w:r>
      <w:r>
        <w:rPr>
          <w:szCs w:val="21"/>
        </w:rPr>
        <w:t xml:space="preserve"> </w:t>
      </w:r>
      <w:r w:rsidRPr="00E50BFE">
        <w:rPr>
          <w:szCs w:val="21"/>
        </w:rPr>
        <w:t>care, employment or housing</w:t>
      </w:r>
      <w:r>
        <w:rPr>
          <w:szCs w:val="21"/>
        </w:rPr>
        <w:t>.</w:t>
      </w:r>
    </w:p>
  </w:footnote>
  <w:footnote w:id="2">
    <w:p w14:paraId="433113C7" w14:textId="77777777" w:rsidR="00FC4E54" w:rsidRDefault="00FC4E54" w:rsidP="00FC4E54">
      <w:pPr>
        <w:pStyle w:val="FootnoteText"/>
      </w:pPr>
      <w:r>
        <w:rPr>
          <w:rStyle w:val="FootnoteReference"/>
        </w:rPr>
        <w:footnoteRef/>
      </w:r>
      <w:r>
        <w:t xml:space="preserve"> In this report, r</w:t>
      </w:r>
      <w:r>
        <w:rPr>
          <w:szCs w:val="21"/>
        </w:rPr>
        <w:t>acial discrimination</w:t>
      </w:r>
      <w:r w:rsidRPr="00E50BFE">
        <w:rPr>
          <w:szCs w:val="21"/>
        </w:rPr>
        <w:t xml:space="preserve"> includes experience of </w:t>
      </w:r>
      <w:r>
        <w:rPr>
          <w:szCs w:val="21"/>
        </w:rPr>
        <w:t xml:space="preserve">ethnically motivated </w:t>
      </w:r>
      <w:r w:rsidRPr="00E50BFE">
        <w:rPr>
          <w:szCs w:val="21"/>
        </w:rPr>
        <w:t>personal attack (physical or verbal), and experience of unfair treatment in health</w:t>
      </w:r>
      <w:r>
        <w:rPr>
          <w:szCs w:val="21"/>
        </w:rPr>
        <w:t xml:space="preserve"> </w:t>
      </w:r>
      <w:r w:rsidRPr="00E50BFE">
        <w:rPr>
          <w:szCs w:val="21"/>
        </w:rPr>
        <w:t>care, employment or housing</w:t>
      </w:r>
      <w:r>
        <w:rPr>
          <w:szCs w:val="21"/>
        </w:rPr>
        <w:t>.</w:t>
      </w:r>
    </w:p>
  </w:footnote>
  <w:footnote w:id="3">
    <w:p w14:paraId="034E4B70" w14:textId="77777777" w:rsidR="001212B8" w:rsidRDefault="001212B8" w:rsidP="001212B8">
      <w:r>
        <w:rPr>
          <w:rStyle w:val="FootnoteReference"/>
        </w:rPr>
        <w:footnoteRef/>
      </w:r>
      <w:r>
        <w:t xml:space="preserve"> </w:t>
      </w:r>
      <w:r w:rsidRPr="001212B8">
        <w:rPr>
          <w:rStyle w:val="FootnoteTextChar"/>
        </w:rPr>
        <w:t>The difference over time or between groups is statistically significant if the confidence intervals do not overlap. Sometimes, even when 2 confidence intervals overlap, the difference between these groups can be statistically significant. Unless specifically stated otherwise, where the text states 2 rates differ, we have carried out a statistical test to confirm that the finding is statistically significant.</w:t>
      </w:r>
    </w:p>
  </w:footnote>
  <w:footnote w:id="4">
    <w:p w14:paraId="267F31B1" w14:textId="77777777" w:rsidR="005C4132" w:rsidRDefault="005C4132" w:rsidP="005C4132">
      <w:pPr>
        <w:pStyle w:val="FootnoteText"/>
      </w:pPr>
      <w:r>
        <w:rPr>
          <w:rStyle w:val="FootnoteReference"/>
        </w:rPr>
        <w:footnoteRef/>
      </w:r>
      <w:r>
        <w:t xml:space="preserve"> In this report, ‘</w:t>
      </w:r>
      <w:r w:rsidRPr="00AE6C74">
        <w:t>psychological distress</w:t>
      </w:r>
      <w:r>
        <w:t>’</w:t>
      </w:r>
      <w:r w:rsidRPr="00AE6C74">
        <w:t xml:space="preserve"> </w:t>
      </w:r>
      <w:r w:rsidRPr="00996E4F">
        <w:rPr>
          <w:sz w:val="18"/>
          <w:szCs w:val="16"/>
        </w:rPr>
        <w:t xml:space="preserve">means having </w:t>
      </w:r>
      <w:r>
        <w:rPr>
          <w:sz w:val="18"/>
          <w:szCs w:val="16"/>
        </w:rPr>
        <w:t xml:space="preserve">a </w:t>
      </w:r>
      <w:r w:rsidRPr="00996E4F">
        <w:rPr>
          <w:sz w:val="18"/>
          <w:szCs w:val="16"/>
        </w:rPr>
        <w:t xml:space="preserve">high or very high level of psychological distress, with a score of 12 or more on the 10-question Kessler Psychological Distress Scale (K10). Where people have these levels of psychological distress, </w:t>
      </w:r>
      <w:r>
        <w:rPr>
          <w:sz w:val="18"/>
          <w:szCs w:val="16"/>
        </w:rPr>
        <w:t>it</w:t>
      </w:r>
      <w:r w:rsidRPr="00996E4F">
        <w:rPr>
          <w:sz w:val="18"/>
          <w:szCs w:val="16"/>
        </w:rPr>
        <w:t xml:space="preserve"> is high</w:t>
      </w:r>
      <w:r>
        <w:rPr>
          <w:sz w:val="18"/>
          <w:szCs w:val="16"/>
        </w:rPr>
        <w:t>ly</w:t>
      </w:r>
      <w:r w:rsidRPr="00996E4F">
        <w:rPr>
          <w:sz w:val="18"/>
          <w:szCs w:val="16"/>
        </w:rPr>
        <w:t xml:space="preserve"> or very high</w:t>
      </w:r>
      <w:r>
        <w:rPr>
          <w:sz w:val="18"/>
          <w:szCs w:val="16"/>
        </w:rPr>
        <w:t>ly</w:t>
      </w:r>
      <w:r w:rsidRPr="00996E4F">
        <w:rPr>
          <w:sz w:val="18"/>
          <w:szCs w:val="16"/>
        </w:rPr>
        <w:t xml:space="preserve"> probab</w:t>
      </w:r>
      <w:r>
        <w:rPr>
          <w:sz w:val="18"/>
          <w:szCs w:val="16"/>
        </w:rPr>
        <w:t>le</w:t>
      </w:r>
      <w:r w:rsidRPr="00996E4F">
        <w:rPr>
          <w:sz w:val="18"/>
          <w:szCs w:val="16"/>
        </w:rPr>
        <w:t xml:space="preserve"> that they also have an anxiety or depressive disorder.</w:t>
      </w:r>
    </w:p>
  </w:footnote>
  <w:footnote w:id="5">
    <w:p w14:paraId="654ABC17" w14:textId="77777777" w:rsidR="00942F0F" w:rsidRDefault="00942F0F" w:rsidP="00942F0F">
      <w:pPr>
        <w:pStyle w:val="FootnoteText"/>
      </w:pPr>
      <w:r>
        <w:rPr>
          <w:rStyle w:val="FootnoteReference"/>
        </w:rPr>
        <w:footnoteRef/>
      </w:r>
      <w:r>
        <w:t xml:space="preserve"> Unmet need for primary health care includes a</w:t>
      </w:r>
      <w:r w:rsidRPr="00545C5E">
        <w:t>ny unmet need in the past 12 months (unable to get an appointment at usual medical centre within 24 hours, unmet need for GP services due to cost or transport, unmet need for after-hours services due to cost or transport)</w:t>
      </w:r>
      <w:r>
        <w:t>.</w:t>
      </w:r>
    </w:p>
  </w:footnote>
  <w:footnote w:id="6">
    <w:p w14:paraId="1FD7116A" w14:textId="77777777" w:rsidR="00942F0F" w:rsidRDefault="00942F0F" w:rsidP="00942F0F">
      <w:pPr>
        <w:pStyle w:val="FootnoteText"/>
      </w:pPr>
      <w:r>
        <w:rPr>
          <w:rStyle w:val="FootnoteReference"/>
        </w:rPr>
        <w:footnoteRef/>
      </w:r>
      <w:r>
        <w:t xml:space="preserve"> New Zealand Health Survey: </w:t>
      </w:r>
      <w:hyperlink r:id="rId1" w:history="1">
        <w:r w:rsidRPr="00967084">
          <w:rPr>
            <w:rStyle w:val="Hyperlink"/>
          </w:rPr>
          <w:t>www.health.govt.nz/nz-health-statistics/national-collections-and-surveys/surveys/new-zealand-health-survey?mega=Health%20statistics&amp;title=NZ%20Health%20Survey</w:t>
        </w:r>
      </w:hyperlink>
      <w:r>
        <w:t xml:space="preserve"> (accessed 12 May 2023).</w:t>
      </w:r>
    </w:p>
  </w:footnote>
  <w:footnote w:id="7">
    <w:p w14:paraId="18C3E53A" w14:textId="77777777" w:rsidR="00942F0F" w:rsidRDefault="00942F0F" w:rsidP="00942F0F">
      <w:pPr>
        <w:pStyle w:val="FootnoteText"/>
      </w:pPr>
      <w:r>
        <w:rPr>
          <w:rStyle w:val="FootnoteReference"/>
        </w:rPr>
        <w:footnoteRef/>
      </w:r>
      <w:r>
        <w:t xml:space="preserve"> Ethnicity New Zealand Standard Classification 2005 V2.1.0: </w:t>
      </w:r>
      <w:hyperlink r:id="rId2" w:anchor="ClassificationView:uri=http://stats.govt.nz/cms/ClassificationVersion/YVqOcFHSlguKkT17" w:history="1">
        <w:r w:rsidRPr="005E257D">
          <w:rPr>
            <w:rStyle w:val="Hyperlink"/>
          </w:rPr>
          <w:t>http://aria.stats.govt.nz/aria/?_ga=2.99316702.1191826017.1659388995-392480606.1646960786#ClassificationView:uri=http://stats.govt.nz/cms/ClassificationVersion/YVqOcFHSlguKkT17</w:t>
        </w:r>
      </w:hyperlink>
      <w:r>
        <w:t xml:space="preserve"> (accessed 12 May 2023).</w:t>
      </w:r>
    </w:p>
  </w:footnote>
  <w:footnote w:id="8">
    <w:p w14:paraId="2E3DB41E" w14:textId="77777777" w:rsidR="00942F0F" w:rsidRDefault="00942F0F" w:rsidP="00942F0F">
      <w:pPr>
        <w:pStyle w:val="FootnoteText"/>
      </w:pPr>
      <w:r>
        <w:rPr>
          <w:rStyle w:val="FootnoteReference"/>
        </w:rPr>
        <w:footnoteRef/>
      </w:r>
      <w:r>
        <w:t xml:space="preserve"> For Annual New Zealand Health Survey outputs, see </w:t>
      </w:r>
      <w:hyperlink r:id="rId3" w:anchor="2021_22" w:history="1">
        <w:r w:rsidRPr="00A93BAA">
          <w:rPr>
            <w:rStyle w:val="Hyperlink"/>
          </w:rPr>
          <w:t>www.health.govt.nz/nz-health-statistics/national-collections-and-surveys/surveys/new-zealand-health-survey?mega=Health%20statistics&amp;title=NZ%20Health%20Survey#2021_22</w:t>
        </w:r>
      </w:hyperlink>
      <w:r>
        <w:t xml:space="preserve"> (accessed 12 May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0"/>
      <w:gridCol w:w="4429"/>
    </w:tblGrid>
    <w:tr w:rsidR="005A79E5" w14:paraId="11530A0D" w14:textId="77777777" w:rsidTr="008F2B72">
      <w:trPr>
        <w:cantSplit/>
      </w:trPr>
      <w:tc>
        <w:tcPr>
          <w:tcW w:w="5210" w:type="dxa"/>
          <w:vAlign w:val="center"/>
        </w:tcPr>
        <w:p w14:paraId="2BDE3162" w14:textId="4E67EED4" w:rsidR="005A79E5" w:rsidRDefault="00B26F0F" w:rsidP="00B26F0F">
          <w:pPr>
            <w:pStyle w:val="Header"/>
          </w:pPr>
          <w:bookmarkStart w:id="0" w:name="_Hlk110933925"/>
          <w:r>
            <w:rPr>
              <w:noProof/>
              <w:lang w:eastAsia="en-NZ"/>
            </w:rPr>
            <w:drawing>
              <wp:inline distT="0" distB="0" distL="0" distR="0" wp14:anchorId="04421456" wp14:editId="41C8C0FE">
                <wp:extent cx="2294626" cy="542925"/>
                <wp:effectExtent l="0" t="0" r="0" b="0"/>
                <wp:docPr id="2052" name="Picture 2052"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2052" descr="New Zealand Government logo"/>
                        <pic:cNvPicPr/>
                      </pic:nvPicPr>
                      <pic:blipFill rotWithShape="1">
                        <a:blip r:embed="rId1" cstate="print">
                          <a:extLst>
                            <a:ext uri="{28A0092B-C50C-407E-A947-70E740481C1C}">
                              <a14:useLocalDpi xmlns:a14="http://schemas.microsoft.com/office/drawing/2010/main" val="0"/>
                            </a:ext>
                          </a:extLst>
                        </a:blip>
                        <a:srcRect l="10400" t="16015" r="61171" b="13256"/>
                        <a:stretch/>
                      </pic:blipFill>
                      <pic:spPr bwMode="auto">
                        <a:xfrm>
                          <a:off x="0" y="0"/>
                          <a:ext cx="2294626" cy="542925"/>
                        </a:xfrm>
                        <a:prstGeom prst="rect">
                          <a:avLst/>
                        </a:prstGeom>
                        <a:ln>
                          <a:noFill/>
                        </a:ln>
                        <a:extLst>
                          <a:ext uri="{53640926-AAD7-44D8-BBD7-CCE9431645EC}">
                            <a14:shadowObscured xmlns:a14="http://schemas.microsoft.com/office/drawing/2010/main"/>
                          </a:ext>
                        </a:extLst>
                      </pic:spPr>
                    </pic:pic>
                  </a:graphicData>
                </a:graphic>
              </wp:inline>
            </w:drawing>
          </w:r>
        </w:p>
      </w:tc>
      <w:tc>
        <w:tcPr>
          <w:tcW w:w="4429" w:type="dxa"/>
          <w:vAlign w:val="center"/>
        </w:tcPr>
        <w:p w14:paraId="06193D58" w14:textId="31929113" w:rsidR="005A79E5" w:rsidRDefault="008F2B72" w:rsidP="00301815">
          <w:pPr>
            <w:pStyle w:val="Header"/>
            <w:jc w:val="right"/>
          </w:pPr>
          <w:r>
            <w:rPr>
              <w:noProof/>
            </w:rPr>
            <w:drawing>
              <wp:anchor distT="0" distB="0" distL="114300" distR="114300" simplePos="0" relativeHeight="251658240" behindDoc="0" locked="0" layoutInCell="1" allowOverlap="1" wp14:anchorId="1D75C094" wp14:editId="5A8EBA49">
                <wp:simplePos x="0" y="0"/>
                <wp:positionH relativeFrom="column">
                  <wp:posOffset>1362710</wp:posOffset>
                </wp:positionH>
                <wp:positionV relativeFrom="paragraph">
                  <wp:posOffset>-1905</wp:posOffset>
                </wp:positionV>
                <wp:extent cx="1519555" cy="718185"/>
                <wp:effectExtent l="0" t="0" r="4445" b="5715"/>
                <wp:wrapNone/>
                <wp:docPr id="2053" name="Picture 2053"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2053" descr="Ministry of Healt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9555" cy="7181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0"/>
  </w:tbl>
  <w:p w14:paraId="4AC8EC99" w14:textId="1B35D83E" w:rsidR="005665FD" w:rsidRDefault="00566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2E4F" w14:textId="77777777" w:rsidR="00E42F5D" w:rsidRDefault="00E42F5D"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17B0" w14:textId="77777777" w:rsidR="00660F74" w:rsidRDefault="00660F74" w:rsidP="009001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EC00" w14:textId="77777777" w:rsidR="00926083" w:rsidRDefault="009260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1" w15:restartNumberingAfterBreak="0">
    <w:nsid w:val="052041F9"/>
    <w:multiLevelType w:val="hybridMultilevel"/>
    <w:tmpl w:val="ABAC7CB8"/>
    <w:lvl w:ilvl="0" w:tplc="614058B0">
      <w:start w:val="1"/>
      <w:numFmt w:val="decimal"/>
      <w:lvlText w:val="%1."/>
      <w:lvlJc w:val="left"/>
      <w:pPr>
        <w:ind w:left="840" w:hanging="360"/>
      </w:pPr>
      <w:rPr>
        <w:rFonts w:hint="default"/>
      </w:rPr>
    </w:lvl>
    <w:lvl w:ilvl="1" w:tplc="14090019">
      <w:start w:val="1"/>
      <w:numFmt w:val="lowerLetter"/>
      <w:lvlText w:val="%2."/>
      <w:lvlJc w:val="left"/>
      <w:pPr>
        <w:ind w:left="1560" w:hanging="360"/>
      </w:pPr>
    </w:lvl>
    <w:lvl w:ilvl="2" w:tplc="1409001B">
      <w:start w:val="1"/>
      <w:numFmt w:val="lowerRoman"/>
      <w:lvlText w:val="%3."/>
      <w:lvlJc w:val="right"/>
      <w:pPr>
        <w:ind w:left="2280" w:hanging="180"/>
      </w:pPr>
    </w:lvl>
    <w:lvl w:ilvl="3" w:tplc="1409000F" w:tentative="1">
      <w:start w:val="1"/>
      <w:numFmt w:val="decimal"/>
      <w:lvlText w:val="%4."/>
      <w:lvlJc w:val="left"/>
      <w:pPr>
        <w:ind w:left="3000" w:hanging="360"/>
      </w:pPr>
    </w:lvl>
    <w:lvl w:ilvl="4" w:tplc="14090019" w:tentative="1">
      <w:start w:val="1"/>
      <w:numFmt w:val="lowerLetter"/>
      <w:lvlText w:val="%5."/>
      <w:lvlJc w:val="left"/>
      <w:pPr>
        <w:ind w:left="3720" w:hanging="360"/>
      </w:pPr>
    </w:lvl>
    <w:lvl w:ilvl="5" w:tplc="1409001B" w:tentative="1">
      <w:start w:val="1"/>
      <w:numFmt w:val="lowerRoman"/>
      <w:lvlText w:val="%6."/>
      <w:lvlJc w:val="right"/>
      <w:pPr>
        <w:ind w:left="4440" w:hanging="180"/>
      </w:pPr>
    </w:lvl>
    <w:lvl w:ilvl="6" w:tplc="1409000F" w:tentative="1">
      <w:start w:val="1"/>
      <w:numFmt w:val="decimal"/>
      <w:lvlText w:val="%7."/>
      <w:lvlJc w:val="left"/>
      <w:pPr>
        <w:ind w:left="5160" w:hanging="360"/>
      </w:pPr>
    </w:lvl>
    <w:lvl w:ilvl="7" w:tplc="14090019" w:tentative="1">
      <w:start w:val="1"/>
      <w:numFmt w:val="lowerLetter"/>
      <w:lvlText w:val="%8."/>
      <w:lvlJc w:val="left"/>
      <w:pPr>
        <w:ind w:left="5880" w:hanging="360"/>
      </w:pPr>
    </w:lvl>
    <w:lvl w:ilvl="8" w:tplc="1409001B" w:tentative="1">
      <w:start w:val="1"/>
      <w:numFmt w:val="lowerRoman"/>
      <w:lvlText w:val="%9."/>
      <w:lvlJc w:val="right"/>
      <w:pPr>
        <w:ind w:left="6600" w:hanging="180"/>
      </w:pPr>
    </w:lvl>
  </w:abstractNum>
  <w:abstractNum w:abstractNumId="2" w15:restartNumberingAfterBreak="0">
    <w:nsid w:val="07BA0EC1"/>
    <w:multiLevelType w:val="hybridMultilevel"/>
    <w:tmpl w:val="0FDE2E92"/>
    <w:lvl w:ilvl="0" w:tplc="9B36D550">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F487000"/>
    <w:multiLevelType w:val="hybridMultilevel"/>
    <w:tmpl w:val="D1508736"/>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4" w15:restartNumberingAfterBreak="0">
    <w:nsid w:val="11023BAD"/>
    <w:multiLevelType w:val="hybridMultilevel"/>
    <w:tmpl w:val="4830DBB8"/>
    <w:lvl w:ilvl="0" w:tplc="AEE29EB8">
      <w:start w:val="1"/>
      <w:numFmt w:val="bullet"/>
      <w:lvlText w:val="•"/>
      <w:lvlJc w:val="left"/>
      <w:pPr>
        <w:ind w:left="246" w:hanging="134"/>
      </w:pPr>
      <w:rPr>
        <w:rFonts w:ascii="Arial Unicode MS" w:eastAsia="Arial Unicode MS" w:hAnsi="Arial Unicode MS" w:hint="default"/>
        <w:w w:val="107"/>
        <w:sz w:val="21"/>
        <w:szCs w:val="21"/>
      </w:rPr>
    </w:lvl>
    <w:lvl w:ilvl="1" w:tplc="A89C032A">
      <w:start w:val="1"/>
      <w:numFmt w:val="bullet"/>
      <w:lvlText w:val="•"/>
      <w:lvlJc w:val="left"/>
      <w:pPr>
        <w:ind w:left="464" w:hanging="134"/>
      </w:pPr>
      <w:rPr>
        <w:rFonts w:hint="default"/>
      </w:rPr>
    </w:lvl>
    <w:lvl w:ilvl="2" w:tplc="AFB65F98">
      <w:start w:val="1"/>
      <w:numFmt w:val="bullet"/>
      <w:lvlText w:val="•"/>
      <w:lvlJc w:val="left"/>
      <w:pPr>
        <w:ind w:left="682" w:hanging="134"/>
      </w:pPr>
      <w:rPr>
        <w:rFonts w:hint="default"/>
      </w:rPr>
    </w:lvl>
    <w:lvl w:ilvl="3" w:tplc="A148FA04">
      <w:start w:val="1"/>
      <w:numFmt w:val="bullet"/>
      <w:lvlText w:val="•"/>
      <w:lvlJc w:val="left"/>
      <w:pPr>
        <w:ind w:left="900" w:hanging="134"/>
      </w:pPr>
      <w:rPr>
        <w:rFonts w:hint="default"/>
      </w:rPr>
    </w:lvl>
    <w:lvl w:ilvl="4" w:tplc="F490CA92">
      <w:start w:val="1"/>
      <w:numFmt w:val="bullet"/>
      <w:lvlText w:val="•"/>
      <w:lvlJc w:val="left"/>
      <w:pPr>
        <w:ind w:left="1118" w:hanging="134"/>
      </w:pPr>
      <w:rPr>
        <w:rFonts w:hint="default"/>
      </w:rPr>
    </w:lvl>
    <w:lvl w:ilvl="5" w:tplc="B9903E90">
      <w:start w:val="1"/>
      <w:numFmt w:val="bullet"/>
      <w:lvlText w:val="•"/>
      <w:lvlJc w:val="left"/>
      <w:pPr>
        <w:ind w:left="1336" w:hanging="134"/>
      </w:pPr>
      <w:rPr>
        <w:rFonts w:hint="default"/>
      </w:rPr>
    </w:lvl>
    <w:lvl w:ilvl="6" w:tplc="811ED8BC">
      <w:start w:val="1"/>
      <w:numFmt w:val="bullet"/>
      <w:lvlText w:val="•"/>
      <w:lvlJc w:val="left"/>
      <w:pPr>
        <w:ind w:left="1554" w:hanging="134"/>
      </w:pPr>
      <w:rPr>
        <w:rFonts w:hint="default"/>
      </w:rPr>
    </w:lvl>
    <w:lvl w:ilvl="7" w:tplc="20BC151E">
      <w:start w:val="1"/>
      <w:numFmt w:val="bullet"/>
      <w:lvlText w:val="•"/>
      <w:lvlJc w:val="left"/>
      <w:pPr>
        <w:ind w:left="1771" w:hanging="134"/>
      </w:pPr>
      <w:rPr>
        <w:rFonts w:hint="default"/>
      </w:rPr>
    </w:lvl>
    <w:lvl w:ilvl="8" w:tplc="80AA897C">
      <w:start w:val="1"/>
      <w:numFmt w:val="bullet"/>
      <w:lvlText w:val="•"/>
      <w:lvlJc w:val="left"/>
      <w:pPr>
        <w:ind w:left="1989" w:hanging="134"/>
      </w:pPr>
      <w:rPr>
        <w:rFonts w:hint="default"/>
      </w:rPr>
    </w:lvl>
  </w:abstractNum>
  <w:abstractNum w:abstractNumId="5" w15:restartNumberingAfterBreak="0">
    <w:nsid w:val="1915754A"/>
    <w:multiLevelType w:val="hybridMultilevel"/>
    <w:tmpl w:val="BE16CB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A6C6694"/>
    <w:multiLevelType w:val="hybridMultilevel"/>
    <w:tmpl w:val="27DA59F2"/>
    <w:lvl w:ilvl="0" w:tplc="F6EEA218">
      <w:start w:val="1"/>
      <w:numFmt w:val="bullet"/>
      <w:lvlText w:val="•"/>
      <w:lvlJc w:val="left"/>
      <w:pPr>
        <w:ind w:left="559" w:hanging="134"/>
      </w:pPr>
      <w:rPr>
        <w:rFonts w:ascii="Lucida Sans Unicode" w:eastAsia="Lucida Sans Unicode" w:hAnsi="Lucida Sans Unicode" w:hint="default"/>
        <w:w w:val="59"/>
        <w:sz w:val="21"/>
        <w:szCs w:val="21"/>
      </w:rPr>
    </w:lvl>
    <w:lvl w:ilvl="1" w:tplc="002E3EAE">
      <w:start w:val="1"/>
      <w:numFmt w:val="bullet"/>
      <w:lvlText w:val="•"/>
      <w:lvlJc w:val="left"/>
      <w:pPr>
        <w:ind w:left="808" w:hanging="134"/>
      </w:pPr>
      <w:rPr>
        <w:rFonts w:hint="default"/>
      </w:rPr>
    </w:lvl>
    <w:lvl w:ilvl="2" w:tplc="2D64B7B0">
      <w:start w:val="1"/>
      <w:numFmt w:val="bullet"/>
      <w:lvlText w:val="•"/>
      <w:lvlJc w:val="left"/>
      <w:pPr>
        <w:ind w:left="1057" w:hanging="134"/>
      </w:pPr>
      <w:rPr>
        <w:rFonts w:hint="default"/>
      </w:rPr>
    </w:lvl>
    <w:lvl w:ilvl="3" w:tplc="82F22056">
      <w:start w:val="1"/>
      <w:numFmt w:val="bullet"/>
      <w:lvlText w:val="•"/>
      <w:lvlJc w:val="left"/>
      <w:pPr>
        <w:ind w:left="1306" w:hanging="134"/>
      </w:pPr>
      <w:rPr>
        <w:rFonts w:hint="default"/>
      </w:rPr>
    </w:lvl>
    <w:lvl w:ilvl="4" w:tplc="D920647A">
      <w:start w:val="1"/>
      <w:numFmt w:val="bullet"/>
      <w:lvlText w:val="•"/>
      <w:lvlJc w:val="left"/>
      <w:pPr>
        <w:ind w:left="1556" w:hanging="134"/>
      </w:pPr>
      <w:rPr>
        <w:rFonts w:hint="default"/>
      </w:rPr>
    </w:lvl>
    <w:lvl w:ilvl="5" w:tplc="24E6088C">
      <w:start w:val="1"/>
      <w:numFmt w:val="bullet"/>
      <w:lvlText w:val="•"/>
      <w:lvlJc w:val="left"/>
      <w:pPr>
        <w:ind w:left="1805" w:hanging="134"/>
      </w:pPr>
      <w:rPr>
        <w:rFonts w:hint="default"/>
      </w:rPr>
    </w:lvl>
    <w:lvl w:ilvl="6" w:tplc="273217BC">
      <w:start w:val="1"/>
      <w:numFmt w:val="bullet"/>
      <w:lvlText w:val="•"/>
      <w:lvlJc w:val="left"/>
      <w:pPr>
        <w:ind w:left="2054" w:hanging="134"/>
      </w:pPr>
      <w:rPr>
        <w:rFonts w:hint="default"/>
      </w:rPr>
    </w:lvl>
    <w:lvl w:ilvl="7" w:tplc="FCFE4A4A">
      <w:start w:val="1"/>
      <w:numFmt w:val="bullet"/>
      <w:lvlText w:val="•"/>
      <w:lvlJc w:val="left"/>
      <w:pPr>
        <w:ind w:left="2303" w:hanging="134"/>
      </w:pPr>
      <w:rPr>
        <w:rFonts w:hint="default"/>
      </w:rPr>
    </w:lvl>
    <w:lvl w:ilvl="8" w:tplc="47085256">
      <w:start w:val="1"/>
      <w:numFmt w:val="bullet"/>
      <w:lvlText w:val="•"/>
      <w:lvlJc w:val="left"/>
      <w:pPr>
        <w:ind w:left="2552" w:hanging="134"/>
      </w:pPr>
      <w:rPr>
        <w:rFonts w:hint="default"/>
      </w:rPr>
    </w:lvl>
  </w:abstractNum>
  <w:abstractNum w:abstractNumId="7" w15:restartNumberingAfterBreak="0">
    <w:nsid w:val="1AD22446"/>
    <w:multiLevelType w:val="hybridMultilevel"/>
    <w:tmpl w:val="82B031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BF65D06"/>
    <w:multiLevelType w:val="hybridMultilevel"/>
    <w:tmpl w:val="0C0C9346"/>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1E2C3CC1"/>
    <w:multiLevelType w:val="hybridMultilevel"/>
    <w:tmpl w:val="EEF8345E"/>
    <w:lvl w:ilvl="0" w:tplc="5B960B98">
      <w:start w:val="1"/>
      <w:numFmt w:val="bullet"/>
      <w:lvlText w:val="•"/>
      <w:lvlJc w:val="left"/>
      <w:pPr>
        <w:ind w:left="1984" w:hanging="284"/>
      </w:pPr>
      <w:rPr>
        <w:rFonts w:ascii="Lucida Sans Unicode" w:eastAsia="Lucida Sans Unicode" w:hAnsi="Lucida Sans Unicode" w:hint="default"/>
        <w:w w:val="59"/>
        <w:sz w:val="21"/>
        <w:szCs w:val="21"/>
      </w:rPr>
    </w:lvl>
    <w:lvl w:ilvl="1" w:tplc="3A3EAE6C">
      <w:start w:val="1"/>
      <w:numFmt w:val="bullet"/>
      <w:lvlText w:val="•"/>
      <w:lvlJc w:val="left"/>
      <w:pPr>
        <w:ind w:left="2808" w:hanging="284"/>
      </w:pPr>
      <w:rPr>
        <w:rFonts w:hint="default"/>
      </w:rPr>
    </w:lvl>
    <w:lvl w:ilvl="2" w:tplc="0E4E143C">
      <w:start w:val="1"/>
      <w:numFmt w:val="bullet"/>
      <w:lvlText w:val="•"/>
      <w:lvlJc w:val="left"/>
      <w:pPr>
        <w:ind w:left="3632" w:hanging="284"/>
      </w:pPr>
      <w:rPr>
        <w:rFonts w:hint="default"/>
      </w:rPr>
    </w:lvl>
    <w:lvl w:ilvl="3" w:tplc="B79A0BDC">
      <w:start w:val="1"/>
      <w:numFmt w:val="bullet"/>
      <w:lvlText w:val="•"/>
      <w:lvlJc w:val="left"/>
      <w:pPr>
        <w:ind w:left="4456" w:hanging="284"/>
      </w:pPr>
      <w:rPr>
        <w:rFonts w:hint="default"/>
      </w:rPr>
    </w:lvl>
    <w:lvl w:ilvl="4" w:tplc="53B018D4">
      <w:start w:val="1"/>
      <w:numFmt w:val="bullet"/>
      <w:lvlText w:val="•"/>
      <w:lvlJc w:val="left"/>
      <w:pPr>
        <w:ind w:left="5280" w:hanging="284"/>
      </w:pPr>
      <w:rPr>
        <w:rFonts w:hint="default"/>
      </w:rPr>
    </w:lvl>
    <w:lvl w:ilvl="5" w:tplc="E0EC6604">
      <w:start w:val="1"/>
      <w:numFmt w:val="bullet"/>
      <w:lvlText w:val="•"/>
      <w:lvlJc w:val="left"/>
      <w:pPr>
        <w:ind w:left="6104" w:hanging="284"/>
      </w:pPr>
      <w:rPr>
        <w:rFonts w:hint="default"/>
      </w:rPr>
    </w:lvl>
    <w:lvl w:ilvl="6" w:tplc="400A10A6">
      <w:start w:val="1"/>
      <w:numFmt w:val="bullet"/>
      <w:lvlText w:val="•"/>
      <w:lvlJc w:val="left"/>
      <w:pPr>
        <w:ind w:left="6929" w:hanging="284"/>
      </w:pPr>
      <w:rPr>
        <w:rFonts w:hint="default"/>
      </w:rPr>
    </w:lvl>
    <w:lvl w:ilvl="7" w:tplc="153C0546">
      <w:start w:val="1"/>
      <w:numFmt w:val="bullet"/>
      <w:lvlText w:val="•"/>
      <w:lvlJc w:val="left"/>
      <w:pPr>
        <w:ind w:left="7753" w:hanging="284"/>
      </w:pPr>
      <w:rPr>
        <w:rFonts w:hint="default"/>
      </w:rPr>
    </w:lvl>
    <w:lvl w:ilvl="8" w:tplc="90B4C0C6">
      <w:start w:val="1"/>
      <w:numFmt w:val="bullet"/>
      <w:lvlText w:val="•"/>
      <w:lvlJc w:val="left"/>
      <w:pPr>
        <w:ind w:left="8577" w:hanging="284"/>
      </w:pPr>
      <w:rPr>
        <w:rFonts w:hint="default"/>
      </w:rPr>
    </w:lvl>
  </w:abstractNum>
  <w:abstractNum w:abstractNumId="10"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6B82D6F"/>
    <w:multiLevelType w:val="hybridMultilevel"/>
    <w:tmpl w:val="6C186060"/>
    <w:lvl w:ilvl="0" w:tplc="C15451FC">
      <w:start w:val="1"/>
      <w:numFmt w:val="bullet"/>
      <w:lvlText w:val="•"/>
      <w:lvlJc w:val="left"/>
      <w:pPr>
        <w:ind w:left="2267" w:hanging="284"/>
      </w:pPr>
      <w:rPr>
        <w:rFonts w:ascii="Lucida Sans Unicode" w:eastAsia="Lucida Sans Unicode" w:hAnsi="Lucida Sans Unicode" w:hint="default"/>
        <w:w w:val="59"/>
        <w:sz w:val="21"/>
        <w:szCs w:val="21"/>
      </w:rPr>
    </w:lvl>
    <w:lvl w:ilvl="1" w:tplc="C2804FC4">
      <w:start w:val="1"/>
      <w:numFmt w:val="bullet"/>
      <w:lvlText w:val="•"/>
      <w:lvlJc w:val="left"/>
      <w:pPr>
        <w:ind w:left="3231" w:hanging="284"/>
      </w:pPr>
      <w:rPr>
        <w:rFonts w:hint="default"/>
      </w:rPr>
    </w:lvl>
    <w:lvl w:ilvl="2" w:tplc="7B56FBF2">
      <w:start w:val="1"/>
      <w:numFmt w:val="bullet"/>
      <w:lvlText w:val="•"/>
      <w:lvlJc w:val="left"/>
      <w:pPr>
        <w:ind w:left="4195" w:hanging="284"/>
      </w:pPr>
      <w:rPr>
        <w:rFonts w:hint="default"/>
      </w:rPr>
    </w:lvl>
    <w:lvl w:ilvl="3" w:tplc="FF5C1366">
      <w:start w:val="1"/>
      <w:numFmt w:val="bullet"/>
      <w:lvlText w:val="•"/>
      <w:lvlJc w:val="left"/>
      <w:pPr>
        <w:ind w:left="5159" w:hanging="284"/>
      </w:pPr>
      <w:rPr>
        <w:rFonts w:hint="default"/>
      </w:rPr>
    </w:lvl>
    <w:lvl w:ilvl="4" w:tplc="B2CA8238">
      <w:start w:val="1"/>
      <w:numFmt w:val="bullet"/>
      <w:lvlText w:val="•"/>
      <w:lvlJc w:val="left"/>
      <w:pPr>
        <w:ind w:left="6122" w:hanging="284"/>
      </w:pPr>
      <w:rPr>
        <w:rFonts w:hint="default"/>
      </w:rPr>
    </w:lvl>
    <w:lvl w:ilvl="5" w:tplc="3378E1CC">
      <w:start w:val="1"/>
      <w:numFmt w:val="bullet"/>
      <w:lvlText w:val="•"/>
      <w:lvlJc w:val="left"/>
      <w:pPr>
        <w:ind w:left="7086" w:hanging="284"/>
      </w:pPr>
      <w:rPr>
        <w:rFonts w:hint="default"/>
      </w:rPr>
    </w:lvl>
    <w:lvl w:ilvl="6" w:tplc="DDFA6B44">
      <w:start w:val="1"/>
      <w:numFmt w:val="bullet"/>
      <w:lvlText w:val="•"/>
      <w:lvlJc w:val="left"/>
      <w:pPr>
        <w:ind w:left="8050" w:hanging="284"/>
      </w:pPr>
      <w:rPr>
        <w:rFonts w:hint="default"/>
      </w:rPr>
    </w:lvl>
    <w:lvl w:ilvl="7" w:tplc="7CA08396">
      <w:start w:val="1"/>
      <w:numFmt w:val="bullet"/>
      <w:lvlText w:val="•"/>
      <w:lvlJc w:val="left"/>
      <w:pPr>
        <w:ind w:left="9014" w:hanging="284"/>
      </w:pPr>
      <w:rPr>
        <w:rFonts w:hint="default"/>
      </w:rPr>
    </w:lvl>
    <w:lvl w:ilvl="8" w:tplc="A386EF5E">
      <w:start w:val="1"/>
      <w:numFmt w:val="bullet"/>
      <w:lvlText w:val="•"/>
      <w:lvlJc w:val="left"/>
      <w:pPr>
        <w:ind w:left="9977" w:hanging="284"/>
      </w:pPr>
      <w:rPr>
        <w:rFonts w:hint="default"/>
      </w:rPr>
    </w:lvl>
  </w:abstractNum>
  <w:abstractNum w:abstractNumId="12" w15:restartNumberingAfterBreak="0">
    <w:nsid w:val="28F57520"/>
    <w:multiLevelType w:val="singleLevel"/>
    <w:tmpl w:val="F3FE0FEA"/>
    <w:lvl w:ilvl="0">
      <w:start w:val="1"/>
      <w:numFmt w:val="bullet"/>
      <w:lvlText w:val="–"/>
      <w:lvlJc w:val="left"/>
      <w:pPr>
        <w:tabs>
          <w:tab w:val="num" w:pos="644"/>
        </w:tabs>
        <w:ind w:left="567" w:hanging="283"/>
      </w:pPr>
      <w:rPr>
        <w:rFonts w:ascii="Times New Roman" w:hAnsi="Times New Roman" w:hint="default"/>
        <w:sz w:val="20"/>
      </w:rPr>
    </w:lvl>
  </w:abstractNum>
  <w:abstractNum w:abstractNumId="13" w15:restartNumberingAfterBreak="0">
    <w:nsid w:val="2D94347D"/>
    <w:multiLevelType w:val="hybridMultilevel"/>
    <w:tmpl w:val="CDC0E688"/>
    <w:lvl w:ilvl="0" w:tplc="AAE49842">
      <w:start w:val="1"/>
      <w:numFmt w:val="bullet"/>
      <w:lvlText w:val="•"/>
      <w:lvlJc w:val="left"/>
      <w:pPr>
        <w:ind w:left="1984" w:hanging="284"/>
      </w:pPr>
      <w:rPr>
        <w:rFonts w:ascii="Lucida Sans Unicode" w:eastAsia="Lucida Sans Unicode" w:hAnsi="Lucida Sans Unicode" w:hint="default"/>
        <w:w w:val="59"/>
        <w:sz w:val="21"/>
        <w:szCs w:val="21"/>
      </w:rPr>
    </w:lvl>
    <w:lvl w:ilvl="1" w:tplc="A3103622">
      <w:start w:val="1"/>
      <w:numFmt w:val="bullet"/>
      <w:lvlText w:val="•"/>
      <w:lvlJc w:val="left"/>
      <w:pPr>
        <w:ind w:left="2808" w:hanging="284"/>
      </w:pPr>
      <w:rPr>
        <w:rFonts w:hint="default"/>
      </w:rPr>
    </w:lvl>
    <w:lvl w:ilvl="2" w:tplc="2CC6F326">
      <w:start w:val="1"/>
      <w:numFmt w:val="bullet"/>
      <w:lvlText w:val="•"/>
      <w:lvlJc w:val="left"/>
      <w:pPr>
        <w:ind w:left="3632" w:hanging="284"/>
      </w:pPr>
      <w:rPr>
        <w:rFonts w:hint="default"/>
      </w:rPr>
    </w:lvl>
    <w:lvl w:ilvl="3" w:tplc="C026F318">
      <w:start w:val="1"/>
      <w:numFmt w:val="bullet"/>
      <w:lvlText w:val="•"/>
      <w:lvlJc w:val="left"/>
      <w:pPr>
        <w:ind w:left="4456" w:hanging="284"/>
      </w:pPr>
      <w:rPr>
        <w:rFonts w:hint="default"/>
      </w:rPr>
    </w:lvl>
    <w:lvl w:ilvl="4" w:tplc="8E1C6BD0">
      <w:start w:val="1"/>
      <w:numFmt w:val="bullet"/>
      <w:lvlText w:val="•"/>
      <w:lvlJc w:val="left"/>
      <w:pPr>
        <w:ind w:left="5280" w:hanging="284"/>
      </w:pPr>
      <w:rPr>
        <w:rFonts w:hint="default"/>
      </w:rPr>
    </w:lvl>
    <w:lvl w:ilvl="5" w:tplc="96EA3796">
      <w:start w:val="1"/>
      <w:numFmt w:val="bullet"/>
      <w:lvlText w:val="•"/>
      <w:lvlJc w:val="left"/>
      <w:pPr>
        <w:ind w:left="6104" w:hanging="284"/>
      </w:pPr>
      <w:rPr>
        <w:rFonts w:hint="default"/>
      </w:rPr>
    </w:lvl>
    <w:lvl w:ilvl="6" w:tplc="DF52DE2A">
      <w:start w:val="1"/>
      <w:numFmt w:val="bullet"/>
      <w:lvlText w:val="•"/>
      <w:lvlJc w:val="left"/>
      <w:pPr>
        <w:ind w:left="6929" w:hanging="284"/>
      </w:pPr>
      <w:rPr>
        <w:rFonts w:hint="default"/>
      </w:rPr>
    </w:lvl>
    <w:lvl w:ilvl="7" w:tplc="7D3E5354">
      <w:start w:val="1"/>
      <w:numFmt w:val="bullet"/>
      <w:lvlText w:val="•"/>
      <w:lvlJc w:val="left"/>
      <w:pPr>
        <w:ind w:left="7753" w:hanging="284"/>
      </w:pPr>
      <w:rPr>
        <w:rFonts w:hint="default"/>
      </w:rPr>
    </w:lvl>
    <w:lvl w:ilvl="8" w:tplc="0FE8A7AA">
      <w:start w:val="1"/>
      <w:numFmt w:val="bullet"/>
      <w:lvlText w:val="•"/>
      <w:lvlJc w:val="left"/>
      <w:pPr>
        <w:ind w:left="8577" w:hanging="284"/>
      </w:pPr>
      <w:rPr>
        <w:rFonts w:hint="default"/>
      </w:rPr>
    </w:lvl>
  </w:abstractNum>
  <w:abstractNum w:abstractNumId="14" w15:restartNumberingAfterBreak="0">
    <w:nsid w:val="31430E4A"/>
    <w:multiLevelType w:val="hybridMultilevel"/>
    <w:tmpl w:val="C4BE4BD4"/>
    <w:lvl w:ilvl="0" w:tplc="54ACCB78">
      <w:start w:val="1"/>
      <w:numFmt w:val="bullet"/>
      <w:lvlText w:val="•"/>
      <w:lvlJc w:val="left"/>
      <w:pPr>
        <w:ind w:left="623" w:hanging="284"/>
      </w:pPr>
      <w:rPr>
        <w:rFonts w:ascii="Arial Unicode MS" w:eastAsia="Arial Unicode MS" w:hAnsi="Arial Unicode MS" w:hint="default"/>
        <w:color w:val="FFFFFF"/>
        <w:w w:val="107"/>
        <w:sz w:val="21"/>
        <w:szCs w:val="21"/>
      </w:rPr>
    </w:lvl>
    <w:lvl w:ilvl="1" w:tplc="6EE81F12">
      <w:start w:val="1"/>
      <w:numFmt w:val="bullet"/>
      <w:lvlText w:val="•"/>
      <w:lvlJc w:val="left"/>
      <w:pPr>
        <w:ind w:left="926" w:hanging="284"/>
      </w:pPr>
      <w:rPr>
        <w:rFonts w:hint="default"/>
      </w:rPr>
    </w:lvl>
    <w:lvl w:ilvl="2" w:tplc="3D880680">
      <w:start w:val="1"/>
      <w:numFmt w:val="bullet"/>
      <w:lvlText w:val="•"/>
      <w:lvlJc w:val="left"/>
      <w:pPr>
        <w:ind w:left="1230" w:hanging="284"/>
      </w:pPr>
      <w:rPr>
        <w:rFonts w:hint="default"/>
      </w:rPr>
    </w:lvl>
    <w:lvl w:ilvl="3" w:tplc="B010C610">
      <w:start w:val="1"/>
      <w:numFmt w:val="bullet"/>
      <w:lvlText w:val="•"/>
      <w:lvlJc w:val="left"/>
      <w:pPr>
        <w:ind w:left="1533" w:hanging="284"/>
      </w:pPr>
      <w:rPr>
        <w:rFonts w:hint="default"/>
      </w:rPr>
    </w:lvl>
    <w:lvl w:ilvl="4" w:tplc="E6120074">
      <w:start w:val="1"/>
      <w:numFmt w:val="bullet"/>
      <w:lvlText w:val="•"/>
      <w:lvlJc w:val="left"/>
      <w:pPr>
        <w:ind w:left="1836" w:hanging="284"/>
      </w:pPr>
      <w:rPr>
        <w:rFonts w:hint="default"/>
      </w:rPr>
    </w:lvl>
    <w:lvl w:ilvl="5" w:tplc="CBC8627C">
      <w:start w:val="1"/>
      <w:numFmt w:val="bullet"/>
      <w:lvlText w:val="•"/>
      <w:lvlJc w:val="left"/>
      <w:pPr>
        <w:ind w:left="2140" w:hanging="284"/>
      </w:pPr>
      <w:rPr>
        <w:rFonts w:hint="default"/>
      </w:rPr>
    </w:lvl>
    <w:lvl w:ilvl="6" w:tplc="B9380D56">
      <w:start w:val="1"/>
      <w:numFmt w:val="bullet"/>
      <w:lvlText w:val="•"/>
      <w:lvlJc w:val="left"/>
      <w:pPr>
        <w:ind w:left="2443" w:hanging="284"/>
      </w:pPr>
      <w:rPr>
        <w:rFonts w:hint="default"/>
      </w:rPr>
    </w:lvl>
    <w:lvl w:ilvl="7" w:tplc="21BEC842">
      <w:start w:val="1"/>
      <w:numFmt w:val="bullet"/>
      <w:lvlText w:val="•"/>
      <w:lvlJc w:val="left"/>
      <w:pPr>
        <w:ind w:left="2746" w:hanging="284"/>
      </w:pPr>
      <w:rPr>
        <w:rFonts w:hint="default"/>
      </w:rPr>
    </w:lvl>
    <w:lvl w:ilvl="8" w:tplc="43B03AC2">
      <w:start w:val="1"/>
      <w:numFmt w:val="bullet"/>
      <w:lvlText w:val="•"/>
      <w:lvlJc w:val="left"/>
      <w:pPr>
        <w:ind w:left="3050" w:hanging="284"/>
      </w:pPr>
      <w:rPr>
        <w:rFonts w:hint="default"/>
      </w:rPr>
    </w:lvl>
  </w:abstractNum>
  <w:abstractNum w:abstractNumId="15"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FB4939"/>
    <w:multiLevelType w:val="hybridMultilevel"/>
    <w:tmpl w:val="B560C9E0"/>
    <w:lvl w:ilvl="0" w:tplc="5358D1F4">
      <w:start w:val="1"/>
      <w:numFmt w:val="bullet"/>
      <w:lvlText w:val="–"/>
      <w:lvlJc w:val="left"/>
      <w:pPr>
        <w:ind w:left="701" w:hanging="284"/>
      </w:pPr>
      <w:rPr>
        <w:rFonts w:ascii="Arial Black" w:eastAsia="Arial Black" w:hAnsi="Arial Black" w:hint="default"/>
        <w:b/>
        <w:bCs/>
        <w:sz w:val="21"/>
        <w:szCs w:val="21"/>
      </w:rPr>
    </w:lvl>
    <w:lvl w:ilvl="1" w:tplc="2D0A247C">
      <w:start w:val="1"/>
      <w:numFmt w:val="bullet"/>
      <w:lvlText w:val="•"/>
      <w:lvlJc w:val="left"/>
      <w:pPr>
        <w:ind w:left="1149" w:hanging="284"/>
      </w:pPr>
      <w:rPr>
        <w:rFonts w:hint="default"/>
      </w:rPr>
    </w:lvl>
    <w:lvl w:ilvl="2" w:tplc="014E8A48">
      <w:start w:val="1"/>
      <w:numFmt w:val="bullet"/>
      <w:lvlText w:val="•"/>
      <w:lvlJc w:val="left"/>
      <w:pPr>
        <w:ind w:left="1596" w:hanging="284"/>
      </w:pPr>
      <w:rPr>
        <w:rFonts w:hint="default"/>
      </w:rPr>
    </w:lvl>
    <w:lvl w:ilvl="3" w:tplc="62E68792">
      <w:start w:val="1"/>
      <w:numFmt w:val="bullet"/>
      <w:lvlText w:val="•"/>
      <w:lvlJc w:val="left"/>
      <w:pPr>
        <w:ind w:left="2044" w:hanging="284"/>
      </w:pPr>
      <w:rPr>
        <w:rFonts w:hint="default"/>
      </w:rPr>
    </w:lvl>
    <w:lvl w:ilvl="4" w:tplc="6BC03800">
      <w:start w:val="1"/>
      <w:numFmt w:val="bullet"/>
      <w:lvlText w:val="•"/>
      <w:lvlJc w:val="left"/>
      <w:pPr>
        <w:ind w:left="2492" w:hanging="284"/>
      </w:pPr>
      <w:rPr>
        <w:rFonts w:hint="default"/>
      </w:rPr>
    </w:lvl>
    <w:lvl w:ilvl="5" w:tplc="D62CF1AE">
      <w:start w:val="1"/>
      <w:numFmt w:val="bullet"/>
      <w:lvlText w:val="•"/>
      <w:lvlJc w:val="left"/>
      <w:pPr>
        <w:ind w:left="2940" w:hanging="284"/>
      </w:pPr>
      <w:rPr>
        <w:rFonts w:hint="default"/>
      </w:rPr>
    </w:lvl>
    <w:lvl w:ilvl="6" w:tplc="4AF656FE">
      <w:start w:val="1"/>
      <w:numFmt w:val="bullet"/>
      <w:lvlText w:val="•"/>
      <w:lvlJc w:val="left"/>
      <w:pPr>
        <w:ind w:left="3388" w:hanging="284"/>
      </w:pPr>
      <w:rPr>
        <w:rFonts w:hint="default"/>
      </w:rPr>
    </w:lvl>
    <w:lvl w:ilvl="7" w:tplc="B11C28E0">
      <w:start w:val="1"/>
      <w:numFmt w:val="bullet"/>
      <w:lvlText w:val="•"/>
      <w:lvlJc w:val="left"/>
      <w:pPr>
        <w:ind w:left="3836" w:hanging="284"/>
      </w:pPr>
      <w:rPr>
        <w:rFonts w:hint="default"/>
      </w:rPr>
    </w:lvl>
    <w:lvl w:ilvl="8" w:tplc="A2F2C1E6">
      <w:start w:val="1"/>
      <w:numFmt w:val="bullet"/>
      <w:lvlText w:val="•"/>
      <w:lvlJc w:val="left"/>
      <w:pPr>
        <w:ind w:left="4284" w:hanging="284"/>
      </w:pPr>
      <w:rPr>
        <w:rFonts w:hint="default"/>
      </w:rPr>
    </w:lvl>
  </w:abstractNum>
  <w:abstractNum w:abstractNumId="18" w15:restartNumberingAfterBreak="0">
    <w:nsid w:val="4D6856C8"/>
    <w:multiLevelType w:val="hybridMultilevel"/>
    <w:tmpl w:val="0338F8C0"/>
    <w:lvl w:ilvl="0" w:tplc="73FE36DE">
      <w:start w:val="1"/>
      <w:numFmt w:val="bullet"/>
      <w:lvlText w:val="•"/>
      <w:lvlJc w:val="left"/>
      <w:pPr>
        <w:ind w:left="245" w:hanging="134"/>
      </w:pPr>
      <w:rPr>
        <w:rFonts w:ascii="Arial Unicode MS" w:eastAsia="Arial Unicode MS" w:hAnsi="Arial Unicode MS" w:hint="default"/>
        <w:w w:val="107"/>
        <w:sz w:val="21"/>
        <w:szCs w:val="21"/>
      </w:rPr>
    </w:lvl>
    <w:lvl w:ilvl="1" w:tplc="3F32CFCA">
      <w:start w:val="1"/>
      <w:numFmt w:val="bullet"/>
      <w:lvlText w:val="•"/>
      <w:lvlJc w:val="left"/>
      <w:pPr>
        <w:ind w:left="494" w:hanging="134"/>
      </w:pPr>
      <w:rPr>
        <w:rFonts w:hint="default"/>
      </w:rPr>
    </w:lvl>
    <w:lvl w:ilvl="2" w:tplc="025CEB60">
      <w:start w:val="1"/>
      <w:numFmt w:val="bullet"/>
      <w:lvlText w:val="•"/>
      <w:lvlJc w:val="left"/>
      <w:pPr>
        <w:ind w:left="743" w:hanging="134"/>
      </w:pPr>
      <w:rPr>
        <w:rFonts w:hint="default"/>
      </w:rPr>
    </w:lvl>
    <w:lvl w:ilvl="3" w:tplc="5E0EC12A">
      <w:start w:val="1"/>
      <w:numFmt w:val="bullet"/>
      <w:lvlText w:val="•"/>
      <w:lvlJc w:val="left"/>
      <w:pPr>
        <w:ind w:left="993" w:hanging="134"/>
      </w:pPr>
      <w:rPr>
        <w:rFonts w:hint="default"/>
      </w:rPr>
    </w:lvl>
    <w:lvl w:ilvl="4" w:tplc="E8B04864">
      <w:start w:val="1"/>
      <w:numFmt w:val="bullet"/>
      <w:lvlText w:val="•"/>
      <w:lvlJc w:val="left"/>
      <w:pPr>
        <w:ind w:left="1242" w:hanging="134"/>
      </w:pPr>
      <w:rPr>
        <w:rFonts w:hint="default"/>
      </w:rPr>
    </w:lvl>
    <w:lvl w:ilvl="5" w:tplc="7EF0585E">
      <w:start w:val="1"/>
      <w:numFmt w:val="bullet"/>
      <w:lvlText w:val="•"/>
      <w:lvlJc w:val="left"/>
      <w:pPr>
        <w:ind w:left="1491" w:hanging="134"/>
      </w:pPr>
      <w:rPr>
        <w:rFonts w:hint="default"/>
      </w:rPr>
    </w:lvl>
    <w:lvl w:ilvl="6" w:tplc="7EC6F446">
      <w:start w:val="1"/>
      <w:numFmt w:val="bullet"/>
      <w:lvlText w:val="•"/>
      <w:lvlJc w:val="left"/>
      <w:pPr>
        <w:ind w:left="1740" w:hanging="134"/>
      </w:pPr>
      <w:rPr>
        <w:rFonts w:hint="default"/>
      </w:rPr>
    </w:lvl>
    <w:lvl w:ilvl="7" w:tplc="B4E0707E">
      <w:start w:val="1"/>
      <w:numFmt w:val="bullet"/>
      <w:lvlText w:val="•"/>
      <w:lvlJc w:val="left"/>
      <w:pPr>
        <w:ind w:left="1989" w:hanging="134"/>
      </w:pPr>
      <w:rPr>
        <w:rFonts w:hint="default"/>
      </w:rPr>
    </w:lvl>
    <w:lvl w:ilvl="8" w:tplc="30DCDC0C">
      <w:start w:val="1"/>
      <w:numFmt w:val="bullet"/>
      <w:lvlText w:val="•"/>
      <w:lvlJc w:val="left"/>
      <w:pPr>
        <w:ind w:left="2239" w:hanging="134"/>
      </w:pPr>
      <w:rPr>
        <w:rFonts w:hint="default"/>
      </w:rPr>
    </w:lvl>
  </w:abstractNum>
  <w:abstractNum w:abstractNumId="19" w15:restartNumberingAfterBreak="0">
    <w:nsid w:val="5B09314A"/>
    <w:multiLevelType w:val="multilevel"/>
    <w:tmpl w:val="7720957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567"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C724B65"/>
    <w:multiLevelType w:val="hybridMultilevel"/>
    <w:tmpl w:val="46E4FFEE"/>
    <w:lvl w:ilvl="0" w:tplc="EB0A854E">
      <w:start w:val="1"/>
      <w:numFmt w:val="bullet"/>
      <w:lvlText w:val="•"/>
      <w:lvlJc w:val="left"/>
      <w:pPr>
        <w:ind w:left="559" w:hanging="134"/>
      </w:pPr>
      <w:rPr>
        <w:rFonts w:ascii="Arial Unicode MS" w:eastAsia="Arial Unicode MS" w:hAnsi="Arial Unicode MS" w:hint="default"/>
        <w:w w:val="107"/>
        <w:sz w:val="21"/>
        <w:szCs w:val="21"/>
      </w:rPr>
    </w:lvl>
    <w:lvl w:ilvl="1" w:tplc="85E65D22">
      <w:start w:val="1"/>
      <w:numFmt w:val="bullet"/>
      <w:lvlText w:val="•"/>
      <w:lvlJc w:val="left"/>
      <w:pPr>
        <w:ind w:left="808" w:hanging="134"/>
      </w:pPr>
      <w:rPr>
        <w:rFonts w:hint="default"/>
      </w:rPr>
    </w:lvl>
    <w:lvl w:ilvl="2" w:tplc="69460D26">
      <w:start w:val="1"/>
      <w:numFmt w:val="bullet"/>
      <w:lvlText w:val="•"/>
      <w:lvlJc w:val="left"/>
      <w:pPr>
        <w:ind w:left="1058" w:hanging="134"/>
      </w:pPr>
      <w:rPr>
        <w:rFonts w:hint="default"/>
      </w:rPr>
    </w:lvl>
    <w:lvl w:ilvl="3" w:tplc="CD6AEA72">
      <w:start w:val="1"/>
      <w:numFmt w:val="bullet"/>
      <w:lvlText w:val="•"/>
      <w:lvlJc w:val="left"/>
      <w:pPr>
        <w:ind w:left="1307" w:hanging="134"/>
      </w:pPr>
      <w:rPr>
        <w:rFonts w:hint="default"/>
      </w:rPr>
    </w:lvl>
    <w:lvl w:ilvl="4" w:tplc="DCE6E408">
      <w:start w:val="1"/>
      <w:numFmt w:val="bullet"/>
      <w:lvlText w:val="•"/>
      <w:lvlJc w:val="left"/>
      <w:pPr>
        <w:ind w:left="1556" w:hanging="134"/>
      </w:pPr>
      <w:rPr>
        <w:rFonts w:hint="default"/>
      </w:rPr>
    </w:lvl>
    <w:lvl w:ilvl="5" w:tplc="C3182234">
      <w:start w:val="1"/>
      <w:numFmt w:val="bullet"/>
      <w:lvlText w:val="•"/>
      <w:lvlJc w:val="left"/>
      <w:pPr>
        <w:ind w:left="1805" w:hanging="134"/>
      </w:pPr>
      <w:rPr>
        <w:rFonts w:hint="default"/>
      </w:rPr>
    </w:lvl>
    <w:lvl w:ilvl="6" w:tplc="85C2C604">
      <w:start w:val="1"/>
      <w:numFmt w:val="bullet"/>
      <w:lvlText w:val="•"/>
      <w:lvlJc w:val="left"/>
      <w:pPr>
        <w:ind w:left="2054" w:hanging="134"/>
      </w:pPr>
      <w:rPr>
        <w:rFonts w:hint="default"/>
      </w:rPr>
    </w:lvl>
    <w:lvl w:ilvl="7" w:tplc="3B5A4DA6">
      <w:start w:val="1"/>
      <w:numFmt w:val="bullet"/>
      <w:lvlText w:val="•"/>
      <w:lvlJc w:val="left"/>
      <w:pPr>
        <w:ind w:left="2303" w:hanging="134"/>
      </w:pPr>
      <w:rPr>
        <w:rFonts w:hint="default"/>
      </w:rPr>
    </w:lvl>
    <w:lvl w:ilvl="8" w:tplc="37AAE036">
      <w:start w:val="1"/>
      <w:numFmt w:val="bullet"/>
      <w:lvlText w:val="•"/>
      <w:lvlJc w:val="left"/>
      <w:pPr>
        <w:ind w:left="2552" w:hanging="134"/>
      </w:pPr>
      <w:rPr>
        <w:rFonts w:hint="default"/>
      </w:rPr>
    </w:lvl>
  </w:abstractNum>
  <w:abstractNum w:abstractNumId="21" w15:restartNumberingAfterBreak="0">
    <w:nsid w:val="5D9A15C3"/>
    <w:multiLevelType w:val="hybridMultilevel"/>
    <w:tmpl w:val="1E9823CC"/>
    <w:lvl w:ilvl="0" w:tplc="AA18F162">
      <w:start w:val="1"/>
      <w:numFmt w:val="bullet"/>
      <w:lvlText w:val="•"/>
      <w:lvlJc w:val="left"/>
      <w:pPr>
        <w:ind w:left="245" w:hanging="134"/>
      </w:pPr>
      <w:rPr>
        <w:rFonts w:ascii="Arial Unicode MS" w:eastAsia="Arial Unicode MS" w:hAnsi="Arial Unicode MS" w:hint="default"/>
        <w:w w:val="107"/>
        <w:sz w:val="21"/>
        <w:szCs w:val="21"/>
      </w:rPr>
    </w:lvl>
    <w:lvl w:ilvl="1" w:tplc="D886110C">
      <w:start w:val="1"/>
      <w:numFmt w:val="bullet"/>
      <w:lvlText w:val="•"/>
      <w:lvlJc w:val="left"/>
      <w:pPr>
        <w:ind w:left="494" w:hanging="134"/>
      </w:pPr>
      <w:rPr>
        <w:rFonts w:hint="default"/>
      </w:rPr>
    </w:lvl>
    <w:lvl w:ilvl="2" w:tplc="5C048F26">
      <w:start w:val="1"/>
      <w:numFmt w:val="bullet"/>
      <w:lvlText w:val="•"/>
      <w:lvlJc w:val="left"/>
      <w:pPr>
        <w:ind w:left="744" w:hanging="134"/>
      </w:pPr>
      <w:rPr>
        <w:rFonts w:hint="default"/>
      </w:rPr>
    </w:lvl>
    <w:lvl w:ilvl="3" w:tplc="44DACB5A">
      <w:start w:val="1"/>
      <w:numFmt w:val="bullet"/>
      <w:lvlText w:val="•"/>
      <w:lvlJc w:val="left"/>
      <w:pPr>
        <w:ind w:left="993" w:hanging="134"/>
      </w:pPr>
      <w:rPr>
        <w:rFonts w:hint="default"/>
      </w:rPr>
    </w:lvl>
    <w:lvl w:ilvl="4" w:tplc="B8B465F0">
      <w:start w:val="1"/>
      <w:numFmt w:val="bullet"/>
      <w:lvlText w:val="•"/>
      <w:lvlJc w:val="left"/>
      <w:pPr>
        <w:ind w:left="1242" w:hanging="134"/>
      </w:pPr>
      <w:rPr>
        <w:rFonts w:hint="default"/>
      </w:rPr>
    </w:lvl>
    <w:lvl w:ilvl="5" w:tplc="1FDCA722">
      <w:start w:val="1"/>
      <w:numFmt w:val="bullet"/>
      <w:lvlText w:val="•"/>
      <w:lvlJc w:val="left"/>
      <w:pPr>
        <w:ind w:left="1491" w:hanging="134"/>
      </w:pPr>
      <w:rPr>
        <w:rFonts w:hint="default"/>
      </w:rPr>
    </w:lvl>
    <w:lvl w:ilvl="6" w:tplc="62501116">
      <w:start w:val="1"/>
      <w:numFmt w:val="bullet"/>
      <w:lvlText w:val="•"/>
      <w:lvlJc w:val="left"/>
      <w:pPr>
        <w:ind w:left="1740" w:hanging="134"/>
      </w:pPr>
      <w:rPr>
        <w:rFonts w:hint="default"/>
      </w:rPr>
    </w:lvl>
    <w:lvl w:ilvl="7" w:tplc="EA9AA01C">
      <w:start w:val="1"/>
      <w:numFmt w:val="bullet"/>
      <w:lvlText w:val="•"/>
      <w:lvlJc w:val="left"/>
      <w:pPr>
        <w:ind w:left="1989" w:hanging="134"/>
      </w:pPr>
      <w:rPr>
        <w:rFonts w:hint="default"/>
      </w:rPr>
    </w:lvl>
    <w:lvl w:ilvl="8" w:tplc="005E787C">
      <w:start w:val="1"/>
      <w:numFmt w:val="bullet"/>
      <w:lvlText w:val="•"/>
      <w:lvlJc w:val="left"/>
      <w:pPr>
        <w:ind w:left="2239" w:hanging="134"/>
      </w:pPr>
      <w:rPr>
        <w:rFonts w:hint="default"/>
      </w:rPr>
    </w:lvl>
  </w:abstractNum>
  <w:abstractNum w:abstractNumId="22" w15:restartNumberingAfterBreak="0">
    <w:nsid w:val="688D2C9E"/>
    <w:multiLevelType w:val="singleLevel"/>
    <w:tmpl w:val="976C8326"/>
    <w:lvl w:ilvl="0">
      <w:start w:val="1"/>
      <w:numFmt w:val="bullet"/>
      <w:lvlText w:val=""/>
      <w:lvlJc w:val="left"/>
      <w:pPr>
        <w:tabs>
          <w:tab w:val="num" w:pos="360"/>
        </w:tabs>
        <w:ind w:left="284" w:hanging="284"/>
      </w:pPr>
      <w:rPr>
        <w:rFonts w:ascii="Symbol" w:hAnsi="Symbol" w:hint="default"/>
        <w:sz w:val="18"/>
      </w:rPr>
    </w:lvl>
  </w:abstractNum>
  <w:abstractNum w:abstractNumId="23" w15:restartNumberingAfterBreak="0">
    <w:nsid w:val="6A493BA7"/>
    <w:multiLevelType w:val="hybridMultilevel"/>
    <w:tmpl w:val="54A49246"/>
    <w:lvl w:ilvl="0" w:tplc="32401D94">
      <w:start w:val="1"/>
      <w:numFmt w:val="bullet"/>
      <w:lvlText w:val="–"/>
      <w:lvlJc w:val="left"/>
      <w:pPr>
        <w:ind w:left="701" w:hanging="284"/>
      </w:pPr>
      <w:rPr>
        <w:rFonts w:ascii="Arial Black" w:eastAsia="Arial Black" w:hAnsi="Arial Black" w:hint="default"/>
        <w:b/>
        <w:bCs/>
        <w:sz w:val="21"/>
        <w:szCs w:val="21"/>
      </w:rPr>
    </w:lvl>
    <w:lvl w:ilvl="1" w:tplc="2702D4F0">
      <w:start w:val="1"/>
      <w:numFmt w:val="bullet"/>
      <w:lvlText w:val="•"/>
      <w:lvlJc w:val="left"/>
      <w:pPr>
        <w:ind w:left="1149" w:hanging="284"/>
      </w:pPr>
      <w:rPr>
        <w:rFonts w:hint="default"/>
      </w:rPr>
    </w:lvl>
    <w:lvl w:ilvl="2" w:tplc="7E12EC3E">
      <w:start w:val="1"/>
      <w:numFmt w:val="bullet"/>
      <w:lvlText w:val="•"/>
      <w:lvlJc w:val="left"/>
      <w:pPr>
        <w:ind w:left="1596" w:hanging="284"/>
      </w:pPr>
      <w:rPr>
        <w:rFonts w:hint="default"/>
      </w:rPr>
    </w:lvl>
    <w:lvl w:ilvl="3" w:tplc="8AE0534C">
      <w:start w:val="1"/>
      <w:numFmt w:val="bullet"/>
      <w:lvlText w:val="•"/>
      <w:lvlJc w:val="left"/>
      <w:pPr>
        <w:ind w:left="2044" w:hanging="284"/>
      </w:pPr>
      <w:rPr>
        <w:rFonts w:hint="default"/>
      </w:rPr>
    </w:lvl>
    <w:lvl w:ilvl="4" w:tplc="23967D3A">
      <w:start w:val="1"/>
      <w:numFmt w:val="bullet"/>
      <w:lvlText w:val="•"/>
      <w:lvlJc w:val="left"/>
      <w:pPr>
        <w:ind w:left="2492" w:hanging="284"/>
      </w:pPr>
      <w:rPr>
        <w:rFonts w:hint="default"/>
      </w:rPr>
    </w:lvl>
    <w:lvl w:ilvl="5" w:tplc="A1105360">
      <w:start w:val="1"/>
      <w:numFmt w:val="bullet"/>
      <w:lvlText w:val="•"/>
      <w:lvlJc w:val="left"/>
      <w:pPr>
        <w:ind w:left="2940" w:hanging="284"/>
      </w:pPr>
      <w:rPr>
        <w:rFonts w:hint="default"/>
      </w:rPr>
    </w:lvl>
    <w:lvl w:ilvl="6" w:tplc="1D5A8006">
      <w:start w:val="1"/>
      <w:numFmt w:val="bullet"/>
      <w:lvlText w:val="•"/>
      <w:lvlJc w:val="left"/>
      <w:pPr>
        <w:ind w:left="3388" w:hanging="284"/>
      </w:pPr>
      <w:rPr>
        <w:rFonts w:hint="default"/>
      </w:rPr>
    </w:lvl>
    <w:lvl w:ilvl="7" w:tplc="CAD8527E">
      <w:start w:val="1"/>
      <w:numFmt w:val="bullet"/>
      <w:lvlText w:val="•"/>
      <w:lvlJc w:val="left"/>
      <w:pPr>
        <w:ind w:left="3836" w:hanging="284"/>
      </w:pPr>
      <w:rPr>
        <w:rFonts w:hint="default"/>
      </w:rPr>
    </w:lvl>
    <w:lvl w:ilvl="8" w:tplc="2DAA237C">
      <w:start w:val="1"/>
      <w:numFmt w:val="bullet"/>
      <w:lvlText w:val="•"/>
      <w:lvlJc w:val="left"/>
      <w:pPr>
        <w:ind w:left="4284" w:hanging="284"/>
      </w:pPr>
      <w:rPr>
        <w:rFonts w:hint="default"/>
      </w:rPr>
    </w:lvl>
  </w:abstractNum>
  <w:abstractNum w:abstractNumId="24" w15:restartNumberingAfterBreak="0">
    <w:nsid w:val="6A871412"/>
    <w:multiLevelType w:val="hybridMultilevel"/>
    <w:tmpl w:val="679EAFA2"/>
    <w:lvl w:ilvl="0" w:tplc="59822F40">
      <w:start w:val="1"/>
      <w:numFmt w:val="bullet"/>
      <w:lvlText w:val="•"/>
      <w:lvlJc w:val="left"/>
      <w:pPr>
        <w:ind w:left="1984" w:hanging="284"/>
      </w:pPr>
      <w:rPr>
        <w:rFonts w:ascii="Lucida Sans Unicode" w:eastAsia="Lucida Sans Unicode" w:hAnsi="Lucida Sans Unicode" w:hint="default"/>
        <w:w w:val="59"/>
        <w:sz w:val="21"/>
        <w:szCs w:val="21"/>
      </w:rPr>
    </w:lvl>
    <w:lvl w:ilvl="1" w:tplc="0298ED54">
      <w:start w:val="1"/>
      <w:numFmt w:val="bullet"/>
      <w:lvlText w:val="•"/>
      <w:lvlJc w:val="left"/>
      <w:pPr>
        <w:ind w:left="2808" w:hanging="284"/>
      </w:pPr>
      <w:rPr>
        <w:rFonts w:hint="default"/>
      </w:rPr>
    </w:lvl>
    <w:lvl w:ilvl="2" w:tplc="3ACE3B56">
      <w:start w:val="1"/>
      <w:numFmt w:val="bullet"/>
      <w:lvlText w:val="•"/>
      <w:lvlJc w:val="left"/>
      <w:pPr>
        <w:ind w:left="3632" w:hanging="284"/>
      </w:pPr>
      <w:rPr>
        <w:rFonts w:hint="default"/>
      </w:rPr>
    </w:lvl>
    <w:lvl w:ilvl="3" w:tplc="AA96C0BE">
      <w:start w:val="1"/>
      <w:numFmt w:val="bullet"/>
      <w:lvlText w:val="•"/>
      <w:lvlJc w:val="left"/>
      <w:pPr>
        <w:ind w:left="4456" w:hanging="284"/>
      </w:pPr>
      <w:rPr>
        <w:rFonts w:hint="default"/>
      </w:rPr>
    </w:lvl>
    <w:lvl w:ilvl="4" w:tplc="CA98A634">
      <w:start w:val="1"/>
      <w:numFmt w:val="bullet"/>
      <w:lvlText w:val="•"/>
      <w:lvlJc w:val="left"/>
      <w:pPr>
        <w:ind w:left="5280" w:hanging="284"/>
      </w:pPr>
      <w:rPr>
        <w:rFonts w:hint="default"/>
      </w:rPr>
    </w:lvl>
    <w:lvl w:ilvl="5" w:tplc="AA4A5076">
      <w:start w:val="1"/>
      <w:numFmt w:val="bullet"/>
      <w:lvlText w:val="•"/>
      <w:lvlJc w:val="left"/>
      <w:pPr>
        <w:ind w:left="6104" w:hanging="284"/>
      </w:pPr>
      <w:rPr>
        <w:rFonts w:hint="default"/>
      </w:rPr>
    </w:lvl>
    <w:lvl w:ilvl="6" w:tplc="44422EEC">
      <w:start w:val="1"/>
      <w:numFmt w:val="bullet"/>
      <w:lvlText w:val="•"/>
      <w:lvlJc w:val="left"/>
      <w:pPr>
        <w:ind w:left="6929" w:hanging="284"/>
      </w:pPr>
      <w:rPr>
        <w:rFonts w:hint="default"/>
      </w:rPr>
    </w:lvl>
    <w:lvl w:ilvl="7" w:tplc="91644454">
      <w:start w:val="1"/>
      <w:numFmt w:val="bullet"/>
      <w:lvlText w:val="•"/>
      <w:lvlJc w:val="left"/>
      <w:pPr>
        <w:ind w:left="7753" w:hanging="284"/>
      </w:pPr>
      <w:rPr>
        <w:rFonts w:hint="default"/>
      </w:rPr>
    </w:lvl>
    <w:lvl w:ilvl="8" w:tplc="99B2DCF6">
      <w:start w:val="1"/>
      <w:numFmt w:val="bullet"/>
      <w:lvlText w:val="•"/>
      <w:lvlJc w:val="left"/>
      <w:pPr>
        <w:ind w:left="8577" w:hanging="284"/>
      </w:pPr>
      <w:rPr>
        <w:rFonts w:hint="default"/>
      </w:rPr>
    </w:lvl>
  </w:abstractNum>
  <w:abstractNum w:abstractNumId="25" w15:restartNumberingAfterBreak="0">
    <w:nsid w:val="6AB61074"/>
    <w:multiLevelType w:val="hybridMultilevel"/>
    <w:tmpl w:val="E9D8A206"/>
    <w:lvl w:ilvl="0" w:tplc="32DEC6B8">
      <w:start w:val="1"/>
      <w:numFmt w:val="bullet"/>
      <w:lvlText w:val="–"/>
      <w:lvlJc w:val="left"/>
      <w:pPr>
        <w:ind w:left="662" w:hanging="284"/>
      </w:pPr>
      <w:rPr>
        <w:rFonts w:ascii="Arial Black" w:eastAsia="Arial Black" w:hAnsi="Arial Black" w:hint="default"/>
        <w:b/>
        <w:bCs/>
        <w:sz w:val="21"/>
        <w:szCs w:val="21"/>
      </w:rPr>
    </w:lvl>
    <w:lvl w:ilvl="1" w:tplc="040C801C">
      <w:start w:val="1"/>
      <w:numFmt w:val="bullet"/>
      <w:lvlText w:val="•"/>
      <w:lvlJc w:val="left"/>
      <w:pPr>
        <w:ind w:left="1109" w:hanging="284"/>
      </w:pPr>
      <w:rPr>
        <w:rFonts w:hint="default"/>
      </w:rPr>
    </w:lvl>
    <w:lvl w:ilvl="2" w:tplc="1250F1EE">
      <w:start w:val="1"/>
      <w:numFmt w:val="bullet"/>
      <w:lvlText w:val="•"/>
      <w:lvlJc w:val="left"/>
      <w:pPr>
        <w:ind w:left="1557" w:hanging="284"/>
      </w:pPr>
      <w:rPr>
        <w:rFonts w:hint="default"/>
      </w:rPr>
    </w:lvl>
    <w:lvl w:ilvl="3" w:tplc="EED03DEA">
      <w:start w:val="1"/>
      <w:numFmt w:val="bullet"/>
      <w:lvlText w:val="•"/>
      <w:lvlJc w:val="left"/>
      <w:pPr>
        <w:ind w:left="2005" w:hanging="284"/>
      </w:pPr>
      <w:rPr>
        <w:rFonts w:hint="default"/>
      </w:rPr>
    </w:lvl>
    <w:lvl w:ilvl="4" w:tplc="C2526822">
      <w:start w:val="1"/>
      <w:numFmt w:val="bullet"/>
      <w:lvlText w:val="•"/>
      <w:lvlJc w:val="left"/>
      <w:pPr>
        <w:ind w:left="2453" w:hanging="284"/>
      </w:pPr>
      <w:rPr>
        <w:rFonts w:hint="default"/>
      </w:rPr>
    </w:lvl>
    <w:lvl w:ilvl="5" w:tplc="3B98B002">
      <w:start w:val="1"/>
      <w:numFmt w:val="bullet"/>
      <w:lvlText w:val="•"/>
      <w:lvlJc w:val="left"/>
      <w:pPr>
        <w:ind w:left="2901" w:hanging="284"/>
      </w:pPr>
      <w:rPr>
        <w:rFonts w:hint="default"/>
      </w:rPr>
    </w:lvl>
    <w:lvl w:ilvl="6" w:tplc="E2B4B88C">
      <w:start w:val="1"/>
      <w:numFmt w:val="bullet"/>
      <w:lvlText w:val="•"/>
      <w:lvlJc w:val="left"/>
      <w:pPr>
        <w:ind w:left="3349" w:hanging="284"/>
      </w:pPr>
      <w:rPr>
        <w:rFonts w:hint="default"/>
      </w:rPr>
    </w:lvl>
    <w:lvl w:ilvl="7" w:tplc="716A8E58">
      <w:start w:val="1"/>
      <w:numFmt w:val="bullet"/>
      <w:lvlText w:val="•"/>
      <w:lvlJc w:val="left"/>
      <w:pPr>
        <w:ind w:left="3797" w:hanging="284"/>
      </w:pPr>
      <w:rPr>
        <w:rFonts w:hint="default"/>
      </w:rPr>
    </w:lvl>
    <w:lvl w:ilvl="8" w:tplc="31BAFC90">
      <w:start w:val="1"/>
      <w:numFmt w:val="bullet"/>
      <w:lvlText w:val="•"/>
      <w:lvlJc w:val="left"/>
      <w:pPr>
        <w:ind w:left="4245" w:hanging="284"/>
      </w:pPr>
      <w:rPr>
        <w:rFonts w:hint="default"/>
      </w:rPr>
    </w:lvl>
  </w:abstractNum>
  <w:abstractNum w:abstractNumId="26" w15:restartNumberingAfterBreak="0">
    <w:nsid w:val="761C54D3"/>
    <w:multiLevelType w:val="hybridMultilevel"/>
    <w:tmpl w:val="6F1E4EBE"/>
    <w:lvl w:ilvl="0" w:tplc="14090001">
      <w:start w:val="1"/>
      <w:numFmt w:val="bullet"/>
      <w:lvlText w:val=""/>
      <w:lvlJc w:val="left"/>
      <w:pPr>
        <w:tabs>
          <w:tab w:val="num" w:pos="360"/>
        </w:tabs>
        <w:ind w:left="360" w:hanging="360"/>
      </w:pPr>
      <w:rPr>
        <w:rFonts w:ascii="Symbol" w:hAnsi="Symbol" w:hint="default"/>
      </w:rPr>
    </w:lvl>
    <w:lvl w:ilvl="1" w:tplc="1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0B609F"/>
    <w:multiLevelType w:val="hybridMultilevel"/>
    <w:tmpl w:val="DADE0218"/>
    <w:lvl w:ilvl="0" w:tplc="B80C461A">
      <w:start w:val="1"/>
      <w:numFmt w:val="bullet"/>
      <w:lvlText w:val="•"/>
      <w:lvlJc w:val="left"/>
      <w:pPr>
        <w:ind w:left="587" w:hanging="284"/>
      </w:pPr>
      <w:rPr>
        <w:rFonts w:ascii="Lucida Sans Unicode" w:eastAsia="Lucida Sans Unicode" w:hAnsi="Lucida Sans Unicode" w:hint="default"/>
        <w:w w:val="59"/>
        <w:sz w:val="21"/>
        <w:szCs w:val="21"/>
      </w:rPr>
    </w:lvl>
    <w:lvl w:ilvl="1" w:tplc="DA12774A">
      <w:start w:val="1"/>
      <w:numFmt w:val="bullet"/>
      <w:lvlText w:val="•"/>
      <w:lvlJc w:val="left"/>
      <w:pPr>
        <w:ind w:left="2267" w:hanging="284"/>
      </w:pPr>
      <w:rPr>
        <w:rFonts w:ascii="Lucida Sans Unicode" w:eastAsia="Lucida Sans Unicode" w:hAnsi="Lucida Sans Unicode" w:hint="default"/>
        <w:w w:val="59"/>
        <w:sz w:val="21"/>
        <w:szCs w:val="21"/>
      </w:rPr>
    </w:lvl>
    <w:lvl w:ilvl="2" w:tplc="C6E244EC">
      <w:start w:val="1"/>
      <w:numFmt w:val="bullet"/>
      <w:lvlText w:val="•"/>
      <w:lvlJc w:val="left"/>
      <w:pPr>
        <w:ind w:left="2689" w:hanging="284"/>
      </w:pPr>
      <w:rPr>
        <w:rFonts w:hint="default"/>
      </w:rPr>
    </w:lvl>
    <w:lvl w:ilvl="3" w:tplc="8ADA74DA">
      <w:start w:val="1"/>
      <w:numFmt w:val="bullet"/>
      <w:lvlText w:val="•"/>
      <w:lvlJc w:val="left"/>
      <w:pPr>
        <w:ind w:left="3111" w:hanging="284"/>
      </w:pPr>
      <w:rPr>
        <w:rFonts w:hint="default"/>
      </w:rPr>
    </w:lvl>
    <w:lvl w:ilvl="4" w:tplc="4FC0E628">
      <w:start w:val="1"/>
      <w:numFmt w:val="bullet"/>
      <w:lvlText w:val="•"/>
      <w:lvlJc w:val="left"/>
      <w:pPr>
        <w:ind w:left="3532" w:hanging="284"/>
      </w:pPr>
      <w:rPr>
        <w:rFonts w:hint="default"/>
      </w:rPr>
    </w:lvl>
    <w:lvl w:ilvl="5" w:tplc="531CD59C">
      <w:start w:val="1"/>
      <w:numFmt w:val="bullet"/>
      <w:lvlText w:val="•"/>
      <w:lvlJc w:val="left"/>
      <w:pPr>
        <w:ind w:left="3954" w:hanging="284"/>
      </w:pPr>
      <w:rPr>
        <w:rFonts w:hint="default"/>
      </w:rPr>
    </w:lvl>
    <w:lvl w:ilvl="6" w:tplc="53CAE810">
      <w:start w:val="1"/>
      <w:numFmt w:val="bullet"/>
      <w:lvlText w:val="•"/>
      <w:lvlJc w:val="left"/>
      <w:pPr>
        <w:ind w:left="4376" w:hanging="284"/>
      </w:pPr>
      <w:rPr>
        <w:rFonts w:hint="default"/>
      </w:rPr>
    </w:lvl>
    <w:lvl w:ilvl="7" w:tplc="4F583E0A">
      <w:start w:val="1"/>
      <w:numFmt w:val="bullet"/>
      <w:lvlText w:val="•"/>
      <w:lvlJc w:val="left"/>
      <w:pPr>
        <w:ind w:left="4798" w:hanging="284"/>
      </w:pPr>
      <w:rPr>
        <w:rFonts w:hint="default"/>
      </w:rPr>
    </w:lvl>
    <w:lvl w:ilvl="8" w:tplc="4E8A9C6C">
      <w:start w:val="1"/>
      <w:numFmt w:val="bullet"/>
      <w:lvlText w:val="•"/>
      <w:lvlJc w:val="left"/>
      <w:pPr>
        <w:ind w:left="5219" w:hanging="284"/>
      </w:pPr>
      <w:rPr>
        <w:rFonts w:hint="default"/>
      </w:rPr>
    </w:lvl>
  </w:abstractNum>
  <w:abstractNum w:abstractNumId="28" w15:restartNumberingAfterBreak="0">
    <w:nsid w:val="7A46122C"/>
    <w:multiLevelType w:val="hybridMultilevel"/>
    <w:tmpl w:val="5888C120"/>
    <w:lvl w:ilvl="0" w:tplc="14090017">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9"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30" w15:restartNumberingAfterBreak="0">
    <w:nsid w:val="7C970E9C"/>
    <w:multiLevelType w:val="hybridMultilevel"/>
    <w:tmpl w:val="4384984A"/>
    <w:lvl w:ilvl="0" w:tplc="C93A288C">
      <w:start w:val="1"/>
      <w:numFmt w:val="bullet"/>
      <w:lvlText w:val="•"/>
      <w:lvlJc w:val="left"/>
      <w:pPr>
        <w:ind w:left="246" w:hanging="134"/>
      </w:pPr>
      <w:rPr>
        <w:rFonts w:ascii="Arial Unicode MS" w:eastAsia="Arial Unicode MS" w:hAnsi="Arial Unicode MS" w:hint="default"/>
        <w:w w:val="107"/>
        <w:sz w:val="21"/>
        <w:szCs w:val="21"/>
      </w:rPr>
    </w:lvl>
    <w:lvl w:ilvl="1" w:tplc="DA5E0414">
      <w:start w:val="1"/>
      <w:numFmt w:val="bullet"/>
      <w:lvlText w:val="•"/>
      <w:lvlJc w:val="left"/>
      <w:pPr>
        <w:ind w:left="464" w:hanging="134"/>
      </w:pPr>
      <w:rPr>
        <w:rFonts w:hint="default"/>
      </w:rPr>
    </w:lvl>
    <w:lvl w:ilvl="2" w:tplc="E29E55C8">
      <w:start w:val="1"/>
      <w:numFmt w:val="bullet"/>
      <w:lvlText w:val="•"/>
      <w:lvlJc w:val="left"/>
      <w:pPr>
        <w:ind w:left="682" w:hanging="134"/>
      </w:pPr>
      <w:rPr>
        <w:rFonts w:hint="default"/>
      </w:rPr>
    </w:lvl>
    <w:lvl w:ilvl="3" w:tplc="38AA3A8C">
      <w:start w:val="1"/>
      <w:numFmt w:val="bullet"/>
      <w:lvlText w:val="•"/>
      <w:lvlJc w:val="left"/>
      <w:pPr>
        <w:ind w:left="900" w:hanging="134"/>
      </w:pPr>
      <w:rPr>
        <w:rFonts w:hint="default"/>
      </w:rPr>
    </w:lvl>
    <w:lvl w:ilvl="4" w:tplc="6280268C">
      <w:start w:val="1"/>
      <w:numFmt w:val="bullet"/>
      <w:lvlText w:val="•"/>
      <w:lvlJc w:val="left"/>
      <w:pPr>
        <w:ind w:left="1118" w:hanging="134"/>
      </w:pPr>
      <w:rPr>
        <w:rFonts w:hint="default"/>
      </w:rPr>
    </w:lvl>
    <w:lvl w:ilvl="5" w:tplc="41CA4FC0">
      <w:start w:val="1"/>
      <w:numFmt w:val="bullet"/>
      <w:lvlText w:val="•"/>
      <w:lvlJc w:val="left"/>
      <w:pPr>
        <w:ind w:left="1336" w:hanging="134"/>
      </w:pPr>
      <w:rPr>
        <w:rFonts w:hint="default"/>
      </w:rPr>
    </w:lvl>
    <w:lvl w:ilvl="6" w:tplc="F828CB0C">
      <w:start w:val="1"/>
      <w:numFmt w:val="bullet"/>
      <w:lvlText w:val="•"/>
      <w:lvlJc w:val="left"/>
      <w:pPr>
        <w:ind w:left="1554" w:hanging="134"/>
      </w:pPr>
      <w:rPr>
        <w:rFonts w:hint="default"/>
      </w:rPr>
    </w:lvl>
    <w:lvl w:ilvl="7" w:tplc="21BEBEB6">
      <w:start w:val="1"/>
      <w:numFmt w:val="bullet"/>
      <w:lvlText w:val="•"/>
      <w:lvlJc w:val="left"/>
      <w:pPr>
        <w:ind w:left="1771" w:hanging="134"/>
      </w:pPr>
      <w:rPr>
        <w:rFonts w:hint="default"/>
      </w:rPr>
    </w:lvl>
    <w:lvl w:ilvl="8" w:tplc="D11CBA8E">
      <w:start w:val="1"/>
      <w:numFmt w:val="bullet"/>
      <w:lvlText w:val="•"/>
      <w:lvlJc w:val="left"/>
      <w:pPr>
        <w:ind w:left="1989" w:hanging="134"/>
      </w:pPr>
      <w:rPr>
        <w:rFonts w:hint="default"/>
      </w:rPr>
    </w:lvl>
  </w:abstractNum>
  <w:abstractNum w:abstractNumId="31" w15:restartNumberingAfterBreak="0">
    <w:nsid w:val="7CC72B21"/>
    <w:multiLevelType w:val="multilevel"/>
    <w:tmpl w:val="273EF2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9"/>
  </w:num>
  <w:num w:numId="2">
    <w:abstractNumId w:val="22"/>
  </w:num>
  <w:num w:numId="3">
    <w:abstractNumId w:val="15"/>
  </w:num>
  <w:num w:numId="4">
    <w:abstractNumId w:val="16"/>
  </w:num>
  <w:num w:numId="5">
    <w:abstractNumId w:val="0"/>
  </w:num>
  <w:num w:numId="6">
    <w:abstractNumId w:val="31"/>
  </w:num>
  <w:num w:numId="7">
    <w:abstractNumId w:val="12"/>
  </w:num>
  <w:num w:numId="8">
    <w:abstractNumId w:val="2"/>
  </w:num>
  <w:num w:numId="9">
    <w:abstractNumId w:val="28"/>
  </w:num>
  <w:num w:numId="10">
    <w:abstractNumId w:val="1"/>
  </w:num>
  <w:num w:numId="11">
    <w:abstractNumId w:val="26"/>
  </w:num>
  <w:num w:numId="12">
    <w:abstractNumId w:val="3"/>
  </w:num>
  <w:num w:numId="13">
    <w:abstractNumId w:val="7"/>
  </w:num>
  <w:num w:numId="14">
    <w:abstractNumId w:val="5"/>
  </w:num>
  <w:num w:numId="15">
    <w:abstractNumId w:val="8"/>
  </w:num>
  <w:num w:numId="16">
    <w:abstractNumId w:val="19"/>
  </w:num>
  <w:num w:numId="17">
    <w:abstractNumId w:val="10"/>
  </w:num>
  <w:num w:numId="18">
    <w:abstractNumId w:val="24"/>
  </w:num>
  <w:num w:numId="19">
    <w:abstractNumId w:val="11"/>
  </w:num>
  <w:num w:numId="20">
    <w:abstractNumId w:val="18"/>
  </w:num>
  <w:num w:numId="21">
    <w:abstractNumId w:val="6"/>
  </w:num>
  <w:num w:numId="22">
    <w:abstractNumId w:val="4"/>
  </w:num>
  <w:num w:numId="23">
    <w:abstractNumId w:val="21"/>
  </w:num>
  <w:num w:numId="24">
    <w:abstractNumId w:val="20"/>
  </w:num>
  <w:num w:numId="25">
    <w:abstractNumId w:val="30"/>
  </w:num>
  <w:num w:numId="26">
    <w:abstractNumId w:val="13"/>
  </w:num>
  <w:num w:numId="27">
    <w:abstractNumId w:val="25"/>
  </w:num>
  <w:num w:numId="28">
    <w:abstractNumId w:val="23"/>
  </w:num>
  <w:num w:numId="29">
    <w:abstractNumId w:val="17"/>
  </w:num>
  <w:num w:numId="30">
    <w:abstractNumId w:val="9"/>
  </w:num>
  <w:num w:numId="31">
    <w:abstractNumId w:val="27"/>
  </w:num>
  <w:num w:numId="3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25A6F"/>
    <w:rsid w:val="0002618D"/>
    <w:rsid w:val="00030B26"/>
    <w:rsid w:val="00030E84"/>
    <w:rsid w:val="00032C0A"/>
    <w:rsid w:val="00035257"/>
    <w:rsid w:val="00035D68"/>
    <w:rsid w:val="00054B44"/>
    <w:rsid w:val="0006228D"/>
    <w:rsid w:val="00072BD6"/>
    <w:rsid w:val="000741DA"/>
    <w:rsid w:val="00075B78"/>
    <w:rsid w:val="000763E9"/>
    <w:rsid w:val="00082CD6"/>
    <w:rsid w:val="0008437D"/>
    <w:rsid w:val="00085AFE"/>
    <w:rsid w:val="000922E7"/>
    <w:rsid w:val="00094800"/>
    <w:rsid w:val="000A1017"/>
    <w:rsid w:val="000A41ED"/>
    <w:rsid w:val="000B0730"/>
    <w:rsid w:val="000D19F4"/>
    <w:rsid w:val="000D58DD"/>
    <w:rsid w:val="000F2AE2"/>
    <w:rsid w:val="000F2BFF"/>
    <w:rsid w:val="00102063"/>
    <w:rsid w:val="0010541C"/>
    <w:rsid w:val="00106F93"/>
    <w:rsid w:val="00111D50"/>
    <w:rsid w:val="00111EFE"/>
    <w:rsid w:val="00113B8E"/>
    <w:rsid w:val="0012053C"/>
    <w:rsid w:val="001212B8"/>
    <w:rsid w:val="00122363"/>
    <w:rsid w:val="001342C7"/>
    <w:rsid w:val="0013585C"/>
    <w:rsid w:val="00142261"/>
    <w:rsid w:val="00142954"/>
    <w:rsid w:val="001460E0"/>
    <w:rsid w:val="001472F0"/>
    <w:rsid w:val="00147F71"/>
    <w:rsid w:val="00150A6E"/>
    <w:rsid w:val="0016304B"/>
    <w:rsid w:val="0016468A"/>
    <w:rsid w:val="0018662D"/>
    <w:rsid w:val="00197427"/>
    <w:rsid w:val="001A21B4"/>
    <w:rsid w:val="001A2554"/>
    <w:rsid w:val="001A5CF5"/>
    <w:rsid w:val="001B0EDB"/>
    <w:rsid w:val="001B1775"/>
    <w:rsid w:val="001B39D2"/>
    <w:rsid w:val="001B4BF8"/>
    <w:rsid w:val="001C32E4"/>
    <w:rsid w:val="001C4326"/>
    <w:rsid w:val="001C665E"/>
    <w:rsid w:val="001C7785"/>
    <w:rsid w:val="001D067B"/>
    <w:rsid w:val="001D12CE"/>
    <w:rsid w:val="001D3541"/>
    <w:rsid w:val="001D3E4E"/>
    <w:rsid w:val="001E06DE"/>
    <w:rsid w:val="001E254A"/>
    <w:rsid w:val="001E7386"/>
    <w:rsid w:val="001F45A7"/>
    <w:rsid w:val="001F643B"/>
    <w:rsid w:val="00201A01"/>
    <w:rsid w:val="0020754B"/>
    <w:rsid w:val="002104D3"/>
    <w:rsid w:val="00213A33"/>
    <w:rsid w:val="0021763B"/>
    <w:rsid w:val="00246D16"/>
    <w:rsid w:val="00246DB1"/>
    <w:rsid w:val="002476B5"/>
    <w:rsid w:val="002520CC"/>
    <w:rsid w:val="00253ECF"/>
    <w:rsid w:val="002546A1"/>
    <w:rsid w:val="002628F4"/>
    <w:rsid w:val="002672F9"/>
    <w:rsid w:val="00275D08"/>
    <w:rsid w:val="002858E3"/>
    <w:rsid w:val="00286A2A"/>
    <w:rsid w:val="0029190A"/>
    <w:rsid w:val="00292C5A"/>
    <w:rsid w:val="00295241"/>
    <w:rsid w:val="002A4DFC"/>
    <w:rsid w:val="002B047D"/>
    <w:rsid w:val="002B07A5"/>
    <w:rsid w:val="002B732B"/>
    <w:rsid w:val="002B76A7"/>
    <w:rsid w:val="002C2219"/>
    <w:rsid w:val="002C2552"/>
    <w:rsid w:val="002C380A"/>
    <w:rsid w:val="002D0DF2"/>
    <w:rsid w:val="002D23BD"/>
    <w:rsid w:val="002E0B47"/>
    <w:rsid w:val="002F4685"/>
    <w:rsid w:val="002F7213"/>
    <w:rsid w:val="0030382F"/>
    <w:rsid w:val="0030408D"/>
    <w:rsid w:val="003060E4"/>
    <w:rsid w:val="003121EE"/>
    <w:rsid w:val="003160E7"/>
    <w:rsid w:val="0031739E"/>
    <w:rsid w:val="003309CA"/>
    <w:rsid w:val="003325AB"/>
    <w:rsid w:val="003332D1"/>
    <w:rsid w:val="0033412B"/>
    <w:rsid w:val="00341161"/>
    <w:rsid w:val="00343365"/>
    <w:rsid w:val="003445F4"/>
    <w:rsid w:val="00353501"/>
    <w:rsid w:val="00353734"/>
    <w:rsid w:val="003606F8"/>
    <w:rsid w:val="003635CA"/>
    <w:rsid w:val="003648EF"/>
    <w:rsid w:val="003673E6"/>
    <w:rsid w:val="00377264"/>
    <w:rsid w:val="003779D2"/>
    <w:rsid w:val="00385E38"/>
    <w:rsid w:val="003A2517"/>
    <w:rsid w:val="003A26A5"/>
    <w:rsid w:val="003A3761"/>
    <w:rsid w:val="003A512D"/>
    <w:rsid w:val="003A5FEA"/>
    <w:rsid w:val="003B0BA0"/>
    <w:rsid w:val="003B12C7"/>
    <w:rsid w:val="003B1D10"/>
    <w:rsid w:val="003C6527"/>
    <w:rsid w:val="003C76D4"/>
    <w:rsid w:val="003D137D"/>
    <w:rsid w:val="003D179B"/>
    <w:rsid w:val="003D1820"/>
    <w:rsid w:val="003D2CC5"/>
    <w:rsid w:val="003E04C1"/>
    <w:rsid w:val="003E0887"/>
    <w:rsid w:val="003E12A6"/>
    <w:rsid w:val="003E74C8"/>
    <w:rsid w:val="003E7C46"/>
    <w:rsid w:val="003F2106"/>
    <w:rsid w:val="003F52A7"/>
    <w:rsid w:val="003F7013"/>
    <w:rsid w:val="00401979"/>
    <w:rsid w:val="0040240C"/>
    <w:rsid w:val="004056DA"/>
    <w:rsid w:val="00413021"/>
    <w:rsid w:val="004301C6"/>
    <w:rsid w:val="0043478F"/>
    <w:rsid w:val="0043602B"/>
    <w:rsid w:val="00440BE0"/>
    <w:rsid w:val="00442904"/>
    <w:rsid w:val="00442C1C"/>
    <w:rsid w:val="0044584B"/>
    <w:rsid w:val="00447CB7"/>
    <w:rsid w:val="00455CC9"/>
    <w:rsid w:val="00460826"/>
    <w:rsid w:val="00460EA7"/>
    <w:rsid w:val="0046195B"/>
    <w:rsid w:val="0046362D"/>
    <w:rsid w:val="0046596D"/>
    <w:rsid w:val="00487C04"/>
    <w:rsid w:val="004907E1"/>
    <w:rsid w:val="004A035B"/>
    <w:rsid w:val="004A2108"/>
    <w:rsid w:val="004A38D7"/>
    <w:rsid w:val="004A778C"/>
    <w:rsid w:val="004B48C7"/>
    <w:rsid w:val="004C07B4"/>
    <w:rsid w:val="004C2E6A"/>
    <w:rsid w:val="004C64B8"/>
    <w:rsid w:val="004D2A2D"/>
    <w:rsid w:val="004D479F"/>
    <w:rsid w:val="004D4C8F"/>
    <w:rsid w:val="004D6689"/>
    <w:rsid w:val="004E1D1D"/>
    <w:rsid w:val="004E7AC8"/>
    <w:rsid w:val="004F0C94"/>
    <w:rsid w:val="004F5BB6"/>
    <w:rsid w:val="005019AE"/>
    <w:rsid w:val="00503749"/>
    <w:rsid w:val="00504CF4"/>
    <w:rsid w:val="0050635B"/>
    <w:rsid w:val="005151C2"/>
    <w:rsid w:val="00515EAE"/>
    <w:rsid w:val="0053199F"/>
    <w:rsid w:val="00531E12"/>
    <w:rsid w:val="00533B90"/>
    <w:rsid w:val="005410F8"/>
    <w:rsid w:val="005419C7"/>
    <w:rsid w:val="005448EC"/>
    <w:rsid w:val="00545963"/>
    <w:rsid w:val="00550256"/>
    <w:rsid w:val="00553165"/>
    <w:rsid w:val="00553958"/>
    <w:rsid w:val="00556BB7"/>
    <w:rsid w:val="0055763D"/>
    <w:rsid w:val="00561516"/>
    <w:rsid w:val="005621F2"/>
    <w:rsid w:val="005665FD"/>
    <w:rsid w:val="00566DB3"/>
    <w:rsid w:val="00567B58"/>
    <w:rsid w:val="00570070"/>
    <w:rsid w:val="00571223"/>
    <w:rsid w:val="005763E0"/>
    <w:rsid w:val="00581136"/>
    <w:rsid w:val="00581EB8"/>
    <w:rsid w:val="00587AC4"/>
    <w:rsid w:val="005A27CA"/>
    <w:rsid w:val="005A43BD"/>
    <w:rsid w:val="005A79E5"/>
    <w:rsid w:val="005C4132"/>
    <w:rsid w:val="005D034C"/>
    <w:rsid w:val="005E1833"/>
    <w:rsid w:val="005E226E"/>
    <w:rsid w:val="005E2636"/>
    <w:rsid w:val="005F77FC"/>
    <w:rsid w:val="006015D7"/>
    <w:rsid w:val="00601B21"/>
    <w:rsid w:val="006041F0"/>
    <w:rsid w:val="00605C6D"/>
    <w:rsid w:val="006120CA"/>
    <w:rsid w:val="00624174"/>
    <w:rsid w:val="00626CF8"/>
    <w:rsid w:val="006314AF"/>
    <w:rsid w:val="00634ED8"/>
    <w:rsid w:val="00636D7D"/>
    <w:rsid w:val="00637408"/>
    <w:rsid w:val="00642868"/>
    <w:rsid w:val="00647AFE"/>
    <w:rsid w:val="006512BC"/>
    <w:rsid w:val="00651CC6"/>
    <w:rsid w:val="00653A5A"/>
    <w:rsid w:val="006554AC"/>
    <w:rsid w:val="006575F4"/>
    <w:rsid w:val="006579E6"/>
    <w:rsid w:val="00660682"/>
    <w:rsid w:val="00660F74"/>
    <w:rsid w:val="00663EDC"/>
    <w:rsid w:val="00667E20"/>
    <w:rsid w:val="00671078"/>
    <w:rsid w:val="006758CA"/>
    <w:rsid w:val="0067720E"/>
    <w:rsid w:val="00680A04"/>
    <w:rsid w:val="00686D80"/>
    <w:rsid w:val="00694895"/>
    <w:rsid w:val="00697E2E"/>
    <w:rsid w:val="006A25A2"/>
    <w:rsid w:val="006A3B87"/>
    <w:rsid w:val="006A71C4"/>
    <w:rsid w:val="006B0E73"/>
    <w:rsid w:val="006B1E3D"/>
    <w:rsid w:val="006B4A4D"/>
    <w:rsid w:val="006B5695"/>
    <w:rsid w:val="006B73FB"/>
    <w:rsid w:val="006B7B2E"/>
    <w:rsid w:val="006C78EB"/>
    <w:rsid w:val="006D1660"/>
    <w:rsid w:val="006D63E5"/>
    <w:rsid w:val="006E1753"/>
    <w:rsid w:val="006E3911"/>
    <w:rsid w:val="006F1B67"/>
    <w:rsid w:val="006F4D9C"/>
    <w:rsid w:val="0070091D"/>
    <w:rsid w:val="007023B3"/>
    <w:rsid w:val="00702854"/>
    <w:rsid w:val="00715BA2"/>
    <w:rsid w:val="0071741C"/>
    <w:rsid w:val="007246D4"/>
    <w:rsid w:val="00742B90"/>
    <w:rsid w:val="0074434D"/>
    <w:rsid w:val="007570C4"/>
    <w:rsid w:val="007605B8"/>
    <w:rsid w:val="00766263"/>
    <w:rsid w:val="00771B1E"/>
    <w:rsid w:val="00773C95"/>
    <w:rsid w:val="0078171E"/>
    <w:rsid w:val="0078658E"/>
    <w:rsid w:val="007920E2"/>
    <w:rsid w:val="0079566E"/>
    <w:rsid w:val="00795B34"/>
    <w:rsid w:val="007A067F"/>
    <w:rsid w:val="007B1770"/>
    <w:rsid w:val="007B4D3E"/>
    <w:rsid w:val="007B7C70"/>
    <w:rsid w:val="007B7DEB"/>
    <w:rsid w:val="007C0449"/>
    <w:rsid w:val="007D2151"/>
    <w:rsid w:val="007D3B90"/>
    <w:rsid w:val="007D42CC"/>
    <w:rsid w:val="007D5DE4"/>
    <w:rsid w:val="007D7C3A"/>
    <w:rsid w:val="007E0777"/>
    <w:rsid w:val="007E1341"/>
    <w:rsid w:val="007E1B41"/>
    <w:rsid w:val="007E1EC4"/>
    <w:rsid w:val="007E30B9"/>
    <w:rsid w:val="007E74F1"/>
    <w:rsid w:val="007F0F0C"/>
    <w:rsid w:val="007F1288"/>
    <w:rsid w:val="007F1E6D"/>
    <w:rsid w:val="00800A8A"/>
    <w:rsid w:val="0080155C"/>
    <w:rsid w:val="008052E1"/>
    <w:rsid w:val="00822F2C"/>
    <w:rsid w:val="00823DEE"/>
    <w:rsid w:val="00827142"/>
    <w:rsid w:val="008305E8"/>
    <w:rsid w:val="00836165"/>
    <w:rsid w:val="0084640C"/>
    <w:rsid w:val="00856088"/>
    <w:rsid w:val="00860826"/>
    <w:rsid w:val="00860E21"/>
    <w:rsid w:val="00863117"/>
    <w:rsid w:val="008634FC"/>
    <w:rsid w:val="0086388B"/>
    <w:rsid w:val="008642E5"/>
    <w:rsid w:val="00864488"/>
    <w:rsid w:val="00870A36"/>
    <w:rsid w:val="00872D93"/>
    <w:rsid w:val="00880470"/>
    <w:rsid w:val="00880D94"/>
    <w:rsid w:val="00886F64"/>
    <w:rsid w:val="008924DE"/>
    <w:rsid w:val="00897953"/>
    <w:rsid w:val="008A3755"/>
    <w:rsid w:val="008B19DC"/>
    <w:rsid w:val="008B264F"/>
    <w:rsid w:val="008B6F83"/>
    <w:rsid w:val="008B7FD8"/>
    <w:rsid w:val="008C1108"/>
    <w:rsid w:val="008C2973"/>
    <w:rsid w:val="008C6324"/>
    <w:rsid w:val="008C64C4"/>
    <w:rsid w:val="008D2AB4"/>
    <w:rsid w:val="008D2CDD"/>
    <w:rsid w:val="008D74D5"/>
    <w:rsid w:val="008E0ED1"/>
    <w:rsid w:val="008E1780"/>
    <w:rsid w:val="008E3A07"/>
    <w:rsid w:val="008E537B"/>
    <w:rsid w:val="008F29BE"/>
    <w:rsid w:val="008F2B72"/>
    <w:rsid w:val="008F4AE5"/>
    <w:rsid w:val="008F51EB"/>
    <w:rsid w:val="00900197"/>
    <w:rsid w:val="00902F55"/>
    <w:rsid w:val="0090582B"/>
    <w:rsid w:val="009060C0"/>
    <w:rsid w:val="009114A2"/>
    <w:rsid w:val="009133F5"/>
    <w:rsid w:val="0091756F"/>
    <w:rsid w:val="00920A27"/>
    <w:rsid w:val="00921216"/>
    <w:rsid w:val="009216CC"/>
    <w:rsid w:val="00926083"/>
    <w:rsid w:val="00930D08"/>
    <w:rsid w:val="00931466"/>
    <w:rsid w:val="00932D69"/>
    <w:rsid w:val="00935589"/>
    <w:rsid w:val="00942F0F"/>
    <w:rsid w:val="00944647"/>
    <w:rsid w:val="00946221"/>
    <w:rsid w:val="0095565C"/>
    <w:rsid w:val="00964AB6"/>
    <w:rsid w:val="00965C18"/>
    <w:rsid w:val="00966F9A"/>
    <w:rsid w:val="0097294F"/>
    <w:rsid w:val="00977B8A"/>
    <w:rsid w:val="00982971"/>
    <w:rsid w:val="009845AD"/>
    <w:rsid w:val="00984835"/>
    <w:rsid w:val="0098639B"/>
    <w:rsid w:val="009933EF"/>
    <w:rsid w:val="00995BA0"/>
    <w:rsid w:val="009A418B"/>
    <w:rsid w:val="009A426F"/>
    <w:rsid w:val="009A42D5"/>
    <w:rsid w:val="009A4473"/>
    <w:rsid w:val="009B05C9"/>
    <w:rsid w:val="009B286C"/>
    <w:rsid w:val="009C151C"/>
    <w:rsid w:val="009C440A"/>
    <w:rsid w:val="009D5125"/>
    <w:rsid w:val="009D60B8"/>
    <w:rsid w:val="009D7D4B"/>
    <w:rsid w:val="009E36ED"/>
    <w:rsid w:val="009E3C8C"/>
    <w:rsid w:val="009E6B77"/>
    <w:rsid w:val="009F460A"/>
    <w:rsid w:val="009F4A6E"/>
    <w:rsid w:val="00A021FA"/>
    <w:rsid w:val="00A043FB"/>
    <w:rsid w:val="00A06BE4"/>
    <w:rsid w:val="00A0729C"/>
    <w:rsid w:val="00A07779"/>
    <w:rsid w:val="00A1166A"/>
    <w:rsid w:val="00A20B2E"/>
    <w:rsid w:val="00A24F33"/>
    <w:rsid w:val="00A25069"/>
    <w:rsid w:val="00A26E6B"/>
    <w:rsid w:val="00A3068F"/>
    <w:rsid w:val="00A3145B"/>
    <w:rsid w:val="00A339D0"/>
    <w:rsid w:val="00A41002"/>
    <w:rsid w:val="00A4201A"/>
    <w:rsid w:val="00A43224"/>
    <w:rsid w:val="00A5465D"/>
    <w:rsid w:val="00A553CE"/>
    <w:rsid w:val="00A5677A"/>
    <w:rsid w:val="00A56DCC"/>
    <w:rsid w:val="00A625E8"/>
    <w:rsid w:val="00A63DFF"/>
    <w:rsid w:val="00A6490D"/>
    <w:rsid w:val="00A7415D"/>
    <w:rsid w:val="00A80363"/>
    <w:rsid w:val="00A803E6"/>
    <w:rsid w:val="00A80939"/>
    <w:rsid w:val="00A83E9D"/>
    <w:rsid w:val="00A87C05"/>
    <w:rsid w:val="00A9169D"/>
    <w:rsid w:val="00AA240C"/>
    <w:rsid w:val="00AC101C"/>
    <w:rsid w:val="00AD4CF1"/>
    <w:rsid w:val="00AD5988"/>
    <w:rsid w:val="00AD6293"/>
    <w:rsid w:val="00AF1BA8"/>
    <w:rsid w:val="00AF7800"/>
    <w:rsid w:val="00B00CF5"/>
    <w:rsid w:val="00B072E0"/>
    <w:rsid w:val="00B1007E"/>
    <w:rsid w:val="00B253F6"/>
    <w:rsid w:val="00B26675"/>
    <w:rsid w:val="00B26F0F"/>
    <w:rsid w:val="00B305DB"/>
    <w:rsid w:val="00B332F8"/>
    <w:rsid w:val="00B3492B"/>
    <w:rsid w:val="00B4646F"/>
    <w:rsid w:val="00B542E5"/>
    <w:rsid w:val="00B55C7D"/>
    <w:rsid w:val="00B63038"/>
    <w:rsid w:val="00B64BD8"/>
    <w:rsid w:val="00B701D1"/>
    <w:rsid w:val="00B73AF2"/>
    <w:rsid w:val="00B7551A"/>
    <w:rsid w:val="00B773F1"/>
    <w:rsid w:val="00B86AB1"/>
    <w:rsid w:val="00B97F07"/>
    <w:rsid w:val="00BA7EBA"/>
    <w:rsid w:val="00BB2424"/>
    <w:rsid w:val="00BB2A06"/>
    <w:rsid w:val="00BB2CBB"/>
    <w:rsid w:val="00BB4198"/>
    <w:rsid w:val="00BB7593"/>
    <w:rsid w:val="00BC03EE"/>
    <w:rsid w:val="00BC53E7"/>
    <w:rsid w:val="00BC59F1"/>
    <w:rsid w:val="00BF0432"/>
    <w:rsid w:val="00BF3DE1"/>
    <w:rsid w:val="00BF4843"/>
    <w:rsid w:val="00BF5205"/>
    <w:rsid w:val="00C02D25"/>
    <w:rsid w:val="00C05132"/>
    <w:rsid w:val="00C12508"/>
    <w:rsid w:val="00C23728"/>
    <w:rsid w:val="00C3026C"/>
    <w:rsid w:val="00C313A9"/>
    <w:rsid w:val="00C441CF"/>
    <w:rsid w:val="00C45AA2"/>
    <w:rsid w:val="00C4792C"/>
    <w:rsid w:val="00C55BEF"/>
    <w:rsid w:val="00C601AF"/>
    <w:rsid w:val="00C61A63"/>
    <w:rsid w:val="00C66296"/>
    <w:rsid w:val="00C7394D"/>
    <w:rsid w:val="00C77282"/>
    <w:rsid w:val="00C82A5F"/>
    <w:rsid w:val="00C84DE5"/>
    <w:rsid w:val="00C86248"/>
    <w:rsid w:val="00C86B49"/>
    <w:rsid w:val="00C90B31"/>
    <w:rsid w:val="00C96B16"/>
    <w:rsid w:val="00CA0D6F"/>
    <w:rsid w:val="00CA4C33"/>
    <w:rsid w:val="00CA6F4A"/>
    <w:rsid w:val="00CB6427"/>
    <w:rsid w:val="00CC0FBE"/>
    <w:rsid w:val="00CD2119"/>
    <w:rsid w:val="00CD237A"/>
    <w:rsid w:val="00CD36AC"/>
    <w:rsid w:val="00CD52AA"/>
    <w:rsid w:val="00CE13A3"/>
    <w:rsid w:val="00CE36BC"/>
    <w:rsid w:val="00CF1299"/>
    <w:rsid w:val="00CF1747"/>
    <w:rsid w:val="00CF60ED"/>
    <w:rsid w:val="00D05D74"/>
    <w:rsid w:val="00D20C59"/>
    <w:rsid w:val="00D23323"/>
    <w:rsid w:val="00D2392A"/>
    <w:rsid w:val="00D25FFE"/>
    <w:rsid w:val="00D30BBE"/>
    <w:rsid w:val="00D33701"/>
    <w:rsid w:val="00D37D80"/>
    <w:rsid w:val="00D43BE0"/>
    <w:rsid w:val="00D4476F"/>
    <w:rsid w:val="00D5039E"/>
    <w:rsid w:val="00D50573"/>
    <w:rsid w:val="00D54D50"/>
    <w:rsid w:val="00D560B4"/>
    <w:rsid w:val="00D61D06"/>
    <w:rsid w:val="00D662F8"/>
    <w:rsid w:val="00D66797"/>
    <w:rsid w:val="00D7074B"/>
    <w:rsid w:val="00D7087C"/>
    <w:rsid w:val="00D70C3C"/>
    <w:rsid w:val="00D71DF7"/>
    <w:rsid w:val="00D72BE5"/>
    <w:rsid w:val="00D81462"/>
    <w:rsid w:val="00D82F26"/>
    <w:rsid w:val="00D863D0"/>
    <w:rsid w:val="00D86B00"/>
    <w:rsid w:val="00D86FB9"/>
    <w:rsid w:val="00D87C87"/>
    <w:rsid w:val="00D90BB4"/>
    <w:rsid w:val="00D90E07"/>
    <w:rsid w:val="00D932C2"/>
    <w:rsid w:val="00DA5DA5"/>
    <w:rsid w:val="00DB39CF"/>
    <w:rsid w:val="00DB68CC"/>
    <w:rsid w:val="00DB7256"/>
    <w:rsid w:val="00DC0401"/>
    <w:rsid w:val="00DC20BD"/>
    <w:rsid w:val="00DD0BCD"/>
    <w:rsid w:val="00DD447A"/>
    <w:rsid w:val="00DE3B20"/>
    <w:rsid w:val="00DE6C94"/>
    <w:rsid w:val="00DE6FD7"/>
    <w:rsid w:val="00E23271"/>
    <w:rsid w:val="00E24F80"/>
    <w:rsid w:val="00E259F3"/>
    <w:rsid w:val="00E30985"/>
    <w:rsid w:val="00E33238"/>
    <w:rsid w:val="00E376B7"/>
    <w:rsid w:val="00E4139C"/>
    <w:rsid w:val="00E42F5D"/>
    <w:rsid w:val="00E43B00"/>
    <w:rsid w:val="00E4486C"/>
    <w:rsid w:val="00E460B6"/>
    <w:rsid w:val="00E511D5"/>
    <w:rsid w:val="00E53A9F"/>
    <w:rsid w:val="00E5619A"/>
    <w:rsid w:val="00E60249"/>
    <w:rsid w:val="00E65269"/>
    <w:rsid w:val="00E76D66"/>
    <w:rsid w:val="00EA796A"/>
    <w:rsid w:val="00EB1856"/>
    <w:rsid w:val="00EC0926"/>
    <w:rsid w:val="00EC50CE"/>
    <w:rsid w:val="00EC5B34"/>
    <w:rsid w:val="00ED021E"/>
    <w:rsid w:val="00ED323C"/>
    <w:rsid w:val="00EE2D5C"/>
    <w:rsid w:val="00EE4ADE"/>
    <w:rsid w:val="00EE4DE8"/>
    <w:rsid w:val="00EE5CB7"/>
    <w:rsid w:val="00F024FE"/>
    <w:rsid w:val="00F05AD4"/>
    <w:rsid w:val="00F10EB6"/>
    <w:rsid w:val="00F13F07"/>
    <w:rsid w:val="00F140B2"/>
    <w:rsid w:val="00F25970"/>
    <w:rsid w:val="00F311A9"/>
    <w:rsid w:val="00F31733"/>
    <w:rsid w:val="00F31960"/>
    <w:rsid w:val="00F5180D"/>
    <w:rsid w:val="00F63781"/>
    <w:rsid w:val="00F67496"/>
    <w:rsid w:val="00F801BA"/>
    <w:rsid w:val="00F9366A"/>
    <w:rsid w:val="00F946C9"/>
    <w:rsid w:val="00FA0EA5"/>
    <w:rsid w:val="00FA74EE"/>
    <w:rsid w:val="00FC3711"/>
    <w:rsid w:val="00FC46E7"/>
    <w:rsid w:val="00FC4E54"/>
    <w:rsid w:val="00FC4FF9"/>
    <w:rsid w:val="00FC5D25"/>
    <w:rsid w:val="00FD0D7E"/>
    <w:rsid w:val="00FD4FFB"/>
    <w:rsid w:val="00FE6E13"/>
    <w:rsid w:val="00FF15F6"/>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EEB9C"/>
  <w15:docId w15:val="{76CBE254-8ACF-4B34-B292-E8559124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D"/>
    <w:rPr>
      <w:rFonts w:ascii="Segoe UI" w:hAnsi="Segoe UI"/>
      <w:sz w:val="21"/>
      <w:lang w:eastAsia="en-GB"/>
    </w:rPr>
  </w:style>
  <w:style w:type="paragraph" w:styleId="Heading1">
    <w:name w:val="heading 1"/>
    <w:basedOn w:val="Normal"/>
    <w:next w:val="Normal"/>
    <w:link w:val="Heading1Char"/>
    <w:uiPriority w:val="1"/>
    <w:qFormat/>
    <w:rsid w:val="00D86B00"/>
    <w:pPr>
      <w:keepNext/>
      <w:spacing w:before="600" w:after="360"/>
      <w:outlineLvl w:val="0"/>
    </w:pPr>
    <w:rPr>
      <w:b/>
      <w:color w:val="23305D"/>
      <w:spacing w:val="-10"/>
      <w:sz w:val="72"/>
    </w:rPr>
  </w:style>
  <w:style w:type="paragraph" w:styleId="Heading2">
    <w:name w:val="heading 2"/>
    <w:basedOn w:val="Normal"/>
    <w:next w:val="Normal"/>
    <w:link w:val="Heading2Char"/>
    <w:uiPriority w:val="1"/>
    <w:qFormat/>
    <w:rsid w:val="00030E84"/>
    <w:pPr>
      <w:keepNext/>
      <w:spacing w:before="480" w:after="180"/>
      <w:outlineLvl w:val="1"/>
    </w:pPr>
    <w:rPr>
      <w:b/>
      <w:color w:val="0A6AB4"/>
      <w:spacing w:val="-5"/>
      <w:sz w:val="48"/>
    </w:rPr>
  </w:style>
  <w:style w:type="paragraph" w:styleId="Heading3">
    <w:name w:val="heading 3"/>
    <w:basedOn w:val="Normal"/>
    <w:next w:val="Normal"/>
    <w:link w:val="Heading3Char"/>
    <w:uiPriority w:val="1"/>
    <w:qFormat/>
    <w:rsid w:val="00030E84"/>
    <w:pPr>
      <w:keepNext/>
      <w:spacing w:before="360" w:after="180"/>
      <w:outlineLvl w:val="2"/>
    </w:pPr>
    <w:rPr>
      <w:color w:val="0A6AB4"/>
      <w:spacing w:val="-5"/>
      <w:sz w:val="36"/>
    </w:rPr>
  </w:style>
  <w:style w:type="paragraph" w:styleId="Heading4">
    <w:name w:val="heading 4"/>
    <w:basedOn w:val="Normal"/>
    <w:next w:val="Normal"/>
    <w:link w:val="Heading4Char"/>
    <w:uiPriority w:val="1"/>
    <w:qFormat/>
    <w:rsid w:val="00030E84"/>
    <w:pPr>
      <w:keepNext/>
      <w:spacing w:before="240" w:after="120"/>
      <w:outlineLvl w:val="3"/>
    </w:pPr>
    <w:rPr>
      <w:color w:val="0A6AB4"/>
      <w:sz w:val="28"/>
    </w:rPr>
  </w:style>
  <w:style w:type="paragraph" w:styleId="Heading5">
    <w:name w:val="heading 5"/>
    <w:basedOn w:val="Normal"/>
    <w:next w:val="Normal"/>
    <w:link w:val="Heading5Char"/>
    <w:uiPriority w:val="1"/>
    <w:qFormat/>
    <w:rsid w:val="00B00CF5"/>
    <w:pPr>
      <w:keepNext/>
      <w:spacing w:before="120" w:after="120"/>
      <w:outlineLvl w:val="4"/>
    </w:pPr>
    <w:rPr>
      <w:color w:val="0A6AB4"/>
      <w:sz w:val="24"/>
    </w:rPr>
  </w:style>
  <w:style w:type="paragraph" w:styleId="Heading6">
    <w:name w:val="heading 6"/>
    <w:basedOn w:val="Normal"/>
    <w:next w:val="Normal"/>
    <w:link w:val="Heading6Char"/>
    <w:uiPriority w:val="1"/>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uiPriority w:val="39"/>
    <w:rsid w:val="002B76A7"/>
    <w:pPr>
      <w:tabs>
        <w:tab w:val="right" w:pos="8080"/>
      </w:tabs>
      <w:spacing w:before="120"/>
      <w:ind w:left="1276" w:right="567" w:hanging="1276"/>
    </w:pPr>
  </w:style>
  <w:style w:type="paragraph" w:customStyle="1" w:styleId="Bullet">
    <w:name w:val="Bullet"/>
    <w:basedOn w:val="Normal"/>
    <w:qFormat/>
    <w:rsid w:val="00FA0EA5"/>
    <w:pPr>
      <w:numPr>
        <w:numId w:val="1"/>
      </w:numPr>
      <w:tabs>
        <w:tab w:val="clear" w:pos="284"/>
      </w:tabs>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uiPriority w:val="99"/>
    <w:rsid w:val="00A7415D"/>
    <w:pPr>
      <w:spacing w:before="60" w:line="228" w:lineRule="auto"/>
      <w:ind w:left="284" w:hanging="284"/>
    </w:pPr>
    <w:rPr>
      <w:sz w:val="17"/>
    </w:rPr>
  </w:style>
  <w:style w:type="paragraph" w:styleId="Header">
    <w:name w:val="header"/>
    <w:basedOn w:val="Normal"/>
    <w:link w:val="HeaderChar"/>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uiPriority w:val="99"/>
    <w:rPr>
      <w:vertAlign w:val="superscript"/>
    </w:rPr>
  </w:style>
  <w:style w:type="paragraph" w:customStyle="1" w:styleId="Table">
    <w:name w:val="Table"/>
    <w:basedOn w:val="Figure"/>
    <w:qFormat/>
    <w:rsid w:val="00642868"/>
  </w:style>
  <w:style w:type="paragraph" w:customStyle="1" w:styleId="Dash">
    <w:name w:val="Dash"/>
    <w:basedOn w:val="Bullet"/>
    <w:qFormat/>
    <w:rsid w:val="00702854"/>
    <w:pPr>
      <w:numPr>
        <w:numId w:val="3"/>
      </w:numPr>
      <w:spacing w:before="60"/>
    </w:pPr>
  </w:style>
  <w:style w:type="paragraph" w:customStyle="1" w:styleId="TableText">
    <w:name w:val="TableText"/>
    <w:basedOn w:val="Normal"/>
    <w:uiPriority w:val="99"/>
    <w:qFormat/>
    <w:rsid w:val="009C440A"/>
    <w:pPr>
      <w:spacing w:before="60" w:after="60"/>
    </w:pPr>
    <w:rPr>
      <w:sz w:val="18"/>
    </w:rPr>
  </w:style>
  <w:style w:type="paragraph" w:customStyle="1" w:styleId="TableBullet">
    <w:name w:val="TableBullet"/>
    <w:basedOn w:val="TableText"/>
    <w:qFormat/>
    <w:rsid w:val="00B73AF2"/>
    <w:pPr>
      <w:numPr>
        <w:numId w:val="5"/>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4"/>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uiPriority w:val="99"/>
    <w:rsid w:val="00A7415D"/>
    <w:rPr>
      <w:rFonts w:ascii="Segoe UI" w:hAnsi="Segoe UI"/>
      <w:sz w:val="17"/>
      <w:lang w:eastAsia="en-GB"/>
    </w:rPr>
  </w:style>
  <w:style w:type="table" w:styleId="TableGrid">
    <w:name w:val="Table Grid"/>
    <w:basedOn w:val="TableNormal"/>
    <w:uiPriority w:val="3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rsid w:val="007A067F"/>
    <w:rPr>
      <w:rFonts w:ascii="Segoe UI" w:hAnsi="Segoe UI"/>
      <w:sz w:val="21"/>
      <w:lang w:eastAsia="en-GB"/>
    </w:rPr>
  </w:style>
  <w:style w:type="character" w:customStyle="1" w:styleId="Heading1Char">
    <w:name w:val="Heading 1 Char"/>
    <w:link w:val="Heading1"/>
    <w:uiPriority w:val="1"/>
    <w:rsid w:val="00D86B00"/>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1"/>
    <w:rsid w:val="00030E84"/>
    <w:rPr>
      <w:rFonts w:ascii="Segoe UI" w:hAnsi="Segoe UI"/>
      <w:b/>
      <w:color w:val="0A6AB4"/>
      <w:spacing w:val="-5"/>
      <w:sz w:val="48"/>
      <w:lang w:eastAsia="en-GB"/>
    </w:rPr>
  </w:style>
  <w:style w:type="character" w:customStyle="1" w:styleId="Heading3Char">
    <w:name w:val="Heading 3 Char"/>
    <w:link w:val="Heading3"/>
    <w:uiPriority w:val="1"/>
    <w:rsid w:val="00030E84"/>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1"/>
    <w:rsid w:val="00030E84"/>
    <w:rPr>
      <w:rFonts w:ascii="Segoe UI" w:hAnsi="Segoe UI"/>
      <w:color w:val="0A6AB4"/>
      <w:sz w:val="28"/>
      <w:lang w:eastAsia="en-GB"/>
    </w:rPr>
  </w:style>
  <w:style w:type="character" w:customStyle="1" w:styleId="Heading5Char">
    <w:name w:val="Heading 5 Char"/>
    <w:link w:val="Heading5"/>
    <w:uiPriority w:val="1"/>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17"/>
      </w:numPr>
      <w:spacing w:before="180"/>
    </w:pPr>
    <w:rPr>
      <w:szCs w:val="24"/>
    </w:rPr>
  </w:style>
  <w:style w:type="paragraph" w:customStyle="1" w:styleId="Letter">
    <w:name w:val="Letter"/>
    <w:basedOn w:val="Normal"/>
    <w:qFormat/>
    <w:rsid w:val="00F140B2"/>
    <w:pPr>
      <w:numPr>
        <w:ilvl w:val="1"/>
        <w:numId w:val="17"/>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17"/>
      </w:numPr>
      <w:spacing w:before="90"/>
    </w:pPr>
    <w:rPr>
      <w:rFonts w:eastAsia="Arial Unicode MS"/>
    </w:rPr>
  </w:style>
  <w:style w:type="paragraph" w:styleId="Caption">
    <w:name w:val="caption"/>
    <w:basedOn w:val="Normal"/>
    <w:next w:val="Normal"/>
    <w:unhideWhenUsed/>
    <w:qFormat/>
    <w:rsid w:val="00FC4E54"/>
    <w:pPr>
      <w:spacing w:after="40"/>
    </w:pPr>
    <w:rPr>
      <w:i/>
      <w:iCs/>
      <w:color w:val="1F497D" w:themeColor="text2"/>
      <w:sz w:val="18"/>
      <w:szCs w:val="18"/>
    </w:rPr>
  </w:style>
  <w:style w:type="paragraph" w:styleId="NormalIndent">
    <w:name w:val="Normal Indent"/>
    <w:basedOn w:val="Normal"/>
    <w:uiPriority w:val="99"/>
    <w:unhideWhenUsed/>
    <w:rsid w:val="00FC4E54"/>
    <w:pPr>
      <w:ind w:left="720"/>
    </w:pPr>
  </w:style>
  <w:style w:type="paragraph" w:styleId="ListParagraph">
    <w:name w:val="List Paragraph"/>
    <w:basedOn w:val="Normal"/>
    <w:uiPriority w:val="34"/>
    <w:qFormat/>
    <w:rsid w:val="00FC4E54"/>
    <w:pPr>
      <w:spacing w:after="160" w:line="259" w:lineRule="auto"/>
      <w:ind w:left="720"/>
      <w:contextualSpacing/>
    </w:pPr>
    <w:rPr>
      <w:rFonts w:asciiTheme="minorHAnsi" w:eastAsiaTheme="minorHAnsi" w:hAnsiTheme="minorHAnsi" w:cstheme="minorBidi"/>
      <w:sz w:val="22"/>
      <w:szCs w:val="22"/>
      <w:lang w:eastAsia="en-US"/>
    </w:rPr>
  </w:style>
  <w:style w:type="paragraph" w:styleId="EndnoteText">
    <w:name w:val="endnote text"/>
    <w:basedOn w:val="Normal"/>
    <w:link w:val="EndnoteTextChar"/>
    <w:uiPriority w:val="99"/>
    <w:unhideWhenUsed/>
    <w:rsid w:val="00942F0F"/>
    <w:rPr>
      <w:sz w:val="20"/>
    </w:rPr>
  </w:style>
  <w:style w:type="character" w:customStyle="1" w:styleId="EndnoteTextChar">
    <w:name w:val="Endnote Text Char"/>
    <w:basedOn w:val="DefaultParagraphFont"/>
    <w:link w:val="EndnoteText"/>
    <w:uiPriority w:val="99"/>
    <w:rsid w:val="00942F0F"/>
    <w:rPr>
      <w:rFonts w:ascii="Segoe UI" w:hAnsi="Segoe UI"/>
      <w:lang w:eastAsia="en-GB"/>
    </w:rPr>
  </w:style>
  <w:style w:type="character" w:styleId="HTMLCite">
    <w:name w:val="HTML Cite"/>
    <w:basedOn w:val="DefaultParagraphFont"/>
    <w:uiPriority w:val="99"/>
    <w:semiHidden/>
    <w:unhideWhenUsed/>
    <w:rsid w:val="00942F0F"/>
    <w:rPr>
      <w:i/>
      <w:iCs/>
    </w:rPr>
  </w:style>
  <w:style w:type="paragraph" w:styleId="BodyText">
    <w:name w:val="Body Text"/>
    <w:basedOn w:val="Normal"/>
    <w:link w:val="BodyTextChar"/>
    <w:uiPriority w:val="99"/>
    <w:semiHidden/>
    <w:unhideWhenUsed/>
    <w:rsid w:val="00942F0F"/>
    <w:pPr>
      <w:spacing w:after="120" w:line="259" w:lineRule="auto"/>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uiPriority w:val="99"/>
    <w:semiHidden/>
    <w:rsid w:val="00942F0F"/>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3C6527"/>
    <w:rPr>
      <w:sz w:val="16"/>
      <w:szCs w:val="16"/>
    </w:rPr>
  </w:style>
  <w:style w:type="paragraph" w:styleId="CommentText">
    <w:name w:val="annotation text"/>
    <w:basedOn w:val="Normal"/>
    <w:link w:val="CommentTextChar"/>
    <w:uiPriority w:val="99"/>
    <w:semiHidden/>
    <w:unhideWhenUsed/>
    <w:rsid w:val="003C6527"/>
    <w:rPr>
      <w:sz w:val="20"/>
    </w:rPr>
  </w:style>
  <w:style w:type="character" w:customStyle="1" w:styleId="CommentTextChar">
    <w:name w:val="Comment Text Char"/>
    <w:basedOn w:val="DefaultParagraphFont"/>
    <w:link w:val="CommentText"/>
    <w:uiPriority w:val="99"/>
    <w:semiHidden/>
    <w:rsid w:val="003C6527"/>
    <w:rPr>
      <w:rFonts w:ascii="Segoe UI" w:hAnsi="Segoe UI"/>
      <w:lang w:eastAsia="en-GB"/>
    </w:rPr>
  </w:style>
  <w:style w:type="paragraph" w:styleId="CommentSubject">
    <w:name w:val="annotation subject"/>
    <w:basedOn w:val="CommentText"/>
    <w:next w:val="CommentText"/>
    <w:link w:val="CommentSubjectChar"/>
    <w:uiPriority w:val="99"/>
    <w:semiHidden/>
    <w:unhideWhenUsed/>
    <w:rsid w:val="003C6527"/>
    <w:rPr>
      <w:b/>
      <w:bCs/>
    </w:rPr>
  </w:style>
  <w:style w:type="character" w:customStyle="1" w:styleId="CommentSubjectChar">
    <w:name w:val="Comment Subject Char"/>
    <w:basedOn w:val="CommentTextChar"/>
    <w:link w:val="CommentSubject"/>
    <w:uiPriority w:val="99"/>
    <w:semiHidden/>
    <w:rsid w:val="003C6527"/>
    <w:rPr>
      <w:rFonts w:ascii="Segoe UI" w:hAnsi="Segoe UI"/>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2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image" Target="media/image7.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yperlink" Target="https://doi.org/10.1525/sop.2010.53.4.551"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png"/><Relationship Id="rId33" Type="http://schemas.openxmlformats.org/officeDocument/2006/relationships/hyperlink" Target="http://www.health.govt.nz/publication/position-statement-and-working-definitions-racism-and-anti-racism-health-system-aotearoa-new-zealand" TargetMode="External"/><Relationship Id="rId38"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www.health.govt.nz/publication/ola-manuia-pacific-health-and-wellbeing-action-plan-2020-202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hyperlink" Target="http://www.health.govt.nz/our-work/populations/maori-health/ao-mai-te-ra-anti-racism-kaupapa" TargetMode="External"/><Relationship Id="rId37" Type="http://schemas.openxmlformats.org/officeDocument/2006/relationships/footer" Target="footer8.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7.xml"/><Relationship Id="rId28" Type="http://schemas.openxmlformats.org/officeDocument/2006/relationships/image" Target="media/image9.png"/><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health.govt.nz/system/files/documents/publications/methodology-report-2020-21-new-zealand-health-survey-dec2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6.xml"/><Relationship Id="rId27" Type="http://schemas.openxmlformats.org/officeDocument/2006/relationships/image" Target="media/image8.png"/><Relationship Id="rId30" Type="http://schemas.openxmlformats.org/officeDocument/2006/relationships/hyperlink" Target="http://www.health.govt.nz/system/files/documents/publications/whakamaua-maori-health-action-plan-2020-2025-2.pdf" TargetMode="External"/><Relationship Id="rId35" Type="http://schemas.openxmlformats.org/officeDocument/2006/relationships/hyperlink" Target="http://www.health.govt.nz/nz-health-statistics/national-collections-and-surveys/surveys/new-zealand-health-survey?mega=Health%20statistics&amp;title=NZ%20Health%20Surve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health.govt.nz/nz-health-statistics/national-collections-and-surveys/surveys/new-zealand-health-survey?mega=Health%20statistics&amp;title=NZ%20Health%20Survey" TargetMode="External"/><Relationship Id="rId2" Type="http://schemas.openxmlformats.org/officeDocument/2006/relationships/hyperlink" Target="http://aria.stats.govt.nz/aria/?_ga=2.99316702.1191826017.1659388995-392480606.1646960786" TargetMode="External"/><Relationship Id="rId1" Type="http://schemas.openxmlformats.org/officeDocument/2006/relationships/hyperlink" Target="http://www.health.govt.nz/nz-health-statistics/national-collections-and-surveys/surveys/new-zealand-health-survey?mega=Health%20statistics&amp;title=NZ%20Health%20Surve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A28230263C7D7A4FB197614F88F6A462" ma:contentTypeVersion="147" ma:contentTypeDescription="Create a new document." ma:contentTypeScope="" ma:versionID="16750d1d455f6a1d0a02a31e86843855">
  <xsd:schema xmlns:xsd="http://www.w3.org/2001/XMLSchema" xmlns:xs="http://www.w3.org/2001/XMLSchema" xmlns:p="http://schemas.microsoft.com/office/2006/metadata/properties" xmlns:ns2="c5b47098-0215-444c-9096-523bda4ac5c6" xmlns:ns3="4f9c820c-e7e2-444d-97ee-45f2b3485c1d" xmlns:ns4="15ffb055-6eb4-45a1-bc20-bf2ac0d420da" xmlns:ns5="725c79e5-42ce-4aa0-ac78-b6418001f0d2" xmlns:ns6="c91a514c-9034-4fa3-897a-8352025b26ed" xmlns:ns7="d0b61010-d6f3-4072-b934-7bbb13e97771" xmlns:ns8="184c05c4-c568-455d-94a4-7e009b164348" xmlns:ns9="54904628-6268-4ac5-9416-97794f1d508d" targetNamespace="http://schemas.microsoft.com/office/2006/metadata/properties" ma:root="true" ma:fieldsID="cf514163d91d9a0e6568aa756bbdd55b" ns2:_="" ns3:_="" ns4:_="" ns5:_="" ns6:_="" ns7:_="" ns8:_="" ns9:_="">
    <xsd:import namespace="c5b47098-0215-444c-9096-523bda4ac5c6"/>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54904628-6268-4ac5-9416-97794f1d508d"/>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2:SharedWithUsers" minOccurs="0"/>
                <xsd:element ref="ns2:SharedWithDetails" minOccurs="0"/>
                <xsd:element ref="ns9:MediaServiceDateTaken" minOccurs="0"/>
                <xsd:element ref="ns9:MediaLengthInSeconds" minOccurs="0"/>
                <xsd:element ref="ns9:lcf76f155ced4ddcb4097134ff3c332f" minOccurs="0"/>
                <xsd:element ref="ns2:TaxCatchAll" minOccurs="0"/>
                <xsd:element ref="ns9:MediaServiceOCR" minOccurs="0"/>
                <xsd:element ref="ns9:MediaServiceGenerationTime" minOccurs="0"/>
                <xsd:element ref="ns9: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47098-0215-444c-9096-523bda4ac5c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9" nillable="true" ma:displayName="Taxonomy Catch All Column" ma:hidden="true" ma:list="{1b7b6fce-6840-4af5-b481-2620d2575018}" ma:internalName="TaxCatchAll" ma:showField="CatchAllData" ma:web="c5b47098-0215-444c-9096-523bda4ac5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Evidence and Research" ma:hidden="true" ma:internalName="FunctionGroup" ma:readOnly="false">
      <xsd:simpleType>
        <xsd:restriction base="dms:Text">
          <xsd:maxLength value="255"/>
        </xsd:restriction>
      </xsd:simpleType>
    </xsd:element>
    <xsd:element name="Function" ma:index="21" nillable="true" ma:displayName="Function" ma:default="Analytics and Insights"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Health Survey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Health Survey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ma:readOnly="false">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54904628-6268-4ac5-9416-97794f1d508d"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DateTaken" ma:index="55" nillable="true" ma:displayName="MediaServiceDateTaken" ma:hidden="true" ma:indexed="true" ma:internalName="MediaServiceDateTaken" ma:readOnly="true">
      <xsd:simpleType>
        <xsd:restriction base="dms:Text"/>
      </xsd:simpleType>
    </xsd:element>
    <xsd:element name="MediaLengthInSeconds" ma:index="56" nillable="true" ma:displayName="MediaLengthInSeconds" ma:hidden="true" ma:internalName="MediaLengthInSeconds" ma:readOnly="true">
      <xsd:simpleType>
        <xsd:restriction base="dms:Unknown"/>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OCR" ma:index="60" nillable="true" ma:displayName="Extracted Text" ma:internalName="MediaServiceOCR" ma:readOnly="true">
      <xsd:simpleType>
        <xsd:restriction base="dms:Note">
          <xsd:maxLength value="255"/>
        </xsd:restriction>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TaxCatchAll xmlns="c5b47098-0215-444c-9096-523bda4ac5c6" xsi:nil="true"/>
    <Activity xmlns="4f9c820c-e7e2-444d-97ee-45f2b3485c1d">Health Surveys</Activity>
    <AggregationStatus xmlns="4f9c820c-e7e2-444d-97ee-45f2b3485c1d">Normal</AggregationStatus>
    <OverrideLabel xmlns="d0b61010-d6f3-4072-b934-7bbb13e97771" xsi:nil="true"/>
    <lcf76f155ced4ddcb4097134ff3c332f xmlns="54904628-6268-4ac5-9416-97794f1d508d">
      <Terms xmlns="http://schemas.microsoft.com/office/infopath/2007/PartnerControls"/>
    </lcf76f155ced4ddcb4097134ff3c332f>
    <CategoryValue xmlns="4f9c820c-e7e2-444d-97ee-45f2b3485c1d">Final versions (pre-publication)</CategoryValue>
    <PRADate2 xmlns="4f9c820c-e7e2-444d-97ee-45f2b3485c1d" xsi:nil="true"/>
    <zLegacyJSON xmlns="184c05c4-c568-455d-94a4-7e009b164348" xsi:nil="true"/>
    <Case xmlns="4f9c820c-e7e2-444d-97ee-45f2b3485c1d">NA</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Health Surveys</Team>
    <Project xmlns="4f9c820c-e7e2-444d-97ee-45f2b3485c1d">NA</Project>
    <HasNHI xmlns="184c05c4-c568-455d-94a4-7e009b164348">false</HasNHI>
    <FunctionGroup xmlns="4f9c820c-e7e2-444d-97ee-45f2b3485c1d">Evidence and Research</FunctionGroup>
    <Function xmlns="4f9c820c-e7e2-444d-97ee-45f2b3485c1d">Analytics and Insights</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Non-annual release publications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Racial discrimination</CategoryName>
    <PRADateTrigger xmlns="4f9c820c-e7e2-444d-97ee-45f2b3485c1d" xsi:nil="true"/>
    <PRAText2 xmlns="4f9c820c-e7e2-444d-97ee-45f2b3485c1d" xsi:nil="true"/>
    <zLegacyID xmlns="184c05c4-c568-455d-94a4-7e009b164348" xsi:nil="true"/>
    <_dlc_DocId xmlns="c5b47098-0215-444c-9096-523bda4ac5c6">MOHECM-1538614037-2229</_dlc_DocId>
    <_dlc_DocIdUrl xmlns="c5b47098-0215-444c-9096-523bda4ac5c6">
      <Url>https://mohgovtnz.sharepoint.com/sites/moh-ecm-ActHeaSurv/_layouts/15/DocIdRedir.aspx?ID=MOHECM-1538614037-2229</Url>
      <Description>MOHECM-1538614037-2229</Description>
    </_dlc_DocIdUrl>
    <SharedWithUsers xmlns="c5b47098-0215-444c-9096-523bda4ac5c6">
      <UserInfo>
        <DisplayName>Julianne Ryan</DisplayName>
        <AccountId>340</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05076-C9B7-495A-8AAE-2E29BD3F7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47098-0215-444c-9096-523bda4ac5c6"/>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54904628-6268-4ac5-9416-97794f1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E10D4-B04D-46BB-8458-050322E51106}">
  <ds:schemaRefs>
    <ds:schemaRef ds:uri="http://schemas.microsoft.com/sharepoint/v3/contenttype/forms"/>
  </ds:schemaRefs>
</ds:datastoreItem>
</file>

<file path=customXml/itemProps3.xml><?xml version="1.0" encoding="utf-8"?>
<ds:datastoreItem xmlns:ds="http://schemas.openxmlformats.org/officeDocument/2006/customXml" ds:itemID="{4577FFB0-260E-4BEB-AB23-5A43F0263A51}">
  <ds:schemaRefs>
    <ds:schemaRef ds:uri="http://www.w3.org/XML/1998/namespace"/>
    <ds:schemaRef ds:uri="http://purl.org/dc/elements/1.1/"/>
    <ds:schemaRef ds:uri="c5b47098-0215-444c-9096-523bda4ac5c6"/>
    <ds:schemaRef ds:uri="http://purl.org/dc/dcmitype/"/>
    <ds:schemaRef ds:uri="http://schemas.microsoft.com/office/infopath/2007/PartnerControls"/>
    <ds:schemaRef ds:uri="d0b61010-d6f3-4072-b934-7bbb13e97771"/>
    <ds:schemaRef ds:uri="4f9c820c-e7e2-444d-97ee-45f2b3485c1d"/>
    <ds:schemaRef ds:uri="15ffb055-6eb4-45a1-bc20-bf2ac0d420da"/>
    <ds:schemaRef ds:uri="725c79e5-42ce-4aa0-ac78-b6418001f0d2"/>
    <ds:schemaRef ds:uri="http://purl.org/dc/terms/"/>
    <ds:schemaRef ds:uri="184c05c4-c568-455d-94a4-7e009b164348"/>
    <ds:schemaRef ds:uri="http://schemas.microsoft.com/office/2006/metadata/properties"/>
    <ds:schemaRef ds:uri="c91a514c-9034-4fa3-897a-8352025b26ed"/>
    <ds:schemaRef ds:uri="http://schemas.microsoft.com/office/2006/documentManagement/types"/>
    <ds:schemaRef ds:uri="54904628-6268-4ac5-9416-97794f1d508d"/>
    <ds:schemaRef ds:uri="http://schemas.openxmlformats.org/package/2006/metadata/core-properties"/>
  </ds:schemaRefs>
</ds:datastoreItem>
</file>

<file path=customXml/itemProps4.xml><?xml version="1.0" encoding="utf-8"?>
<ds:datastoreItem xmlns:ds="http://schemas.openxmlformats.org/officeDocument/2006/customXml" ds:itemID="{6FBF3B2F-25EE-4C53-8428-617692C29822}">
  <ds:schemaRefs>
    <ds:schemaRef ds:uri="http://schemas.microsoft.com/sharepoint/events"/>
  </ds:schemaRefs>
</ds:datastoreItem>
</file>

<file path=customXml/itemProps5.xml><?xml version="1.0" encoding="utf-8"?>
<ds:datastoreItem xmlns:ds="http://schemas.openxmlformats.org/officeDocument/2006/customXml" ds:itemID="{1B47F67D-389C-427D-8AD9-389F83D09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0</TotalTime>
  <Pages>11</Pages>
  <Words>6979</Words>
  <Characters>39786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Racial Discrimination 2011/12, 2016/17 and 2020/21: New Zealand Health Survey</dc:title>
  <dc:creator>Ministry of Health</dc:creator>
  <cp:lastModifiedBy>Melissa Perks</cp:lastModifiedBy>
  <cp:revision>2</cp:revision>
  <cp:lastPrinted>2015-11-17T05:02:00Z</cp:lastPrinted>
  <dcterms:created xsi:type="dcterms:W3CDTF">2023-06-25T22:51:00Z</dcterms:created>
  <dcterms:modified xsi:type="dcterms:W3CDTF">2023-06-25T22:51:00Z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0x010100A28230263C7D7A4FB197614F88F6A462</vt:lpwstr>
  </property>
  <property fmtid="{D5CDD505-2E9C-101B-9397-08002B2CF9AE}" pid="3" name="_dlc_DocIdItemGuid">
    <vt:lpwstr>bfc75f1c-401b-466b-ad35-c923ff57ace9</vt:lpwstr>
  </property>
  <property fmtid="{D5CDD505-2E9C-101B-9397-08002B2CF9AE}" pid="4" name="MediaServiceImageTags">
    <vt:lpwstr/>
  </property>
</Properties>
</file>